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bidi w:val="0"/>
        <w:rPr>
          <w:rFonts w:hint="eastAsia" w:ascii="宋体" w:hAnsi="宋体" w:eastAsia="宋体" w:cs="宋体"/>
          <w:color w:val="auto"/>
          <w:highlight w:val="none"/>
        </w:rPr>
      </w:pPr>
    </w:p>
    <w:p>
      <w:pPr>
        <w:pStyle w:val="48"/>
        <w:shd w:val="clear"/>
        <w:ind w:firstLine="400"/>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shd w:val="clear"/>
        <w:ind w:right="-28"/>
        <w:jc w:val="center"/>
        <w:textAlignment w:val="bottom"/>
        <w:outlineLvl w:val="9"/>
        <w:rPr>
          <w:rFonts w:hint="eastAsia" w:ascii="宋体" w:hAnsi="宋体" w:eastAsia="宋体" w:cs="宋体"/>
          <w:b/>
          <w:bCs w:val="0"/>
          <w:color w:val="auto"/>
          <w:spacing w:val="57"/>
          <w:sz w:val="96"/>
          <w:szCs w:val="96"/>
          <w:highlight w:val="none"/>
        </w:rPr>
      </w:pPr>
      <w:r>
        <w:rPr>
          <w:rFonts w:hint="eastAsia" w:ascii="宋体" w:hAnsi="宋体" w:eastAsia="宋体" w:cs="宋体"/>
          <w:b/>
          <w:bCs w:val="0"/>
          <w:color w:val="auto"/>
          <w:spacing w:val="57"/>
          <w:sz w:val="96"/>
          <w:szCs w:val="96"/>
          <w:highlight w:val="none"/>
        </w:rPr>
        <w:t>公开采购文件</w:t>
      </w:r>
    </w:p>
    <w:p>
      <w:pPr>
        <w:shd w:val="clear"/>
        <w:rPr>
          <w:rFonts w:hint="eastAsia" w:ascii="宋体" w:hAnsi="宋体" w:eastAsia="宋体" w:cs="宋体"/>
          <w:color w:val="auto"/>
          <w:highlight w:val="none"/>
        </w:rPr>
      </w:pPr>
    </w:p>
    <w:p>
      <w:pPr>
        <w:pStyle w:val="11"/>
        <w:shd w:val="clear"/>
        <w:rPr>
          <w:rFonts w:hint="eastAsia" w:ascii="宋体" w:hAnsi="宋体" w:eastAsia="宋体" w:cs="宋体"/>
          <w:color w:val="auto"/>
          <w:highlight w:val="none"/>
        </w:rPr>
      </w:pPr>
    </w:p>
    <w:tbl>
      <w:tblPr>
        <w:tblStyle w:val="44"/>
        <w:tblW w:w="8816" w:type="dxa"/>
        <w:tblInd w:w="-29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613"/>
        <w:gridCol w:w="62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67" w:hRule="atLeast"/>
        </w:trPr>
        <w:tc>
          <w:tcPr>
            <w:tcW w:w="2613" w:type="dxa"/>
            <w:noWrap/>
            <w:vAlign w:val="center"/>
          </w:tcPr>
          <w:p>
            <w:pPr>
              <w:shd w:val="clea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项目名称：</w:t>
            </w:r>
          </w:p>
        </w:tc>
        <w:tc>
          <w:tcPr>
            <w:tcW w:w="6203" w:type="dxa"/>
            <w:noWrap/>
            <w:vAlign w:val="center"/>
          </w:tcPr>
          <w:p>
            <w:pPr>
              <w:shd w:val="clear"/>
              <w:spacing w:before="200"/>
              <w:jc w:val="both"/>
              <w:rPr>
                <w:rFonts w:hint="eastAsia" w:ascii="宋体" w:hAnsi="宋体" w:eastAsia="宋体" w:cs="宋体"/>
                <w:bCs/>
                <w:color w:val="auto"/>
                <w:sz w:val="32"/>
                <w:szCs w:val="24"/>
                <w:highlight w:val="none"/>
              </w:rPr>
            </w:pPr>
            <w:r>
              <w:rPr>
                <w:rFonts w:hint="eastAsia" w:ascii="宋体" w:hAnsi="宋体" w:cs="宋体"/>
                <w:bCs/>
                <w:color w:val="auto"/>
                <w:sz w:val="32"/>
                <w:szCs w:val="24"/>
                <w:highlight w:val="none"/>
                <w:u w:val="none"/>
                <w:lang w:val="en-US" w:eastAsia="zh-CN"/>
              </w:rPr>
              <w:t>东莞市旗山投资发展有限公司第三方专业评估服务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35" w:hRule="atLeast"/>
        </w:trPr>
        <w:tc>
          <w:tcPr>
            <w:tcW w:w="2613" w:type="dxa"/>
            <w:noWrap/>
            <w:vAlign w:val="center"/>
          </w:tcPr>
          <w:p>
            <w:pPr>
              <w:shd w:val="clea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项目采购编号：</w:t>
            </w:r>
          </w:p>
        </w:tc>
        <w:tc>
          <w:tcPr>
            <w:tcW w:w="6203" w:type="dxa"/>
            <w:noWrap/>
            <w:vAlign w:val="center"/>
          </w:tcPr>
          <w:p>
            <w:pPr>
              <w:shd w:val="clear"/>
              <w:spacing w:before="200"/>
              <w:jc w:val="both"/>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lang w:eastAsia="zh-CN"/>
              </w:rPr>
              <w:t>DGQS-QS-03-047-050（2026）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noWrap/>
            <w:vAlign w:val="center"/>
          </w:tcPr>
          <w:p>
            <w:pPr>
              <w:shd w:val="clea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采购人：</w:t>
            </w:r>
          </w:p>
        </w:tc>
        <w:tc>
          <w:tcPr>
            <w:tcW w:w="6203" w:type="dxa"/>
            <w:noWrap/>
            <w:vAlign w:val="center"/>
          </w:tcPr>
          <w:p>
            <w:pPr>
              <w:shd w:val="clear"/>
              <w:spacing w:before="200"/>
              <w:jc w:val="both"/>
              <w:rPr>
                <w:rFonts w:hint="eastAsia" w:ascii="宋体" w:hAnsi="宋体" w:eastAsia="宋体" w:cs="宋体"/>
                <w:bCs/>
                <w:color w:val="auto"/>
                <w:sz w:val="32"/>
                <w:szCs w:val="24"/>
                <w:highlight w:val="none"/>
                <w:lang w:eastAsia="zh-CN"/>
              </w:rPr>
            </w:pPr>
            <w:r>
              <w:rPr>
                <w:rFonts w:hint="eastAsia" w:ascii="宋体" w:hAnsi="宋体" w:eastAsia="宋体" w:cs="宋体"/>
                <w:bCs/>
                <w:color w:val="auto"/>
                <w:sz w:val="32"/>
                <w:szCs w:val="24"/>
                <w:highlight w:val="none"/>
                <w:lang w:eastAsia="zh-CN"/>
              </w:rPr>
              <w:t>东莞市旗山投资发展有限公司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49" w:hRule="atLeast"/>
        </w:trPr>
        <w:tc>
          <w:tcPr>
            <w:tcW w:w="2613" w:type="dxa"/>
            <w:noWrap/>
            <w:vAlign w:val="center"/>
          </w:tcPr>
          <w:p>
            <w:pPr>
              <w:shd w:val="clear"/>
              <w:spacing w:before="200"/>
              <w:jc w:val="both"/>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采购代理：</w:t>
            </w:r>
          </w:p>
        </w:tc>
        <w:tc>
          <w:tcPr>
            <w:tcW w:w="6203" w:type="dxa"/>
            <w:noWrap/>
            <w:vAlign w:val="center"/>
          </w:tcPr>
          <w:p>
            <w:pPr>
              <w:shd w:val="clear"/>
              <w:spacing w:before="200"/>
              <w:jc w:val="both"/>
              <w:rPr>
                <w:rFonts w:hint="eastAsia" w:ascii="宋体" w:hAnsi="宋体" w:eastAsia="宋体" w:cs="宋体"/>
                <w:bCs/>
                <w:color w:val="auto"/>
                <w:sz w:val="32"/>
                <w:szCs w:val="24"/>
                <w:highlight w:val="none"/>
                <w:lang w:val="en-US" w:eastAsia="zh-CN"/>
              </w:rPr>
            </w:pPr>
            <w:r>
              <w:rPr>
                <w:rFonts w:hint="eastAsia" w:ascii="宋体" w:hAnsi="宋体" w:cs="宋体"/>
                <w:bCs/>
                <w:color w:val="auto"/>
                <w:sz w:val="32"/>
                <w:szCs w:val="24"/>
                <w:highlight w:val="none"/>
                <w:u w:val="none"/>
                <w:lang w:val="en-US" w:eastAsia="zh-CN"/>
              </w:rPr>
              <w:t>广西同泽工程项目管理股份有限公司</w:t>
            </w:r>
          </w:p>
        </w:tc>
      </w:tr>
    </w:tbl>
    <w:p>
      <w:pPr>
        <w:shd w:val="clear"/>
        <w:jc w:val="center"/>
        <w:rPr>
          <w:rFonts w:hint="eastAsia" w:ascii="宋体" w:hAnsi="宋体" w:eastAsia="宋体" w:cs="宋体"/>
          <w:color w:val="auto"/>
          <w:szCs w:val="21"/>
          <w:highlight w:val="none"/>
        </w:rPr>
      </w:pPr>
    </w:p>
    <w:p>
      <w:pPr>
        <w:shd w:val="clear"/>
        <w:jc w:val="center"/>
        <w:rPr>
          <w:rFonts w:hint="eastAsia" w:ascii="宋体" w:hAnsi="宋体" w:eastAsia="宋体" w:cs="宋体"/>
          <w:color w:val="auto"/>
          <w:szCs w:val="21"/>
          <w:highlight w:val="none"/>
        </w:rPr>
      </w:pPr>
    </w:p>
    <w:p>
      <w:pPr>
        <w:shd w:val="clear"/>
        <w:jc w:val="center"/>
        <w:rPr>
          <w:rFonts w:hint="eastAsia" w:ascii="宋体" w:hAnsi="宋体" w:eastAsia="宋体" w:cs="宋体"/>
          <w:color w:val="auto"/>
          <w:szCs w:val="21"/>
          <w:highlight w:val="none"/>
        </w:rPr>
      </w:pPr>
    </w:p>
    <w:p>
      <w:pPr>
        <w:pStyle w:val="48"/>
        <w:shd w:val="clear"/>
        <w:ind w:firstLine="400"/>
        <w:rPr>
          <w:rFonts w:hint="eastAsia" w:ascii="宋体" w:hAnsi="宋体" w:eastAsia="宋体" w:cs="宋体"/>
          <w:color w:val="auto"/>
          <w:highlight w:val="none"/>
        </w:rPr>
      </w:pPr>
    </w:p>
    <w:p>
      <w:pPr>
        <w:shd w:val="clear"/>
        <w:jc w:val="center"/>
        <w:rPr>
          <w:rFonts w:hint="eastAsia" w:ascii="宋体" w:hAnsi="宋体" w:eastAsia="宋体" w:cs="宋体"/>
          <w:color w:val="auto"/>
          <w:szCs w:val="21"/>
          <w:highlight w:val="none"/>
        </w:rPr>
      </w:pPr>
    </w:p>
    <w:p>
      <w:pPr>
        <w:shd w:val="clear"/>
        <w:jc w:val="center"/>
        <w:rPr>
          <w:rFonts w:hint="eastAsia" w:ascii="宋体" w:hAnsi="宋体" w:eastAsia="宋体" w:cs="宋体"/>
          <w:color w:val="auto"/>
          <w:szCs w:val="21"/>
          <w:highlight w:val="none"/>
        </w:rPr>
      </w:pPr>
    </w:p>
    <w:p>
      <w:pPr>
        <w:shd w:val="clear"/>
        <w:spacing w:before="200"/>
        <w:jc w:val="center"/>
        <w:rPr>
          <w:rFonts w:hint="eastAsia" w:ascii="宋体" w:hAnsi="宋体" w:eastAsia="宋体" w:cs="宋体"/>
          <w:bCs/>
          <w:color w:val="auto"/>
          <w:sz w:val="32"/>
          <w:szCs w:val="24"/>
          <w:highlight w:val="none"/>
        </w:rPr>
      </w:pPr>
      <w:r>
        <w:rPr>
          <w:rFonts w:hint="eastAsia" w:ascii="宋体" w:hAnsi="宋体" w:eastAsia="宋体" w:cs="宋体"/>
          <w:bCs/>
          <w:color w:val="auto"/>
          <w:sz w:val="32"/>
          <w:szCs w:val="24"/>
          <w:highlight w:val="none"/>
        </w:rPr>
        <w:t>20</w:t>
      </w:r>
      <w:r>
        <w:rPr>
          <w:rFonts w:hint="eastAsia" w:ascii="宋体" w:hAnsi="宋体" w:eastAsia="宋体" w:cs="宋体"/>
          <w:bCs/>
          <w:color w:val="auto"/>
          <w:sz w:val="32"/>
          <w:szCs w:val="24"/>
          <w:highlight w:val="none"/>
          <w:lang w:val="en-US" w:eastAsia="zh-CN"/>
        </w:rPr>
        <w:t>2</w:t>
      </w:r>
      <w:r>
        <w:rPr>
          <w:rFonts w:hint="eastAsia" w:ascii="宋体" w:hAnsi="宋体" w:cs="宋体"/>
          <w:bCs/>
          <w:color w:val="auto"/>
          <w:sz w:val="32"/>
          <w:szCs w:val="24"/>
          <w:highlight w:val="none"/>
          <w:lang w:val="en-US" w:eastAsia="zh-CN"/>
        </w:rPr>
        <w:t>6</w:t>
      </w:r>
      <w:r>
        <w:rPr>
          <w:rFonts w:hint="eastAsia" w:ascii="宋体" w:hAnsi="宋体" w:eastAsia="宋体" w:cs="宋体"/>
          <w:bCs/>
          <w:color w:val="auto"/>
          <w:sz w:val="32"/>
          <w:szCs w:val="24"/>
          <w:highlight w:val="none"/>
        </w:rPr>
        <w:t>年</w:t>
      </w:r>
      <w:r>
        <w:rPr>
          <w:rFonts w:hint="eastAsia" w:ascii="宋体" w:hAnsi="宋体" w:cs="宋体"/>
          <w:bCs/>
          <w:color w:val="auto"/>
          <w:sz w:val="32"/>
          <w:szCs w:val="24"/>
          <w:highlight w:val="none"/>
          <w:lang w:val="en-US" w:eastAsia="zh-CN"/>
        </w:rPr>
        <w:t>06</w:t>
      </w:r>
      <w:r>
        <w:rPr>
          <w:rFonts w:hint="eastAsia" w:ascii="宋体" w:hAnsi="宋体" w:eastAsia="宋体" w:cs="宋体"/>
          <w:bCs/>
          <w:color w:val="auto"/>
          <w:sz w:val="32"/>
          <w:szCs w:val="24"/>
          <w:highlight w:val="none"/>
        </w:rPr>
        <w:t>月</w:t>
      </w:r>
    </w:p>
    <w:p>
      <w:pPr>
        <w:shd w:val="clear"/>
        <w:rPr>
          <w:rFonts w:hint="eastAsia" w:ascii="宋体" w:hAnsi="宋体" w:eastAsia="宋体" w:cs="宋体"/>
          <w:color w:val="auto"/>
          <w:highlight w:val="none"/>
        </w:rPr>
        <w:sectPr>
          <w:headerReference r:id="rId4" w:type="first"/>
          <w:footerReference r:id="rId6" w:type="first"/>
          <w:headerReference r:id="rId3" w:type="even"/>
          <w:footerReference r:id="rId5" w:type="even"/>
          <w:pgSz w:w="11906" w:h="16838"/>
          <w:pgMar w:top="1440" w:right="1800" w:bottom="1440" w:left="1800" w:header="708" w:footer="708" w:gutter="0"/>
          <w:pgNumType w:start="1"/>
          <w:cols w:space="708" w:num="1"/>
          <w:titlePg/>
          <w:docGrid w:type="lines" w:linePitch="360" w:charSpace="0"/>
        </w:sectPr>
      </w:pPr>
    </w:p>
    <w:p>
      <w:pPr>
        <w:pStyle w:val="30"/>
        <w:keepNext w:val="0"/>
        <w:keepLines w:val="0"/>
        <w:pageBreakBefore w:val="0"/>
        <w:widowControl/>
        <w:shd w:val="clear"/>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目录</w:t>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TOC \o "1-4" \h \z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第一部分投标邀请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_Toc18556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投标邀请书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第二部分相关资料表格</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_Toc8436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附表一：投标资料表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_Toc8436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_Toc29484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sz w:val="21"/>
          <w:szCs w:val="21"/>
          <w:highlight w:val="none"/>
        </w:rPr>
        <w:t>附表二：商务技术评分及价格权重表（满分100分）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_Toc29484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第三部分用户需求书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_Toc31370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第一章 商务需求书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第二章 技术需求书</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_Toc23472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第四部分投标人须知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_Toc32317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一、 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_Toc32317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_Toc20524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 适用范围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_Toc20524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 定义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_Toc18587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 货物和服务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_Toc18587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 投标费用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_Toc17983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 知识产权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_Toc17983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_Toc15310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 关于联合体投标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_Toc15310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_Toc6504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 关于分支机构投标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_Toc6504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 踏勘现场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二、 采购文件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_Toc3492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 采购文件的组成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_Toc10859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10. 采购文件的澄清或修改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_Toc10859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三、 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_Toc11796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 投标文件的语言及度量衡单位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_Toc18387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 投标文件编制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 投标报价说明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_Toc3854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_Toc21465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 投标人所提供的服务或货物的证明文件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_Toc21465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_Toc9590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_Toc9590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_Toc9935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_Toc9935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_Toc32163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四、 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_Toc32163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_Toc28734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 投标文件的装订，签署，密封和标记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_Toc28734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_Toc23580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_Toc23580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_Toc4771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20. 投标样品（如需提交）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_Toc4771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 投标截止期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_Toc28953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_Toc15940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22. 投标文件的补充、修改与撤回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_Toc15940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_Toc4367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五、 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_Toc4367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_Toc19963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23.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_Toc19963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24. 评标委员会及评标方法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_Toc2749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_Toc32662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25. 评审原则及评标过程的保密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_Toc32662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26. 评标程序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_Toc20125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27. 商务、技术、价格评审（具体评审项目详见投标资料表）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28. 纪律和保密事项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六、 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29. 合同授予标准</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_Toc14457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_Toc22695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 发布中标结果</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_Toc22695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_Toc30842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 资格后审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_Toc30842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_Toc23451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 合同的签订与履行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_Toc23451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_Toc24414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 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_Toc24414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_Toc11729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 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_Toc11729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_Toc20915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七、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_Toc8971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 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_Toc8971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19"/>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八、 其他</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_Toc30709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 采购文件的解释权</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_Toc24209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_Toc31267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第五部分  合同条款格式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_Toc31267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_Toc31469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第六部分附件－投标文件格式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_Toc31469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_Toc30969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投标文件目录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_Toc30969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_Toc19656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附件1.评分标准索引表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_Toc19656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59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_Toc14838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价格文件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_Toc14838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附件2.开标一览表格式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_Toc25753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商务文件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_Toc25753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_Toc7416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_Toc7416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.法定代表人证明书格式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_Toc17875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_Toc17875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_Toc16670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.资格申明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_Toc16670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_Toc23638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.营业执照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_Toc23638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.相关资质证明文件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_Toc11223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_Toc16520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.在经营活动中没有重大违法记录的书面声明格式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_Toc16520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.书面声明格式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_Toc1229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.承诺书格式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_Toc8233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.商务需求条款偏离表格式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_Toc8233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_Toc8375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.业绩表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_Toc8375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_Toc30991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.联合体协议书（如有）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_Toc30991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技术文件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_Toc19763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_Toc14256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技术规格偏离表格式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_Toc14256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.项目实施方案格式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_Toc2091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_Toc22735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.实施本项目的有关人员资料表格式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_Toc22735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.投标保证金汇入情况说明格式</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_Toc2774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80</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.中标服务费承诺书（适用于中标单位支付中标服务费情况）</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_Toc2653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.不可撤销履约保函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.预付款保函（适用于预付款支付）</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6"/>
        <w:keepNext w:val="0"/>
        <w:keepLines w:val="0"/>
        <w:pageBreakBefore w:val="0"/>
        <w:widowControl/>
        <w:shd w:val="clear"/>
        <w:tabs>
          <w:tab w:val="right" w:leader="dot" w:pos="8730"/>
        </w:tabs>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_Toc31704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唱标信封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_Toc31704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27"/>
        <w:keepNext w:val="0"/>
        <w:keepLines w:val="0"/>
        <w:pageBreakBefore w:val="0"/>
        <w:widowControl/>
        <w:shd w:val="clear"/>
        <w:tabs>
          <w:tab w:val="right" w:leader="dot" w:pos="8730"/>
          <w:tab w:val="clear" w:pos="8296"/>
        </w:tabs>
        <w:kinsoku/>
        <w:wordWrap/>
        <w:overflowPunct/>
        <w:topLinePunct w:val="0"/>
        <w:autoSpaceDE/>
        <w:autoSpaceDN/>
        <w:bidi w:val="0"/>
        <w:adjustRightInd w:val="0"/>
        <w:snapToGrid w:val="0"/>
        <w:spacing w:after="0"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_Toc14996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.唱标信封内装（内容务必与投标文件正本一致）</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_Toc14996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pPr>
        <w:pStyle w:val="30"/>
        <w:keepNext w:val="0"/>
        <w:keepLines w:val="0"/>
        <w:pageBreakBefore w:val="0"/>
        <w:widowControl/>
        <w:shd w:val="clear"/>
        <w:tabs>
          <w:tab w:val="right" w:leader="dot" w:pos="8306"/>
          <w:tab w:val="clear" w:pos="8296"/>
        </w:tabs>
        <w:kinsoku/>
        <w:wordWrap/>
        <w:overflowPunct/>
        <w:topLinePunct w:val="0"/>
        <w:autoSpaceDE/>
        <w:autoSpaceDN/>
        <w:bidi w:val="0"/>
        <w:adjustRightInd w:val="0"/>
        <w:snapToGrid w:val="0"/>
        <w:spacing w:line="360" w:lineRule="auto"/>
        <w:ind w:left="0" w:left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shd w:val="clear"/>
        <w:spacing w:before="0" w:after="0" w:line="240" w:lineRule="auto"/>
        <w:outlineLvl w:val="0"/>
        <w:rPr>
          <w:rFonts w:hint="eastAsia" w:ascii="宋体" w:hAnsi="宋体" w:eastAsia="宋体" w:cs="宋体"/>
          <w:color w:val="auto"/>
          <w:sz w:val="28"/>
          <w:szCs w:val="28"/>
          <w:highlight w:val="none"/>
        </w:rPr>
      </w:pPr>
      <w:bookmarkStart w:id="0" w:name="_Toc27899"/>
      <w:r>
        <w:rPr>
          <w:rFonts w:hint="eastAsia" w:ascii="宋体" w:hAnsi="宋体" w:eastAsia="宋体" w:cs="宋体"/>
          <w:color w:val="auto"/>
          <w:sz w:val="28"/>
          <w:szCs w:val="28"/>
          <w:highlight w:val="none"/>
        </w:rPr>
        <w:t>第一部分投标邀请</w:t>
      </w:r>
      <w:bookmarkEnd w:id="0"/>
    </w:p>
    <w:p>
      <w:pPr>
        <w:pStyle w:val="4"/>
        <w:shd w:val="clear"/>
        <w:spacing w:before="0" w:after="0" w:line="360" w:lineRule="auto"/>
        <w:jc w:val="center"/>
        <w:outlineLvl w:val="1"/>
        <w:rPr>
          <w:rFonts w:hint="eastAsia" w:ascii="宋体" w:hAnsi="宋体" w:eastAsia="宋体" w:cs="宋体"/>
          <w:color w:val="auto"/>
          <w:highlight w:val="none"/>
        </w:rPr>
      </w:pPr>
      <w:bookmarkStart w:id="1" w:name="_Toc18556"/>
      <w:r>
        <w:rPr>
          <w:rFonts w:hint="eastAsia" w:ascii="宋体" w:hAnsi="宋体" w:eastAsia="宋体" w:cs="宋体"/>
          <w:color w:val="auto"/>
          <w:highlight w:val="none"/>
        </w:rPr>
        <w:t>投标邀请书</w:t>
      </w:r>
      <w:bookmarkEnd w:id="1"/>
    </w:p>
    <w:p>
      <w:pPr>
        <w:shd w:val="clear"/>
        <w:spacing w:line="360" w:lineRule="auto"/>
        <w:ind w:firstLine="422" w:firstLineChars="200"/>
        <w:rPr>
          <w:rFonts w:hint="eastAsia" w:ascii="宋体" w:hAnsi="宋体" w:eastAsia="宋体" w:cs="宋体"/>
          <w:color w:val="auto"/>
          <w:szCs w:val="21"/>
          <w:highlight w:val="none"/>
        </w:rPr>
      </w:pPr>
      <w:r>
        <w:rPr>
          <w:rFonts w:hint="eastAsia" w:ascii="宋体" w:hAnsi="宋体" w:cs="宋体"/>
          <w:b/>
          <w:bCs/>
          <w:color w:val="auto"/>
          <w:szCs w:val="21"/>
          <w:highlight w:val="none"/>
          <w:u w:val="single"/>
          <w:lang w:val="en-US" w:eastAsia="zh-CN"/>
        </w:rPr>
        <w:t>广西同泽工程项目管理股份有限公司</w:t>
      </w:r>
      <w:r>
        <w:rPr>
          <w:rFonts w:hint="eastAsia" w:ascii="宋体" w:hAnsi="宋体" w:eastAsia="宋体" w:cs="宋体"/>
          <w:color w:val="auto"/>
          <w:szCs w:val="21"/>
          <w:highlight w:val="none"/>
        </w:rPr>
        <w:t>（以下简称“采购代理机构”）受</w:t>
      </w:r>
      <w:r>
        <w:rPr>
          <w:rFonts w:hint="eastAsia" w:ascii="宋体" w:hAnsi="宋体" w:eastAsia="宋体" w:cs="宋体"/>
          <w:b/>
          <w:bCs/>
          <w:color w:val="auto"/>
          <w:szCs w:val="21"/>
          <w:highlight w:val="none"/>
          <w:u w:val="single"/>
          <w:lang w:eastAsia="zh-CN"/>
        </w:rPr>
        <w:t>东莞市旗山投资发展有限公司</w:t>
      </w:r>
      <w:r>
        <w:rPr>
          <w:rFonts w:hint="eastAsia" w:ascii="宋体" w:hAnsi="宋体" w:eastAsia="宋体" w:cs="宋体"/>
          <w:color w:val="auto"/>
          <w:szCs w:val="21"/>
          <w:highlight w:val="none"/>
        </w:rPr>
        <w:t>（以下简称“采购人”）委托，现就</w:t>
      </w:r>
      <w:r>
        <w:rPr>
          <w:rFonts w:hint="eastAsia" w:ascii="宋体" w:hAnsi="宋体" w:cs="宋体"/>
          <w:b/>
          <w:bCs/>
          <w:color w:val="auto"/>
          <w:szCs w:val="21"/>
          <w:highlight w:val="none"/>
          <w:u w:val="single"/>
          <w:lang w:eastAsia="zh-CN"/>
        </w:rPr>
        <w:t>东莞市旗山投资发展有限公司第三方专业评估服务</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项目编号：DGQS-QS-03-047-050（2026）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进行国内公开采购，欢迎符合采购文件要求的国内投标人参加投标。有关事项如下：</w:t>
      </w:r>
    </w:p>
    <w:p>
      <w:pPr>
        <w:shd w:val="clear"/>
        <w:spacing w:line="360" w:lineRule="auto"/>
        <w:ind w:firstLine="413" w:firstLineChars="196"/>
        <w:rPr>
          <w:rFonts w:hint="eastAsia" w:ascii="宋体" w:hAnsi="宋体" w:eastAsia="宋体" w:cs="宋体"/>
          <w:b/>
          <w:color w:val="auto"/>
          <w:szCs w:val="21"/>
          <w:highlight w:val="none"/>
        </w:rPr>
      </w:pPr>
      <w:bookmarkStart w:id="217" w:name="_GoBack"/>
      <w:bookmarkEnd w:id="217"/>
    </w:p>
    <w:p>
      <w:pPr>
        <w:shd w:val="clear"/>
        <w:spacing w:line="360" w:lineRule="auto"/>
        <w:ind w:firstLine="413"/>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一、采购项目概况</w:t>
      </w:r>
    </w:p>
    <w:p>
      <w:pPr>
        <w:keepNext w:val="0"/>
        <w:keepLines w:val="0"/>
        <w:pageBreakBefore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1、采购项目名称：</w:t>
      </w:r>
      <w:r>
        <w:rPr>
          <w:rFonts w:hint="eastAsia" w:ascii="宋体" w:hAnsi="宋体" w:cs="宋体"/>
          <w:color w:val="auto"/>
          <w:sz w:val="21"/>
          <w:szCs w:val="21"/>
          <w:highlight w:val="none"/>
          <w:lang w:eastAsia="zh-CN"/>
        </w:rPr>
        <w:t>东莞市旗山投资发展有限公司第三方专业评估服务</w:t>
      </w:r>
    </w:p>
    <w:p>
      <w:pPr>
        <w:keepNext w:val="0"/>
        <w:keepLines w:val="0"/>
        <w:pageBreakBefore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bidi="ar-SA"/>
        </w:rPr>
        <w:t>2、预算金额（含税）（元）：¥1,591,600.00元</w:t>
      </w:r>
    </w:p>
    <w:p>
      <w:pPr>
        <w:keepNext w:val="0"/>
        <w:keepLines w:val="0"/>
        <w:pageBreakBefore w:val="0"/>
        <w:shd w:val="clear"/>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、项目内容</w:t>
      </w:r>
    </w:p>
    <w:tbl>
      <w:tblPr>
        <w:tblStyle w:val="4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06"/>
        <w:gridCol w:w="1530"/>
        <w:gridCol w:w="32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jc w:val="center"/>
        </w:trPr>
        <w:tc>
          <w:tcPr>
            <w:tcW w:w="860"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包组号</w:t>
            </w:r>
          </w:p>
        </w:tc>
        <w:tc>
          <w:tcPr>
            <w:tcW w:w="29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服务内容</w:t>
            </w:r>
          </w:p>
        </w:tc>
        <w:tc>
          <w:tcPr>
            <w:tcW w:w="1530"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服务单位数量</w:t>
            </w:r>
          </w:p>
        </w:tc>
        <w:tc>
          <w:tcPr>
            <w:tcW w:w="322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8" w:hRule="atLeast"/>
          <w:jc w:val="center"/>
        </w:trPr>
        <w:tc>
          <w:tcPr>
            <w:tcW w:w="860"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w:t>
            </w:r>
          </w:p>
        </w:tc>
        <w:tc>
          <w:tcPr>
            <w:tcW w:w="290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color w:val="auto"/>
                <w:szCs w:val="21"/>
                <w:highlight w:val="none"/>
                <w:lang w:eastAsia="zh-CN"/>
              </w:rPr>
              <w:t>东莞市旗山投资发展有限公司第三方专业评估服务</w:t>
            </w:r>
          </w:p>
        </w:tc>
        <w:tc>
          <w:tcPr>
            <w:tcW w:w="1530"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1家</w:t>
            </w:r>
          </w:p>
        </w:tc>
        <w:tc>
          <w:tcPr>
            <w:tcW w:w="3226"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bidi="ar-SA"/>
              </w:rPr>
              <w:t>自</w:t>
            </w:r>
            <w:r>
              <w:rPr>
                <w:rFonts w:hint="eastAsia" w:ascii="宋体" w:hAnsi="宋体" w:cs="宋体"/>
                <w:color w:val="auto"/>
                <w:sz w:val="21"/>
                <w:szCs w:val="21"/>
                <w:highlight w:val="none"/>
                <w:lang w:val="en-US" w:eastAsia="zh-CN" w:bidi="ar-SA"/>
              </w:rPr>
              <w:t>合同签订之日</w:t>
            </w:r>
            <w:r>
              <w:rPr>
                <w:rFonts w:hint="eastAsia" w:ascii="宋体" w:hAnsi="宋体" w:eastAsia="宋体" w:cs="宋体"/>
                <w:color w:val="auto"/>
                <w:sz w:val="21"/>
                <w:szCs w:val="21"/>
                <w:highlight w:val="none"/>
                <w:lang w:val="en-US" w:eastAsia="zh-CN" w:bidi="ar-SA"/>
              </w:rPr>
              <w:t>起至2027年12月31日或完成本项目约定的所有次数评估检查工作</w:t>
            </w:r>
          </w:p>
        </w:tc>
      </w:tr>
    </w:tbl>
    <w:p>
      <w:pPr>
        <w:shd w:val="clear"/>
        <w:spacing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、项目需求</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详细内容请参阅采购文件第三部分《用户需求书》。</w:t>
      </w:r>
    </w:p>
    <w:p>
      <w:pPr>
        <w:shd w:val="clear"/>
        <w:spacing w:line="360" w:lineRule="auto"/>
        <w:ind w:firstLine="413" w:firstLineChars="196"/>
        <w:outlineLvl w:val="9"/>
        <w:rPr>
          <w:rFonts w:hint="eastAsia" w:ascii="宋体" w:hAnsi="宋体" w:eastAsia="宋体" w:cs="宋体"/>
          <w:b/>
          <w:color w:val="auto"/>
          <w:szCs w:val="21"/>
          <w:highlight w:val="none"/>
        </w:rPr>
      </w:pPr>
    </w:p>
    <w:p>
      <w:pPr>
        <w:shd w:val="clear"/>
        <w:spacing w:line="360" w:lineRule="auto"/>
        <w:ind w:firstLine="413"/>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二、投标人资格要求</w:t>
      </w:r>
    </w:p>
    <w:p>
      <w:pPr>
        <w:shd w:val="clear"/>
        <w:spacing w:line="360" w:lineRule="auto"/>
        <w:ind w:firstLine="411" w:firstLineChars="196"/>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1、一般要求：</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或其他组织【提供《营业执照》复印件（加盖公章）或《事业单位法人证书》复印件（加盖公章）或其他主体证书复印件（加盖公章）】。</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（2）参加采购活动前三年内，在经营活动中没有重大违法记录（须提供书面声明）。重大违法记录，是指</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因违法经营受到刑事处罚或者责令停产停业、吊销许可证或者执照、较大数额罚款等行政处罚。（根据财库〔2022〕3号文，“较大数额罚款”认定为200万元以上的罚款，法律、行政法规以及国务院有关部门明确规定相关领域“较大数额罚款”标准高于200万元的，从其规定，如有最新发文通知，按最新文件执行）。</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w:t>
      </w:r>
      <w:r>
        <w:rPr>
          <w:rFonts w:hint="eastAsia" w:ascii="宋体" w:hAnsi="宋体" w:eastAsia="宋体" w:cs="宋体"/>
          <w:color w:val="auto"/>
          <w:highlight w:val="none"/>
        </w:rPr>
        <w:t>重大税收违法失信主体</w:t>
      </w:r>
      <w:r>
        <w:rPr>
          <w:rFonts w:hint="eastAsia" w:ascii="宋体" w:hAnsi="宋体" w:eastAsia="宋体" w:cs="宋体"/>
          <w:color w:val="auto"/>
          <w:szCs w:val="21"/>
          <w:highlight w:val="none"/>
        </w:rPr>
        <w:t>或政府采购严重违法失信行为”记录名单。以代理机构于投标截止日当天在“信用中国”网站查询结果为准，如相关失信记录已失效，投标人需提供相关证明资料。</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（5）未被列入东实集团及下属企业相关领域黑名单。【以</w:t>
      </w:r>
      <w:r>
        <w:rPr>
          <w:rFonts w:hint="eastAsia" w:ascii="宋体" w:hAnsi="宋体" w:eastAsia="宋体" w:cs="宋体"/>
          <w:color w:val="auto"/>
          <w:szCs w:val="21"/>
          <w:highlight w:val="none"/>
          <w:lang w:val="zh-CN"/>
        </w:rPr>
        <w:t>东莞实业投资控股集团有限公司</w:t>
      </w:r>
      <w:r>
        <w:rPr>
          <w:rFonts w:hint="eastAsia" w:ascii="宋体" w:hAnsi="宋体" w:eastAsia="宋体" w:cs="宋体"/>
          <w:color w:val="auto"/>
          <w:szCs w:val="21"/>
          <w:highlight w:val="none"/>
        </w:rPr>
        <w:t>发文（东实通〔</w:t>
      </w:r>
      <w:r>
        <w:rPr>
          <w:rFonts w:hint="eastAsia" w:ascii="宋体" w:hAnsi="宋体" w:eastAsia="宋体" w:cs="宋体"/>
          <w:color w:val="auto"/>
          <w:szCs w:val="21"/>
          <w:highlight w:val="none"/>
          <w:lang w:val="en-US"/>
        </w:rPr>
        <w:t>2021</w:t>
      </w:r>
      <w:r>
        <w:rPr>
          <w:rFonts w:hint="eastAsia" w:ascii="宋体" w:hAnsi="宋体" w:eastAsia="宋体" w:cs="宋体"/>
          <w:color w:val="auto"/>
          <w:szCs w:val="21"/>
          <w:highlight w:val="none"/>
        </w:rPr>
        <w:t>〕44号）、（东实通〔</w:t>
      </w:r>
      <w:r>
        <w:rPr>
          <w:rFonts w:hint="eastAsia" w:ascii="宋体" w:hAnsi="宋体" w:eastAsia="宋体" w:cs="宋体"/>
          <w:color w:val="auto"/>
          <w:szCs w:val="21"/>
          <w:highlight w:val="none"/>
          <w:lang w:val="en-US"/>
        </w:rPr>
        <w:t>2021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98</w:t>
      </w:r>
      <w:r>
        <w:rPr>
          <w:rFonts w:hint="eastAsia" w:ascii="宋体" w:hAnsi="宋体" w:eastAsia="宋体" w:cs="宋体"/>
          <w:color w:val="auto"/>
          <w:szCs w:val="21"/>
          <w:highlight w:val="none"/>
        </w:rPr>
        <w:t>号）、（东实通〔</w:t>
      </w:r>
      <w:r>
        <w:rPr>
          <w:rFonts w:hint="eastAsia" w:ascii="宋体" w:hAnsi="宋体" w:eastAsia="宋体" w:cs="宋体"/>
          <w:color w:val="auto"/>
          <w:szCs w:val="21"/>
          <w:highlight w:val="none"/>
          <w:lang w:val="en-US"/>
        </w:rPr>
        <w:t>2022</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rPr>
        <w:t>75</w:t>
      </w:r>
      <w:r>
        <w:rPr>
          <w:rFonts w:hint="eastAsia" w:ascii="宋体" w:hAnsi="宋体" w:eastAsia="宋体" w:cs="宋体"/>
          <w:color w:val="auto"/>
          <w:szCs w:val="21"/>
          <w:highlight w:val="none"/>
        </w:rPr>
        <w:t>号）、（东实通〔2023〕37号）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（东实通〔202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163</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（东实通〔202</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195</w:t>
      </w:r>
      <w:r>
        <w:rPr>
          <w:rFonts w:hint="eastAsia" w:ascii="宋体" w:hAnsi="宋体" w:eastAsia="宋体" w:cs="宋体"/>
          <w:color w:val="auto"/>
          <w:szCs w:val="21"/>
          <w:highlight w:val="none"/>
        </w:rPr>
        <w:t>号）</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（东实通〔202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157</w:t>
      </w:r>
      <w:r>
        <w:rPr>
          <w:rFonts w:hint="eastAsia" w:ascii="宋体" w:hAnsi="宋体" w:eastAsia="宋体" w:cs="宋体"/>
          <w:color w:val="auto"/>
          <w:szCs w:val="21"/>
          <w:highlight w:val="none"/>
        </w:rPr>
        <w:t>号）为准，如有最新发文通知，按最新文件执行。】</w:t>
      </w:r>
    </w:p>
    <w:p>
      <w:pPr>
        <w:shd w:val="clear"/>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Cs w:val="21"/>
          <w:highlight w:val="none"/>
        </w:rPr>
        <w:t>2、其他要求</w:t>
      </w:r>
      <w:r>
        <w:rPr>
          <w:rFonts w:hint="eastAsia" w:ascii="宋体" w:hAnsi="宋体" w:eastAsia="宋体" w:cs="宋体"/>
          <w:color w:val="auto"/>
          <w:szCs w:val="21"/>
          <w:highlight w:val="none"/>
          <w:lang w:eastAsia="zh-CN"/>
        </w:rPr>
        <w:t>：本项目</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lang w:eastAsia="zh-CN"/>
        </w:rPr>
        <w:t>接受联合体</w:t>
      </w:r>
      <w:r>
        <w:rPr>
          <w:rFonts w:hint="eastAsia" w:ascii="宋体" w:hAnsi="宋体" w:eastAsia="宋体" w:cs="宋体"/>
          <w:color w:val="auto"/>
          <w:sz w:val="21"/>
          <w:szCs w:val="21"/>
          <w:highlight w:val="none"/>
          <w:lang w:eastAsia="zh-CN"/>
        </w:rPr>
        <w:t>。</w:t>
      </w:r>
    </w:p>
    <w:p>
      <w:pPr>
        <w:pStyle w:val="11"/>
        <w:shd w:val="clear"/>
        <w:spacing w:line="360" w:lineRule="auto"/>
        <w:rPr>
          <w:rFonts w:hint="eastAsia" w:ascii="宋体" w:hAnsi="宋体" w:eastAsia="宋体" w:cs="宋体"/>
          <w:color w:val="auto"/>
          <w:highlight w:val="none"/>
          <w:lang w:val="en-US" w:eastAsia="zh-CN"/>
        </w:rPr>
      </w:pPr>
    </w:p>
    <w:p>
      <w:pPr>
        <w:shd w:val="clear"/>
        <w:spacing w:line="360" w:lineRule="auto"/>
        <w:ind w:firstLine="413"/>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三、获取采购文件方式及要求：</w:t>
      </w:r>
    </w:p>
    <w:p>
      <w:pPr>
        <w:shd w:val="clear"/>
        <w:wordWrap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本项目不进行实名登记报名，拟参加投标的投标人可于投标截止时间前自行网上下载采购文件。采购文件下载地址：</w:t>
      </w:r>
      <w:r>
        <w:rPr>
          <w:rFonts w:hint="eastAsia" w:ascii="宋体" w:hAnsi="宋体" w:eastAsia="宋体" w:cs="宋体"/>
          <w:color w:val="auto"/>
          <w:sz w:val="21"/>
          <w:szCs w:val="21"/>
          <w:highlight w:val="none"/>
          <w:u w:val="single"/>
        </w:rPr>
        <w:t>中国招标投标公共服务平台（http://www.cebpubservice.com/）、东莞实业投资控股集团有限公司-招标采购栏目（http://www.dgsy.com.cn/）、</w:t>
      </w:r>
      <w:r>
        <w:rPr>
          <w:rFonts w:hint="eastAsia" w:ascii="宋体" w:hAnsi="宋体" w:cs="宋体"/>
          <w:color w:val="auto"/>
          <w:sz w:val="21"/>
          <w:szCs w:val="21"/>
          <w:highlight w:val="none"/>
          <w:u w:val="single"/>
          <w:lang w:eastAsia="zh-CN"/>
        </w:rPr>
        <w:t>广西同泽工程项目管理股份有限公司</w:t>
      </w:r>
      <w:r>
        <w:rPr>
          <w:rFonts w:hint="eastAsia" w:ascii="宋体" w:hAnsi="宋体" w:eastAsia="宋体" w:cs="宋体"/>
          <w:color w:val="auto"/>
          <w:sz w:val="21"/>
          <w:szCs w:val="21"/>
          <w:highlight w:val="none"/>
          <w:u w:val="single"/>
        </w:rPr>
        <w:t>网（http://www.gxtzfz.cn/）</w:t>
      </w:r>
      <w:r>
        <w:rPr>
          <w:rFonts w:hint="eastAsia" w:ascii="宋体" w:hAnsi="宋体" w:eastAsia="宋体" w:cs="宋体"/>
          <w:color w:val="auto"/>
          <w:szCs w:val="21"/>
          <w:highlight w:val="none"/>
        </w:rPr>
        <w:t>。</w:t>
      </w:r>
    </w:p>
    <w:p>
      <w:pPr>
        <w:shd w:val="clear"/>
        <w:spacing w:line="360" w:lineRule="auto"/>
        <w:rPr>
          <w:rFonts w:hint="eastAsia" w:ascii="宋体" w:hAnsi="宋体" w:eastAsia="宋体" w:cs="宋体"/>
          <w:color w:val="auto"/>
          <w:highlight w:val="none"/>
        </w:rPr>
      </w:pPr>
    </w:p>
    <w:p>
      <w:pPr>
        <w:shd w:val="clear"/>
        <w:spacing w:line="360" w:lineRule="auto"/>
        <w:ind w:firstLine="413"/>
        <w:outlineLvl w:val="9"/>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四、投标文件的递交</w:t>
      </w:r>
    </w:p>
    <w:p>
      <w:pPr>
        <w:shd w:val="clea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1、递交投标文件时间：</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26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07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07 </w:t>
      </w:r>
      <w:r>
        <w:rPr>
          <w:rFonts w:hint="eastAsia" w:ascii="宋体" w:hAnsi="宋体" w:eastAsia="宋体" w:cs="宋体"/>
          <w:color w:val="auto"/>
          <w:szCs w:val="21"/>
          <w:highlight w:val="none"/>
        </w:rPr>
        <w:t>日（北京时间）</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00</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w:t>
      </w:r>
    </w:p>
    <w:p>
      <w:pPr>
        <w:shd w:val="clear"/>
        <w:spacing w:line="360" w:lineRule="auto"/>
        <w:ind w:firstLine="420" w:firstLineChars="200"/>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2、递交投标文件截止及开标时间：</w:t>
      </w:r>
      <w:r>
        <w:rPr>
          <w:rFonts w:hint="eastAsia" w:ascii="宋体" w:hAnsi="宋体" w:eastAsia="宋体" w:cs="宋体"/>
          <w:color w:val="auto"/>
          <w:szCs w:val="21"/>
          <w:highlight w:val="none"/>
          <w:u w:val="single"/>
        </w:rPr>
        <w:t>20</w:t>
      </w:r>
      <w:r>
        <w:rPr>
          <w:rFonts w:hint="eastAsia" w:ascii="宋体" w:hAnsi="宋体" w:eastAsia="宋体" w:cs="宋体"/>
          <w:color w:val="auto"/>
          <w:szCs w:val="21"/>
          <w:highlight w:val="none"/>
          <w:u w:val="single"/>
          <w:lang w:val="en-US" w:eastAsia="zh-CN"/>
        </w:rPr>
        <w:t>26</w:t>
      </w:r>
      <w:r>
        <w:rPr>
          <w:rFonts w:hint="eastAsia" w:ascii="宋体" w:hAnsi="宋体" w:eastAsia="宋体" w:cs="宋体"/>
          <w:color w:val="auto"/>
          <w:szCs w:val="21"/>
          <w:highlight w:val="none"/>
        </w:rPr>
        <w:t>年</w:t>
      </w:r>
      <w:r>
        <w:rPr>
          <w:rFonts w:hint="eastAsia" w:ascii="宋体" w:hAnsi="宋体" w:cs="宋体"/>
          <w:color w:val="auto"/>
          <w:szCs w:val="21"/>
          <w:highlight w:val="none"/>
          <w:u w:val="single"/>
          <w:lang w:val="en-US" w:eastAsia="zh-CN"/>
        </w:rPr>
        <w:t xml:space="preserve"> 07 </w:t>
      </w:r>
      <w:r>
        <w:rPr>
          <w:rFonts w:hint="eastAsia" w:ascii="宋体" w:hAnsi="宋体" w:eastAsia="宋体" w:cs="宋体"/>
          <w:color w:val="auto"/>
          <w:szCs w:val="21"/>
          <w:highlight w:val="none"/>
        </w:rPr>
        <w:t>月</w:t>
      </w:r>
      <w:r>
        <w:rPr>
          <w:rFonts w:hint="eastAsia" w:ascii="宋体" w:hAnsi="宋体" w:cs="宋体"/>
          <w:color w:val="auto"/>
          <w:szCs w:val="21"/>
          <w:highlight w:val="none"/>
          <w:u w:val="single"/>
          <w:lang w:val="en-US" w:eastAsia="zh-CN"/>
        </w:rPr>
        <w:t xml:space="preserve"> 07 </w:t>
      </w:r>
      <w:r>
        <w:rPr>
          <w:rFonts w:hint="eastAsia" w:ascii="宋体" w:hAnsi="宋体" w:eastAsia="宋体" w:cs="宋体"/>
          <w:color w:val="auto"/>
          <w:szCs w:val="21"/>
          <w:highlight w:val="none"/>
        </w:rPr>
        <w:t>日</w:t>
      </w:r>
      <w:r>
        <w:rPr>
          <w:rFonts w:hint="eastAsia" w:ascii="宋体" w:hAnsi="宋体" w:cs="宋体"/>
          <w:color w:val="auto"/>
          <w:szCs w:val="21"/>
          <w:highlight w:val="none"/>
          <w:u w:val="single"/>
          <w:lang w:val="en-US" w:eastAsia="zh-CN"/>
        </w:rPr>
        <w:t>14</w:t>
      </w:r>
      <w:r>
        <w:rPr>
          <w:rFonts w:hint="eastAsia" w:ascii="宋体" w:hAnsi="宋体" w:eastAsia="宋体" w:cs="宋体"/>
          <w:color w:val="auto"/>
          <w:szCs w:val="21"/>
          <w:highlight w:val="none"/>
        </w:rPr>
        <w:t>:</w:t>
      </w:r>
      <w:r>
        <w:rPr>
          <w:rFonts w:hint="eastAsia" w:ascii="宋体" w:hAnsi="宋体" w:cs="宋体"/>
          <w:color w:val="auto"/>
          <w:szCs w:val="21"/>
          <w:highlight w:val="none"/>
          <w:u w:val="single"/>
          <w:lang w:val="en-US" w:eastAsia="zh-CN"/>
        </w:rPr>
        <w:t>30</w:t>
      </w:r>
      <w:r>
        <w:rPr>
          <w:rFonts w:hint="eastAsia" w:ascii="宋体" w:hAnsi="宋体" w:eastAsia="宋体" w:cs="宋体"/>
          <w:color w:val="auto"/>
          <w:szCs w:val="21"/>
          <w:highlight w:val="none"/>
        </w:rPr>
        <w:t>（北京时间），所有投标文件应于截止时间之前递交，迟交或以电报、传真形式的投标文件将拒绝接收。</w:t>
      </w:r>
    </w:p>
    <w:p>
      <w:pPr>
        <w:shd w:val="clea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3、开标地点：</w:t>
      </w:r>
      <w:r>
        <w:rPr>
          <w:rFonts w:hint="eastAsia" w:ascii="宋体" w:hAnsi="宋体" w:cs="宋体"/>
          <w:color w:val="auto"/>
          <w:szCs w:val="21"/>
          <w:highlight w:val="none"/>
          <w:lang w:eastAsia="zh-CN"/>
        </w:rPr>
        <w:t>东莞市南城区塘贝北路福特大厦A区811</w:t>
      </w:r>
      <w:r>
        <w:rPr>
          <w:rFonts w:hint="eastAsia" w:ascii="宋体" w:hAnsi="宋体" w:eastAsia="宋体" w:cs="宋体"/>
          <w:color w:val="auto"/>
          <w:szCs w:val="21"/>
          <w:highlight w:val="none"/>
        </w:rPr>
        <w:t>。</w:t>
      </w:r>
    </w:p>
    <w:p>
      <w:pPr>
        <w:shd w:val="clear"/>
        <w:spacing w:line="360" w:lineRule="auto"/>
        <w:ind w:firstLine="411" w:firstLineChars="196"/>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4、开标事宜：</w:t>
      </w:r>
      <w:r>
        <w:rPr>
          <w:rFonts w:hint="eastAsia" w:ascii="宋体" w:hAnsi="宋体" w:eastAsia="宋体" w:cs="宋体"/>
          <w:b/>
          <w:bCs/>
          <w:color w:val="auto"/>
          <w:szCs w:val="21"/>
          <w:highlight w:val="none"/>
        </w:rPr>
        <w:t>届时请投标人的法定代表人或其授权代表务必携带有效身份证明出席开标会</w:t>
      </w:r>
      <w:r>
        <w:rPr>
          <w:rFonts w:hint="eastAsia" w:ascii="宋体" w:hAnsi="宋体" w:eastAsia="宋体" w:cs="宋体"/>
          <w:bCs/>
          <w:color w:val="auto"/>
          <w:szCs w:val="21"/>
          <w:highlight w:val="none"/>
        </w:rPr>
        <w:t>。</w:t>
      </w:r>
    </w:p>
    <w:p>
      <w:pPr>
        <w:pStyle w:val="48"/>
        <w:shd w:val="clea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5、出现以下情形时，采购代理机构不予接收投标（响应）文件：</w:t>
      </w:r>
    </w:p>
    <w:p>
      <w:pPr>
        <w:pStyle w:val="48"/>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（1）逾期送达或者未送达指定地点的；</w:t>
      </w:r>
    </w:p>
    <w:p>
      <w:pPr>
        <w:pStyle w:val="48"/>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（2）未按采购文件要求密封的。</w:t>
      </w:r>
    </w:p>
    <w:p>
      <w:pPr>
        <w:pStyle w:val="48"/>
        <w:shd w:val="clear"/>
        <w:spacing w:line="360" w:lineRule="auto"/>
        <w:ind w:firstLine="400"/>
        <w:rPr>
          <w:rFonts w:hint="eastAsia" w:ascii="宋体" w:hAnsi="宋体" w:eastAsia="宋体" w:cs="宋体"/>
          <w:color w:val="auto"/>
          <w:highlight w:val="none"/>
        </w:rPr>
      </w:pPr>
    </w:p>
    <w:p>
      <w:pPr>
        <w:shd w:val="clear"/>
        <w:spacing w:line="360" w:lineRule="auto"/>
        <w:ind w:firstLine="413"/>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五、发布公告的媒介</w:t>
      </w:r>
    </w:p>
    <w:p>
      <w:pPr>
        <w:pStyle w:val="48"/>
        <w:shd w:val="clear"/>
        <w:spacing w:line="360" w:lineRule="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1、采购公告发布媒介：</w:t>
      </w:r>
    </w:p>
    <w:p>
      <w:pPr>
        <w:pStyle w:val="48"/>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中国招标投标公共服务平台（http://www.cebpubservice.com/）、东莞实业投资控股集团有限公司-招标采购栏目（http://www.dgsy.com.cn/）、</w:t>
      </w:r>
      <w:r>
        <w:rPr>
          <w:rFonts w:hint="eastAsia" w:ascii="宋体" w:hAnsi="宋体" w:eastAsia="宋体" w:cs="宋体"/>
          <w:color w:val="auto"/>
          <w:sz w:val="21"/>
          <w:szCs w:val="21"/>
          <w:highlight w:val="none"/>
          <w:lang w:eastAsia="zh-CN"/>
        </w:rPr>
        <w:t>广西同泽工程项目管理股份有限公司网（http://www.gxtzfz.cn/）</w:t>
      </w:r>
      <w:r>
        <w:rPr>
          <w:rFonts w:hint="eastAsia" w:ascii="宋体" w:hAnsi="宋体" w:eastAsia="宋体" w:cs="宋体"/>
          <w:color w:val="auto"/>
          <w:sz w:val="21"/>
          <w:szCs w:val="21"/>
          <w:highlight w:val="none"/>
        </w:rPr>
        <w:t>。</w:t>
      </w:r>
    </w:p>
    <w:p>
      <w:pPr>
        <w:pStyle w:val="48"/>
        <w:shd w:val="clear"/>
        <w:spacing w:line="360" w:lineRule="auto"/>
        <w:outlineLvl w:val="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2、结果公告发布媒介：</w:t>
      </w:r>
    </w:p>
    <w:p>
      <w:pPr>
        <w:pStyle w:val="48"/>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东莞实业投资控股集团有限公司-招标采购栏目（http://www.dgsy.com.cn/）。</w:t>
      </w:r>
    </w:p>
    <w:p>
      <w:pPr>
        <w:pStyle w:val="48"/>
        <w:shd w:val="clear"/>
        <w:spacing w:line="360" w:lineRule="auto"/>
        <w:rPr>
          <w:rFonts w:hint="eastAsia" w:ascii="宋体" w:hAnsi="宋体" w:eastAsia="宋体" w:cs="宋体"/>
          <w:color w:val="auto"/>
          <w:sz w:val="21"/>
          <w:szCs w:val="21"/>
          <w:highlight w:val="none"/>
        </w:rPr>
      </w:pPr>
    </w:p>
    <w:p>
      <w:pPr>
        <w:shd w:val="clear"/>
        <w:spacing w:line="360" w:lineRule="auto"/>
        <w:ind w:firstLine="413"/>
        <w:outlineLvl w:val="9"/>
        <w:rPr>
          <w:rFonts w:hint="eastAsia" w:ascii="宋体" w:hAnsi="宋体" w:eastAsia="宋体" w:cs="宋体"/>
          <w:bCs/>
          <w:color w:val="auto"/>
          <w:szCs w:val="21"/>
          <w:highlight w:val="none"/>
        </w:rPr>
      </w:pPr>
      <w:r>
        <w:rPr>
          <w:rFonts w:hint="eastAsia" w:ascii="宋体" w:hAnsi="宋体" w:eastAsia="宋体" w:cs="宋体"/>
          <w:b/>
          <w:color w:val="auto"/>
          <w:szCs w:val="21"/>
          <w:highlight w:val="none"/>
        </w:rPr>
        <w:t>六、采购人及采购代理机构的名称、地址和联系方法：</w:t>
      </w:r>
    </w:p>
    <w:p>
      <w:pPr>
        <w:shd w:val="clea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采购人名称：</w:t>
      </w:r>
      <w:r>
        <w:rPr>
          <w:rFonts w:hint="eastAsia" w:ascii="宋体" w:hAnsi="宋体" w:eastAsia="宋体" w:cs="宋体"/>
          <w:bCs/>
          <w:color w:val="auto"/>
          <w:szCs w:val="21"/>
          <w:highlight w:val="none"/>
          <w:lang w:eastAsia="zh-CN"/>
        </w:rPr>
        <w:t>东莞市旗山投资发展有限公司</w:t>
      </w:r>
    </w:p>
    <w:p>
      <w:pPr>
        <w:shd w:val="clea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采购人联系人：</w:t>
      </w:r>
      <w:r>
        <w:rPr>
          <w:rFonts w:hint="eastAsia" w:ascii="宋体" w:hAnsi="宋体" w:eastAsia="宋体" w:cs="宋体"/>
          <w:bCs/>
          <w:color w:val="auto"/>
          <w:szCs w:val="21"/>
          <w:highlight w:val="none"/>
          <w:lang w:val="en-US" w:eastAsia="zh-CN"/>
        </w:rPr>
        <w:t>吴先生</w:t>
      </w:r>
    </w:p>
    <w:p>
      <w:pPr>
        <w:shd w:val="clea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采购人地址：东莞市东城区八一路1号机关二号大院9号楼</w:t>
      </w:r>
    </w:p>
    <w:p>
      <w:pPr>
        <w:shd w:val="clea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rPr>
        <w:t>采购人联系电话：</w:t>
      </w:r>
      <w:r>
        <w:rPr>
          <w:rFonts w:hint="eastAsia" w:ascii="宋体" w:hAnsi="宋体" w:eastAsia="宋体" w:cs="宋体"/>
          <w:bCs/>
          <w:color w:val="auto"/>
          <w:szCs w:val="21"/>
          <w:highlight w:val="none"/>
          <w:lang w:eastAsia="zh-CN"/>
        </w:rPr>
        <w:t>0769-23366383</w:t>
      </w:r>
    </w:p>
    <w:p>
      <w:pPr>
        <w:shd w:val="clear"/>
        <w:spacing w:line="360" w:lineRule="auto"/>
        <w:ind w:firstLine="420" w:firstLineChars="200"/>
        <w:rPr>
          <w:rFonts w:hint="eastAsia" w:ascii="宋体" w:hAnsi="宋体" w:eastAsia="宋体" w:cs="宋体"/>
          <w:color w:val="auto"/>
          <w:szCs w:val="21"/>
          <w:highlight w:val="none"/>
        </w:rPr>
      </w:pPr>
    </w:p>
    <w:p>
      <w:pPr>
        <w:shd w:val="clea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采购代理机构名称：</w:t>
      </w:r>
      <w:r>
        <w:rPr>
          <w:rFonts w:hint="eastAsia" w:ascii="宋体" w:hAnsi="宋体" w:cs="宋体"/>
          <w:color w:val="auto"/>
          <w:highlight w:val="none"/>
          <w:lang w:eastAsia="zh-CN"/>
        </w:rPr>
        <w:t>广西同泽工程项目管理股份有限公司</w:t>
      </w:r>
    </w:p>
    <w:p>
      <w:pPr>
        <w:shd w:val="clea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采购代理机构地址：</w:t>
      </w:r>
      <w:r>
        <w:rPr>
          <w:rFonts w:hint="eastAsia" w:ascii="宋体" w:hAnsi="宋体" w:cs="宋体"/>
          <w:color w:val="auto"/>
          <w:highlight w:val="none"/>
          <w:lang w:eastAsia="zh-CN"/>
        </w:rPr>
        <w:t>东莞市南城区塘贝北路福特大厦A区811</w:t>
      </w:r>
    </w:p>
    <w:p>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采购代理机构联系人：</w:t>
      </w:r>
      <w:r>
        <w:rPr>
          <w:rFonts w:hint="eastAsia" w:ascii="宋体" w:hAnsi="宋体" w:cs="宋体"/>
          <w:color w:val="auto"/>
          <w:highlight w:val="none"/>
          <w:lang w:val="en-US" w:eastAsia="zh-CN"/>
        </w:rPr>
        <w:t>张</w:t>
      </w:r>
      <w:r>
        <w:rPr>
          <w:rFonts w:hint="eastAsia" w:ascii="宋体" w:hAnsi="宋体" w:eastAsia="宋体" w:cs="宋体"/>
          <w:color w:val="auto"/>
          <w:highlight w:val="none"/>
        </w:rPr>
        <w:t>先生</w:t>
      </w:r>
    </w:p>
    <w:p>
      <w:pPr>
        <w:shd w:val="clea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采购代理机构联系电话：</w:t>
      </w:r>
      <w:r>
        <w:rPr>
          <w:rFonts w:hint="eastAsia" w:ascii="宋体" w:hAnsi="宋体"/>
          <w:color w:val="auto"/>
          <w:szCs w:val="21"/>
          <w:highlight w:val="none"/>
        </w:rPr>
        <w:t>0769-21688191</w:t>
      </w:r>
    </w:p>
    <w:p>
      <w:pPr>
        <w:shd w:val="clear"/>
        <w:spacing w:line="360" w:lineRule="auto"/>
        <w:ind w:firstLine="420" w:firstLineChars="200"/>
        <w:rPr>
          <w:rFonts w:hint="eastAsia" w:ascii="宋体" w:hAnsi="宋体" w:eastAsia="宋体" w:cs="宋体"/>
          <w:color w:val="auto"/>
          <w:highlight w:val="none"/>
          <w:lang w:eastAsia="zh-CN"/>
        </w:rPr>
      </w:pPr>
      <w:r>
        <w:rPr>
          <w:rFonts w:hint="eastAsia" w:ascii="宋体" w:hAnsi="宋体" w:eastAsia="宋体" w:cs="宋体"/>
          <w:color w:val="auto"/>
          <w:highlight w:val="none"/>
        </w:rPr>
        <w:t>采购代理机构邮箱：</w:t>
      </w:r>
      <w:r>
        <w:rPr>
          <w:rFonts w:hint="eastAsia" w:ascii="宋体" w:hAnsi="宋体" w:cs="宋体"/>
          <w:color w:val="auto"/>
          <w:highlight w:val="none"/>
          <w:lang w:eastAsia="zh-CN"/>
        </w:rPr>
        <w:t>2195953904@qq.com</w:t>
      </w:r>
    </w:p>
    <w:p>
      <w:pPr>
        <w:shd w:val="clear"/>
        <w:spacing w:line="360" w:lineRule="auto"/>
        <w:ind w:right="752" w:rightChars="358"/>
        <w:jc w:val="right"/>
        <w:rPr>
          <w:rFonts w:hint="eastAsia" w:ascii="宋体" w:hAnsi="宋体" w:eastAsia="宋体" w:cs="宋体"/>
          <w:bCs/>
          <w:color w:val="auto"/>
          <w:szCs w:val="21"/>
          <w:highlight w:val="none"/>
          <w:lang w:eastAsia="zh-CN"/>
        </w:rPr>
      </w:pPr>
    </w:p>
    <w:p>
      <w:pPr>
        <w:shd w:val="clear"/>
        <w:spacing w:line="360" w:lineRule="auto"/>
        <w:ind w:right="752" w:rightChars="358"/>
        <w:jc w:val="right"/>
        <w:rPr>
          <w:rFonts w:hint="eastAsia" w:ascii="宋体" w:hAnsi="宋体" w:eastAsia="宋体" w:cs="宋体"/>
          <w:bCs/>
          <w:color w:val="auto"/>
          <w:szCs w:val="21"/>
          <w:highlight w:val="none"/>
          <w:lang w:eastAsia="zh-CN"/>
        </w:rPr>
      </w:pPr>
    </w:p>
    <w:p>
      <w:pPr>
        <w:shd w:val="clear"/>
        <w:spacing w:line="360" w:lineRule="auto"/>
        <w:ind w:right="752" w:rightChars="358"/>
        <w:jc w:val="right"/>
        <w:rPr>
          <w:rFonts w:hint="eastAsia" w:ascii="宋体" w:hAnsi="宋体" w:eastAsia="宋体" w:cs="宋体"/>
          <w:color w:val="auto"/>
          <w:szCs w:val="21"/>
          <w:highlight w:val="none"/>
          <w:lang w:eastAsia="zh-CN"/>
        </w:rPr>
      </w:pPr>
      <w:r>
        <w:rPr>
          <w:rFonts w:hint="eastAsia" w:ascii="宋体" w:hAnsi="宋体" w:eastAsia="宋体" w:cs="宋体"/>
          <w:bCs/>
          <w:color w:val="auto"/>
          <w:szCs w:val="21"/>
          <w:highlight w:val="none"/>
          <w:lang w:eastAsia="zh-CN"/>
        </w:rPr>
        <w:t>东莞市旗山投资发展有限公司</w:t>
      </w:r>
    </w:p>
    <w:p>
      <w:pPr>
        <w:shd w:val="clear"/>
        <w:spacing w:line="360" w:lineRule="auto"/>
        <w:ind w:right="752" w:rightChars="358"/>
        <w:jc w:val="right"/>
        <w:rPr>
          <w:rFonts w:hint="eastAsia" w:ascii="宋体" w:hAnsi="宋体" w:cs="宋体"/>
          <w:color w:val="auto"/>
          <w:szCs w:val="21"/>
          <w:highlight w:val="none"/>
          <w:lang w:eastAsia="zh-CN"/>
        </w:rPr>
      </w:pPr>
    </w:p>
    <w:p>
      <w:pPr>
        <w:shd w:val="clear"/>
        <w:spacing w:line="360" w:lineRule="auto"/>
        <w:ind w:right="752" w:rightChars="358"/>
        <w:jc w:val="right"/>
        <w:rPr>
          <w:rFonts w:hint="eastAsia" w:ascii="宋体" w:hAnsi="宋体" w:cs="宋体"/>
          <w:color w:val="auto"/>
          <w:szCs w:val="21"/>
          <w:highlight w:val="none"/>
          <w:lang w:eastAsia="zh-CN"/>
        </w:rPr>
      </w:pPr>
    </w:p>
    <w:p>
      <w:pPr>
        <w:shd w:val="clear"/>
        <w:spacing w:line="360" w:lineRule="auto"/>
        <w:ind w:right="752" w:rightChars="358"/>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广西同泽工程项目管理股份有限公司</w:t>
      </w:r>
    </w:p>
    <w:p>
      <w:pPr>
        <w:shd w:val="clear"/>
        <w:spacing w:line="360" w:lineRule="auto"/>
        <w:ind w:right="752" w:rightChars="358"/>
        <w:jc w:val="right"/>
        <w:rPr>
          <w:rFonts w:hint="eastAsia" w:ascii="宋体" w:hAnsi="宋体" w:eastAsia="宋体" w:cs="宋体"/>
          <w:color w:val="auto"/>
          <w:szCs w:val="21"/>
          <w:highlight w:val="none"/>
          <w:u w:val="single"/>
        </w:rPr>
      </w:pPr>
    </w:p>
    <w:p>
      <w:pPr>
        <w:shd w:val="clear"/>
        <w:spacing w:line="360" w:lineRule="auto"/>
        <w:ind w:right="752" w:rightChars="358"/>
        <w:jc w:val="right"/>
        <w:rPr>
          <w:rFonts w:hint="eastAsia" w:ascii="宋体" w:hAnsi="宋体" w:eastAsia="宋体" w:cs="宋体"/>
          <w:color w:val="auto"/>
          <w:szCs w:val="21"/>
          <w:highlight w:val="none"/>
          <w:u w:val="single"/>
        </w:rPr>
      </w:pPr>
    </w:p>
    <w:p>
      <w:pPr>
        <w:shd w:val="clear"/>
        <w:spacing w:line="360" w:lineRule="auto"/>
        <w:ind w:right="752" w:rightChars="358"/>
        <w:jc w:val="right"/>
        <w:rPr>
          <w:rFonts w:hint="eastAsia" w:ascii="宋体" w:hAnsi="宋体" w:eastAsia="宋体" w:cs="宋体"/>
          <w:color w:val="auto"/>
          <w:szCs w:val="21"/>
          <w:highlight w:val="none"/>
          <w:u w:val="none"/>
        </w:rPr>
      </w:pPr>
      <w:r>
        <w:rPr>
          <w:rFonts w:hint="eastAsia" w:ascii="宋体" w:hAnsi="宋体" w:cs="宋体"/>
          <w:color w:val="auto"/>
          <w:szCs w:val="21"/>
          <w:highlight w:val="none"/>
          <w:u w:val="none"/>
          <w:lang w:val="en-US" w:eastAsia="zh-CN"/>
        </w:rPr>
        <w:t xml:space="preserve"> </w:t>
      </w:r>
      <w:r>
        <w:rPr>
          <w:rFonts w:hint="eastAsia" w:ascii="宋体" w:hAnsi="宋体" w:eastAsia="宋体" w:cs="宋体"/>
          <w:color w:val="auto"/>
          <w:szCs w:val="21"/>
          <w:highlight w:val="none"/>
          <w:u w:val="none"/>
        </w:rPr>
        <w:t>20</w:t>
      </w:r>
      <w:r>
        <w:rPr>
          <w:rFonts w:hint="eastAsia" w:ascii="宋体" w:hAnsi="宋体" w:eastAsia="宋体" w:cs="宋体"/>
          <w:color w:val="auto"/>
          <w:szCs w:val="21"/>
          <w:highlight w:val="none"/>
          <w:u w:val="none"/>
          <w:lang w:val="en-US" w:eastAsia="zh-CN"/>
        </w:rPr>
        <w:t>2</w:t>
      </w:r>
      <w:r>
        <w:rPr>
          <w:rFonts w:hint="eastAsia" w:ascii="宋体" w:hAnsi="宋体" w:cs="宋体"/>
          <w:color w:val="auto"/>
          <w:szCs w:val="21"/>
          <w:highlight w:val="none"/>
          <w:u w:val="none"/>
          <w:lang w:val="en-US" w:eastAsia="zh-CN"/>
        </w:rPr>
        <w:t>6</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 xml:space="preserve"> 06 </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 xml:space="preserve"> 16 </w:t>
      </w:r>
      <w:r>
        <w:rPr>
          <w:rFonts w:hint="eastAsia" w:ascii="宋体" w:hAnsi="宋体" w:eastAsia="宋体" w:cs="宋体"/>
          <w:color w:val="auto"/>
          <w:szCs w:val="21"/>
          <w:highlight w:val="none"/>
          <w:u w:val="none"/>
        </w:rPr>
        <w:t xml:space="preserve">日 </w:t>
      </w:r>
    </w:p>
    <w:p>
      <w:pPr>
        <w:shd w:val="clear"/>
        <w:ind w:left="6205" w:leftChars="2755" w:hanging="420" w:hangingChars="200"/>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pPr>
        <w:pStyle w:val="2"/>
        <w:shd w:val="clear"/>
        <w:spacing w:before="0" w:after="0" w:line="240" w:lineRule="auto"/>
        <w:outlineLvl w:val="0"/>
        <w:rPr>
          <w:rFonts w:hint="eastAsia" w:ascii="宋体" w:hAnsi="宋体" w:eastAsia="宋体" w:cs="宋体"/>
          <w:color w:val="auto"/>
          <w:sz w:val="28"/>
          <w:szCs w:val="28"/>
          <w:highlight w:val="none"/>
        </w:rPr>
      </w:pPr>
      <w:bookmarkStart w:id="2" w:name="_Toc2783"/>
      <w:r>
        <w:rPr>
          <w:rFonts w:hint="eastAsia" w:ascii="宋体" w:hAnsi="宋体" w:eastAsia="宋体" w:cs="宋体"/>
          <w:color w:val="auto"/>
          <w:sz w:val="28"/>
          <w:szCs w:val="28"/>
          <w:highlight w:val="none"/>
        </w:rPr>
        <w:t>第二部分相关资料表格</w:t>
      </w:r>
      <w:bookmarkEnd w:id="2"/>
    </w:p>
    <w:p>
      <w:pPr>
        <w:pStyle w:val="4"/>
        <w:shd w:val="clear"/>
        <w:spacing w:before="0" w:after="0" w:line="240" w:lineRule="auto"/>
        <w:jc w:val="center"/>
        <w:outlineLvl w:val="1"/>
        <w:rPr>
          <w:rFonts w:hint="eastAsia" w:ascii="宋体" w:hAnsi="宋体" w:eastAsia="宋体" w:cs="宋体"/>
          <w:color w:val="auto"/>
          <w:sz w:val="24"/>
          <w:szCs w:val="24"/>
          <w:highlight w:val="none"/>
        </w:rPr>
      </w:pPr>
      <w:bookmarkStart w:id="3" w:name="_Toc8436"/>
      <w:r>
        <w:rPr>
          <w:rFonts w:hint="eastAsia" w:ascii="宋体" w:hAnsi="宋体" w:eastAsia="宋体" w:cs="宋体"/>
          <w:color w:val="auto"/>
          <w:sz w:val="24"/>
          <w:szCs w:val="24"/>
          <w:highlight w:val="none"/>
        </w:rPr>
        <w:t>附表一：投标资料表</w:t>
      </w:r>
      <w:bookmarkEnd w:id="3"/>
    </w:p>
    <w:tbl>
      <w:tblPr>
        <w:tblStyle w:val="43"/>
        <w:tblW w:w="836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873"/>
        <w:gridCol w:w="2237"/>
        <w:gridCol w:w="5252"/>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0" w:hRule="atLeast"/>
        </w:trPr>
        <w:tc>
          <w:tcPr>
            <w:tcW w:w="873" w:type="dxa"/>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489" w:type="dxa"/>
            <w:gridSpan w:val="2"/>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51" w:hRule="atLeast"/>
        </w:trPr>
        <w:tc>
          <w:tcPr>
            <w:tcW w:w="8362" w:type="dxa"/>
            <w:gridSpan w:val="3"/>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一、说明</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1"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项目最高限价（</w:t>
            </w:r>
            <w:r>
              <w:rPr>
                <w:rFonts w:hint="eastAsia" w:ascii="宋体" w:hAnsi="宋体" w:eastAsia="宋体" w:cs="宋体"/>
                <w:b/>
                <w:bCs/>
                <w:color w:val="auto"/>
                <w:szCs w:val="21"/>
                <w:highlight w:val="none"/>
                <w:u w:val="single"/>
              </w:rPr>
              <w:t>单位：元</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31" w:hRule="atLeast"/>
        </w:trPr>
        <w:tc>
          <w:tcPr>
            <w:tcW w:w="873" w:type="dxa"/>
            <w:vMerge w:val="continue"/>
            <w:tcBorders>
              <w:tl2br w:val="nil"/>
              <w:tr2bl w:val="nil"/>
            </w:tcBorders>
            <w:vAlign w:val="center"/>
          </w:tcPr>
          <w:p>
            <w:pPr>
              <w:shd w:val="clear"/>
              <w:rPr>
                <w:rFonts w:hint="eastAsia" w:ascii="宋体" w:hAnsi="宋体" w:eastAsia="宋体" w:cs="宋体"/>
                <w:color w:val="auto"/>
                <w:highlight w:val="none"/>
              </w:rPr>
            </w:pP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b w:val="0"/>
                <w:bCs w:val="0"/>
                <w:color w:val="auto"/>
                <w:sz w:val="21"/>
                <w:szCs w:val="21"/>
                <w:highlight w:val="none"/>
                <w:lang w:val="en-US" w:eastAsia="zh-CN" w:bidi="ar-SA"/>
              </w:rPr>
              <w:t>¥1,591,600.00元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2</w:t>
            </w: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发包方式</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b/>
                <w:bCs/>
                <w:color w:val="auto"/>
                <w:szCs w:val="21"/>
                <w:highlight w:val="none"/>
              </w:rPr>
              <w:t>固定总价包干；</w:t>
            </w:r>
          </w:p>
          <w:p>
            <w:pPr>
              <w:shd w:val="clea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b/>
                <w:bCs/>
                <w:color w:val="auto"/>
                <w:szCs w:val="21"/>
                <w:highlight w:val="none"/>
              </w:rPr>
              <w:t>固定单价暂定总价包干；</w:t>
            </w:r>
          </w:p>
          <w:p>
            <w:pPr>
              <w:shd w:val="clear"/>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rPr>
              <w:sym w:font="Wingdings 2" w:char="00A3"/>
            </w:r>
            <w:r>
              <w:rPr>
                <w:rFonts w:hint="eastAsia" w:ascii="宋体" w:hAnsi="宋体" w:eastAsia="宋体" w:cs="宋体"/>
                <w:b/>
                <w:bCs/>
                <w:color w:val="auto"/>
                <w:szCs w:val="21"/>
                <w:highlight w:val="none"/>
              </w:rPr>
              <w:t>费率</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u w:val="single"/>
              </w:rPr>
              <w:t>；</w:t>
            </w:r>
          </w:p>
          <w:p>
            <w:pPr>
              <w:shd w:val="clea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b/>
                <w:bCs/>
                <w:color w:val="auto"/>
                <w:szCs w:val="21"/>
                <w:highlight w:val="none"/>
              </w:rPr>
              <w:t>其他</w:t>
            </w:r>
            <w:r>
              <w:rPr>
                <w:rFonts w:hint="eastAsia" w:ascii="宋体" w:hAnsi="宋体" w:eastAsia="宋体" w:cs="宋体"/>
                <w:b/>
                <w:bCs/>
                <w:color w:val="auto"/>
                <w:szCs w:val="21"/>
                <w:highlight w:val="none"/>
                <w:u w:val="single"/>
                <w:lang w:val="en-US" w:eastAsia="zh-CN"/>
              </w:rPr>
              <w:t xml:space="preserve">                     </w:t>
            </w:r>
            <w:r>
              <w:rPr>
                <w:rFonts w:hint="eastAsia" w:ascii="宋体" w:hAnsi="宋体" w:eastAsia="宋体" w:cs="宋体"/>
                <w:b/>
                <w:bCs/>
                <w:color w:val="auto"/>
                <w:szCs w:val="21"/>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3</w:t>
            </w: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是否接受联合体投标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pStyle w:val="50"/>
              <w:shd w:val="clear"/>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color w:val="auto"/>
                <w:szCs w:val="21"/>
                <w:highlight w:val="none"/>
              </w:rPr>
              <w:t>是，联合体投标的，应满足下列要求：</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Cs w:val="21"/>
                <w:highlight w:val="none"/>
              </w:rPr>
              <w:t>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18"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4</w:t>
            </w: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资金来源</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rPr>
                <w:rFonts w:hint="eastAsia" w:ascii="宋体" w:hAnsi="宋体" w:eastAsia="宋体" w:cs="宋体"/>
                <w:b/>
                <w:bCs/>
                <w:color w:val="auto"/>
                <w:szCs w:val="21"/>
                <w:highlight w:val="none"/>
              </w:rPr>
            </w:pPr>
            <w:r>
              <w:rPr>
                <w:rFonts w:hint="eastAsia" w:ascii="宋体" w:hAnsi="宋体" w:eastAsia="宋体" w:cs="宋体"/>
                <w:color w:val="auto"/>
                <w:szCs w:val="21"/>
                <w:highlight w:val="none"/>
                <w:u w:val="single"/>
              </w:rPr>
              <w:t>自筹资金。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7489" w:type="dxa"/>
            <w:gridSpan w:val="2"/>
            <w:tcBorders>
              <w:tl2br w:val="nil"/>
              <w:tr2bl w:val="nil"/>
            </w:tcBorders>
            <w:vAlign w:val="center"/>
          </w:tcPr>
          <w:p>
            <w:pPr>
              <w:shd w:val="clea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踏勘现场</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bCs/>
                <w:color w:val="auto"/>
                <w:szCs w:val="21"/>
                <w:highlight w:val="none"/>
              </w:rPr>
              <w:t>不组织 。</w:t>
            </w:r>
          </w:p>
          <w:p>
            <w:pPr>
              <w:shd w:val="clear"/>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sym w:font="Wingdings 2" w:char="00A3"/>
            </w:r>
            <w:r>
              <w:rPr>
                <w:rFonts w:hint="eastAsia" w:ascii="宋体" w:hAnsi="宋体" w:eastAsia="宋体" w:cs="宋体"/>
                <w:bCs/>
                <w:color w:val="auto"/>
                <w:szCs w:val="21"/>
                <w:highlight w:val="none"/>
              </w:rPr>
              <w:t>组织，踏勘现场时间、地点：</w:t>
            </w:r>
            <w:r>
              <w:rPr>
                <w:rFonts w:hint="eastAsia" w:ascii="宋体" w:hAnsi="宋体" w:eastAsia="宋体" w:cs="宋体"/>
                <w:bCs/>
                <w:color w:val="auto"/>
                <w:szCs w:val="21"/>
                <w:highlight w:val="none"/>
                <w:u w:val="single"/>
              </w:rPr>
              <w:t xml:space="preserve">         </w:t>
            </w:r>
            <w:r>
              <w:rPr>
                <w:rFonts w:hint="eastAsia" w:ascii="宋体" w:hAnsi="宋体" w:eastAsia="宋体" w:cs="宋体"/>
                <w:bCs/>
                <w:color w:val="auto"/>
                <w:szCs w:val="21"/>
                <w:highlight w:val="none"/>
              </w:rPr>
              <w:t xml:space="preserve">。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29" w:hRule="atLeast"/>
        </w:trPr>
        <w:tc>
          <w:tcPr>
            <w:tcW w:w="8362" w:type="dxa"/>
            <w:gridSpan w:val="3"/>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二、投标文件的编制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489" w:type="dxa"/>
            <w:gridSpan w:val="2"/>
            <w:tcBorders>
              <w:tl2br w:val="nil"/>
              <w:tr2bl w:val="nil"/>
            </w:tcBorders>
            <w:vAlign w:val="center"/>
          </w:tcPr>
          <w:p>
            <w:pPr>
              <w:shd w:val="clea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投标语言</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中文。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投标报价</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投标保证金</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0"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numPr>
                <w:ilvl w:val="0"/>
                <w:numId w:val="1"/>
              </w:num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投标保证金金额：人民币</w:t>
            </w:r>
            <w:r>
              <w:rPr>
                <w:rFonts w:hint="eastAsia" w:ascii="宋体" w:hAnsi="宋体" w:cs="宋体"/>
                <w:color w:val="auto"/>
                <w:szCs w:val="21"/>
                <w:highlight w:val="none"/>
                <w:lang w:val="en-US" w:eastAsia="zh-CN"/>
              </w:rPr>
              <w:t>叁万元整</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30</w:t>
            </w:r>
            <w:r>
              <w:rPr>
                <w:rFonts w:hint="eastAsia" w:ascii="宋体" w:hAnsi="宋体" w:eastAsia="宋体" w:cs="宋体"/>
                <w:color w:val="auto"/>
                <w:szCs w:val="21"/>
                <w:highlight w:val="none"/>
              </w:rPr>
              <w:t>,000.00）</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273"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tabs>
                <w:tab w:val="left" w:pos="567"/>
              </w:tabs>
              <w:jc w:val="both"/>
              <w:rPr>
                <w:rFonts w:hint="eastAsia" w:ascii="宋体" w:hAnsi="宋体" w:eastAsia="宋体" w:cs="宋体"/>
                <w:color w:val="auto"/>
                <w:kern w:val="2"/>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kern w:val="2"/>
                <w:szCs w:val="21"/>
                <w:highlight w:val="none"/>
                <w:lang w:val="zh-CN"/>
              </w:rPr>
              <w:t>投标保证金采用转帐、电汇方式提交，应符合以下要求：采用银行转账、电汇方式提交的，保证金汇入以下投标保证金专用账户，不接收由以投标人分支机构、私人帐户和其他单位转入的保证金。投标保证金必须在投标文件递交截止前到账，投标保证金未按规定时间到达指定账户或提交金额不足的，将被视为无效投标。且在备注或用途中注明本项目的项目编号。</w:t>
            </w:r>
          </w:p>
          <w:p>
            <w:pPr>
              <w:shd w:val="clear"/>
              <w:tabs>
                <w:tab w:val="left" w:pos="567"/>
              </w:tabs>
              <w:ind w:left="567" w:hanging="567"/>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投标保证金专用账户如下：</w:t>
            </w:r>
          </w:p>
          <w:p>
            <w:pPr>
              <w:shd w:val="clea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 xml:space="preserve">帐户名称： </w:t>
            </w:r>
            <w:r>
              <w:rPr>
                <w:rFonts w:hint="eastAsia" w:ascii="宋体" w:hAnsi="宋体" w:eastAsia="宋体" w:cs="宋体"/>
                <w:color w:val="auto"/>
                <w:kern w:val="2"/>
                <w:szCs w:val="21"/>
                <w:highlight w:val="none"/>
                <w:u w:val="single"/>
              </w:rPr>
              <w:t xml:space="preserve">  </w:t>
            </w:r>
            <w:r>
              <w:rPr>
                <w:rFonts w:hint="eastAsia" w:ascii="宋体" w:hAnsi="宋体" w:cs="宋体"/>
                <w:color w:val="auto"/>
                <w:kern w:val="2"/>
                <w:szCs w:val="21"/>
                <w:highlight w:val="none"/>
                <w:u w:val="single"/>
                <w:lang w:eastAsia="zh-CN"/>
              </w:rPr>
              <w:t>广西同泽工程项目管理股份有限公司</w:t>
            </w:r>
            <w:r>
              <w:rPr>
                <w:rFonts w:hint="eastAsia" w:ascii="宋体" w:hAnsi="宋体" w:cs="宋体"/>
                <w:color w:val="auto"/>
                <w:kern w:val="2"/>
                <w:szCs w:val="21"/>
                <w:highlight w:val="none"/>
                <w:u w:val="single"/>
                <w:lang w:val="en-US" w:eastAsia="zh-CN"/>
              </w:rPr>
              <w:t>东莞分公司</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lang w:val="zh-CN"/>
              </w:rPr>
              <w:t>；</w:t>
            </w:r>
          </w:p>
          <w:p>
            <w:pPr>
              <w:shd w:val="clea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 xml:space="preserve">开户银行： </w:t>
            </w:r>
            <w:r>
              <w:rPr>
                <w:rFonts w:hint="eastAsia" w:ascii="宋体" w:hAnsi="宋体" w:eastAsia="宋体" w:cs="宋体"/>
                <w:color w:val="auto"/>
                <w:kern w:val="2"/>
                <w:szCs w:val="21"/>
                <w:highlight w:val="none"/>
                <w:u w:val="single"/>
              </w:rPr>
              <w:t xml:space="preserve">  </w:t>
            </w:r>
            <w:r>
              <w:rPr>
                <w:rFonts w:hint="eastAsia" w:hAnsi="宋体" w:cs="宋体"/>
                <w:color w:val="auto"/>
                <w:kern w:val="2"/>
                <w:sz w:val="21"/>
                <w:szCs w:val="21"/>
                <w:highlight w:val="none"/>
                <w:u w:val="single"/>
              </w:rPr>
              <w:t>中国民生银行东莞松山湖支行</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lang w:val="zh-CN"/>
              </w:rPr>
              <w:t>；</w:t>
            </w:r>
          </w:p>
          <w:p>
            <w:pPr>
              <w:shd w:val="clear"/>
              <w:tabs>
                <w:tab w:val="left" w:pos="567"/>
              </w:tabs>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 xml:space="preserve">银行帐号： </w:t>
            </w:r>
            <w:r>
              <w:rPr>
                <w:rFonts w:hint="eastAsia" w:ascii="宋体" w:hAnsi="宋体" w:eastAsia="宋体" w:cs="宋体"/>
                <w:color w:val="auto"/>
                <w:kern w:val="2"/>
                <w:szCs w:val="21"/>
                <w:highlight w:val="none"/>
                <w:u w:val="single"/>
              </w:rPr>
              <w:t xml:space="preserve"> </w:t>
            </w:r>
            <w:r>
              <w:rPr>
                <w:rFonts w:hint="eastAsia" w:ascii="宋体" w:hAnsi="宋体" w:eastAsia="宋体" w:cs="宋体"/>
                <w:color w:val="auto"/>
                <w:kern w:val="2"/>
                <w:szCs w:val="21"/>
                <w:highlight w:val="none"/>
                <w:u w:val="single"/>
                <w:lang w:val="en-US" w:eastAsia="zh-CN"/>
              </w:rPr>
              <w:t xml:space="preserve"> 641169654                   </w:t>
            </w:r>
            <w:r>
              <w:rPr>
                <w:rFonts w:hint="eastAsia" w:ascii="宋体" w:hAnsi="宋体" w:eastAsia="宋体" w:cs="宋体"/>
                <w:color w:val="auto"/>
                <w:kern w:val="2"/>
                <w:szCs w:val="21"/>
                <w:highlight w:val="none"/>
                <w:lang w:val="zh-CN"/>
              </w:rPr>
              <w:t>；</w:t>
            </w:r>
          </w:p>
          <w:p>
            <w:pPr>
              <w:shd w:val="clear"/>
              <w:tabs>
                <w:tab w:val="left" w:pos="567"/>
              </w:tabs>
              <w:ind w:firstLine="422" w:firstLineChars="200"/>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（注：各投标人在转帐或电汇时须在用途栏上备注项目编号，及项目名称，如有字数限制项目名称可简写。）</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20"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7489" w:type="dxa"/>
            <w:gridSpan w:val="2"/>
            <w:tcBorders>
              <w:tl2br w:val="nil"/>
              <w:tr2bl w:val="nil"/>
            </w:tcBorders>
            <w:vAlign w:val="center"/>
          </w:tcPr>
          <w:p>
            <w:pPr>
              <w:shd w:val="clear"/>
              <w:jc w:val="both"/>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投标保证金退还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1535"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jc w:val="both"/>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）未中标的投标人的保证金应当在中标通知书发出后退还，中标</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投标人的保证金应当在采购合同签订</w:t>
            </w:r>
            <w:r>
              <w:rPr>
                <w:rFonts w:hint="eastAsia" w:ascii="宋体" w:hAnsi="宋体" w:eastAsia="宋体" w:cs="宋体"/>
                <w:color w:val="auto"/>
                <w:szCs w:val="21"/>
                <w:highlight w:val="none"/>
              </w:rPr>
              <w:t>并缴纳履约保证金</w:t>
            </w:r>
            <w:r>
              <w:rPr>
                <w:rFonts w:hint="eastAsia" w:ascii="宋体" w:hAnsi="宋体" w:eastAsia="宋体" w:cs="宋体"/>
                <w:color w:val="auto"/>
                <w:szCs w:val="21"/>
                <w:highlight w:val="none"/>
                <w:lang w:val="zh-CN"/>
              </w:rPr>
              <w:t>后退还。</w:t>
            </w:r>
          </w:p>
          <w:p>
            <w:pPr>
              <w:shd w:val="clear"/>
              <w:jc w:val="both"/>
              <w:rPr>
                <w:rFonts w:hint="eastAsia" w:ascii="宋体" w:hAnsi="宋体" w:eastAsia="宋体" w:cs="宋体"/>
                <w:color w:val="auto"/>
                <w:highlight w:val="none"/>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）为方便退还未中标的投标人的保证金，投标人应制作《投标保证金汇入情况说明》随唱标信封一并递交。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投标有效期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九十天。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人应提交以下投标文件（投标文件由唱标信封、价格文件、商务文件、技术文件、电子文档五部分组成；价格文件、商务文件、技术文件分别单独装订成册，电子文档装入唱标信封一同封装；具体编制和封装要求详见第四部分投标人须知）</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2237"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投标文件类型</w:t>
            </w:r>
          </w:p>
        </w:tc>
        <w:tc>
          <w:tcPr>
            <w:tcW w:w="5252"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份数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2237"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唱标信封</w:t>
            </w:r>
          </w:p>
        </w:tc>
        <w:tc>
          <w:tcPr>
            <w:tcW w:w="5252"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2237"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投标文件正本</w:t>
            </w:r>
          </w:p>
        </w:tc>
        <w:tc>
          <w:tcPr>
            <w:tcW w:w="5252"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7"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2237"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投标文件副本</w:t>
            </w:r>
          </w:p>
        </w:tc>
        <w:tc>
          <w:tcPr>
            <w:tcW w:w="5252"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sym w:font="Wingdings 2" w:char="0052"/>
            </w:r>
            <w:r>
              <w:rPr>
                <w:rFonts w:hint="eastAsia" w:ascii="宋体" w:hAnsi="宋体" w:eastAsia="宋体" w:cs="宋体"/>
                <w:b/>
                <w:color w:val="auto"/>
                <w:szCs w:val="21"/>
                <w:highlight w:val="none"/>
              </w:rPr>
              <w:t xml:space="preserve">5  </w:t>
            </w:r>
            <w:r>
              <w:rPr>
                <w:rFonts w:hint="eastAsia" w:ascii="宋体" w:hAnsi="宋体" w:eastAsia="宋体" w:cs="宋体"/>
                <w:b/>
                <w:color w:val="auto"/>
                <w:szCs w:val="21"/>
                <w:highlight w:val="none"/>
              </w:rPr>
              <w:sym w:font="Wingdings 2" w:char="00A3"/>
            </w:r>
            <w:r>
              <w:rPr>
                <w:rFonts w:hint="eastAsia" w:ascii="宋体" w:hAnsi="宋体" w:eastAsia="宋体" w:cs="宋体"/>
                <w:b/>
                <w:color w:val="auto"/>
                <w:szCs w:val="21"/>
                <w:highlight w:val="none"/>
              </w:rPr>
              <w:t>7</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2237" w:type="dxa"/>
            <w:vMerge w:val="restart"/>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电子文档</w:t>
            </w:r>
          </w:p>
        </w:tc>
        <w:tc>
          <w:tcPr>
            <w:tcW w:w="5252"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94"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2237" w:type="dxa"/>
            <w:vMerge w:val="continue"/>
            <w:tcBorders>
              <w:tl2br w:val="nil"/>
              <w:tr2bl w:val="nil"/>
            </w:tcBorders>
            <w:vAlign w:val="center"/>
          </w:tcPr>
          <w:p>
            <w:pPr>
              <w:shd w:val="clear"/>
              <w:jc w:val="center"/>
              <w:rPr>
                <w:rFonts w:hint="eastAsia" w:ascii="宋体" w:hAnsi="宋体" w:eastAsia="宋体" w:cs="宋体"/>
                <w:b/>
                <w:color w:val="auto"/>
                <w:szCs w:val="21"/>
                <w:highlight w:val="none"/>
              </w:rPr>
            </w:pPr>
          </w:p>
        </w:tc>
        <w:tc>
          <w:tcPr>
            <w:tcW w:w="5252" w:type="dxa"/>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U盘，须含盖章版PDF投标文件和WORD版投标文件各一版，文字采用WORD文档，计算表格采用 EXCEL文档。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57" w:hRule="atLeast"/>
        </w:trPr>
        <w:tc>
          <w:tcPr>
            <w:tcW w:w="8362" w:type="dxa"/>
            <w:gridSpan w:val="3"/>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三、开标与评标</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7489" w:type="dxa"/>
            <w:gridSpan w:val="2"/>
            <w:tcBorders>
              <w:tl2br w:val="nil"/>
              <w:tr2bl w:val="nil"/>
            </w:tcBorders>
            <w:vAlign w:val="center"/>
          </w:tcPr>
          <w:p>
            <w:pPr>
              <w:shd w:val="clea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本项目评标方法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综合评分法。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3"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综合评分法评分因素和权重分值</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见附表二。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7489" w:type="dxa"/>
            <w:gridSpan w:val="2"/>
            <w:tcBorders>
              <w:tl2br w:val="nil"/>
              <w:tr2bl w:val="nil"/>
            </w:tcBorders>
            <w:vAlign w:val="center"/>
          </w:tcPr>
          <w:p>
            <w:pPr>
              <w:shd w:val="clear"/>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评标委员会</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72"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vAlign w:val="center"/>
          </w:tcPr>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评标委员会成员共</w:t>
            </w:r>
            <w:r>
              <w:rPr>
                <w:rFonts w:hint="eastAsia" w:ascii="宋体" w:hAnsi="宋体" w:eastAsia="宋体" w:cs="宋体"/>
                <w:color w:val="auto"/>
                <w:szCs w:val="21"/>
                <w:highlight w:val="none"/>
                <w:u w:val="single"/>
                <w:lang w:val="en-US" w:eastAsia="zh-CN"/>
              </w:rPr>
              <w:t>5</w:t>
            </w:r>
            <w:r>
              <w:rPr>
                <w:rFonts w:hint="eastAsia" w:ascii="宋体" w:hAnsi="宋体" w:eastAsia="宋体" w:cs="宋体"/>
                <w:color w:val="auto"/>
                <w:szCs w:val="21"/>
                <w:highlight w:val="none"/>
              </w:rPr>
              <w:t>人：</w:t>
            </w:r>
            <w:r>
              <w:rPr>
                <w:rFonts w:hint="eastAsia" w:ascii="宋体" w:hAnsi="宋体" w:eastAsia="宋体" w:cs="宋体"/>
                <w:color w:val="auto"/>
                <w:szCs w:val="21"/>
                <w:highlight w:val="none"/>
                <w:lang w:val="zh-CN"/>
              </w:rPr>
              <w:t>评标委员会由采购人</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val="zh-CN"/>
              </w:rPr>
              <w:t>代表和</w:t>
            </w:r>
            <w:r>
              <w:rPr>
                <w:rFonts w:hint="eastAsia" w:ascii="宋体" w:hAnsi="宋体" w:eastAsia="宋体" w:cs="宋体"/>
                <w:color w:val="auto"/>
                <w:szCs w:val="21"/>
                <w:highlight w:val="none"/>
              </w:rPr>
              <w:t>有关方面的</w:t>
            </w:r>
            <w:r>
              <w:rPr>
                <w:rFonts w:hint="eastAsia" w:ascii="宋体" w:hAnsi="宋体" w:eastAsia="宋体" w:cs="宋体"/>
                <w:color w:val="auto"/>
                <w:szCs w:val="21"/>
                <w:highlight w:val="none"/>
                <w:lang w:val="zh-CN"/>
              </w:rPr>
              <w:t>专家组成，</w:t>
            </w:r>
            <w:r>
              <w:rPr>
                <w:rFonts w:hint="eastAsia" w:ascii="宋体" w:hAnsi="宋体" w:eastAsia="宋体" w:cs="宋体"/>
                <w:color w:val="auto"/>
                <w:szCs w:val="21"/>
                <w:highlight w:val="none"/>
              </w:rPr>
              <w:t>成员人数为五人或五人以上单数</w:t>
            </w:r>
            <w:r>
              <w:rPr>
                <w:rFonts w:hint="eastAsia" w:ascii="宋体" w:hAnsi="宋体" w:eastAsia="宋体" w:cs="宋体"/>
                <w:color w:val="auto"/>
                <w:szCs w:val="21"/>
                <w:highlight w:val="none"/>
                <w:lang w:val="zh-CN"/>
              </w:rPr>
              <w:t>，其中专家不得少于成员总数的三分之二。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748" w:hRule="atLeast"/>
        </w:trPr>
        <w:tc>
          <w:tcPr>
            <w:tcW w:w="8362" w:type="dxa"/>
            <w:gridSpan w:val="3"/>
            <w:tcBorders>
              <w:tl2br w:val="nil"/>
              <w:tr2bl w:val="nil"/>
            </w:tcBorders>
            <w:vAlign w:val="center"/>
          </w:tcPr>
          <w:p>
            <w:pPr>
              <w:shd w:val="clear"/>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四、授予合同</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39"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7489" w:type="dxa"/>
            <w:gridSpan w:val="2"/>
            <w:tcBorders>
              <w:tl2br w:val="nil"/>
              <w:tr2bl w:val="nil"/>
            </w:tcBorders>
            <w:shd w:val="clear" w:color="auto" w:fill="auto"/>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履约担保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40" w:hRule="atLeast"/>
        </w:trPr>
        <w:tc>
          <w:tcPr>
            <w:tcW w:w="873" w:type="dxa"/>
            <w:vMerge w:val="continue"/>
            <w:tcBorders>
              <w:tl2br w:val="nil"/>
              <w:tr2bl w:val="nil"/>
            </w:tcBorders>
            <w:vAlign w:val="center"/>
          </w:tcPr>
          <w:p>
            <w:pPr>
              <w:shd w:val="clear"/>
              <w:jc w:val="center"/>
              <w:rPr>
                <w:rFonts w:hint="eastAsia" w:ascii="宋体" w:hAnsi="宋体" w:eastAsia="宋体" w:cs="宋体"/>
                <w:color w:val="auto"/>
                <w:szCs w:val="21"/>
                <w:highlight w:val="none"/>
              </w:rPr>
            </w:pPr>
          </w:p>
        </w:tc>
        <w:tc>
          <w:tcPr>
            <w:tcW w:w="7489" w:type="dxa"/>
            <w:gridSpan w:val="2"/>
            <w:tcBorders>
              <w:tl2br w:val="nil"/>
              <w:tr2bl w:val="nil"/>
            </w:tcBorders>
            <w:shd w:val="clear" w:color="auto" w:fill="auto"/>
            <w:vAlign w:val="center"/>
          </w:tcPr>
          <w:p>
            <w:pPr>
              <w:numPr>
                <w:ilvl w:val="0"/>
                <w:numId w:val="0"/>
              </w:numPr>
              <w:shd w:val="clear"/>
              <w:jc w:val="both"/>
              <w:rPr>
                <w:rFonts w:hint="eastAsia" w:ascii="宋体" w:hAnsi="宋体" w:eastAsia="宋体" w:cs="宋体"/>
                <w:color w:val="auto"/>
                <w:szCs w:val="21"/>
                <w:highlight w:val="none"/>
                <w:u w:val="single"/>
              </w:rPr>
            </w:pPr>
            <w:r>
              <w:rPr>
                <w:rFonts w:hint="eastAsia" w:ascii="宋体" w:hAnsi="宋体" w:eastAsia="宋体" w:cs="宋体"/>
                <w:color w:val="auto"/>
                <w:sz w:val="21"/>
                <w:szCs w:val="21"/>
                <w:highlight w:val="none"/>
                <w:lang w:val="en-US" w:eastAsia="zh-CN" w:bidi="ar-SA"/>
              </w:rPr>
              <w:t>1.</w:t>
            </w:r>
            <w:r>
              <w:rPr>
                <w:rFonts w:hint="eastAsia" w:ascii="宋体" w:hAnsi="宋体" w:eastAsia="宋体" w:cs="宋体"/>
                <w:color w:val="auto"/>
                <w:szCs w:val="21"/>
                <w:highlight w:val="none"/>
              </w:rPr>
              <w:t>履约担保金额为：</w:t>
            </w:r>
            <w:r>
              <w:rPr>
                <w:rFonts w:hint="eastAsia" w:ascii="宋体" w:hAnsi="宋体" w:eastAsia="宋体" w:cs="宋体"/>
                <w:color w:val="auto"/>
                <w:szCs w:val="21"/>
                <w:highlight w:val="none"/>
                <w:u w:val="single"/>
              </w:rPr>
              <w:t>合同总金额的</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2.履约保证金账户信息：</w:t>
            </w:r>
          </w:p>
          <w:p>
            <w:pPr>
              <w:shd w:val="clea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账户名称：</w:t>
            </w:r>
            <w:r>
              <w:rPr>
                <w:rFonts w:hint="eastAsia" w:ascii="宋体" w:hAnsi="宋体" w:eastAsia="宋体" w:cs="宋体"/>
                <w:color w:val="auto"/>
                <w:szCs w:val="21"/>
                <w:highlight w:val="none"/>
                <w:lang w:eastAsia="zh-CN"/>
              </w:rPr>
              <w:t>东莞市旗山投资发展有限公司</w:t>
            </w:r>
            <w:r>
              <w:rPr>
                <w:rFonts w:hint="eastAsia" w:ascii="宋体" w:hAnsi="宋体" w:eastAsia="宋体" w:cs="宋体"/>
                <w:color w:val="auto"/>
                <w:szCs w:val="21"/>
                <w:highlight w:val="none"/>
              </w:rPr>
              <w:t>；</w:t>
            </w:r>
          </w:p>
          <w:p>
            <w:pPr>
              <w:shd w:val="clear"/>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 w:val="21"/>
                <w:szCs w:val="21"/>
                <w:highlight w:val="none"/>
              </w:rPr>
              <w:t>东莞银行东莞分行营业部</w:t>
            </w:r>
            <w:r>
              <w:rPr>
                <w:rFonts w:hint="eastAsia" w:ascii="宋体" w:hAnsi="宋体" w:eastAsia="宋体" w:cs="宋体"/>
                <w:color w:val="auto"/>
                <w:szCs w:val="21"/>
                <w:highlight w:val="none"/>
              </w:rPr>
              <w:t>；</w:t>
            </w:r>
          </w:p>
          <w:p>
            <w:pPr>
              <w:shd w:val="clear"/>
              <w:ind w:firstLine="420" w:firstLineChars="200"/>
              <w:jc w:val="both"/>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银行账号：</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 w:val="21"/>
                <w:szCs w:val="21"/>
                <w:highlight w:val="none"/>
              </w:rPr>
              <w:t>5200 0880 1003 332</w:t>
            </w:r>
            <w:r>
              <w:rPr>
                <w:rFonts w:hint="eastAsia" w:ascii="宋体" w:hAnsi="宋体" w:eastAsia="宋体" w:cs="宋体"/>
                <w:color w:val="auto"/>
                <w:szCs w:val="21"/>
                <w:highlight w:val="none"/>
                <w:lang w:eastAsia="zh-CN"/>
              </w:rPr>
              <w:t>。</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3.中标人在采购（合同签署）时提交履约担保，履约担保金额不超过暂定合同总金额的</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rPr>
              <w:t>%，如果中标人提交的履约保函的有效期先于合同要求的履约保函有效期到达，中标人应在原提交的履约保函有效期满前15天，无条件办理保函延期手续。否则，视为中标人违约，采购人可在保函到期前将保函金额转为现金存入履约保证金帐户。</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4.本保函从合同签订之日起至项目完工验收合格并结算完毕后，经双方签字30天内保持有效。</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5、履约担保要求：</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w:t>
            </w:r>
            <w:r>
              <w:rPr>
                <w:rFonts w:hint="eastAsia" w:ascii="宋体" w:hAnsi="宋体" w:eastAsia="宋体" w:cs="宋体"/>
                <w:color w:val="auto"/>
                <w:szCs w:val="21"/>
                <w:highlight w:val="none"/>
                <w:lang w:val="en-US" w:eastAsia="zh-CN"/>
              </w:rPr>
              <w:t>若出现中标人应</w:t>
            </w:r>
            <w:r>
              <w:rPr>
                <w:rFonts w:hint="eastAsia" w:ascii="宋体" w:hAnsi="宋体" w:eastAsia="宋体" w:cs="宋体"/>
                <w:color w:val="auto"/>
                <w:szCs w:val="21"/>
                <w:highlight w:val="none"/>
              </w:rPr>
              <w:t>办理保函延期手续</w:t>
            </w:r>
            <w:r>
              <w:rPr>
                <w:rFonts w:hint="eastAsia" w:ascii="宋体" w:hAnsi="宋体" w:eastAsia="宋体" w:cs="宋体"/>
                <w:color w:val="auto"/>
                <w:szCs w:val="21"/>
                <w:highlight w:val="none"/>
                <w:lang w:eastAsia="zh-CN"/>
              </w:rPr>
              <w:t>的</w:t>
            </w:r>
            <w:r>
              <w:rPr>
                <w:rFonts w:hint="eastAsia" w:ascii="宋体" w:hAnsi="宋体" w:eastAsia="宋体" w:cs="宋体"/>
                <w:color w:val="auto"/>
                <w:szCs w:val="21"/>
                <w:highlight w:val="none"/>
                <w:lang w:val="en-US" w:eastAsia="zh-CN"/>
              </w:rPr>
              <w:t>情形，</w:t>
            </w:r>
            <w:r>
              <w:rPr>
                <w:rFonts w:hint="eastAsia" w:ascii="宋体" w:hAnsi="宋体" w:eastAsia="宋体" w:cs="宋体"/>
                <w:color w:val="auto"/>
                <w:szCs w:val="21"/>
                <w:highlight w:val="none"/>
              </w:rPr>
              <w:t>保函办理延期手续时在银行方面所产生费用由中标人负责。</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（2）履约保证金。可采用电汇、银行汇票等银行转帐方式提交，但不可以采用现金方式提交。中标人必须保证履约保证金以中标人名称在签订合同前提交至采购人指定账户。</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（3）若中标人不能按本采购文件的规定提交履约</w:t>
            </w:r>
            <w:r>
              <w:rPr>
                <w:rFonts w:hint="eastAsia" w:ascii="宋体" w:hAnsi="宋体" w:eastAsia="宋体" w:cs="宋体"/>
                <w:color w:val="auto"/>
                <w:szCs w:val="21"/>
                <w:highlight w:val="none"/>
                <w:lang w:val="en-US" w:eastAsia="zh-CN"/>
              </w:rPr>
              <w:t>担保</w:t>
            </w:r>
            <w:r>
              <w:rPr>
                <w:rFonts w:hint="eastAsia" w:ascii="宋体" w:hAnsi="宋体" w:eastAsia="宋体" w:cs="宋体"/>
                <w:color w:val="auto"/>
                <w:szCs w:val="21"/>
                <w:highlight w:val="none"/>
              </w:rPr>
              <w:t>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（4）为取得履约担保所需的费用，由中标人承担；若工期延误，履约担保时间延长，延长费用由中标人承担。</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（6）下列任何情况发生时，采购人有权行使享有的担保权利：</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①中标人将本项目转让给他人，或者在投标文件中未说明，且未经采购人同意，将中标项目分包给他人的；</w:t>
            </w:r>
          </w:p>
          <w:p>
            <w:pPr>
              <w:shd w:val="clear"/>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②中标人在履行采购合同期间，违反有关法律法规的规定及合同约定的条款，损害了采购人的利益。</w:t>
            </w:r>
          </w:p>
          <w:p>
            <w:pPr>
              <w:shd w:val="clear"/>
              <w:jc w:val="both"/>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（7）在整个项目验收合格后，中标人向采购人提交退回履约担保的申请，采购人办理履约担保退还手续。</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452" w:hRule="atLeast"/>
        </w:trPr>
        <w:tc>
          <w:tcPr>
            <w:tcW w:w="873" w:type="dxa"/>
            <w:vMerge w:val="restart"/>
            <w:tcBorders>
              <w:tl2br w:val="nil"/>
              <w:tr2bl w:val="nil"/>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7489" w:type="dxa"/>
            <w:gridSpan w:val="2"/>
            <w:tcBorders>
              <w:tl2br w:val="nil"/>
              <w:tr2bl w:val="nil"/>
            </w:tcBorders>
            <w:vAlign w:val="center"/>
          </w:tcPr>
          <w:p>
            <w:pPr>
              <w:shd w:val="clear"/>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中标服务费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607" w:hRule="atLeast"/>
        </w:trPr>
        <w:tc>
          <w:tcPr>
            <w:tcW w:w="873" w:type="dxa"/>
            <w:vMerge w:val="continue"/>
            <w:tcBorders>
              <w:tl2br w:val="nil"/>
              <w:tr2bl w:val="nil"/>
            </w:tcBorders>
            <w:vAlign w:val="center"/>
          </w:tcPr>
          <w:p>
            <w:pPr>
              <w:shd w:val="clear"/>
              <w:jc w:val="both"/>
              <w:rPr>
                <w:rFonts w:hint="eastAsia" w:ascii="宋体" w:hAnsi="宋体" w:eastAsia="宋体" w:cs="宋体"/>
                <w:color w:val="auto"/>
                <w:highlight w:val="none"/>
              </w:rPr>
            </w:pPr>
          </w:p>
        </w:tc>
        <w:tc>
          <w:tcPr>
            <w:tcW w:w="7489" w:type="dxa"/>
            <w:gridSpan w:val="2"/>
            <w:tcBorders>
              <w:tl2br w:val="nil"/>
              <w:tr2bl w:val="nil"/>
            </w:tcBorders>
            <w:vAlign w:val="center"/>
          </w:tcPr>
          <w:p>
            <w:pPr>
              <w:shd w:val="clear"/>
              <w:jc w:val="both"/>
              <w:rPr>
                <w:rFonts w:hint="eastAsia" w:ascii="宋体" w:hAnsi="宋体" w:eastAsia="宋体" w:cs="宋体"/>
                <w:color w:val="auto"/>
                <w:szCs w:val="21"/>
                <w:highlight w:val="none"/>
              </w:rPr>
            </w:pPr>
            <w:r>
              <w:rPr>
                <w:rFonts w:hint="eastAsia" w:ascii="宋体" w:hAnsi="宋体"/>
                <w:color w:val="auto"/>
                <w:szCs w:val="21"/>
                <w:highlight w:val="none"/>
              </w:rPr>
              <w:t>本项目</w:t>
            </w:r>
            <w:r>
              <w:rPr>
                <w:rFonts w:hint="eastAsia" w:ascii="宋体" w:hAnsi="宋体"/>
                <w:color w:val="auto"/>
                <w:szCs w:val="21"/>
                <w:highlight w:val="none"/>
                <w:lang w:val="en-US" w:eastAsia="zh-CN"/>
              </w:rPr>
              <w:t>中标</w:t>
            </w:r>
            <w:r>
              <w:rPr>
                <w:rFonts w:hint="eastAsia" w:ascii="宋体" w:hAnsi="宋体"/>
                <w:color w:val="auto"/>
                <w:szCs w:val="21"/>
                <w:highlight w:val="none"/>
              </w:rPr>
              <w:t>服务费由</w:t>
            </w:r>
            <w:r>
              <w:rPr>
                <w:rFonts w:hint="eastAsia" w:ascii="宋体" w:hAnsi="宋体"/>
                <w:color w:val="auto"/>
                <w:szCs w:val="21"/>
                <w:highlight w:val="none"/>
                <w:lang w:val="en-US" w:eastAsia="zh-CN"/>
              </w:rPr>
              <w:t>采购人</w:t>
            </w:r>
            <w:r>
              <w:rPr>
                <w:rFonts w:hint="eastAsia" w:ascii="宋体" w:hAnsi="宋体"/>
                <w:color w:val="auto"/>
                <w:szCs w:val="21"/>
                <w:highlight w:val="none"/>
              </w:rPr>
              <w:t>支付。</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820" w:hRule="atLeast"/>
        </w:trPr>
        <w:tc>
          <w:tcPr>
            <w:tcW w:w="8362" w:type="dxa"/>
            <w:gridSpan w:val="3"/>
            <w:tcBorders>
              <w:tl2br w:val="nil"/>
              <w:tr2bl w:val="nil"/>
            </w:tcBorders>
            <w:vAlign w:val="center"/>
          </w:tcPr>
          <w:p>
            <w:pPr>
              <w:widowControl w:val="0"/>
              <w:shd w:val="clear"/>
              <w:tabs>
                <w:tab w:val="left" w:pos="907"/>
              </w:tabs>
              <w:adjustRightInd/>
              <w:snapToGrid/>
              <w:ind w:firstLine="420" w:firstLineChars="2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注：本表关于要采购项目的具体资料，是对投标人须知的具体补充和修改，如有矛盾，应以本资料表为准。不满足采购文件中 “★”条款的投标文件将作无效投标处理。</w:t>
            </w:r>
          </w:p>
        </w:tc>
      </w:tr>
    </w:tbl>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br w:type="page"/>
      </w:r>
    </w:p>
    <w:p>
      <w:pPr>
        <w:shd w:val="clear"/>
        <w:spacing w:before="0" w:after="0" w:line="240" w:lineRule="auto"/>
        <w:jc w:val="center"/>
        <w:outlineLvl w:val="1"/>
        <w:rPr>
          <w:rFonts w:hint="eastAsia" w:ascii="宋体" w:hAnsi="宋体" w:eastAsia="宋体" w:cs="宋体"/>
          <w:b/>
          <w:bCs/>
          <w:color w:val="auto"/>
          <w:sz w:val="21"/>
          <w:szCs w:val="21"/>
          <w:highlight w:val="none"/>
        </w:rPr>
      </w:pPr>
      <w:bookmarkStart w:id="4" w:name="_Toc29484"/>
      <w:r>
        <w:rPr>
          <w:rFonts w:hint="eastAsia" w:ascii="宋体" w:hAnsi="宋体" w:eastAsia="宋体" w:cs="宋体"/>
          <w:b/>
          <w:bCs/>
          <w:color w:val="auto"/>
          <w:sz w:val="24"/>
          <w:szCs w:val="24"/>
          <w:highlight w:val="none"/>
        </w:rPr>
        <w:t>附表二：商务技术评分及价格权重表（满分100分）</w:t>
      </w:r>
      <w:bookmarkEnd w:id="4"/>
    </w:p>
    <w:tbl>
      <w:tblPr>
        <w:tblStyle w:val="4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
      <w:tblGrid>
        <w:gridCol w:w="710"/>
        <w:gridCol w:w="1110"/>
        <w:gridCol w:w="735"/>
        <w:gridCol w:w="5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序号</w:t>
            </w:r>
          </w:p>
        </w:tc>
        <w:tc>
          <w:tcPr>
            <w:tcW w:w="11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评分内容</w:t>
            </w:r>
          </w:p>
        </w:tc>
        <w:tc>
          <w:tcPr>
            <w:tcW w:w="735"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分值</w:t>
            </w:r>
          </w:p>
        </w:tc>
        <w:tc>
          <w:tcPr>
            <w:tcW w:w="5967"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8522" w:type="dxa"/>
            <w:gridSpan w:val="4"/>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商务评分（</w:t>
            </w:r>
            <w:r>
              <w:rPr>
                <w:rFonts w:hint="eastAsia" w:ascii="宋体" w:hAnsi="宋体" w:cs="宋体"/>
                <w:bCs/>
                <w:color w:val="auto"/>
                <w:sz w:val="21"/>
                <w:szCs w:val="21"/>
                <w:highlight w:val="none"/>
                <w:lang w:val="en-US" w:eastAsia="zh-CN" w:bidi="ar-SA"/>
              </w:rPr>
              <w:t>2</w:t>
            </w:r>
            <w:r>
              <w:rPr>
                <w:rFonts w:hint="eastAsia" w:ascii="宋体" w:hAnsi="宋体" w:eastAsia="宋体" w:cs="宋体"/>
                <w:bCs/>
                <w:color w:val="auto"/>
                <w:sz w:val="21"/>
                <w:szCs w:val="21"/>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w:t>
            </w:r>
          </w:p>
        </w:tc>
        <w:tc>
          <w:tcPr>
            <w:tcW w:w="11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同类项目</w:t>
            </w:r>
          </w:p>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业绩</w:t>
            </w:r>
          </w:p>
        </w:tc>
        <w:tc>
          <w:tcPr>
            <w:tcW w:w="735"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12</w:t>
            </w:r>
            <w:r>
              <w:rPr>
                <w:rFonts w:hint="eastAsia" w:ascii="宋体" w:hAnsi="宋体" w:eastAsia="宋体" w:cs="宋体"/>
                <w:bCs/>
                <w:color w:val="auto"/>
                <w:sz w:val="21"/>
                <w:szCs w:val="21"/>
                <w:highlight w:val="none"/>
                <w:lang w:val="en-US" w:eastAsia="zh-CN" w:bidi="ar-SA"/>
              </w:rPr>
              <w:t>分</w:t>
            </w:r>
          </w:p>
        </w:tc>
        <w:tc>
          <w:tcPr>
            <w:tcW w:w="5967" w:type="dxa"/>
            <w:noWrap w:val="0"/>
            <w:vAlign w:val="center"/>
          </w:tcPr>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供应商</w:t>
            </w:r>
            <w:r>
              <w:rPr>
                <w:rFonts w:hint="eastAsia" w:ascii="宋体" w:hAnsi="宋体" w:cs="宋体"/>
                <w:color w:val="auto"/>
                <w:kern w:val="2"/>
                <w:sz w:val="21"/>
                <w:szCs w:val="21"/>
                <w:highlight w:val="none"/>
                <w:lang w:val="en-US" w:eastAsia="zh-CN"/>
              </w:rPr>
              <w:t>具有</w:t>
            </w:r>
            <w:r>
              <w:rPr>
                <w:rFonts w:hint="eastAsia" w:ascii="宋体" w:hAnsi="宋体" w:eastAsia="宋体" w:cs="宋体"/>
                <w:color w:val="auto"/>
                <w:kern w:val="2"/>
                <w:sz w:val="21"/>
                <w:szCs w:val="21"/>
                <w:highlight w:val="none"/>
              </w:rPr>
              <w:t>自2</w:t>
            </w:r>
            <w:r>
              <w:rPr>
                <w:rFonts w:hint="eastAsia" w:ascii="宋体" w:hAnsi="宋体" w:eastAsia="宋体" w:cs="宋体"/>
                <w:color w:val="auto"/>
                <w:kern w:val="2"/>
                <w:sz w:val="21"/>
                <w:szCs w:val="21"/>
                <w:highlight w:val="none"/>
                <w:lang w:val="en-US" w:eastAsia="zh-CN"/>
              </w:rPr>
              <w:t>02</w:t>
            </w:r>
            <w:r>
              <w:rPr>
                <w:rFonts w:hint="eastAsia" w:ascii="宋体" w:hAnsi="宋体" w:cs="宋体"/>
                <w:color w:val="auto"/>
                <w:kern w:val="2"/>
                <w:sz w:val="21"/>
                <w:szCs w:val="21"/>
                <w:highlight w:val="none"/>
                <w:lang w:val="en-US" w:eastAsia="zh-CN"/>
              </w:rPr>
              <w:t>1</w:t>
            </w:r>
            <w:r>
              <w:rPr>
                <w:rFonts w:hint="eastAsia" w:ascii="宋体" w:hAnsi="宋体" w:eastAsia="宋体" w:cs="宋体"/>
                <w:color w:val="auto"/>
                <w:kern w:val="2"/>
                <w:sz w:val="21"/>
                <w:szCs w:val="21"/>
                <w:highlight w:val="none"/>
              </w:rPr>
              <w:t>年</w:t>
            </w:r>
            <w:r>
              <w:rPr>
                <w:rFonts w:hint="eastAsia" w:ascii="宋体" w:hAnsi="宋体" w:cs="宋体"/>
                <w:color w:val="auto"/>
                <w:kern w:val="2"/>
                <w:sz w:val="21"/>
                <w:szCs w:val="21"/>
                <w:highlight w:val="none"/>
                <w:lang w:val="en-US" w:eastAsia="zh-CN"/>
              </w:rPr>
              <w:t>06</w:t>
            </w:r>
            <w:r>
              <w:rPr>
                <w:rFonts w:hint="eastAsia" w:ascii="宋体" w:hAnsi="宋体" w:eastAsia="宋体" w:cs="宋体"/>
                <w:color w:val="auto"/>
                <w:kern w:val="2"/>
                <w:sz w:val="21"/>
                <w:szCs w:val="21"/>
                <w:highlight w:val="none"/>
              </w:rPr>
              <w:t>月</w:t>
            </w:r>
            <w:r>
              <w:rPr>
                <w:rFonts w:hint="eastAsia" w:ascii="宋体" w:hAnsi="宋体" w:cs="宋体"/>
                <w:color w:val="auto"/>
                <w:kern w:val="2"/>
                <w:sz w:val="21"/>
                <w:szCs w:val="21"/>
                <w:highlight w:val="none"/>
                <w:lang w:val="en-US" w:eastAsia="zh-CN"/>
              </w:rPr>
              <w:t>0</w:t>
            </w:r>
            <w:r>
              <w:rPr>
                <w:rFonts w:hint="eastAsia" w:ascii="宋体" w:hAnsi="宋体" w:eastAsia="宋体" w:cs="宋体"/>
                <w:color w:val="auto"/>
                <w:kern w:val="2"/>
                <w:sz w:val="21"/>
                <w:szCs w:val="21"/>
                <w:highlight w:val="none"/>
              </w:rPr>
              <w:t>1日以来（以合同签订的时间为准）承接的</w:t>
            </w:r>
            <w:r>
              <w:rPr>
                <w:rFonts w:hint="eastAsia" w:ascii="宋体" w:hAnsi="宋体" w:cs="宋体"/>
                <w:color w:val="auto"/>
                <w:kern w:val="2"/>
                <w:sz w:val="21"/>
                <w:szCs w:val="21"/>
                <w:highlight w:val="none"/>
                <w:lang w:val="en-US" w:eastAsia="zh-CN"/>
              </w:rPr>
              <w:t>同类评估服务项目业绩</w:t>
            </w:r>
            <w:r>
              <w:rPr>
                <w:rFonts w:hint="eastAsia" w:ascii="宋体" w:hAnsi="宋体" w:eastAsia="宋体" w:cs="宋体"/>
                <w:color w:val="auto"/>
                <w:kern w:val="2"/>
                <w:sz w:val="21"/>
                <w:szCs w:val="21"/>
                <w:highlight w:val="none"/>
              </w:rPr>
              <w:t>，每提供一个有效合同业绩得</w:t>
            </w:r>
            <w:r>
              <w:rPr>
                <w:rFonts w:hint="eastAsia" w:ascii="宋体" w:hAnsi="宋体" w:cs="宋体"/>
                <w:color w:val="auto"/>
                <w:kern w:val="2"/>
                <w:sz w:val="21"/>
                <w:szCs w:val="21"/>
                <w:highlight w:val="none"/>
                <w:lang w:val="en-US" w:eastAsia="zh-CN"/>
              </w:rPr>
              <w:t>2</w:t>
            </w:r>
            <w:r>
              <w:rPr>
                <w:rFonts w:hint="eastAsia" w:ascii="宋体" w:hAnsi="宋体" w:eastAsia="宋体" w:cs="宋体"/>
                <w:color w:val="auto"/>
                <w:kern w:val="2"/>
                <w:sz w:val="21"/>
                <w:szCs w:val="21"/>
                <w:highlight w:val="none"/>
              </w:rPr>
              <w:t>分，本项最高得</w:t>
            </w:r>
            <w:r>
              <w:rPr>
                <w:rFonts w:hint="eastAsia" w:ascii="宋体" w:hAnsi="宋体" w:cs="宋体"/>
                <w:color w:val="auto"/>
                <w:kern w:val="2"/>
                <w:sz w:val="21"/>
                <w:szCs w:val="21"/>
                <w:highlight w:val="none"/>
                <w:lang w:val="en-US" w:eastAsia="zh-CN"/>
              </w:rPr>
              <w:t>12</w:t>
            </w:r>
            <w:r>
              <w:rPr>
                <w:rFonts w:hint="eastAsia" w:ascii="宋体" w:hAnsi="宋体" w:eastAsia="宋体" w:cs="宋体"/>
                <w:color w:val="auto"/>
                <w:kern w:val="2"/>
                <w:sz w:val="21"/>
                <w:szCs w:val="21"/>
                <w:highlight w:val="none"/>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kern w:val="2"/>
                <w:sz w:val="21"/>
                <w:szCs w:val="21"/>
                <w:highlight w:val="none"/>
              </w:rPr>
              <w:t>注：须提供合同关键页复印件</w:t>
            </w:r>
            <w:r>
              <w:rPr>
                <w:rFonts w:hint="eastAsia" w:ascii="宋体" w:hAnsi="宋体" w:cs="宋体"/>
                <w:b/>
                <w:bCs/>
                <w:color w:val="auto"/>
                <w:kern w:val="2"/>
                <w:sz w:val="21"/>
                <w:szCs w:val="21"/>
                <w:highlight w:val="none"/>
                <w:lang w:val="en-US" w:eastAsia="zh-CN"/>
              </w:rPr>
              <w:t>及</w:t>
            </w:r>
            <w:r>
              <w:rPr>
                <w:rFonts w:ascii="宋体" w:hAnsi="宋体"/>
                <w:b/>
                <w:bCs/>
                <w:color w:val="auto"/>
                <w:szCs w:val="21"/>
                <w:highlight w:val="none"/>
              </w:rPr>
              <w:t>合同期内任意发票</w:t>
            </w:r>
            <w:r>
              <w:rPr>
                <w:rFonts w:hint="eastAsia" w:ascii="宋体" w:hAnsi="宋体" w:eastAsia="宋体" w:cs="宋体"/>
                <w:b/>
                <w:bCs/>
                <w:color w:val="auto"/>
                <w:kern w:val="2"/>
                <w:sz w:val="21"/>
                <w:szCs w:val="21"/>
                <w:highlight w:val="none"/>
              </w:rPr>
              <w:t>加盖供应商公章，以</w:t>
            </w:r>
            <w:r>
              <w:rPr>
                <w:rFonts w:hint="eastAsia" w:ascii="宋体" w:hAnsi="宋体" w:eastAsia="宋体" w:cs="宋体"/>
                <w:b/>
                <w:bCs/>
                <w:color w:val="auto"/>
                <w:sz w:val="21"/>
                <w:szCs w:val="21"/>
                <w:highlight w:val="none"/>
                <w:lang w:val="en-US" w:eastAsia="zh-CN"/>
              </w:rPr>
              <w:t>合同</w:t>
            </w:r>
            <w:r>
              <w:rPr>
                <w:rFonts w:hint="eastAsia" w:ascii="宋体" w:hAnsi="宋体" w:eastAsia="宋体" w:cs="宋体"/>
                <w:b/>
                <w:bCs/>
                <w:color w:val="auto"/>
                <w:kern w:val="2"/>
                <w:sz w:val="21"/>
                <w:szCs w:val="21"/>
                <w:highlight w:val="none"/>
              </w:rPr>
              <w:t>签订时间为准，一个合同为一项业绩，不可重复计分。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p>
        </w:tc>
        <w:tc>
          <w:tcPr>
            <w:tcW w:w="1110" w:type="dxa"/>
            <w:noWrap w:val="0"/>
            <w:vAlign w:val="center"/>
          </w:tcPr>
          <w:p>
            <w:pPr>
              <w:pStyle w:val="53"/>
              <w:shd w:val="clear"/>
              <w:spacing w:line="360" w:lineRule="auto"/>
              <w:ind w:firstLine="0" w:firstLineChars="0"/>
              <w:jc w:val="center"/>
              <w:rPr>
                <w:rFonts w:hint="eastAsia" w:ascii="宋体" w:hAnsi="宋体" w:eastAsia="宋体" w:cs="宋体"/>
                <w:bCs/>
                <w:color w:val="auto"/>
                <w:sz w:val="21"/>
                <w:szCs w:val="21"/>
                <w:highlight w:val="none"/>
                <w:lang w:val="en-US" w:eastAsia="zh-CN" w:bidi="ar-SA"/>
              </w:rPr>
            </w:pPr>
            <w:r>
              <w:rPr>
                <w:rFonts w:hint="eastAsia" w:ascii="宋体" w:eastAsia="宋体" w:cs="宋体"/>
                <w:color w:val="auto"/>
                <w:sz w:val="21"/>
                <w:szCs w:val="21"/>
                <w:highlight w:val="none"/>
                <w:u w:val="none"/>
              </w:rPr>
              <w:t>体系</w:t>
            </w:r>
            <w:r>
              <w:rPr>
                <w:rFonts w:hint="eastAsia" w:ascii="宋体" w:eastAsia="宋体" w:cs="宋体"/>
                <w:color w:val="auto"/>
                <w:sz w:val="21"/>
                <w:szCs w:val="21"/>
                <w:highlight w:val="none"/>
                <w:u w:val="none"/>
                <w:lang w:eastAsia="zh-CN"/>
              </w:rPr>
              <w:t>认证</w:t>
            </w:r>
          </w:p>
        </w:tc>
        <w:tc>
          <w:tcPr>
            <w:tcW w:w="735" w:type="dxa"/>
            <w:noWrap w:val="0"/>
            <w:vAlign w:val="center"/>
          </w:tcPr>
          <w:p>
            <w:pPr>
              <w:pStyle w:val="53"/>
              <w:shd w:val="clear"/>
              <w:spacing w:line="360" w:lineRule="auto"/>
              <w:ind w:firstLine="0" w:firstLineChars="0"/>
              <w:jc w:val="center"/>
              <w:rPr>
                <w:rFonts w:hint="eastAsia" w:ascii="宋体" w:hAnsi="宋体" w:eastAsia="宋体" w:cs="宋体"/>
                <w:b/>
                <w:bCs/>
                <w:color w:val="auto"/>
                <w:sz w:val="21"/>
                <w:szCs w:val="21"/>
                <w:highlight w:val="none"/>
                <w:lang w:val="en-US" w:eastAsia="zh-CN"/>
              </w:rPr>
            </w:pPr>
            <w:r>
              <w:rPr>
                <w:rFonts w:hint="eastAsia" w:ascii="宋体" w:eastAsia="宋体" w:cs="宋体"/>
                <w:color w:val="auto"/>
                <w:sz w:val="21"/>
                <w:szCs w:val="21"/>
                <w:highlight w:val="none"/>
                <w:u w:val="none"/>
                <w:lang w:val="en-US" w:eastAsia="zh-CN"/>
              </w:rPr>
              <w:t>3分</w:t>
            </w:r>
          </w:p>
        </w:tc>
        <w:tc>
          <w:tcPr>
            <w:tcW w:w="5967" w:type="dxa"/>
            <w:noWrap w:val="0"/>
            <w:vAlign w:val="center"/>
          </w:tcPr>
          <w:p>
            <w:pPr>
              <w:shd w:val="clear" w:color="auto"/>
              <w:spacing w:line="360" w:lineRule="auto"/>
              <w:rPr>
                <w:rFonts w:hint="eastAsia" w:ascii="宋体" w:hAnsi="宋体" w:eastAsia="宋体" w:cs="宋体"/>
                <w:color w:val="auto"/>
                <w:sz w:val="21"/>
                <w:szCs w:val="21"/>
                <w:highlight w:val="none"/>
                <w:lang w:val="en-US" w:eastAsia="zh-CN"/>
              </w:rPr>
            </w:pPr>
            <w:r>
              <w:rPr>
                <w:rFonts w:hint="eastAsia" w:ascii="宋体" w:eastAsia="宋体" w:cs="宋体"/>
                <w:bCs/>
                <w:color w:val="auto"/>
                <w:sz w:val="21"/>
                <w:szCs w:val="21"/>
                <w:highlight w:val="none"/>
                <w:u w:val="none"/>
              </w:rPr>
              <w:t>投</w:t>
            </w:r>
            <w:r>
              <w:rPr>
                <w:rFonts w:hint="eastAsia" w:ascii="宋体" w:hAnsi="宋体" w:eastAsia="宋体" w:cs="宋体"/>
                <w:color w:val="auto"/>
                <w:sz w:val="21"/>
                <w:szCs w:val="21"/>
                <w:highlight w:val="none"/>
                <w:lang w:val="en-US" w:eastAsia="zh-CN"/>
              </w:rPr>
              <w:t>标人具有由国家认证认可监督管理部门批准设立的认证机构颁发并在有效期内的认证证书：</w:t>
            </w:r>
          </w:p>
          <w:p>
            <w:pPr>
              <w:shd w:val="clear" w:color="auto"/>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质量管理体系认证；</w:t>
            </w:r>
          </w:p>
          <w:p>
            <w:pPr>
              <w:shd w:val="clear" w:color="auto"/>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环境管理体系认证；</w:t>
            </w:r>
          </w:p>
          <w:p>
            <w:pPr>
              <w:shd w:val="clear" w:color="auto"/>
              <w:spacing w:line="360" w:lineRule="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职业健康安全管理体系认证；</w:t>
            </w:r>
          </w:p>
          <w:p>
            <w:pPr>
              <w:shd w:val="clear" w:color="auto"/>
              <w:spacing w:line="360" w:lineRule="auto"/>
              <w:rPr>
                <w:rFonts w:hint="eastAsia" w:ascii="宋体" w:hAnsi="宋体" w:eastAsia="宋体" w:cs="宋体"/>
                <w:b w:val="0"/>
                <w:bCs w:val="0"/>
                <w:color w:val="auto"/>
                <w:sz w:val="21"/>
                <w:szCs w:val="21"/>
                <w:highlight w:val="none"/>
                <w:u w:val="none"/>
                <w:lang w:val="en-US" w:eastAsia="zh-CN"/>
              </w:rPr>
            </w:pPr>
            <w:r>
              <w:rPr>
                <w:rFonts w:hint="eastAsia" w:ascii="宋体" w:eastAsia="宋体" w:cs="宋体"/>
                <w:b/>
                <w:bCs w:val="0"/>
                <w:color w:val="auto"/>
                <w:sz w:val="21"/>
                <w:szCs w:val="21"/>
                <w:highlight w:val="none"/>
                <w:u w:val="none"/>
                <w:lang w:val="zh-CN"/>
              </w:rPr>
              <w:t>注：投标人</w:t>
            </w:r>
            <w:r>
              <w:rPr>
                <w:rFonts w:hint="eastAsia" w:ascii="宋体" w:eastAsia="宋体" w:cs="宋体"/>
                <w:b/>
                <w:bCs w:val="0"/>
                <w:color w:val="auto"/>
                <w:sz w:val="21"/>
                <w:szCs w:val="21"/>
                <w:highlight w:val="none"/>
                <w:u w:val="none"/>
              </w:rPr>
              <w:t>每提供一项得</w:t>
            </w:r>
            <w:r>
              <w:rPr>
                <w:rFonts w:hint="eastAsia" w:ascii="宋体" w:cs="宋体"/>
                <w:b/>
                <w:bCs w:val="0"/>
                <w:color w:val="auto"/>
                <w:sz w:val="21"/>
                <w:szCs w:val="21"/>
                <w:highlight w:val="none"/>
                <w:u w:val="none"/>
                <w:lang w:val="en-US" w:eastAsia="zh-CN"/>
              </w:rPr>
              <w:t>1</w:t>
            </w:r>
            <w:r>
              <w:rPr>
                <w:rFonts w:hint="eastAsia" w:ascii="宋体" w:eastAsia="宋体" w:cs="宋体"/>
                <w:b/>
                <w:bCs w:val="0"/>
                <w:color w:val="auto"/>
                <w:sz w:val="21"/>
                <w:szCs w:val="21"/>
                <w:highlight w:val="none"/>
                <w:u w:val="none"/>
              </w:rPr>
              <w:t>分，本项最高得</w:t>
            </w:r>
            <w:r>
              <w:rPr>
                <w:rFonts w:hint="eastAsia" w:ascii="宋体" w:cs="宋体"/>
                <w:b/>
                <w:bCs w:val="0"/>
                <w:color w:val="auto"/>
                <w:sz w:val="21"/>
                <w:szCs w:val="21"/>
                <w:highlight w:val="none"/>
                <w:u w:val="none"/>
                <w:lang w:val="en-US" w:eastAsia="zh-CN"/>
              </w:rPr>
              <w:t>3</w:t>
            </w:r>
            <w:r>
              <w:rPr>
                <w:rFonts w:hint="eastAsia" w:ascii="宋体" w:eastAsia="宋体" w:cs="宋体"/>
                <w:b/>
                <w:bCs w:val="0"/>
                <w:color w:val="auto"/>
                <w:sz w:val="21"/>
                <w:szCs w:val="21"/>
                <w:highlight w:val="none"/>
                <w:u w:val="none"/>
              </w:rPr>
              <w:t>分</w:t>
            </w:r>
            <w:r>
              <w:rPr>
                <w:rFonts w:hint="eastAsia" w:ascii="宋体" w:eastAsia="宋体" w:cs="宋体"/>
                <w:b/>
                <w:bCs w:val="0"/>
                <w:color w:val="auto"/>
                <w:sz w:val="21"/>
                <w:szCs w:val="21"/>
                <w:highlight w:val="none"/>
                <w:u w:val="none"/>
                <w:lang w:eastAsia="zh-CN"/>
              </w:rPr>
              <w:t>。</w:t>
            </w:r>
            <w:r>
              <w:rPr>
                <w:rFonts w:hint="eastAsia" w:ascii="宋体" w:eastAsia="宋体" w:cs="宋体"/>
                <w:b/>
                <w:bCs w:val="0"/>
                <w:color w:val="auto"/>
                <w:sz w:val="21"/>
                <w:szCs w:val="21"/>
                <w:highlight w:val="none"/>
                <w:u w:val="none"/>
                <w:lang w:val="zh-CN"/>
              </w:rPr>
              <w:t>提供上述有效证书复印件及能显示证书有效状态的全国认证认可信息公共服务平台（http://cx.cnca.cn/）查询结果截图</w:t>
            </w:r>
            <w:r>
              <w:rPr>
                <w:rFonts w:hint="eastAsia" w:ascii="宋体" w:eastAsia="宋体" w:cs="宋体"/>
                <w:b/>
                <w:bCs w:val="0"/>
                <w:color w:val="auto"/>
                <w:sz w:val="21"/>
                <w:szCs w:val="21"/>
                <w:highlight w:val="none"/>
                <w:u w:val="none"/>
                <w:lang w:val="en-US" w:eastAsia="zh-CN"/>
              </w:rPr>
              <w:t>并</w:t>
            </w:r>
            <w:r>
              <w:rPr>
                <w:rFonts w:hint="eastAsia" w:ascii="宋体" w:eastAsia="宋体" w:cs="宋体"/>
                <w:b/>
                <w:bCs w:val="0"/>
                <w:color w:val="auto"/>
                <w:sz w:val="21"/>
                <w:szCs w:val="21"/>
                <w:highlight w:val="none"/>
                <w:u w:val="none"/>
                <w:lang w:val="zh-CN"/>
              </w:rPr>
              <w:t>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3</w:t>
            </w:r>
          </w:p>
        </w:tc>
        <w:tc>
          <w:tcPr>
            <w:tcW w:w="1110" w:type="dxa"/>
            <w:noWrap w:val="0"/>
            <w:vAlign w:val="center"/>
          </w:tcPr>
          <w:p>
            <w:pPr>
              <w:shd w:val="clear"/>
              <w:spacing w:line="360" w:lineRule="auto"/>
              <w:jc w:val="center"/>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拟投入项目人员</w:t>
            </w:r>
          </w:p>
        </w:tc>
        <w:tc>
          <w:tcPr>
            <w:tcW w:w="735" w:type="dxa"/>
            <w:noWrap w:val="0"/>
            <w:vAlign w:val="center"/>
          </w:tcPr>
          <w:p>
            <w:pPr>
              <w:shd w:val="clear"/>
              <w:spacing w:line="360" w:lineRule="auto"/>
              <w:jc w:val="center"/>
              <w:rPr>
                <w:rFonts w:hint="default" w:ascii="宋体" w:hAnsi="宋体" w:cs="宋体"/>
                <w:color w:val="auto"/>
                <w:kern w:val="2"/>
                <w:sz w:val="21"/>
                <w:szCs w:val="21"/>
                <w:highlight w:val="none"/>
                <w:lang w:val="en-US" w:eastAsia="zh-CN"/>
              </w:rPr>
            </w:pPr>
            <w:r>
              <w:rPr>
                <w:rFonts w:hint="eastAsia" w:ascii="宋体" w:hAnsi="宋体" w:cs="宋体"/>
                <w:color w:val="auto"/>
                <w:kern w:val="2"/>
                <w:sz w:val="21"/>
                <w:szCs w:val="21"/>
                <w:highlight w:val="none"/>
                <w:lang w:val="en-US" w:eastAsia="zh-CN"/>
              </w:rPr>
              <w:t>7分</w:t>
            </w:r>
          </w:p>
        </w:tc>
        <w:tc>
          <w:tcPr>
            <w:tcW w:w="5967" w:type="dxa"/>
            <w:noWrap w:val="0"/>
            <w:vAlign w:val="center"/>
          </w:tcPr>
          <w:p>
            <w:pPr>
              <w:widowControl/>
              <w:shd w:val="clear"/>
              <w:spacing w:line="360" w:lineRule="auto"/>
              <w:jc w:val="left"/>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根据投标人拟投入本项目的人员情况进行评审：</w:t>
            </w:r>
          </w:p>
          <w:p>
            <w:pPr>
              <w:pStyle w:val="88"/>
              <w:numPr>
                <w:ilvl w:val="0"/>
                <w:numId w:val="2"/>
              </w:numPr>
              <w:shd w:val="clear"/>
              <w:spacing w:after="0" w:line="360" w:lineRule="auto"/>
              <w:rPr>
                <w:rFonts w:hint="eastAsia" w:ascii="宋体" w:hAnsi="宋体" w:eastAsia="宋体" w:cs="宋体"/>
                <w:b w:val="0"/>
                <w:bCs w:val="0"/>
                <w:color w:val="auto"/>
                <w:sz w:val="21"/>
                <w:szCs w:val="21"/>
                <w:highlight w:val="none"/>
              </w:rPr>
            </w:pPr>
            <w:bookmarkStart w:id="5" w:name="OLE_LINK10"/>
            <w:r>
              <w:rPr>
                <w:rFonts w:hint="eastAsia" w:ascii="宋体" w:hAnsi="宋体" w:cs="宋体"/>
                <w:b w:val="0"/>
                <w:bCs w:val="0"/>
                <w:color w:val="auto"/>
                <w:sz w:val="21"/>
                <w:szCs w:val="21"/>
                <w:highlight w:val="none"/>
                <w:lang w:val="en-US" w:eastAsia="zh-CN"/>
              </w:rPr>
              <w:t>组长</w:t>
            </w:r>
            <w:bookmarkEnd w:id="5"/>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 xml:space="preserve">人）： </w:t>
            </w:r>
          </w:p>
          <w:p>
            <w:pPr>
              <w:pStyle w:val="88"/>
              <w:numPr>
                <w:ilvl w:val="-1"/>
                <w:numId w:val="0"/>
              </w:numPr>
              <w:shd w:val="clear"/>
              <w:spacing w:after="0" w:line="360" w:lineRule="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组长具有对应专业的</w:t>
            </w:r>
            <w:r>
              <w:rPr>
                <w:rFonts w:hint="eastAsia" w:ascii="宋体" w:hAnsi="宋体" w:eastAsia="宋体" w:cs="宋体"/>
                <w:b w:val="0"/>
                <w:bCs w:val="0"/>
                <w:color w:val="auto"/>
                <w:sz w:val="21"/>
                <w:szCs w:val="21"/>
                <w:highlight w:val="none"/>
              </w:rPr>
              <w:t>高级</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或以上</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职称</w:t>
            </w:r>
            <w:r>
              <w:rPr>
                <w:rFonts w:hint="eastAsia" w:ascii="宋体" w:hAnsi="宋体" w:cs="宋体"/>
                <w:b w:val="0"/>
                <w:bCs w:val="0"/>
                <w:color w:val="auto"/>
                <w:sz w:val="21"/>
                <w:szCs w:val="21"/>
                <w:highlight w:val="none"/>
                <w:lang w:val="en-US" w:eastAsia="zh-CN"/>
              </w:rPr>
              <w:t>证书的，</w:t>
            </w:r>
            <w:r>
              <w:rPr>
                <w:rFonts w:hint="eastAsia" w:ascii="宋体" w:hAnsi="宋体" w:eastAsia="宋体" w:cs="宋体"/>
                <w:b w:val="0"/>
                <w:bCs w:val="0"/>
                <w:color w:val="auto"/>
                <w:sz w:val="21"/>
                <w:szCs w:val="21"/>
                <w:highlight w:val="none"/>
                <w:lang w:val="en-US" w:eastAsia="zh-CN"/>
              </w:rPr>
              <w:t>每提供1</w:t>
            </w:r>
            <w:r>
              <w:rPr>
                <w:rFonts w:hint="eastAsia" w:ascii="宋体" w:hAnsi="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，本小项最高得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w:t>
            </w:r>
          </w:p>
          <w:p>
            <w:pPr>
              <w:pStyle w:val="88"/>
              <w:numPr>
                <w:ilvl w:val="-1"/>
                <w:numId w:val="0"/>
              </w:numPr>
              <w:shd w:val="clear"/>
              <w:spacing w:after="0" w:line="360" w:lineRule="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cs="宋体"/>
                <w:b w:val="0"/>
                <w:bCs w:val="0"/>
                <w:color w:val="auto"/>
                <w:sz w:val="21"/>
                <w:szCs w:val="21"/>
                <w:highlight w:val="none"/>
                <w:lang w:val="en-US" w:eastAsia="zh-CN"/>
              </w:rPr>
              <w:t>同时</w:t>
            </w:r>
            <w:r>
              <w:rPr>
                <w:rFonts w:hint="eastAsia" w:ascii="宋体" w:hAnsi="宋体" w:eastAsia="宋体" w:cs="宋体"/>
                <w:b w:val="0"/>
                <w:bCs w:val="0"/>
                <w:color w:val="auto"/>
                <w:sz w:val="21"/>
                <w:szCs w:val="21"/>
                <w:highlight w:val="none"/>
              </w:rPr>
              <w:t>具有一级建造师执业资格</w:t>
            </w:r>
            <w:r>
              <w:rPr>
                <w:rFonts w:hint="eastAsia" w:ascii="宋体" w:hAnsi="宋体" w:cs="宋体"/>
                <w:b w:val="0"/>
                <w:bCs w:val="0"/>
                <w:color w:val="auto"/>
                <w:sz w:val="21"/>
                <w:szCs w:val="21"/>
                <w:highlight w:val="none"/>
                <w:lang w:val="en-US" w:eastAsia="zh-CN"/>
              </w:rPr>
              <w:t>和中级</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或以上</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注册安全工程师职业资格的</w:t>
            </w: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每提供1</w:t>
            </w:r>
            <w:r>
              <w:rPr>
                <w:rFonts w:hint="eastAsia" w:ascii="宋体" w:hAnsi="宋体" w:cs="宋体"/>
                <w:b w:val="0"/>
                <w:bCs w:val="0"/>
                <w:color w:val="auto"/>
                <w:sz w:val="21"/>
                <w:szCs w:val="21"/>
                <w:highlight w:val="none"/>
                <w:lang w:val="en-US" w:eastAsia="zh-CN"/>
              </w:rPr>
              <w:t>人</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val="en-US" w:eastAsia="zh-CN"/>
              </w:rPr>
              <w:t>，本小项最高得</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rPr>
              <w:t xml:space="preserve">。 </w:t>
            </w:r>
          </w:p>
          <w:p>
            <w:pPr>
              <w:pStyle w:val="88"/>
              <w:shd w:val="clear"/>
              <w:spacing w:after="0" w:line="360" w:lineRule="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2.团队成员（组长除外）：</w:t>
            </w:r>
          </w:p>
          <w:p>
            <w:pPr>
              <w:pStyle w:val="88"/>
              <w:shd w:val="clear"/>
              <w:spacing w:after="0" w:line="360" w:lineRule="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（1）项目团队成员具有对应专业的</w:t>
            </w:r>
            <w:r>
              <w:rPr>
                <w:rFonts w:hint="eastAsia" w:ascii="宋体" w:hAnsi="宋体" w:eastAsia="宋体" w:cs="宋体"/>
                <w:b w:val="0"/>
                <w:bCs w:val="0"/>
                <w:color w:val="auto"/>
                <w:sz w:val="21"/>
                <w:szCs w:val="21"/>
                <w:highlight w:val="none"/>
              </w:rPr>
              <w:t>高级</w:t>
            </w: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或以上</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职称</w:t>
            </w:r>
            <w:r>
              <w:rPr>
                <w:rFonts w:hint="eastAsia" w:ascii="宋体" w:hAnsi="宋体" w:cs="宋体"/>
                <w:b w:val="0"/>
                <w:bCs w:val="0"/>
                <w:color w:val="auto"/>
                <w:sz w:val="21"/>
                <w:szCs w:val="21"/>
                <w:highlight w:val="none"/>
                <w:lang w:val="en-US" w:eastAsia="zh-CN"/>
              </w:rPr>
              <w:t>证书</w:t>
            </w:r>
            <w:r>
              <w:rPr>
                <w:rFonts w:hint="eastAsia" w:ascii="宋体" w:hAnsi="宋体" w:eastAsia="宋体" w:cs="宋体"/>
                <w:b w:val="0"/>
                <w:bCs w:val="0"/>
                <w:color w:val="auto"/>
                <w:sz w:val="21"/>
                <w:szCs w:val="21"/>
                <w:highlight w:val="none"/>
              </w:rPr>
              <w:t>的</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每提供1人得1分，本小项最高得</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p>
          <w:p>
            <w:pPr>
              <w:pStyle w:val="88"/>
              <w:shd w:val="clear"/>
              <w:spacing w:after="0"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注：</w:t>
            </w:r>
            <w:r>
              <w:rPr>
                <w:rFonts w:hint="eastAsia" w:ascii="宋体" w:hAnsi="宋体" w:cs="宋体"/>
                <w:b/>
                <w:bCs/>
                <w:color w:val="auto"/>
                <w:sz w:val="21"/>
                <w:szCs w:val="21"/>
                <w:highlight w:val="none"/>
                <w:lang w:val="en-US" w:eastAsia="zh-CN"/>
              </w:rPr>
              <w:t>以上人员不重复得分。</w:t>
            </w:r>
            <w:r>
              <w:rPr>
                <w:rFonts w:hint="eastAsia" w:ascii="宋体" w:hAnsi="宋体" w:eastAsia="宋体" w:cs="宋体"/>
                <w:b/>
                <w:bCs/>
                <w:color w:val="auto"/>
                <w:sz w:val="21"/>
                <w:szCs w:val="21"/>
                <w:highlight w:val="none"/>
              </w:rPr>
              <w:t>提供</w:t>
            </w:r>
            <w:r>
              <w:rPr>
                <w:rFonts w:hint="eastAsia" w:ascii="宋体" w:hAnsi="宋体" w:cs="宋体"/>
                <w:b/>
                <w:bCs/>
                <w:color w:val="auto"/>
                <w:sz w:val="21"/>
                <w:szCs w:val="21"/>
                <w:highlight w:val="none"/>
                <w:lang w:val="en-US" w:eastAsia="zh-CN"/>
              </w:rPr>
              <w:t>人员相关</w:t>
            </w:r>
            <w:r>
              <w:rPr>
                <w:rFonts w:hint="eastAsia" w:ascii="宋体" w:hAnsi="宋体" w:eastAsia="宋体" w:cs="宋体"/>
                <w:b/>
                <w:bCs/>
                <w:color w:val="auto"/>
                <w:sz w:val="21"/>
                <w:szCs w:val="21"/>
                <w:highlight w:val="none"/>
              </w:rPr>
              <w:t>证书复印件及投标人为其缴纳的投标前六个月（不含投标当月）任意连续不少于三个月</w:t>
            </w:r>
            <w:r>
              <w:rPr>
                <w:rFonts w:hint="eastAsia" w:ascii="宋体" w:hAnsi="宋体" w:cs="宋体"/>
                <w:b/>
                <w:bCs/>
                <w:color w:val="auto"/>
                <w:sz w:val="21"/>
                <w:szCs w:val="21"/>
                <w:highlight w:val="none"/>
                <w:lang w:val="en-US" w:eastAsia="zh-CN"/>
              </w:rPr>
              <w:t>的</w:t>
            </w:r>
            <w:r>
              <w:rPr>
                <w:rFonts w:hint="eastAsia" w:ascii="宋体" w:hAnsi="宋体" w:eastAsia="宋体" w:cs="宋体"/>
                <w:b/>
                <w:bCs/>
                <w:color w:val="auto"/>
                <w:sz w:val="21"/>
                <w:szCs w:val="21"/>
                <w:highlight w:val="none"/>
              </w:rPr>
              <w:t>社保证明复印件并加盖投标人公章。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8522" w:type="dxa"/>
            <w:gridSpan w:val="4"/>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lang w:val="en-US" w:eastAsia="zh-CN" w:bidi="ar-SA"/>
              </w:rPr>
              <w:t>技术评分（</w:t>
            </w:r>
            <w:r>
              <w:rPr>
                <w:rFonts w:hint="eastAsia" w:ascii="宋体" w:hAnsi="宋体" w:cs="宋体"/>
                <w:bCs/>
                <w:color w:val="auto"/>
                <w:sz w:val="21"/>
                <w:szCs w:val="21"/>
                <w:highlight w:val="none"/>
                <w:lang w:val="en-US" w:eastAsia="zh-CN" w:bidi="ar-SA"/>
              </w:rPr>
              <w:t>4</w:t>
            </w:r>
            <w:r>
              <w:rPr>
                <w:rFonts w:hint="eastAsia" w:ascii="宋体" w:hAnsi="宋体" w:eastAsia="宋体" w:cs="宋体"/>
                <w:bCs/>
                <w:color w:val="auto"/>
                <w:sz w:val="21"/>
                <w:szCs w:val="21"/>
                <w:highlight w:val="none"/>
                <w:lang w:val="en-US" w:eastAsia="zh-CN" w:bidi="ar-SA"/>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1</w:t>
            </w:r>
          </w:p>
        </w:tc>
        <w:tc>
          <w:tcPr>
            <w:tcW w:w="1110"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总体实施服务方案</w:t>
            </w:r>
          </w:p>
        </w:tc>
        <w:tc>
          <w:tcPr>
            <w:tcW w:w="735"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10分</w:t>
            </w:r>
          </w:p>
        </w:tc>
        <w:tc>
          <w:tcPr>
            <w:tcW w:w="5967" w:type="dxa"/>
            <w:noWrap w:val="0"/>
            <w:vAlign w:val="center"/>
          </w:tcPr>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根据供应商的项目总体实施服务方案（包括但不限于</w:t>
            </w:r>
            <w:r>
              <w:rPr>
                <w:rFonts w:hint="eastAsia" w:ascii="宋体" w:hAnsi="宋体" w:eastAsia="宋体" w:cs="宋体"/>
                <w:color w:val="auto"/>
                <w:sz w:val="21"/>
                <w:szCs w:val="21"/>
                <w:highlight w:val="none"/>
                <w:lang w:val="en-US" w:eastAsia="zh-CN"/>
              </w:rPr>
              <w:t>服务内容</w:t>
            </w:r>
            <w:r>
              <w:rPr>
                <w:rFonts w:hint="default"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方式</w:t>
            </w:r>
            <w:r>
              <w:rPr>
                <w:rFonts w:hint="default" w:ascii="宋体" w:hAnsi="宋体" w:eastAsia="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依据</w:t>
            </w:r>
            <w:r>
              <w:rPr>
                <w:rFonts w:hint="default" w:ascii="宋体" w:hAnsi="宋体" w:eastAsia="宋体" w:cs="宋体"/>
                <w:color w:val="auto"/>
                <w:sz w:val="21"/>
                <w:szCs w:val="21"/>
                <w:highlight w:val="none"/>
                <w:lang w:val="en-US" w:eastAsia="zh-CN"/>
              </w:rPr>
              <w:t>、实施计划等</w:t>
            </w:r>
            <w:r>
              <w:rPr>
                <w:rFonts w:hint="eastAsia" w:ascii="宋体" w:hAnsi="宋体" w:cs="宋体"/>
                <w:color w:val="auto"/>
                <w:sz w:val="21"/>
                <w:szCs w:val="21"/>
                <w:highlight w:val="none"/>
                <w:lang w:val="en-US" w:eastAsia="zh-CN"/>
              </w:rPr>
              <w:t>）进行评审</w:t>
            </w:r>
            <w:r>
              <w:rPr>
                <w:rFonts w:hint="default" w:ascii="宋体" w:hAnsi="宋体" w:eastAsia="宋体" w:cs="宋体"/>
                <w:color w:val="auto"/>
                <w:sz w:val="21"/>
                <w:szCs w:val="21"/>
                <w:highlight w:val="none"/>
                <w:lang w:val="en-US" w:eastAsia="zh-CN"/>
              </w:rPr>
              <w:t>：</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（1）总体实施服务方案</w:t>
            </w:r>
            <w:r>
              <w:rPr>
                <w:rFonts w:hint="eastAsia" w:ascii="宋体" w:hAnsi="宋体" w:eastAsia="宋体" w:cs="宋体"/>
                <w:color w:val="auto"/>
                <w:sz w:val="21"/>
                <w:szCs w:val="21"/>
                <w:highlight w:val="none"/>
                <w:lang w:val="en-US" w:eastAsia="zh-CN"/>
              </w:rPr>
              <w:t>内容完整具体、项目</w:t>
            </w:r>
            <w:r>
              <w:rPr>
                <w:rFonts w:hint="default" w:ascii="宋体" w:hAnsi="宋体" w:eastAsia="宋体" w:cs="宋体"/>
                <w:color w:val="auto"/>
                <w:sz w:val="21"/>
                <w:szCs w:val="21"/>
                <w:highlight w:val="none"/>
                <w:lang w:val="en-US" w:eastAsia="zh-CN"/>
              </w:rPr>
              <w:t>理解清晰准确，具有系统性及可操作性</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（2）总体实施服务方案</w:t>
            </w:r>
            <w:r>
              <w:rPr>
                <w:rFonts w:hint="eastAsia" w:ascii="宋体" w:hAnsi="宋体" w:eastAsia="宋体" w:cs="宋体"/>
                <w:color w:val="auto"/>
                <w:sz w:val="21"/>
                <w:szCs w:val="21"/>
                <w:highlight w:val="none"/>
                <w:lang w:val="en-US" w:eastAsia="zh-CN"/>
              </w:rPr>
              <w:t>内容较具体</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w:t>
            </w:r>
            <w:r>
              <w:rPr>
                <w:rFonts w:hint="default" w:ascii="宋体" w:hAnsi="宋体" w:eastAsia="宋体" w:cs="宋体"/>
                <w:color w:val="auto"/>
                <w:sz w:val="21"/>
                <w:szCs w:val="21"/>
                <w:highlight w:val="none"/>
                <w:lang w:val="en-US" w:eastAsia="zh-CN"/>
              </w:rPr>
              <w:t>理解较为清晰准确，可操作性行较强</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（3）总体实施服务方案</w:t>
            </w:r>
            <w:r>
              <w:rPr>
                <w:rFonts w:hint="eastAsia" w:ascii="宋体" w:hAnsi="宋体" w:eastAsia="宋体" w:cs="宋体"/>
                <w:color w:val="auto"/>
                <w:sz w:val="21"/>
                <w:szCs w:val="21"/>
                <w:highlight w:val="none"/>
                <w:lang w:val="en-US" w:eastAsia="zh-CN"/>
              </w:rPr>
              <w:t>内容</w:t>
            </w:r>
            <w:r>
              <w:rPr>
                <w:rFonts w:hint="default" w:ascii="宋体" w:hAnsi="宋体" w:eastAsia="宋体" w:cs="宋体"/>
                <w:color w:val="auto"/>
                <w:sz w:val="21"/>
                <w:szCs w:val="21"/>
                <w:highlight w:val="none"/>
                <w:lang w:val="en-US" w:eastAsia="zh-CN"/>
              </w:rPr>
              <w:t>一般，</w:t>
            </w:r>
            <w:r>
              <w:rPr>
                <w:rFonts w:hint="eastAsia" w:ascii="宋体" w:hAnsi="宋体" w:eastAsia="宋体" w:cs="宋体"/>
                <w:color w:val="auto"/>
                <w:sz w:val="21"/>
                <w:szCs w:val="21"/>
                <w:highlight w:val="none"/>
                <w:lang w:val="en-US" w:eastAsia="zh-CN"/>
              </w:rPr>
              <w:t>项目</w:t>
            </w:r>
            <w:r>
              <w:rPr>
                <w:rFonts w:hint="default" w:ascii="宋体" w:hAnsi="宋体" w:eastAsia="宋体" w:cs="宋体"/>
                <w:color w:val="auto"/>
                <w:sz w:val="21"/>
                <w:szCs w:val="21"/>
                <w:highlight w:val="none"/>
                <w:lang w:val="en-US" w:eastAsia="zh-CN"/>
              </w:rPr>
              <w:t>理解一般，操作性一般</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（4）总体实施服务方案</w:t>
            </w:r>
            <w:r>
              <w:rPr>
                <w:rFonts w:hint="eastAsia" w:ascii="宋体" w:hAnsi="宋体" w:eastAsia="宋体" w:cs="宋体"/>
                <w:color w:val="auto"/>
                <w:sz w:val="21"/>
                <w:szCs w:val="21"/>
                <w:highlight w:val="none"/>
                <w:lang w:val="en-US" w:eastAsia="zh-CN"/>
              </w:rPr>
              <w:t>内容</w:t>
            </w:r>
            <w:r>
              <w:rPr>
                <w:rFonts w:hint="eastAsia" w:ascii="宋体" w:hAnsi="宋体" w:cs="宋体"/>
                <w:color w:val="auto"/>
                <w:sz w:val="21"/>
                <w:szCs w:val="21"/>
                <w:highlight w:val="none"/>
                <w:lang w:val="en-US" w:eastAsia="zh-CN"/>
              </w:rPr>
              <w:t>较差</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项目</w:t>
            </w:r>
            <w:r>
              <w:rPr>
                <w:rFonts w:hint="default" w:ascii="宋体" w:hAnsi="宋体" w:eastAsia="宋体" w:cs="宋体"/>
                <w:color w:val="auto"/>
                <w:sz w:val="21"/>
                <w:szCs w:val="21"/>
                <w:highlight w:val="none"/>
                <w:lang w:val="en-US" w:eastAsia="zh-CN"/>
              </w:rPr>
              <w:t>理解不够清晰准确，操作性不强</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2</w:t>
            </w:r>
          </w:p>
        </w:tc>
        <w:tc>
          <w:tcPr>
            <w:tcW w:w="1110"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对项目重点、难点分析及相应的对策措施</w:t>
            </w:r>
          </w:p>
        </w:tc>
        <w:tc>
          <w:tcPr>
            <w:tcW w:w="735"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10分</w:t>
            </w:r>
          </w:p>
        </w:tc>
        <w:tc>
          <w:tcPr>
            <w:tcW w:w="5967" w:type="dxa"/>
            <w:noWrap w:val="0"/>
            <w:vAlign w:val="center"/>
          </w:tcPr>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根据各供应商对本项目的</w:t>
            </w:r>
            <w:r>
              <w:rPr>
                <w:rFonts w:hint="eastAsia" w:ascii="宋体" w:hAnsi="宋体" w:eastAsia="宋体" w:cs="宋体"/>
                <w:color w:val="auto"/>
                <w:sz w:val="21"/>
                <w:szCs w:val="21"/>
                <w:highlight w:val="none"/>
                <w:lang w:val="en-US" w:eastAsia="zh-CN"/>
              </w:rPr>
              <w:t>重点、难点分析及相应的对策措施</w:t>
            </w:r>
            <w:r>
              <w:rPr>
                <w:rFonts w:hint="default" w:ascii="宋体" w:hAnsi="宋体" w:eastAsia="宋体" w:cs="宋体"/>
                <w:color w:val="auto"/>
                <w:sz w:val="21"/>
                <w:szCs w:val="21"/>
                <w:highlight w:val="none"/>
                <w:lang w:val="en-US" w:eastAsia="zh-CN"/>
              </w:rPr>
              <w:t>进行总体综合评审：</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（1）对本项目的重点和难点的分析全面，条理清晰，对关键问题的建议合理，解决方案完整、经济、安全且措施得力的，得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default" w:ascii="宋体" w:hAnsi="宋体" w:eastAsia="宋体" w:cs="宋体"/>
                <w:color w:val="auto"/>
                <w:sz w:val="21"/>
                <w:szCs w:val="21"/>
                <w:highlight w:val="none"/>
                <w:lang w:val="en-US" w:eastAsia="zh-CN"/>
              </w:rPr>
              <w:t>对本项目的重点和难点的分析较好</w:t>
            </w:r>
            <w:r>
              <w:rPr>
                <w:rFonts w:hint="eastAsia" w:ascii="宋体" w:hAnsi="宋体" w:eastAsia="宋体" w:cs="宋体"/>
                <w:color w:val="auto"/>
                <w:sz w:val="21"/>
                <w:szCs w:val="21"/>
                <w:highlight w:val="none"/>
                <w:lang w:val="en-US" w:eastAsia="zh-CN"/>
              </w:rPr>
              <w:t>，</w:t>
            </w:r>
            <w:r>
              <w:rPr>
                <w:rFonts w:hint="default" w:ascii="宋体" w:hAnsi="宋体" w:eastAsia="宋体" w:cs="宋体"/>
                <w:color w:val="auto"/>
                <w:sz w:val="21"/>
                <w:szCs w:val="21"/>
                <w:highlight w:val="none"/>
                <w:lang w:val="en-US" w:eastAsia="zh-CN"/>
              </w:rPr>
              <w:t>对关键问题的建议较合理，解决方案完整、安全且措施可行</w:t>
            </w:r>
            <w:r>
              <w:rPr>
                <w:rFonts w:hint="eastAsia" w:ascii="宋体" w:hAnsi="宋体" w:eastAsia="宋体" w:cs="宋体"/>
                <w:color w:val="auto"/>
                <w:sz w:val="21"/>
                <w:szCs w:val="21"/>
                <w:highlight w:val="none"/>
                <w:lang w:val="en-US" w:eastAsia="zh-CN"/>
              </w:rPr>
              <w:t>的，</w:t>
            </w:r>
            <w:r>
              <w:rPr>
                <w:rFonts w:hint="default" w:ascii="宋体" w:hAnsi="宋体" w:eastAsia="宋体" w:cs="宋体"/>
                <w:color w:val="auto"/>
                <w:sz w:val="21"/>
                <w:szCs w:val="21"/>
                <w:highlight w:val="none"/>
                <w:lang w:val="en-US" w:eastAsia="zh-CN"/>
              </w:rPr>
              <w:t>得</w:t>
            </w:r>
            <w:r>
              <w:rPr>
                <w:rFonts w:hint="eastAsia" w:ascii="宋体" w:hAnsi="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（3）对本项目的重点和难点的分析一般，对关键问题的建议基本可行的，得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（4）对本项目的重点和难点的分析不足，对关键问题的建议不可行的，得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（5）未提供对应方案不得分。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3</w:t>
            </w:r>
          </w:p>
        </w:tc>
        <w:tc>
          <w:tcPr>
            <w:tcW w:w="1110"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服务内容及服务方式</w:t>
            </w:r>
          </w:p>
        </w:tc>
        <w:tc>
          <w:tcPr>
            <w:tcW w:w="735" w:type="dxa"/>
            <w:noWrap w:val="0"/>
            <w:vAlign w:val="center"/>
          </w:tcPr>
          <w:p>
            <w:pPr>
              <w:pStyle w:val="53"/>
              <w:keepNext w:val="0"/>
              <w:keepLines w:val="0"/>
              <w:pageBreakBefore w:val="0"/>
              <w:widowControl w:val="0"/>
              <w:shd w:val="clear"/>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tc>
        <w:tc>
          <w:tcPr>
            <w:tcW w:w="5967" w:type="dxa"/>
            <w:noWrap w:val="0"/>
            <w:vAlign w:val="center"/>
          </w:tcPr>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根据各供应商提供的服务内容及服务方式</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包括但不限于人员配备方案、评估成果分析等</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及工作计划及方案</w:t>
            </w:r>
            <w:r>
              <w:rPr>
                <w:rFonts w:hint="eastAsia" w:ascii="宋体" w:hAnsi="宋体" w:eastAsia="宋体" w:cs="宋体"/>
                <w:color w:val="auto"/>
                <w:sz w:val="21"/>
                <w:szCs w:val="21"/>
                <w:highlight w:val="none"/>
                <w:lang w:val="en-US" w:eastAsia="zh-CN"/>
              </w:rPr>
              <w:t>进行评审：</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（1）提供的关于服务内容及服务方式的方案具体、合理、可行，工作计划及方案详细周密、针对性强的，得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（2）提供的关于服务内容及服务方式的方案合理、可行，工作计划及方案较详细、针对性较强的，得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（3）提供的关于服务内容及服务方式的方案基本可行，工作流程及进度计划一般、针对性不强的，得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（4）提供的关于服务内容及服务方式的方案不可行的或未提供相关表述的，得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default" w:ascii="宋体" w:hAnsi="宋体" w:cs="宋体"/>
                <w:bCs/>
                <w:color w:val="auto"/>
                <w:sz w:val="21"/>
                <w:szCs w:val="21"/>
                <w:highlight w:val="none"/>
                <w:lang w:val="en-US" w:eastAsia="zh-CN" w:bidi="ar-SA"/>
              </w:rPr>
            </w:pPr>
            <w:r>
              <w:rPr>
                <w:rFonts w:hint="eastAsia" w:ascii="宋体" w:hAnsi="宋体" w:cs="宋体"/>
                <w:bCs/>
                <w:color w:val="auto"/>
                <w:sz w:val="21"/>
                <w:szCs w:val="21"/>
                <w:highlight w:val="none"/>
                <w:lang w:val="en-US" w:eastAsia="zh-CN" w:bidi="ar-SA"/>
              </w:rPr>
              <w:t>4</w:t>
            </w:r>
          </w:p>
        </w:tc>
        <w:tc>
          <w:tcPr>
            <w:tcW w:w="1110"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质量</w:t>
            </w:r>
            <w:r>
              <w:rPr>
                <w:rFonts w:hint="eastAsia" w:ascii="宋体" w:eastAsia="宋体" w:cs="宋体"/>
                <w:color w:val="auto"/>
                <w:kern w:val="0"/>
                <w:sz w:val="21"/>
                <w:szCs w:val="21"/>
                <w:highlight w:val="none"/>
                <w:lang w:val="en-US" w:eastAsia="zh-CN" w:bidi="ar-SA"/>
              </w:rPr>
              <w:t>安全</w:t>
            </w:r>
            <w:r>
              <w:rPr>
                <w:rFonts w:hint="eastAsia" w:ascii="宋体" w:hAnsi="宋体" w:eastAsia="宋体" w:cs="宋体"/>
                <w:color w:val="auto"/>
                <w:kern w:val="0"/>
                <w:sz w:val="21"/>
                <w:szCs w:val="21"/>
                <w:highlight w:val="none"/>
                <w:lang w:val="en-US" w:eastAsia="zh-CN" w:bidi="ar-SA"/>
              </w:rPr>
              <w:t>保证措施</w:t>
            </w:r>
          </w:p>
        </w:tc>
        <w:tc>
          <w:tcPr>
            <w:tcW w:w="735" w:type="dxa"/>
            <w:noWrap w:val="0"/>
            <w:vAlign w:val="center"/>
          </w:tcPr>
          <w:p>
            <w:pPr>
              <w:pStyle w:val="53"/>
              <w:keepNext w:val="0"/>
              <w:keepLines w:val="0"/>
              <w:pageBreakBefore w:val="0"/>
              <w:shd w:val="clear"/>
              <w:kinsoku/>
              <w:wordWrap/>
              <w:overflowPunct/>
              <w:topLinePunct w:val="0"/>
              <w:autoSpaceDE/>
              <w:autoSpaceDN/>
              <w:bidi w:val="0"/>
              <w:spacing w:line="360" w:lineRule="auto"/>
              <w:ind w:firstLine="0" w:firstLineChars="0"/>
              <w:jc w:val="center"/>
              <w:textAlignment w:val="auto"/>
              <w:rPr>
                <w:rFonts w:hint="default" w:ascii="宋体" w:eastAsia="宋体" w:cs="宋体"/>
                <w:color w:val="auto"/>
                <w:sz w:val="21"/>
                <w:szCs w:val="21"/>
                <w:highlight w:val="none"/>
                <w:lang w:val="en-US" w:eastAsia="zh-CN"/>
              </w:rPr>
            </w:pPr>
            <w:r>
              <w:rPr>
                <w:rFonts w:hint="eastAsia" w:ascii="宋体" w:eastAsia="宋体" w:cs="宋体"/>
                <w:color w:val="auto"/>
                <w:sz w:val="21"/>
                <w:szCs w:val="21"/>
                <w:highlight w:val="none"/>
                <w:lang w:val="en-US" w:eastAsia="zh-CN"/>
              </w:rPr>
              <w:t>10分</w:t>
            </w:r>
          </w:p>
        </w:tc>
        <w:tc>
          <w:tcPr>
            <w:tcW w:w="5967" w:type="dxa"/>
            <w:noWrap w:val="0"/>
            <w:vAlign w:val="center"/>
          </w:tcPr>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根据各供应商提供的质量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保障措施及方案进行评审：</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（1）质量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目标非常清晰明确，质量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保证措施详尽且可行性高，各项承诺详尽完整，有利于项目实施，服务高效，工作思路清晰的，得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 xml:space="preserve">分； </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（2）质量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目标清晰明确，质量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保证措施可行性较高，各项承诺较完整，能较好地推动项目顺利实施，服务效率较高，工作思路较清晰的，得</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 xml:space="preserve">分； </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（3）质量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目标基本清晰明确，质量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保证措施可行性一般，有基本的各项承诺，能保障项目实施的，服务效率一般，工作思路一般的，得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 xml:space="preserve">分； </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（4）质量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目标不清晰，质量</w:t>
            </w:r>
            <w:r>
              <w:rPr>
                <w:rFonts w:hint="eastAsia" w:ascii="宋体" w:hAnsi="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保证措施可行性差，各项承诺简单，不能保障项目实施的，服务效率低，工作思路简单的，得</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 xml:space="preserve">分； </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（5）未提供对应方案不得分。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8522" w:type="dxa"/>
            <w:gridSpan w:val="4"/>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422"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价格评审（40分）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57" w:type="dxa"/>
            <w:right w:w="108" w:type="dxa"/>
          </w:tblCellMar>
        </w:tblPrEx>
        <w:trPr>
          <w:trHeight w:val="567" w:hRule="atLeast"/>
          <w:jc w:val="center"/>
        </w:trPr>
        <w:tc>
          <w:tcPr>
            <w:tcW w:w="710" w:type="dxa"/>
            <w:noWrap w:val="0"/>
            <w:vAlign w:val="center"/>
          </w:tcPr>
          <w:p>
            <w:pPr>
              <w:keepNext w:val="0"/>
              <w:keepLines w:val="0"/>
              <w:pageBreakBefore w:val="0"/>
              <w:widowControl w:val="0"/>
              <w:shd w:val="clear"/>
              <w:kinsoku/>
              <w:wordWrap/>
              <w:overflowPunct/>
              <w:topLinePunct w:val="0"/>
              <w:autoSpaceDE/>
              <w:autoSpaceDN/>
              <w:bidi w:val="0"/>
              <w:spacing w:line="360" w:lineRule="auto"/>
              <w:ind w:firstLine="0" w:firstLineChars="0"/>
              <w:jc w:val="center"/>
              <w:textAlignment w:val="auto"/>
              <w:rPr>
                <w:rFonts w:hint="eastAsia" w:ascii="宋体" w:hAnsi="宋体" w:eastAsia="宋体" w:cs="宋体"/>
                <w:bCs/>
                <w:color w:val="auto"/>
                <w:sz w:val="21"/>
                <w:szCs w:val="21"/>
                <w:highlight w:val="none"/>
                <w:lang w:val="en-US" w:eastAsia="zh-CN" w:bidi="ar-SA"/>
              </w:rPr>
            </w:pPr>
            <w:r>
              <w:rPr>
                <w:rFonts w:hint="eastAsia" w:ascii="宋体" w:hAnsi="宋体" w:eastAsia="宋体" w:cs="宋体"/>
                <w:bCs/>
                <w:color w:val="auto"/>
                <w:sz w:val="21"/>
                <w:szCs w:val="21"/>
                <w:highlight w:val="none"/>
                <w:lang w:val="en-US" w:eastAsia="zh-CN" w:bidi="ar-SA"/>
              </w:rPr>
              <w:t>1</w:t>
            </w:r>
          </w:p>
        </w:tc>
        <w:tc>
          <w:tcPr>
            <w:tcW w:w="1110" w:type="dxa"/>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w:t>
            </w:r>
          </w:p>
        </w:tc>
        <w:tc>
          <w:tcPr>
            <w:tcW w:w="735" w:type="dxa"/>
            <w:noWrap w:val="0"/>
            <w:vAlign w:val="center"/>
          </w:tcPr>
          <w:p>
            <w:pPr>
              <w:keepNext w:val="0"/>
              <w:keepLines w:val="0"/>
              <w:pageBreakBefore w:val="0"/>
              <w:widowControl/>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40分</w:t>
            </w:r>
          </w:p>
        </w:tc>
        <w:tc>
          <w:tcPr>
            <w:tcW w:w="5967" w:type="dxa"/>
            <w:noWrap w:val="0"/>
            <w:vAlign w:val="center"/>
          </w:tcPr>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价格分计算方法：满足采购文件要求且投标报价最低的投标报价为评标基准价，其价格分为满分。其他供应商的价格分统一按照下列公式计算：</w:t>
            </w:r>
          </w:p>
          <w:p>
            <w:pPr>
              <w:keepNext w:val="0"/>
              <w:keepLines w:val="0"/>
              <w:pageBreakBefore w:val="0"/>
              <w:shd w:val="clear"/>
              <w:kinsoku/>
              <w:wordWrap/>
              <w:overflowPunct/>
              <w:topLinePunct w:val="0"/>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投标报价得分＝（评标基准价/投标报价）×价格分值</w:t>
            </w:r>
          </w:p>
        </w:tc>
      </w:tr>
    </w:tbl>
    <w:p>
      <w:pPr>
        <w:shd w:val="clear"/>
        <w:rPr>
          <w:rFonts w:hint="eastAsia" w:ascii="宋体" w:hAnsi="宋体" w:eastAsia="宋体" w:cs="宋体"/>
          <w:color w:val="auto"/>
          <w:highlight w:val="none"/>
        </w:rPr>
      </w:pPr>
      <w:r>
        <w:rPr>
          <w:rFonts w:hint="eastAsia" w:ascii="宋体" w:hAnsi="宋体" w:eastAsia="宋体" w:cs="宋体"/>
          <w:color w:val="auto"/>
          <w:highlight w:val="none"/>
        </w:rPr>
        <w:t>注：评标委员会评委按评标标准独立对技术标进行评审，得出技术标评分。当评标委员会为五人时，在所有评委对同一份投标文件技术标评审的总评分中，去掉一个最高分和一个最低分，计算剩余总评分的算术平均值即为该投标人技术标的最终综合得分；当评标委员会为七人及以上单数时，在各评委的打分中，同一评委的最高评分减去最低评分，去掉分差最大评委的所有技术标评分（当一位或两位评委评分差值最大时均取消其评委评分，当多于两位评分差值均最大时，不取消任一评委评分），在所有剩余评委对同一份投标文件技术部分评审的总评分中，去掉一个最高分和一个最低分，计算剩余总评分的算术平均值即为该投标人技术部分的最终综合得分。</w:t>
      </w:r>
      <w:r>
        <w:rPr>
          <w:rFonts w:hint="eastAsia" w:ascii="宋体" w:hAnsi="宋体" w:eastAsia="宋体" w:cs="宋体"/>
          <w:color w:val="auto"/>
          <w:highlight w:val="none"/>
        </w:rPr>
        <w:br w:type="page"/>
      </w:r>
    </w:p>
    <w:p>
      <w:pPr>
        <w:pStyle w:val="2"/>
        <w:shd w:val="clear"/>
        <w:spacing w:before="0" w:after="0" w:line="240" w:lineRule="auto"/>
        <w:outlineLvl w:val="0"/>
        <w:rPr>
          <w:rFonts w:hint="eastAsia" w:ascii="宋体" w:hAnsi="宋体" w:eastAsia="宋体" w:cs="宋体"/>
          <w:color w:val="auto"/>
          <w:sz w:val="36"/>
          <w:szCs w:val="36"/>
          <w:highlight w:val="none"/>
        </w:rPr>
      </w:pPr>
      <w:bookmarkStart w:id="6" w:name="_Toc31370"/>
      <w:r>
        <w:rPr>
          <w:rFonts w:hint="eastAsia" w:ascii="宋体" w:hAnsi="宋体" w:eastAsia="宋体" w:cs="宋体"/>
          <w:color w:val="auto"/>
          <w:sz w:val="28"/>
          <w:szCs w:val="28"/>
          <w:highlight w:val="none"/>
        </w:rPr>
        <w:t>第三部分用户需求书</w:t>
      </w:r>
      <w:bookmarkEnd w:id="6"/>
    </w:p>
    <w:p>
      <w:pPr>
        <w:pStyle w:val="4"/>
        <w:shd w:val="clear"/>
        <w:spacing w:before="0" w:after="0" w:line="360" w:lineRule="auto"/>
        <w:jc w:val="center"/>
        <w:outlineLvl w:val="1"/>
        <w:rPr>
          <w:rFonts w:hint="eastAsia" w:ascii="宋体" w:hAnsi="宋体" w:eastAsia="宋体" w:cs="宋体"/>
          <w:color w:val="auto"/>
          <w:highlight w:val="none"/>
        </w:rPr>
      </w:pPr>
      <w:bookmarkStart w:id="7" w:name="_Toc30730"/>
      <w:bookmarkStart w:id="8" w:name="_Toc1593"/>
      <w:bookmarkStart w:id="9" w:name="_Toc308786492"/>
      <w:bookmarkStart w:id="10" w:name="_Toc24679"/>
      <w:bookmarkStart w:id="11" w:name="_Toc14462"/>
      <w:bookmarkStart w:id="12" w:name="_Toc31278"/>
      <w:bookmarkStart w:id="13" w:name="_Toc13112"/>
      <w:r>
        <w:rPr>
          <w:rFonts w:hint="eastAsia" w:ascii="宋体" w:hAnsi="宋体" w:eastAsia="宋体" w:cs="宋体"/>
          <w:color w:val="auto"/>
          <w:highlight w:val="none"/>
        </w:rPr>
        <w:t>第一章 商务需求书</w:t>
      </w:r>
      <w:bookmarkEnd w:id="7"/>
      <w:bookmarkEnd w:id="8"/>
    </w:p>
    <w:tbl>
      <w:tblPr>
        <w:tblStyle w:val="43"/>
        <w:tblW w:w="868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1501"/>
        <w:gridCol w:w="646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条款名称</w:t>
            </w:r>
          </w:p>
        </w:tc>
        <w:tc>
          <w:tcPr>
            <w:tcW w:w="6466"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  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06"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w:t>
            </w:r>
          </w:p>
        </w:tc>
        <w:tc>
          <w:tcPr>
            <w:tcW w:w="6466" w:type="dxa"/>
            <w:vAlign w:val="center"/>
          </w:tcPr>
          <w:p>
            <w:pPr>
              <w:pStyle w:val="50"/>
              <w:shd w:val="clear"/>
              <w:rPr>
                <w:rFonts w:hint="eastAsia" w:ascii="宋体" w:hAnsi="宋体" w:eastAsia="宋体" w:cs="宋体"/>
                <w:bCs/>
                <w:color w:val="auto"/>
                <w:kern w:val="44"/>
                <w:szCs w:val="21"/>
                <w:highlight w:val="none"/>
              </w:rPr>
            </w:pPr>
            <w:r>
              <w:rPr>
                <w:rFonts w:hint="eastAsia" w:ascii="宋体" w:hAnsi="宋体" w:eastAsia="宋体" w:cs="宋体"/>
                <w:color w:val="auto"/>
                <w:szCs w:val="21"/>
                <w:highlight w:val="none"/>
              </w:rPr>
              <w:t>详见“第一部分 投标邀请”中“二、投标人资格要求”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31"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501" w:type="dxa"/>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服务期</w:t>
            </w:r>
          </w:p>
        </w:tc>
        <w:tc>
          <w:tcPr>
            <w:tcW w:w="6466" w:type="dxa"/>
            <w:vAlign w:val="center"/>
          </w:tcPr>
          <w:p>
            <w:pPr>
              <w:pStyle w:val="48"/>
              <w:shd w:val="clear"/>
              <w:spacing w:line="360" w:lineRule="auto"/>
              <w:ind w:firstLine="4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bidi="ar-SA"/>
              </w:rPr>
              <w:t>自合同签订之日起至2027年12月31日或完成本项目约定的所有次数评估检查工作</w:t>
            </w:r>
            <w:r>
              <w:rPr>
                <w:rFonts w:hint="eastAsia" w:ascii="宋体" w:hAnsi="宋体" w:eastAsia="宋体" w:cs="宋体"/>
                <w:color w:val="auto"/>
                <w:sz w:val="21"/>
                <w:szCs w:val="21"/>
                <w:highlight w:val="none"/>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2382"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6466" w:type="dxa"/>
            <w:vAlign w:val="center"/>
          </w:tcPr>
          <w:p>
            <w:pPr>
              <w:shd w:val="clear"/>
              <w:ind w:firstLine="420" w:firstLineChars="200"/>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1.单项巡检费用为：巡检次数×巡检人次×人员综合单价，合同实际应结算总费用为各单项巡检费用累加值</w:t>
            </w:r>
            <w:r>
              <w:rPr>
                <w:rFonts w:hint="eastAsia" w:ascii="宋体" w:hAnsi="宋体" w:eastAsia="宋体" w:cs="宋体"/>
                <w:color w:val="auto"/>
                <w:highlight w:val="none"/>
                <w:lang w:val="en-US" w:eastAsia="zh-CN"/>
              </w:rPr>
              <w:t>。</w:t>
            </w:r>
          </w:p>
          <w:p>
            <w:pPr>
              <w:shd w:val="clear"/>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项目单位巡检评估工作完成后(以巡检评估工作评价表出具为准)，中标人向采购人提交当期的请款报告。采购人确认请款报告后的15个工作日内，采购人按当期实际发生评估的数量及约定单价计算当期费用，向中标人支付实际发生评估费用的80%（如有罚款在当期进度款扣除），支付至项目单位巡检评估费用总价款的80%时不再支付进度款，项目单位完成所有巡检评估工作后，支付至项目总价款的90%，待合同内所有项目巡检内容完成后办理结算，结算审核完毕后支付至该项目单位巡检评估总价款的100%。</w:t>
            </w:r>
          </w:p>
          <w:p>
            <w:pPr>
              <w:shd w:val="clear"/>
              <w:ind w:firstLine="420" w:firstLineChars="200"/>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发包人每次付款前，</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应向实际服务方开具符合国家规定的相应金额增值税发票，否则</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有权顺延付款，付款方式为银行转账。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41"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项目地点</w:t>
            </w:r>
          </w:p>
        </w:tc>
        <w:tc>
          <w:tcPr>
            <w:tcW w:w="6466" w:type="dxa"/>
            <w:vAlign w:val="center"/>
          </w:tcPr>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276"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报价要求</w:t>
            </w:r>
          </w:p>
        </w:tc>
        <w:tc>
          <w:tcPr>
            <w:tcW w:w="6466" w:type="dxa"/>
            <w:vAlign w:val="center"/>
          </w:tcPr>
          <w:p>
            <w:pPr>
              <w:pStyle w:val="8"/>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报价应包含完成本次采购所有服务内容的费用，包括但不限于</w:t>
            </w:r>
            <w:r>
              <w:rPr>
                <w:rFonts w:hint="eastAsia" w:ascii="宋体" w:hAnsi="宋体" w:eastAsia="宋体" w:cs="宋体"/>
                <w:color w:val="auto"/>
                <w:highlight w:val="none"/>
                <w:lang w:val="en-US" w:eastAsia="zh-CN"/>
              </w:rPr>
              <w:t>包括但不限于人工费、差旅费、设备使用费、交通费、伙食费、措施费、管理费、利润、规费、税金等完成</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服务内容的全部费用</w:t>
            </w:r>
            <w:r>
              <w:rPr>
                <w:rFonts w:hint="eastAsia"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11" w:hRule="atLeast"/>
        </w:trPr>
        <w:tc>
          <w:tcPr>
            <w:tcW w:w="7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6466" w:type="dxa"/>
            <w:vAlign w:val="center"/>
          </w:tcPr>
          <w:p>
            <w:pPr>
              <w:shd w:val="clear"/>
              <w:tabs>
                <w:tab w:val="center" w:pos="3125"/>
              </w:tabs>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自开标之日起90天。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01" w:hRule="atLeast"/>
        </w:trPr>
        <w:tc>
          <w:tcPr>
            <w:tcW w:w="718" w:type="dxa"/>
            <w:vAlign w:val="center"/>
          </w:tcPr>
          <w:p>
            <w:pPr>
              <w:shd w:val="clea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w:t>
            </w:r>
          </w:p>
        </w:tc>
        <w:tc>
          <w:tcPr>
            <w:tcW w:w="150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合同条款</w:t>
            </w:r>
          </w:p>
        </w:tc>
        <w:tc>
          <w:tcPr>
            <w:tcW w:w="6466" w:type="dxa"/>
            <w:vAlign w:val="center"/>
          </w:tcPr>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投标人实质响应合同各条款。</w:t>
            </w:r>
          </w:p>
        </w:tc>
      </w:tr>
    </w:tbl>
    <w:p>
      <w:pPr>
        <w:shd w:val="clear"/>
        <w:rPr>
          <w:rFonts w:hint="eastAsia" w:ascii="宋体" w:hAnsi="宋体" w:eastAsia="宋体" w:cs="宋体"/>
          <w:color w:val="auto"/>
          <w:highlight w:val="none"/>
        </w:rPr>
      </w:pPr>
      <w:bookmarkStart w:id="14" w:name="_Toc19316"/>
    </w:p>
    <w:p>
      <w:pPr>
        <w:shd w:val="clea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4"/>
        <w:shd w:val="clear"/>
        <w:spacing w:before="0" w:after="0" w:line="360" w:lineRule="auto"/>
        <w:jc w:val="center"/>
        <w:outlineLvl w:val="1"/>
        <w:rPr>
          <w:rFonts w:hint="eastAsia" w:ascii="宋体" w:hAnsi="宋体" w:eastAsia="宋体" w:cs="宋体"/>
          <w:color w:val="auto"/>
          <w:highlight w:val="none"/>
        </w:rPr>
      </w:pPr>
      <w:bookmarkStart w:id="15" w:name="_Toc23472"/>
      <w:r>
        <w:rPr>
          <w:rFonts w:hint="eastAsia" w:ascii="宋体" w:hAnsi="宋体" w:eastAsia="宋体" w:cs="宋体"/>
          <w:color w:val="auto"/>
          <w:highlight w:val="none"/>
        </w:rPr>
        <w:t>第二章 技术需求书</w:t>
      </w:r>
      <w:bookmarkEnd w:id="9"/>
      <w:bookmarkEnd w:id="14"/>
      <w:bookmarkEnd w:id="15"/>
    </w:p>
    <w:p>
      <w:pPr>
        <w:keepNext w:val="0"/>
        <w:keepLines w:val="0"/>
        <w:pageBreakBefore w:val="0"/>
        <w:widowControl w:val="0"/>
        <w:shd w:val="clear"/>
        <w:tabs>
          <w:tab w:val="left" w:pos="426"/>
        </w:tabs>
        <w:kinsoku/>
        <w:wordWrap/>
        <w:overflowPunct/>
        <w:topLinePunct w:val="0"/>
        <w:bidi w:val="0"/>
        <w:adjustRightInd w:val="0"/>
        <w:snapToGrid w:val="0"/>
        <w:spacing w:line="360" w:lineRule="auto"/>
        <w:ind w:firstLine="0" w:firstLineChars="0"/>
        <w:jc w:val="both"/>
        <w:rPr>
          <w:rFonts w:hint="default" w:ascii="宋体" w:hAnsi="宋体" w:eastAsia="宋体" w:cs="宋体"/>
          <w:b/>
          <w:color w:val="auto"/>
          <w:sz w:val="21"/>
          <w:szCs w:val="21"/>
          <w:highlight w:val="none"/>
          <w:lang w:val="en-US" w:eastAsia="zh-CN"/>
        </w:rPr>
      </w:pPr>
      <w:r>
        <w:rPr>
          <w:rFonts w:hint="eastAsia"/>
          <w:color w:val="auto"/>
          <w:highlight w:val="none"/>
          <w:lang w:val="en-US" w:eastAsia="zh-CN"/>
        </w:rPr>
        <w:t>一、</w:t>
      </w:r>
      <w:r>
        <w:rPr>
          <w:rFonts w:hint="eastAsia" w:ascii="宋体" w:hAnsi="宋体" w:cs="宋体"/>
          <w:b/>
          <w:color w:val="auto"/>
          <w:sz w:val="21"/>
          <w:szCs w:val="21"/>
          <w:highlight w:val="none"/>
          <w:lang w:val="en-US" w:eastAsia="zh-CN"/>
        </w:rPr>
        <w:t>服务</w:t>
      </w:r>
      <w:r>
        <w:rPr>
          <w:rFonts w:hint="eastAsia" w:ascii="宋体" w:hAnsi="宋体" w:eastAsia="宋体" w:cs="宋体"/>
          <w:b/>
          <w:color w:val="auto"/>
          <w:sz w:val="21"/>
          <w:szCs w:val="21"/>
          <w:highlight w:val="none"/>
        </w:rPr>
        <w:t>内容及</w:t>
      </w:r>
      <w:r>
        <w:rPr>
          <w:rFonts w:hint="eastAsia" w:ascii="宋体" w:hAnsi="宋体" w:cs="宋体"/>
          <w:b/>
          <w:color w:val="auto"/>
          <w:sz w:val="21"/>
          <w:szCs w:val="21"/>
          <w:highlight w:val="none"/>
          <w:lang w:val="en-US" w:eastAsia="zh-CN"/>
        </w:rPr>
        <w:t>服务方式</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1.服务内容</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1.1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运用大数据平台，结合</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管控制度、项目特点，建立</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住宅、产业园、商业多业态巡检评估标准</w:t>
      </w:r>
      <w:r>
        <w:rPr>
          <w:rFonts w:hint="eastAsia" w:ascii="宋体" w:hAnsi="宋体" w:cs="宋体"/>
          <w:color w:val="auto"/>
          <w:highlight w:val="none"/>
          <w:lang w:val="en-US" w:eastAsia="zh-CN"/>
        </w:rPr>
        <w:t>。</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1.2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对</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在建项目进行施工质量、安全、管理行为评估，包含过程评估、专项评估等，包含但不限于:</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1.2.1过程评估:工程实测实量、工程观感质量、工程施工安全质量、大型机械设备检查、工程管理行为以及上次评估整改闭合情况、每月受主管部门处罚扣分等管理行为预警信息。</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1.2.2专项评估:根据项目特点、进度及建设单位需求，开展园林景观专项、机电消防专项等专项评估工作。</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1.3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通过工程实测实量、工程观感质量、工程施工安全质量、大型机械设备检查、工程管理行为等方式为</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提供安全质量评估服务。</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可依据工作需要运用</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大数据平台为</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提供第三方评估技术服务，并建立</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《标准化管理行为文档目录》。</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1.4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工作综合成果：按照评估工作，形成项目评估快报、项目评估简报、季度、半年及全年的综合（或专项）评估工作总结报告。</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1.4.1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可使用自行研发软件系统，进行数据采集，快速上传云端，利用云端系统安全、快捷、高效、准确自动化分析数据能力，生成报告，由</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按照快报当日、简报3日、季度、半年及全年的综合（或专项）评估工作总结报告7日的时间要求反馈至</w:t>
      </w:r>
      <w:r>
        <w:rPr>
          <w:rFonts w:hint="eastAsia" w:ascii="宋体" w:hAnsi="宋体" w:cs="宋体"/>
          <w:color w:val="auto"/>
          <w:highlight w:val="none"/>
          <w:lang w:val="en-US" w:eastAsia="zh-CN"/>
        </w:rPr>
        <w:t>采购人。</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1.4.2 项目评估快报含实测、观感、安全、大型机械设备、管理行为等内容，项目评估简报含实测、观感、安全、大型机械设备、管理行为等内容</w:t>
      </w:r>
      <w:r>
        <w:rPr>
          <w:rFonts w:hint="eastAsia" w:ascii="宋体" w:hAnsi="宋体" w:cs="宋体"/>
          <w:color w:val="auto"/>
          <w:highlight w:val="none"/>
          <w:lang w:val="en-US" w:eastAsia="zh-CN"/>
        </w:rPr>
        <w:t>。</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1.5 应</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工作需要，</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需参加</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组织的相关评估工作研讨及会议。</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1.6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需按进度要求提交阶段性成果，</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有权在收到后 7 个工作日内以书面（以电子邮件或函件方式）提出修改意见。未通过阶段性验收的，</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需在 7 日内免费整改，否则</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有权暂停付款或终止合同。</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1.7 如巡检服务内容、范围出现调整，双方将依据实际完成情况确认相关价款。</w:t>
      </w:r>
    </w:p>
    <w:p>
      <w:pPr>
        <w:pStyle w:val="13"/>
        <w:shd w:val="clea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服务方式</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 </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（母公司）在此授权其现有及未来成立的所有项目公司（以下统称</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实际服务方</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），有权根据项目需要，依据本</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合同的条款和条件，向</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下达具体的《巡检服务订单》。</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2.2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在收到实际服务方发出的《巡检服务订单》后，应在7个工作日内确认。经双方盖章或授权代表签字确认的《巡检服务订单》是本</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不可分割的一部分，与本</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合同具有同等法律效力。</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 所有巡检服务的费用，由实际接受服务的实际服务方进行付款。</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应根据各实际服务方的指令完成服务，并向其开具符合国家规定的增值税发票。</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单次巡检服务完成（项目工程评估总结报告出具）后，由</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依据本次巡检服务情况对</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本次巡检进行评价，评价情况纳入单次巡检款项。</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2.5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应结合双方确认的《巡检服务订单》进行评估，依据国家、地方法律法规及行业标准规定，结合</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多年积累形成的数据库资源及</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工程品质量化评估标准，通过设定科学、高效、精准的评价指标，利用云端数据分析技术，最终利用</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专业技术知识及技术手段，为</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提供全面的评估服务。</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2.6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评估人员构成：组长及组员</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（如遇特殊情形，</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应提前书面通知</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，在不影响评估服务的前提下，由</w:t>
      </w:r>
      <w:r>
        <w:rPr>
          <w:rFonts w:hint="eastAsia" w:ascii="宋体" w:hAnsi="宋体" w:cs="宋体"/>
          <w:color w:val="auto"/>
          <w:highlight w:val="none"/>
          <w:lang w:val="en-US" w:eastAsia="zh-CN"/>
        </w:rPr>
        <w:t>采购</w:t>
      </w:r>
      <w:r>
        <w:rPr>
          <w:rFonts w:hint="eastAsia" w:ascii="宋体" w:hAnsi="宋体" w:eastAsia="宋体" w:cs="宋体"/>
          <w:color w:val="auto"/>
          <w:highlight w:val="none"/>
          <w:lang w:val="en-US" w:eastAsia="zh-CN"/>
        </w:rPr>
        <w:t>双方协商确定）</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2.7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评估人员要求：熟练掌握相应技术方法及具备相关评估专业能力和资质。</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2.8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评估人员应具备相应的资质并保证资质在有效期内。</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2.9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评估组长职责：</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2.9.1 全面负责本组在评估服务期间的日常工作安排及组员考核；</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2.9.2 主持项目评估，进行现场检查、沟通及有关资料的查阅；</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2.9.3 对本组各评估项目下达评估结论，并上报</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负责人审核；</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2.9.4 根据评估结果，通报当日检查项目的评估情况；</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2.9.5 利用自有技术平台及技术手段分析数据撰写并提交评估报告。</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2.10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评估组员职责：</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2.10.1 负责做好现场实测实量、拍照取样等工作，进行原始数据整理，对评估中采集的数据及成果进行汇总与编辑；</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2.10.2 协助评估组长做好评估简报、评估总结、增值服务等工作。</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2.11 评估作息时间：上午9:00-12:00；14:00-18:00。</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评估人员应当在上午8:50前抵达工地项目部，上午9:00召开评估安排会议。</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2.12 评估工作流程简述：</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2.12.1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对当日评估工作安排简单介绍；</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2.12.2 </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项目部介绍项目形象进度；</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2.12.3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评估组使用抽选系统确定参评项目的参评楼层或范围，实现完全随机在线样本检查，实现评估成果的公开性、公平性、公正性；</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2.12.</w:t>
      </w: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 xml:space="preserve"> 现场评估工作结束后，</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召开项目评估总结会议并通报现场评估基本情况及得分；</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2.12.</w:t>
      </w:r>
      <w:r>
        <w:rPr>
          <w:rFonts w:hint="eastAsia" w:ascii="宋体" w:hAnsi="宋体" w:cs="宋体"/>
          <w:color w:val="auto"/>
          <w:highlight w:val="none"/>
          <w:lang w:val="en-US" w:eastAsia="zh-CN"/>
        </w:rPr>
        <w:t>5</w:t>
      </w:r>
      <w:r>
        <w:rPr>
          <w:rFonts w:hint="eastAsia" w:ascii="宋体" w:hAnsi="宋体" w:eastAsia="宋体" w:cs="宋体"/>
          <w:color w:val="auto"/>
          <w:highlight w:val="none"/>
          <w:lang w:val="en-US" w:eastAsia="zh-CN"/>
        </w:rPr>
        <w:t xml:space="preserve">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编制评估报告，按</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合同约定提交成果。</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2.13 服务计划：评估工作开始前，</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应至少提前5日内通知</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评估计划，</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应当在收到</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评估计划之后提前做好评估准备工作。</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2.14 设备配置：</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2.14.1 </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提供工具：冲击钻（钻孔实测楼板厚度）、投影仪等。</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2.14.2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负责工具：①实体检测工具的配置：包括但不限于激光测距仪、回弹仪、塞片等；②风险评估工具：包括但不限于笔记本电脑、数码相机、自行研发软件系统包括且不限于随机抽选系统、实测实量评分系统、安全文明评分系统、质量风险评分系统、报告生成系统、数据库分析系统、供应商评价系统等。（或</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自带其他工具，</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提供协助。）</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查验：</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3.1 查验标准：以统一标准、尺度，对被评项目进行评估。按</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要求及本</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合同约定及时编制评估成果，反馈安全质量评估结果。评估成果要求数据准确、内容完整，做到公示各项目合格率并揭示主要安全质量风险及相关工程管理问题等。</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3.2 查验方式：</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采取书面审查与成果确认相结合的方式进行验收。</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按</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合同约定的标准对</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提交的各项评估成果（快报、简报、总结报告等）进行审阅。</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在收到阶段性或最终成果后 7 个工作日内，未以书面（含电子邮件或函件）形式提出修改意见或异议的，视为该项成果验收合格；若</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提出修改意见，</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需按约定在 7 日内免费整改完毕并重新提交</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复验，直至达到约定的验收标准。</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3.3  查验时间和地点：查验时间贯穿于整个评估周期。具体为</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按本</w:t>
      </w:r>
      <w:r>
        <w:rPr>
          <w:rFonts w:hint="eastAsia" w:ascii="宋体" w:hAnsi="宋体" w:cs="宋体"/>
          <w:color w:val="auto"/>
          <w:highlight w:val="none"/>
          <w:lang w:val="en-US" w:eastAsia="zh-CN"/>
        </w:rPr>
        <w:t>项目</w:t>
      </w:r>
      <w:r>
        <w:rPr>
          <w:rFonts w:hint="eastAsia" w:ascii="宋体" w:hAnsi="宋体" w:eastAsia="宋体" w:cs="宋体"/>
          <w:color w:val="auto"/>
          <w:highlight w:val="none"/>
          <w:lang w:val="en-US" w:eastAsia="zh-CN"/>
        </w:rPr>
        <w:t>合同约定的进度节点，提交相应评估成果之日起的 7 个工作日内；查验地点为各被评估项目的项目所在地。</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w:t>
      </w:r>
      <w:r>
        <w:rPr>
          <w:rFonts w:hint="eastAsia" w:ascii="宋体" w:hAnsi="宋体" w:eastAsia="宋体" w:cs="宋体"/>
          <w:color w:val="auto"/>
          <w:highlight w:val="none"/>
          <w:lang w:val="en-US" w:eastAsia="zh-CN"/>
        </w:rPr>
        <w:t xml:space="preserve">人员管理 </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4.1 中标通知书发出后 30 天内，</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须向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的人员安排报告，其内容应包括团队的设置、各岗位的人员名单、资格证书复印件（同时提供相应资格证书的原件供审核）及在</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单位缴纳三个月以上的社保证明等资料，以上资料须报</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进行审核、备案，且以上人员需经</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面试审核通过。</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4.2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安排的人员应相对稳定，更换组长和技术人员，应取得</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的同意,并向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提交继任人员的资格、管理经验等资料。</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组长、组员及专项评估人员的更换除发生重病或重伤（持有市三甲医院证明）两个月以上且不具备民事行为能力的、死亡、离职的情形之一外不得更换。其它更换上述人员的情形均视为</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违约更换，</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对</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每次处予人民币3000元的违约金。更换上述人员时，替换人员的专业要相符，资质等级必须不低于被替换人员。</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 xml:space="preserve">4.3 </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应对其组长、组员及其他人员进行有效管理。</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要求撤换不能胜任本职工作、行为不端或玩忽职守的</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评估人员的，</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应予以撤换，同时参照约定的</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更换人员的违约标准承担违约金。因雇员行为不当造成</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损失的，</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应承担全部责任。</w:t>
      </w:r>
    </w:p>
    <w:p>
      <w:pPr>
        <w:keepNext w:val="0"/>
        <w:keepLines w:val="0"/>
        <w:pageBreakBefore w:val="0"/>
        <w:widowControl w:val="0"/>
        <w:shd w:val="clear"/>
        <w:tabs>
          <w:tab w:val="left" w:pos="426"/>
        </w:tabs>
        <w:kinsoku/>
        <w:wordWrap/>
        <w:overflowPunct/>
        <w:topLinePunct w:val="0"/>
        <w:bidi w:val="0"/>
        <w:adjustRightInd w:val="0"/>
        <w:snapToGrid w:val="0"/>
        <w:spacing w:line="360" w:lineRule="auto"/>
        <w:ind w:firstLine="0" w:firstLineChars="0"/>
        <w:jc w:val="both"/>
        <w:rPr>
          <w:rFonts w:hint="default" w:ascii="宋体" w:hAnsi="宋体" w:eastAsia="宋体" w:cs="宋体"/>
          <w:color w:val="auto"/>
          <w:highlight w:val="none"/>
          <w:lang w:val="en-US" w:eastAsia="zh-CN"/>
        </w:rPr>
      </w:pPr>
      <w:r>
        <w:rPr>
          <w:rFonts w:hint="eastAsia" w:ascii="宋体" w:hAnsi="宋体" w:cs="宋体"/>
          <w:b/>
          <w:color w:val="auto"/>
          <w:sz w:val="21"/>
          <w:szCs w:val="21"/>
          <w:highlight w:val="none"/>
          <w:lang w:val="en-US" w:eastAsia="zh-CN"/>
        </w:rPr>
        <w:t>二</w:t>
      </w:r>
      <w:r>
        <w:rPr>
          <w:rFonts w:hint="eastAsia" w:ascii="宋体" w:hAnsi="宋体" w:eastAsia="宋体" w:cs="宋体"/>
          <w:b/>
          <w:color w:val="auto"/>
          <w:sz w:val="21"/>
          <w:szCs w:val="21"/>
          <w:highlight w:val="none"/>
          <w:lang w:val="en-US" w:eastAsia="zh-CN"/>
        </w:rPr>
        <w:t>、</w:t>
      </w:r>
      <w:r>
        <w:rPr>
          <w:rFonts w:hint="eastAsia" w:ascii="宋体" w:hAnsi="宋体" w:cs="宋体"/>
          <w:b/>
          <w:color w:val="auto"/>
          <w:sz w:val="21"/>
          <w:szCs w:val="21"/>
          <w:highlight w:val="none"/>
          <w:lang w:val="en-US" w:eastAsia="zh-CN"/>
        </w:rPr>
        <w:t>进度要求</w:t>
      </w:r>
    </w:p>
    <w:p>
      <w:pPr>
        <w:pStyle w:val="13"/>
        <w:shd w:val="clea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1.</w:t>
      </w:r>
      <w:r>
        <w:rPr>
          <w:rFonts w:hint="eastAsia" w:ascii="宋体" w:hAnsi="宋体" w:eastAsia="宋体" w:cs="宋体"/>
          <w:color w:val="auto"/>
          <w:highlight w:val="none"/>
          <w:lang w:val="en-US" w:eastAsia="zh-CN"/>
        </w:rPr>
        <w:t>履约地点：</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项目分布在东莞本地，对</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指定项目进行季度或专项评估工作，具体评估项目及内容以双方确认的《巡检服务订单》为准，</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根据《巡检服务订单》组织实施评估。</w:t>
      </w:r>
    </w:p>
    <w:p>
      <w:pPr>
        <w:pStyle w:val="13"/>
        <w:shd w:val="clea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w:t>
      </w:r>
      <w:r>
        <w:rPr>
          <w:rFonts w:hint="eastAsia" w:ascii="宋体" w:hAnsi="宋体" w:eastAsia="宋体" w:cs="宋体"/>
          <w:color w:val="auto"/>
          <w:highlight w:val="none"/>
          <w:lang w:val="en-US" w:eastAsia="zh-CN"/>
        </w:rPr>
        <w:t>进度要求：</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2.1 完成在建项目的现场评估当日，现场向被评估项目的项目部通报当天评估的评估快报，包括但不限于以下内容：实测数据中的明显偏差项、各质量风险指标风险状况、现场主要质量问题、上期质量整改封闭情况等；安全生产的管理隐患与现场隐患，各安全风险指标风险状况、现场主要安全问题、上期安全整改封闭情况；现场主要管理行为问题、上期管理行为整改封闭情况等；</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2.2 项目现场评估完成后3日内，向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提供被评项目的评估简报，报告形式为电子版，邮件发送；</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2.3“一个轮次”评估：</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“一个轮次”项目现场全部评估工作结束后，</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应在7日内向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的项目管理部门或</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指定的其他部门提交《XXXXXXXX项目工程评估总结报告》及相关评估过程资料，报告形式为电子版，邮件发送；</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2.4 上述“一个轮次”指：在一定期间内，对</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某个季度指定的所有项目完成评估检查；</w:t>
      </w:r>
    </w:p>
    <w:p>
      <w:pPr>
        <w:pStyle w:val="13"/>
        <w:shd w:val="clea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2.5 对于发现的重大风险或较为严重的系统性质量安全问题，</w:t>
      </w:r>
      <w:r>
        <w:rPr>
          <w:rFonts w:hint="eastAsia" w:ascii="宋体" w:hAnsi="宋体" w:cs="宋体"/>
          <w:color w:val="auto"/>
          <w:highlight w:val="none"/>
          <w:lang w:val="en-US" w:eastAsia="zh-CN"/>
        </w:rPr>
        <w:t>中标人</w:t>
      </w:r>
      <w:r>
        <w:rPr>
          <w:rFonts w:hint="eastAsia" w:ascii="宋体" w:hAnsi="宋体" w:eastAsia="宋体" w:cs="宋体"/>
          <w:color w:val="auto"/>
          <w:highlight w:val="none"/>
          <w:lang w:val="en-US" w:eastAsia="zh-CN"/>
        </w:rPr>
        <w:t>应在发现问题后立即向</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对接人员电话通报质量安全风险情况，并将风险报告于当天以电子邮件形式发送至</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w:t>
      </w:r>
    </w:p>
    <w:p>
      <w:pPr>
        <w:pStyle w:val="13"/>
        <w:shd w:val="clea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3.</w:t>
      </w:r>
      <w:r>
        <w:rPr>
          <w:rFonts w:hint="eastAsia" w:ascii="宋体" w:hAnsi="宋体" w:eastAsia="宋体" w:cs="宋体"/>
          <w:color w:val="auto"/>
          <w:highlight w:val="none"/>
          <w:lang w:val="en-US" w:eastAsia="zh-CN"/>
        </w:rPr>
        <w:t>质量要求：符合适用的现行有效的国家及地方有关工程技术咨询服务工作的规定、国家标准、行业标准、工程所在地的地方标准及相应的规范、规程、项目业主及</w:t>
      </w:r>
      <w:r>
        <w:rPr>
          <w:rFonts w:hint="eastAsia" w:ascii="宋体" w:hAnsi="宋体" w:cs="宋体"/>
          <w:color w:val="auto"/>
          <w:highlight w:val="none"/>
          <w:lang w:val="en-US" w:eastAsia="zh-CN"/>
        </w:rPr>
        <w:t>采购人</w:t>
      </w:r>
      <w:r>
        <w:rPr>
          <w:rFonts w:hint="eastAsia" w:ascii="宋体" w:hAnsi="宋体" w:eastAsia="宋体" w:cs="宋体"/>
          <w:color w:val="auto"/>
          <w:highlight w:val="none"/>
          <w:lang w:val="en-US" w:eastAsia="zh-CN"/>
        </w:rPr>
        <w:t>的有关要求。</w:t>
      </w:r>
    </w:p>
    <w:p>
      <w:pPr>
        <w:pStyle w:val="13"/>
        <w:shd w:val="clear"/>
        <w:ind w:firstLine="0"/>
        <w:rPr>
          <w:rFonts w:hint="default"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★三、人员配置要求</w:t>
      </w:r>
    </w:p>
    <w:tbl>
      <w:tblPr>
        <w:tblStyle w:val="43"/>
        <w:tblW w:w="89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6"/>
        <w:gridCol w:w="1476"/>
        <w:gridCol w:w="516"/>
        <w:gridCol w:w="6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jc w:val="center"/>
        </w:trPr>
        <w:tc>
          <w:tcPr>
            <w:tcW w:w="566" w:type="dxa"/>
            <w:vAlign w:val="center"/>
          </w:tcPr>
          <w:p>
            <w:pPr>
              <w:shd w:val="clear"/>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类别</w:t>
            </w:r>
          </w:p>
        </w:tc>
        <w:tc>
          <w:tcPr>
            <w:tcW w:w="1476" w:type="dxa"/>
            <w:vAlign w:val="center"/>
          </w:tcPr>
          <w:p>
            <w:pPr>
              <w:shd w:val="clear"/>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人员</w:t>
            </w:r>
          </w:p>
        </w:tc>
        <w:tc>
          <w:tcPr>
            <w:tcW w:w="516" w:type="dxa"/>
            <w:vAlign w:val="center"/>
          </w:tcPr>
          <w:p>
            <w:pPr>
              <w:shd w:val="clear"/>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数量</w:t>
            </w:r>
          </w:p>
        </w:tc>
        <w:tc>
          <w:tcPr>
            <w:tcW w:w="6388" w:type="dxa"/>
            <w:vAlign w:val="center"/>
          </w:tcPr>
          <w:p>
            <w:pPr>
              <w:shd w:val="clear"/>
              <w:spacing w:line="360" w:lineRule="exact"/>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人员</w:t>
            </w:r>
            <w:r>
              <w:rPr>
                <w:rFonts w:hint="eastAsia" w:ascii="宋体" w:hAnsi="宋体" w:eastAsia="宋体" w:cs="宋体"/>
                <w:bCs/>
                <w:color w:val="auto"/>
                <w:sz w:val="21"/>
                <w:szCs w:val="21"/>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0" w:hRule="atLeast"/>
          <w:jc w:val="center"/>
        </w:trPr>
        <w:tc>
          <w:tcPr>
            <w:tcW w:w="566" w:type="dxa"/>
            <w:vMerge w:val="restart"/>
            <w:vAlign w:val="center"/>
          </w:tcPr>
          <w:p>
            <w:pPr>
              <w:shd w:val="clear"/>
              <w:spacing w:line="360" w:lineRule="exact"/>
              <w:jc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季度巡检</w:t>
            </w:r>
          </w:p>
        </w:tc>
        <w:tc>
          <w:tcPr>
            <w:tcW w:w="1476" w:type="dxa"/>
            <w:vAlign w:val="center"/>
          </w:tcPr>
          <w:p>
            <w:pPr>
              <w:shd w:val="clea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土建、精装质量组长</w:t>
            </w:r>
          </w:p>
        </w:tc>
        <w:tc>
          <w:tcPr>
            <w:tcW w:w="516" w:type="dxa"/>
            <w:vAlign w:val="center"/>
          </w:tcPr>
          <w:p>
            <w:pPr>
              <w:keepNext w:val="0"/>
              <w:keepLines w:val="0"/>
              <w:widowControl/>
              <w:suppressLineNumbers w:val="0"/>
              <w:shd w:val="clear"/>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w:t>
            </w:r>
          </w:p>
        </w:tc>
        <w:tc>
          <w:tcPr>
            <w:tcW w:w="6388" w:type="dxa"/>
            <w:vAlign w:val="center"/>
          </w:tcPr>
          <w:p>
            <w:pPr>
              <w:numPr>
                <w:ilvl w:val="0"/>
                <w:numId w:val="0"/>
              </w:numPr>
              <w:shd w:val="clear"/>
              <w:spacing w:line="360" w:lineRule="exact"/>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建筑工程</w:t>
            </w:r>
            <w:r>
              <w:rPr>
                <w:rFonts w:hint="eastAsia" w:ascii="宋体" w:hAnsi="宋体" w:cs="宋体"/>
                <w:b w:val="0"/>
                <w:bCs w:val="0"/>
                <w:color w:val="auto"/>
                <w:sz w:val="21"/>
                <w:szCs w:val="21"/>
                <w:highlight w:val="none"/>
                <w:u w:val="none"/>
                <w:lang w:val="en-US" w:eastAsia="zh-CN"/>
              </w:rPr>
              <w:t>专业</w:t>
            </w:r>
            <w:r>
              <w:rPr>
                <w:rFonts w:hint="eastAsia" w:ascii="宋体" w:hAnsi="宋体" w:eastAsia="宋体" w:cs="宋体"/>
                <w:b w:val="0"/>
                <w:bCs w:val="0"/>
                <w:color w:val="auto"/>
                <w:sz w:val="21"/>
                <w:szCs w:val="21"/>
                <w:highlight w:val="none"/>
                <w:u w:val="none"/>
                <w:lang w:val="en-US" w:eastAsia="zh-CN"/>
              </w:rPr>
              <w:t>一级建造师资格或</w:t>
            </w:r>
            <w:r>
              <w:rPr>
                <w:rFonts w:hint="eastAsia" w:ascii="宋体" w:hAnsi="宋体" w:eastAsia="宋体" w:cs="宋体"/>
                <w:b w:val="0"/>
                <w:bCs w:val="0"/>
                <w:color w:val="auto"/>
                <w:sz w:val="21"/>
                <w:szCs w:val="21"/>
                <w:highlight w:val="none"/>
                <w:u w:val="none"/>
              </w:rPr>
              <w:t>建筑工程</w:t>
            </w:r>
            <w:r>
              <w:rPr>
                <w:rFonts w:hint="eastAsia" w:ascii="宋体" w:hAnsi="宋体" w:cs="宋体"/>
                <w:b w:val="0"/>
                <w:bCs w:val="0"/>
                <w:color w:val="auto"/>
                <w:sz w:val="21"/>
                <w:szCs w:val="21"/>
                <w:highlight w:val="none"/>
                <w:u w:val="none"/>
                <w:lang w:val="en-US" w:eastAsia="zh-CN"/>
              </w:rPr>
              <w:t>类</w:t>
            </w:r>
            <w:r>
              <w:rPr>
                <w:rFonts w:hint="eastAsia" w:ascii="宋体" w:hAnsi="宋体" w:eastAsia="宋体" w:cs="宋体"/>
                <w:b w:val="0"/>
                <w:bCs w:val="0"/>
                <w:color w:val="auto"/>
                <w:sz w:val="21"/>
                <w:szCs w:val="21"/>
                <w:highlight w:val="none"/>
                <w:u w:val="none"/>
                <w:lang w:val="en-US" w:eastAsia="zh-CN"/>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7" w:hRule="atLeast"/>
          <w:jc w:val="center"/>
        </w:trPr>
        <w:tc>
          <w:tcPr>
            <w:tcW w:w="566" w:type="dxa"/>
            <w:vMerge w:val="continue"/>
            <w:vAlign w:val="center"/>
          </w:tcPr>
          <w:p>
            <w:pPr>
              <w:shd w:val="clear"/>
              <w:spacing w:line="360" w:lineRule="exact"/>
              <w:jc w:val="center"/>
              <w:rPr>
                <w:rFonts w:hint="eastAsia" w:ascii="宋体" w:hAnsi="宋体" w:eastAsia="宋体" w:cs="宋体"/>
                <w:color w:val="auto"/>
                <w:sz w:val="21"/>
                <w:szCs w:val="21"/>
                <w:highlight w:val="none"/>
              </w:rPr>
            </w:pPr>
          </w:p>
        </w:tc>
        <w:tc>
          <w:tcPr>
            <w:tcW w:w="1476" w:type="dxa"/>
            <w:vAlign w:val="center"/>
          </w:tcPr>
          <w:p>
            <w:pPr>
              <w:shd w:val="clear"/>
              <w:spacing w:line="36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机电安装组长</w:t>
            </w:r>
          </w:p>
        </w:tc>
        <w:tc>
          <w:tcPr>
            <w:tcW w:w="516" w:type="dxa"/>
            <w:vAlign w:val="center"/>
          </w:tcPr>
          <w:p>
            <w:pPr>
              <w:keepNext w:val="0"/>
              <w:keepLines w:val="0"/>
              <w:widowControl/>
              <w:suppressLineNumbers w:val="0"/>
              <w:shd w:val="clear"/>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w:t>
            </w:r>
          </w:p>
        </w:tc>
        <w:tc>
          <w:tcPr>
            <w:tcW w:w="6388" w:type="dxa"/>
            <w:vAlign w:val="center"/>
          </w:tcPr>
          <w:p>
            <w:pPr>
              <w:pStyle w:val="2"/>
              <w:numPr>
                <w:ilvl w:val="1"/>
                <w:numId w:val="0"/>
              </w:numPr>
              <w:shd w:val="clear"/>
              <w:ind w:leftChars="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sz w:val="21"/>
                <w:szCs w:val="21"/>
                <w:highlight w:val="none"/>
                <w:u w:val="none"/>
                <w:lang w:val="en-US" w:eastAsia="zh-CN"/>
              </w:rPr>
              <w:t>机电</w:t>
            </w:r>
            <w:r>
              <w:rPr>
                <w:rFonts w:hint="eastAsia" w:ascii="宋体" w:hAnsi="宋体" w:eastAsia="宋体" w:cs="宋体"/>
                <w:b w:val="0"/>
                <w:bCs w:val="0"/>
                <w:color w:val="auto"/>
                <w:sz w:val="21"/>
                <w:szCs w:val="21"/>
                <w:highlight w:val="none"/>
                <w:u w:val="none"/>
              </w:rPr>
              <w:t>工程</w:t>
            </w:r>
            <w:r>
              <w:rPr>
                <w:rFonts w:hint="eastAsia" w:ascii="宋体" w:hAnsi="宋体" w:cs="宋体"/>
                <w:b w:val="0"/>
                <w:bCs w:val="0"/>
                <w:color w:val="auto"/>
                <w:sz w:val="21"/>
                <w:szCs w:val="21"/>
                <w:highlight w:val="none"/>
                <w:u w:val="none"/>
                <w:lang w:val="en-US" w:eastAsia="zh-CN"/>
              </w:rPr>
              <w:t>专业</w:t>
            </w:r>
            <w:r>
              <w:rPr>
                <w:rFonts w:hint="eastAsia" w:ascii="宋体" w:hAnsi="宋体" w:eastAsia="宋体" w:cs="宋体"/>
                <w:b w:val="0"/>
                <w:bCs w:val="0"/>
                <w:color w:val="auto"/>
                <w:sz w:val="21"/>
                <w:szCs w:val="21"/>
                <w:highlight w:val="none"/>
                <w:u w:val="none"/>
                <w:lang w:val="en-US" w:eastAsia="zh-CN"/>
              </w:rPr>
              <w:t>一级建造师资格或机电</w:t>
            </w:r>
            <w:r>
              <w:rPr>
                <w:rFonts w:hint="eastAsia" w:ascii="宋体" w:hAnsi="宋体" w:eastAsia="宋体" w:cs="宋体"/>
                <w:b w:val="0"/>
                <w:bCs w:val="0"/>
                <w:color w:val="auto"/>
                <w:sz w:val="21"/>
                <w:szCs w:val="21"/>
                <w:highlight w:val="none"/>
                <w:u w:val="none"/>
              </w:rPr>
              <w:t>工程</w:t>
            </w:r>
            <w:r>
              <w:rPr>
                <w:rFonts w:hint="eastAsia" w:ascii="宋体" w:hAnsi="宋体" w:eastAsia="宋体" w:cs="宋体"/>
                <w:b w:val="0"/>
                <w:bCs w:val="0"/>
                <w:color w:val="auto"/>
                <w:sz w:val="21"/>
                <w:szCs w:val="21"/>
                <w:highlight w:val="none"/>
                <w:u w:val="none"/>
                <w:lang w:val="en-US" w:eastAsia="zh-CN"/>
              </w:rPr>
              <w:t>类中级及以上职称人员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566" w:type="dxa"/>
            <w:vMerge w:val="continue"/>
            <w:vAlign w:val="center"/>
          </w:tcPr>
          <w:p>
            <w:pPr>
              <w:keepNext w:val="0"/>
              <w:keepLines w:val="0"/>
              <w:widowControl/>
              <w:suppressLineNumbers w:val="0"/>
              <w:shd w:val="clear"/>
              <w:jc w:val="center"/>
              <w:textAlignment w:val="center"/>
              <w:rPr>
                <w:rFonts w:hint="eastAsia" w:ascii="宋体" w:hAnsi="宋体" w:eastAsia="宋体" w:cs="宋体"/>
                <w:color w:val="auto"/>
                <w:sz w:val="21"/>
                <w:szCs w:val="21"/>
                <w:highlight w:val="none"/>
              </w:rPr>
            </w:pPr>
          </w:p>
        </w:tc>
        <w:tc>
          <w:tcPr>
            <w:tcW w:w="1476" w:type="dxa"/>
            <w:vAlign w:val="center"/>
          </w:tcPr>
          <w:p>
            <w:pPr>
              <w:keepNext w:val="0"/>
              <w:keepLines w:val="0"/>
              <w:widowControl/>
              <w:suppressLineNumbers w:val="0"/>
              <w:shd w:val="clea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大型机械设备组长</w:t>
            </w:r>
          </w:p>
        </w:tc>
        <w:tc>
          <w:tcPr>
            <w:tcW w:w="516" w:type="dxa"/>
            <w:vAlign w:val="center"/>
          </w:tcPr>
          <w:p>
            <w:pPr>
              <w:keepNext w:val="0"/>
              <w:keepLines w:val="0"/>
              <w:widowControl/>
              <w:suppressLineNumbers w:val="0"/>
              <w:shd w:val="clear"/>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w:t>
            </w:r>
          </w:p>
        </w:tc>
        <w:tc>
          <w:tcPr>
            <w:tcW w:w="6388" w:type="dxa"/>
            <w:vAlign w:val="center"/>
          </w:tcPr>
          <w:p>
            <w:pPr>
              <w:shd w:val="clear"/>
              <w:spacing w:line="360" w:lineRule="exac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具备</w:t>
            </w:r>
            <w:r>
              <w:rPr>
                <w:rFonts w:hint="eastAsia" w:ascii="宋体" w:hAnsi="宋体" w:eastAsia="宋体" w:cs="宋体"/>
                <w:b w:val="0"/>
                <w:bCs w:val="0"/>
                <w:color w:val="auto"/>
                <w:sz w:val="21"/>
                <w:szCs w:val="21"/>
                <w:highlight w:val="none"/>
                <w:lang w:val="en-US" w:eastAsia="zh-CN"/>
              </w:rPr>
              <w:t>中级注册及以上</w:t>
            </w:r>
            <w:r>
              <w:rPr>
                <w:rFonts w:hint="eastAsia" w:ascii="宋体" w:hAnsi="宋体" w:eastAsia="宋体" w:cs="宋体"/>
                <w:b w:val="0"/>
                <w:bCs w:val="0"/>
                <w:color w:val="auto"/>
                <w:sz w:val="21"/>
                <w:szCs w:val="21"/>
                <w:highlight w:val="none"/>
                <w:lang w:val="zh-CN"/>
              </w:rPr>
              <w:t>安全工程师</w:t>
            </w:r>
            <w:r>
              <w:rPr>
                <w:rFonts w:hint="eastAsia" w:ascii="宋体" w:hAnsi="宋体" w:cs="宋体"/>
                <w:b w:val="0"/>
                <w:bCs w:val="0"/>
                <w:color w:val="auto"/>
                <w:sz w:val="21"/>
                <w:szCs w:val="21"/>
                <w:highlight w:val="none"/>
                <w:lang w:val="en-US" w:eastAsia="zh-CN"/>
              </w:rPr>
              <w:t>职</w:t>
            </w:r>
            <w:r>
              <w:rPr>
                <w:rFonts w:hint="eastAsia" w:ascii="宋体" w:hAnsi="宋体" w:eastAsia="宋体" w:cs="宋体"/>
                <w:b w:val="0"/>
                <w:bCs w:val="0"/>
                <w:color w:val="auto"/>
                <w:sz w:val="21"/>
                <w:szCs w:val="21"/>
                <w:highlight w:val="none"/>
                <w:lang w:val="zh-CN"/>
              </w:rPr>
              <w:t xml:space="preserve">业资格（建筑施工安全类），且在本行业领域内从事安全管理工作满 </w:t>
            </w: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566" w:type="dxa"/>
            <w:vMerge w:val="continue"/>
            <w:vAlign w:val="center"/>
          </w:tcPr>
          <w:p>
            <w:pPr>
              <w:keepNext w:val="0"/>
              <w:keepLines w:val="0"/>
              <w:widowControl/>
              <w:suppressLineNumbers w:val="0"/>
              <w:shd w:val="clear"/>
              <w:jc w:val="center"/>
              <w:textAlignment w:val="center"/>
              <w:rPr>
                <w:rFonts w:hint="eastAsia" w:ascii="宋体" w:hAnsi="宋体" w:eastAsia="宋体" w:cs="宋体"/>
                <w:bCs/>
                <w:color w:val="auto"/>
                <w:sz w:val="21"/>
                <w:szCs w:val="21"/>
                <w:highlight w:val="none"/>
              </w:rPr>
            </w:pPr>
          </w:p>
        </w:tc>
        <w:tc>
          <w:tcPr>
            <w:tcW w:w="1476" w:type="dxa"/>
            <w:vAlign w:val="center"/>
          </w:tcPr>
          <w:p>
            <w:pPr>
              <w:keepNext w:val="0"/>
              <w:keepLines w:val="0"/>
              <w:widowControl/>
              <w:suppressLineNumbers w:val="0"/>
              <w:shd w:val="clear"/>
              <w:jc w:val="center"/>
              <w:textAlignment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土建、精装实测组员</w:t>
            </w:r>
          </w:p>
        </w:tc>
        <w:tc>
          <w:tcPr>
            <w:tcW w:w="516" w:type="dxa"/>
            <w:vAlign w:val="center"/>
          </w:tcPr>
          <w:p>
            <w:pPr>
              <w:keepNext w:val="0"/>
              <w:keepLines w:val="0"/>
              <w:widowControl/>
              <w:suppressLineNumbers w:val="0"/>
              <w:shd w:val="clear"/>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2</w:t>
            </w:r>
          </w:p>
        </w:tc>
        <w:tc>
          <w:tcPr>
            <w:tcW w:w="6388" w:type="dxa"/>
            <w:vAlign w:val="center"/>
          </w:tcPr>
          <w:p>
            <w:pPr>
              <w:shd w:val="clear"/>
              <w:spacing w:line="360" w:lineRule="exac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建筑工程</w:t>
            </w:r>
            <w:r>
              <w:rPr>
                <w:rFonts w:hint="eastAsia" w:ascii="宋体" w:hAnsi="宋体" w:cs="宋体"/>
                <w:b w:val="0"/>
                <w:bCs w:val="0"/>
                <w:color w:val="auto"/>
                <w:sz w:val="21"/>
                <w:szCs w:val="21"/>
                <w:highlight w:val="none"/>
                <w:u w:val="none"/>
                <w:lang w:val="en-US" w:eastAsia="zh-CN"/>
              </w:rPr>
              <w:t>专业</w:t>
            </w:r>
            <w:r>
              <w:rPr>
                <w:rFonts w:hint="eastAsia" w:ascii="宋体" w:hAnsi="宋体" w:eastAsia="宋体" w:cs="宋体"/>
                <w:b w:val="0"/>
                <w:bCs w:val="0"/>
                <w:color w:val="auto"/>
                <w:sz w:val="21"/>
                <w:szCs w:val="21"/>
                <w:highlight w:val="none"/>
                <w:u w:val="none"/>
                <w:lang w:val="en-US" w:eastAsia="zh-CN"/>
              </w:rPr>
              <w:t>一级建造师资格或</w:t>
            </w:r>
            <w:r>
              <w:rPr>
                <w:rFonts w:hint="eastAsia" w:ascii="宋体" w:hAnsi="宋体" w:eastAsia="宋体" w:cs="宋体"/>
                <w:b w:val="0"/>
                <w:bCs w:val="0"/>
                <w:color w:val="auto"/>
                <w:sz w:val="21"/>
                <w:szCs w:val="21"/>
                <w:highlight w:val="none"/>
                <w:u w:val="none"/>
              </w:rPr>
              <w:t>建筑工程</w:t>
            </w:r>
            <w:r>
              <w:rPr>
                <w:rFonts w:hint="eastAsia" w:ascii="宋体" w:hAnsi="宋体" w:cs="宋体"/>
                <w:b w:val="0"/>
                <w:bCs w:val="0"/>
                <w:color w:val="auto"/>
                <w:sz w:val="21"/>
                <w:szCs w:val="21"/>
                <w:highlight w:val="none"/>
                <w:u w:val="none"/>
                <w:lang w:val="en-US" w:eastAsia="zh-CN"/>
              </w:rPr>
              <w:t>类</w:t>
            </w:r>
            <w:r>
              <w:rPr>
                <w:rFonts w:hint="eastAsia" w:ascii="宋体" w:hAnsi="宋体" w:eastAsia="宋体" w:cs="宋体"/>
                <w:b w:val="0"/>
                <w:bCs w:val="0"/>
                <w:color w:val="auto"/>
                <w:sz w:val="21"/>
                <w:szCs w:val="21"/>
                <w:highlight w:val="none"/>
                <w:u w:val="none"/>
                <w:lang w:val="en-US" w:eastAsia="zh-CN"/>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87" w:hRule="atLeast"/>
          <w:jc w:val="center"/>
        </w:trPr>
        <w:tc>
          <w:tcPr>
            <w:tcW w:w="566" w:type="dxa"/>
            <w:vMerge w:val="continue"/>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sz w:val="21"/>
                <w:szCs w:val="21"/>
                <w:highlight w:val="none"/>
                <w:lang w:val="zh-CN"/>
              </w:rPr>
            </w:pPr>
          </w:p>
        </w:tc>
        <w:tc>
          <w:tcPr>
            <w:tcW w:w="1476"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安全文明、管理行为组员</w:t>
            </w:r>
          </w:p>
        </w:tc>
        <w:tc>
          <w:tcPr>
            <w:tcW w:w="516"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w:t>
            </w:r>
          </w:p>
        </w:tc>
        <w:tc>
          <w:tcPr>
            <w:tcW w:w="6388" w:type="dxa"/>
            <w:shd w:val="clear" w:color="auto" w:fill="auto"/>
            <w:vAlign w:val="center"/>
          </w:tcPr>
          <w:p>
            <w:pPr>
              <w:shd w:val="clear"/>
              <w:jc w:val="left"/>
              <w:rPr>
                <w:rFonts w:hint="eastAsia" w:ascii="宋体" w:hAnsi="宋体" w:eastAsia="宋体" w:cs="宋体"/>
                <w:b w:val="0"/>
                <w:bCs w:val="0"/>
                <w:color w:val="auto"/>
                <w:sz w:val="21"/>
                <w:szCs w:val="21"/>
                <w:highlight w:val="none"/>
                <w:lang w:val="zh-CN"/>
              </w:rPr>
            </w:pPr>
            <w:r>
              <w:rPr>
                <w:rFonts w:hint="eastAsia" w:ascii="宋体" w:hAnsi="宋体" w:eastAsia="宋体" w:cs="宋体"/>
                <w:b w:val="0"/>
                <w:bCs w:val="0"/>
                <w:color w:val="auto"/>
                <w:sz w:val="21"/>
                <w:szCs w:val="21"/>
                <w:highlight w:val="none"/>
                <w:lang w:val="zh-CN"/>
              </w:rPr>
              <w:t>具备</w:t>
            </w:r>
            <w:r>
              <w:rPr>
                <w:rFonts w:hint="eastAsia" w:ascii="宋体" w:hAnsi="宋体" w:eastAsia="宋体" w:cs="宋体"/>
                <w:b w:val="0"/>
                <w:bCs w:val="0"/>
                <w:color w:val="auto"/>
                <w:sz w:val="21"/>
                <w:szCs w:val="21"/>
                <w:highlight w:val="none"/>
                <w:lang w:val="en-US" w:eastAsia="zh-CN"/>
              </w:rPr>
              <w:t>中级</w:t>
            </w:r>
            <w:r>
              <w:rPr>
                <w:rFonts w:hint="eastAsia" w:ascii="宋体" w:hAnsi="宋体" w:eastAsia="宋体" w:cs="宋体"/>
                <w:b w:val="0"/>
                <w:bCs w:val="0"/>
                <w:color w:val="auto"/>
                <w:sz w:val="21"/>
                <w:szCs w:val="21"/>
                <w:highlight w:val="none"/>
                <w:lang w:val="zh-CN"/>
              </w:rPr>
              <w:t>注册</w:t>
            </w:r>
            <w:r>
              <w:rPr>
                <w:rFonts w:hint="eastAsia" w:ascii="宋体" w:hAnsi="宋体" w:eastAsia="宋体" w:cs="宋体"/>
                <w:b w:val="0"/>
                <w:bCs w:val="0"/>
                <w:color w:val="auto"/>
                <w:sz w:val="21"/>
                <w:szCs w:val="21"/>
                <w:highlight w:val="none"/>
                <w:lang w:val="en-US" w:eastAsia="zh-CN"/>
              </w:rPr>
              <w:t>及以上</w:t>
            </w:r>
            <w:r>
              <w:rPr>
                <w:rFonts w:hint="eastAsia" w:ascii="宋体" w:hAnsi="宋体" w:eastAsia="宋体" w:cs="宋体"/>
                <w:b w:val="0"/>
                <w:bCs w:val="0"/>
                <w:color w:val="auto"/>
                <w:sz w:val="21"/>
                <w:szCs w:val="21"/>
                <w:highlight w:val="none"/>
                <w:lang w:val="zh-CN"/>
              </w:rPr>
              <w:t>安全工程师</w:t>
            </w:r>
            <w:r>
              <w:rPr>
                <w:rFonts w:hint="eastAsia" w:ascii="宋体" w:hAnsi="宋体" w:cs="宋体"/>
                <w:b w:val="0"/>
                <w:bCs w:val="0"/>
                <w:color w:val="auto"/>
                <w:sz w:val="21"/>
                <w:szCs w:val="21"/>
                <w:highlight w:val="none"/>
                <w:lang w:val="en-US" w:eastAsia="zh-CN"/>
              </w:rPr>
              <w:t>职</w:t>
            </w:r>
            <w:r>
              <w:rPr>
                <w:rFonts w:hint="eastAsia" w:ascii="宋体" w:hAnsi="宋体" w:eastAsia="宋体" w:cs="宋体"/>
                <w:b w:val="0"/>
                <w:bCs w:val="0"/>
                <w:color w:val="auto"/>
                <w:sz w:val="21"/>
                <w:szCs w:val="21"/>
                <w:highlight w:val="none"/>
                <w:lang w:val="zh-CN"/>
              </w:rPr>
              <w:t>业资格（建筑施工安全</w:t>
            </w:r>
            <w:r>
              <w:rPr>
                <w:rFonts w:hint="eastAsia" w:ascii="宋体" w:hAnsi="宋体" w:cs="宋体"/>
                <w:b w:val="0"/>
                <w:bCs w:val="0"/>
                <w:color w:val="auto"/>
                <w:sz w:val="21"/>
                <w:szCs w:val="21"/>
                <w:highlight w:val="none"/>
                <w:lang w:val="en-US" w:eastAsia="zh-CN"/>
              </w:rPr>
              <w:t>类</w:t>
            </w:r>
            <w:r>
              <w:rPr>
                <w:rFonts w:hint="eastAsia" w:ascii="宋体" w:hAnsi="宋体" w:eastAsia="宋体" w:cs="宋体"/>
                <w:b w:val="0"/>
                <w:bCs w:val="0"/>
                <w:color w:val="auto"/>
                <w:sz w:val="21"/>
                <w:szCs w:val="21"/>
                <w:highlight w:val="none"/>
                <w:lang w:val="zh-CN"/>
              </w:rPr>
              <w:t xml:space="preserve">），且在本行业领域内从事安全管理工作满 </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zh-CN"/>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566" w:type="dxa"/>
            <w:vMerge w:val="continue"/>
            <w:vAlign w:val="center"/>
          </w:tcPr>
          <w:p>
            <w:pPr>
              <w:keepNext w:val="0"/>
              <w:keepLines w:val="0"/>
              <w:widowControl/>
              <w:suppressLineNumbers w:val="0"/>
              <w:shd w:val="clear"/>
              <w:jc w:val="center"/>
              <w:textAlignment w:val="center"/>
              <w:rPr>
                <w:rFonts w:hint="eastAsia" w:ascii="宋体" w:hAnsi="宋体" w:eastAsia="宋体" w:cs="宋体"/>
                <w:color w:val="auto"/>
                <w:sz w:val="21"/>
                <w:szCs w:val="21"/>
                <w:highlight w:val="none"/>
              </w:rPr>
            </w:pPr>
          </w:p>
        </w:tc>
        <w:tc>
          <w:tcPr>
            <w:tcW w:w="1476" w:type="dxa"/>
            <w:vAlign w:val="center"/>
          </w:tcPr>
          <w:p>
            <w:pPr>
              <w:keepNext w:val="0"/>
              <w:keepLines w:val="0"/>
              <w:widowControl/>
              <w:suppressLineNumbers w:val="0"/>
              <w:shd w:val="clea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土建、精装、机电设备等管理行为组员</w:t>
            </w:r>
          </w:p>
        </w:tc>
        <w:tc>
          <w:tcPr>
            <w:tcW w:w="516" w:type="dxa"/>
            <w:vAlign w:val="center"/>
          </w:tcPr>
          <w:p>
            <w:pPr>
              <w:keepNext w:val="0"/>
              <w:keepLines w:val="0"/>
              <w:widowControl/>
              <w:suppressLineNumbers w:val="0"/>
              <w:shd w:val="clear"/>
              <w:jc w:val="center"/>
              <w:textAlignment w:val="center"/>
              <w:rPr>
                <w:rFonts w:hint="eastAsia" w:ascii="宋体" w:hAnsi="宋体" w:eastAsia="宋体" w:cs="宋体"/>
                <w:bCs/>
                <w:color w:val="auto"/>
                <w:sz w:val="21"/>
                <w:szCs w:val="21"/>
                <w:highlight w:val="none"/>
              </w:rPr>
            </w:pPr>
            <w:r>
              <w:rPr>
                <w:rFonts w:hint="eastAsia" w:ascii="宋体" w:hAnsi="宋体" w:eastAsia="宋体" w:cs="宋体"/>
                <w:i w:val="0"/>
                <w:color w:val="auto"/>
                <w:kern w:val="0"/>
                <w:sz w:val="21"/>
                <w:szCs w:val="21"/>
                <w:highlight w:val="none"/>
                <w:u w:val="none"/>
                <w:lang w:val="en-US" w:eastAsia="zh-CN" w:bidi="ar"/>
              </w:rPr>
              <w:t>1</w:t>
            </w:r>
          </w:p>
        </w:tc>
        <w:tc>
          <w:tcPr>
            <w:tcW w:w="6388" w:type="dxa"/>
            <w:vAlign w:val="center"/>
          </w:tcPr>
          <w:p>
            <w:pPr>
              <w:shd w:val="clear"/>
              <w:spacing w:line="360" w:lineRule="exac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建筑工程</w:t>
            </w:r>
            <w:r>
              <w:rPr>
                <w:rFonts w:hint="eastAsia" w:ascii="宋体" w:hAnsi="宋体" w:cs="宋体"/>
                <w:b w:val="0"/>
                <w:bCs w:val="0"/>
                <w:color w:val="auto"/>
                <w:sz w:val="21"/>
                <w:szCs w:val="21"/>
                <w:highlight w:val="none"/>
                <w:u w:val="none"/>
                <w:lang w:val="en-US" w:eastAsia="zh-CN"/>
              </w:rPr>
              <w:t>专业</w:t>
            </w:r>
            <w:r>
              <w:rPr>
                <w:rFonts w:hint="eastAsia" w:ascii="宋体" w:hAnsi="宋体" w:eastAsia="宋体" w:cs="宋体"/>
                <w:b w:val="0"/>
                <w:bCs w:val="0"/>
                <w:color w:val="auto"/>
                <w:sz w:val="21"/>
                <w:szCs w:val="21"/>
                <w:highlight w:val="none"/>
                <w:u w:val="none"/>
                <w:lang w:val="en-US" w:eastAsia="zh-CN"/>
              </w:rPr>
              <w:t>一级建造师资格或</w:t>
            </w:r>
            <w:r>
              <w:rPr>
                <w:rFonts w:hint="eastAsia" w:ascii="宋体" w:hAnsi="宋体" w:eastAsia="宋体" w:cs="宋体"/>
                <w:b w:val="0"/>
                <w:bCs w:val="0"/>
                <w:color w:val="auto"/>
                <w:sz w:val="21"/>
                <w:szCs w:val="21"/>
                <w:highlight w:val="none"/>
                <w:u w:val="none"/>
              </w:rPr>
              <w:t>建筑工程</w:t>
            </w:r>
            <w:r>
              <w:rPr>
                <w:rFonts w:hint="eastAsia" w:ascii="宋体" w:hAnsi="宋体" w:cs="宋体"/>
                <w:b w:val="0"/>
                <w:bCs w:val="0"/>
                <w:color w:val="auto"/>
                <w:sz w:val="21"/>
                <w:szCs w:val="21"/>
                <w:highlight w:val="none"/>
                <w:u w:val="none"/>
                <w:lang w:val="en-US" w:eastAsia="zh-CN"/>
              </w:rPr>
              <w:t>类</w:t>
            </w:r>
            <w:r>
              <w:rPr>
                <w:rFonts w:hint="eastAsia" w:ascii="宋体" w:hAnsi="宋体" w:eastAsia="宋体" w:cs="宋体"/>
                <w:b w:val="0"/>
                <w:bCs w:val="0"/>
                <w:color w:val="auto"/>
                <w:sz w:val="21"/>
                <w:szCs w:val="21"/>
                <w:highlight w:val="none"/>
                <w:u w:val="none"/>
                <w:lang w:val="en-US" w:eastAsia="zh-CN"/>
              </w:rPr>
              <w:t>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566" w:type="dxa"/>
            <w:vMerge w:val="restart"/>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sz w:val="21"/>
                <w:szCs w:val="21"/>
                <w:highlight w:val="none"/>
                <w:lang w:val="zh-CN"/>
              </w:rPr>
            </w:pPr>
            <w:r>
              <w:rPr>
                <w:rFonts w:hint="eastAsia" w:ascii="宋体" w:hAnsi="宋体" w:eastAsia="宋体" w:cs="宋体"/>
                <w:i w:val="0"/>
                <w:color w:val="auto"/>
                <w:kern w:val="0"/>
                <w:sz w:val="21"/>
                <w:szCs w:val="21"/>
                <w:highlight w:val="none"/>
                <w:u w:val="none"/>
                <w:lang w:val="en-US" w:eastAsia="zh-CN" w:bidi="ar"/>
              </w:rPr>
              <w:t>专项巡检</w:t>
            </w:r>
          </w:p>
        </w:tc>
        <w:tc>
          <w:tcPr>
            <w:tcW w:w="1476"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园林质量</w:t>
            </w:r>
          </w:p>
        </w:tc>
        <w:tc>
          <w:tcPr>
            <w:tcW w:w="516" w:type="dxa"/>
            <w:shd w:val="clear" w:color="auto" w:fill="auto"/>
            <w:vAlign w:val="center"/>
          </w:tcPr>
          <w:p>
            <w:pPr>
              <w:shd w:val="clear"/>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p>
        </w:tc>
        <w:tc>
          <w:tcPr>
            <w:tcW w:w="6388" w:type="dxa"/>
            <w:shd w:val="clear" w:color="auto" w:fill="auto"/>
            <w:vAlign w:val="center"/>
          </w:tcPr>
          <w:p>
            <w:pPr>
              <w:numPr>
                <w:ilvl w:val="0"/>
                <w:numId w:val="0"/>
              </w:numPr>
              <w:shd w:val="clear"/>
              <w:spacing w:line="360" w:lineRule="exact"/>
              <w:jc w:val="left"/>
              <w:rPr>
                <w:rFonts w:hint="eastAsia" w:ascii="宋体" w:hAnsi="宋体" w:eastAsia="宋体" w:cs="宋体"/>
                <w:b w:val="0"/>
                <w:bCs w:val="0"/>
                <w:color w:val="auto"/>
                <w:sz w:val="21"/>
                <w:szCs w:val="21"/>
                <w:highlight w:val="none"/>
                <w:u w:val="none"/>
              </w:rPr>
            </w:pPr>
            <w:r>
              <w:rPr>
                <w:rFonts w:hint="eastAsia" w:ascii="宋体" w:hAnsi="宋体" w:cs="宋体"/>
                <w:b w:val="0"/>
                <w:bCs w:val="0"/>
                <w:color w:val="auto"/>
                <w:sz w:val="21"/>
                <w:szCs w:val="21"/>
                <w:highlight w:val="none"/>
                <w:u w:val="none"/>
                <w:lang w:val="en-US" w:eastAsia="zh-CN"/>
              </w:rPr>
              <w:t>市政公用</w:t>
            </w:r>
            <w:r>
              <w:rPr>
                <w:rFonts w:hint="eastAsia" w:ascii="宋体" w:hAnsi="宋体" w:eastAsia="宋体" w:cs="宋体"/>
                <w:b w:val="0"/>
                <w:bCs w:val="0"/>
                <w:color w:val="auto"/>
                <w:sz w:val="21"/>
                <w:szCs w:val="21"/>
                <w:highlight w:val="none"/>
                <w:u w:val="none"/>
              </w:rPr>
              <w:t>工程</w:t>
            </w:r>
            <w:r>
              <w:rPr>
                <w:rFonts w:hint="eastAsia" w:ascii="宋体" w:hAnsi="宋体" w:cs="宋体"/>
                <w:b w:val="0"/>
                <w:bCs w:val="0"/>
                <w:color w:val="auto"/>
                <w:sz w:val="21"/>
                <w:szCs w:val="21"/>
                <w:highlight w:val="none"/>
                <w:u w:val="none"/>
                <w:lang w:val="en-US" w:eastAsia="zh-CN"/>
              </w:rPr>
              <w:t>专业</w:t>
            </w:r>
            <w:r>
              <w:rPr>
                <w:rFonts w:hint="eastAsia" w:ascii="宋体" w:hAnsi="宋体" w:eastAsia="宋体" w:cs="宋体"/>
                <w:b w:val="0"/>
                <w:bCs w:val="0"/>
                <w:color w:val="auto"/>
                <w:sz w:val="21"/>
                <w:szCs w:val="21"/>
                <w:highlight w:val="none"/>
                <w:u w:val="none"/>
                <w:lang w:val="en-US" w:eastAsia="zh-CN"/>
              </w:rPr>
              <w:t>一级建造师资格或园林类中级及以上职称人员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4" w:hRule="atLeast"/>
          <w:jc w:val="center"/>
        </w:trPr>
        <w:tc>
          <w:tcPr>
            <w:tcW w:w="566" w:type="dxa"/>
            <w:vMerge w:val="continue"/>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sz w:val="21"/>
                <w:szCs w:val="21"/>
                <w:highlight w:val="none"/>
                <w:lang w:val="zh-CN"/>
              </w:rPr>
            </w:pPr>
          </w:p>
        </w:tc>
        <w:tc>
          <w:tcPr>
            <w:tcW w:w="1476" w:type="dxa"/>
            <w:shd w:val="clear" w:color="auto" w:fill="auto"/>
            <w:vAlign w:val="center"/>
          </w:tcPr>
          <w:p>
            <w:pPr>
              <w:keepNext w:val="0"/>
              <w:keepLines w:val="0"/>
              <w:widowControl/>
              <w:suppressLineNumbers w:val="0"/>
              <w:shd w:val="clear"/>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i w:val="0"/>
                <w:color w:val="auto"/>
                <w:kern w:val="0"/>
                <w:sz w:val="21"/>
                <w:szCs w:val="21"/>
                <w:highlight w:val="none"/>
                <w:u w:val="none"/>
                <w:shd w:val="clear" w:color="auto" w:fill="auto"/>
                <w:lang w:val="en-US" w:eastAsia="zh-CN" w:bidi="ar"/>
              </w:rPr>
              <w:t>消防质量</w:t>
            </w:r>
          </w:p>
        </w:tc>
        <w:tc>
          <w:tcPr>
            <w:tcW w:w="516" w:type="dxa"/>
            <w:shd w:val="clear" w:color="auto" w:fill="auto"/>
            <w:vAlign w:val="center"/>
          </w:tcPr>
          <w:p>
            <w:pPr>
              <w:shd w:val="clear"/>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6388" w:type="dxa"/>
            <w:shd w:val="clear" w:color="auto" w:fill="auto"/>
            <w:vAlign w:val="center"/>
          </w:tcPr>
          <w:p>
            <w:pPr>
              <w:numPr>
                <w:ilvl w:val="0"/>
                <w:numId w:val="0"/>
              </w:numPr>
              <w:shd w:val="clear"/>
              <w:spacing w:line="360" w:lineRule="exact"/>
              <w:jc w:val="left"/>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lang w:val="en-US" w:eastAsia="zh-CN"/>
              </w:rPr>
              <w:t>机电</w:t>
            </w:r>
            <w:r>
              <w:rPr>
                <w:rFonts w:hint="eastAsia" w:ascii="宋体" w:hAnsi="宋体" w:eastAsia="宋体" w:cs="宋体"/>
                <w:b w:val="0"/>
                <w:bCs w:val="0"/>
                <w:color w:val="auto"/>
                <w:sz w:val="21"/>
                <w:szCs w:val="21"/>
                <w:highlight w:val="none"/>
                <w:u w:val="none"/>
              </w:rPr>
              <w:t>工程</w:t>
            </w:r>
            <w:r>
              <w:rPr>
                <w:rFonts w:hint="eastAsia" w:ascii="宋体" w:hAnsi="宋体" w:cs="宋体"/>
                <w:b w:val="0"/>
                <w:bCs w:val="0"/>
                <w:color w:val="auto"/>
                <w:sz w:val="21"/>
                <w:szCs w:val="21"/>
                <w:highlight w:val="none"/>
                <w:u w:val="none"/>
                <w:lang w:val="en-US" w:eastAsia="zh-CN"/>
              </w:rPr>
              <w:t>专业</w:t>
            </w:r>
            <w:r>
              <w:rPr>
                <w:rFonts w:hint="eastAsia" w:ascii="宋体" w:hAnsi="宋体" w:eastAsia="宋体" w:cs="宋体"/>
                <w:b w:val="0"/>
                <w:bCs w:val="0"/>
                <w:color w:val="auto"/>
                <w:sz w:val="21"/>
                <w:szCs w:val="21"/>
                <w:highlight w:val="none"/>
                <w:u w:val="none"/>
                <w:lang w:val="en-US" w:eastAsia="zh-CN"/>
              </w:rPr>
              <w:t>一级建造师资格或机电</w:t>
            </w:r>
            <w:r>
              <w:rPr>
                <w:rFonts w:hint="eastAsia" w:ascii="宋体" w:hAnsi="宋体" w:eastAsia="宋体" w:cs="宋体"/>
                <w:b w:val="0"/>
                <w:bCs w:val="0"/>
                <w:color w:val="auto"/>
                <w:sz w:val="21"/>
                <w:szCs w:val="21"/>
                <w:highlight w:val="none"/>
                <w:u w:val="none"/>
              </w:rPr>
              <w:t>工程</w:t>
            </w:r>
            <w:r>
              <w:rPr>
                <w:rFonts w:hint="eastAsia" w:ascii="宋体" w:hAnsi="宋体" w:eastAsia="宋体" w:cs="宋体"/>
                <w:b w:val="0"/>
                <w:bCs w:val="0"/>
                <w:color w:val="auto"/>
                <w:sz w:val="21"/>
                <w:szCs w:val="21"/>
                <w:highlight w:val="none"/>
                <w:u w:val="none"/>
                <w:lang w:val="en-US" w:eastAsia="zh-CN"/>
              </w:rPr>
              <w:t>类中级及以上职称人员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8" w:hRule="atLeast"/>
          <w:jc w:val="center"/>
        </w:trPr>
        <w:tc>
          <w:tcPr>
            <w:tcW w:w="8946" w:type="dxa"/>
            <w:gridSpan w:val="4"/>
            <w:vAlign w:val="center"/>
          </w:tcPr>
          <w:p>
            <w:pPr>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p>
            <w:pPr>
              <w:shd w:val="clear"/>
              <w:spacing w:line="360" w:lineRule="auto"/>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rPr>
              <w:t>投标人应当保证</w:t>
            </w:r>
            <w:r>
              <w:rPr>
                <w:rFonts w:hint="eastAsia" w:ascii="宋体" w:hAnsi="宋体" w:cs="宋体"/>
                <w:color w:val="auto"/>
                <w:sz w:val="21"/>
                <w:szCs w:val="21"/>
                <w:highlight w:val="none"/>
                <w:lang w:val="en-US" w:eastAsia="zh-CN"/>
              </w:rPr>
              <w:t>每次评估时间＞0.5天；</w:t>
            </w:r>
          </w:p>
          <w:p>
            <w:pPr>
              <w:shd w:val="clear"/>
              <w:spacing w:line="360" w:lineRule="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投标人应当保证若中标，拟投入的项目管理机构及人员其执业资格条件在合同履行过程中有效，如有变化的，发包人有权要求更换，承包人须无条件接受；</w:t>
            </w:r>
          </w:p>
          <w:p>
            <w:pPr>
              <w:shd w:val="clear"/>
              <w:spacing w:line="360" w:lineRule="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、从事相应工作经历的年限，可按毕业年限或取得资格证或上岗证时间进行统计</w:t>
            </w:r>
            <w:r>
              <w:rPr>
                <w:rFonts w:hint="eastAsia" w:ascii="宋体" w:hAnsi="宋体" w:cs="宋体"/>
                <w:color w:val="auto"/>
                <w:sz w:val="21"/>
                <w:szCs w:val="21"/>
                <w:highlight w:val="none"/>
                <w:lang w:eastAsia="zh-CN"/>
              </w:rPr>
              <w:t>；</w:t>
            </w:r>
          </w:p>
          <w:p>
            <w:pPr>
              <w:shd w:val="clear"/>
              <w:spacing w:line="360" w:lineRule="auto"/>
              <w:rPr>
                <w:rFonts w:hint="eastAsia" w:ascii="宋体" w:hAnsi="宋体" w:eastAsia="宋体" w:cs="宋体"/>
                <w:b/>
                <w:bCs/>
                <w:color w:val="auto"/>
                <w:sz w:val="21"/>
                <w:szCs w:val="21"/>
                <w:highlight w:val="none"/>
                <w:u w:val="single"/>
              </w:rPr>
            </w:pPr>
            <w:r>
              <w:rPr>
                <w:rFonts w:hint="eastAsia" w:ascii="宋体" w:hAnsi="宋体" w:cs="宋体"/>
                <w:b/>
                <w:bCs/>
                <w:color w:val="auto"/>
                <w:sz w:val="21"/>
                <w:szCs w:val="21"/>
                <w:highlight w:val="none"/>
                <w:u w:val="none"/>
                <w:lang w:val="en-US" w:eastAsia="zh-CN"/>
              </w:rPr>
              <w:t>4</w:t>
            </w:r>
            <w:r>
              <w:rPr>
                <w:rFonts w:hint="eastAsia" w:ascii="宋体" w:hAnsi="宋体" w:eastAsia="宋体" w:cs="宋体"/>
                <w:b/>
                <w:bCs/>
                <w:color w:val="auto"/>
                <w:sz w:val="21"/>
                <w:szCs w:val="21"/>
                <w:highlight w:val="none"/>
                <w:u w:val="none"/>
              </w:rPr>
              <w:t>、上述人员必须提供投标人处缴纳社保的社保缴纳证明文件，社保缴纳证明指社保缴费证明或具备社保管理机构印章的其他证明材料，社保证明材料应体现出岗位人员姓名；社保缴纳时间为投标前六个月（不含投标当月）任意连续不少于三个月的社保证明；未按上述要求提交社保缴纳证明文件，相关人员不予认可。</w:t>
            </w:r>
          </w:p>
        </w:tc>
      </w:tr>
    </w:tbl>
    <w:p>
      <w:pPr>
        <w:pStyle w:val="13"/>
        <w:shd w:val="clear"/>
        <w:ind w:firstLine="0"/>
        <w:rPr>
          <w:rFonts w:hint="eastAsia" w:ascii="宋体" w:hAnsi="宋体" w:eastAsia="宋体" w:cs="宋体"/>
          <w:b/>
          <w:bCs/>
          <w:color w:val="auto"/>
          <w:highlight w:val="none"/>
          <w:lang w:val="en-US" w:eastAsia="zh-CN"/>
        </w:rPr>
      </w:pPr>
      <w:r>
        <w:rPr>
          <w:rFonts w:hint="eastAsia" w:ascii="宋体" w:hAnsi="宋体" w:eastAsia="宋体" w:cs="宋体"/>
          <w:b/>
          <w:bCs/>
          <w:color w:val="auto"/>
          <w:szCs w:val="21"/>
          <w:highlight w:val="none"/>
        </w:rPr>
        <w:t>注：不满足 “★”条款的投标文件将作无效投标处理。</w:t>
      </w:r>
    </w:p>
    <w:p>
      <w:pPr>
        <w:shd w:val="clear"/>
        <w:spacing w:line="360" w:lineRule="auto"/>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bookmarkEnd w:id="10"/>
    <w:bookmarkEnd w:id="11"/>
    <w:bookmarkEnd w:id="12"/>
    <w:bookmarkEnd w:id="13"/>
    <w:p>
      <w:pPr>
        <w:pStyle w:val="2"/>
        <w:shd w:val="clear"/>
        <w:spacing w:before="0" w:after="0" w:line="240" w:lineRule="auto"/>
        <w:jc w:val="left"/>
        <w:outlineLvl w:val="0"/>
        <w:rPr>
          <w:rFonts w:hint="eastAsia" w:ascii="宋体" w:hAnsi="宋体" w:eastAsia="宋体" w:cs="宋体"/>
          <w:color w:val="auto"/>
          <w:sz w:val="24"/>
          <w:szCs w:val="24"/>
          <w:highlight w:val="none"/>
        </w:rPr>
      </w:pPr>
      <w:bookmarkStart w:id="16" w:name="_Toc6016"/>
      <w:r>
        <w:rPr>
          <w:rFonts w:hint="eastAsia" w:ascii="宋体" w:hAnsi="宋体" w:eastAsia="宋体" w:cs="宋体"/>
          <w:color w:val="auto"/>
          <w:sz w:val="28"/>
          <w:szCs w:val="28"/>
          <w:highlight w:val="none"/>
        </w:rPr>
        <w:t>第四部分投标人须知</w:t>
      </w:r>
      <w:bookmarkEnd w:id="16"/>
    </w:p>
    <w:p>
      <w:pPr>
        <w:pStyle w:val="4"/>
        <w:numPr>
          <w:ilvl w:val="0"/>
          <w:numId w:val="3"/>
        </w:numPr>
        <w:shd w:val="clear"/>
        <w:spacing w:before="0" w:after="0" w:line="480" w:lineRule="auto"/>
        <w:jc w:val="center"/>
        <w:outlineLvl w:val="1"/>
        <w:rPr>
          <w:rFonts w:hint="eastAsia" w:ascii="宋体" w:hAnsi="宋体" w:eastAsia="宋体" w:cs="宋体"/>
          <w:color w:val="auto"/>
          <w:highlight w:val="none"/>
        </w:rPr>
      </w:pPr>
      <w:bookmarkStart w:id="17" w:name="_Toc32317"/>
      <w:r>
        <w:rPr>
          <w:rFonts w:hint="eastAsia" w:ascii="宋体" w:hAnsi="宋体" w:eastAsia="宋体" w:cs="宋体"/>
          <w:color w:val="auto"/>
          <w:highlight w:val="none"/>
        </w:rPr>
        <w:t>说明</w:t>
      </w:r>
      <w:bookmarkEnd w:id="17"/>
    </w:p>
    <w:p>
      <w:pPr>
        <w:pStyle w:val="5"/>
        <w:pageBreakBefore w:val="0"/>
        <w:widowControl w:val="0"/>
        <w:numPr>
          <w:ilvl w:val="0"/>
          <w:numId w:val="4"/>
        </w:numPr>
        <w:shd w:val="clear"/>
        <w:kinsoku/>
        <w:wordWrap/>
        <w:overflowPunct w:val="0"/>
        <w:topLinePunct w:val="0"/>
        <w:autoSpaceDE/>
        <w:autoSpaceDN/>
        <w:bidi w:val="0"/>
        <w:adjustRightInd w:val="0"/>
        <w:snapToGrid w:val="0"/>
        <w:outlineLvl w:val="2"/>
        <w:rPr>
          <w:rFonts w:hint="eastAsia" w:ascii="宋体" w:hAnsi="宋体" w:eastAsia="宋体" w:cs="宋体"/>
          <w:color w:val="auto"/>
          <w:sz w:val="21"/>
          <w:szCs w:val="21"/>
          <w:highlight w:val="none"/>
        </w:rPr>
      </w:pPr>
      <w:bookmarkStart w:id="18" w:name="_Toc20524"/>
      <w:bookmarkStart w:id="19" w:name="_Toc3534"/>
      <w:r>
        <w:rPr>
          <w:rFonts w:hint="eastAsia" w:ascii="宋体" w:hAnsi="宋体" w:eastAsia="宋体" w:cs="宋体"/>
          <w:color w:val="auto"/>
          <w:sz w:val="21"/>
          <w:szCs w:val="21"/>
          <w:highlight w:val="none"/>
        </w:rPr>
        <w:t>适用范围</w:t>
      </w:r>
      <w:bookmarkEnd w:id="18"/>
      <w:bookmarkEnd w:id="19"/>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采购范围：见本文件《用户需求书》</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20" w:name="_Toc298847174"/>
      <w:bookmarkStart w:id="21" w:name="_Toc20286"/>
      <w:bookmarkStart w:id="22" w:name="_Toc303084246"/>
      <w:bookmarkStart w:id="23" w:name="_Toc2520"/>
      <w:bookmarkStart w:id="24" w:name="_Toc1530"/>
      <w:bookmarkStart w:id="25" w:name="_Toc382049092"/>
      <w:r>
        <w:rPr>
          <w:rFonts w:hint="eastAsia" w:ascii="宋体" w:hAnsi="宋体" w:eastAsia="宋体" w:cs="宋体"/>
          <w:color w:val="auto"/>
          <w:sz w:val="21"/>
          <w:szCs w:val="21"/>
          <w:highlight w:val="none"/>
        </w:rPr>
        <w:t>定义</w:t>
      </w:r>
      <w:bookmarkEnd w:id="20"/>
      <w:bookmarkEnd w:id="21"/>
      <w:bookmarkEnd w:id="22"/>
      <w:bookmarkEnd w:id="23"/>
      <w:bookmarkEnd w:id="24"/>
      <w:bookmarkEnd w:id="25"/>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采购人：见投标邀请书。</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投标人：响应采购并且符合采购文件规定资格条件和参加投标竞争的法人、其他组织或者自然人。</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法人：法人是依法在国内进行注册并具有民事权利能力和民事行为能力，依法独立享有民事权利和承担民事义务的组织。</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中标人：指经评标委员会评审推荐、采购人确认的获得本项目中标资格的投标人。</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采购代理机构：见投标邀请书。</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评标委员会：评标委员会是依据相关规定组建的专门负责本次采购其评标工作的临时性机构。</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合同：指由本次采购所产生的合同或合约文件。</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章：公章是指经过正规的法定程序并备案的法人公章与投标专用章。（投标人如在投标文件中使用“投标专用章”，应提供法定代表人签字或加盖公章说明该“投标专用章”与法人公章具备同等效力的证明文件，且投标当天应携带相关原件到现场，以供核查。因投标文件未提供相关手续复印件和无法核查投标专用章的真实性而导致的后果由投标人自行承担。）</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时间：本文件规定按日计算期间的，开始当天不计入，从次日开始计算。期限的最后一日是国家法定节假日的，顺延到节假日后的次日为期限的最后一日。</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26" w:name="_Toc18587"/>
      <w:bookmarkStart w:id="27" w:name="_Toc11624"/>
      <w:r>
        <w:rPr>
          <w:rFonts w:hint="eastAsia" w:ascii="宋体" w:hAnsi="宋体" w:eastAsia="宋体" w:cs="宋体"/>
          <w:color w:val="auto"/>
          <w:sz w:val="21"/>
          <w:szCs w:val="21"/>
          <w:highlight w:val="none"/>
        </w:rPr>
        <w:t>货物和服务</w:t>
      </w:r>
      <w:bookmarkEnd w:id="26"/>
      <w:bookmarkEnd w:id="27"/>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货物是指各种形态和种类的物品，包括原材料、燃料、设备、产品等。</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服务是指除货物和工程以外的其他采购对象。</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28" w:name="_Toc6769"/>
      <w:bookmarkStart w:id="29" w:name="_Toc15719"/>
      <w:r>
        <w:rPr>
          <w:rFonts w:hint="eastAsia" w:ascii="宋体" w:hAnsi="宋体" w:eastAsia="宋体" w:cs="宋体"/>
          <w:color w:val="auto"/>
          <w:sz w:val="21"/>
          <w:szCs w:val="21"/>
          <w:highlight w:val="none"/>
        </w:rPr>
        <w:t>投标费用</w:t>
      </w:r>
      <w:bookmarkEnd w:id="28"/>
      <w:bookmarkEnd w:id="29"/>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投标人应承担所有与编写投标文件和参加投标有关的自身的所有费用，不论投标的结果如何，采购代理机构和采购人在任何情况下均无义务和责任承担这些费用。</w:t>
      </w:r>
    </w:p>
    <w:p>
      <w:pPr>
        <w:pageBreakBefore w:val="0"/>
        <w:widowControl w:val="0"/>
        <w:shd w:val="clear"/>
        <w:kinsoku/>
        <w:wordWrap/>
        <w:topLinePunct w:val="0"/>
        <w:autoSpaceDE/>
        <w:autoSpaceDN/>
        <w:bidi w:val="0"/>
        <w:adjustRightInd w:val="0"/>
        <w:snapToGrid w:val="0"/>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30" w:name="_Toc6180"/>
      <w:bookmarkStart w:id="31" w:name="_Toc17983"/>
      <w:r>
        <w:rPr>
          <w:rFonts w:hint="eastAsia" w:ascii="宋体" w:hAnsi="宋体" w:eastAsia="宋体" w:cs="宋体"/>
          <w:color w:val="auto"/>
          <w:sz w:val="21"/>
          <w:szCs w:val="21"/>
          <w:highlight w:val="none"/>
        </w:rPr>
        <w:t>知识产权</w:t>
      </w:r>
      <w:bookmarkEnd w:id="30"/>
      <w:bookmarkEnd w:id="31"/>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采购人享有本项目实施过程中产生的知识成果及知识产权。</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投标人如欲在项目实施过程中采用自有知识成果，需在投标文件中声明，并提供相关知识产权证明文件。使用该知识成果后，投标人需提供开发接口和开发手册等技术文档。</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采购货物为计算机办公设备时，投标人提供的产品必须是预装正版操作系统软件的计算机产品。</w:t>
      </w:r>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32" w:name="_Toc15310"/>
      <w:bookmarkStart w:id="33" w:name="_Toc2352"/>
      <w:r>
        <w:rPr>
          <w:rFonts w:hint="eastAsia" w:ascii="宋体" w:hAnsi="宋体" w:eastAsia="宋体" w:cs="宋体"/>
          <w:color w:val="auto"/>
          <w:sz w:val="21"/>
          <w:szCs w:val="21"/>
          <w:highlight w:val="none"/>
        </w:rPr>
        <w:t>关于联合体投标</w:t>
      </w:r>
      <w:bookmarkEnd w:id="32"/>
      <w:bookmarkEnd w:id="33"/>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对接受联合体投标的项目：两个以上的自然人、法人或者其他组织可以组成一个联合体，以一个投标人的身份共同参加采购活动。</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以联合体形式参与项目的</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在领购采购文件时，应提供所有联合体组成成员的营业执照复印件，并加盖各联合体组成成员的公章。</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联合体各方均应具有独立承担民事责任能力的法人或其他组织。</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两个以上的自然人、法人或者其他组织组成一个联合体，以一个</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的身份共同参加采购活动的，应当对所有联合体成员进行信用记录查询，联合体成员存在不良信用记录的，视同联合体存在不良信用记录。</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采购文件对投标人资格条件有规定的，联合体各方均应当具备规定的相应资格条件。由同一专业的单位组成的联合体，按照资质等级较低的单位确定资质等级。</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各方之间应当签订共同投标协议并在投标文件内提交，明确约定联合体各方承担的工作和相应的责任。联合体各方签订共同投标协议后，不得再以自己名义单独在同一项目中投标，也不得组成新的联合体参加同一项目投标。</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为联合体的，可以由联合体中的任意一方交纳保证金，其交纳的保证金对联合体各方均具有约束力。</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除联合体协议明确授权盖章单位外，联合体投标时投标文件中所有要求盖章的地方均须加盖联合体所有组成成员的公章，否则该处盖章无效。</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联合体进行评分时，业绩、奖项等的认定和评分根据共同投标协议约定的各方承担的工作和相应责任，确定一方打分，不累加打分；评审标准不明确或难以明确以哪一方计算评分情况时，则按主体方情况评分。</w:t>
      </w:r>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34" w:name="_Toc6504"/>
      <w:bookmarkStart w:id="35" w:name="_Toc3572"/>
      <w:r>
        <w:rPr>
          <w:rFonts w:hint="eastAsia" w:ascii="宋体" w:hAnsi="宋体" w:eastAsia="宋体" w:cs="宋体"/>
          <w:color w:val="auto"/>
          <w:sz w:val="21"/>
          <w:szCs w:val="21"/>
          <w:highlight w:val="none"/>
        </w:rPr>
        <w:t>关于分支机构投标</w:t>
      </w:r>
      <w:bookmarkEnd w:id="34"/>
      <w:bookmarkEnd w:id="35"/>
      <w:bookmarkStart w:id="36" w:name="EB389f116341dd4693875bc7987e7327f3"/>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可接受分支机构投标的项目，分支机构投标的，需提供具有法人资格的总公司的营业执照原件扫描件及授权书，授权书须加盖总公司公章。总公司可就本项目或此类项目在一定范围或时间内出具授权书。已由总公司授权的，总公司取得的相关资质证书对分公司有效，法律法规或者行业另有规定的除外。</w:t>
      </w:r>
      <w:bookmarkEnd w:id="36"/>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37" w:name="_Toc2615"/>
      <w:r>
        <w:rPr>
          <w:rFonts w:hint="eastAsia" w:ascii="宋体" w:hAnsi="宋体" w:eastAsia="宋体" w:cs="宋体"/>
          <w:color w:val="auto"/>
          <w:sz w:val="21"/>
          <w:szCs w:val="21"/>
          <w:highlight w:val="none"/>
        </w:rPr>
        <w:t>踏勘现场</w:t>
      </w:r>
      <w:bookmarkEnd w:id="37"/>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《投标资料表》规定组织踏勘现场的，采购人按《投标资料表》规定的时间、地点组织响应人踏勘项目现场；</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响应人踏勘现场发生的费用自理；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除采购人的原因外，响应人自行负责在踏勘现场中所发生的人员伤亡和财产损失；</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采购人在踏勘现场中介绍的实施地点和相关的周边环境情况，供响应人在编制响应文件时参考，采购人不对响应人据此作出的判断和决策负责；</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38" w:name="_Toc3492"/>
      <w:bookmarkStart w:id="39" w:name="_Toc9444"/>
      <w:r>
        <w:rPr>
          <w:rFonts w:hint="eastAsia" w:ascii="宋体" w:hAnsi="宋体" w:eastAsia="宋体" w:cs="宋体"/>
          <w:color w:val="auto"/>
          <w:highlight w:val="none"/>
        </w:rPr>
        <w:t>采购文件</w:t>
      </w:r>
      <w:bookmarkEnd w:id="38"/>
      <w:bookmarkEnd w:id="39"/>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40" w:name="_Toc10638"/>
      <w:bookmarkStart w:id="41" w:name="_Toc27074"/>
      <w:r>
        <w:rPr>
          <w:rFonts w:hint="eastAsia" w:ascii="宋体" w:hAnsi="宋体" w:eastAsia="宋体" w:cs="宋体"/>
          <w:color w:val="auto"/>
          <w:sz w:val="21"/>
          <w:szCs w:val="21"/>
          <w:highlight w:val="none"/>
        </w:rPr>
        <w:t>采购文件的组成</w:t>
      </w:r>
      <w:bookmarkEnd w:id="40"/>
      <w:bookmarkEnd w:id="41"/>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采购文件包括：</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（1）投标邀请书；</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（2）投标资料表；</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（3）用户需求书；</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（4）投标人须知；</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（5）拟签订的合同文本；</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（6）投标文件格式；</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420" w:leftChars="200"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（7）在采购过程中由采购代理机构发出的澄清更正文件等。</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42" w:name="_Toc10859"/>
      <w:bookmarkStart w:id="43" w:name="_Toc21392"/>
      <w:r>
        <w:rPr>
          <w:rFonts w:hint="eastAsia" w:ascii="宋体" w:hAnsi="宋体" w:eastAsia="宋体" w:cs="宋体"/>
          <w:color w:val="auto"/>
          <w:sz w:val="21"/>
          <w:szCs w:val="21"/>
          <w:highlight w:val="none"/>
        </w:rPr>
        <w:t>采购文件的澄清或修改</w:t>
      </w:r>
      <w:bookmarkEnd w:id="42"/>
      <w:bookmarkEnd w:id="43"/>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或者采购代理机构可以对已发出的采购文件、资格预审文件、投标邀请书进行必要的澄清或者修改。澄清或者修改的内容为采购文件、资格预审文件、投标邀请书的组成部分，具有约束作用。当采购文件、采购文件的澄清或修改等在同一内容的表述上不一致时，以最后发出的书面文件及公告为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采购期间，投标人有义务上网查看，公告一经上网发布，即视为送达。因投标人未及时上网查看而造成的所有后果，由投标人自行承担。</w:t>
      </w:r>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44" w:name="_Toc4309"/>
      <w:bookmarkStart w:id="45" w:name="_Toc12343"/>
      <w:r>
        <w:rPr>
          <w:rFonts w:hint="eastAsia" w:ascii="宋体" w:hAnsi="宋体" w:eastAsia="宋体" w:cs="宋体"/>
          <w:color w:val="auto"/>
          <w:highlight w:val="none"/>
        </w:rPr>
        <w:t>投标文件的编制</w:t>
      </w:r>
      <w:bookmarkEnd w:id="44"/>
      <w:bookmarkEnd w:id="45"/>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46" w:name="_Toc11796"/>
      <w:bookmarkStart w:id="47" w:name="_Toc16938"/>
      <w:r>
        <w:rPr>
          <w:rFonts w:hint="eastAsia" w:ascii="宋体" w:hAnsi="宋体" w:eastAsia="宋体" w:cs="宋体"/>
          <w:color w:val="auto"/>
          <w:sz w:val="21"/>
          <w:szCs w:val="21"/>
          <w:highlight w:val="none"/>
        </w:rPr>
        <w:t>投标文件的语言及度量衡单位</w:t>
      </w:r>
      <w:bookmarkEnd w:id="46"/>
      <w:bookmarkEnd w:id="47"/>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提交的投标文件以及投标人与采购代理机构就有关投标的所有来往函件均应使用简体中文书写。投标人提交的支持资料和已印刷的文献可以用另一种语言，但相应内容应附有中文翻译本（中文译本应由翻译机构盖章或者翻译人员签名确认，否则按无效处理），在解释投标文件的修改内容时以中文翻译本为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除非采购文件在技术规格中另有规定，投标人在投标文件中及其与采购代理机构和采购人所有往来文件中的所有计量单位均应采用中华人民共和国法定计量单位。</w:t>
      </w:r>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48" w:name="_Toc382049103"/>
      <w:bookmarkStart w:id="49" w:name="_Toc11466"/>
      <w:bookmarkStart w:id="50" w:name="_Toc307934854"/>
      <w:bookmarkStart w:id="51" w:name="_Toc18387"/>
      <w:bookmarkStart w:id="52" w:name="_Toc28866"/>
      <w:bookmarkStart w:id="53" w:name="_Toc303084256"/>
      <w:r>
        <w:rPr>
          <w:rFonts w:hint="eastAsia" w:ascii="宋体" w:hAnsi="宋体" w:eastAsia="宋体" w:cs="宋体"/>
          <w:color w:val="auto"/>
          <w:sz w:val="21"/>
          <w:szCs w:val="21"/>
          <w:highlight w:val="none"/>
        </w:rPr>
        <w:t>投标文件的组成</w:t>
      </w:r>
      <w:bookmarkEnd w:id="48"/>
      <w:bookmarkEnd w:id="49"/>
      <w:bookmarkEnd w:id="50"/>
      <w:bookmarkEnd w:id="51"/>
      <w:bookmarkEnd w:id="52"/>
      <w:bookmarkEnd w:id="53"/>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包括但不限于采购文件附件格式中要求提供的表格。</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上述文件须按顺序装订成册，并编制投标文件目录。除上述文件资料外投标人还须按投标人须知的要求制作“唱标信封”。“唱标信封”作为投标文件的一部分，但须单独密封。</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54" w:name="_Toc755"/>
      <w:bookmarkStart w:id="55" w:name="_Toc15699"/>
      <w:r>
        <w:rPr>
          <w:rFonts w:hint="eastAsia" w:ascii="宋体" w:hAnsi="宋体" w:eastAsia="宋体" w:cs="宋体"/>
          <w:color w:val="auto"/>
          <w:sz w:val="21"/>
          <w:szCs w:val="21"/>
          <w:highlight w:val="none"/>
        </w:rPr>
        <w:t>投标文件编制</w:t>
      </w:r>
      <w:bookmarkEnd w:id="54"/>
      <w:bookmarkEnd w:id="55"/>
      <w:bookmarkStart w:id="56" w:name="_Toc303084258"/>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采购文件的规定以及附件要求的内容和格式完整地填写（表格可以按同样格式扩展）和提供资料，投标人必须对投标文件所提供的全部材料的真实性承担法律责任，并无条件接受采购人或采购代理机构对其中任何资料进行核实的要求。</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因投标文件编制存在歧义对投标人产生负面影响的，投标人自行承担后果。</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投标单位名称与投标人公章不一致，若投标单位名称已进行变更，应在投标文件中提供相应的证明材料并加盖公章，否则投标文件无效。</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投标文件密封、标记及内容与本项目采购信息不符，导致无法分辨所投项目为本项目的，投标文件无效。</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投标人须客观撰写投标人简介（格式自理，并提供相关证明）以及所投的产品或服务说明。</w:t>
      </w:r>
    </w:p>
    <w:p>
      <w:pPr>
        <w:pageBreakBefore w:val="0"/>
        <w:widowControl w:val="0"/>
        <w:numPr>
          <w:ilvl w:val="1"/>
          <w:numId w:val="4"/>
        </w:numPr>
        <w:shd w:val="clear"/>
        <w:kinsoku/>
        <w:wordWrap/>
        <w:overflowPunct w:val="0"/>
        <w:topLinePunct w:val="0"/>
        <w:autoSpaceDE/>
        <w:autoSpaceDN/>
        <w:bidi w:val="0"/>
        <w:adjustRightInd w:val="0"/>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投标文件若出现以下内容，经评标委员会认定有可能间接影响评审秩序，作废标处理。</w:t>
      </w:r>
    </w:p>
    <w:p>
      <w:pPr>
        <w:pStyle w:val="50"/>
        <w:pageBreakBefore w:val="0"/>
        <w:widowControl w:val="0"/>
        <w:numPr>
          <w:ilvl w:val="0"/>
          <w:numId w:val="5"/>
        </w:numPr>
        <w:shd w:val="clear"/>
        <w:kinsoku/>
        <w:wordWrap/>
        <w:topLinePunct w:val="0"/>
        <w:autoSpaceDE/>
        <w:autoSpaceDN/>
        <w:bidi w:val="0"/>
        <w:adjustRightInd w:val="0"/>
        <w:snapToGrid w:val="0"/>
        <w:spacing w:line="360" w:lineRule="auto"/>
        <w:ind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投标文件内出现无官方证明文件的行业地域排名或使用“国家级”、“最高级”、“最佳”等用语字眼的。</w:t>
      </w:r>
    </w:p>
    <w:p>
      <w:pPr>
        <w:pStyle w:val="50"/>
        <w:pageBreakBefore w:val="0"/>
        <w:widowControl w:val="0"/>
        <w:numPr>
          <w:ilvl w:val="0"/>
          <w:numId w:val="5"/>
        </w:numPr>
        <w:shd w:val="clear"/>
        <w:kinsoku/>
        <w:wordWrap/>
        <w:topLinePunct w:val="0"/>
        <w:autoSpaceDE/>
        <w:autoSpaceDN/>
        <w:bidi w:val="0"/>
        <w:adjustRightInd w:val="0"/>
        <w:snapToGrid w:val="0"/>
        <w:spacing w:line="360" w:lineRule="auto"/>
        <w:ind w:firstLineChars="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投标文件内出现恶意诋毁、贬低其他生产经营者的商品或者服务的内容。</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有下列情形之一的，视为投标人串通投标，其投标无效：</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（1）不同投标人的投标文件由同一单位或者个人编制；</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（2）不同投标人委托同一单位或者个人办理投标事宜；</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（3）不同投标人的投标文件载明的项目管理成员或者联系人员为同一人；</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（4）不同投标人的投标文件异常一致或者投标报价呈规律性差异；</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（5）不同投标人的投标文件相互混装；</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（6）不同投标人的投标保证金从同一单位或者个人的账户转出。</w:t>
      </w:r>
    </w:p>
    <w:bookmarkEnd w:id="56"/>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57" w:name="_Toc6154"/>
      <w:bookmarkStart w:id="58" w:name="_Toc3854"/>
      <w:r>
        <w:rPr>
          <w:rFonts w:hint="eastAsia" w:ascii="宋体" w:hAnsi="宋体" w:eastAsia="宋体" w:cs="宋体"/>
          <w:color w:val="auto"/>
          <w:sz w:val="21"/>
          <w:szCs w:val="21"/>
          <w:highlight w:val="none"/>
        </w:rPr>
        <w:t>投标报价说明</w:t>
      </w:r>
      <w:bookmarkEnd w:id="57"/>
      <w:bookmarkEnd w:id="58"/>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本次采购，投标人应按用户需求中的要求进行投标报价，少报无效。</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投标人所提供的货物或服务均以人民币（或相关费率）报价。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投标报价应包含完成本次采购所有服务内容的费用，包含各种税务费及合同实施过程中的全部费用和售后服务费等。</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中标后开出的所有发票必须与中标人的名称一致。</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59" w:name="_Toc17669"/>
      <w:bookmarkStart w:id="60" w:name="_Toc21465"/>
      <w:r>
        <w:rPr>
          <w:rFonts w:hint="eastAsia" w:ascii="宋体" w:hAnsi="宋体" w:eastAsia="宋体" w:cs="宋体"/>
          <w:color w:val="auto"/>
          <w:sz w:val="21"/>
          <w:szCs w:val="21"/>
          <w:highlight w:val="none"/>
        </w:rPr>
        <w:t>投标人所提供的服务或货物的证明文件</w:t>
      </w:r>
      <w:bookmarkEnd w:id="59"/>
      <w:bookmarkEnd w:id="60"/>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bookmarkStart w:id="61" w:name="_Hlt107925668"/>
      <w:bookmarkEnd w:id="61"/>
      <w:bookmarkStart w:id="62" w:name="_Hlt107925638"/>
      <w:bookmarkEnd w:id="62"/>
      <w:r>
        <w:rPr>
          <w:rFonts w:hint="eastAsia" w:ascii="宋体" w:hAnsi="宋体" w:eastAsia="宋体" w:cs="宋体"/>
          <w:color w:val="auto"/>
          <w:szCs w:val="21"/>
          <w:highlight w:val="none"/>
        </w:rPr>
        <w:t>证明服务或货物的文件，它可以是文字资料、图纸和数据包括但不限于：服务主要内容、标准、质量、人员资质、计划安排、报告审核等的详细说明；对采购文件第三部分《用户需求书》中规定的要求进行详细应答和说明。</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有下列情形之一的，视为投标人弄虚作假，其投标无效：</w:t>
      </w:r>
    </w:p>
    <w:p>
      <w:pPr>
        <w:pStyle w:val="50"/>
        <w:pageBreakBefore w:val="0"/>
        <w:widowControl w:val="0"/>
        <w:shd w:val="clear"/>
        <w:kinsoku/>
        <w:wordWrap/>
        <w:topLinePunct w:val="0"/>
        <w:autoSpaceDE/>
        <w:autoSpaceDN/>
        <w:bidi w:val="0"/>
        <w:adjustRightInd w:val="0"/>
        <w:snapToGrid w:val="0"/>
        <w:ind w:left="425" w:firstLine="0" w:firstLineChars="0"/>
        <w:jc w:val="both"/>
        <w:rPr>
          <w:rFonts w:hint="eastAsia" w:ascii="宋体" w:hAnsi="宋体" w:eastAsia="宋体" w:cs="宋体"/>
          <w:color w:val="auto"/>
          <w:highlight w:val="none"/>
        </w:rPr>
      </w:pPr>
      <w:r>
        <w:rPr>
          <w:rFonts w:hint="eastAsia" w:ascii="宋体" w:hAnsi="宋体" w:eastAsia="宋体" w:cs="宋体"/>
          <w:color w:val="auto"/>
          <w:highlight w:val="none"/>
        </w:rPr>
        <w:t>1、使用通过受让或者租借等方式获取的资格、资质证书投标的，属于以他人名义投标。</w:t>
      </w:r>
    </w:p>
    <w:p>
      <w:pPr>
        <w:pStyle w:val="50"/>
        <w:pageBreakBefore w:val="0"/>
        <w:widowControl w:val="0"/>
        <w:shd w:val="clear"/>
        <w:kinsoku/>
        <w:wordWrap/>
        <w:topLinePunct w:val="0"/>
        <w:autoSpaceDE/>
        <w:autoSpaceDN/>
        <w:bidi w:val="0"/>
        <w:adjustRightInd w:val="0"/>
        <w:snapToGrid w:val="0"/>
        <w:ind w:left="425" w:firstLine="0" w:firstLineChars="0"/>
        <w:jc w:val="both"/>
        <w:outlineLvl w:val="9"/>
        <w:rPr>
          <w:rFonts w:hint="eastAsia" w:ascii="宋体" w:hAnsi="宋体" w:eastAsia="宋体" w:cs="宋体"/>
          <w:color w:val="auto"/>
          <w:highlight w:val="none"/>
        </w:rPr>
      </w:pPr>
      <w:bookmarkStart w:id="63" w:name="_Toc6464"/>
      <w:r>
        <w:rPr>
          <w:rFonts w:hint="eastAsia" w:ascii="宋体" w:hAnsi="宋体" w:eastAsia="宋体" w:cs="宋体"/>
          <w:color w:val="auto"/>
          <w:highlight w:val="none"/>
        </w:rPr>
        <w:t>2、投标人有下列情形之一的，属于以其他方式弄虚作假的行为：</w:t>
      </w:r>
      <w:bookmarkEnd w:id="63"/>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（1）使用伪造、变造的许可证件；</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（2）提供虚假的财务状况或者业绩；</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（3）提供虚假的项目负责人或者主要技术人员简历、劳动关系证明；</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（4）提供虚假的信用状况；</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（5）其他弄虚作假的行为。</w:t>
      </w:r>
    </w:p>
    <w:p>
      <w:pPr>
        <w:pStyle w:val="50"/>
        <w:pageBreakBefore w:val="0"/>
        <w:widowControl w:val="0"/>
        <w:shd w:val="clear"/>
        <w:kinsoku/>
        <w:wordWrap/>
        <w:topLinePunct w:val="0"/>
        <w:autoSpaceDE/>
        <w:autoSpaceDN/>
        <w:bidi w:val="0"/>
        <w:adjustRightInd w:val="0"/>
        <w:snapToGrid w:val="0"/>
        <w:ind w:left="425" w:firstLine="0" w:firstLineChars="0"/>
        <w:jc w:val="both"/>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64" w:name="_Toc9590"/>
      <w:bookmarkStart w:id="65" w:name="_Toc8324"/>
      <w:r>
        <w:rPr>
          <w:rFonts w:hint="eastAsia" w:ascii="宋体" w:hAnsi="宋体" w:eastAsia="宋体" w:cs="宋体"/>
          <w:color w:val="auto"/>
          <w:sz w:val="21"/>
          <w:szCs w:val="21"/>
          <w:highlight w:val="none"/>
        </w:rPr>
        <w:t>投标有效期</w:t>
      </w:r>
      <w:bookmarkEnd w:id="64"/>
      <w:bookmarkEnd w:id="65"/>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投标文件应根据投标人须知的规定在投标截止日后的90天内保持有效。</w:t>
      </w:r>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66" w:name="_Toc12582"/>
      <w:bookmarkStart w:id="67" w:name="_Toc9935"/>
      <w:r>
        <w:rPr>
          <w:rFonts w:hint="eastAsia" w:ascii="宋体" w:hAnsi="宋体" w:eastAsia="宋体" w:cs="宋体"/>
          <w:color w:val="auto"/>
          <w:sz w:val="21"/>
          <w:szCs w:val="21"/>
          <w:highlight w:val="none"/>
        </w:rPr>
        <w:t>投标保证金</w:t>
      </w:r>
      <w:bookmarkEnd w:id="66"/>
      <w:bookmarkEnd w:id="67"/>
      <w:bookmarkStart w:id="68" w:name="_Ref179619405"/>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投标人应在投标文件递交截止前提交相应的投标保证金，并作为其投标的一部分。</w:t>
      </w:r>
      <w:bookmarkEnd w:id="68"/>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投标保证金是为了保护采购代理机构和采购人免遭因投标人的行为而蒙受的损失。采购代理机构和采购人在因投标人的行为受到损害时可根据本须知（17.7）的规定没收投标人的投标保证金。</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采用转账、电汇方式方式提交，应符合以下要求：采用银行转账、电汇方式提交的，保证金汇入《投标资料表》中投标保证金专用账户，不接收由以投标人分支机构、私人账户和其他单位转入的保证金。投标保证金必须在投标文件递交截止前到账，投标保证金未按规定时间到达指定账户或提交金额不足的，将被视为无效投标。且在备注或用途中注明本项目的项目编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凡没有根据本须知（17.1和17.3）的规定随附有效的投标保证金的投标，将被视为非响应性投标予以拒绝。</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投标保证金有效期应当与投标有效期一致。采购人如果按照采购文件另外规定延长了投标文件有效期，则投标担保的有效期也相应延长。</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中标人在签订采购合同并按采购文件第（33）条规定提交履约担保</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，携带退保证金声明函、投标保证金汇款单复印件（加盖公章）和合同正本到采购人处办理投标保证金（无息）退回手续。</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下列任何情况发生时，投标保证金将不予退还：</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（1）投标人在采购文件中规定的投标有效期内撤回其投标；</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（2）中标人无正当理由不与采购人订立合同，在签订合同时向采购人提出附加条件，或者不按照采购文件要求提交履约保证金的；</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（3）中标人将本项目转让给他人，或者在投标文件中未说明，且未经采购人同意，将中标项目分包给他人的；</w:t>
      </w:r>
    </w:p>
    <w:p>
      <w:pPr>
        <w:pageBreakBefore w:val="0"/>
        <w:widowControl w:val="0"/>
        <w:numPr>
          <w:ilvl w:val="0"/>
          <w:numId w:val="0"/>
        </w:numPr>
        <w:shd w:val="clear"/>
        <w:kinsoku/>
        <w:wordWrap/>
        <w:overflowPunct w:val="0"/>
        <w:topLinePunct w:val="0"/>
        <w:autoSpaceDE/>
        <w:autoSpaceDN/>
        <w:bidi w:val="0"/>
        <w:adjustRightInd w:val="0"/>
        <w:snapToGrid w:val="0"/>
        <w:spacing w:line="360" w:lineRule="auto"/>
        <w:ind w:left="636" w:leftChars="303" w:firstLine="0" w:firstLineChars="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（4）投标人提供虚假投标文件或虚假补充文件的。</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在中标通知书发出后，未中标投标人的投标保证金，由采购人自行返还至投标人的原转出账户。</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69" w:name="_Toc32163"/>
      <w:bookmarkStart w:id="70" w:name="_Toc30352"/>
      <w:r>
        <w:rPr>
          <w:rFonts w:hint="eastAsia" w:ascii="宋体" w:hAnsi="宋体" w:eastAsia="宋体" w:cs="宋体"/>
          <w:color w:val="auto"/>
          <w:highlight w:val="none"/>
        </w:rPr>
        <w:t>投标文件的递交</w:t>
      </w:r>
      <w:bookmarkEnd w:id="69"/>
      <w:bookmarkEnd w:id="70"/>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71" w:name="_Toc382049111"/>
      <w:bookmarkStart w:id="72" w:name="_Toc24150"/>
      <w:bookmarkStart w:id="73" w:name="_Toc303084264"/>
      <w:bookmarkStart w:id="74" w:name="_Toc24997"/>
      <w:bookmarkStart w:id="75" w:name="_Toc28734"/>
      <w:r>
        <w:rPr>
          <w:rFonts w:hint="eastAsia" w:ascii="宋体" w:hAnsi="宋体" w:eastAsia="宋体" w:cs="宋体"/>
          <w:color w:val="auto"/>
          <w:sz w:val="21"/>
          <w:szCs w:val="21"/>
          <w:highlight w:val="none"/>
        </w:rPr>
        <w:t>投标文件的装订，签署，密封和标记</w:t>
      </w:r>
      <w:bookmarkEnd w:id="71"/>
      <w:bookmarkEnd w:id="72"/>
      <w:bookmarkEnd w:id="73"/>
      <w:bookmarkEnd w:id="74"/>
      <w:bookmarkEnd w:id="75"/>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投标人应按《投标资料表》的份数准备价格文件、商务文件、技术文件、唱标信封和电子文件（</w:t>
      </w:r>
      <w:r>
        <w:rPr>
          <w:rFonts w:hint="eastAsia" w:ascii="宋体" w:hAnsi="宋体" w:eastAsia="宋体" w:cs="宋体"/>
          <w:b/>
          <w:color w:val="auto"/>
          <w:szCs w:val="21"/>
          <w:highlight w:val="none"/>
        </w:rPr>
        <w:t>价格文件、商务文件、技术文件分别单独装订成册</w:t>
      </w:r>
      <w:r>
        <w:rPr>
          <w:rFonts w:hint="eastAsia" w:ascii="宋体" w:hAnsi="宋体" w:eastAsia="宋体" w:cs="宋体"/>
          <w:color w:val="auto"/>
          <w:szCs w:val="21"/>
          <w:highlight w:val="none"/>
        </w:rPr>
        <w:t>），每一份投标文件均需编上页次，装订成册（不允许使用活页夹，否则由此产生的风险由投标人自行承担）。所有投标文件必须封入密封完好的信封或包装，封口加盖公章。</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正本均须用不褪色墨水书写或打印。投标文件的副本可采用投标文件的正本复印件，每套投标文件应当标明“正本”、“副本”的字样。投标文件的【正本】及所有【副本】的封面及骑缝均须加盖投标人公章（文件每页盖章等同于盖骑缝章）。若正本与副本不符，以正本为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联合体投标文件的【正本】及【副本】的封面及骑缝均须加盖所有联合体组成成员的公章。（文件每页盖章等同于盖骑缝章）</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电子文件内容包括：由投标人自行制作的与正本文件一致的所有文件。电子文件由光盘或U盘储存，并注明投标人名称及项目名称、采购项目编号，随投标文件一同密封提交。</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除投标人对错误处修改外，全套投标文件应无涂改或行间插字和增删。如有修改，修改处须由法定代表人或其正式授权代表在旁边签字及盖章。</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投标人应将投标文件进行非透明的封装，以防止投标文件内容的泄露。采购代理机构将拒绝接收采用透明包装进行密封的投标文件。</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密封破损导致投标文件内容直接或间接泄露的投标文件，采购代理机构将拒绝接收。</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开标唱标，投标人应将开标一览表和授权委托书单独密封提交，并在信封上标明“唱标信封”字样。唱标信封内还须包括并不限于：投标保证金支付凭证银行汇款底单（复印件加盖公章，原件随身携带，以备查核）和投标保证金汇入情况说明（加盖公章）。投标人的法定代表人参加投标时，须开具法定代表人证明书，按上述要求与开标一览表一并密封提交。“唱标信封”份数及签章等要求与投标文件正本相同（1份）。</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未单独提交唱标信封的投标人投标文件不进行唱标，投标文件作无效处理。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所有的信封均应注明： </w:t>
      </w:r>
    </w:p>
    <w:p>
      <w:pPr>
        <w:pageBreakBefore w:val="0"/>
        <w:widowControl w:val="0"/>
        <w:numPr>
          <w:ilvl w:val="0"/>
          <w:numId w:val="6"/>
        </w:numPr>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收件人： </w:t>
      </w:r>
    </w:p>
    <w:p>
      <w:pPr>
        <w:pageBreakBefore w:val="0"/>
        <w:widowControl w:val="0"/>
        <w:numPr>
          <w:ilvl w:val="0"/>
          <w:numId w:val="6"/>
        </w:numPr>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投标单位名称：</w:t>
      </w:r>
    </w:p>
    <w:p>
      <w:pPr>
        <w:pageBreakBefore w:val="0"/>
        <w:widowControl w:val="0"/>
        <w:numPr>
          <w:ilvl w:val="0"/>
          <w:numId w:val="6"/>
        </w:numPr>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p>
      <w:pPr>
        <w:pageBreakBefore w:val="0"/>
        <w:widowControl w:val="0"/>
        <w:numPr>
          <w:ilvl w:val="0"/>
          <w:numId w:val="6"/>
        </w:numPr>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项目采购项目编号：</w:t>
      </w:r>
    </w:p>
    <w:p>
      <w:pPr>
        <w:pageBreakBefore w:val="0"/>
        <w:widowControl w:val="0"/>
        <w:numPr>
          <w:ilvl w:val="0"/>
          <w:numId w:val="6"/>
        </w:numPr>
        <w:shd w:val="clear"/>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包号：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密封信封上的项目编号错误或项目名称出现严重歧义的（包括采购内容不符），采购代理机构将拒绝接收。</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采购代理机构对所有投标文件的误投或提前启封概不负责。</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投标人同时参加几个包投标时必须按采购文件要求按包号分别制作投标文件，分别密封递交。</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传真、电传的投标文件将被拒绝。</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递交的投标文件中所提供的通讯方式应保持联络畅通，因联系不上而导致的所有后果由投标人自行承担。</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76" w:name="_Toc23580"/>
      <w:bookmarkStart w:id="77" w:name="_Toc25895"/>
      <w:r>
        <w:rPr>
          <w:rFonts w:hint="eastAsia" w:ascii="宋体" w:hAnsi="宋体" w:eastAsia="宋体" w:cs="宋体"/>
          <w:color w:val="auto"/>
          <w:sz w:val="21"/>
          <w:szCs w:val="21"/>
          <w:highlight w:val="none"/>
        </w:rPr>
        <w:t>迟交的投标文件</w:t>
      </w:r>
      <w:bookmarkEnd w:id="76"/>
      <w:bookmarkEnd w:id="77"/>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投标人在投标截止时间之后提交的投标文件，采购代理机构将拒绝接收。</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有违反其他法律规定情形的，采购代理机构将拒绝接收。</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78" w:name="_Toc9143"/>
      <w:bookmarkStart w:id="79" w:name="_Toc4771"/>
      <w:r>
        <w:rPr>
          <w:rFonts w:hint="eastAsia" w:ascii="宋体" w:hAnsi="宋体" w:eastAsia="宋体" w:cs="宋体"/>
          <w:color w:val="auto"/>
          <w:sz w:val="21"/>
          <w:szCs w:val="21"/>
          <w:highlight w:val="none"/>
        </w:rPr>
        <w:t>投标样品（如需提交）</w:t>
      </w:r>
      <w:bookmarkEnd w:id="78"/>
      <w:bookmarkEnd w:id="79"/>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如有必要，采购代理机构可以要求投标人提供本服务项目涉及的部分设备或产品样品，投标人在投标时应提交《样品清单》。</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为方便评标，投标人在提供样品时，应在所提供的样品表面显著位置标注投标人的名称、包号、样品名称、采购文件规定的服务或货物编号。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样品作为投标文件的一部分，除非另有说明，中标单位的样品将作为履约验收标准的参考不再退还，未中标单位须在中标公告发布后五个工作日内，前往采购代理机构领取投标样品，逾期不领，采购代理机构将不承担样品的保管责任，由此引发的样品丢失、毁损，采购代理机构不予负责。</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80" w:name="_Toc382049112"/>
      <w:bookmarkStart w:id="81" w:name="_Toc303084265"/>
      <w:bookmarkStart w:id="82" w:name="_Toc28953"/>
      <w:bookmarkStart w:id="83" w:name="_Toc1712"/>
      <w:bookmarkStart w:id="84" w:name="_Toc9777"/>
      <w:r>
        <w:rPr>
          <w:rFonts w:hint="eastAsia" w:ascii="宋体" w:hAnsi="宋体" w:eastAsia="宋体" w:cs="宋体"/>
          <w:color w:val="auto"/>
          <w:sz w:val="21"/>
          <w:szCs w:val="21"/>
          <w:highlight w:val="none"/>
        </w:rPr>
        <w:t>投标截止期</w:t>
      </w:r>
      <w:bookmarkEnd w:id="80"/>
      <w:bookmarkEnd w:id="81"/>
      <w:bookmarkEnd w:id="82"/>
      <w:bookmarkEnd w:id="83"/>
      <w:bookmarkEnd w:id="84"/>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投标人应在采购文件规定的截止日期和时间内，将投标文件送达到指定地点。</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采购代理机构可按本须知规定以澄清或修改通知的方式，酌情延长递交投标文件的截止时间。在此情况下，投标人的所有权利和义务以及投标人受制约的截止时间，均以延长后新的投标截止时间为准。</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85" w:name="_Toc15940"/>
      <w:bookmarkStart w:id="86" w:name="_Toc31417"/>
      <w:r>
        <w:rPr>
          <w:rFonts w:hint="eastAsia" w:ascii="宋体" w:hAnsi="宋体" w:eastAsia="宋体" w:cs="宋体"/>
          <w:color w:val="auto"/>
          <w:sz w:val="21"/>
          <w:szCs w:val="21"/>
          <w:highlight w:val="none"/>
        </w:rPr>
        <w:t>投标文件的补充、修改与撤回</w:t>
      </w:r>
      <w:bookmarkEnd w:id="85"/>
      <w:bookmarkEnd w:id="86"/>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投标人在提交投标文件截止时间前，可以对所提交的投标文件进行补充、修改或撤回，并以纸质版形式通知采购代理机构。在提交投标文件截止时间之后，投标人不得对其投标文件做出任何的补充和修改。</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投标人对投标文件的补充、修改的内容应当按采购文件要求的签署、盖章、密封后，作为投标文件的组成部分。并按照采购文件规定密封和标记的要求提交，并在投标文件密封袋上标明“补充、修改”字样。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投标文件一经递交不予退还。</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在提交投标文件截止时间至投标有效期满之前，投标人不得撤回其投标，否则其投标保证金将不予退还。</w:t>
      </w:r>
    </w:p>
    <w:p>
      <w:pPr>
        <w:pStyle w:val="11"/>
        <w:pageBreakBefore w:val="0"/>
        <w:shd w:val="clear"/>
        <w:kinsoku/>
        <w:wordWrap/>
        <w:topLinePunct w:val="0"/>
        <w:autoSpaceDE/>
        <w:autoSpaceDN/>
        <w:bidi w:val="0"/>
        <w:adjustRightInd w:val="0"/>
        <w:snapToGrid w:val="0"/>
        <w:spacing w:before="0"/>
        <w:rPr>
          <w:rFonts w:hint="eastAsia" w:ascii="宋体" w:hAnsi="宋体" w:eastAsia="宋体" w:cs="宋体"/>
          <w:color w:val="auto"/>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87" w:name="_Toc4367"/>
      <w:bookmarkStart w:id="88" w:name="_Toc7410"/>
      <w:r>
        <w:rPr>
          <w:rFonts w:hint="eastAsia" w:ascii="宋体" w:hAnsi="宋体" w:eastAsia="宋体" w:cs="宋体"/>
          <w:color w:val="auto"/>
          <w:highlight w:val="none"/>
        </w:rPr>
        <w:t>开标与评标</w:t>
      </w:r>
      <w:bookmarkEnd w:id="87"/>
      <w:bookmarkEnd w:id="88"/>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89" w:name="_Toc19963"/>
      <w:bookmarkStart w:id="90" w:name="_Toc31671"/>
      <w:r>
        <w:rPr>
          <w:rFonts w:hint="eastAsia" w:ascii="宋体" w:hAnsi="宋体" w:eastAsia="宋体" w:cs="宋体"/>
          <w:color w:val="auto"/>
          <w:sz w:val="21"/>
          <w:szCs w:val="21"/>
          <w:highlight w:val="none"/>
        </w:rPr>
        <w:t>开标</w:t>
      </w:r>
      <w:bookmarkEnd w:id="89"/>
      <w:bookmarkEnd w:id="90"/>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采购代理机构按本采购文件所规定的时间和地点公开开标，并邀请所有投标人代表参加。</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开标程序：</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开标会由采购代理机构主持，投标人的法定代表人或其授权代表携带有效身份证明准时参加开标会并签名报到。</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开标时，由投标人或者其推选的代表检查投标文件的密封情况；经确认无误后，由采购人或者采购代理机构工作人员当众拆封，宣布投标人名称、投标价格和采购文件规定的需要宣布的其他内容；</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对开标过程和开标记录有异议，以及认为采购人、采购代理机构相关工作人员有需要回避的情形的，应当场提出询问或者回避申请。开标现场未提出异议的视为认同开标结果。开标结束后，投标人对开标过程和开标记录不得再提出异议。</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投标人未参加开标的，视同认可开标结果。</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合格投标人不足3家的，不得开标；</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开标过程应当由采购人或者采购代理机构负责记录，由参加开标的各投标人代表和相关工作人员签字确认。</w:t>
      </w:r>
    </w:p>
    <w:p>
      <w:pPr>
        <w:pageBreakBefore w:val="0"/>
        <w:widowControl w:val="0"/>
        <w:shd w:val="clear"/>
        <w:kinsoku/>
        <w:wordWrap/>
        <w:topLinePunct w:val="0"/>
        <w:autoSpaceDE/>
        <w:autoSpaceDN/>
        <w:bidi w:val="0"/>
        <w:adjustRightInd w:val="0"/>
        <w:snapToGrid w:val="0"/>
        <w:ind w:left="567"/>
        <w:jc w:val="both"/>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91" w:name="_Toc2749"/>
      <w:bookmarkStart w:id="92" w:name="_Toc3528"/>
      <w:r>
        <w:rPr>
          <w:rFonts w:hint="eastAsia" w:ascii="宋体" w:hAnsi="宋体" w:eastAsia="宋体" w:cs="宋体"/>
          <w:color w:val="auto"/>
          <w:sz w:val="21"/>
          <w:szCs w:val="21"/>
          <w:highlight w:val="none"/>
        </w:rPr>
        <w:t>评标委员会及评标方法</w:t>
      </w:r>
      <w:bookmarkEnd w:id="91"/>
      <w:bookmarkEnd w:id="92"/>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依法组成评标委员会，评标委员会由采购人和有关技术、经济等方面的专家组成，成员人数为五人或五人以上单数，其中技术、经济等方面的专家不少于成员总数的三分之二，并负责评标工作。</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评审方法：本次采购的评审方法采用综合评分法。</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定标原则：在最大限度满足采购文件实质性要求前提下，按照采购文件规定的各项评价因素进行量化打分，以评标总得分最高的投标人作为中标候选人或中标人。</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评标委员会对投标文件的评审内容，分为商务评议、技术评议和价格评议。评审流程包括符合性检查、澄清问题、比较与评价、推荐中标候选人或确定中标人、编写评标报告等步骤。</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标期间，评标委员会可要求投标人对其投标文件进行澄清，但不得寻求、提供或允许对投标价格等实质性内容做任何更改。有关澄清的要求和答复均应以纸质版形式提交，如投标人拒绝评标委员会要求对其投标文件进行澄清的要求，所造成的后果由投标人自行承担。</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评标委员会和采购人在评审过程中有权核对投标文件中相关材料的原件，投标人在接到通知后应在评标委员会规定的时间内提交原件核查。</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93" w:name="_Toc32662"/>
      <w:bookmarkStart w:id="94" w:name="_Toc4198"/>
      <w:r>
        <w:rPr>
          <w:rFonts w:hint="eastAsia" w:ascii="宋体" w:hAnsi="宋体" w:eastAsia="宋体" w:cs="宋体"/>
          <w:color w:val="auto"/>
          <w:sz w:val="21"/>
          <w:szCs w:val="21"/>
          <w:highlight w:val="none"/>
        </w:rPr>
        <w:t>评审原则及评标过程的保密</w:t>
      </w:r>
      <w:bookmarkEnd w:id="93"/>
      <w:bookmarkEnd w:id="94"/>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评审的基本原则：评标委员会将依据采购文件的规定，遵循“公开、公平、公正、择优、信用”的原则进行评审工作。</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从公开开标到签订合同，凡与审查、澄清、评审和投标有关的资料以及定标意见相关的事项，均不得向投标人及与评标无关的其他人透露。</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任何单位和个人不得非法干预、影响评标的过程和结果。</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95" w:name="_Toc20125"/>
      <w:r>
        <w:rPr>
          <w:rFonts w:hint="eastAsia" w:ascii="宋体" w:hAnsi="宋体" w:eastAsia="宋体" w:cs="宋体"/>
          <w:color w:val="auto"/>
          <w:sz w:val="21"/>
          <w:szCs w:val="21"/>
          <w:highlight w:val="none"/>
        </w:rPr>
        <w:t>评标程序</w:t>
      </w:r>
      <w:bookmarkEnd w:id="95"/>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资格性、符合性审查</w:t>
      </w:r>
    </w:p>
    <w:p>
      <w:pPr>
        <w:pageBreakBefore w:val="0"/>
        <w:widowControl w:val="0"/>
        <w:shd w:val="clear"/>
        <w:kinsoku/>
        <w:wordWrap/>
        <w:overflowPunct w:val="0"/>
        <w:topLinePunct w:val="0"/>
        <w:autoSpaceDE/>
        <w:autoSpaceDN/>
        <w:bidi w:val="0"/>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开采购项目开标结束后，评标委员会根据《资格性、符合性审查表》将依法对投标人进行资格性、符合性审查。投标人必须严格按照《资格性、符合性审查表》的评审内容的要求如实提供证明材料并应加盖投标人公章，对缺漏或不符合项将直接导致无效投标。合格投标人不足3家的，不得评标。未通过资格性、符合性审查的投标人不进入评标阶段的评审。</w:t>
      </w:r>
    </w:p>
    <w:p>
      <w:pPr>
        <w:pageBreakBefore w:val="0"/>
        <w:shd w:val="clear"/>
        <w:kinsoku/>
        <w:wordWrap/>
        <w:topLinePunct w:val="0"/>
        <w:autoSpaceDE/>
        <w:autoSpaceDN/>
        <w:bidi w:val="0"/>
        <w:adjustRightInd w:val="0"/>
        <w:snapToGrid w:val="0"/>
        <w:jc w:val="center"/>
        <w:rPr>
          <w:rFonts w:hint="eastAsia" w:ascii="宋体" w:hAnsi="宋体" w:eastAsia="宋体" w:cs="宋体"/>
          <w:b/>
          <w:bCs/>
          <w:color w:val="auto"/>
          <w:highlight w:val="none"/>
        </w:rPr>
      </w:pPr>
      <w:r>
        <w:rPr>
          <w:rFonts w:hint="eastAsia" w:ascii="宋体" w:hAnsi="宋体" w:eastAsia="宋体" w:cs="宋体"/>
          <w:b/>
          <w:bCs/>
          <w:color w:val="auto"/>
          <w:highlight w:val="none"/>
        </w:rPr>
        <w:t>《资格性、符合性审查表》</w:t>
      </w:r>
    </w:p>
    <w:tbl>
      <w:tblPr>
        <w:tblStyle w:val="43"/>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序号</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评 审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restart"/>
            <w:tcBorders>
              <w:top w:val="single" w:color="auto" w:sz="4" w:space="0"/>
              <w:left w:val="single" w:color="auto" w:sz="4" w:space="0"/>
              <w:right w:val="single" w:color="auto" w:sz="4" w:space="0"/>
              <w:tl2br w:val="nil"/>
              <w:tr2bl w:val="nil"/>
            </w:tcBorders>
            <w:vAlign w:val="center"/>
          </w:tcPr>
          <w:p>
            <w:pPr>
              <w:pageBreakBefore w:val="0"/>
              <w:numPr>
                <w:ilvl w:val="0"/>
                <w:numId w:val="7"/>
              </w:numPr>
              <w:shd w:val="clear"/>
              <w:tabs>
                <w:tab w:val="left" w:pos="176"/>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612"/>
              </w:tabs>
              <w:kinsoku/>
              <w:wordWrap/>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（1）投标人须为在中华人民共和国境内登记注册的具有独立承担民事责任能力的法人【提供《营业执照》复印件（加盖公章）】；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pageBreakBefore w:val="0"/>
              <w:shd w:val="clear"/>
              <w:tabs>
                <w:tab w:val="left" w:pos="176"/>
                <w:tab w:val="left" w:pos="420"/>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612"/>
              </w:tabs>
              <w:kinsoku/>
              <w:wordWrap/>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（2）参加采购活动前三年内，在经营活动中没有重大违法记录（须提供书面声明）；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pageBreakBefore w:val="0"/>
              <w:shd w:val="clear"/>
              <w:tabs>
                <w:tab w:val="left" w:pos="176"/>
                <w:tab w:val="left" w:pos="420"/>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612"/>
              </w:tabs>
              <w:kinsoku/>
              <w:wordWrap/>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（3）投标人的单位负责人为同一人或者存在直接控股、管理关系的不同投标人，不得参加同一合同项下的采购活动（须提供声明</w:t>
            </w:r>
            <w:r>
              <w:rPr>
                <w:rFonts w:hint="eastAsia" w:ascii="宋体" w:hAnsi="宋体" w:eastAsia="宋体" w:cs="宋体"/>
                <w:color w:val="auto"/>
                <w:szCs w:val="21"/>
                <w:highlight w:val="none"/>
                <w:lang w:val="en-US" w:eastAsia="zh-CN"/>
              </w:rPr>
              <w:t>函</w:t>
            </w:r>
            <w:r>
              <w:rPr>
                <w:rFonts w:hint="eastAsia" w:ascii="宋体" w:hAnsi="宋体" w:eastAsia="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pageBreakBefore w:val="0"/>
              <w:shd w:val="clear"/>
              <w:tabs>
                <w:tab w:val="left" w:pos="176"/>
                <w:tab w:val="left" w:pos="420"/>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612"/>
              </w:tabs>
              <w:kinsoku/>
              <w:wordWrap/>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（4）未被列入“信用中国”网站(www.creditchina.gov.cn )“记录失信被执行人或重大税收违法失信主体或政府采购严重违法失信行为”记录名单。以代理机构于投标截止日当天在“信用中国”网站查询结果为准，如相关失信记录已失效，投标人需提供相关证明资料；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right w:val="single" w:color="auto" w:sz="4" w:space="0"/>
              <w:tl2br w:val="nil"/>
              <w:tr2bl w:val="nil"/>
            </w:tcBorders>
            <w:vAlign w:val="center"/>
          </w:tcPr>
          <w:p>
            <w:pPr>
              <w:pageBreakBefore w:val="0"/>
              <w:shd w:val="clear"/>
              <w:tabs>
                <w:tab w:val="left" w:pos="176"/>
                <w:tab w:val="left" w:pos="420"/>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612"/>
              </w:tabs>
              <w:kinsoku/>
              <w:wordWrap/>
              <w:topLinePunct w:val="0"/>
              <w:autoSpaceDE/>
              <w:autoSpaceDN/>
              <w:bidi w:val="0"/>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5）未被列入东实集团及下属企业相关领域黑名单。【以东莞实业投资控股集团有限公司发文（东实通〔2021〕44号）、（东实通〔2021〕98号）、（东实通〔2022〕75号）、（东实通〔2023〕37号）、（东实通〔2024〕163号）、（东实通〔2024〕195号）、（东实通〔2025〕157号）为准，如有最新发文通知，按最新文件执行。】</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vMerge w:val="continue"/>
            <w:tcBorders>
              <w:left w:val="single" w:color="auto" w:sz="4" w:space="0"/>
              <w:bottom w:val="single" w:color="auto" w:sz="4" w:space="0"/>
              <w:right w:val="single" w:color="auto" w:sz="4" w:space="0"/>
              <w:tl2br w:val="nil"/>
              <w:tr2bl w:val="nil"/>
            </w:tcBorders>
            <w:vAlign w:val="center"/>
          </w:tcPr>
          <w:p>
            <w:pPr>
              <w:pageBreakBefore w:val="0"/>
              <w:shd w:val="clear"/>
              <w:tabs>
                <w:tab w:val="left" w:pos="176"/>
                <w:tab w:val="left" w:pos="420"/>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612"/>
              </w:tabs>
              <w:kinsoku/>
              <w:wordWrap/>
              <w:topLinePunct w:val="0"/>
              <w:autoSpaceDE/>
              <w:autoSpaceDN/>
              <w:bidi w:val="0"/>
              <w:adjustRightInd w:val="0"/>
              <w:snapToGrid w:val="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）本项目</w:t>
            </w:r>
            <w:r>
              <w:rPr>
                <w:rFonts w:hint="eastAsia" w:ascii="宋体" w:hAnsi="宋体" w:cs="宋体"/>
                <w:color w:val="auto"/>
                <w:szCs w:val="21"/>
                <w:highlight w:val="none"/>
                <w:lang w:val="en-US" w:eastAsia="zh-CN"/>
              </w:rPr>
              <w:t>不</w:t>
            </w:r>
            <w:r>
              <w:rPr>
                <w:rFonts w:hint="eastAsia" w:ascii="宋体" w:hAnsi="宋体" w:eastAsia="宋体" w:cs="宋体"/>
                <w:color w:val="auto"/>
                <w:szCs w:val="21"/>
                <w:highlight w:val="none"/>
              </w:rPr>
              <w:t>接受联合体</w:t>
            </w:r>
            <w:r>
              <w:rPr>
                <w:rFonts w:hint="eastAsia" w:ascii="宋体" w:hAnsi="宋体" w:eastAsia="宋体" w:cs="宋体"/>
                <w:color w:val="auto"/>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7"/>
              </w:numPr>
              <w:shd w:val="clear"/>
              <w:tabs>
                <w:tab w:val="left" w:pos="176"/>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投标人按照采购文件要求提交投标保证金；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7"/>
              </w:numPr>
              <w:shd w:val="clear"/>
              <w:tabs>
                <w:tab w:val="left" w:pos="176"/>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textAlignment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bidi="ar"/>
              </w:rPr>
              <w:t>投标文件按照采购文件要求签署盖章；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numPr>
                <w:ilvl w:val="0"/>
                <w:numId w:val="7"/>
              </w:numPr>
              <w:shd w:val="clear"/>
              <w:tabs>
                <w:tab w:val="left" w:pos="176"/>
                <w:tab w:val="left" w:pos="612"/>
              </w:tabs>
              <w:kinsoku/>
              <w:wordWrap/>
              <w:topLinePunct w:val="0"/>
              <w:autoSpaceDE/>
              <w:autoSpaceDN/>
              <w:bidi w:val="0"/>
              <w:adjustRightInd w:val="0"/>
              <w:snapToGrid w:val="0"/>
              <w:jc w:val="center"/>
              <w:rPr>
                <w:rFonts w:hint="eastAsia" w:ascii="宋体" w:hAnsi="宋体" w:eastAsia="宋体" w:cs="宋体"/>
                <w:color w:val="auto"/>
                <w:szCs w:val="21"/>
                <w:highlight w:val="none"/>
              </w:rPr>
            </w:pP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投标总价未超出采购预算或最高限价；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176"/>
                <w:tab w:val="left" w:pos="612"/>
              </w:tabs>
              <w:kinsoku/>
              <w:wordWrap/>
              <w:topLinePunct w:val="0"/>
              <w:autoSpaceDE/>
              <w:autoSpaceDN/>
              <w:bidi w:val="0"/>
              <w:adjustRightInd w:val="0"/>
              <w:snapToGrid w:val="0"/>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投标文件未含有采购人不能接受的附加条件；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176"/>
                <w:tab w:val="left" w:pos="612"/>
              </w:tabs>
              <w:kinsoku/>
              <w:wordWrap/>
              <w:topLinePunct w:val="0"/>
              <w:autoSpaceDE/>
              <w:autoSpaceDN/>
              <w:bidi w:val="0"/>
              <w:adjustRightInd w:val="0"/>
              <w:snapToGrid w:val="0"/>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bidi="ar"/>
              </w:rPr>
              <w:t>无负偏离标注“★”符号的条款</w:t>
            </w:r>
            <w:r>
              <w:rPr>
                <w:rFonts w:hint="eastAsia" w:ascii="宋体" w:hAnsi="宋体" w:eastAsia="宋体" w:cs="宋体"/>
                <w:color w:val="auto"/>
                <w:szCs w:val="21"/>
                <w:highlight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99"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tabs>
                <w:tab w:val="left" w:pos="176"/>
                <w:tab w:val="left" w:pos="612"/>
              </w:tabs>
              <w:kinsoku/>
              <w:wordWrap/>
              <w:topLinePunct w:val="0"/>
              <w:autoSpaceDE/>
              <w:autoSpaceDN/>
              <w:bidi w:val="0"/>
              <w:adjustRightInd w:val="0"/>
              <w:snapToGrid w:val="0"/>
              <w:ind w:firstLine="210" w:firstLineChars="1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7823" w:type="dxa"/>
            <w:tcBorders>
              <w:top w:val="single" w:color="auto" w:sz="4" w:space="0"/>
              <w:left w:val="single" w:color="auto" w:sz="4" w:space="0"/>
              <w:bottom w:val="single" w:color="auto" w:sz="4" w:space="0"/>
              <w:right w:val="single" w:color="auto" w:sz="4" w:space="0"/>
              <w:tl2br w:val="nil"/>
              <w:tr2bl w:val="nil"/>
            </w:tcBorders>
            <w:vAlign w:val="center"/>
          </w:tcPr>
          <w:p>
            <w:pPr>
              <w:pageBreakBefore w:val="0"/>
              <w:shd w:val="clear"/>
              <w:kinsoku/>
              <w:wordWrap/>
              <w:topLinePunct w:val="0"/>
              <w:autoSpaceDE/>
              <w:autoSpaceDN/>
              <w:bidi w:val="0"/>
              <w:adjustRightInd w:val="0"/>
              <w:snapToGrid w:val="0"/>
              <w:textAlignment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rPr>
              <w:t>未出现</w:t>
            </w:r>
            <w:r>
              <w:rPr>
                <w:rFonts w:hint="eastAsia" w:ascii="宋体" w:hAnsi="宋体" w:eastAsia="宋体" w:cs="宋体"/>
                <w:color w:val="auto"/>
                <w:szCs w:val="21"/>
                <w:highlight w:val="none"/>
                <w:lang w:bidi="ar"/>
              </w:rPr>
              <w:t>法律、法规和招标文件规定的其他无效情形。</w:t>
            </w:r>
          </w:p>
        </w:tc>
      </w:tr>
    </w:tbl>
    <w:p>
      <w:pPr>
        <w:pageBreakBefore w:val="0"/>
        <w:widowControl w:val="0"/>
        <w:shd w:val="clear"/>
        <w:kinsoku/>
        <w:wordWrap/>
        <w:overflowPunct w:val="0"/>
        <w:topLinePunct w:val="0"/>
        <w:autoSpaceDE/>
        <w:autoSpaceDN/>
        <w:bidi w:val="0"/>
        <w:adjustRightInd w:val="0"/>
        <w:snapToGrid w:val="0"/>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上资格性、符合性审查中带有不合格分项的投标文件，将作无效标处理。经评标委员会确认的无效投标文件，采购人和采购代理机构将予以拒绝，并且不允许通过修正或撤消其不符合要求的差异，使之成为具有符合性的投标文件。经评标委员会资格性、符合性审查确认具有有效投标文件的投标人不足三家时将重新组织采购</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投标文件报价出现前后不一致的，评标委员会按照下列规定修正：</w:t>
      </w:r>
    </w:p>
    <w:p>
      <w:pPr>
        <w:pageBreakBefore w:val="0"/>
        <w:widowControl w:val="0"/>
        <w:numPr>
          <w:ilvl w:val="0"/>
          <w:numId w:val="8"/>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投标文件中开标一览表（报价表）内容与投标文件中相应内容不一致的，以开标一览表（报价表）为准；</w:t>
      </w:r>
    </w:p>
    <w:p>
      <w:pPr>
        <w:pageBreakBefore w:val="0"/>
        <w:widowControl w:val="0"/>
        <w:numPr>
          <w:ilvl w:val="0"/>
          <w:numId w:val="8"/>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大写金额和小写金额不一致的，以大写金额为准；</w:t>
      </w:r>
    </w:p>
    <w:p>
      <w:pPr>
        <w:pageBreakBefore w:val="0"/>
        <w:widowControl w:val="0"/>
        <w:numPr>
          <w:ilvl w:val="0"/>
          <w:numId w:val="8"/>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单价金额小数点或者百分比有明显错位的，以开标一览表的总价为准，并修改单价；</w:t>
      </w:r>
    </w:p>
    <w:p>
      <w:pPr>
        <w:pageBreakBefore w:val="0"/>
        <w:widowControl w:val="0"/>
        <w:numPr>
          <w:ilvl w:val="0"/>
          <w:numId w:val="8"/>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总价金额与按单价汇总金额不一致的，以单价金额计算结果为准。</w:t>
      </w:r>
    </w:p>
    <w:p>
      <w:pPr>
        <w:pageBreakBefore w:val="0"/>
        <w:widowControl w:val="0"/>
        <w:numPr>
          <w:ilvl w:val="0"/>
          <w:numId w:val="8"/>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同时出现两种以上不一致的，按照前款规定的顺序修正。修正后的报价按照经投标人确认后产生约束力，投标人不确认的，其投标无效。</w:t>
      </w:r>
    </w:p>
    <w:p>
      <w:pPr>
        <w:pageBreakBefore w:val="0"/>
        <w:widowControl w:val="0"/>
        <w:shd w:val="clear"/>
        <w:kinsoku/>
        <w:wordWrap/>
        <w:overflowPunct w:val="0"/>
        <w:topLinePunct w:val="0"/>
        <w:autoSpaceDE/>
        <w:autoSpaceDN/>
        <w:bidi w:val="0"/>
        <w:adjustRightInd w:val="0"/>
        <w:snapToGrid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  评标委员会认为投标人的报价明显低于其他通过符合性审查投标人的报价，有可能影响产品质量或者不能诚信履约的，应当要求其在评标现场合理的时间内提供书面说明（以现场通知时间为准），必要时提交相关证明材料；投标人不能证明其报价合理性的，评标委员会应当将其作为无效投标处理。</w:t>
      </w:r>
    </w:p>
    <w:p>
      <w:pPr>
        <w:pageBreakBefore w:val="0"/>
        <w:widowControl w:val="0"/>
        <w:shd w:val="clear"/>
        <w:kinsoku/>
        <w:wordWrap/>
        <w:overflowPunct w:val="0"/>
        <w:topLinePunct w:val="0"/>
        <w:autoSpaceDE/>
        <w:autoSpaceDN/>
        <w:bidi w:val="0"/>
        <w:adjustRightInd w:val="0"/>
        <w:snapToGrid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26.4  对于投标文件中不构成实质性偏差的不正规、不一致或不规则，评标委员会可以接受，但这种接受不能损害或影响任何投标人的相对排序。</w:t>
      </w:r>
    </w:p>
    <w:p>
      <w:pPr>
        <w:pageBreakBefore w:val="0"/>
        <w:widowControl w:val="0"/>
        <w:shd w:val="clear"/>
        <w:kinsoku/>
        <w:wordWrap/>
        <w:overflowPunct w:val="0"/>
        <w:topLinePunct w:val="0"/>
        <w:autoSpaceDE/>
        <w:autoSpaceDN/>
        <w:bidi w:val="0"/>
        <w:adjustRightInd w:val="0"/>
        <w:snapToGrid w:val="0"/>
        <w:ind w:left="630" w:hanging="630" w:hangingChars="3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26.5  在详细评标之前，评标委员会要审查每份投标文件是否实质上响应了采购文件的要求。实质上响应的投标应该是与采购文件要求的全部主要条款（加“★”号）、条件和规格相符，没有重大偏离的投标。对关键条文的偏离、保留或反对，例如关于投标保证金、合同条款的重大偏离将被认为是实质上的偏离。评标委员会决定投标文件的响应性只根据投标文件本身的内容，而不寻求外部的证据。</w:t>
      </w:r>
    </w:p>
    <w:p>
      <w:pPr>
        <w:pStyle w:val="11"/>
        <w:pageBreakBefore w:val="0"/>
        <w:shd w:val="clear"/>
        <w:kinsoku/>
        <w:wordWrap/>
        <w:topLinePunct w:val="0"/>
        <w:autoSpaceDE/>
        <w:autoSpaceDN/>
        <w:bidi w:val="0"/>
        <w:adjustRightInd w:val="0"/>
        <w:snapToGrid w:val="0"/>
        <w:spacing w:before="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96" w:name="_Toc4799"/>
      <w:bookmarkStart w:id="97" w:name="_Toc3071"/>
      <w:r>
        <w:rPr>
          <w:rFonts w:hint="eastAsia" w:ascii="宋体" w:hAnsi="宋体" w:eastAsia="宋体" w:cs="宋体"/>
          <w:color w:val="auto"/>
          <w:sz w:val="21"/>
          <w:szCs w:val="21"/>
          <w:highlight w:val="none"/>
        </w:rPr>
        <w:t>商务、技术、价格评审（具体评审项目详见投标资料表）</w:t>
      </w:r>
      <w:bookmarkEnd w:id="96"/>
      <w:bookmarkEnd w:id="97"/>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对通过资格性、符合性审查的有效</w:t>
      </w:r>
      <w:r>
        <w:rPr>
          <w:rFonts w:hint="eastAsia" w:ascii="宋体" w:hAnsi="宋体" w:eastAsia="宋体" w:cs="宋体"/>
          <w:color w:val="auto"/>
          <w:szCs w:val="21"/>
          <w:highlight w:val="none"/>
          <w:lang w:val="en-US" w:eastAsia="zh-CN"/>
        </w:rPr>
        <w:t>投标人</w:t>
      </w:r>
      <w:r>
        <w:rPr>
          <w:rFonts w:hint="eastAsia" w:ascii="宋体" w:hAnsi="宋体" w:eastAsia="宋体" w:cs="宋体"/>
          <w:color w:val="auto"/>
          <w:szCs w:val="21"/>
          <w:highlight w:val="none"/>
        </w:rPr>
        <w:t xml:space="preserve">方有资格进入综合评审。采购文件中要求投标人提供的相关资质证书证明材料因国家政策变动导致新旧证书名称不一致，旧证书未取消且新旧证书具有同等效力的，投标人提供新证书与提供在有效期内的旧证书给予同等认可。 </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对通过资格性、符合性审查的投标文件进行详细评审。评标委员会对每一投标文件进行详细的商务评审、技术评审。按照评审程序的规定和依据评分标准，各位评委就每个投标人的技术、商务状况及其对采购文件要求的响应情况进行评议和比较，评出其技术评分和商务评分。根据采购文件规定评出得分，将价格得分、商务得分、技术得分相加得出最终评标得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综合得分相同的，按价格评分由高到低顺序排列。综合得分相同且价格评分相同的，按商务评分由高到低顺序排列，得分高的排前，得分低的排后；按上述环节依然存在同分情形而不能确认排名顺序时，由评标委员会进行投票，得票多的排名在先。当第一轮投票结果为投标人得票数相同时，再次进行投票，如此类推，直到能确定排序次序为止。</w:t>
      </w:r>
    </w:p>
    <w:p>
      <w:pPr>
        <w:pageBreakBefore w:val="0"/>
        <w:widowControl w:val="0"/>
        <w:shd w:val="clear"/>
        <w:tabs>
          <w:tab w:val="left" w:pos="907"/>
        </w:tabs>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98" w:name="_Toc316375620"/>
      <w:bookmarkStart w:id="99" w:name="_Toc31462"/>
      <w:bookmarkStart w:id="100" w:name="_Toc21663"/>
      <w:bookmarkStart w:id="101" w:name="_Toc382049120"/>
      <w:bookmarkStart w:id="102" w:name="_Toc20328"/>
      <w:r>
        <w:rPr>
          <w:rFonts w:hint="eastAsia" w:ascii="宋体" w:hAnsi="宋体" w:eastAsia="宋体" w:cs="宋体"/>
          <w:color w:val="auto"/>
          <w:sz w:val="21"/>
          <w:szCs w:val="21"/>
          <w:highlight w:val="none"/>
        </w:rPr>
        <w:t>纪律和保密</w:t>
      </w:r>
      <w:bookmarkEnd w:id="98"/>
      <w:r>
        <w:rPr>
          <w:rFonts w:hint="eastAsia" w:ascii="宋体" w:hAnsi="宋体" w:eastAsia="宋体" w:cs="宋体"/>
          <w:color w:val="auto"/>
          <w:sz w:val="21"/>
          <w:szCs w:val="21"/>
          <w:highlight w:val="none"/>
        </w:rPr>
        <w:t>事项</w:t>
      </w:r>
      <w:bookmarkEnd w:id="99"/>
      <w:bookmarkEnd w:id="100"/>
      <w:bookmarkEnd w:id="101"/>
      <w:bookmarkEnd w:id="102"/>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从开标之日起至授予合同期间，在投标文件的审查、澄清、比较和评价阶段，投标人试图对评标委员会和采购代理机构施加任何影响或对采购人的比较及授予合同的决定产生影响，都可能导致其投标文件被拒绝。</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投标人不得串通作弊，以不正当的手段妨碍、排挤其他投标人，扰乱采购市场，破坏公平竞争原则。否则将按相关法律规定严肃处理。</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获得本采购文件的投标人，应对文件进行保密，不得用作本次投标以外的任何用途。开标后，投标人应归还采购文件中要求保密的文件和资料。</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103" w:name="_Toc1471"/>
      <w:bookmarkStart w:id="104" w:name="_Toc1109"/>
      <w:r>
        <w:rPr>
          <w:rFonts w:hint="eastAsia" w:ascii="宋体" w:hAnsi="宋体" w:eastAsia="宋体" w:cs="宋体"/>
          <w:color w:val="auto"/>
          <w:highlight w:val="none"/>
        </w:rPr>
        <w:t>授予合同</w:t>
      </w:r>
      <w:bookmarkEnd w:id="103"/>
      <w:bookmarkEnd w:id="104"/>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05" w:name="_Toc14457"/>
      <w:bookmarkStart w:id="106" w:name="_Toc508284011"/>
      <w:bookmarkStart w:id="107" w:name="_Toc22623"/>
      <w:r>
        <w:rPr>
          <w:rFonts w:hint="eastAsia" w:ascii="宋体" w:hAnsi="宋体" w:eastAsia="宋体" w:cs="宋体"/>
          <w:color w:val="auto"/>
          <w:sz w:val="21"/>
          <w:szCs w:val="21"/>
          <w:highlight w:val="none"/>
        </w:rPr>
        <w:t>合同授予标准</w:t>
      </w:r>
      <w:bookmarkEnd w:id="105"/>
      <w:bookmarkEnd w:id="106"/>
      <w:bookmarkEnd w:id="107"/>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根据评标委员会的评审结果，采购人按照评审报告推荐的中标候选人中按顺序依法确定中标人。</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08" w:name="_Toc22695"/>
      <w:bookmarkStart w:id="109" w:name="_Toc508284013"/>
      <w:bookmarkStart w:id="110" w:name="_Toc10545"/>
      <w:r>
        <w:rPr>
          <w:rFonts w:hint="eastAsia" w:ascii="宋体" w:hAnsi="宋体" w:eastAsia="宋体" w:cs="宋体"/>
          <w:color w:val="auto"/>
          <w:sz w:val="21"/>
          <w:szCs w:val="21"/>
          <w:highlight w:val="none"/>
        </w:rPr>
        <w:t>发布中标结果</w:t>
      </w:r>
      <w:bookmarkEnd w:id="108"/>
      <w:bookmarkEnd w:id="109"/>
      <w:bookmarkEnd w:id="110"/>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评标委员会提出评标书面报告和推荐中标意见报采购人确认后，采购代理机构将在指定的信息发布媒体上发布公告。</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中标公告期限为3个日历日。</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《中标通知书》是合同的一个组成部分，《中标通知书》对采购人和中标人均具有同等法律效力。</w:t>
      </w:r>
    </w:p>
    <w:p>
      <w:pPr>
        <w:pageBreakBefore w:val="0"/>
        <w:widowControl w:val="0"/>
        <w:shd w:val="clear"/>
        <w:tabs>
          <w:tab w:val="left" w:pos="907"/>
        </w:tabs>
        <w:kinsoku/>
        <w:wordWrap/>
        <w:topLinePunct w:val="0"/>
        <w:autoSpaceDE/>
        <w:autoSpaceDN/>
        <w:bidi w:val="0"/>
        <w:adjustRightInd w:val="0"/>
        <w:snapToGrid w:val="0"/>
        <w:jc w:val="both"/>
        <w:rPr>
          <w:rFonts w:hint="eastAsia" w:ascii="宋体" w:hAnsi="宋体" w:eastAsia="宋体" w:cs="宋体"/>
          <w:color w:val="auto"/>
          <w:szCs w:val="21"/>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11" w:name="_Toc11420"/>
      <w:bookmarkStart w:id="112" w:name="_Toc30842"/>
      <w:r>
        <w:rPr>
          <w:rFonts w:hint="eastAsia" w:ascii="宋体" w:hAnsi="宋体" w:eastAsia="宋体" w:cs="宋体"/>
          <w:color w:val="auto"/>
          <w:sz w:val="21"/>
          <w:szCs w:val="21"/>
          <w:highlight w:val="none"/>
        </w:rPr>
        <w:t>资格后审</w:t>
      </w:r>
      <w:bookmarkEnd w:id="111"/>
      <w:bookmarkEnd w:id="112"/>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采购人将有权根据本文件中的要求，对评委会推荐的中标候选人进行资格后审。</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中标候选人须无条件配合资格后审，否则采购人有权取消其中标资格，且投标保证金可不予退还。</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后审须提供包括但不限于营业执照、税务登记证和在投标文件中提供的资质证明文件、业绩等重要证明文件的原件进行核对，综合考察中标人的履约能力。如采购人要求还须提供业绩证明的其他材料,中标候选人须配合提供。如授权其分支机构进行项目实施或提供售后服务的，亦应提供其与分支机构关系的法律证明材料。</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如发现中标候选人以他人名义投标或者以其他方式弄虚作假，骗取中标的，采购人有权取消其中标资格，且投标保证金可不予退还；给采购人造成损失的，应依法承担赔偿责任。</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有权审查中标候选人是否具备履行合同的能力，包括但不限于对其规模、人员、场地、生产能力、供货能力等方面的核实或现场考察。如果审查通过，采购人将把合同授予该中标人；如果审查没有通过，采购人有权取消其中标资格，且投标保证金可不予退还，并依次审查下一名中标候选人是否具备履行合同的能力或重新采购。</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13" w:name="_Toc23451"/>
      <w:bookmarkStart w:id="114" w:name="_Toc27302"/>
      <w:r>
        <w:rPr>
          <w:rFonts w:hint="eastAsia" w:ascii="宋体" w:hAnsi="宋体" w:eastAsia="宋体" w:cs="宋体"/>
          <w:color w:val="auto"/>
          <w:sz w:val="21"/>
          <w:szCs w:val="21"/>
          <w:highlight w:val="none"/>
        </w:rPr>
        <w:t>合同的签订与履行</w:t>
      </w:r>
      <w:bookmarkEnd w:id="113"/>
      <w:bookmarkEnd w:id="114"/>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应当自采购人发出中标通知书之日起30日内，按照采购文件和中标人投标文件的规定，与采购人签订书面合同，否则采购人有权取消其中标资格。所签订的合同不得对采购文件确定的事项和中标人投标文件作实质性修改。在合同签订时，应注意合同中约定的工期开始时间不得早于合同签订时间。</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采购人与中标人应当根据合同的约定依法履行合同义务。</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采购合同的履行、违约责任和解决争议的方法等适用《中华人民共和国民法典》。</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评审结束当天至合同履行结束，若因不可抗力的因素（如国家出台新法律法规等）造成投标人资质的变动，投标人应以纸质版形式通知采购人。若资质变动导致中标人不再具备履行合同资质要求，采购人有权中止合同。</w:t>
      </w:r>
    </w:p>
    <w:p>
      <w:pPr>
        <w:pageBreakBefore w:val="0"/>
        <w:widowControl w:val="0"/>
        <w:shd w:val="clear"/>
        <w:tabs>
          <w:tab w:val="left" w:pos="907"/>
        </w:tabs>
        <w:kinsoku/>
        <w:wordWrap/>
        <w:topLinePunct w:val="0"/>
        <w:autoSpaceDE/>
        <w:autoSpaceDN/>
        <w:bidi w:val="0"/>
        <w:adjustRightInd w:val="0"/>
        <w:snapToGrid w:val="0"/>
        <w:jc w:val="both"/>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15" w:name="_Toc303084277"/>
      <w:bookmarkStart w:id="116" w:name="_Toc382049124"/>
      <w:bookmarkStart w:id="117" w:name="_Toc29009"/>
      <w:bookmarkStart w:id="118" w:name="_Toc24414"/>
      <w:bookmarkStart w:id="119" w:name="_Toc6617"/>
      <w:r>
        <w:rPr>
          <w:rFonts w:hint="eastAsia" w:ascii="宋体" w:hAnsi="宋体" w:eastAsia="宋体" w:cs="宋体"/>
          <w:color w:val="auto"/>
          <w:sz w:val="21"/>
          <w:szCs w:val="21"/>
          <w:highlight w:val="none"/>
        </w:rPr>
        <w:t>履约</w:t>
      </w:r>
      <w:bookmarkEnd w:id="115"/>
      <w:bookmarkEnd w:id="116"/>
      <w:bookmarkEnd w:id="117"/>
      <w:r>
        <w:rPr>
          <w:rFonts w:hint="eastAsia" w:ascii="宋体" w:hAnsi="宋体" w:eastAsia="宋体" w:cs="宋体"/>
          <w:color w:val="auto"/>
          <w:sz w:val="21"/>
          <w:szCs w:val="21"/>
          <w:highlight w:val="none"/>
        </w:rPr>
        <w:t>担保</w:t>
      </w:r>
      <w:bookmarkEnd w:id="118"/>
      <w:bookmarkEnd w:id="119"/>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人在在合同签署时提交履约担保，如果中标人提交的履约保函的有效期先于合同要求的履约保函有效期到达，中标人应在原提交的履约保函有效期满前15天，无条件办理保函延期手续。否则，视中标人违约，采购人可在保函到期前将保函金额转为现金存入履约保证金账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履约担保期限从合同签订之日起至项目完工验收合格并结算完毕后，经双方签字30天内保持有效。</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履约担保可以采用下列任何一种形式：</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（1）履约保函。如果中标人的履约担保是以银行保函形式提供的，则该银行保函应：</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①保函应由银行支行或以上银行机构开具。</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②保函的格式参考投标文件附件中提供的无条件不可撤销履约保函格式，保函担保期内若项目未能按期竣工，保函必须延期，办理延期手续时在银行方面所产生费用由中标人负责。</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③履约保函必须打印，手写、涂改无效。</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（2）履约保证金。可采用电汇、银行汇票等银行转账方式提交，但不可以采用现金方式提交。中标人人必须保证履约保证金以中标人的名称在（合同约定的日期）前提交至采购人指定账户。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采购文件（33.1至33.3）的规定提交履约保证金的，采购人将有权取消中标人的中标资格（采购人可以按照评标委员会提出的中标候选人名单排序依次确定其他中标候选人为中标人，也可以重新采购），投标保证金不予退还，给采购人造成的损失如果超过投标保证金数额的，还应当对超过部分予以赔偿。</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为取得履约担保所需的费用，由中标人承担；若工期延误，履约担保时间延长，延长费用由中标人承担。</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在合同履行过程中出现项目质量事故、工期拖延、欠付工人工资、欠付材料款等情况，采购人在经核查属实后，有权将履约保函金额转为现金存入履约保证金账户；中标人造成采购人损失的，采购人有权立即没收其履约担保，若造成损失超过履约担保的，还应当对超过部分予以赔偿。</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下列任何情况发生时，采购人有权行使享有的担保权利：</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（1）中标人将本项目转让给他人，或者在投标文件中未说明，且未经采购人同意，将中标项目分包给他人的；</w:t>
      </w:r>
    </w:p>
    <w:p>
      <w:pPr>
        <w:keepNext w:val="0"/>
        <w:keepLines w:val="0"/>
        <w:pageBreakBefore w:val="0"/>
        <w:widowControl w:val="0"/>
        <w:shd w:val="clear"/>
        <w:tabs>
          <w:tab w:val="left" w:pos="907"/>
        </w:tabs>
        <w:kinsoku/>
        <w:wordWrap/>
        <w:overflowPunct/>
        <w:topLinePunct w:val="0"/>
        <w:autoSpaceDE/>
        <w:autoSpaceDN/>
        <w:bidi w:val="0"/>
        <w:adjustRightInd w:val="0"/>
        <w:snapToGrid w:val="0"/>
        <w:spacing w:line="360" w:lineRule="auto"/>
        <w:ind w:left="567"/>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（2）中标人在履行采购合同期间，违反有关法律法规的规定及合同约定的条款，损害了采购人的利益。</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在整个项目验收合格后，中标人向采购人提交退回履约担保的申请，采购人办理履约担保退还手续。</w:t>
      </w:r>
    </w:p>
    <w:p>
      <w:pPr>
        <w:pageBreakBefore w:val="0"/>
        <w:widowControl w:val="0"/>
        <w:shd w:val="clear"/>
        <w:tabs>
          <w:tab w:val="left" w:pos="907"/>
        </w:tabs>
        <w:kinsoku/>
        <w:wordWrap/>
        <w:topLinePunct w:val="0"/>
        <w:autoSpaceDE/>
        <w:autoSpaceDN/>
        <w:bidi w:val="0"/>
        <w:adjustRightInd w:val="0"/>
        <w:snapToGrid w:val="0"/>
        <w:jc w:val="both"/>
        <w:rPr>
          <w:rFonts w:hint="eastAsia" w:ascii="宋体" w:hAnsi="宋体" w:eastAsia="宋体" w:cs="宋体"/>
          <w:color w:val="auto"/>
          <w:highlight w:val="none"/>
        </w:rPr>
      </w:pPr>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20" w:name="_Toc18880"/>
      <w:bookmarkStart w:id="121" w:name="_Toc11729"/>
      <w:r>
        <w:rPr>
          <w:rFonts w:hint="eastAsia" w:ascii="宋体" w:hAnsi="宋体" w:eastAsia="宋体" w:cs="宋体"/>
          <w:color w:val="auto"/>
          <w:sz w:val="21"/>
          <w:szCs w:val="21"/>
          <w:highlight w:val="none"/>
        </w:rPr>
        <w:t>预付款保函（适用于预付款支付）</w:t>
      </w:r>
      <w:bookmarkEnd w:id="120"/>
      <w:bookmarkEnd w:id="121"/>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签订合同时，中标人应按本须知规定向采购人提交一份合同预付款等额有效的预付款保函。预付款保函有效期从保函开立之日起至采购人向中标人抵扣完所有预付款之日止。如果中标人提交的预付款保函的有效期先于采购文件要求的预付款保函有效期到达，中标人应在原提交的预付款保函有效期前15日内，无条件办理预付款保函延期手续。否则视为中标人违约，采购人可在预付款保函到期前将未抵扣的预付款转为现金存入采购人账户</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预付款保函应：</w:t>
      </w:r>
    </w:p>
    <w:p>
      <w:pPr>
        <w:pageBreakBefore w:val="0"/>
        <w:widowControl w:val="0"/>
        <w:shd w:val="clear"/>
        <w:tabs>
          <w:tab w:val="left" w:pos="907"/>
        </w:tabs>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（1）由东莞市行政区域内的银行支行及以上银行机构开具。</w:t>
      </w:r>
    </w:p>
    <w:p>
      <w:pPr>
        <w:pageBreakBefore w:val="0"/>
        <w:widowControl w:val="0"/>
        <w:shd w:val="clear"/>
        <w:tabs>
          <w:tab w:val="left" w:pos="907"/>
        </w:tabs>
        <w:kinsoku/>
        <w:wordWrap/>
        <w:topLinePunct w:val="0"/>
        <w:autoSpaceDE/>
        <w:autoSpaceDN/>
        <w:bidi w:val="0"/>
        <w:adjustRightInd w:val="0"/>
        <w:snapToGrid w:val="0"/>
        <w:ind w:left="567"/>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（2）必须打印，手写、涂改无效</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若中标人不能按本须知（34.1至34.2）的规定执行，采购人将不予支付预付款。</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如果中标人提交的预付款保函的有效期先于采购文件要求的预付款保函有效期到达，中标人应在原提交的预付款保函有效期满前15天内，无条件办理预付款保函延期手续。否则视为中标人违约，采购人可在预付款保函到期前将未抵扣的预付款金额转为现金存入采购人账户。</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122" w:name="_Toc20915"/>
      <w:bookmarkStart w:id="123" w:name="_Toc21814"/>
      <w:r>
        <w:rPr>
          <w:rFonts w:hint="eastAsia" w:ascii="宋体" w:hAnsi="宋体" w:eastAsia="宋体" w:cs="宋体"/>
          <w:color w:val="auto"/>
          <w:highlight w:val="none"/>
        </w:rPr>
        <w:t>异议</w:t>
      </w:r>
      <w:bookmarkEnd w:id="122"/>
      <w:bookmarkEnd w:id="123"/>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24" w:name="_Toc9791"/>
      <w:bookmarkStart w:id="125" w:name="_Toc8971"/>
      <w:r>
        <w:rPr>
          <w:rFonts w:hint="eastAsia" w:ascii="宋体" w:hAnsi="宋体" w:eastAsia="宋体" w:cs="宋体"/>
          <w:color w:val="auto"/>
          <w:sz w:val="21"/>
          <w:szCs w:val="21"/>
          <w:highlight w:val="none"/>
        </w:rPr>
        <w:t>异议</w:t>
      </w:r>
      <w:bookmarkEnd w:id="124"/>
      <w:bookmarkEnd w:id="125"/>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采购文件的异议</w:t>
      </w:r>
      <w:r>
        <w:rPr>
          <w:rFonts w:hint="eastAsia" w:ascii="宋体" w:hAnsi="宋体" w:eastAsia="宋体" w:cs="宋体"/>
          <w:color w:val="auto"/>
          <w:szCs w:val="21"/>
          <w:highlight w:val="none"/>
        </w:rPr>
        <w:t xml:space="preserve">  </w:t>
      </w:r>
    </w:p>
    <w:p>
      <w:pPr>
        <w:pageBreakBefore w:val="0"/>
        <w:widowControl w:val="0"/>
        <w:shd w:val="clear"/>
        <w:tabs>
          <w:tab w:val="left" w:pos="907"/>
        </w:tabs>
        <w:kinsoku/>
        <w:wordWrap/>
        <w:topLinePunct w:val="0"/>
        <w:autoSpaceDE/>
        <w:autoSpaceDN/>
        <w:bidi w:val="0"/>
        <w:adjustRightInd w:val="0"/>
        <w:snapToGrid w:val="0"/>
        <w:ind w:firstLine="420" w:firstLineChars="200"/>
        <w:jc w:val="both"/>
        <w:rPr>
          <w:rFonts w:hint="eastAsia" w:ascii="宋体" w:hAnsi="宋体" w:eastAsia="宋体" w:cs="宋体"/>
          <w:color w:val="auto"/>
          <w:szCs w:val="21"/>
          <w:highlight w:val="none"/>
        </w:rPr>
      </w:pPr>
      <w:r>
        <w:rPr>
          <w:rFonts w:hint="eastAsia" w:ascii="宋体" w:hAnsi="宋体" w:eastAsia="宋体" w:cs="宋体"/>
          <w:bCs/>
          <w:color w:val="auto"/>
          <w:kern w:val="2"/>
          <w:szCs w:val="21"/>
          <w:highlight w:val="none"/>
          <w:lang w:val="zh-CN"/>
        </w:rPr>
        <w:t>投标人或者其他利害关系人对采购文件有异议的，应当在投标截止时间10日前</w:t>
      </w:r>
      <w:r>
        <w:rPr>
          <w:rFonts w:hint="eastAsia" w:ascii="宋体" w:hAnsi="宋体" w:eastAsia="宋体" w:cs="宋体"/>
          <w:color w:val="auto"/>
          <w:kern w:val="2"/>
          <w:szCs w:val="21"/>
          <w:highlight w:val="none"/>
          <w:lang w:val="zh-CN"/>
        </w:rPr>
        <w:t>以书面形式向采购代理机构提出，并将材料原件送达采购代理机构，逾期则视为对采购文件所有内容无异议。</w:t>
      </w:r>
      <w:r>
        <w:rPr>
          <w:rFonts w:hint="eastAsia" w:ascii="宋体" w:hAnsi="宋体" w:eastAsia="宋体" w:cs="宋体"/>
          <w:bCs/>
          <w:color w:val="auto"/>
          <w:kern w:val="2"/>
          <w:szCs w:val="21"/>
          <w:highlight w:val="none"/>
          <w:lang w:val="zh-CN"/>
        </w:rPr>
        <w:t>异议</w:t>
      </w:r>
      <w:r>
        <w:rPr>
          <w:rFonts w:hint="eastAsia" w:ascii="宋体" w:hAnsi="宋体" w:eastAsia="宋体" w:cs="宋体"/>
          <w:color w:val="auto"/>
          <w:kern w:val="2"/>
          <w:szCs w:val="21"/>
          <w:highlight w:val="none"/>
          <w:lang w:val="zh-CN"/>
        </w:rPr>
        <w:t>书面材料必须加盖投标人法人公章，并注明联系人、联系电话、联系地址。</w:t>
      </w:r>
      <w:r>
        <w:rPr>
          <w:rFonts w:hint="eastAsia" w:ascii="宋体" w:hAnsi="宋体" w:eastAsia="宋体" w:cs="宋体"/>
          <w:bCs/>
          <w:color w:val="auto"/>
          <w:kern w:val="2"/>
          <w:szCs w:val="21"/>
          <w:highlight w:val="none"/>
          <w:lang w:val="zh-CN"/>
        </w:rPr>
        <w:t>超出</w:t>
      </w:r>
      <w:r>
        <w:rPr>
          <w:rFonts w:hint="eastAsia" w:ascii="宋体" w:hAnsi="宋体" w:eastAsia="宋体" w:cs="宋体"/>
          <w:color w:val="auto"/>
          <w:kern w:val="2"/>
          <w:szCs w:val="21"/>
          <w:highlight w:val="none"/>
          <w:lang w:val="zh-CN"/>
        </w:rPr>
        <w:t>提交接收异议截止时间而</w:t>
      </w:r>
      <w:r>
        <w:rPr>
          <w:rFonts w:hint="eastAsia" w:ascii="宋体" w:hAnsi="宋体" w:eastAsia="宋体" w:cs="宋体"/>
          <w:bCs/>
          <w:color w:val="auto"/>
          <w:kern w:val="2"/>
          <w:szCs w:val="21"/>
          <w:highlight w:val="none"/>
          <w:lang w:val="zh-CN"/>
        </w:rPr>
        <w:t>提出的任何疑问，</w:t>
      </w:r>
      <w:r>
        <w:rPr>
          <w:rFonts w:hint="eastAsia" w:ascii="宋体" w:hAnsi="宋体" w:eastAsia="宋体" w:cs="宋体"/>
          <w:bCs/>
          <w:color w:val="auto"/>
          <w:kern w:val="2"/>
          <w:szCs w:val="21"/>
          <w:highlight w:val="none"/>
        </w:rPr>
        <w:t>采购人或</w:t>
      </w:r>
      <w:r>
        <w:rPr>
          <w:rFonts w:hint="eastAsia" w:ascii="宋体" w:hAnsi="宋体" w:eastAsia="宋体" w:cs="宋体"/>
          <w:bCs/>
          <w:color w:val="auto"/>
          <w:kern w:val="2"/>
          <w:szCs w:val="21"/>
          <w:highlight w:val="none"/>
          <w:lang w:val="zh-CN"/>
        </w:rPr>
        <w:t>采购代理机构可不予答复。</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评标结果异议</w:t>
      </w:r>
      <w:r>
        <w:rPr>
          <w:rFonts w:hint="eastAsia" w:ascii="宋体" w:hAnsi="宋体" w:eastAsia="宋体" w:cs="宋体"/>
          <w:color w:val="auto"/>
          <w:szCs w:val="21"/>
          <w:highlight w:val="none"/>
        </w:rPr>
        <w:t xml:space="preserve">   </w:t>
      </w:r>
    </w:p>
    <w:p>
      <w:pPr>
        <w:pageBreakBefore w:val="0"/>
        <w:widowControl w:val="0"/>
        <w:shd w:val="clear"/>
        <w:tabs>
          <w:tab w:val="left" w:pos="907"/>
        </w:tabs>
        <w:kinsoku/>
        <w:wordWrap/>
        <w:topLinePunct w:val="0"/>
        <w:autoSpaceDE/>
        <w:autoSpaceDN/>
        <w:bidi w:val="0"/>
        <w:adjustRightInd w:val="0"/>
        <w:snapToGrid w:val="0"/>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投标人或者其他利害关系人对评标结果有异议的，应当在中标候选人公示期间向采购代理机构以书面的形式提出，并将完整的异议书面材料原件送达采购代理机构，逾期则视为对评标结果无异议。超出提交异议截止时间而提出的任何疑问，采购代理机构可不予答复。</w:t>
      </w:r>
    </w:p>
    <w:p>
      <w:pPr>
        <w:pageBreakBefore w:val="0"/>
        <w:widowControl w:val="0"/>
        <w:shd w:val="clear"/>
        <w:tabs>
          <w:tab w:val="left" w:pos="907"/>
        </w:tabs>
        <w:kinsoku/>
        <w:wordWrap/>
        <w:topLinePunct w:val="0"/>
        <w:autoSpaceDE/>
        <w:autoSpaceDN/>
        <w:bidi w:val="0"/>
        <w:adjustRightInd w:val="0"/>
        <w:snapToGrid w:val="0"/>
        <w:ind w:firstLine="420" w:firstLineChars="200"/>
        <w:jc w:val="both"/>
        <w:rPr>
          <w:rFonts w:hint="eastAsia" w:ascii="宋体" w:hAnsi="宋体" w:eastAsia="宋体" w:cs="宋体"/>
          <w:color w:val="auto"/>
          <w:kern w:val="2"/>
          <w:szCs w:val="21"/>
          <w:highlight w:val="none"/>
          <w:lang w:val="zh-CN"/>
        </w:rPr>
      </w:pPr>
      <w:r>
        <w:rPr>
          <w:rFonts w:hint="eastAsia" w:ascii="宋体" w:hAnsi="宋体" w:eastAsia="宋体" w:cs="宋体"/>
          <w:color w:val="auto"/>
          <w:kern w:val="2"/>
          <w:szCs w:val="21"/>
          <w:highlight w:val="none"/>
          <w:lang w:val="zh-CN"/>
        </w:rPr>
        <w:t>采购代理机构将拒收未能提供完整异议书面材料的异议，完整的异议书面材料必须同时包含：异议书（加盖法人公章，并注明联系人、联系电话、联系地址）、授权提交异议的法定代表人授权书原件、反映异议人主体资格的营业执照复印件（加盖法人公章）、以及合法来源的证据证明材料。</w:t>
      </w:r>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以联合体形式参加采购活动的，其异议应当由组成联合体的所有投标人共同提出。</w:t>
      </w:r>
    </w:p>
    <w:p>
      <w:pPr>
        <w:pageBreakBefore w:val="0"/>
        <w:shd w:val="clear"/>
        <w:kinsoku/>
        <w:wordWrap/>
        <w:topLinePunct w:val="0"/>
        <w:autoSpaceDE/>
        <w:autoSpaceDN/>
        <w:bidi w:val="0"/>
        <w:adjustRightInd w:val="0"/>
        <w:snapToGrid w:val="0"/>
        <w:rPr>
          <w:rFonts w:hint="eastAsia" w:ascii="宋体" w:hAnsi="宋体" w:eastAsia="宋体" w:cs="宋体"/>
          <w:color w:val="auto"/>
          <w:highlight w:val="none"/>
        </w:rPr>
      </w:pPr>
    </w:p>
    <w:p>
      <w:pPr>
        <w:pStyle w:val="4"/>
        <w:pageBreakBefore w:val="0"/>
        <w:numPr>
          <w:ilvl w:val="0"/>
          <w:numId w:val="3"/>
        </w:numPr>
        <w:shd w:val="clear"/>
        <w:kinsoku/>
        <w:wordWrap/>
        <w:topLinePunct w:val="0"/>
        <w:autoSpaceDE/>
        <w:autoSpaceDN/>
        <w:bidi w:val="0"/>
        <w:adjustRightInd w:val="0"/>
        <w:snapToGrid w:val="0"/>
        <w:spacing w:before="0" w:after="0" w:line="360" w:lineRule="auto"/>
        <w:jc w:val="center"/>
        <w:outlineLvl w:val="1"/>
        <w:rPr>
          <w:rFonts w:hint="eastAsia" w:ascii="宋体" w:hAnsi="宋体" w:eastAsia="宋体" w:cs="宋体"/>
          <w:color w:val="auto"/>
          <w:highlight w:val="none"/>
        </w:rPr>
      </w:pPr>
      <w:bookmarkStart w:id="126" w:name="_Toc30709"/>
      <w:bookmarkStart w:id="127" w:name="_Toc18965"/>
      <w:r>
        <w:rPr>
          <w:rFonts w:hint="eastAsia" w:ascii="宋体" w:hAnsi="宋体" w:eastAsia="宋体" w:cs="宋体"/>
          <w:color w:val="auto"/>
          <w:highlight w:val="none"/>
        </w:rPr>
        <w:t>其他</w:t>
      </w:r>
      <w:bookmarkEnd w:id="126"/>
      <w:bookmarkEnd w:id="127"/>
    </w:p>
    <w:p>
      <w:pPr>
        <w:pStyle w:val="5"/>
        <w:keepNext/>
        <w:keepLines/>
        <w:pageBreakBefore w:val="0"/>
        <w:widowControl w:val="0"/>
        <w:numPr>
          <w:ilvl w:val="0"/>
          <w:numId w:val="4"/>
        </w:numPr>
        <w:shd w:val="clear"/>
        <w:kinsoku/>
        <w:wordWrap/>
        <w:overflowPunct w:val="0"/>
        <w:topLinePunct w:val="0"/>
        <w:autoSpaceDE/>
        <w:autoSpaceDN/>
        <w:bidi w:val="0"/>
        <w:adjustRightInd w:val="0"/>
        <w:snapToGrid w:val="0"/>
        <w:ind w:left="425" w:hanging="425"/>
        <w:textAlignment w:val="auto"/>
        <w:outlineLvl w:val="2"/>
        <w:rPr>
          <w:rFonts w:hint="eastAsia" w:ascii="宋体" w:hAnsi="宋体" w:eastAsia="宋体" w:cs="宋体"/>
          <w:color w:val="auto"/>
          <w:sz w:val="21"/>
          <w:szCs w:val="21"/>
          <w:highlight w:val="none"/>
        </w:rPr>
      </w:pPr>
      <w:bookmarkStart w:id="128" w:name="_Toc24209"/>
      <w:r>
        <w:rPr>
          <w:rFonts w:hint="eastAsia" w:ascii="宋体" w:hAnsi="宋体" w:eastAsia="宋体" w:cs="宋体"/>
          <w:color w:val="auto"/>
          <w:sz w:val="21"/>
          <w:szCs w:val="21"/>
          <w:highlight w:val="none"/>
        </w:rPr>
        <w:t>采购文件的解释权</w:t>
      </w:r>
      <w:bookmarkEnd w:id="128"/>
    </w:p>
    <w:p>
      <w:pPr>
        <w:pageBreakBefore w:val="0"/>
        <w:widowControl w:val="0"/>
        <w:numPr>
          <w:ilvl w:val="1"/>
          <w:numId w:val="4"/>
        </w:numPr>
        <w:shd w:val="clear"/>
        <w:kinsoku/>
        <w:wordWrap/>
        <w:overflowPunct w:val="0"/>
        <w:topLinePunct w:val="0"/>
        <w:autoSpaceDE/>
        <w:autoSpaceDN/>
        <w:bidi w:val="0"/>
        <w:adjustRightInd w:val="0"/>
        <w:snapToGrid w:val="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本采购文件是根据国家有关法律、法规以及采购管理有关规定和参照国际惯例编制，解释权属本采购代理机构。</w:t>
      </w:r>
    </w:p>
    <w:p>
      <w:pPr>
        <w:widowControl w:val="0"/>
        <w:numPr>
          <w:ilvl w:val="1"/>
          <w:numId w:val="9"/>
        </w:numPr>
        <w:shd w:val="clear"/>
        <w:tabs>
          <w:tab w:val="left" w:pos="907"/>
        </w:tabs>
        <w:adjustRightInd/>
        <w:snapToGrid/>
        <w:spacing w:line="360" w:lineRule="exact"/>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2"/>
        <w:shd w:val="clear"/>
        <w:spacing w:before="0" w:after="0" w:line="240" w:lineRule="auto"/>
        <w:outlineLvl w:val="0"/>
        <w:rPr>
          <w:rFonts w:hint="eastAsia" w:ascii="宋体" w:hAnsi="宋体" w:eastAsia="宋体" w:cs="宋体"/>
          <w:color w:val="auto"/>
          <w:sz w:val="28"/>
          <w:szCs w:val="28"/>
          <w:highlight w:val="none"/>
        </w:rPr>
      </w:pPr>
      <w:bookmarkStart w:id="129" w:name="_Toc31267"/>
      <w:r>
        <w:rPr>
          <w:rFonts w:hint="eastAsia" w:ascii="宋体" w:hAnsi="宋体" w:eastAsia="宋体" w:cs="宋体"/>
          <w:color w:val="auto"/>
          <w:sz w:val="28"/>
          <w:szCs w:val="28"/>
          <w:highlight w:val="none"/>
        </w:rPr>
        <w:t>第五部分  合同条款格式</w:t>
      </w:r>
      <w:bookmarkEnd w:id="129"/>
      <w:bookmarkStart w:id="130" w:name="_Toc15636"/>
    </w:p>
    <w:bookmarkEnd w:id="130"/>
    <w:p>
      <w:pPr>
        <w:shd w:val="clear"/>
        <w:wordWrap w:val="0"/>
        <w:spacing w:after="360"/>
        <w:jc w:val="right"/>
        <w:rPr>
          <w:rFonts w:hint="default" w:ascii="华文仿宋" w:hAnsi="华文仿宋" w:eastAsia="华文仿宋"/>
          <w:b w:val="0"/>
          <w:bCs w:val="0"/>
          <w:color w:val="auto"/>
          <w:sz w:val="28"/>
          <w:szCs w:val="28"/>
          <w:highlight w:val="none"/>
          <w:u w:val="none"/>
          <w:lang w:val="en-US" w:eastAsia="zh-CN"/>
        </w:rPr>
      </w:pPr>
      <w:bookmarkStart w:id="131" w:name="_Hlt109815959"/>
      <w:bookmarkEnd w:id="131"/>
      <w:r>
        <w:rPr>
          <w:rFonts w:hint="eastAsia" w:ascii="华文仿宋" w:hAnsi="华文仿宋" w:eastAsia="华文仿宋"/>
          <w:b/>
          <w:bCs/>
          <w:color w:val="auto"/>
          <w:sz w:val="28"/>
          <w:szCs w:val="28"/>
          <w:highlight w:val="none"/>
          <w:lang w:val="en-US" w:eastAsia="zh-CN"/>
        </w:rPr>
        <w:t xml:space="preserve"> </w:t>
      </w:r>
      <w:r>
        <w:rPr>
          <w:rFonts w:hint="eastAsia" w:ascii="华文仿宋" w:hAnsi="华文仿宋" w:eastAsia="华文仿宋"/>
          <w:b w:val="0"/>
          <w:bCs w:val="0"/>
          <w:color w:val="auto"/>
          <w:sz w:val="28"/>
          <w:szCs w:val="28"/>
          <w:highlight w:val="none"/>
        </w:rPr>
        <w:t>合同编号：</w:t>
      </w:r>
      <w:r>
        <w:rPr>
          <w:rFonts w:hint="eastAsia" w:ascii="华文仿宋" w:hAnsi="华文仿宋" w:eastAsia="华文仿宋"/>
          <w:b w:val="0"/>
          <w:bCs w:val="0"/>
          <w:color w:val="auto"/>
          <w:sz w:val="28"/>
          <w:szCs w:val="28"/>
          <w:highlight w:val="none"/>
          <w:u w:val="single"/>
        </w:rPr>
        <w:t xml:space="preserve"> </w:t>
      </w:r>
      <w:r>
        <w:rPr>
          <w:rFonts w:hint="eastAsia" w:ascii="华文仿宋" w:hAnsi="华文仿宋" w:eastAsia="华文仿宋"/>
          <w:b w:val="0"/>
          <w:bCs w:val="0"/>
          <w:color w:val="auto"/>
          <w:sz w:val="28"/>
          <w:szCs w:val="28"/>
          <w:highlight w:val="none"/>
          <w:u w:val="single"/>
          <w:lang w:val="en-US" w:eastAsia="zh-CN"/>
        </w:rPr>
        <w:t xml:space="preserve">           </w:t>
      </w:r>
      <w:r>
        <w:rPr>
          <w:rFonts w:hint="eastAsia" w:ascii="华文仿宋" w:hAnsi="华文仿宋" w:eastAsia="华文仿宋"/>
          <w:b w:val="0"/>
          <w:bCs w:val="0"/>
          <w:color w:val="auto"/>
          <w:sz w:val="28"/>
          <w:szCs w:val="28"/>
          <w:highlight w:val="none"/>
          <w:u w:val="single"/>
        </w:rPr>
        <w:t xml:space="preserve"> </w:t>
      </w:r>
      <w:r>
        <w:rPr>
          <w:rFonts w:hint="eastAsia" w:ascii="华文仿宋" w:hAnsi="华文仿宋" w:eastAsia="华文仿宋"/>
          <w:b w:val="0"/>
          <w:bCs w:val="0"/>
          <w:color w:val="auto"/>
          <w:sz w:val="28"/>
          <w:szCs w:val="28"/>
          <w:highlight w:val="none"/>
          <w:u w:val="single"/>
          <w:lang w:val="en-US" w:eastAsia="zh-CN"/>
        </w:rPr>
        <w:t xml:space="preserve"> </w:t>
      </w:r>
      <w:r>
        <w:rPr>
          <w:rFonts w:hint="eastAsia" w:ascii="华文仿宋" w:hAnsi="华文仿宋" w:eastAsia="华文仿宋"/>
          <w:b w:val="0"/>
          <w:bCs w:val="0"/>
          <w:color w:val="auto"/>
          <w:sz w:val="28"/>
          <w:szCs w:val="28"/>
          <w:highlight w:val="none"/>
          <w:u w:val="none"/>
          <w:lang w:val="en-US" w:eastAsia="zh-CN"/>
        </w:rPr>
        <w:t xml:space="preserve">  </w:t>
      </w:r>
    </w:p>
    <w:p>
      <w:pPr>
        <w:shd w:val="clear"/>
        <w:spacing w:after="360"/>
        <w:jc w:val="center"/>
        <w:rPr>
          <w:rFonts w:hint="eastAsia" w:ascii="华文仿宋" w:hAnsi="华文仿宋" w:eastAsia="华文仿宋"/>
          <w:b/>
          <w:bCs/>
          <w:color w:val="auto"/>
          <w:sz w:val="36"/>
          <w:szCs w:val="36"/>
          <w:highlight w:val="none"/>
          <w:lang w:val="en-US" w:eastAsia="zh-CN"/>
        </w:rPr>
      </w:pPr>
    </w:p>
    <w:p>
      <w:pPr>
        <w:shd w:val="clear"/>
        <w:spacing w:after="360"/>
        <w:jc w:val="center"/>
        <w:rPr>
          <w:rFonts w:hint="eastAsia" w:ascii="华文仿宋" w:hAnsi="华文仿宋" w:eastAsia="华文仿宋"/>
          <w:b/>
          <w:bCs/>
          <w:color w:val="auto"/>
          <w:sz w:val="36"/>
          <w:szCs w:val="36"/>
          <w:highlight w:val="none"/>
          <w:lang w:val="en-US" w:eastAsia="zh-CN"/>
        </w:rPr>
      </w:pPr>
    </w:p>
    <w:p>
      <w:pPr>
        <w:shd w:val="clear"/>
        <w:spacing w:after="360"/>
        <w:jc w:val="center"/>
        <w:rPr>
          <w:rFonts w:hint="eastAsia" w:ascii="华文仿宋" w:hAnsi="华文仿宋" w:eastAsia="华文仿宋"/>
          <w:b/>
          <w:bCs/>
          <w:color w:val="auto"/>
          <w:sz w:val="40"/>
          <w:szCs w:val="40"/>
          <w:highlight w:val="none"/>
        </w:rPr>
      </w:pPr>
      <w:r>
        <w:rPr>
          <w:rFonts w:hint="eastAsia" w:ascii="华文仿宋" w:hAnsi="华文仿宋" w:eastAsia="华文仿宋"/>
          <w:b/>
          <w:bCs/>
          <w:color w:val="auto"/>
          <w:sz w:val="40"/>
          <w:szCs w:val="40"/>
          <w:highlight w:val="none"/>
        </w:rPr>
        <w:t>东莞市旗山投资发展有限公司第三方专业评估服务合同</w:t>
      </w:r>
    </w:p>
    <w:p>
      <w:pPr>
        <w:shd w:val="clear"/>
        <w:spacing w:after="360"/>
        <w:jc w:val="center"/>
        <w:rPr>
          <w:rFonts w:hint="eastAsia" w:ascii="华文仿宋" w:hAnsi="华文仿宋" w:eastAsia="华文仿宋"/>
          <w:b/>
          <w:bCs/>
          <w:color w:val="auto"/>
          <w:sz w:val="36"/>
          <w:szCs w:val="36"/>
          <w:highlight w:val="none"/>
        </w:rPr>
      </w:pPr>
    </w:p>
    <w:p>
      <w:pPr>
        <w:shd w:val="clear"/>
        <w:ind w:firstLine="1920" w:firstLineChars="600"/>
        <w:jc w:val="left"/>
        <w:rPr>
          <w:rFonts w:hint="eastAsia" w:asciiTheme="majorEastAsia" w:hAnsiTheme="majorEastAsia" w:eastAsiaTheme="majorEastAsia" w:cstheme="majorEastAsia"/>
          <w:b w:val="0"/>
          <w:bCs/>
          <w:color w:val="auto"/>
          <w:sz w:val="32"/>
          <w:szCs w:val="32"/>
          <w:highlight w:val="none"/>
          <w:u w:val="single"/>
          <w:lang w:eastAsia="zh-CN"/>
        </w:rPr>
      </w:pPr>
      <w:r>
        <w:rPr>
          <w:rFonts w:hint="eastAsia" w:asciiTheme="majorEastAsia" w:hAnsiTheme="majorEastAsia" w:eastAsiaTheme="majorEastAsia" w:cstheme="majorEastAsia"/>
          <w:b w:val="0"/>
          <w:bCs/>
          <w:color w:val="auto"/>
          <w:sz w:val="32"/>
          <w:szCs w:val="32"/>
          <w:highlight w:val="none"/>
          <w:lang w:val="en-US" w:eastAsia="zh-CN"/>
        </w:rPr>
        <w:t>发包人</w:t>
      </w:r>
      <w:r>
        <w:rPr>
          <w:rFonts w:hint="eastAsia" w:asciiTheme="majorEastAsia" w:hAnsiTheme="majorEastAsia" w:eastAsiaTheme="majorEastAsia" w:cstheme="majorEastAsia"/>
          <w:b w:val="0"/>
          <w:bCs/>
          <w:color w:val="auto"/>
          <w:sz w:val="32"/>
          <w:szCs w:val="32"/>
          <w:highlight w:val="none"/>
        </w:rPr>
        <w:t>：</w:t>
      </w:r>
      <w:r>
        <w:rPr>
          <w:rFonts w:hint="eastAsia" w:asciiTheme="majorEastAsia" w:hAnsiTheme="majorEastAsia" w:eastAsiaTheme="majorEastAsia" w:cstheme="majorEastAsia"/>
          <w:b w:val="0"/>
          <w:bCs/>
          <w:color w:val="auto"/>
          <w:sz w:val="32"/>
          <w:szCs w:val="32"/>
          <w:highlight w:val="none"/>
          <w:u w:val="single"/>
          <w:lang w:val="en-US" w:eastAsia="zh-CN"/>
        </w:rPr>
        <w:t xml:space="preserve">                             </w:t>
      </w:r>
    </w:p>
    <w:p>
      <w:pPr>
        <w:shd w:val="clear"/>
        <w:jc w:val="left"/>
        <w:rPr>
          <w:rFonts w:hint="eastAsia" w:asciiTheme="majorEastAsia" w:hAnsiTheme="majorEastAsia" w:eastAsiaTheme="majorEastAsia" w:cstheme="majorEastAsia"/>
          <w:b w:val="0"/>
          <w:bCs/>
          <w:color w:val="auto"/>
          <w:sz w:val="32"/>
          <w:szCs w:val="32"/>
          <w:highlight w:val="none"/>
        </w:rPr>
      </w:pPr>
      <w:r>
        <w:rPr>
          <w:rFonts w:hint="eastAsia" w:asciiTheme="majorEastAsia" w:hAnsiTheme="majorEastAsia" w:eastAsiaTheme="majorEastAsia" w:cstheme="majorEastAsia"/>
          <w:b w:val="0"/>
          <w:bCs/>
          <w:color w:val="auto"/>
          <w:sz w:val="32"/>
          <w:szCs w:val="32"/>
          <w:highlight w:val="none"/>
        </w:rPr>
        <w:t xml:space="preserve">   </w:t>
      </w:r>
    </w:p>
    <w:p>
      <w:pPr>
        <w:shd w:val="clear"/>
        <w:ind w:firstLine="1920" w:firstLineChars="600"/>
        <w:jc w:val="left"/>
        <w:rPr>
          <w:rFonts w:hint="default" w:asciiTheme="majorEastAsia" w:hAnsiTheme="majorEastAsia" w:eastAsiaTheme="majorEastAsia" w:cstheme="majorEastAsia"/>
          <w:b w:val="0"/>
          <w:bCs/>
          <w:color w:val="auto"/>
          <w:sz w:val="32"/>
          <w:szCs w:val="32"/>
          <w:highlight w:val="none"/>
          <w:u w:val="single"/>
          <w:lang w:val="en-US" w:eastAsia="zh-CN"/>
        </w:rPr>
      </w:pPr>
      <w:r>
        <w:rPr>
          <w:rFonts w:hint="eastAsia" w:asciiTheme="majorEastAsia" w:hAnsiTheme="majorEastAsia" w:eastAsiaTheme="majorEastAsia" w:cstheme="majorEastAsia"/>
          <w:b w:val="0"/>
          <w:bCs/>
          <w:color w:val="auto"/>
          <w:sz w:val="32"/>
          <w:szCs w:val="32"/>
          <w:highlight w:val="none"/>
          <w:lang w:val="en-US" w:eastAsia="zh-CN"/>
        </w:rPr>
        <w:t>承包人</w:t>
      </w:r>
      <w:r>
        <w:rPr>
          <w:rFonts w:hint="eastAsia" w:asciiTheme="majorEastAsia" w:hAnsiTheme="majorEastAsia" w:eastAsiaTheme="majorEastAsia" w:cstheme="majorEastAsia"/>
          <w:b w:val="0"/>
          <w:bCs/>
          <w:color w:val="auto"/>
          <w:sz w:val="32"/>
          <w:szCs w:val="32"/>
          <w:highlight w:val="none"/>
        </w:rPr>
        <w:t>：</w:t>
      </w:r>
      <w:r>
        <w:rPr>
          <w:rFonts w:hint="eastAsia" w:asciiTheme="majorEastAsia" w:hAnsiTheme="majorEastAsia" w:eastAsiaTheme="majorEastAsia" w:cstheme="majorEastAsia"/>
          <w:b w:val="0"/>
          <w:bCs/>
          <w:color w:val="auto"/>
          <w:sz w:val="32"/>
          <w:szCs w:val="32"/>
          <w:highlight w:val="none"/>
          <w:u w:val="single"/>
          <w:lang w:val="en-US" w:eastAsia="zh-CN"/>
        </w:rPr>
        <w:t xml:space="preserve">                             </w:t>
      </w:r>
    </w:p>
    <w:p>
      <w:pPr>
        <w:shd w:val="clear"/>
        <w:spacing w:after="360"/>
        <w:jc w:val="both"/>
        <w:rPr>
          <w:rFonts w:hint="eastAsia" w:ascii="华文仿宋" w:hAnsi="华文仿宋" w:eastAsia="华文仿宋"/>
          <w:b/>
          <w:bCs/>
          <w:color w:val="auto"/>
          <w:sz w:val="36"/>
          <w:szCs w:val="36"/>
          <w:highlight w:val="none"/>
        </w:rPr>
      </w:pPr>
    </w:p>
    <w:p>
      <w:pPr>
        <w:shd w:val="clear"/>
        <w:spacing w:after="360"/>
        <w:jc w:val="both"/>
        <w:rPr>
          <w:rFonts w:hint="eastAsia" w:ascii="华文仿宋" w:hAnsi="华文仿宋" w:eastAsia="华文仿宋"/>
          <w:b/>
          <w:bCs/>
          <w:color w:val="auto"/>
          <w:sz w:val="36"/>
          <w:szCs w:val="36"/>
          <w:highlight w:val="none"/>
        </w:rPr>
      </w:pPr>
    </w:p>
    <w:p>
      <w:pPr>
        <w:shd w:val="clear"/>
        <w:spacing w:after="360"/>
        <w:jc w:val="both"/>
        <w:rPr>
          <w:rFonts w:hint="eastAsia" w:ascii="华文仿宋" w:hAnsi="华文仿宋" w:eastAsia="华文仿宋"/>
          <w:b/>
          <w:bCs/>
          <w:color w:val="auto"/>
          <w:sz w:val="36"/>
          <w:szCs w:val="36"/>
          <w:highlight w:val="none"/>
        </w:rPr>
      </w:pPr>
    </w:p>
    <w:p>
      <w:pPr>
        <w:shd w:val="clear"/>
        <w:jc w:val="center"/>
        <w:rPr>
          <w:rFonts w:hint="eastAsia" w:eastAsia="黑体"/>
          <w:b/>
          <w:color w:val="auto"/>
          <w:sz w:val="28"/>
          <w:szCs w:val="28"/>
          <w:highlight w:val="none"/>
          <w:lang w:eastAsia="zh-CN"/>
        </w:rPr>
      </w:pPr>
      <w:r>
        <w:rPr>
          <w:rFonts w:hint="eastAsia" w:eastAsia="黑体"/>
          <w:b/>
          <w:color w:val="auto"/>
          <w:sz w:val="28"/>
          <w:szCs w:val="28"/>
          <w:highlight w:val="none"/>
          <w:lang w:eastAsia="zh-CN"/>
        </w:rPr>
        <w:t>2026年</w:t>
      </w:r>
      <w:r>
        <w:rPr>
          <w:rFonts w:hint="eastAsia"/>
          <w:b/>
          <w:color w:val="auto"/>
          <w:sz w:val="28"/>
          <w:szCs w:val="28"/>
          <w:highlight w:val="none"/>
          <w:lang w:val="en-US" w:eastAsia="zh-CN"/>
        </w:rPr>
        <w:t xml:space="preserve">  </w:t>
      </w:r>
      <w:r>
        <w:rPr>
          <w:rFonts w:hint="eastAsia" w:eastAsia="黑体"/>
          <w:b/>
          <w:color w:val="auto"/>
          <w:sz w:val="28"/>
          <w:szCs w:val="28"/>
          <w:highlight w:val="none"/>
          <w:lang w:eastAsia="zh-CN"/>
        </w:rPr>
        <w:t>月</w:t>
      </w:r>
      <w:r>
        <w:rPr>
          <w:rFonts w:hint="eastAsia"/>
          <w:b/>
          <w:color w:val="auto"/>
          <w:sz w:val="28"/>
          <w:szCs w:val="28"/>
          <w:highlight w:val="none"/>
          <w:lang w:val="en-US" w:eastAsia="zh-CN"/>
        </w:rPr>
        <w:t xml:space="preserve">  </w:t>
      </w:r>
      <w:r>
        <w:rPr>
          <w:rFonts w:hint="eastAsia" w:eastAsia="黑体"/>
          <w:b/>
          <w:color w:val="auto"/>
          <w:sz w:val="28"/>
          <w:szCs w:val="28"/>
          <w:highlight w:val="none"/>
          <w:lang w:eastAsia="zh-CN"/>
        </w:rPr>
        <w:t>日</w:t>
      </w:r>
    </w:p>
    <w:p>
      <w:pPr>
        <w:shd w:val="clear"/>
        <w:spacing w:line="240" w:lineRule="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br w:type="page"/>
      </w:r>
    </w:p>
    <w:p>
      <w:pPr>
        <w:keepNext w:val="0"/>
        <w:keepLines w:val="0"/>
        <w:widowControl/>
        <w:suppressLineNumbers w:val="0"/>
        <w:shd w:val="clear"/>
        <w:jc w:val="center"/>
        <w:rPr>
          <w:rFonts w:ascii="黑体" w:hAnsi="宋体" w:eastAsia="黑体" w:cs="黑体"/>
          <w:color w:val="auto"/>
          <w:kern w:val="0"/>
          <w:sz w:val="31"/>
          <w:szCs w:val="31"/>
          <w:highlight w:val="none"/>
          <w:lang w:val="en-US" w:eastAsia="zh-CN" w:bidi="ar"/>
        </w:rPr>
      </w:pPr>
    </w:p>
    <w:p>
      <w:pPr>
        <w:keepNext w:val="0"/>
        <w:keepLines w:val="0"/>
        <w:widowControl/>
        <w:suppressLineNumbers w:val="0"/>
        <w:shd w:val="clear"/>
        <w:jc w:val="center"/>
        <w:rPr>
          <w:rFonts w:ascii="黑体" w:hAnsi="宋体" w:eastAsia="黑体" w:cs="黑体"/>
          <w:color w:val="auto"/>
          <w:kern w:val="0"/>
          <w:sz w:val="31"/>
          <w:szCs w:val="31"/>
          <w:highlight w:val="none"/>
          <w:lang w:val="en-US" w:eastAsia="zh-CN" w:bidi="ar"/>
        </w:rPr>
      </w:pPr>
    </w:p>
    <w:p>
      <w:pPr>
        <w:keepNext w:val="0"/>
        <w:keepLines w:val="0"/>
        <w:widowControl/>
        <w:suppressLineNumbers w:val="0"/>
        <w:shd w:val="clear"/>
        <w:jc w:val="center"/>
        <w:rPr>
          <w:rFonts w:ascii="黑体" w:hAnsi="宋体" w:eastAsia="黑体" w:cs="黑体"/>
          <w:color w:val="auto"/>
          <w:kern w:val="0"/>
          <w:sz w:val="31"/>
          <w:szCs w:val="31"/>
          <w:highlight w:val="none"/>
          <w:lang w:val="en-US" w:eastAsia="zh-CN" w:bidi="ar"/>
        </w:rPr>
      </w:pPr>
      <w:r>
        <w:rPr>
          <w:rFonts w:ascii="黑体" w:hAnsi="宋体" w:eastAsia="黑体" w:cs="黑体"/>
          <w:color w:val="auto"/>
          <w:kern w:val="0"/>
          <w:sz w:val="31"/>
          <w:szCs w:val="31"/>
          <w:highlight w:val="none"/>
          <w:lang w:val="en-US" w:eastAsia="zh-CN" w:bidi="ar"/>
        </w:rPr>
        <w:t>使用说明</w:t>
      </w:r>
    </w:p>
    <w:p>
      <w:pPr>
        <w:pStyle w:val="24"/>
        <w:shd w:val="clear"/>
        <w:rPr>
          <w:color w:val="auto"/>
          <w:highlight w:val="none"/>
        </w:rPr>
      </w:pPr>
    </w:p>
    <w:p>
      <w:pPr>
        <w:keepNext w:val="0"/>
        <w:keepLines w:val="0"/>
        <w:pageBreakBefore w:val="0"/>
        <w:widowControl/>
        <w:suppressLineNumbers w:val="0"/>
        <w:shd w:val="clear"/>
        <w:kinsoku/>
        <w:wordWrap/>
        <w:overflowPunct/>
        <w:topLinePunct w:val="0"/>
        <w:autoSpaceDE/>
        <w:autoSpaceDN/>
        <w:bidi w:val="0"/>
        <w:adjustRightInd/>
        <w:snapToGrid/>
        <w:ind w:firstLine="560" w:firstLineChars="200"/>
        <w:jc w:val="left"/>
        <w:textAlignment w:val="auto"/>
        <w:rPr>
          <w:color w:val="auto"/>
          <w:sz w:val="28"/>
          <w:szCs w:val="28"/>
          <w:highlight w:val="none"/>
        </w:rPr>
      </w:pPr>
      <w:r>
        <w:rPr>
          <w:rFonts w:ascii="仿宋" w:hAnsi="仿宋" w:eastAsia="仿宋" w:cs="仿宋"/>
          <w:color w:val="auto"/>
          <w:kern w:val="0"/>
          <w:sz w:val="28"/>
          <w:szCs w:val="28"/>
          <w:highlight w:val="none"/>
          <w:lang w:val="en-US" w:eastAsia="zh-CN" w:bidi="ar"/>
        </w:rPr>
        <w:t>一、本合同文本为示范文本，供</w:t>
      </w:r>
      <w:r>
        <w:rPr>
          <w:rFonts w:hint="eastAsia" w:ascii="仿宋" w:hAnsi="仿宋" w:eastAsia="仿宋" w:cs="仿宋"/>
          <w:color w:val="auto"/>
          <w:kern w:val="0"/>
          <w:sz w:val="28"/>
          <w:szCs w:val="28"/>
          <w:highlight w:val="none"/>
          <w:lang w:val="en-US" w:eastAsia="zh-CN" w:bidi="ar"/>
        </w:rPr>
        <w:t>甲乙双方签订合同时</w:t>
      </w:r>
      <w:r>
        <w:rPr>
          <w:rFonts w:ascii="仿宋" w:hAnsi="仿宋" w:eastAsia="仿宋" w:cs="仿宋"/>
          <w:color w:val="auto"/>
          <w:kern w:val="0"/>
          <w:sz w:val="28"/>
          <w:szCs w:val="28"/>
          <w:highlight w:val="none"/>
          <w:lang w:val="en-US" w:eastAsia="zh-CN" w:bidi="ar"/>
        </w:rPr>
        <w:t>参照</w:t>
      </w:r>
      <w:r>
        <w:rPr>
          <w:rFonts w:hint="eastAsia" w:ascii="仿宋" w:hAnsi="仿宋" w:eastAsia="仿宋" w:cs="仿宋"/>
          <w:color w:val="auto"/>
          <w:kern w:val="0"/>
          <w:sz w:val="28"/>
          <w:szCs w:val="28"/>
          <w:highlight w:val="none"/>
          <w:lang w:val="en-US" w:eastAsia="zh-CN" w:bidi="ar"/>
        </w:rPr>
        <w:t xml:space="preserve">使用。 </w:t>
      </w:r>
    </w:p>
    <w:p>
      <w:pPr>
        <w:keepNext w:val="0"/>
        <w:keepLines w:val="0"/>
        <w:pageBreakBefore w:val="0"/>
        <w:widowControl/>
        <w:suppressLineNumbers w:val="0"/>
        <w:shd w:val="clear"/>
        <w:kinsoku/>
        <w:wordWrap/>
        <w:overflowPunct/>
        <w:topLinePunct w:val="0"/>
        <w:autoSpaceDE/>
        <w:autoSpaceDN/>
        <w:bidi w:val="0"/>
        <w:adjustRightInd/>
        <w:snapToGrid/>
        <w:ind w:firstLine="560" w:firstLineChars="200"/>
        <w:jc w:val="left"/>
        <w:textAlignment w:val="auto"/>
        <w:rPr>
          <w:color w:val="auto"/>
          <w:sz w:val="28"/>
          <w:szCs w:val="28"/>
          <w:highlight w:val="none"/>
        </w:rPr>
      </w:pPr>
      <w:r>
        <w:rPr>
          <w:rFonts w:hint="eastAsia" w:ascii="仿宋" w:hAnsi="仿宋" w:eastAsia="仿宋" w:cs="仿宋"/>
          <w:color w:val="auto"/>
          <w:kern w:val="0"/>
          <w:sz w:val="28"/>
          <w:szCs w:val="28"/>
          <w:highlight w:val="none"/>
          <w:lang w:val="en-US" w:eastAsia="zh-CN" w:bidi="ar"/>
        </w:rPr>
        <w:t xml:space="preserve">二、双方当事人在签约之前应当仔细阅读本合同文本全部内容，结合具体情况确定具有选择性、补充性、填充性、修改性的内容，内容以手写项为优先，并承担合同订立、履行所产生的法律后果。 </w:t>
      </w:r>
    </w:p>
    <w:p>
      <w:pPr>
        <w:keepNext w:val="0"/>
        <w:keepLines w:val="0"/>
        <w:pageBreakBefore w:val="0"/>
        <w:widowControl/>
        <w:suppressLineNumbers w:val="0"/>
        <w:shd w:val="clear"/>
        <w:kinsoku/>
        <w:wordWrap/>
        <w:overflowPunct/>
        <w:topLinePunct w:val="0"/>
        <w:autoSpaceDE/>
        <w:autoSpaceDN/>
        <w:bidi w:val="0"/>
        <w:adjustRightInd/>
        <w:snapToGrid/>
        <w:ind w:firstLine="560" w:firstLineChars="200"/>
        <w:jc w:val="left"/>
        <w:textAlignment w:val="auto"/>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三、本合同文本的相关条款中留有空白位置，供当事人自行约定或者补充约定。双方当事人可以选择文本条款中所提供的选择项，同意的在选择项前的□打√，不同意的打×。</w:t>
      </w:r>
    </w:p>
    <w:p>
      <w:pPr>
        <w:keepNext w:val="0"/>
        <w:keepLines w:val="0"/>
        <w:pageBreakBefore w:val="0"/>
        <w:widowControl/>
        <w:suppressLineNumbers w:val="0"/>
        <w:shd w:val="clear"/>
        <w:kinsoku/>
        <w:wordWrap/>
        <w:overflowPunct/>
        <w:topLinePunct w:val="0"/>
        <w:autoSpaceDE/>
        <w:autoSpaceDN/>
        <w:bidi w:val="0"/>
        <w:adjustRightInd/>
        <w:snapToGrid/>
        <w:ind w:firstLine="560" w:firstLineChars="200"/>
        <w:jc w:val="left"/>
        <w:textAlignment w:val="auto"/>
        <w:rPr>
          <w:color w:val="auto"/>
          <w:sz w:val="28"/>
          <w:szCs w:val="28"/>
          <w:highlight w:val="none"/>
        </w:rPr>
      </w:pPr>
      <w:r>
        <w:rPr>
          <w:rFonts w:hint="eastAsia" w:ascii="仿宋" w:hAnsi="仿宋" w:eastAsia="仿宋" w:cs="仿宋"/>
          <w:color w:val="auto"/>
          <w:kern w:val="0"/>
          <w:sz w:val="28"/>
          <w:szCs w:val="28"/>
          <w:highlight w:val="none"/>
          <w:lang w:val="en-US" w:eastAsia="zh-CN" w:bidi="ar"/>
        </w:rPr>
        <w:t>四、本合同内容不属于格式条款，双方当事人可以对文本条款的内容进行修改、增补或者删减，但不得违反法律、行政法规的强制性规定，不得违背公序良俗。</w:t>
      </w:r>
    </w:p>
    <w:p>
      <w:pPr>
        <w:keepNext w:val="0"/>
        <w:keepLines w:val="0"/>
        <w:pageBreakBefore w:val="0"/>
        <w:shd w:val="clear"/>
        <w:kinsoku/>
        <w:wordWrap/>
        <w:overflowPunct/>
        <w:topLinePunct w:val="0"/>
        <w:autoSpaceDE/>
        <w:autoSpaceDN/>
        <w:bidi w:val="0"/>
        <w:adjustRightInd/>
        <w:snapToGrid/>
        <w:ind w:firstLine="562" w:firstLineChars="200"/>
        <w:jc w:val="center"/>
        <w:textAlignment w:val="auto"/>
        <w:rPr>
          <w:rFonts w:hint="eastAsia" w:ascii="华文仿宋" w:hAnsi="华文仿宋" w:eastAsia="华文仿宋"/>
          <w:b/>
          <w:bCs/>
          <w:color w:val="auto"/>
          <w:sz w:val="28"/>
          <w:szCs w:val="28"/>
          <w:highlight w:val="none"/>
        </w:rPr>
        <w:sectPr>
          <w:footerReference r:id="rId8" w:type="first"/>
          <w:footerReference r:id="rId7" w:type="default"/>
          <w:pgSz w:w="11906" w:h="16838"/>
          <w:pgMar w:top="1588" w:right="1588" w:bottom="1588" w:left="1588" w:header="851" w:footer="992" w:gutter="0"/>
          <w:pgNumType w:fmt="decimal" w:start="2"/>
          <w:cols w:space="720" w:num="1"/>
          <w:titlePg/>
          <w:docGrid w:type="lines" w:linePitch="312" w:charSpace="0"/>
        </w:sectPr>
      </w:pPr>
    </w:p>
    <w:p>
      <w:pPr>
        <w:shd w:val="clear"/>
        <w:spacing w:after="360"/>
        <w:jc w:val="center"/>
        <w:rPr>
          <w:rFonts w:hint="eastAsia" w:ascii="华文仿宋" w:hAnsi="华文仿宋" w:eastAsia="华文仿宋"/>
          <w:color w:val="auto"/>
          <w:sz w:val="24"/>
          <w:szCs w:val="24"/>
          <w:highlight w:val="none"/>
        </w:rPr>
      </w:pPr>
      <w:r>
        <w:rPr>
          <w:rFonts w:hint="eastAsia" w:ascii="华文仿宋" w:hAnsi="华文仿宋" w:eastAsia="华文仿宋" w:cs="黑体"/>
          <w:b/>
          <w:bCs/>
          <w:color w:val="auto"/>
          <w:sz w:val="40"/>
          <w:szCs w:val="40"/>
          <w:highlight w:val="none"/>
          <w:lang w:val="en-US" w:eastAsia="zh-CN"/>
        </w:rPr>
        <w:t>技术服务（咨询）</w:t>
      </w:r>
      <w:r>
        <w:rPr>
          <w:rFonts w:hint="eastAsia" w:ascii="华文仿宋" w:hAnsi="华文仿宋" w:eastAsia="华文仿宋" w:cs="黑体"/>
          <w:b/>
          <w:bCs/>
          <w:color w:val="auto"/>
          <w:sz w:val="40"/>
          <w:szCs w:val="40"/>
          <w:highlight w:val="none"/>
        </w:rPr>
        <w:t>合同</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ascii="仿宋" w:hAnsi="仿宋" w:eastAsia="仿宋" w:cs="仿宋_GB2312"/>
          <w:b/>
          <w:bCs w:val="0"/>
          <w:color w:val="auto"/>
          <w:kern w:val="0"/>
          <w:sz w:val="28"/>
          <w:szCs w:val="28"/>
          <w:highlight w:val="none"/>
        </w:rPr>
      </w:pPr>
      <w:r>
        <w:rPr>
          <w:rFonts w:hint="eastAsia" w:ascii="仿宋" w:hAnsi="仿宋" w:eastAsia="仿宋" w:cs="仿宋_GB2312"/>
          <w:b/>
          <w:bCs w:val="0"/>
          <w:color w:val="auto"/>
          <w:sz w:val="28"/>
          <w:szCs w:val="28"/>
          <w:highlight w:val="none"/>
          <w:lang w:eastAsia="zh-CN"/>
        </w:rPr>
        <w:t>发包人</w:t>
      </w:r>
      <w:r>
        <w:rPr>
          <w:rFonts w:hint="eastAsia" w:ascii="仿宋" w:hAnsi="仿宋" w:eastAsia="仿宋" w:cs="仿宋_GB2312"/>
          <w:b/>
          <w:bCs w:val="0"/>
          <w:color w:val="auto"/>
          <w:sz w:val="28"/>
          <w:szCs w:val="28"/>
          <w:highlight w:val="none"/>
        </w:rPr>
        <w:t>：</w:t>
      </w:r>
      <w:r>
        <w:rPr>
          <w:rFonts w:hint="eastAsia" w:ascii="仿宋" w:hAnsi="仿宋" w:eastAsia="仿宋" w:cs="仿宋_GB2312"/>
          <w:b/>
          <w:bCs w:val="0"/>
          <w:color w:val="auto"/>
          <w:sz w:val="28"/>
          <w:szCs w:val="28"/>
          <w:highlight w:val="none"/>
          <w:lang w:val="en-US" w:eastAsia="zh-CN"/>
        </w:rPr>
        <w:t xml:space="preserve"> </w:t>
      </w:r>
      <w:r>
        <w:rPr>
          <w:rFonts w:hint="eastAsia" w:ascii="仿宋" w:hAnsi="仿宋" w:eastAsia="仿宋" w:cs="仿宋_GB2312"/>
          <w:b/>
          <w:bCs w:val="0"/>
          <w:color w:val="auto"/>
          <w:kern w:val="0"/>
          <w:sz w:val="28"/>
          <w:szCs w:val="28"/>
          <w:highlight w:val="none"/>
        </w:rPr>
        <w:t xml:space="preserve">    </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bCs w:val="0"/>
          <w:color w:val="auto"/>
          <w:kern w:val="0"/>
          <w:sz w:val="28"/>
          <w:szCs w:val="28"/>
          <w:highlight w:val="none"/>
        </w:rPr>
      </w:pPr>
      <w:r>
        <w:rPr>
          <w:rFonts w:hint="eastAsia" w:ascii="仿宋" w:hAnsi="仿宋" w:eastAsia="仿宋" w:cs="仿宋_GB2312"/>
          <w:b/>
          <w:bCs w:val="0"/>
          <w:color w:val="auto"/>
          <w:sz w:val="28"/>
          <w:szCs w:val="28"/>
          <w:highlight w:val="none"/>
        </w:rPr>
        <w:t>注册地址：</w:t>
      </w:r>
      <w:r>
        <w:rPr>
          <w:rFonts w:hint="eastAsia" w:ascii="仿宋" w:hAnsi="仿宋" w:eastAsia="仿宋" w:cs="仿宋_GB2312"/>
          <w:b/>
          <w:bCs w:val="0"/>
          <w:color w:val="auto"/>
          <w:kern w:val="0"/>
          <w:sz w:val="28"/>
          <w:szCs w:val="28"/>
          <w:highlight w:val="none"/>
        </w:rPr>
        <w:t xml:space="preserve">    邮编：</w:t>
      </w:r>
    </w:p>
    <w:p>
      <w:pPr>
        <w:pStyle w:val="74"/>
        <w:keepNext w:val="0"/>
        <w:keepLines w:val="0"/>
        <w:pageBreakBefore w:val="0"/>
        <w:shd w:val="clear"/>
        <w:kinsoku/>
        <w:wordWrap/>
        <w:overflowPunct/>
        <w:topLinePunct w:val="0"/>
        <w:autoSpaceDE/>
        <w:autoSpaceDN/>
        <w:bidi w:val="0"/>
        <w:snapToGrid w:val="0"/>
        <w:spacing w:line="560" w:lineRule="exact"/>
        <w:jc w:val="both"/>
        <w:textAlignment w:val="auto"/>
        <w:rPr>
          <w:rFonts w:hint="eastAsia" w:ascii="仿宋" w:hAnsi="仿宋" w:eastAsia="仿宋" w:cs="仿宋_GB2312"/>
          <w:b/>
          <w:bCs w:val="0"/>
          <w:color w:val="auto"/>
          <w:kern w:val="0"/>
          <w:sz w:val="28"/>
          <w:szCs w:val="28"/>
          <w:highlight w:val="none"/>
          <w:lang w:val="en-US" w:eastAsia="zh-CN"/>
        </w:rPr>
      </w:pPr>
      <w:r>
        <w:rPr>
          <w:rFonts w:hint="eastAsia" w:ascii="仿宋" w:hAnsi="仿宋" w:eastAsia="仿宋"/>
          <w:b/>
          <w:bCs w:val="0"/>
          <w:i w:val="0"/>
          <w:iCs w:val="0"/>
          <w:color w:val="auto"/>
          <w:sz w:val="28"/>
          <w:szCs w:val="28"/>
          <w:highlight w:val="none"/>
        </w:rPr>
        <w:t>统一社会信用代码</w:t>
      </w:r>
      <w:r>
        <w:rPr>
          <w:rFonts w:hint="eastAsia" w:ascii="仿宋" w:hAnsi="仿宋" w:eastAsia="仿宋"/>
          <w:b/>
          <w:bCs w:val="0"/>
          <w:color w:val="auto"/>
          <w:sz w:val="28"/>
          <w:szCs w:val="28"/>
          <w:highlight w:val="none"/>
        </w:rPr>
        <w:t>：</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bCs w:val="0"/>
          <w:color w:val="auto"/>
          <w:kern w:val="0"/>
          <w:sz w:val="28"/>
          <w:szCs w:val="28"/>
          <w:highlight w:val="none"/>
          <w:lang w:val="en-US" w:eastAsia="zh-CN"/>
        </w:rPr>
      </w:pPr>
      <w:r>
        <w:rPr>
          <w:rFonts w:hint="eastAsia" w:ascii="仿宋" w:hAnsi="仿宋" w:eastAsia="仿宋" w:cs="仿宋_GB2312"/>
          <w:b/>
          <w:bCs w:val="0"/>
          <w:color w:val="auto"/>
          <w:sz w:val="28"/>
          <w:szCs w:val="28"/>
          <w:highlight w:val="none"/>
        </w:rPr>
        <w:t>法定代表人：</w:t>
      </w:r>
      <w:r>
        <w:rPr>
          <w:rFonts w:hint="eastAsia" w:ascii="仿宋" w:hAnsi="仿宋" w:eastAsia="仿宋" w:cs="仿宋_GB2312"/>
          <w:b/>
          <w:bCs w:val="0"/>
          <w:color w:val="auto"/>
          <w:kern w:val="0"/>
          <w:sz w:val="28"/>
          <w:szCs w:val="28"/>
          <w:highlight w:val="none"/>
        </w:rPr>
        <w:t xml:space="preserve">                   职务：</w:t>
      </w:r>
    </w:p>
    <w:p>
      <w:pPr>
        <w:pStyle w:val="74"/>
        <w:keepNext w:val="0"/>
        <w:keepLines w:val="0"/>
        <w:pageBreakBefore w:val="0"/>
        <w:shd w:val="clear"/>
        <w:kinsoku/>
        <w:wordWrap/>
        <w:overflowPunct/>
        <w:topLinePunct w:val="0"/>
        <w:autoSpaceDE/>
        <w:autoSpaceDN/>
        <w:bidi w:val="0"/>
        <w:snapToGrid w:val="0"/>
        <w:spacing w:line="560" w:lineRule="exact"/>
        <w:jc w:val="both"/>
        <w:textAlignment w:val="auto"/>
        <w:rPr>
          <w:rFonts w:ascii="仿宋" w:hAnsi="仿宋" w:eastAsia="仿宋"/>
          <w:b/>
          <w:bCs w:val="0"/>
          <w:color w:val="auto"/>
          <w:sz w:val="28"/>
          <w:szCs w:val="28"/>
          <w:highlight w:val="none"/>
        </w:rPr>
      </w:pPr>
      <w:r>
        <w:rPr>
          <w:rFonts w:hint="eastAsia" w:ascii="仿宋" w:hAnsi="仿宋" w:eastAsia="仿宋"/>
          <w:b/>
          <w:bCs w:val="0"/>
          <w:color w:val="auto"/>
          <w:kern w:val="2"/>
          <w:sz w:val="28"/>
          <w:szCs w:val="28"/>
          <w:highlight w:val="none"/>
        </w:rPr>
        <w:t>纳税人身份：一般纳税人</w:t>
      </w:r>
    </w:p>
    <w:p>
      <w:pPr>
        <w:pStyle w:val="74"/>
        <w:keepNext w:val="0"/>
        <w:keepLines w:val="0"/>
        <w:pageBreakBefore w:val="0"/>
        <w:shd w:val="clear"/>
        <w:kinsoku/>
        <w:wordWrap/>
        <w:overflowPunct/>
        <w:topLinePunct w:val="0"/>
        <w:autoSpaceDE/>
        <w:autoSpaceDN/>
        <w:bidi w:val="0"/>
        <w:snapToGrid w:val="0"/>
        <w:spacing w:line="560" w:lineRule="exact"/>
        <w:jc w:val="both"/>
        <w:textAlignment w:val="auto"/>
        <w:rPr>
          <w:rFonts w:hint="default" w:ascii="仿宋" w:hAnsi="仿宋" w:eastAsia="仿宋"/>
          <w:b/>
          <w:bCs w:val="0"/>
          <w:i w:val="0"/>
          <w:iCs w:val="0"/>
          <w:color w:val="auto"/>
          <w:sz w:val="28"/>
          <w:szCs w:val="28"/>
          <w:highlight w:val="none"/>
          <w:lang w:val="en-US" w:eastAsia="zh-CN"/>
        </w:rPr>
      </w:pPr>
      <w:r>
        <w:rPr>
          <w:rFonts w:hint="eastAsia" w:ascii="仿宋" w:hAnsi="仿宋" w:eastAsia="仿宋"/>
          <w:b/>
          <w:bCs w:val="0"/>
          <w:i w:val="0"/>
          <w:iCs w:val="0"/>
          <w:color w:val="auto"/>
          <w:sz w:val="28"/>
          <w:szCs w:val="28"/>
          <w:highlight w:val="none"/>
        </w:rPr>
        <w:t>合同联系人：    电话：</w:t>
      </w:r>
    </w:p>
    <w:p>
      <w:pPr>
        <w:pStyle w:val="14"/>
        <w:shd w:val="clear"/>
        <w:ind w:left="0" w:leftChars="0" w:firstLine="0" w:firstLineChars="0"/>
        <w:rPr>
          <w:color w:val="auto"/>
          <w:sz w:val="20"/>
          <w:szCs w:val="21"/>
          <w:highlight w:val="none"/>
        </w:rPr>
      </w:pPr>
    </w:p>
    <w:p>
      <w:pPr>
        <w:shd w:val="clear"/>
        <w:rPr>
          <w:color w:val="auto"/>
          <w:sz w:val="20"/>
          <w:szCs w:val="21"/>
          <w:highlight w:val="none"/>
        </w:rPr>
      </w:pPr>
    </w:p>
    <w:p>
      <w:pPr>
        <w:keepNext w:val="0"/>
        <w:keepLines w:val="0"/>
        <w:pageBreakBefore w:val="0"/>
        <w:shd w:val="clear"/>
        <w:kinsoku/>
        <w:wordWrap/>
        <w:overflowPunct/>
        <w:topLinePunct w:val="0"/>
        <w:autoSpaceDE/>
        <w:autoSpaceDN/>
        <w:bidi w:val="0"/>
        <w:adjustRightInd w:val="0"/>
        <w:snapToGrid w:val="0"/>
        <w:spacing w:line="560" w:lineRule="exact"/>
        <w:ind w:firstLine="560" w:firstLineChars="200"/>
        <w:textAlignment w:val="auto"/>
        <w:rPr>
          <w:rFonts w:ascii="仿宋" w:hAnsi="仿宋" w:eastAsia="仿宋" w:cs="仿宋_GB2312"/>
          <w:color w:val="auto"/>
          <w:kern w:val="0"/>
          <w:sz w:val="28"/>
          <w:szCs w:val="28"/>
          <w:highlight w:val="none"/>
        </w:rPr>
      </w:pP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lang w:eastAsia="zh-CN"/>
        </w:rPr>
        <w:t>承包人</w:t>
      </w:r>
      <w:r>
        <w:rPr>
          <w:rFonts w:hint="eastAsia" w:ascii="仿宋" w:hAnsi="仿宋" w:eastAsia="仿宋" w:cs="仿宋_GB2312"/>
          <w:b/>
          <w:color w:val="auto"/>
          <w:sz w:val="28"/>
          <w:szCs w:val="28"/>
          <w:highlight w:val="none"/>
        </w:rPr>
        <w:t>：</w:t>
      </w:r>
      <w:r>
        <w:rPr>
          <w:rFonts w:hint="eastAsia" w:ascii="仿宋" w:hAnsi="仿宋" w:eastAsia="仿宋" w:cs="仿宋_GB2312"/>
          <w:b/>
          <w:color w:val="auto"/>
          <w:sz w:val="28"/>
          <w:szCs w:val="28"/>
          <w:highlight w:val="none"/>
          <w:lang w:val="en-US" w:eastAsia="zh-CN"/>
        </w:rPr>
        <w:t xml:space="preserve"> </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注册地址：    邮编：</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统一社会信用代码：</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rPr>
        <w:t>法定代表人：          职务：</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eastAsia"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纳税人身份：</w:t>
      </w:r>
    </w:p>
    <w:p>
      <w:pPr>
        <w:keepNext w:val="0"/>
        <w:keepLines w:val="0"/>
        <w:pageBreakBefore w:val="0"/>
        <w:shd w:val="clear"/>
        <w:kinsoku/>
        <w:wordWrap/>
        <w:overflowPunct/>
        <w:topLinePunct w:val="0"/>
        <w:autoSpaceDE/>
        <w:autoSpaceDN/>
        <w:bidi w:val="0"/>
        <w:adjustRightInd w:val="0"/>
        <w:snapToGrid w:val="0"/>
        <w:spacing w:line="560" w:lineRule="exact"/>
        <w:textAlignment w:val="auto"/>
        <w:rPr>
          <w:rFonts w:hint="default" w:ascii="仿宋" w:hAnsi="仿宋" w:eastAsia="仿宋" w:cs="仿宋_GB2312"/>
          <w:b/>
          <w:color w:val="auto"/>
          <w:sz w:val="28"/>
          <w:szCs w:val="28"/>
          <w:highlight w:val="none"/>
          <w:lang w:val="en-US" w:eastAsia="zh-CN"/>
        </w:rPr>
      </w:pPr>
      <w:r>
        <w:rPr>
          <w:rFonts w:hint="eastAsia" w:ascii="仿宋" w:hAnsi="仿宋" w:eastAsia="仿宋" w:cs="仿宋_GB2312"/>
          <w:b/>
          <w:color w:val="auto"/>
          <w:sz w:val="28"/>
          <w:szCs w:val="28"/>
          <w:highlight w:val="none"/>
        </w:rPr>
        <w:t>合同联系人：</w:t>
      </w:r>
      <w:r>
        <w:rPr>
          <w:rFonts w:hint="eastAsia" w:ascii="仿宋" w:hAnsi="仿宋" w:eastAsia="仿宋" w:cs="仿宋_GB2312"/>
          <w:b/>
          <w:color w:val="auto"/>
          <w:sz w:val="28"/>
          <w:szCs w:val="28"/>
          <w:highlight w:val="none"/>
          <w:lang w:val="en-US" w:eastAsia="zh-CN"/>
        </w:rPr>
        <w:t xml:space="preserve">         </w:t>
      </w:r>
      <w:r>
        <w:rPr>
          <w:rFonts w:hint="eastAsia" w:ascii="仿宋" w:hAnsi="仿宋" w:eastAsia="仿宋" w:cs="仿宋_GB2312"/>
          <w:b/>
          <w:color w:val="auto"/>
          <w:sz w:val="28"/>
          <w:szCs w:val="28"/>
          <w:highlight w:val="none"/>
        </w:rPr>
        <w:t xml:space="preserve"> 电话：</w:t>
      </w:r>
      <w:r>
        <w:rPr>
          <w:rFonts w:hint="eastAsia" w:ascii="仿宋" w:hAnsi="仿宋" w:eastAsia="仿宋" w:cs="仿宋_GB2312"/>
          <w:b/>
          <w:color w:val="auto"/>
          <w:sz w:val="28"/>
          <w:szCs w:val="28"/>
          <w:highlight w:val="none"/>
          <w:lang w:val="en-US" w:eastAsia="zh-CN"/>
        </w:rPr>
        <w:t xml:space="preserve"> </w:t>
      </w:r>
    </w:p>
    <w:p>
      <w:pPr>
        <w:keepNext w:val="0"/>
        <w:keepLines w:val="0"/>
        <w:pageBreakBefore w:val="0"/>
        <w:widowControl w:val="0"/>
        <w:shd w:val="clear"/>
        <w:tabs>
          <w:tab w:val="left" w:pos="540"/>
        </w:tabs>
        <w:kinsoku/>
        <w:wordWrap/>
        <w:overflowPunct/>
        <w:topLinePunct w:val="0"/>
        <w:autoSpaceDE/>
        <w:autoSpaceDN/>
        <w:bidi w:val="0"/>
        <w:adjustRightInd/>
        <w:snapToGrid/>
        <w:spacing w:line="240" w:lineRule="auto"/>
        <w:ind w:firstLine="480" w:firstLineChars="200"/>
        <w:textAlignment w:val="auto"/>
        <w:rPr>
          <w:rFonts w:hint="eastAsia" w:ascii="华文仿宋" w:hAnsi="华文仿宋" w:eastAsia="华文仿宋"/>
          <w:color w:val="auto"/>
          <w:sz w:val="24"/>
          <w:szCs w:val="24"/>
          <w:highlight w:val="none"/>
        </w:rPr>
      </w:pPr>
    </w:p>
    <w:p>
      <w:pPr>
        <w:pStyle w:val="15"/>
        <w:shd w:val="clear"/>
        <w:spacing w:line="500" w:lineRule="exact"/>
        <w:ind w:left="0" w:leftChars="0" w:firstLine="482" w:firstLineChars="200"/>
        <w:rPr>
          <w:rFonts w:hint="eastAsia" w:ascii="仿宋_GB2312" w:hAnsi="仿宋_GB2312" w:eastAsia="仿宋_GB2312" w:cs="仿宋_GB2312"/>
          <w:color w:val="auto"/>
          <w:sz w:val="24"/>
          <w:szCs w:val="24"/>
          <w:highlight w:val="none"/>
        </w:rPr>
      </w:pPr>
    </w:p>
    <w:p>
      <w:pPr>
        <w:pStyle w:val="15"/>
        <w:shd w:val="clear"/>
        <w:spacing w:line="500" w:lineRule="exact"/>
        <w:ind w:left="0" w:leftChars="0" w:firstLine="482" w:firstLineChars="200"/>
        <w:rPr>
          <w:rFonts w:hint="eastAsia" w:ascii="华文仿宋" w:hAnsi="华文仿宋" w:eastAsia="华文仿宋"/>
          <w:color w:val="auto"/>
          <w:sz w:val="24"/>
          <w:szCs w:val="24"/>
          <w:highlight w:val="none"/>
        </w:rPr>
      </w:pPr>
      <w:r>
        <w:rPr>
          <w:rFonts w:hint="eastAsia" w:ascii="仿宋_GB2312" w:hAnsi="仿宋_GB2312" w:eastAsia="仿宋_GB2312" w:cs="仿宋_GB2312"/>
          <w:color w:val="auto"/>
          <w:sz w:val="24"/>
          <w:szCs w:val="24"/>
          <w:highlight w:val="none"/>
        </w:rPr>
        <w:t>根据《中华人民共和国民法典》及相关法律法规、司法解释，结合本</w:t>
      </w:r>
      <w:r>
        <w:rPr>
          <w:rFonts w:hint="eastAsia" w:ascii="仿宋_GB2312" w:hAnsi="仿宋_GB2312" w:eastAsia="仿宋_GB2312" w:cs="仿宋_GB2312"/>
          <w:color w:val="auto"/>
          <w:sz w:val="24"/>
          <w:szCs w:val="24"/>
          <w:highlight w:val="none"/>
          <w:lang w:val="en-US" w:eastAsia="zh-CN"/>
        </w:rPr>
        <w:t>合同</w:t>
      </w:r>
      <w:r>
        <w:rPr>
          <w:rFonts w:hint="eastAsia" w:ascii="仿宋_GB2312" w:hAnsi="仿宋_GB2312" w:eastAsia="仿宋_GB2312" w:cs="仿宋_GB2312"/>
          <w:color w:val="auto"/>
          <w:sz w:val="24"/>
          <w:szCs w:val="24"/>
          <w:highlight w:val="none"/>
        </w:rPr>
        <w:t>具体情况，遵循平等、自愿、公平和诚实信用原则，为明确双方在</w:t>
      </w:r>
      <w:r>
        <w:rPr>
          <w:rFonts w:hint="eastAsia" w:ascii="仿宋_GB2312" w:hAnsi="仿宋_GB2312" w:eastAsia="仿宋_GB2312" w:cs="仿宋_GB2312"/>
          <w:color w:val="auto"/>
          <w:sz w:val="24"/>
          <w:szCs w:val="24"/>
          <w:highlight w:val="none"/>
          <w:lang w:val="en-US" w:eastAsia="zh-CN"/>
        </w:rPr>
        <w:t>合同履行</w:t>
      </w:r>
      <w:r>
        <w:rPr>
          <w:rFonts w:hint="eastAsia" w:ascii="仿宋_GB2312" w:hAnsi="仿宋_GB2312" w:eastAsia="仿宋_GB2312" w:cs="仿宋_GB2312"/>
          <w:color w:val="auto"/>
          <w:sz w:val="24"/>
          <w:szCs w:val="24"/>
          <w:highlight w:val="none"/>
        </w:rPr>
        <w:t>过程中的权利义务和经济责任，经双方协商达成一致，签订本合同。</w:t>
      </w:r>
    </w:p>
    <w:p>
      <w:pPr>
        <w:shd w:val="clear"/>
        <w:spacing w:after="156" w:afterLines="50"/>
        <w:jc w:val="center"/>
        <w:rPr>
          <w:rFonts w:hint="eastAsia" w:ascii="小标宋" w:hAnsi="黑体" w:eastAsia="小标宋"/>
          <w:color w:val="auto"/>
          <w:sz w:val="44"/>
          <w:szCs w:val="52"/>
          <w:highlight w:val="none"/>
          <w:lang w:val="en-US" w:eastAsia="zh-CN"/>
        </w:rPr>
        <w:sectPr>
          <w:headerReference r:id="rId9" w:type="default"/>
          <w:footerReference r:id="rId10"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color w:val="auto"/>
          <w:sz w:val="22"/>
          <w:szCs w:val="22"/>
          <w:highlight w:val="none"/>
          <w:lang w:val="en-US" w:eastAsia="zh-CN"/>
        </w:rPr>
      </w:pPr>
      <w:r>
        <w:rPr>
          <w:rFonts w:hint="eastAsia" w:ascii="黑体" w:hAnsi="黑体" w:eastAsia="黑体" w:cs="黑体"/>
          <w:bCs/>
          <w:color w:val="auto"/>
          <w:sz w:val="22"/>
          <w:szCs w:val="22"/>
          <w:highlight w:val="none"/>
        </w:rPr>
        <w:t xml:space="preserve">第一条  </w:t>
      </w:r>
      <w:r>
        <w:rPr>
          <w:rFonts w:hint="eastAsia" w:ascii="黑体" w:hAnsi="黑体" w:eastAsia="黑体" w:cs="黑体"/>
          <w:color w:val="auto"/>
          <w:sz w:val="22"/>
          <w:szCs w:val="22"/>
          <w:highlight w:val="none"/>
          <w:lang w:val="en-US" w:eastAsia="zh-CN"/>
        </w:rPr>
        <w:t>技术（咨询）的内容、方式成果</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1.1服务内容</w:t>
      </w:r>
    </w:p>
    <w:p>
      <w:pPr>
        <w:pStyle w:val="24"/>
        <w:pageBreakBefore w:val="0"/>
        <w:shd w:val="clear"/>
        <w:kinsoku/>
        <w:wordWrap/>
        <w:overflowPunct/>
        <w:topLinePunct w:val="0"/>
        <w:autoSpaceDE/>
        <w:autoSpaceDN/>
        <w:bidi w:val="0"/>
        <w:snapToGrid w:val="0"/>
        <w:spacing w:line="360" w:lineRule="auto"/>
        <w:ind w:left="0" w:leftChars="0" w:firstLine="663" w:firstLineChars="300"/>
        <w:rPr>
          <w:rFonts w:hint="default"/>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1.1.1 承包人运用大数据平台，结合发包人管控制度、项目特点，建立发包人住宅、产业园、商业多业态巡检评估标准；</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1.1.2 承包人对发包人在建项目进行施工质量、安全、管理行为评估，包含过程评估、专项评估等，包含但不限于:</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1100" w:firstLineChars="5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1.1.2.1过程评估:工程实测实量、工程观感质量、工程施工安全质量、大型机械设备检查、工程管理行为以及上次评估整改闭合情况、每月受主管部门处罚扣分等管理行为预警信息。</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1100" w:firstLineChars="500"/>
        <w:textAlignment w:val="auto"/>
        <w:rPr>
          <w:rFonts w:hint="eastAsia"/>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1.1.2.2专项评估:根据项目特点、进度及建设单位需求，开展园林景观专项、机电消防专项等专项评估工作。</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1.1.3 承包人通过工程实测实量、工程观感质量、工程施工安全质量、大型机械设备检查、工程管理行为等方式为发包人提供安全质量评估服务。承包人可依据工作需要运用承包人大数据平台为发包人提供第三方评估技术服务，并建立发包人《标准化管理行为文档目录》。</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1.1.4 承包人工作综合成果：按照评估工作，形成项目评估快报、项目评估简报、季度、半年及全年的综合（或专项）评估工作总结报告。</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1100" w:firstLineChars="5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1.1.4</w:t>
      </w:r>
      <w:r>
        <w:rPr>
          <w:rFonts w:hint="default"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val="en-US" w:eastAsia="zh-CN"/>
        </w:rPr>
        <w:t>1 承包人</w:t>
      </w:r>
      <w:r>
        <w:rPr>
          <w:rFonts w:hint="default" w:ascii="仿宋_GB2312" w:hAnsi="仿宋_GB2312" w:eastAsia="仿宋_GB2312" w:cs="仿宋_GB2312"/>
          <w:color w:val="auto"/>
          <w:sz w:val="22"/>
          <w:szCs w:val="22"/>
          <w:highlight w:val="none"/>
          <w:lang w:val="en-US" w:eastAsia="zh-CN"/>
        </w:rPr>
        <w:t>可使用自行研发软件系统，进行数据采集，快速上传云端，利用云端系统安全、快捷、高效、准确自动化分析数据能力，生成报告，由</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按照快报当日、简报3日、</w:t>
      </w:r>
      <w:r>
        <w:rPr>
          <w:rFonts w:hint="eastAsia" w:ascii="仿宋_GB2312" w:hAnsi="仿宋_GB2312" w:eastAsia="仿宋_GB2312" w:cs="仿宋_GB2312"/>
          <w:color w:val="auto"/>
          <w:sz w:val="22"/>
          <w:szCs w:val="22"/>
          <w:highlight w:val="none"/>
          <w:lang w:val="en-US" w:eastAsia="zh-CN"/>
        </w:rPr>
        <w:t>季度、半年及全年的综合（或专项）评估工作总结报告</w:t>
      </w:r>
      <w:r>
        <w:rPr>
          <w:rFonts w:hint="default" w:ascii="仿宋_GB2312" w:hAnsi="仿宋_GB2312" w:eastAsia="仿宋_GB2312" w:cs="仿宋_GB2312"/>
          <w:color w:val="auto"/>
          <w:sz w:val="22"/>
          <w:szCs w:val="22"/>
          <w:highlight w:val="none"/>
          <w:lang w:val="en-US" w:eastAsia="zh-CN"/>
        </w:rPr>
        <w:t>7日的时间要求反馈至</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1100" w:firstLineChars="500"/>
        <w:textAlignment w:val="auto"/>
        <w:rPr>
          <w:rFonts w:hint="eastAsia"/>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1.1.4</w:t>
      </w:r>
      <w:r>
        <w:rPr>
          <w:rFonts w:hint="default"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val="en-US" w:eastAsia="zh-CN"/>
        </w:rPr>
        <w:t>2 项目评估快报含实测、观感、安全、大型机械设备、管理行为等内容，项目评估简报含实测、观感、安全、大型机械设备、管理行为等内容。</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1.1.5 应发包人工作需要，承包人需参加发包人组织的相关评估工作研讨及会议。</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1.1.6 承包人需按进度要求提交阶段性成果，发包人有权在收到后 7 个工作日内以书面（以电子邮件或函件方式）提出修改意见。未通过阶段性验收的，承包人需在 7 日内免费整改，否则发包人有权暂停付款或终止合同。</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1.1.7 如巡检服务内容、范围出现调整，双方将依据实际完成情况确认相关价款。</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1.2服务方式</w:t>
      </w:r>
    </w:p>
    <w:p>
      <w:pPr>
        <w:pStyle w:val="24"/>
        <w:pageBreakBefore w:val="0"/>
        <w:shd w:val="clear"/>
        <w:kinsoku/>
        <w:wordWrap/>
        <w:overflowPunct/>
        <w:topLinePunct w:val="0"/>
        <w:autoSpaceDE/>
        <w:autoSpaceDN/>
        <w:bidi w:val="0"/>
        <w:snapToGrid w:val="0"/>
        <w:spacing w:line="360" w:lineRule="auto"/>
        <w:ind w:left="0" w:leftChars="0" w:firstLine="660" w:firstLineChars="300"/>
        <w:rPr>
          <w:rFonts w:hint="eastAsia" w:ascii="仿宋_GB2312" w:hAnsi="仿宋_GB2312" w:eastAsia="仿宋_GB2312" w:cs="仿宋_GB2312"/>
          <w:b w:val="0"/>
          <w:bCs w:val="0"/>
          <w:color w:val="auto"/>
          <w:sz w:val="22"/>
          <w:szCs w:val="22"/>
          <w:highlight w:val="none"/>
          <w:lang w:val="en-US" w:eastAsia="zh-CN"/>
        </w:rPr>
      </w:pPr>
      <w:bookmarkStart w:id="132" w:name="OLE_LINK2"/>
      <w:r>
        <w:rPr>
          <w:rFonts w:hint="eastAsia" w:ascii="仿宋_GB2312" w:hAnsi="仿宋_GB2312" w:eastAsia="仿宋_GB2312" w:cs="仿宋_GB2312"/>
          <w:b w:val="0"/>
          <w:bCs w:val="0"/>
          <w:color w:val="auto"/>
          <w:sz w:val="22"/>
          <w:szCs w:val="22"/>
          <w:highlight w:val="none"/>
          <w:lang w:val="en-US" w:eastAsia="zh-CN"/>
        </w:rPr>
        <w:t>1.2.1 发包人（母公司）在此授权其现有及未来成立的所有项目公司（以下统称‘实际服务方’），有权根据项目需要，依据本合同的条款和条件，向承包人（第三方）下达具体的</w:t>
      </w:r>
      <w:bookmarkStart w:id="133" w:name="OLE_LINK9"/>
      <w:r>
        <w:rPr>
          <w:rFonts w:hint="eastAsia" w:ascii="仿宋_GB2312" w:hAnsi="仿宋_GB2312" w:eastAsia="仿宋_GB2312" w:cs="仿宋_GB2312"/>
          <w:b w:val="0"/>
          <w:bCs w:val="0"/>
          <w:color w:val="auto"/>
          <w:sz w:val="22"/>
          <w:szCs w:val="22"/>
          <w:highlight w:val="none"/>
          <w:lang w:val="en-US" w:eastAsia="zh-CN"/>
        </w:rPr>
        <w:t>《巡检服务订单》</w:t>
      </w:r>
      <w:bookmarkEnd w:id="133"/>
      <w:r>
        <w:rPr>
          <w:rFonts w:hint="eastAsia" w:ascii="仿宋_GB2312" w:hAnsi="仿宋_GB2312" w:eastAsia="仿宋_GB2312" w:cs="仿宋_GB2312"/>
          <w:b w:val="0"/>
          <w:bCs w:val="0"/>
          <w:color w:val="auto"/>
          <w:sz w:val="22"/>
          <w:szCs w:val="22"/>
          <w:highlight w:val="none"/>
          <w:lang w:val="en-US" w:eastAsia="zh-CN"/>
        </w:rPr>
        <w:t>。</w:t>
      </w:r>
    </w:p>
    <w:bookmarkEnd w:id="132"/>
    <w:p>
      <w:pPr>
        <w:pStyle w:val="24"/>
        <w:pageBreakBefore w:val="0"/>
        <w:shd w:val="clear"/>
        <w:kinsoku/>
        <w:wordWrap/>
        <w:overflowPunct/>
        <w:topLinePunct w:val="0"/>
        <w:autoSpaceDE/>
        <w:autoSpaceDN/>
        <w:bidi w:val="0"/>
        <w:snapToGrid w:val="0"/>
        <w:spacing w:line="360" w:lineRule="auto"/>
        <w:ind w:left="0" w:leftChars="0" w:firstLine="660" w:firstLineChars="300"/>
        <w:rPr>
          <w:rFonts w:hint="eastAsia" w:ascii="仿宋_GB2312" w:hAnsi="仿宋_GB2312" w:eastAsia="仿宋_GB2312" w:cs="仿宋_GB2312"/>
          <w:b w:val="0"/>
          <w:bCs w:val="0"/>
          <w:color w:val="auto"/>
          <w:sz w:val="22"/>
          <w:szCs w:val="22"/>
          <w:highlight w:val="none"/>
          <w:lang w:val="en-US" w:eastAsia="zh-CN"/>
        </w:rPr>
      </w:pPr>
      <w:bookmarkStart w:id="134" w:name="OLE_LINK3"/>
      <w:r>
        <w:rPr>
          <w:rFonts w:hint="eastAsia" w:ascii="仿宋_GB2312" w:hAnsi="仿宋_GB2312" w:eastAsia="仿宋_GB2312" w:cs="仿宋_GB2312"/>
          <w:b w:val="0"/>
          <w:bCs w:val="0"/>
          <w:color w:val="auto"/>
          <w:sz w:val="22"/>
          <w:szCs w:val="22"/>
          <w:highlight w:val="none"/>
          <w:lang w:val="en-US" w:eastAsia="zh-CN"/>
        </w:rPr>
        <w:t>1.2.2 承包人在收到实际服务方发出的《巡检服务订单》后，应在7个工作日内确认。经双方盖章或授权代表签字确认的《巡检服务订单》是本协议不可分割的一部分，与本合同具有同等法律效力。</w:t>
      </w:r>
    </w:p>
    <w:bookmarkEnd w:id="134"/>
    <w:p>
      <w:pPr>
        <w:pStyle w:val="24"/>
        <w:pageBreakBefore w:val="0"/>
        <w:shd w:val="clear"/>
        <w:kinsoku/>
        <w:wordWrap/>
        <w:overflowPunct/>
        <w:topLinePunct w:val="0"/>
        <w:autoSpaceDE/>
        <w:autoSpaceDN/>
        <w:bidi w:val="0"/>
        <w:snapToGrid w:val="0"/>
        <w:spacing w:line="360" w:lineRule="auto"/>
        <w:ind w:left="0" w:leftChars="0" w:firstLine="660" w:firstLineChars="300"/>
        <w:rPr>
          <w:rFonts w:hint="eastAsia" w:ascii="仿宋_GB2312" w:hAnsi="仿宋_GB2312" w:eastAsia="仿宋_GB2312" w:cs="仿宋_GB2312"/>
          <w:b w:val="0"/>
          <w:bCs w:val="0"/>
          <w:color w:val="auto"/>
          <w:sz w:val="22"/>
          <w:szCs w:val="22"/>
          <w:highlight w:val="none"/>
          <w:lang w:val="en-US" w:eastAsia="zh-CN"/>
        </w:rPr>
      </w:pPr>
      <w:r>
        <w:rPr>
          <w:rFonts w:hint="eastAsia" w:ascii="仿宋_GB2312" w:hAnsi="仿宋_GB2312" w:eastAsia="仿宋_GB2312" w:cs="仿宋_GB2312"/>
          <w:b w:val="0"/>
          <w:bCs w:val="0"/>
          <w:color w:val="auto"/>
          <w:sz w:val="22"/>
          <w:szCs w:val="22"/>
          <w:highlight w:val="none"/>
          <w:lang w:val="en-US" w:eastAsia="zh-CN"/>
        </w:rPr>
        <w:t>1.2.3 所有巡检服务的费用，由实际接受服务的实际服务方进行付款。承包人应根据各实际服务方的指令完成服务，并向其开具符合国家规定的增值税发票。</w:t>
      </w:r>
    </w:p>
    <w:p>
      <w:pPr>
        <w:pStyle w:val="24"/>
        <w:pageBreakBefore w:val="0"/>
        <w:shd w:val="clear"/>
        <w:kinsoku/>
        <w:wordWrap/>
        <w:overflowPunct/>
        <w:topLinePunct w:val="0"/>
        <w:autoSpaceDE/>
        <w:autoSpaceDN/>
        <w:bidi w:val="0"/>
        <w:snapToGrid w:val="0"/>
        <w:spacing w:line="360" w:lineRule="auto"/>
        <w:ind w:left="0" w:leftChars="0" w:firstLine="660" w:firstLineChars="300"/>
        <w:rPr>
          <w:rFonts w:hint="eastAsia"/>
          <w:b w:val="0"/>
          <w:bCs w:val="0"/>
          <w:color w:val="auto"/>
          <w:sz w:val="22"/>
          <w:szCs w:val="22"/>
          <w:highlight w:val="none"/>
          <w:lang w:val="en-US" w:eastAsia="zh-CN"/>
        </w:rPr>
      </w:pPr>
      <w:r>
        <w:rPr>
          <w:rFonts w:hint="eastAsia" w:ascii="仿宋_GB2312" w:hAnsi="仿宋_GB2312" w:eastAsia="仿宋_GB2312" w:cs="仿宋_GB2312"/>
          <w:b w:val="0"/>
          <w:bCs w:val="0"/>
          <w:color w:val="auto"/>
          <w:sz w:val="22"/>
          <w:szCs w:val="22"/>
          <w:highlight w:val="none"/>
          <w:lang w:val="en-US" w:eastAsia="zh-CN"/>
        </w:rPr>
        <w:t>1.2.4 单次巡检服务完成（项目工程评估总结报告出具）后，由发包人依据本次巡检服务情况对承包人本次巡检进行评价，评价情况纳入单次巡检款项。</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bookmarkStart w:id="135" w:name="OLE_LINK1"/>
      <w:r>
        <w:rPr>
          <w:rFonts w:hint="eastAsia" w:ascii="仿宋_GB2312" w:hAnsi="仿宋_GB2312" w:eastAsia="仿宋_GB2312" w:cs="仿宋_GB2312"/>
          <w:color w:val="auto"/>
          <w:sz w:val="22"/>
          <w:szCs w:val="22"/>
          <w:highlight w:val="none"/>
          <w:lang w:val="en-US" w:eastAsia="zh-CN"/>
        </w:rPr>
        <w:t xml:space="preserve">1.2.5 </w:t>
      </w:r>
      <w:bookmarkEnd w:id="135"/>
      <w:r>
        <w:rPr>
          <w:rFonts w:hint="eastAsia" w:ascii="仿宋_GB2312" w:hAnsi="仿宋_GB2312" w:eastAsia="仿宋_GB2312" w:cs="仿宋_GB2312"/>
          <w:color w:val="auto"/>
          <w:sz w:val="22"/>
          <w:szCs w:val="22"/>
          <w:highlight w:val="none"/>
          <w:lang w:val="en-US" w:eastAsia="zh-CN"/>
        </w:rPr>
        <w:t>承包人应结合双方确认的《巡检服务订单》进行评估，依据国家、地方法律法规及行业标准规定，结合承包人多年积累形成的数据库资源及承包人工程品质量化评估标准，通过设定科学、高效、精准的评价指标，利用云端数据分析技术，最终利用承包人专业技术知识及技术手段，为发包人提供全面的评估服务。</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1.2.6 承包人评估人员构成：组长及组员（如遇特殊情形，承包人应提前书面通知发包人，在不影响评估服务的前提下，由甲乙双方协商确定。）</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1.2.7 承包人评估人员要求：熟练掌握相应技术方法及具备相关评估专业能力和资质。</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1.2.8 承包人评估人员应具备相应的资质并保证资质在有效期内。</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1.2.9 承包人评估组长职责：</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1.2.9</w:t>
      </w:r>
      <w:r>
        <w:rPr>
          <w:rFonts w:hint="default" w:ascii="仿宋_GB2312" w:hAnsi="仿宋_GB2312" w:eastAsia="仿宋_GB2312" w:cs="仿宋_GB2312"/>
          <w:color w:val="auto"/>
          <w:sz w:val="22"/>
          <w:szCs w:val="22"/>
          <w:highlight w:val="none"/>
          <w:lang w:val="en-US" w:eastAsia="zh-CN"/>
        </w:rPr>
        <w:t>.1 全面负责本组在评估服务期间的日常工作安排及组员考核；</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1.2.9</w:t>
      </w:r>
      <w:r>
        <w:rPr>
          <w:rFonts w:hint="default" w:ascii="仿宋_GB2312" w:hAnsi="仿宋_GB2312" w:eastAsia="仿宋_GB2312" w:cs="仿宋_GB2312"/>
          <w:color w:val="auto"/>
          <w:sz w:val="22"/>
          <w:szCs w:val="22"/>
          <w:highlight w:val="none"/>
          <w:lang w:val="en-US" w:eastAsia="zh-CN"/>
        </w:rPr>
        <w:t>.2 主持项目评估，进行现场检查、沟通及有关资料的查阅；</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1.2.9</w:t>
      </w:r>
      <w:r>
        <w:rPr>
          <w:rFonts w:hint="default" w:ascii="仿宋_GB2312" w:hAnsi="仿宋_GB2312" w:eastAsia="仿宋_GB2312" w:cs="仿宋_GB2312"/>
          <w:color w:val="auto"/>
          <w:sz w:val="22"/>
          <w:szCs w:val="22"/>
          <w:highlight w:val="none"/>
          <w:lang w:val="en-US" w:eastAsia="zh-CN"/>
        </w:rPr>
        <w:t>.3 对本组各评估项目下达评估结论，并上报</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负责人审核；</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1.2.9</w:t>
      </w:r>
      <w:r>
        <w:rPr>
          <w:rFonts w:hint="default" w:ascii="仿宋_GB2312" w:hAnsi="仿宋_GB2312" w:eastAsia="仿宋_GB2312" w:cs="仿宋_GB2312"/>
          <w:color w:val="auto"/>
          <w:sz w:val="22"/>
          <w:szCs w:val="22"/>
          <w:highlight w:val="none"/>
          <w:lang w:val="en-US" w:eastAsia="zh-CN"/>
        </w:rPr>
        <w:t>.4 根据评估结果，通报当日检查项目的评估情况；</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1.2.9</w:t>
      </w:r>
      <w:r>
        <w:rPr>
          <w:rFonts w:hint="default" w:ascii="仿宋_GB2312" w:hAnsi="仿宋_GB2312" w:eastAsia="仿宋_GB2312" w:cs="仿宋_GB2312"/>
          <w:color w:val="auto"/>
          <w:sz w:val="22"/>
          <w:szCs w:val="22"/>
          <w:highlight w:val="none"/>
          <w:lang w:val="en-US" w:eastAsia="zh-CN"/>
        </w:rPr>
        <w:t>.5 利用自有技术平台及技术手段分析数据撰写并提交评估报告。</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w:t>
      </w:r>
      <w:bookmarkStart w:id="136" w:name="OLE_LINK7"/>
      <w:r>
        <w:rPr>
          <w:rFonts w:hint="eastAsia" w:ascii="仿宋_GB2312" w:hAnsi="仿宋_GB2312" w:eastAsia="仿宋_GB2312" w:cs="仿宋_GB2312"/>
          <w:color w:val="auto"/>
          <w:sz w:val="22"/>
          <w:szCs w:val="22"/>
          <w:highlight w:val="none"/>
          <w:lang w:val="en-US" w:eastAsia="zh-CN"/>
        </w:rPr>
        <w:t>10</w:t>
      </w:r>
      <w:bookmarkEnd w:id="136"/>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评估</w:t>
      </w:r>
      <w:r>
        <w:rPr>
          <w:rFonts w:hint="eastAsia" w:ascii="仿宋_GB2312" w:hAnsi="仿宋_GB2312" w:eastAsia="仿宋_GB2312" w:cs="仿宋_GB2312"/>
          <w:color w:val="auto"/>
          <w:sz w:val="22"/>
          <w:szCs w:val="22"/>
          <w:highlight w:val="none"/>
          <w:lang w:val="en-US" w:eastAsia="zh-CN"/>
        </w:rPr>
        <w:t>组员</w:t>
      </w:r>
      <w:r>
        <w:rPr>
          <w:rFonts w:hint="default" w:ascii="仿宋_GB2312" w:hAnsi="仿宋_GB2312" w:eastAsia="仿宋_GB2312" w:cs="仿宋_GB2312"/>
          <w:color w:val="auto"/>
          <w:sz w:val="22"/>
          <w:szCs w:val="22"/>
          <w:highlight w:val="none"/>
          <w:lang w:val="en-US" w:eastAsia="zh-CN"/>
        </w:rPr>
        <w:t>职责：</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1.2.10</w:t>
      </w:r>
      <w:r>
        <w:rPr>
          <w:rFonts w:hint="default"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val="en-US" w:eastAsia="zh-CN"/>
        </w:rPr>
        <w:t>1</w:t>
      </w:r>
      <w:r>
        <w:rPr>
          <w:rFonts w:hint="default" w:ascii="仿宋_GB2312" w:hAnsi="仿宋_GB2312" w:eastAsia="仿宋_GB2312" w:cs="仿宋_GB2312"/>
          <w:color w:val="auto"/>
          <w:sz w:val="22"/>
          <w:szCs w:val="22"/>
          <w:highlight w:val="none"/>
          <w:lang w:val="en-US" w:eastAsia="zh-CN"/>
        </w:rPr>
        <w:t xml:space="preserve"> 负责做好现场实测实量、拍照取样等工作，进行原始数据整理</w:t>
      </w:r>
      <w:r>
        <w:rPr>
          <w:rFonts w:hint="eastAsia" w:ascii="仿宋_GB2312" w:hAnsi="仿宋_GB2312" w:eastAsia="仿宋_GB2312" w:cs="仿宋_GB2312"/>
          <w:color w:val="auto"/>
          <w:sz w:val="22"/>
          <w:szCs w:val="22"/>
          <w:highlight w:val="none"/>
          <w:lang w:val="en-US" w:eastAsia="zh-CN"/>
        </w:rPr>
        <w:t>，</w:t>
      </w:r>
      <w:r>
        <w:rPr>
          <w:rFonts w:hint="default" w:ascii="仿宋_GB2312" w:hAnsi="仿宋_GB2312" w:eastAsia="仿宋_GB2312" w:cs="仿宋_GB2312"/>
          <w:color w:val="auto"/>
          <w:sz w:val="22"/>
          <w:szCs w:val="22"/>
          <w:highlight w:val="none"/>
          <w:lang w:val="en-US" w:eastAsia="zh-CN"/>
        </w:rPr>
        <w:t>对评估中采集的数据及成果进行汇总与编辑；</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left="420" w:leftChars="0"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1.2.10</w:t>
      </w:r>
      <w:r>
        <w:rPr>
          <w:rFonts w:hint="default"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lang w:val="en-US" w:eastAsia="zh-CN"/>
        </w:rPr>
        <w:t>2</w:t>
      </w:r>
      <w:r>
        <w:rPr>
          <w:rFonts w:hint="default" w:ascii="仿宋_GB2312" w:hAnsi="仿宋_GB2312" w:eastAsia="仿宋_GB2312" w:cs="仿宋_GB2312"/>
          <w:color w:val="auto"/>
          <w:sz w:val="22"/>
          <w:szCs w:val="22"/>
          <w:highlight w:val="none"/>
          <w:lang w:val="en-US" w:eastAsia="zh-CN"/>
        </w:rPr>
        <w:t xml:space="preserve"> 协助评估组长做好评估简报、评估总结、增值服务等</w:t>
      </w:r>
      <w:r>
        <w:rPr>
          <w:rFonts w:hint="eastAsia" w:ascii="仿宋_GB2312" w:hAnsi="仿宋_GB2312" w:eastAsia="仿宋_GB2312" w:cs="仿宋_GB2312"/>
          <w:color w:val="auto"/>
          <w:sz w:val="22"/>
          <w:szCs w:val="22"/>
          <w:highlight w:val="none"/>
          <w:lang w:val="en-US" w:eastAsia="zh-CN"/>
        </w:rPr>
        <w:t>工作</w:t>
      </w:r>
      <w:r>
        <w:rPr>
          <w:rFonts w:hint="default" w:ascii="仿宋_GB2312" w:hAnsi="仿宋_GB2312" w:eastAsia="仿宋_GB2312" w:cs="仿宋_GB2312"/>
          <w:color w:val="auto"/>
          <w:sz w:val="22"/>
          <w:szCs w:val="2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 xml:space="preserve">1.2.11 </w:t>
      </w:r>
      <w:r>
        <w:rPr>
          <w:rFonts w:hint="default" w:ascii="仿宋_GB2312" w:hAnsi="仿宋_GB2312" w:eastAsia="仿宋_GB2312" w:cs="仿宋_GB2312"/>
          <w:color w:val="auto"/>
          <w:sz w:val="22"/>
          <w:szCs w:val="22"/>
          <w:highlight w:val="none"/>
          <w:lang w:val="en-US" w:eastAsia="zh-CN"/>
        </w:rPr>
        <w:t>评估作息时间：上午9</w:t>
      </w:r>
      <w:r>
        <w:rPr>
          <w:rFonts w:hint="eastAsia" w:ascii="仿宋_GB2312" w:hAnsi="仿宋_GB2312" w:eastAsia="仿宋_GB2312" w:cs="仿宋_GB2312"/>
          <w:color w:val="auto"/>
          <w:sz w:val="22"/>
          <w:szCs w:val="22"/>
          <w:highlight w:val="none"/>
          <w:lang w:val="en-US" w:eastAsia="zh-CN"/>
        </w:rPr>
        <w:t>:</w:t>
      </w:r>
      <w:r>
        <w:rPr>
          <w:rFonts w:hint="default" w:ascii="仿宋_GB2312" w:hAnsi="仿宋_GB2312" w:eastAsia="仿宋_GB2312" w:cs="仿宋_GB2312"/>
          <w:color w:val="auto"/>
          <w:sz w:val="22"/>
          <w:szCs w:val="22"/>
          <w:highlight w:val="none"/>
          <w:lang w:val="en-US" w:eastAsia="zh-CN"/>
        </w:rPr>
        <w:t>00-12</w:t>
      </w:r>
      <w:r>
        <w:rPr>
          <w:rFonts w:hint="eastAsia" w:ascii="仿宋_GB2312" w:hAnsi="仿宋_GB2312" w:eastAsia="仿宋_GB2312" w:cs="仿宋_GB2312"/>
          <w:color w:val="auto"/>
          <w:sz w:val="22"/>
          <w:szCs w:val="22"/>
          <w:highlight w:val="none"/>
          <w:lang w:val="en-US" w:eastAsia="zh-CN"/>
        </w:rPr>
        <w:t>:</w:t>
      </w:r>
      <w:r>
        <w:rPr>
          <w:rFonts w:hint="default" w:ascii="仿宋_GB2312" w:hAnsi="仿宋_GB2312" w:eastAsia="仿宋_GB2312" w:cs="仿宋_GB2312"/>
          <w:color w:val="auto"/>
          <w:sz w:val="22"/>
          <w:szCs w:val="22"/>
          <w:highlight w:val="none"/>
          <w:lang w:val="en-US" w:eastAsia="zh-CN"/>
        </w:rPr>
        <w:t>00；</w:t>
      </w:r>
      <w:r>
        <w:rPr>
          <w:rFonts w:hint="eastAsia" w:ascii="仿宋_GB2312" w:hAnsi="仿宋_GB2312" w:eastAsia="仿宋_GB2312" w:cs="仿宋_GB2312"/>
          <w:color w:val="auto"/>
          <w:sz w:val="22"/>
          <w:szCs w:val="22"/>
          <w:highlight w:val="none"/>
          <w:lang w:val="en-US" w:eastAsia="zh-CN"/>
        </w:rPr>
        <w:t>14:00</w:t>
      </w:r>
      <w:r>
        <w:rPr>
          <w:rFonts w:hint="default" w:ascii="仿宋_GB2312" w:hAnsi="仿宋_GB2312" w:eastAsia="仿宋_GB2312" w:cs="仿宋_GB2312"/>
          <w:color w:val="auto"/>
          <w:sz w:val="22"/>
          <w:szCs w:val="22"/>
          <w:highlight w:val="none"/>
          <w:lang w:val="en-US" w:eastAsia="zh-CN"/>
        </w:rPr>
        <w:t>-1</w:t>
      </w:r>
      <w:r>
        <w:rPr>
          <w:rFonts w:hint="eastAsia" w:ascii="仿宋_GB2312" w:hAnsi="仿宋_GB2312" w:eastAsia="仿宋_GB2312" w:cs="仿宋_GB2312"/>
          <w:color w:val="auto"/>
          <w:sz w:val="22"/>
          <w:szCs w:val="22"/>
          <w:highlight w:val="none"/>
          <w:lang w:val="en-US" w:eastAsia="zh-CN"/>
        </w:rPr>
        <w:t>8:</w:t>
      </w:r>
      <w:r>
        <w:rPr>
          <w:rFonts w:hint="default" w:ascii="仿宋_GB2312" w:hAnsi="仿宋_GB2312" w:eastAsia="仿宋_GB2312" w:cs="仿宋_GB2312"/>
          <w:color w:val="auto"/>
          <w:sz w:val="22"/>
          <w:szCs w:val="22"/>
          <w:highlight w:val="none"/>
          <w:lang w:val="en-US" w:eastAsia="zh-CN"/>
        </w:rPr>
        <w:t>00。</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评估人员应</w:t>
      </w:r>
      <w:r>
        <w:rPr>
          <w:rFonts w:hint="eastAsia" w:ascii="仿宋_GB2312" w:hAnsi="仿宋_GB2312" w:eastAsia="仿宋_GB2312" w:cs="仿宋_GB2312"/>
          <w:color w:val="auto"/>
          <w:sz w:val="22"/>
          <w:szCs w:val="22"/>
          <w:highlight w:val="none"/>
          <w:lang w:val="en-US" w:eastAsia="zh-CN"/>
        </w:rPr>
        <w:t>当在</w:t>
      </w:r>
      <w:r>
        <w:rPr>
          <w:rFonts w:hint="default" w:ascii="仿宋_GB2312" w:hAnsi="仿宋_GB2312" w:eastAsia="仿宋_GB2312" w:cs="仿宋_GB2312"/>
          <w:color w:val="auto"/>
          <w:sz w:val="22"/>
          <w:szCs w:val="22"/>
          <w:highlight w:val="none"/>
          <w:lang w:val="en-US" w:eastAsia="zh-CN"/>
        </w:rPr>
        <w:t>上午8</w:t>
      </w:r>
      <w:r>
        <w:rPr>
          <w:rFonts w:hint="eastAsia" w:ascii="仿宋_GB2312" w:hAnsi="仿宋_GB2312" w:eastAsia="仿宋_GB2312" w:cs="仿宋_GB2312"/>
          <w:color w:val="auto"/>
          <w:sz w:val="22"/>
          <w:szCs w:val="22"/>
          <w:highlight w:val="none"/>
          <w:lang w:val="en-US" w:eastAsia="zh-CN"/>
        </w:rPr>
        <w:t>:</w:t>
      </w:r>
      <w:r>
        <w:rPr>
          <w:rFonts w:hint="default" w:ascii="仿宋_GB2312" w:hAnsi="仿宋_GB2312" w:eastAsia="仿宋_GB2312" w:cs="仿宋_GB2312"/>
          <w:color w:val="auto"/>
          <w:sz w:val="22"/>
          <w:szCs w:val="22"/>
          <w:highlight w:val="none"/>
          <w:lang w:val="en-US" w:eastAsia="zh-CN"/>
        </w:rPr>
        <w:t>50前抵达工地项目部，上午9</w:t>
      </w:r>
      <w:r>
        <w:rPr>
          <w:rFonts w:hint="eastAsia" w:ascii="仿宋_GB2312" w:hAnsi="仿宋_GB2312" w:eastAsia="仿宋_GB2312" w:cs="仿宋_GB2312"/>
          <w:color w:val="auto"/>
          <w:sz w:val="22"/>
          <w:szCs w:val="22"/>
          <w:highlight w:val="none"/>
          <w:lang w:val="en-US" w:eastAsia="zh-CN"/>
        </w:rPr>
        <w:t>:</w:t>
      </w:r>
      <w:r>
        <w:rPr>
          <w:rFonts w:hint="default" w:ascii="仿宋_GB2312" w:hAnsi="仿宋_GB2312" w:eastAsia="仿宋_GB2312" w:cs="仿宋_GB2312"/>
          <w:color w:val="auto"/>
          <w:sz w:val="22"/>
          <w:szCs w:val="22"/>
          <w:highlight w:val="none"/>
          <w:lang w:val="en-US" w:eastAsia="zh-CN"/>
        </w:rPr>
        <w:t>00召开评估安排会议</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1.2.12 评估工作流程简述：</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1.2.12.1 承包人</w:t>
      </w:r>
      <w:r>
        <w:rPr>
          <w:rFonts w:hint="default" w:ascii="仿宋_GB2312" w:hAnsi="仿宋_GB2312" w:eastAsia="仿宋_GB2312" w:cs="仿宋_GB2312"/>
          <w:color w:val="auto"/>
          <w:sz w:val="22"/>
          <w:szCs w:val="22"/>
          <w:highlight w:val="none"/>
          <w:lang w:val="en-US" w:eastAsia="zh-CN"/>
        </w:rPr>
        <w:t>对当日评估工作安排简单介绍；</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default" w:ascii="仿宋_GB2312" w:hAnsi="仿宋_GB2312" w:eastAsia="仿宋_GB2312" w:cs="仿宋_GB2312"/>
          <w:color w:val="auto"/>
          <w:sz w:val="22"/>
          <w:szCs w:val="22"/>
          <w:highlight w:val="none"/>
          <w:lang w:val="en-US" w:eastAsia="zh-CN"/>
        </w:rPr>
        <w:t>1.2.</w:t>
      </w:r>
      <w:r>
        <w:rPr>
          <w:rFonts w:hint="eastAsia" w:ascii="仿宋_GB2312" w:hAnsi="仿宋_GB2312" w:eastAsia="仿宋_GB2312" w:cs="仿宋_GB2312"/>
          <w:color w:val="auto"/>
          <w:sz w:val="22"/>
          <w:szCs w:val="22"/>
          <w:highlight w:val="none"/>
          <w:lang w:val="en-US" w:eastAsia="zh-CN"/>
        </w:rPr>
        <w:t>12</w:t>
      </w:r>
      <w:r>
        <w:rPr>
          <w:rFonts w:hint="default" w:ascii="仿宋_GB2312" w:hAnsi="仿宋_GB2312" w:eastAsia="仿宋_GB2312" w:cs="仿宋_GB2312"/>
          <w:color w:val="auto"/>
          <w:sz w:val="22"/>
          <w:szCs w:val="22"/>
          <w:highlight w:val="none"/>
          <w:lang w:val="en-US" w:eastAsia="zh-CN"/>
        </w:rPr>
        <w:t xml:space="preserve">.2 </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项目部介绍项目形象进度；</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default" w:ascii="仿宋_GB2312" w:hAnsi="仿宋_GB2312" w:eastAsia="仿宋_GB2312" w:cs="仿宋_GB2312"/>
          <w:color w:val="auto"/>
          <w:sz w:val="22"/>
          <w:szCs w:val="22"/>
          <w:highlight w:val="none"/>
          <w:lang w:val="en-US" w:eastAsia="zh-CN"/>
        </w:rPr>
        <w:t>1.2.</w:t>
      </w:r>
      <w:r>
        <w:rPr>
          <w:rFonts w:hint="eastAsia" w:ascii="仿宋_GB2312" w:hAnsi="仿宋_GB2312" w:eastAsia="仿宋_GB2312" w:cs="仿宋_GB2312"/>
          <w:color w:val="auto"/>
          <w:sz w:val="22"/>
          <w:szCs w:val="22"/>
          <w:highlight w:val="none"/>
          <w:lang w:val="en-US" w:eastAsia="zh-CN"/>
        </w:rPr>
        <w:t>12</w:t>
      </w:r>
      <w:r>
        <w:rPr>
          <w:rFonts w:hint="default" w:ascii="仿宋_GB2312" w:hAnsi="仿宋_GB2312" w:eastAsia="仿宋_GB2312" w:cs="仿宋_GB2312"/>
          <w:color w:val="auto"/>
          <w:sz w:val="22"/>
          <w:szCs w:val="22"/>
          <w:highlight w:val="none"/>
          <w:lang w:val="en-US" w:eastAsia="zh-CN"/>
        </w:rPr>
        <w:t xml:space="preserve">.3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评估组使用抽选系统确定参评项目的参评楼层或范围，实现完全随机在线样本检查，实现评估成果的公开性、公平性、公正性；</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default" w:ascii="仿宋_GB2312" w:hAnsi="仿宋_GB2312" w:eastAsia="仿宋_GB2312" w:cs="仿宋_GB2312"/>
          <w:color w:val="auto"/>
          <w:sz w:val="22"/>
          <w:szCs w:val="22"/>
          <w:highlight w:val="none"/>
          <w:lang w:val="en-US" w:eastAsia="zh-CN"/>
        </w:rPr>
        <w:t>1.2.</w:t>
      </w:r>
      <w:r>
        <w:rPr>
          <w:rFonts w:hint="eastAsia" w:ascii="仿宋_GB2312" w:hAnsi="仿宋_GB2312" w:eastAsia="仿宋_GB2312" w:cs="仿宋_GB2312"/>
          <w:color w:val="auto"/>
          <w:sz w:val="22"/>
          <w:szCs w:val="22"/>
          <w:highlight w:val="none"/>
          <w:lang w:val="en-US" w:eastAsia="zh-CN"/>
        </w:rPr>
        <w:t>12</w:t>
      </w:r>
      <w:r>
        <w:rPr>
          <w:rFonts w:hint="default" w:ascii="仿宋_GB2312" w:hAnsi="仿宋_GB2312" w:eastAsia="仿宋_GB2312" w:cs="仿宋_GB2312"/>
          <w:color w:val="auto"/>
          <w:sz w:val="22"/>
          <w:szCs w:val="22"/>
          <w:highlight w:val="none"/>
          <w:lang w:val="en-US" w:eastAsia="zh-CN"/>
        </w:rPr>
        <w:t>.5 现场评估工作结束后，</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召开项目评估总结会议并通报现场评估基本情况</w:t>
      </w:r>
      <w:r>
        <w:rPr>
          <w:rFonts w:hint="eastAsia" w:ascii="仿宋_GB2312" w:hAnsi="仿宋_GB2312" w:eastAsia="仿宋_GB2312" w:cs="仿宋_GB2312"/>
          <w:color w:val="auto"/>
          <w:sz w:val="22"/>
          <w:szCs w:val="22"/>
          <w:highlight w:val="none"/>
          <w:lang w:val="en-US" w:eastAsia="zh-CN"/>
        </w:rPr>
        <w:t>及得分</w:t>
      </w:r>
      <w:r>
        <w:rPr>
          <w:rFonts w:hint="default" w:ascii="仿宋_GB2312" w:hAnsi="仿宋_GB2312" w:eastAsia="仿宋_GB2312" w:cs="仿宋_GB2312"/>
          <w:color w:val="auto"/>
          <w:sz w:val="22"/>
          <w:szCs w:val="2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660" w:firstLineChars="300"/>
        <w:textAlignment w:val="auto"/>
        <w:rPr>
          <w:rFonts w:hint="default" w:ascii="仿宋_GB2312" w:hAnsi="仿宋_GB2312" w:eastAsia="仿宋_GB2312" w:cs="仿宋_GB2312"/>
          <w:color w:val="auto"/>
          <w:sz w:val="22"/>
          <w:szCs w:val="22"/>
          <w:highlight w:val="none"/>
          <w:lang w:val="en-US" w:eastAsia="zh-CN"/>
        </w:rPr>
      </w:pPr>
      <w:r>
        <w:rPr>
          <w:rFonts w:hint="default" w:ascii="仿宋_GB2312" w:hAnsi="仿宋_GB2312" w:eastAsia="仿宋_GB2312" w:cs="仿宋_GB2312"/>
          <w:color w:val="auto"/>
          <w:sz w:val="22"/>
          <w:szCs w:val="22"/>
          <w:highlight w:val="none"/>
          <w:lang w:val="en-US" w:eastAsia="zh-CN"/>
        </w:rPr>
        <w:t>1.2.</w:t>
      </w:r>
      <w:r>
        <w:rPr>
          <w:rFonts w:hint="eastAsia" w:ascii="仿宋_GB2312" w:hAnsi="仿宋_GB2312" w:eastAsia="仿宋_GB2312" w:cs="仿宋_GB2312"/>
          <w:color w:val="auto"/>
          <w:sz w:val="22"/>
          <w:szCs w:val="22"/>
          <w:highlight w:val="none"/>
          <w:lang w:val="en-US" w:eastAsia="zh-CN"/>
        </w:rPr>
        <w:t>12</w:t>
      </w:r>
      <w:r>
        <w:rPr>
          <w:rFonts w:hint="default" w:ascii="仿宋_GB2312" w:hAnsi="仿宋_GB2312" w:eastAsia="仿宋_GB2312" w:cs="仿宋_GB2312"/>
          <w:color w:val="auto"/>
          <w:sz w:val="22"/>
          <w:szCs w:val="22"/>
          <w:highlight w:val="none"/>
          <w:lang w:val="en-US" w:eastAsia="zh-CN"/>
        </w:rPr>
        <w:t xml:space="preserve">.6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编制评估报告，按合同约定提交成果。</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1.2.13 服务计划：评估工作开始前，发包人应至少提前5日内通知承包人评估计划，承包人应当在收到发包人评估计划之后提前做好评估准备工作。</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1.2.14 设备配置：</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767" w:firstLineChars="349"/>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w:t>
      </w:r>
      <w:bookmarkStart w:id="137" w:name="OLE_LINK5"/>
      <w:r>
        <w:rPr>
          <w:rFonts w:hint="eastAsia" w:ascii="仿宋_GB2312" w:hAnsi="仿宋_GB2312" w:eastAsia="仿宋_GB2312" w:cs="仿宋_GB2312"/>
          <w:color w:val="auto"/>
          <w:sz w:val="22"/>
          <w:szCs w:val="22"/>
          <w:highlight w:val="none"/>
          <w:lang w:val="en-US" w:eastAsia="zh-CN"/>
        </w:rPr>
        <w:t>1</w:t>
      </w:r>
      <w:bookmarkEnd w:id="137"/>
      <w:r>
        <w:rPr>
          <w:rFonts w:hint="eastAsia" w:ascii="仿宋_GB2312" w:hAnsi="仿宋_GB2312" w:eastAsia="仿宋_GB2312" w:cs="仿宋_GB2312"/>
          <w:color w:val="auto"/>
          <w:sz w:val="22"/>
          <w:szCs w:val="22"/>
          <w:highlight w:val="none"/>
          <w:lang w:val="en-US" w:eastAsia="zh-CN"/>
        </w:rPr>
        <w:t>4</w:t>
      </w:r>
      <w:r>
        <w:rPr>
          <w:rFonts w:hint="default" w:ascii="仿宋_GB2312" w:hAnsi="仿宋_GB2312" w:eastAsia="仿宋_GB2312" w:cs="仿宋_GB2312"/>
          <w:color w:val="auto"/>
          <w:sz w:val="22"/>
          <w:szCs w:val="22"/>
          <w:highlight w:val="none"/>
          <w:lang w:val="en-US" w:eastAsia="zh-CN"/>
        </w:rPr>
        <w:t xml:space="preserve">.1 </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提供工具：冲击钻（钻孔实测楼板厚度）、投影仪等</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767" w:firstLineChars="349"/>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1.2.14</w:t>
      </w:r>
      <w:r>
        <w:rPr>
          <w:rFonts w:hint="default" w:ascii="仿宋_GB2312" w:hAnsi="仿宋_GB2312" w:eastAsia="仿宋_GB2312" w:cs="仿宋_GB2312"/>
          <w:color w:val="auto"/>
          <w:sz w:val="22"/>
          <w:szCs w:val="22"/>
          <w:highlight w:val="none"/>
          <w:lang w:val="en-US" w:eastAsia="zh-CN"/>
        </w:rPr>
        <w:t xml:space="preserve">.2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负责工具：①实体检测工具的配置：包括但不限于激光测距仪、回弹仪、塞片等；②风险评估工具：包括但不限于笔记本电脑、数码相机、自行研发软件系统包括且不限于随机抽选系统、实测实量评分系统、安全文明评分系统、质量风险评分系统、报告生成系统、数据库分析系统、供应商评价系统等。（或</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自带其他工具，</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提供协助。）</w:t>
      </w:r>
    </w:p>
    <w:p>
      <w:pPr>
        <w:keepNext w:val="0"/>
        <w:keepLines w:val="0"/>
        <w:pageBreakBefore w:val="0"/>
        <w:widowControl w:val="0"/>
        <w:shd w:val="clear"/>
        <w:kinsoku/>
        <w:wordWrap/>
        <w:overflowPunct/>
        <w:topLinePunct w:val="0"/>
        <w:autoSpaceDE/>
        <w:autoSpaceDN/>
        <w:bidi w:val="0"/>
        <w:adjustRightInd/>
        <w:snapToGrid w:val="0"/>
        <w:spacing w:afterAutospacing="0"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1.3查验：</w:t>
      </w:r>
    </w:p>
    <w:p>
      <w:pPr>
        <w:pStyle w:val="24"/>
        <w:keepNext w:val="0"/>
        <w:keepLines w:val="0"/>
        <w:pageBreakBefore w:val="0"/>
        <w:widowControl w:val="0"/>
        <w:shd w:val="clear"/>
        <w:kinsoku/>
        <w:wordWrap/>
        <w:overflowPunct/>
        <w:topLinePunct w:val="0"/>
        <w:autoSpaceDE/>
        <w:autoSpaceDN/>
        <w:bidi w:val="0"/>
        <w:adjustRightInd/>
        <w:snapToGrid w:val="0"/>
        <w:spacing w:afterAutospacing="0" w:line="360" w:lineRule="auto"/>
        <w:ind w:left="0" w:leftChars="0" w:firstLine="663" w:firstLineChars="300"/>
        <w:textAlignment w:val="auto"/>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lang w:val="en-US" w:eastAsia="zh-CN"/>
        </w:rPr>
        <w:t>1.3.1 查验标准：</w:t>
      </w:r>
      <w:r>
        <w:rPr>
          <w:rFonts w:hint="eastAsia" w:ascii="仿宋_GB2312" w:hAnsi="仿宋_GB2312" w:eastAsia="仿宋_GB2312" w:cs="仿宋_GB2312"/>
          <w:color w:val="auto"/>
          <w:sz w:val="22"/>
          <w:szCs w:val="22"/>
          <w:highlight w:val="none"/>
          <w:u w:val="none"/>
        </w:rPr>
        <w:t xml:space="preserve"> </w:t>
      </w:r>
      <w:r>
        <w:rPr>
          <w:rFonts w:hint="eastAsia" w:ascii="仿宋_GB2312" w:hAnsi="仿宋_GB2312" w:eastAsia="仿宋_GB2312" w:cs="仿宋_GB2312"/>
          <w:color w:val="auto"/>
          <w:kern w:val="2"/>
          <w:sz w:val="22"/>
          <w:szCs w:val="22"/>
          <w:highlight w:val="none"/>
          <w:u w:val="none"/>
          <w:lang w:val="en-US" w:eastAsia="zh-CN" w:bidi="ar-SA"/>
        </w:rPr>
        <w:t>以统一标准、尺度，对被评项目进行评估。按发包人要求及本合同约定及时编制评估成果，反馈安全质量评估结果。评估成果要求数据准确、内容完整，做到公示各项目合格率并揭示主要安全质量风险及相关工程管理问题等。</w:t>
      </w:r>
    </w:p>
    <w:p>
      <w:pPr>
        <w:pStyle w:val="24"/>
        <w:keepNext w:val="0"/>
        <w:keepLines w:val="0"/>
        <w:pageBreakBefore w:val="0"/>
        <w:widowControl w:val="0"/>
        <w:shd w:val="clear"/>
        <w:kinsoku/>
        <w:wordWrap/>
        <w:overflowPunct/>
        <w:topLinePunct w:val="0"/>
        <w:autoSpaceDE/>
        <w:autoSpaceDN/>
        <w:bidi w:val="0"/>
        <w:adjustRightInd/>
        <w:snapToGrid w:val="0"/>
        <w:spacing w:afterAutospacing="0" w:line="360" w:lineRule="auto"/>
        <w:ind w:left="0" w:leftChars="0" w:firstLine="663" w:firstLineChars="300"/>
        <w:textAlignment w:val="auto"/>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u w:val="none"/>
          <w:lang w:val="en-US" w:eastAsia="zh-CN"/>
        </w:rPr>
        <w:t>1.3.2 查验方式：</w:t>
      </w:r>
      <w:r>
        <w:rPr>
          <w:rFonts w:hint="eastAsia" w:ascii="仿宋_GB2312" w:hAnsi="仿宋_GB2312" w:eastAsia="仿宋_GB2312" w:cs="仿宋_GB2312"/>
          <w:color w:val="auto"/>
          <w:sz w:val="22"/>
          <w:szCs w:val="22"/>
          <w:highlight w:val="none"/>
          <w:u w:val="none"/>
        </w:rPr>
        <w:t xml:space="preserve"> </w:t>
      </w:r>
      <w:r>
        <w:rPr>
          <w:rFonts w:hint="eastAsia" w:ascii="仿宋_GB2312" w:hAnsi="仿宋_GB2312" w:eastAsia="仿宋_GB2312" w:cs="仿宋_GB2312"/>
          <w:color w:val="auto"/>
          <w:sz w:val="22"/>
          <w:szCs w:val="22"/>
          <w:highlight w:val="none"/>
          <w:u w:val="none"/>
          <w:lang w:eastAsia="zh-CN"/>
        </w:rPr>
        <w:t>发包人</w:t>
      </w:r>
      <w:r>
        <w:rPr>
          <w:rFonts w:hint="eastAsia" w:ascii="仿宋_GB2312" w:hAnsi="仿宋_GB2312" w:eastAsia="仿宋_GB2312" w:cs="仿宋_GB2312"/>
          <w:color w:val="auto"/>
          <w:sz w:val="22"/>
          <w:szCs w:val="22"/>
          <w:highlight w:val="none"/>
          <w:u w:val="none"/>
        </w:rPr>
        <w:t>采取书面审查与成果确认相结合的方式进行验收。</w:t>
      </w:r>
      <w:r>
        <w:rPr>
          <w:rFonts w:hint="eastAsia" w:ascii="仿宋_GB2312" w:hAnsi="仿宋_GB2312" w:eastAsia="仿宋_GB2312" w:cs="仿宋_GB2312"/>
          <w:color w:val="auto"/>
          <w:sz w:val="22"/>
          <w:szCs w:val="22"/>
          <w:highlight w:val="none"/>
          <w:u w:val="none"/>
          <w:lang w:eastAsia="zh-CN"/>
        </w:rPr>
        <w:t>发包人</w:t>
      </w:r>
      <w:r>
        <w:rPr>
          <w:rFonts w:hint="eastAsia" w:ascii="仿宋_GB2312" w:hAnsi="仿宋_GB2312" w:eastAsia="仿宋_GB2312" w:cs="仿宋_GB2312"/>
          <w:color w:val="auto"/>
          <w:sz w:val="22"/>
          <w:szCs w:val="22"/>
          <w:highlight w:val="none"/>
          <w:u w:val="none"/>
        </w:rPr>
        <w:t>按合同约定的标准对</w:t>
      </w:r>
      <w:r>
        <w:rPr>
          <w:rFonts w:hint="eastAsia" w:ascii="仿宋_GB2312" w:hAnsi="仿宋_GB2312" w:eastAsia="仿宋_GB2312" w:cs="仿宋_GB2312"/>
          <w:color w:val="auto"/>
          <w:sz w:val="22"/>
          <w:szCs w:val="22"/>
          <w:highlight w:val="none"/>
          <w:u w:val="none"/>
          <w:lang w:eastAsia="zh-CN"/>
        </w:rPr>
        <w:t>承包人</w:t>
      </w:r>
      <w:r>
        <w:rPr>
          <w:rFonts w:hint="eastAsia" w:ascii="仿宋_GB2312" w:hAnsi="仿宋_GB2312" w:eastAsia="仿宋_GB2312" w:cs="仿宋_GB2312"/>
          <w:color w:val="auto"/>
          <w:sz w:val="22"/>
          <w:szCs w:val="22"/>
          <w:highlight w:val="none"/>
          <w:u w:val="none"/>
        </w:rPr>
        <w:t>提交的各项评估成果（快报、简报、总结报告等）进行审阅。</w:t>
      </w:r>
      <w:r>
        <w:rPr>
          <w:rFonts w:hint="eastAsia" w:ascii="仿宋_GB2312" w:hAnsi="仿宋_GB2312" w:eastAsia="仿宋_GB2312" w:cs="仿宋_GB2312"/>
          <w:color w:val="auto"/>
          <w:sz w:val="22"/>
          <w:szCs w:val="22"/>
          <w:highlight w:val="none"/>
          <w:u w:val="none"/>
          <w:lang w:eastAsia="zh-CN"/>
        </w:rPr>
        <w:t>发包人</w:t>
      </w:r>
      <w:r>
        <w:rPr>
          <w:rFonts w:hint="eastAsia" w:ascii="仿宋_GB2312" w:hAnsi="仿宋_GB2312" w:eastAsia="仿宋_GB2312" w:cs="仿宋_GB2312"/>
          <w:color w:val="auto"/>
          <w:sz w:val="22"/>
          <w:szCs w:val="22"/>
          <w:highlight w:val="none"/>
          <w:u w:val="none"/>
        </w:rPr>
        <w:t>在收到阶段性或最终成果后 7 个工作日内，未以书面（含电子邮件或函件）形式提出修改意见或异议的，视为该项成果验收合格；若</w:t>
      </w:r>
      <w:r>
        <w:rPr>
          <w:rFonts w:hint="eastAsia" w:ascii="仿宋_GB2312" w:hAnsi="仿宋_GB2312" w:eastAsia="仿宋_GB2312" w:cs="仿宋_GB2312"/>
          <w:color w:val="auto"/>
          <w:sz w:val="22"/>
          <w:szCs w:val="22"/>
          <w:highlight w:val="none"/>
          <w:u w:val="none"/>
          <w:lang w:eastAsia="zh-CN"/>
        </w:rPr>
        <w:t>发包人</w:t>
      </w:r>
      <w:r>
        <w:rPr>
          <w:rFonts w:hint="eastAsia" w:ascii="仿宋_GB2312" w:hAnsi="仿宋_GB2312" w:eastAsia="仿宋_GB2312" w:cs="仿宋_GB2312"/>
          <w:color w:val="auto"/>
          <w:sz w:val="22"/>
          <w:szCs w:val="22"/>
          <w:highlight w:val="none"/>
          <w:u w:val="none"/>
        </w:rPr>
        <w:t>提出修改意见，</w:t>
      </w:r>
      <w:r>
        <w:rPr>
          <w:rFonts w:hint="eastAsia" w:ascii="仿宋_GB2312" w:hAnsi="仿宋_GB2312" w:eastAsia="仿宋_GB2312" w:cs="仿宋_GB2312"/>
          <w:color w:val="auto"/>
          <w:sz w:val="22"/>
          <w:szCs w:val="22"/>
          <w:highlight w:val="none"/>
          <w:u w:val="none"/>
          <w:lang w:eastAsia="zh-CN"/>
        </w:rPr>
        <w:t>承包人</w:t>
      </w:r>
      <w:r>
        <w:rPr>
          <w:rFonts w:hint="eastAsia" w:ascii="仿宋_GB2312" w:hAnsi="仿宋_GB2312" w:eastAsia="仿宋_GB2312" w:cs="仿宋_GB2312"/>
          <w:color w:val="auto"/>
          <w:sz w:val="22"/>
          <w:szCs w:val="22"/>
          <w:highlight w:val="none"/>
          <w:u w:val="none"/>
        </w:rPr>
        <w:t>需按 1.1.</w:t>
      </w:r>
      <w:r>
        <w:rPr>
          <w:rFonts w:hint="eastAsia" w:ascii="仿宋_GB2312" w:hAnsi="仿宋_GB2312" w:eastAsia="仿宋_GB2312" w:cs="仿宋_GB2312"/>
          <w:color w:val="auto"/>
          <w:sz w:val="22"/>
          <w:szCs w:val="22"/>
          <w:highlight w:val="none"/>
          <w:u w:val="none"/>
          <w:lang w:val="en-US" w:eastAsia="zh-CN"/>
        </w:rPr>
        <w:t>6</w:t>
      </w:r>
      <w:r>
        <w:rPr>
          <w:rFonts w:hint="eastAsia" w:ascii="仿宋_GB2312" w:hAnsi="仿宋_GB2312" w:eastAsia="仿宋_GB2312" w:cs="仿宋_GB2312"/>
          <w:color w:val="auto"/>
          <w:sz w:val="22"/>
          <w:szCs w:val="22"/>
          <w:highlight w:val="none"/>
          <w:u w:val="none"/>
        </w:rPr>
        <w:t xml:space="preserve"> 条约定在 7 日内免费整改完毕并重新提交</w:t>
      </w:r>
      <w:r>
        <w:rPr>
          <w:rFonts w:hint="eastAsia" w:ascii="仿宋_GB2312" w:hAnsi="仿宋_GB2312" w:eastAsia="仿宋_GB2312" w:cs="仿宋_GB2312"/>
          <w:color w:val="auto"/>
          <w:sz w:val="22"/>
          <w:szCs w:val="22"/>
          <w:highlight w:val="none"/>
          <w:u w:val="none"/>
          <w:lang w:eastAsia="zh-CN"/>
        </w:rPr>
        <w:t>发包人</w:t>
      </w:r>
      <w:r>
        <w:rPr>
          <w:rFonts w:hint="eastAsia" w:ascii="仿宋_GB2312" w:hAnsi="仿宋_GB2312" w:eastAsia="仿宋_GB2312" w:cs="仿宋_GB2312"/>
          <w:color w:val="auto"/>
          <w:sz w:val="22"/>
          <w:szCs w:val="22"/>
          <w:highlight w:val="none"/>
          <w:u w:val="none"/>
        </w:rPr>
        <w:t>复验，直至达到 1.</w:t>
      </w:r>
      <w:r>
        <w:rPr>
          <w:rFonts w:hint="eastAsia" w:ascii="仿宋_GB2312" w:hAnsi="仿宋_GB2312" w:eastAsia="仿宋_GB2312" w:cs="仿宋_GB2312"/>
          <w:color w:val="auto"/>
          <w:sz w:val="22"/>
          <w:szCs w:val="22"/>
          <w:highlight w:val="none"/>
          <w:u w:val="none"/>
          <w:lang w:val="en-US" w:eastAsia="zh-CN"/>
        </w:rPr>
        <w:t>3</w:t>
      </w:r>
      <w:r>
        <w:rPr>
          <w:rFonts w:hint="eastAsia" w:ascii="仿宋_GB2312" w:hAnsi="仿宋_GB2312" w:eastAsia="仿宋_GB2312" w:cs="仿宋_GB2312"/>
          <w:color w:val="auto"/>
          <w:sz w:val="22"/>
          <w:szCs w:val="22"/>
          <w:highlight w:val="none"/>
          <w:u w:val="none"/>
        </w:rPr>
        <w:t>.1 条约定的验收标准</w:t>
      </w:r>
      <w:r>
        <w:rPr>
          <w:rFonts w:hint="eastAsia" w:ascii="仿宋_GB2312" w:hAnsi="仿宋_GB2312" w:eastAsia="仿宋_GB2312" w:cs="仿宋_GB2312"/>
          <w:color w:val="auto"/>
          <w:sz w:val="22"/>
          <w:szCs w:val="22"/>
          <w:highlight w:val="none"/>
          <w:u w:val="none"/>
          <w:lang w:eastAsia="zh-CN"/>
        </w:rPr>
        <w:t>。</w:t>
      </w:r>
    </w:p>
    <w:p>
      <w:pPr>
        <w:keepNext w:val="0"/>
        <w:keepLines w:val="0"/>
        <w:pageBreakBefore w:val="0"/>
        <w:widowControl/>
        <w:suppressLineNumbers w:val="0"/>
        <w:shd w:val="clear"/>
        <w:kinsoku/>
        <w:wordWrap/>
        <w:overflowPunct/>
        <w:topLinePunct w:val="0"/>
        <w:autoSpaceDE/>
        <w:autoSpaceDN/>
        <w:bidi w:val="0"/>
        <w:snapToGrid w:val="0"/>
        <w:spacing w:line="360" w:lineRule="auto"/>
        <w:ind w:firstLine="660" w:firstLineChars="300"/>
        <w:jc w:val="left"/>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u w:val="none"/>
          <w:lang w:val="en-US" w:eastAsia="zh-CN"/>
        </w:rPr>
        <w:t>1.3.3  查验时间和地点：查验时间</w:t>
      </w:r>
      <w:r>
        <w:rPr>
          <w:rFonts w:hint="eastAsia" w:ascii="仿宋_GB2312" w:hAnsi="仿宋_GB2312" w:eastAsia="仿宋_GB2312" w:cs="仿宋_GB2312"/>
          <w:color w:val="auto"/>
          <w:sz w:val="22"/>
          <w:szCs w:val="22"/>
          <w:highlight w:val="none"/>
          <w:u w:val="none"/>
        </w:rPr>
        <w:t>贯穿于整个评估周期。具体为</w:t>
      </w:r>
      <w:r>
        <w:rPr>
          <w:rFonts w:hint="eastAsia" w:ascii="仿宋_GB2312" w:hAnsi="仿宋_GB2312" w:eastAsia="仿宋_GB2312" w:cs="仿宋_GB2312"/>
          <w:color w:val="auto"/>
          <w:sz w:val="22"/>
          <w:szCs w:val="22"/>
          <w:highlight w:val="none"/>
          <w:u w:val="none"/>
          <w:lang w:eastAsia="zh-CN"/>
        </w:rPr>
        <w:t>承包人</w:t>
      </w:r>
      <w:r>
        <w:rPr>
          <w:rFonts w:hint="eastAsia" w:ascii="仿宋_GB2312" w:hAnsi="仿宋_GB2312" w:eastAsia="仿宋_GB2312" w:cs="仿宋_GB2312"/>
          <w:color w:val="auto"/>
          <w:sz w:val="22"/>
          <w:szCs w:val="22"/>
          <w:highlight w:val="none"/>
          <w:u w:val="none"/>
        </w:rPr>
        <w:t>按本合同第 2.3 条约定的进度节点，提交相应评估成果之日起的 7 个工作日内</w:t>
      </w:r>
      <w:r>
        <w:rPr>
          <w:rFonts w:hint="eastAsia" w:ascii="仿宋_GB2312" w:hAnsi="仿宋_GB2312" w:eastAsia="仿宋_GB2312" w:cs="仿宋_GB2312"/>
          <w:color w:val="auto"/>
          <w:sz w:val="22"/>
          <w:szCs w:val="22"/>
          <w:highlight w:val="none"/>
          <w:u w:val="none"/>
          <w:lang w:eastAsia="zh-CN"/>
        </w:rPr>
        <w:t>；</w:t>
      </w:r>
      <w:r>
        <w:rPr>
          <w:rFonts w:hint="eastAsia" w:ascii="仿宋_GB2312" w:hAnsi="仿宋_GB2312" w:eastAsia="仿宋_GB2312" w:cs="仿宋_GB2312"/>
          <w:color w:val="auto"/>
          <w:sz w:val="22"/>
          <w:szCs w:val="22"/>
          <w:highlight w:val="none"/>
          <w:u w:val="none"/>
          <w:lang w:val="en-US" w:eastAsia="zh-CN"/>
        </w:rPr>
        <w:t>查验地点为各被评估项目的项目所在地。</w:t>
      </w:r>
    </w:p>
    <w:p>
      <w:pPr>
        <w:keepNext w:val="0"/>
        <w:keepLines w:val="0"/>
        <w:pageBreakBefore w:val="0"/>
        <w:widowControl/>
        <w:suppressLineNumbers w:val="0"/>
        <w:shd w:val="clear"/>
        <w:kinsoku/>
        <w:wordWrap/>
        <w:overflowPunct/>
        <w:topLinePunct w:val="0"/>
        <w:autoSpaceDE/>
        <w:autoSpaceDN/>
        <w:bidi w:val="0"/>
        <w:snapToGrid w:val="0"/>
        <w:spacing w:line="360" w:lineRule="auto"/>
        <w:ind w:firstLine="440" w:firstLineChars="200"/>
        <w:jc w:val="left"/>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u w:val="none"/>
          <w:lang w:val="en-US" w:eastAsia="zh-CN"/>
        </w:rPr>
        <w:t xml:space="preserve">1.4 人员管理 </w:t>
      </w:r>
    </w:p>
    <w:p>
      <w:pPr>
        <w:keepNext w:val="0"/>
        <w:keepLines w:val="0"/>
        <w:pageBreakBefore w:val="0"/>
        <w:widowControl/>
        <w:suppressLineNumbers w:val="0"/>
        <w:shd w:val="clear"/>
        <w:kinsoku/>
        <w:wordWrap/>
        <w:overflowPunct/>
        <w:topLinePunct w:val="0"/>
        <w:autoSpaceDE/>
        <w:autoSpaceDN/>
        <w:bidi w:val="0"/>
        <w:snapToGrid w:val="0"/>
        <w:spacing w:line="360" w:lineRule="auto"/>
        <w:ind w:firstLine="660" w:firstLineChars="300"/>
        <w:jc w:val="left"/>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u w:val="none"/>
          <w:lang w:val="en-US" w:eastAsia="zh-CN"/>
        </w:rPr>
        <w:t>1.4.1 中标通知书发出后 30 天内，承包人须向发包人提交承包人的人员安排报告，其内容应包括团队的设置、各岗位的人员名单、资格证书复印件（同时提供相应资格证书的原件供审核）及在承包人单位缴纳三个月以上的社保证明等资料，以上资料须报发包人进行审核、备案，且以上人员需经发包人面试审核通过。</w:t>
      </w:r>
    </w:p>
    <w:p>
      <w:pPr>
        <w:keepNext w:val="0"/>
        <w:keepLines w:val="0"/>
        <w:pageBreakBefore w:val="0"/>
        <w:widowControl/>
        <w:suppressLineNumbers w:val="0"/>
        <w:shd w:val="clear"/>
        <w:kinsoku/>
        <w:wordWrap/>
        <w:overflowPunct/>
        <w:topLinePunct w:val="0"/>
        <w:autoSpaceDE/>
        <w:autoSpaceDN/>
        <w:bidi w:val="0"/>
        <w:snapToGrid w:val="0"/>
        <w:spacing w:line="360" w:lineRule="auto"/>
        <w:ind w:firstLine="660" w:firstLineChars="300"/>
        <w:jc w:val="left"/>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u w:val="none"/>
          <w:lang w:val="en-US" w:eastAsia="zh-CN"/>
        </w:rPr>
        <w:t>1.4.2 承包人安排的人员应相对稳定，更换组长和技术人员，应取得发包人的同意,并向发包人提交继任人员的资格、管理经验等资料。</w:t>
      </w:r>
    </w:p>
    <w:p>
      <w:pPr>
        <w:keepNext w:val="0"/>
        <w:keepLines w:val="0"/>
        <w:pageBreakBefore w:val="0"/>
        <w:widowControl/>
        <w:suppressLineNumbers w:val="0"/>
        <w:shd w:val="clear"/>
        <w:kinsoku/>
        <w:wordWrap/>
        <w:overflowPunct/>
        <w:topLinePunct w:val="0"/>
        <w:autoSpaceDE/>
        <w:autoSpaceDN/>
        <w:bidi w:val="0"/>
        <w:snapToGrid w:val="0"/>
        <w:spacing w:line="360" w:lineRule="auto"/>
        <w:ind w:firstLine="660" w:firstLineChars="300"/>
        <w:jc w:val="left"/>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u w:val="none"/>
          <w:lang w:val="en-US" w:eastAsia="zh-CN"/>
        </w:rPr>
        <w:t>组长、组员及专项评估人员的更换除发生重病或重伤（持有市三甲医院证明）两个月以上且不具备民事行为能力的、死亡、离职的情形之一外不得更换。其它更换上述人员的情形均视为承包人违约更换，发包人对承包人每次处予人民币3000元的违约金。更换上述人员时，替换人员的专业要相符，资质等级必须不低于被替换人员。</w:t>
      </w:r>
    </w:p>
    <w:p>
      <w:pPr>
        <w:keepNext w:val="0"/>
        <w:keepLines w:val="0"/>
        <w:pageBreakBefore w:val="0"/>
        <w:widowControl/>
        <w:suppressLineNumbers w:val="0"/>
        <w:shd w:val="clear"/>
        <w:kinsoku/>
        <w:wordWrap/>
        <w:overflowPunct/>
        <w:topLinePunct w:val="0"/>
        <w:autoSpaceDE/>
        <w:autoSpaceDN/>
        <w:bidi w:val="0"/>
        <w:snapToGrid w:val="0"/>
        <w:spacing w:line="360" w:lineRule="auto"/>
        <w:ind w:firstLine="660" w:firstLineChars="300"/>
        <w:jc w:val="left"/>
        <w:rPr>
          <w:rFonts w:hint="eastAsia"/>
          <w:color w:val="auto"/>
          <w:sz w:val="22"/>
          <w:szCs w:val="22"/>
          <w:highlight w:val="none"/>
          <w:lang w:val="en-US" w:eastAsia="zh-CN"/>
        </w:rPr>
      </w:pPr>
      <w:r>
        <w:rPr>
          <w:rFonts w:hint="eastAsia" w:ascii="仿宋_GB2312" w:hAnsi="仿宋_GB2312" w:eastAsia="仿宋_GB2312" w:cs="仿宋_GB2312"/>
          <w:color w:val="auto"/>
          <w:sz w:val="22"/>
          <w:szCs w:val="22"/>
          <w:highlight w:val="none"/>
          <w:u w:val="none"/>
          <w:lang w:val="en-US" w:eastAsia="zh-CN"/>
        </w:rPr>
        <w:t>1.4.3 承包人应对其组长、组员及其他人员进行有效管理。发包人要求撤换不能胜任本职工作、行为不端或玩忽职守的承包人评估人员的，承包人应予以撤换，同时参照第1.4.2约定的承包人更换人员的违约标准承担违约金。因雇员行为不当造成发包人损失的，承包人应承担全部责任。</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 xml:space="preserve">第二条  </w:t>
      </w:r>
      <w:r>
        <w:rPr>
          <w:rFonts w:hint="eastAsia" w:ascii="黑体" w:hAnsi="黑体" w:eastAsia="黑体" w:cs="黑体"/>
          <w:bCs/>
          <w:color w:val="auto"/>
          <w:sz w:val="22"/>
          <w:szCs w:val="22"/>
          <w:highlight w:val="none"/>
          <w:lang w:val="en-US" w:eastAsia="zh-CN"/>
        </w:rPr>
        <w:t>履约地点、期限、进度和质量要求</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lang w:val="en-US" w:eastAsia="zh-CN"/>
        </w:rPr>
        <w:t>2.1 履</w:t>
      </w:r>
      <w:r>
        <w:rPr>
          <w:rFonts w:hint="eastAsia" w:ascii="仿宋_GB2312" w:hAnsi="仿宋_GB2312" w:eastAsia="仿宋_GB2312" w:cs="仿宋_GB2312"/>
          <w:color w:val="auto"/>
          <w:kern w:val="2"/>
          <w:sz w:val="22"/>
          <w:szCs w:val="22"/>
          <w:highlight w:val="none"/>
          <w:lang w:val="en-US" w:eastAsia="zh-CN" w:bidi="ar-SA"/>
        </w:rPr>
        <w:t>约</w:t>
      </w:r>
      <w:r>
        <w:rPr>
          <w:rFonts w:hint="eastAsia" w:ascii="仿宋_GB2312" w:hAnsi="仿宋_GB2312" w:eastAsia="仿宋_GB2312" w:cs="仿宋_GB2312"/>
          <w:color w:val="auto"/>
          <w:sz w:val="22"/>
          <w:szCs w:val="22"/>
          <w:highlight w:val="none"/>
        </w:rPr>
        <w:t>地点：</w:t>
      </w:r>
      <w:r>
        <w:rPr>
          <w:rFonts w:hint="eastAsia" w:ascii="仿宋_GB2312" w:hAnsi="仿宋_GB2312" w:eastAsia="仿宋_GB2312" w:cs="仿宋_GB2312"/>
          <w:color w:val="auto"/>
          <w:sz w:val="22"/>
          <w:szCs w:val="22"/>
          <w:highlight w:val="none"/>
          <w:u w:val="none"/>
          <w:lang w:eastAsia="zh-CN"/>
        </w:rPr>
        <w:t>发包人</w:t>
      </w:r>
      <w:r>
        <w:rPr>
          <w:rFonts w:hint="eastAsia" w:ascii="仿宋_GB2312" w:hAnsi="仿宋_GB2312" w:eastAsia="仿宋_GB2312" w:cs="仿宋_GB2312"/>
          <w:color w:val="auto"/>
          <w:sz w:val="22"/>
          <w:szCs w:val="22"/>
          <w:highlight w:val="none"/>
          <w:u w:val="none"/>
        </w:rPr>
        <w:t>项目分布在</w:t>
      </w:r>
      <w:r>
        <w:rPr>
          <w:rFonts w:hint="eastAsia" w:ascii="仿宋_GB2312" w:hAnsi="仿宋_GB2312" w:eastAsia="仿宋_GB2312" w:cs="仿宋_GB2312"/>
          <w:color w:val="auto"/>
          <w:sz w:val="22"/>
          <w:szCs w:val="22"/>
          <w:highlight w:val="none"/>
          <w:u w:val="none"/>
          <w:lang w:val="en-US" w:eastAsia="zh-CN"/>
        </w:rPr>
        <w:t>东莞本</w:t>
      </w:r>
      <w:r>
        <w:rPr>
          <w:rFonts w:hint="eastAsia" w:ascii="仿宋_GB2312" w:hAnsi="仿宋_GB2312" w:eastAsia="仿宋_GB2312" w:cs="仿宋_GB2312"/>
          <w:color w:val="auto"/>
          <w:sz w:val="22"/>
          <w:szCs w:val="22"/>
          <w:highlight w:val="none"/>
          <w:u w:val="none"/>
        </w:rPr>
        <w:t>地，</w:t>
      </w:r>
      <w:r>
        <w:rPr>
          <w:rFonts w:hint="eastAsia" w:ascii="仿宋_GB2312" w:hAnsi="仿宋_GB2312" w:eastAsia="仿宋_GB2312" w:cs="仿宋_GB2312"/>
          <w:color w:val="auto"/>
          <w:sz w:val="22"/>
          <w:szCs w:val="22"/>
          <w:highlight w:val="none"/>
          <w:u w:val="none"/>
          <w:lang w:val="en-US" w:eastAsia="zh-CN"/>
        </w:rPr>
        <w:t>对发包人指定项目进行季度或专项评估工作</w:t>
      </w:r>
      <w:r>
        <w:rPr>
          <w:rFonts w:hint="eastAsia" w:ascii="仿宋_GB2312" w:hAnsi="仿宋_GB2312" w:eastAsia="仿宋_GB2312" w:cs="仿宋_GB2312"/>
          <w:color w:val="auto"/>
          <w:sz w:val="22"/>
          <w:szCs w:val="22"/>
          <w:highlight w:val="none"/>
          <w:u w:val="none"/>
        </w:rPr>
        <w:t>，具体评估项目</w:t>
      </w:r>
      <w:r>
        <w:rPr>
          <w:rFonts w:hint="eastAsia" w:ascii="仿宋_GB2312" w:hAnsi="仿宋_GB2312" w:eastAsia="仿宋_GB2312" w:cs="仿宋_GB2312"/>
          <w:color w:val="auto"/>
          <w:sz w:val="22"/>
          <w:szCs w:val="22"/>
          <w:highlight w:val="none"/>
          <w:u w:val="none"/>
          <w:lang w:val="en-US" w:eastAsia="zh-CN"/>
        </w:rPr>
        <w:t>及内容</w:t>
      </w:r>
      <w:r>
        <w:rPr>
          <w:rFonts w:hint="eastAsia" w:ascii="仿宋_GB2312" w:hAnsi="仿宋_GB2312" w:eastAsia="仿宋_GB2312" w:cs="仿宋_GB2312"/>
          <w:color w:val="auto"/>
          <w:sz w:val="22"/>
          <w:szCs w:val="22"/>
          <w:highlight w:val="none"/>
          <w:u w:val="none"/>
        </w:rPr>
        <w:t>以</w:t>
      </w:r>
      <w:r>
        <w:rPr>
          <w:rFonts w:hint="eastAsia" w:ascii="仿宋_GB2312" w:hAnsi="仿宋_GB2312" w:eastAsia="仿宋_GB2312" w:cs="仿宋_GB2312"/>
          <w:color w:val="auto"/>
          <w:sz w:val="22"/>
          <w:szCs w:val="22"/>
          <w:highlight w:val="none"/>
          <w:u w:val="none"/>
          <w:lang w:val="en-US" w:eastAsia="zh-CN"/>
        </w:rPr>
        <w:t>双方确认的《巡检服务订单》</w:t>
      </w:r>
      <w:r>
        <w:rPr>
          <w:rFonts w:hint="eastAsia" w:ascii="仿宋_GB2312" w:hAnsi="仿宋_GB2312" w:eastAsia="仿宋_GB2312" w:cs="仿宋_GB2312"/>
          <w:color w:val="auto"/>
          <w:sz w:val="22"/>
          <w:szCs w:val="22"/>
          <w:highlight w:val="none"/>
          <w:u w:val="none"/>
        </w:rPr>
        <w:t>为准，</w:t>
      </w:r>
      <w:r>
        <w:rPr>
          <w:rFonts w:hint="eastAsia" w:ascii="仿宋_GB2312" w:hAnsi="仿宋_GB2312" w:eastAsia="仿宋_GB2312" w:cs="仿宋_GB2312"/>
          <w:color w:val="auto"/>
          <w:sz w:val="22"/>
          <w:szCs w:val="22"/>
          <w:highlight w:val="none"/>
          <w:u w:val="none"/>
          <w:lang w:eastAsia="zh-CN"/>
        </w:rPr>
        <w:t>承包人</w:t>
      </w:r>
      <w:r>
        <w:rPr>
          <w:rFonts w:hint="eastAsia" w:ascii="仿宋_GB2312" w:hAnsi="仿宋_GB2312" w:eastAsia="仿宋_GB2312" w:cs="仿宋_GB2312"/>
          <w:color w:val="auto"/>
          <w:sz w:val="22"/>
          <w:szCs w:val="22"/>
          <w:highlight w:val="none"/>
          <w:u w:val="none"/>
        </w:rPr>
        <w:t>根据</w:t>
      </w:r>
      <w:r>
        <w:rPr>
          <w:rFonts w:hint="eastAsia" w:ascii="仿宋_GB2312" w:hAnsi="仿宋_GB2312" w:eastAsia="仿宋_GB2312" w:cs="仿宋_GB2312"/>
          <w:color w:val="auto"/>
          <w:sz w:val="22"/>
          <w:szCs w:val="22"/>
          <w:highlight w:val="none"/>
          <w:u w:val="none"/>
          <w:lang w:val="en-US" w:eastAsia="zh-CN"/>
        </w:rPr>
        <w:t>《巡检服务订单》</w:t>
      </w:r>
      <w:r>
        <w:rPr>
          <w:rFonts w:hint="eastAsia" w:ascii="仿宋_GB2312" w:hAnsi="仿宋_GB2312" w:eastAsia="仿宋_GB2312" w:cs="仿宋_GB2312"/>
          <w:color w:val="auto"/>
          <w:sz w:val="22"/>
          <w:szCs w:val="22"/>
          <w:highlight w:val="none"/>
          <w:u w:val="none"/>
        </w:rPr>
        <w:t>组织实施评估。</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u w:val="single"/>
        </w:rPr>
      </w:pPr>
      <w:r>
        <w:rPr>
          <w:rFonts w:hint="eastAsia" w:ascii="仿宋_GB2312" w:hAnsi="仿宋_GB2312" w:eastAsia="仿宋_GB2312" w:cs="仿宋_GB2312"/>
          <w:color w:val="auto"/>
          <w:sz w:val="22"/>
          <w:szCs w:val="22"/>
          <w:highlight w:val="none"/>
          <w:lang w:val="en-US" w:eastAsia="zh-CN"/>
        </w:rPr>
        <w:t>2.2 履</w:t>
      </w:r>
      <w:r>
        <w:rPr>
          <w:rFonts w:hint="eastAsia" w:ascii="仿宋_GB2312" w:hAnsi="仿宋_GB2312" w:eastAsia="仿宋_GB2312" w:cs="仿宋_GB2312"/>
          <w:color w:val="auto"/>
          <w:kern w:val="2"/>
          <w:sz w:val="22"/>
          <w:szCs w:val="22"/>
          <w:highlight w:val="none"/>
          <w:lang w:val="en-US" w:eastAsia="zh-CN" w:bidi="ar-SA"/>
        </w:rPr>
        <w:t>约</w:t>
      </w:r>
      <w:r>
        <w:rPr>
          <w:rFonts w:hint="eastAsia" w:ascii="仿宋_GB2312" w:hAnsi="仿宋_GB2312" w:eastAsia="仿宋_GB2312" w:cs="仿宋_GB2312"/>
          <w:color w:val="auto"/>
          <w:sz w:val="22"/>
          <w:szCs w:val="22"/>
          <w:highlight w:val="none"/>
        </w:rPr>
        <w:t>期限：</w:t>
      </w:r>
      <w:r>
        <w:rPr>
          <w:rFonts w:hint="eastAsia" w:ascii="仿宋_GB2312" w:hAnsi="仿宋_GB2312" w:eastAsia="仿宋_GB2312" w:cs="仿宋_GB2312"/>
          <w:color w:val="auto"/>
          <w:sz w:val="22"/>
          <w:szCs w:val="22"/>
          <w:highlight w:val="none"/>
          <w:lang w:val="en-US" w:eastAsia="zh-CN"/>
        </w:rPr>
        <w:t>自合同签订之日</w:t>
      </w:r>
      <w:r>
        <w:rPr>
          <w:rFonts w:hint="eastAsia" w:ascii="仿宋_GB2312" w:hAnsi="仿宋_GB2312" w:eastAsia="仿宋_GB2312" w:cs="仿宋_GB2312"/>
          <w:color w:val="auto"/>
          <w:sz w:val="22"/>
          <w:szCs w:val="22"/>
          <w:highlight w:val="none"/>
          <w:u w:val="none"/>
          <w:lang w:val="en-US" w:eastAsia="zh-CN"/>
        </w:rPr>
        <w:t>起至2027年12月31日或完成本份合同约定的所有次数评估检查工作。</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2.3 </w:t>
      </w:r>
      <w:r>
        <w:rPr>
          <w:rFonts w:hint="eastAsia" w:ascii="仿宋_GB2312" w:hAnsi="仿宋_GB2312" w:eastAsia="仿宋_GB2312" w:cs="仿宋_GB2312"/>
          <w:color w:val="auto"/>
          <w:sz w:val="22"/>
          <w:szCs w:val="22"/>
          <w:highlight w:val="none"/>
        </w:rPr>
        <w:t>进度</w:t>
      </w:r>
      <w:r>
        <w:rPr>
          <w:rFonts w:hint="eastAsia" w:ascii="仿宋_GB2312" w:hAnsi="仿宋_GB2312" w:eastAsia="仿宋_GB2312" w:cs="仿宋_GB2312"/>
          <w:color w:val="auto"/>
          <w:sz w:val="22"/>
          <w:szCs w:val="22"/>
          <w:highlight w:val="none"/>
          <w:lang w:val="en-US" w:eastAsia="zh-CN"/>
        </w:rPr>
        <w:t>要求</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2.3.1 完成在建项目的现场评估当日，现场向被评估项目的项目部通报当天评估的评估快报，包括但不限于以下内容：实测数据中的明显偏差项、各质量风险指标风险状况、现场主要质量问题、上期质量整改封闭情况等；安全生产的管理隐患与现场隐患，各安全风险指标风险状况、现场主要安全问题、</w:t>
      </w:r>
      <w:bookmarkStart w:id="138" w:name="OLE_LINK6"/>
      <w:r>
        <w:rPr>
          <w:rFonts w:hint="eastAsia" w:ascii="仿宋_GB2312" w:hAnsi="仿宋_GB2312" w:eastAsia="仿宋_GB2312" w:cs="仿宋_GB2312"/>
          <w:color w:val="auto"/>
          <w:sz w:val="22"/>
          <w:szCs w:val="22"/>
          <w:highlight w:val="none"/>
          <w:lang w:val="en-US" w:eastAsia="zh-CN"/>
        </w:rPr>
        <w:t>上期安全整改封闭情况</w:t>
      </w:r>
      <w:bookmarkEnd w:id="138"/>
      <w:r>
        <w:rPr>
          <w:rFonts w:hint="eastAsia" w:ascii="仿宋_GB2312" w:hAnsi="仿宋_GB2312" w:eastAsia="仿宋_GB2312" w:cs="仿宋_GB2312"/>
          <w:color w:val="auto"/>
          <w:sz w:val="22"/>
          <w:szCs w:val="22"/>
          <w:highlight w:val="none"/>
          <w:lang w:val="en-US" w:eastAsia="zh-CN"/>
        </w:rPr>
        <w:t>；现场主要管理行为问题、上期管理行为整改封闭情况等；</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2.3.2 项目现场评估完成后3日内，向发包人提供被评项目的评估简报，报告形式为电子版，邮件发送；</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2.3.3 “一个轮次”评估：发包人“一个轮次”项目现场全部评估工作结束后，承包人应在7日内向发包人的项目管理部门或发包人指定的其他部门提交《XXXXXXXX项目工程评估总结报告》及相关评估过程资料，报告形式为电子版，邮件发送；</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2.3.4 上述“一个轮次”指：在一定期间内，对发包人某个季度指定的所有项目完成评估检查；</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2.3.5 对于发现的重大风险或较为严重的系统性质量安全问题，承包人应在发现问题后立即向发包人对接人员电话通报质量安全风险情况，并将风险报告于当天以电子邮件形式发送至发包人；</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2.4 </w:t>
      </w:r>
      <w:r>
        <w:rPr>
          <w:rFonts w:hint="eastAsia" w:ascii="仿宋_GB2312" w:hAnsi="仿宋_GB2312" w:eastAsia="仿宋_GB2312" w:cs="仿宋_GB2312"/>
          <w:color w:val="auto"/>
          <w:sz w:val="22"/>
          <w:szCs w:val="22"/>
          <w:highlight w:val="none"/>
        </w:rPr>
        <w:t>质量要求：符合适用</w:t>
      </w:r>
      <w:r>
        <w:rPr>
          <w:rFonts w:hint="eastAsia" w:ascii="仿宋_GB2312" w:hAnsi="仿宋_GB2312" w:eastAsia="仿宋_GB2312" w:cs="仿宋_GB2312"/>
          <w:color w:val="auto"/>
          <w:sz w:val="22"/>
          <w:szCs w:val="22"/>
          <w:highlight w:val="none"/>
          <w:lang w:eastAsia="zh-CN"/>
        </w:rPr>
        <w:t>的现行</w:t>
      </w:r>
      <w:r>
        <w:rPr>
          <w:rFonts w:hint="eastAsia" w:ascii="仿宋_GB2312" w:hAnsi="仿宋_GB2312" w:eastAsia="仿宋_GB2312" w:cs="仿宋_GB2312"/>
          <w:color w:val="auto"/>
          <w:sz w:val="22"/>
          <w:szCs w:val="22"/>
          <w:highlight w:val="none"/>
        </w:rPr>
        <w:t>有效的国家及地方有关工程技术咨询服务工作的规定</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国家标准、行业标准、工程所在地的地方标准及相应的规范、规程、项目业主及</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的有关要求。</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第</w:t>
      </w:r>
      <w:r>
        <w:rPr>
          <w:rFonts w:hint="eastAsia" w:ascii="黑体" w:hAnsi="黑体" w:eastAsia="黑体" w:cs="黑体"/>
          <w:bCs/>
          <w:color w:val="auto"/>
          <w:sz w:val="22"/>
          <w:szCs w:val="22"/>
          <w:highlight w:val="none"/>
          <w:lang w:val="en-US" w:eastAsia="zh-CN"/>
        </w:rPr>
        <w:t>三</w:t>
      </w:r>
      <w:r>
        <w:rPr>
          <w:rFonts w:hint="eastAsia" w:ascii="黑体" w:hAnsi="黑体" w:eastAsia="黑体" w:cs="黑体"/>
          <w:bCs/>
          <w:color w:val="auto"/>
          <w:sz w:val="22"/>
          <w:szCs w:val="22"/>
          <w:highlight w:val="none"/>
        </w:rPr>
        <w:t>条  保密</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 xml:space="preserve">3.1 </w:t>
      </w:r>
      <w:r>
        <w:rPr>
          <w:rFonts w:hint="eastAsia" w:ascii="仿宋_GB2312" w:hAnsi="仿宋_GB2312" w:eastAsia="仿宋_GB2312" w:cs="仿宋_GB2312"/>
          <w:color w:val="auto"/>
          <w:sz w:val="22"/>
          <w:szCs w:val="22"/>
          <w:highlight w:val="none"/>
        </w:rPr>
        <w:t>保密信息包括</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从</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获得的所有口头或书面的信息和资料，包括但不限于有关业务、技术、客户、设备等方面的记录、报告、图纸、软件等任何形式的任何资料，以及本合同签订、履行过程</w:t>
      </w:r>
      <w:r>
        <w:rPr>
          <w:rFonts w:hint="eastAsia" w:ascii="仿宋_GB2312" w:hAnsi="仿宋_GB2312" w:eastAsia="仿宋_GB2312" w:cs="仿宋_GB2312"/>
          <w:color w:val="auto"/>
          <w:sz w:val="22"/>
          <w:szCs w:val="22"/>
          <w:highlight w:val="none"/>
          <w:lang w:val="en-US" w:eastAsia="zh-CN"/>
        </w:rPr>
        <w:t>中形成的任何形式的资料、成果等。</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3.2 承包人应对发包人委托服务内容以及一切相关资料、数据进行保密，妥善保管为履行委托服务内容而完成的一切工作成果（包括但不限于相关检测数据、风险评估报告等），未经发包人书面同意，承包人不得用作本合同以外的用途或向第三方泄露，承包人应对合作过程中知悉的发包人的商业秘密进行保密，不得向第三方泄露。除非基于中国法律、法规的强制性规定以及行政、司法机关依法做出的强制性决定的要求。否则，发包人有权向承包人追索由此而引起的直接或间接的经济损失，并保留进一步追究承包人相应法律责任的权利。</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3.3 </w:t>
      </w:r>
      <w:r>
        <w:rPr>
          <w:rFonts w:hint="eastAsia" w:ascii="仿宋_GB2312" w:hAnsi="仿宋_GB2312" w:eastAsia="仿宋_GB2312" w:cs="仿宋_GB2312"/>
          <w:color w:val="auto"/>
          <w:sz w:val="22"/>
          <w:szCs w:val="22"/>
          <w:highlight w:val="none"/>
        </w:rPr>
        <w:t>除法律法规规定或合同另有约定外，未经</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同意，</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不得将上述保密信息泄露给第三方，不得将上述信息用于本合同以外的其他目的。</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3.4 </w:t>
      </w:r>
      <w:r>
        <w:rPr>
          <w:rFonts w:hint="eastAsia" w:ascii="仿宋_GB2312" w:hAnsi="仿宋_GB2312" w:eastAsia="仿宋_GB2312" w:cs="仿宋_GB2312"/>
          <w:color w:val="auto"/>
          <w:sz w:val="22"/>
          <w:szCs w:val="22"/>
          <w:highlight w:val="none"/>
        </w:rPr>
        <w:t>保密期限：</w:t>
      </w:r>
      <w:r>
        <w:rPr>
          <w:rFonts w:hint="eastAsia" w:ascii="仿宋_GB2312" w:hAnsi="仿宋_GB2312" w:eastAsia="仿宋_GB2312" w:cs="仿宋_GB2312"/>
          <w:color w:val="auto"/>
          <w:sz w:val="22"/>
          <w:szCs w:val="22"/>
          <w:highlight w:val="none"/>
          <w:u w:val="single"/>
        </w:rPr>
        <w:t xml:space="preserve"> 本条款有效期不受合同期限的限制，在合同不能履行、不再履行或履行</w:t>
      </w:r>
      <w:r>
        <w:rPr>
          <w:rFonts w:hint="eastAsia" w:ascii="仿宋_GB2312" w:hAnsi="仿宋_GB2312" w:eastAsia="仿宋_GB2312" w:cs="仿宋_GB2312"/>
          <w:color w:val="auto"/>
          <w:sz w:val="22"/>
          <w:szCs w:val="22"/>
          <w:highlight w:val="none"/>
          <w:u w:val="single"/>
          <w:lang w:val="en-US" w:eastAsia="zh-CN"/>
        </w:rPr>
        <w:t>完毕后仍然有效</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3.5 </w:t>
      </w:r>
      <w:r>
        <w:rPr>
          <w:rFonts w:hint="eastAsia" w:ascii="仿宋_GB2312" w:hAnsi="仿宋_GB2312" w:eastAsia="仿宋_GB2312" w:cs="仿宋_GB2312"/>
          <w:color w:val="auto"/>
          <w:sz w:val="22"/>
          <w:szCs w:val="22"/>
          <w:highlight w:val="none"/>
        </w:rPr>
        <w:t>本合同履行完毕后，</w:t>
      </w:r>
      <w:r>
        <w:rPr>
          <w:rFonts w:hint="eastAsia" w:ascii="仿宋_GB2312" w:hAnsi="仿宋_GB2312" w:eastAsia="仿宋_GB2312" w:cs="仿宋_GB2312"/>
          <w:color w:val="auto"/>
          <w:sz w:val="22"/>
          <w:szCs w:val="22"/>
          <w:highlight w:val="none"/>
          <w:lang w:val="en-US" w:eastAsia="zh-CN"/>
        </w:rPr>
        <w:t>发包人提供给承包人全部应保密信息</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于合同履行完毕后</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single"/>
          <w:lang w:val="en-US" w:eastAsia="zh-CN"/>
        </w:rPr>
        <w:t>7</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日内返还</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经发包人同意后，也可</w:t>
      </w:r>
      <w:r>
        <w:rPr>
          <w:rFonts w:hint="eastAsia" w:ascii="仿宋_GB2312" w:hAnsi="仿宋_GB2312" w:eastAsia="仿宋_GB2312" w:cs="仿宋_GB2312"/>
          <w:color w:val="auto"/>
          <w:sz w:val="22"/>
          <w:szCs w:val="22"/>
          <w:highlight w:val="none"/>
        </w:rPr>
        <w:t>由</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自行销毁。</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eastAsia="黑体"/>
          <w:bCs/>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3.6 </w:t>
      </w:r>
      <w:r>
        <w:rPr>
          <w:rFonts w:hint="eastAsia" w:ascii="仿宋_GB2312" w:hAnsi="仿宋_GB2312" w:eastAsia="仿宋_GB2312" w:cs="仿宋_GB2312"/>
          <w:color w:val="auto"/>
          <w:sz w:val="22"/>
          <w:szCs w:val="22"/>
          <w:highlight w:val="none"/>
        </w:rPr>
        <w:t>承包人违反合同约定保密义务的，应当向对方支付合同暂定总价款</w:t>
      </w:r>
      <w:r>
        <w:rPr>
          <w:rFonts w:hint="eastAsia" w:ascii="仿宋_GB2312" w:hAnsi="仿宋_GB2312" w:eastAsia="仿宋_GB2312" w:cs="仿宋_GB2312"/>
          <w:color w:val="auto"/>
          <w:sz w:val="22"/>
          <w:szCs w:val="22"/>
          <w:highlight w:val="none"/>
          <w:lang w:eastAsia="zh-CN"/>
        </w:rPr>
        <w:t>1</w:t>
      </w:r>
      <w:r>
        <w:rPr>
          <w:rFonts w:hint="eastAsia" w:ascii="仿宋_GB2312" w:hAnsi="仿宋_GB2312" w:eastAsia="仿宋_GB2312" w:cs="仿宋_GB2312"/>
          <w:color w:val="auto"/>
          <w:sz w:val="22"/>
          <w:szCs w:val="22"/>
          <w:highlight w:val="none"/>
        </w:rPr>
        <w:t>0%的违约金。违约金不足以弥补损失的，守约方有权继续追偿。</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第</w:t>
      </w:r>
      <w:r>
        <w:rPr>
          <w:rFonts w:hint="eastAsia" w:ascii="黑体" w:hAnsi="黑体" w:eastAsia="黑体" w:cs="黑体"/>
          <w:bCs/>
          <w:color w:val="auto"/>
          <w:sz w:val="22"/>
          <w:szCs w:val="22"/>
          <w:highlight w:val="none"/>
          <w:lang w:val="en-US" w:eastAsia="zh-CN"/>
        </w:rPr>
        <w:t>四</w:t>
      </w:r>
      <w:r>
        <w:rPr>
          <w:rFonts w:hint="eastAsia" w:ascii="黑体" w:hAnsi="黑体" w:eastAsia="黑体" w:cs="黑体"/>
          <w:bCs/>
          <w:color w:val="auto"/>
          <w:sz w:val="22"/>
          <w:szCs w:val="22"/>
          <w:highlight w:val="none"/>
        </w:rPr>
        <w:t>条  知识产权</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4.1 承包人承诺向发包人提供的（咨询）成果不存在侵犯任何第三方知识产权的情况，因承包人原因造成的任何知识产权纠纷与发包人无关，由承包人承担所有责任。</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4.2 双方确定在本合同有效期内，发包人利用承包人的咨询成果完成的新的技术成果归</w:t>
      </w:r>
      <w:r>
        <w:rPr>
          <w:rFonts w:hint="eastAsia" w:ascii="仿宋_GB2312" w:hAnsi="仿宋_GB2312" w:eastAsia="仿宋_GB2312" w:cs="仿宋_GB2312"/>
          <w:color w:val="auto"/>
          <w:sz w:val="22"/>
          <w:szCs w:val="22"/>
          <w:highlight w:val="none"/>
          <w:u w:val="single"/>
          <w:lang w:val="en-US" w:eastAsia="zh-CN"/>
        </w:rPr>
        <w:t xml:space="preserve"> 发包人 </w:t>
      </w:r>
      <w:r>
        <w:rPr>
          <w:rFonts w:hint="eastAsia" w:ascii="仿宋_GB2312" w:hAnsi="仿宋_GB2312" w:eastAsia="仿宋_GB2312" w:cs="仿宋_GB2312"/>
          <w:color w:val="auto"/>
          <w:sz w:val="22"/>
          <w:szCs w:val="22"/>
          <w:highlight w:val="none"/>
          <w:lang w:val="en-US" w:eastAsia="zh-CN"/>
        </w:rPr>
        <w:t>所有；承包人利用发包人提供的技术资料和工作条件完成的新的技术成果归</w:t>
      </w:r>
      <w:r>
        <w:rPr>
          <w:rFonts w:hint="eastAsia" w:ascii="仿宋_GB2312" w:hAnsi="仿宋_GB2312" w:eastAsia="仿宋_GB2312" w:cs="仿宋_GB2312"/>
          <w:color w:val="auto"/>
          <w:sz w:val="22"/>
          <w:szCs w:val="22"/>
          <w:highlight w:val="none"/>
          <w:u w:val="single"/>
          <w:lang w:val="en-US" w:eastAsia="zh-CN"/>
        </w:rPr>
        <w:t xml:space="preserve"> 发包人 </w:t>
      </w:r>
      <w:r>
        <w:rPr>
          <w:rFonts w:hint="eastAsia" w:ascii="仿宋_GB2312" w:hAnsi="仿宋_GB2312" w:eastAsia="仿宋_GB2312" w:cs="仿宋_GB2312"/>
          <w:color w:val="auto"/>
          <w:sz w:val="22"/>
          <w:szCs w:val="22"/>
          <w:highlight w:val="none"/>
          <w:lang w:val="en-US" w:eastAsia="zh-CN"/>
        </w:rPr>
        <w:t>所有。</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4.3 承包人履行本合同时产生的成果文件，其所有权、知识产权及其他相关法律权利归发包人所有。</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4.4 </w:t>
      </w:r>
      <w:r>
        <w:rPr>
          <w:rFonts w:hint="eastAsia" w:ascii="仿宋_GB2312" w:hAnsi="仿宋_GB2312" w:eastAsia="仿宋_GB2312" w:cs="仿宋_GB2312"/>
          <w:color w:val="auto"/>
          <w:sz w:val="22"/>
          <w:szCs w:val="22"/>
          <w:highlight w:val="none"/>
        </w:rPr>
        <w:t>未经</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书面许可，</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不得对本次项目所形成的资料及文件擅自复制，或向第三方透露、转让、扩散，或用于本合同外的项目。否则，</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应承担由此引起的法律后果及赔偿</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的所有损失。</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 xml:space="preserve">4.5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在提供技术服务过程中，使用的代码、软件等不得侵犯第三方知识产权，如因侵权引起的一切纠纷或后果，均由</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承担</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 xml:space="preserve"> </w:t>
      </w:r>
    </w:p>
    <w:p>
      <w:pPr>
        <w:pageBreakBefore w:val="0"/>
        <w:shd w:val="clear"/>
        <w:kinsoku/>
        <w:wordWrap/>
        <w:overflowPunct/>
        <w:topLinePunct w:val="0"/>
        <w:autoSpaceDE/>
        <w:autoSpaceDN/>
        <w:bidi w:val="0"/>
        <w:adjustRightInd w:val="0"/>
        <w:snapToGrid w:val="0"/>
        <w:spacing w:line="360" w:lineRule="auto"/>
        <w:ind w:firstLine="440" w:firstLineChars="200"/>
        <w:rPr>
          <w:rFonts w:hint="default"/>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 xml:space="preserve">4.6 </w:t>
      </w:r>
      <w:r>
        <w:rPr>
          <w:rFonts w:hint="eastAsia" w:ascii="仿宋_GB2312" w:hAnsi="仿宋_GB2312" w:eastAsia="仿宋_GB2312" w:cs="仿宋_GB2312"/>
          <w:color w:val="auto"/>
          <w:sz w:val="22"/>
          <w:szCs w:val="22"/>
          <w:highlight w:val="none"/>
        </w:rPr>
        <w:t>对任何因</w:t>
      </w:r>
      <w:r>
        <w:rPr>
          <w:rFonts w:hint="eastAsia" w:ascii="仿宋_GB2312" w:hAnsi="仿宋_GB2312" w:eastAsia="仿宋_GB2312" w:cs="仿宋_GB2312"/>
          <w:color w:val="auto"/>
          <w:sz w:val="22"/>
          <w:szCs w:val="22"/>
          <w:highlight w:val="none"/>
          <w:lang w:val="en-US" w:eastAsia="zh-CN"/>
        </w:rPr>
        <w:t>承包人</w:t>
      </w:r>
      <w:r>
        <w:rPr>
          <w:rFonts w:hint="eastAsia" w:ascii="仿宋_GB2312" w:hAnsi="仿宋_GB2312" w:eastAsia="仿宋_GB2312" w:cs="仿宋_GB2312"/>
          <w:color w:val="auto"/>
          <w:sz w:val="22"/>
          <w:szCs w:val="22"/>
          <w:highlight w:val="none"/>
        </w:rPr>
        <w:t>交付的工作成果侵犯第三方专利权、著作权、商标权、商业秘密或其他知识产权导致第三方向</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主张权利的，</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应及时通知</w:t>
      </w:r>
      <w:r>
        <w:rPr>
          <w:rFonts w:hint="eastAsia" w:ascii="仿宋_GB2312" w:hAnsi="仿宋_GB2312" w:eastAsia="仿宋_GB2312" w:cs="仿宋_GB2312"/>
          <w:color w:val="auto"/>
          <w:sz w:val="22"/>
          <w:szCs w:val="22"/>
          <w:highlight w:val="none"/>
          <w:lang w:val="en-US" w:eastAsia="zh-CN"/>
        </w:rPr>
        <w:t>承包人</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承包人</w:t>
      </w:r>
      <w:r>
        <w:rPr>
          <w:rFonts w:hint="eastAsia" w:ascii="仿宋_GB2312" w:hAnsi="仿宋_GB2312" w:eastAsia="仿宋_GB2312" w:cs="仿宋_GB2312"/>
          <w:color w:val="auto"/>
          <w:sz w:val="22"/>
          <w:szCs w:val="22"/>
          <w:highlight w:val="none"/>
        </w:rPr>
        <w:t>将自费就上述权利主张为</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辩护，并承担因此导致的一切法律责任，包括但不限于法院最终判决的或和解达成的一切费用（包括但不限于损害赔偿金和律师费等费用）。若</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受到此类索赔或起诉，并因此造成</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的一切损失由</w:t>
      </w:r>
      <w:r>
        <w:rPr>
          <w:rFonts w:hint="eastAsia" w:ascii="仿宋_GB2312" w:hAnsi="仿宋_GB2312" w:eastAsia="仿宋_GB2312" w:cs="仿宋_GB2312"/>
          <w:color w:val="auto"/>
          <w:sz w:val="22"/>
          <w:szCs w:val="22"/>
          <w:highlight w:val="none"/>
          <w:lang w:val="en-US" w:eastAsia="zh-CN"/>
        </w:rPr>
        <w:t>承包人</w:t>
      </w:r>
      <w:r>
        <w:rPr>
          <w:rFonts w:hint="eastAsia" w:ascii="仿宋_GB2312" w:hAnsi="仿宋_GB2312" w:eastAsia="仿宋_GB2312" w:cs="仿宋_GB2312"/>
          <w:color w:val="auto"/>
          <w:sz w:val="22"/>
          <w:szCs w:val="22"/>
          <w:highlight w:val="none"/>
        </w:rPr>
        <w:t>承担，</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有权解除合同，同时</w:t>
      </w:r>
      <w:r>
        <w:rPr>
          <w:rFonts w:hint="eastAsia" w:ascii="仿宋_GB2312" w:hAnsi="仿宋_GB2312" w:eastAsia="仿宋_GB2312" w:cs="仿宋_GB2312"/>
          <w:color w:val="auto"/>
          <w:sz w:val="22"/>
          <w:szCs w:val="22"/>
          <w:highlight w:val="none"/>
          <w:lang w:val="en-US" w:eastAsia="zh-CN"/>
        </w:rPr>
        <w:t>承包人</w:t>
      </w:r>
      <w:r>
        <w:rPr>
          <w:rFonts w:hint="eastAsia" w:ascii="仿宋_GB2312" w:hAnsi="仿宋_GB2312" w:eastAsia="仿宋_GB2312" w:cs="仿宋_GB2312"/>
          <w:color w:val="auto"/>
          <w:sz w:val="22"/>
          <w:szCs w:val="22"/>
          <w:highlight w:val="none"/>
        </w:rPr>
        <w:t>应向</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支付合同总价10%的违约金。前述违约金不足以弥补</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损失的，</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有权继续追偿。</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第</w:t>
      </w:r>
      <w:r>
        <w:rPr>
          <w:rFonts w:hint="eastAsia" w:ascii="黑体" w:hAnsi="黑体" w:eastAsia="黑体" w:cs="黑体"/>
          <w:bCs/>
          <w:color w:val="auto"/>
          <w:sz w:val="22"/>
          <w:szCs w:val="22"/>
          <w:highlight w:val="none"/>
          <w:lang w:val="en-US" w:eastAsia="zh-CN"/>
        </w:rPr>
        <w:t>五</w:t>
      </w:r>
      <w:r>
        <w:rPr>
          <w:rFonts w:hint="eastAsia" w:ascii="黑体" w:hAnsi="黑体" w:eastAsia="黑体" w:cs="黑体"/>
          <w:bCs/>
          <w:color w:val="auto"/>
          <w:sz w:val="22"/>
          <w:szCs w:val="22"/>
          <w:highlight w:val="none"/>
        </w:rPr>
        <w:t xml:space="preserve">条  </w:t>
      </w:r>
      <w:r>
        <w:rPr>
          <w:rFonts w:hint="eastAsia" w:ascii="黑体" w:hAnsi="黑体" w:eastAsia="黑体" w:cs="黑体"/>
          <w:bCs/>
          <w:color w:val="auto"/>
          <w:sz w:val="22"/>
          <w:szCs w:val="22"/>
          <w:highlight w:val="none"/>
          <w:lang w:eastAsia="zh-CN"/>
        </w:rPr>
        <w:t>发包人</w:t>
      </w:r>
      <w:r>
        <w:rPr>
          <w:rFonts w:hint="eastAsia" w:ascii="黑体" w:hAnsi="黑体" w:eastAsia="黑体" w:cs="黑体"/>
          <w:bCs/>
          <w:color w:val="auto"/>
          <w:sz w:val="22"/>
          <w:szCs w:val="22"/>
          <w:highlight w:val="none"/>
        </w:rPr>
        <w:t>的权利和义务</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5.1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提供</w:t>
      </w:r>
      <w:r>
        <w:rPr>
          <w:rFonts w:hint="eastAsia" w:ascii="仿宋_GB2312" w:hAnsi="仿宋_GB2312" w:eastAsia="仿宋_GB2312" w:cs="仿宋_GB2312"/>
          <w:color w:val="auto"/>
          <w:sz w:val="22"/>
          <w:szCs w:val="22"/>
          <w:highlight w:val="none"/>
          <w:lang w:val="en-US" w:eastAsia="zh-CN"/>
        </w:rPr>
        <w:t>技术（</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所必需的资料，并对所提供资料的真实性、准确性和完整性负责。</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5.1.1 </w:t>
      </w:r>
      <w:r>
        <w:rPr>
          <w:rFonts w:hint="eastAsia" w:ascii="仿宋_GB2312" w:hAnsi="仿宋_GB2312" w:eastAsia="仿宋_GB2312" w:cs="仿宋_GB2312"/>
          <w:color w:val="auto"/>
          <w:sz w:val="22"/>
          <w:szCs w:val="22"/>
          <w:highlight w:val="none"/>
        </w:rPr>
        <w:t>技术资料提供时间及方式：</w:t>
      </w:r>
      <w:r>
        <w:rPr>
          <w:rFonts w:hint="eastAsia" w:ascii="仿宋_GB2312" w:hAnsi="仿宋_GB2312" w:eastAsia="仿宋_GB2312" w:cs="仿宋_GB2312"/>
          <w:color w:val="auto"/>
          <w:sz w:val="22"/>
          <w:szCs w:val="22"/>
          <w:highlight w:val="none"/>
          <w:u w:val="single"/>
          <w:lang w:val="en-US" w:eastAsia="zh-CN"/>
        </w:rPr>
        <w:t>随项目评估检查时，由被评估项目提供</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5.1.2 </w:t>
      </w:r>
      <w:r>
        <w:rPr>
          <w:rFonts w:hint="eastAsia" w:ascii="仿宋_GB2312" w:hAnsi="仿宋_GB2312" w:eastAsia="仿宋_GB2312" w:cs="仿宋_GB2312"/>
          <w:color w:val="auto"/>
          <w:sz w:val="22"/>
          <w:szCs w:val="22"/>
          <w:highlight w:val="none"/>
        </w:rPr>
        <w:t>协作事项提供时间及方式：</w:t>
      </w:r>
      <w:r>
        <w:rPr>
          <w:rFonts w:hint="eastAsia" w:ascii="仿宋_GB2312" w:hAnsi="仿宋_GB2312" w:eastAsia="仿宋_GB2312" w:cs="仿宋_GB2312"/>
          <w:color w:val="auto"/>
          <w:sz w:val="22"/>
          <w:szCs w:val="22"/>
          <w:highlight w:val="none"/>
          <w:u w:val="single"/>
        </w:rPr>
        <w:t>随项目评估检查时，由被评估项目提供</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5.2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有权</w:t>
      </w:r>
      <w:r>
        <w:rPr>
          <w:rFonts w:hint="eastAsia" w:ascii="仿宋_GB2312" w:hAnsi="仿宋_GB2312" w:eastAsia="仿宋_GB2312" w:cs="仿宋_GB2312"/>
          <w:color w:val="auto"/>
          <w:sz w:val="22"/>
          <w:szCs w:val="22"/>
          <w:highlight w:val="none"/>
          <w:lang w:val="en-US" w:eastAsia="zh-CN"/>
        </w:rPr>
        <w:t>对</w:t>
      </w:r>
      <w:r>
        <w:rPr>
          <w:rFonts w:hint="eastAsia" w:ascii="仿宋_GB2312" w:hAnsi="仿宋_GB2312" w:eastAsia="仿宋_GB2312" w:cs="仿宋_GB2312"/>
          <w:color w:val="auto"/>
          <w:sz w:val="22"/>
          <w:szCs w:val="22"/>
          <w:highlight w:val="none"/>
        </w:rPr>
        <w:t>委托</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的内容和范围</w:t>
      </w:r>
      <w:r>
        <w:rPr>
          <w:rFonts w:hint="eastAsia" w:ascii="仿宋_GB2312" w:hAnsi="仿宋_GB2312" w:eastAsia="仿宋_GB2312" w:cs="仿宋_GB2312"/>
          <w:color w:val="auto"/>
          <w:sz w:val="22"/>
          <w:szCs w:val="22"/>
          <w:highlight w:val="none"/>
          <w:lang w:val="en-US" w:eastAsia="zh-CN"/>
        </w:rPr>
        <w:t>进行变更减少，</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lang w:val="en-US" w:eastAsia="zh-CN"/>
        </w:rPr>
        <w:t>应配合相应工作</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并按照最新的服务内容、范围进行结算</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5.3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有权</w:t>
      </w:r>
      <w:r>
        <w:rPr>
          <w:rFonts w:hint="eastAsia" w:ascii="仿宋_GB2312" w:hAnsi="仿宋_GB2312" w:eastAsia="仿宋_GB2312" w:cs="仿宋_GB2312"/>
          <w:color w:val="auto"/>
          <w:sz w:val="22"/>
          <w:szCs w:val="22"/>
          <w:highlight w:val="none"/>
          <w:lang w:val="en-US" w:eastAsia="zh-CN"/>
        </w:rPr>
        <w:t>随时终止本合同内容</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lang w:val="en-US" w:eastAsia="zh-CN"/>
        </w:rPr>
        <w:t>应配合相应工作</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并按照已发生的服务内容、范围进行结算</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5.4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有权向</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询问工作进展情况及</w:t>
      </w:r>
      <w:r>
        <w:rPr>
          <w:rFonts w:hint="eastAsia" w:ascii="仿宋_GB2312" w:hAnsi="仿宋_GB2312" w:eastAsia="仿宋_GB2312" w:cs="仿宋_GB2312"/>
          <w:color w:val="auto"/>
          <w:sz w:val="22"/>
          <w:szCs w:val="22"/>
          <w:highlight w:val="none"/>
          <w:lang w:eastAsia="zh-CN"/>
        </w:rPr>
        <w:t>相关</w:t>
      </w:r>
      <w:r>
        <w:rPr>
          <w:rFonts w:hint="eastAsia" w:ascii="仿宋_GB2312" w:hAnsi="仿宋_GB2312" w:eastAsia="仿宋_GB2312" w:cs="仿宋_GB2312"/>
          <w:color w:val="auto"/>
          <w:sz w:val="22"/>
          <w:szCs w:val="22"/>
          <w:highlight w:val="none"/>
        </w:rPr>
        <w:t>内容，有权阐述对具体问题的意见和建议。</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5.5 发包人对</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提供的</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服务建议或报告有审议、修改及最终决策的权利。</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5.6 </w:t>
      </w:r>
      <w:r>
        <w:rPr>
          <w:rFonts w:hint="eastAsia" w:ascii="仿宋_GB2312" w:hAnsi="仿宋_GB2312" w:eastAsia="仿宋_GB2312" w:cs="仿宋_GB2312"/>
          <w:color w:val="auto"/>
          <w:sz w:val="22"/>
          <w:szCs w:val="22"/>
          <w:highlight w:val="none"/>
        </w:rPr>
        <w:t>若</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专业人员不按</w:t>
      </w:r>
      <w:r>
        <w:rPr>
          <w:rFonts w:hint="eastAsia" w:ascii="仿宋_GB2312" w:hAnsi="仿宋_GB2312" w:eastAsia="仿宋_GB2312" w:cs="仿宋_GB2312"/>
          <w:color w:val="auto"/>
          <w:sz w:val="22"/>
          <w:szCs w:val="22"/>
          <w:highlight w:val="none"/>
          <w:lang w:val="en-US" w:eastAsia="zh-CN"/>
        </w:rPr>
        <w:t>本合同</w:t>
      </w:r>
      <w:r>
        <w:rPr>
          <w:rFonts w:hint="eastAsia" w:ascii="仿宋_GB2312" w:hAnsi="仿宋_GB2312" w:eastAsia="仿宋_GB2312" w:cs="仿宋_GB2312"/>
          <w:color w:val="auto"/>
          <w:sz w:val="22"/>
          <w:szCs w:val="22"/>
          <w:highlight w:val="none"/>
        </w:rPr>
        <w:t>履行其职责，</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有权要求更换</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专业人员，直至终止协议。</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5.7 </w:t>
      </w:r>
      <w:r>
        <w:rPr>
          <w:rFonts w:hint="eastAsia" w:ascii="仿宋_GB2312" w:hAnsi="仿宋_GB2312" w:eastAsia="仿宋_GB2312" w:cs="仿宋_GB2312"/>
          <w:color w:val="auto"/>
          <w:sz w:val="22"/>
          <w:szCs w:val="22"/>
          <w:highlight w:val="none"/>
        </w:rPr>
        <w:t>依据</w:t>
      </w:r>
      <w:r>
        <w:rPr>
          <w:rFonts w:hint="eastAsia" w:ascii="仿宋_GB2312" w:hAnsi="仿宋_GB2312" w:eastAsia="仿宋_GB2312" w:cs="仿宋_GB2312"/>
          <w:color w:val="auto"/>
          <w:sz w:val="22"/>
          <w:szCs w:val="22"/>
          <w:highlight w:val="none"/>
          <w:lang w:val="en-US" w:eastAsia="zh-CN"/>
        </w:rPr>
        <w:t>合同有关</w:t>
      </w:r>
      <w:r>
        <w:rPr>
          <w:rFonts w:hint="eastAsia" w:ascii="仿宋_GB2312" w:hAnsi="仿宋_GB2312" w:eastAsia="仿宋_GB2312" w:cs="仿宋_GB2312"/>
          <w:color w:val="auto"/>
          <w:sz w:val="22"/>
          <w:szCs w:val="22"/>
          <w:highlight w:val="none"/>
        </w:rPr>
        <w:t>规定，向</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支付</w:t>
      </w:r>
      <w:r>
        <w:rPr>
          <w:rFonts w:hint="eastAsia" w:ascii="仿宋_GB2312" w:hAnsi="仿宋_GB2312" w:eastAsia="仿宋_GB2312" w:cs="仿宋_GB2312"/>
          <w:color w:val="auto"/>
          <w:sz w:val="22"/>
          <w:szCs w:val="22"/>
          <w:highlight w:val="none"/>
          <w:lang w:val="en-US" w:eastAsia="zh-CN"/>
        </w:rPr>
        <w:t>合同价款</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5.8 有权监督、督促承包人完成本合同约定委托事项，并对委托事项进行验收，验收不合格的，有权要求承包人重新提供服务至验收合格，且重新提供服务不另算服务次数</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5.9 协助提供项目现场评估所需相关资料（包括但不限于项目图纸、施工方案、设计变更等）、会议设备、打印设备等，以确保承包人现场评估工作顺利开展（由被评估项目现场提供）</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5.10 现场一个轮次服务工作完成后，承包人填写本轮次完成工作量统计表并签字盖章上报发包人，发包人对承包人当轮次评估完成工作量予以审核，审核通过后盖章确认。审核仅为发包人对承包人工作量的确认，不视为发包人确认承包人评估工作验收合格。</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5.11 应及时就承包人的请示、建议、报告等以书面文件或邮件的形式进行回复和决策。</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5.12 履行合同期间，发包人以为承包人工作人员提供项目部食堂工作午餐，如项目部食堂安排存在困难的，由承包人工作人员自行解决。</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5.13 指派</w:t>
      </w:r>
      <w:r>
        <w:rPr>
          <w:rFonts w:hint="eastAsia" w:ascii="仿宋_GB2312" w:hAnsi="仿宋_GB2312" w:eastAsia="仿宋_GB2312" w:cs="仿宋_GB2312"/>
          <w:color w:val="auto"/>
          <w:sz w:val="22"/>
          <w:szCs w:val="22"/>
          <w:highlight w:val="none"/>
          <w:u w:val="single"/>
          <w:lang w:val="en-US" w:eastAsia="zh-CN"/>
        </w:rPr>
        <w:t xml:space="preserve"> XXXXXXXX </w:t>
      </w:r>
      <w:r>
        <w:rPr>
          <w:rFonts w:hint="eastAsia" w:ascii="仿宋_GB2312" w:hAnsi="仿宋_GB2312" w:eastAsia="仿宋_GB2312" w:cs="仿宋_GB2312"/>
          <w:color w:val="auto"/>
          <w:sz w:val="22"/>
          <w:szCs w:val="22"/>
          <w:highlight w:val="none"/>
          <w:lang w:val="en-US" w:eastAsia="zh-CN"/>
        </w:rPr>
        <w:t>（所在部门：</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val="en-US" w:eastAsia="zh-CN"/>
        </w:rPr>
        <w:t>，职务：</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val="en-US" w:eastAsia="zh-CN"/>
        </w:rPr>
        <w:t>，联系方式：</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val="en-US" w:eastAsia="zh-CN"/>
        </w:rPr>
        <w:t>，收件地址：</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val="en-US" w:eastAsia="zh-CN"/>
        </w:rPr>
        <w:t>）为发包人代表，代表对本工程服务工作负责，并向承包人提出合理指示，接收承包人呈交的评价报告等文件，发包人指定接收资料邮箱：</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第</w:t>
      </w:r>
      <w:r>
        <w:rPr>
          <w:rFonts w:hint="eastAsia" w:ascii="黑体" w:hAnsi="黑体" w:eastAsia="黑体" w:cs="黑体"/>
          <w:bCs/>
          <w:color w:val="auto"/>
          <w:sz w:val="22"/>
          <w:szCs w:val="22"/>
          <w:highlight w:val="none"/>
          <w:lang w:val="en-US" w:eastAsia="zh-CN"/>
        </w:rPr>
        <w:t>六</w:t>
      </w:r>
      <w:r>
        <w:rPr>
          <w:rFonts w:hint="eastAsia" w:ascii="黑体" w:hAnsi="黑体" w:eastAsia="黑体" w:cs="黑体"/>
          <w:bCs/>
          <w:color w:val="auto"/>
          <w:sz w:val="22"/>
          <w:szCs w:val="22"/>
          <w:highlight w:val="none"/>
        </w:rPr>
        <w:t>条</w:t>
      </w:r>
      <w:r>
        <w:rPr>
          <w:rFonts w:hint="eastAsia" w:ascii="黑体" w:hAnsi="黑体" w:eastAsia="黑体" w:cs="黑体"/>
          <w:bCs/>
          <w:color w:val="auto"/>
          <w:sz w:val="22"/>
          <w:szCs w:val="22"/>
          <w:highlight w:val="none"/>
          <w:lang w:val="en-US" w:eastAsia="zh-CN"/>
        </w:rPr>
        <w:t xml:space="preserve">  </w:t>
      </w:r>
      <w:r>
        <w:rPr>
          <w:rFonts w:hint="eastAsia" w:ascii="黑体" w:hAnsi="黑体" w:eastAsia="黑体" w:cs="黑体"/>
          <w:bCs/>
          <w:color w:val="auto"/>
          <w:sz w:val="22"/>
          <w:szCs w:val="22"/>
          <w:highlight w:val="none"/>
          <w:lang w:eastAsia="zh-CN"/>
        </w:rPr>
        <w:t>承包人</w:t>
      </w:r>
      <w:r>
        <w:rPr>
          <w:rFonts w:hint="eastAsia" w:ascii="黑体" w:hAnsi="黑体" w:eastAsia="黑体" w:cs="黑体"/>
          <w:bCs/>
          <w:color w:val="auto"/>
          <w:sz w:val="22"/>
          <w:szCs w:val="22"/>
          <w:highlight w:val="none"/>
        </w:rPr>
        <w:t>的权利和义务</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6.1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应根据</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进度要求合理安排工作，确保在约定期限内完成提交</w:t>
      </w:r>
      <w:r>
        <w:rPr>
          <w:rFonts w:hint="eastAsia" w:ascii="仿宋_GB2312" w:hAnsi="仿宋_GB2312" w:eastAsia="仿宋_GB2312" w:cs="仿宋_GB2312"/>
          <w:color w:val="auto"/>
          <w:sz w:val="22"/>
          <w:szCs w:val="22"/>
          <w:highlight w:val="none"/>
          <w:lang w:val="en-US" w:eastAsia="zh-CN"/>
        </w:rPr>
        <w:t>技术</w:t>
      </w:r>
      <w:r>
        <w:rPr>
          <w:rFonts w:hint="eastAsia" w:ascii="仿宋_GB2312" w:hAnsi="仿宋_GB2312" w:eastAsia="仿宋_GB2312" w:cs="仿宋_GB2312"/>
          <w:color w:val="auto"/>
          <w:sz w:val="22"/>
          <w:szCs w:val="22"/>
          <w:highlight w:val="none"/>
        </w:rPr>
        <w:t>成果。</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6.2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变更委托</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的内容和范围的，</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在不违反法律规定以及技术标准强制性规定的前提下应当按照</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要求</w:t>
      </w:r>
      <w:r>
        <w:rPr>
          <w:rFonts w:hint="eastAsia" w:ascii="仿宋_GB2312" w:hAnsi="仿宋_GB2312" w:eastAsia="仿宋_GB2312" w:cs="仿宋_GB2312"/>
          <w:color w:val="auto"/>
          <w:sz w:val="22"/>
          <w:szCs w:val="22"/>
          <w:highlight w:val="none"/>
          <w:lang w:val="en-US" w:eastAsia="zh-CN"/>
        </w:rPr>
        <w:t>无偿</w:t>
      </w:r>
      <w:r>
        <w:rPr>
          <w:rFonts w:hint="eastAsia" w:ascii="仿宋_GB2312" w:hAnsi="仿宋_GB2312" w:eastAsia="仿宋_GB2312" w:cs="仿宋_GB2312"/>
          <w:color w:val="auto"/>
          <w:sz w:val="22"/>
          <w:szCs w:val="22"/>
          <w:highlight w:val="none"/>
        </w:rPr>
        <w:t>进行变更</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并按照最新的服务内容、范围进行结算</w:t>
      </w:r>
      <w:r>
        <w:rPr>
          <w:rFonts w:hint="eastAsia" w:ascii="仿宋_GB2312" w:hAnsi="仿宋_GB2312" w:eastAsia="仿宋_GB2312" w:cs="仿宋_GB2312"/>
          <w:color w:val="auto"/>
          <w:sz w:val="22"/>
          <w:szCs w:val="22"/>
          <w:highlight w:val="none"/>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6.3 </w:t>
      </w:r>
      <w:r>
        <w:rPr>
          <w:rFonts w:hint="eastAsia" w:ascii="仿宋_GB2312" w:hAnsi="仿宋_GB2312" w:eastAsia="仿宋_GB2312" w:cs="仿宋_GB2312"/>
          <w:color w:val="auto"/>
          <w:sz w:val="22"/>
          <w:szCs w:val="22"/>
          <w:highlight w:val="none"/>
        </w:rPr>
        <w:t>因</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原因导致工期延误的，</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不承担责任，</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期限相应顺延。</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6.4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对</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成果中出现的遗漏、错误或者达不到深度要求</w:t>
      </w:r>
      <w:r>
        <w:rPr>
          <w:rFonts w:hint="eastAsia" w:ascii="仿宋_GB2312" w:hAnsi="仿宋_GB2312" w:eastAsia="仿宋_GB2312" w:cs="仿宋_GB2312"/>
          <w:color w:val="auto"/>
          <w:sz w:val="22"/>
          <w:szCs w:val="22"/>
          <w:highlight w:val="none"/>
          <w:lang w:eastAsia="zh-CN"/>
        </w:rPr>
        <w:t>的情况，</w:t>
      </w:r>
      <w:r>
        <w:rPr>
          <w:rFonts w:hint="eastAsia" w:ascii="仿宋_GB2312" w:hAnsi="仿宋_GB2312" w:eastAsia="仿宋_GB2312" w:cs="仿宋_GB2312"/>
          <w:color w:val="auto"/>
          <w:sz w:val="22"/>
          <w:szCs w:val="22"/>
          <w:highlight w:val="none"/>
        </w:rPr>
        <w:t>应当负责</w:t>
      </w:r>
      <w:r>
        <w:rPr>
          <w:rFonts w:hint="eastAsia" w:ascii="仿宋_GB2312" w:hAnsi="仿宋_GB2312" w:eastAsia="仿宋_GB2312" w:cs="仿宋_GB2312"/>
          <w:color w:val="auto"/>
          <w:sz w:val="22"/>
          <w:szCs w:val="22"/>
          <w:highlight w:val="none"/>
          <w:lang w:val="en-US" w:eastAsia="zh-CN"/>
        </w:rPr>
        <w:t>无偿</w:t>
      </w:r>
      <w:r>
        <w:rPr>
          <w:rFonts w:hint="eastAsia" w:ascii="仿宋_GB2312" w:hAnsi="仿宋_GB2312" w:eastAsia="仿宋_GB2312" w:cs="仿宋_GB2312"/>
          <w:color w:val="auto"/>
          <w:sz w:val="22"/>
          <w:szCs w:val="22"/>
          <w:highlight w:val="none"/>
        </w:rPr>
        <w:t>修改或补充。</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6.5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应选派有工作经验、技术全面、责任心强的人员承担本项工作，未经</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lang w:val="en-US" w:eastAsia="zh-CN"/>
        </w:rPr>
        <w:t>书面</w:t>
      </w:r>
      <w:r>
        <w:rPr>
          <w:rFonts w:hint="eastAsia" w:ascii="仿宋_GB2312" w:hAnsi="仿宋_GB2312" w:eastAsia="仿宋_GB2312" w:cs="仿宋_GB2312"/>
          <w:color w:val="auto"/>
          <w:sz w:val="22"/>
          <w:szCs w:val="22"/>
          <w:highlight w:val="none"/>
        </w:rPr>
        <w:t>同意，不得更换。</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6.6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要求</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提前交付</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成果的</w:t>
      </w:r>
      <w:r>
        <w:rPr>
          <w:rFonts w:hint="eastAsia" w:ascii="仿宋_GB2312" w:hAnsi="仿宋_GB2312" w:eastAsia="仿宋_GB2312" w:cs="仿宋_GB2312"/>
          <w:color w:val="auto"/>
          <w:sz w:val="22"/>
          <w:szCs w:val="22"/>
          <w:highlight w:val="none"/>
          <w:lang w:eastAsia="zh-CN"/>
        </w:rPr>
        <w:t>，在</w:t>
      </w:r>
      <w:r>
        <w:rPr>
          <w:rFonts w:hint="eastAsia" w:ascii="仿宋_GB2312" w:hAnsi="仿宋_GB2312" w:eastAsia="仿宋_GB2312" w:cs="仿宋_GB2312"/>
          <w:color w:val="auto"/>
          <w:sz w:val="22"/>
          <w:szCs w:val="22"/>
          <w:highlight w:val="none"/>
        </w:rPr>
        <w:t>不压缩合理周期的前提下</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有义务配合。</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6.7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在提供</w:t>
      </w:r>
      <w:r>
        <w:rPr>
          <w:rFonts w:hint="eastAsia" w:ascii="仿宋_GB2312" w:hAnsi="仿宋_GB2312" w:eastAsia="仿宋_GB2312" w:cs="仿宋_GB2312"/>
          <w:color w:val="auto"/>
          <w:sz w:val="22"/>
          <w:szCs w:val="22"/>
          <w:highlight w:val="none"/>
          <w:lang w:val="en-US" w:eastAsia="zh-CN"/>
        </w:rPr>
        <w:t>（</w:t>
      </w:r>
      <w:r>
        <w:rPr>
          <w:rFonts w:hint="eastAsia" w:ascii="仿宋_GB2312" w:hAnsi="仿宋_GB2312" w:eastAsia="仿宋_GB2312" w:cs="仿宋_GB2312"/>
          <w:color w:val="auto"/>
          <w:sz w:val="22"/>
          <w:szCs w:val="22"/>
          <w:highlight w:val="none"/>
        </w:rPr>
        <w:t>咨询</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服务过程中，应做好国家及行业规范和政策的了解，真实完整掌握咨询所需资料信息，遵守诚实、勤勉、尽职的原则，不得编造虚假信息。</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6.8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应严格遵守国家、地方、行业有关安全生产、职业健康、质量和环境保护的法律规定，以及</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有关管理制度，加强对</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人员的教育培训。未遵守上述规定造成的损失，由</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承担全部赔偿责任。</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6.9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及其工作人员、所管理人员因履行本合同义务，造成本人或第三人人身、财产损失的，由</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自行负责，与</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无关。</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6.10 承包人承诺并保证具备履行本合同委托事项的各项法定资格，并已提供相关证明文件。</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6.11</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未经</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许可不得将本合同约定委托事项全部或者部分转委托给第三方</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6.12</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人员应遵守项目安全管理的相关法律法规和要求，熟练掌握检查体系要求的方法及相关技术</w:t>
      </w:r>
      <w:r>
        <w:rPr>
          <w:rFonts w:hint="eastAsia" w:ascii="仿宋_GB2312" w:hAnsi="仿宋_GB2312" w:eastAsia="仿宋_GB2312" w:cs="仿宋_GB2312"/>
          <w:color w:val="auto"/>
          <w:sz w:val="22"/>
          <w:szCs w:val="22"/>
          <w:highlight w:val="none"/>
          <w:lang w:val="en-US" w:eastAsia="zh-CN"/>
        </w:rPr>
        <w:t>。</w:t>
      </w:r>
      <w:r>
        <w:rPr>
          <w:rFonts w:hint="default" w:ascii="仿宋_GB2312" w:hAnsi="仿宋_GB2312" w:eastAsia="仿宋_GB2312" w:cs="仿宋_GB2312"/>
          <w:color w:val="auto"/>
          <w:sz w:val="22"/>
          <w:szCs w:val="22"/>
          <w:highlight w:val="none"/>
          <w:lang w:val="en-US" w:eastAsia="zh-CN"/>
        </w:rPr>
        <w:t xml:space="preserve"> </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6.13</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应当负责其委派的评估服务人员在本合同履行期限内的食宿、交通、人身、</w:t>
      </w:r>
      <w:r>
        <w:rPr>
          <w:rFonts w:hint="eastAsia" w:ascii="仿宋_GB2312" w:hAnsi="仿宋_GB2312" w:eastAsia="仿宋_GB2312" w:cs="仿宋_GB2312"/>
          <w:color w:val="auto"/>
          <w:sz w:val="22"/>
          <w:szCs w:val="22"/>
          <w:highlight w:val="none"/>
          <w:lang w:val="en-US" w:eastAsia="zh-CN"/>
        </w:rPr>
        <w:t>财产</w:t>
      </w:r>
      <w:r>
        <w:rPr>
          <w:rFonts w:hint="default" w:ascii="仿宋_GB2312" w:hAnsi="仿宋_GB2312" w:eastAsia="仿宋_GB2312" w:cs="仿宋_GB2312"/>
          <w:color w:val="auto"/>
          <w:sz w:val="22"/>
          <w:szCs w:val="22"/>
          <w:highlight w:val="none"/>
          <w:lang w:val="en-US" w:eastAsia="zh-CN"/>
        </w:rPr>
        <w:t>安全，并负责为本公司人员购买意外伤害保险，并对因其评估人员的操作不当而造成的</w:t>
      </w:r>
      <w:r>
        <w:rPr>
          <w:rFonts w:hint="eastAsia" w:ascii="仿宋_GB2312" w:hAnsi="仿宋_GB2312" w:eastAsia="仿宋_GB2312" w:cs="仿宋_GB2312"/>
          <w:color w:val="auto"/>
          <w:sz w:val="22"/>
          <w:szCs w:val="22"/>
          <w:highlight w:val="none"/>
          <w:lang w:val="en-US" w:eastAsia="zh-CN"/>
        </w:rPr>
        <w:t>本人及其他</w:t>
      </w:r>
      <w:r>
        <w:rPr>
          <w:rFonts w:hint="default" w:ascii="仿宋_GB2312" w:hAnsi="仿宋_GB2312" w:eastAsia="仿宋_GB2312" w:cs="仿宋_GB2312"/>
          <w:color w:val="auto"/>
          <w:sz w:val="22"/>
          <w:szCs w:val="22"/>
          <w:highlight w:val="none"/>
          <w:lang w:val="en-US" w:eastAsia="zh-CN"/>
        </w:rPr>
        <w:t>人身、</w:t>
      </w:r>
      <w:r>
        <w:rPr>
          <w:rFonts w:hint="eastAsia" w:ascii="仿宋_GB2312" w:hAnsi="仿宋_GB2312" w:eastAsia="仿宋_GB2312" w:cs="仿宋_GB2312"/>
          <w:color w:val="auto"/>
          <w:sz w:val="22"/>
          <w:szCs w:val="22"/>
          <w:highlight w:val="none"/>
          <w:lang w:val="en-US" w:eastAsia="zh-CN"/>
        </w:rPr>
        <w:t>财产</w:t>
      </w:r>
      <w:r>
        <w:rPr>
          <w:rFonts w:hint="default" w:ascii="仿宋_GB2312" w:hAnsi="仿宋_GB2312" w:eastAsia="仿宋_GB2312" w:cs="仿宋_GB2312"/>
          <w:color w:val="auto"/>
          <w:sz w:val="22"/>
          <w:szCs w:val="22"/>
          <w:highlight w:val="none"/>
          <w:lang w:val="en-US" w:eastAsia="zh-CN"/>
        </w:rPr>
        <w:t>安全负责</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6.14</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应按照本合同约定以及</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要求及时进行沟通，按时向</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提交符合要求的评估报告，并积极配合</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提出的建议改进工作</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6.15</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人员进入待评估项目后，应负责自身人身安全，在进行评估服务工作期间做好自身防护工作</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6.16</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不得随意更换评估服务人员，确需更换人员，需与</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沟通确认，否则，除人员离职等特殊原因外，给</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造成损失的，</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有权要求</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赔偿损失</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6.17</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在管理</w:t>
      </w:r>
      <w:r>
        <w:rPr>
          <w:rFonts w:hint="default" w:ascii="仿宋_GB2312" w:hAnsi="仿宋_GB2312" w:eastAsia="仿宋_GB2312" w:cs="仿宋_GB2312"/>
          <w:color w:val="auto"/>
          <w:sz w:val="22"/>
          <w:szCs w:val="22"/>
          <w:highlight w:val="none"/>
          <w:lang w:val="en-US" w:eastAsia="zh-CN"/>
        </w:rPr>
        <w:t>期间，</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人员严禁参加施工单位、供方单位等其他单位任何形式的宴请或接受任何礼物</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6.18承包人</w:t>
      </w:r>
      <w:r>
        <w:rPr>
          <w:rFonts w:hint="default" w:ascii="仿宋_GB2312" w:hAnsi="仿宋_GB2312" w:eastAsia="仿宋_GB2312" w:cs="仿宋_GB2312"/>
          <w:color w:val="auto"/>
          <w:sz w:val="22"/>
          <w:szCs w:val="22"/>
          <w:highlight w:val="none"/>
          <w:lang w:val="en-US" w:eastAsia="zh-CN"/>
        </w:rPr>
        <w:t>指派</w:t>
      </w:r>
      <w:r>
        <w:rPr>
          <w:rFonts w:hint="default"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lang w:val="en-US" w:eastAsia="zh-CN"/>
        </w:rPr>
        <w:t>XXXXXXXX</w:t>
      </w:r>
      <w:r>
        <w:rPr>
          <w:rFonts w:hint="default" w:ascii="仿宋_GB2312" w:hAnsi="仿宋_GB2312" w:eastAsia="仿宋_GB2312" w:cs="仿宋_GB2312"/>
          <w:color w:val="auto"/>
          <w:sz w:val="22"/>
          <w:szCs w:val="22"/>
          <w:highlight w:val="none"/>
          <w:u w:val="single"/>
          <w:lang w:val="en-US" w:eastAsia="zh-CN"/>
        </w:rPr>
        <w:t xml:space="preserve"> </w:t>
      </w:r>
      <w:r>
        <w:rPr>
          <w:rFonts w:hint="default" w:ascii="仿宋_GB2312" w:hAnsi="仿宋_GB2312" w:eastAsia="仿宋_GB2312" w:cs="仿宋_GB2312"/>
          <w:color w:val="auto"/>
          <w:sz w:val="22"/>
          <w:szCs w:val="22"/>
          <w:highlight w:val="none"/>
          <w:lang w:val="en-US" w:eastAsia="zh-CN"/>
        </w:rPr>
        <w:t>（所在部门：</w:t>
      </w:r>
      <w:r>
        <w:rPr>
          <w:rFonts w:hint="eastAsia" w:ascii="仿宋_GB2312" w:hAnsi="仿宋_GB2312" w:eastAsia="仿宋_GB2312" w:cs="仿宋_GB2312"/>
          <w:color w:val="auto"/>
          <w:sz w:val="22"/>
          <w:szCs w:val="22"/>
          <w:highlight w:val="none"/>
          <w:u w:val="single"/>
          <w:lang w:val="en-US" w:eastAsia="zh-CN"/>
        </w:rPr>
        <w:t xml:space="preserve">          </w:t>
      </w:r>
      <w:r>
        <w:rPr>
          <w:rFonts w:hint="default" w:ascii="仿宋_GB2312" w:hAnsi="仿宋_GB2312" w:eastAsia="仿宋_GB2312" w:cs="仿宋_GB2312"/>
          <w:color w:val="auto"/>
          <w:sz w:val="22"/>
          <w:szCs w:val="22"/>
          <w:highlight w:val="none"/>
          <w:lang w:val="en-US" w:eastAsia="zh-CN"/>
        </w:rPr>
        <w:t xml:space="preserve"> 职务：</w:t>
      </w:r>
      <w:r>
        <w:rPr>
          <w:rFonts w:hint="default"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lang w:val="en-US" w:eastAsia="zh-CN"/>
        </w:rPr>
        <w:t>xxxxxxxx</w:t>
      </w:r>
      <w:r>
        <w:rPr>
          <w:rFonts w:hint="default" w:ascii="仿宋_GB2312" w:hAnsi="仿宋_GB2312" w:eastAsia="仿宋_GB2312" w:cs="仿宋_GB2312"/>
          <w:color w:val="auto"/>
          <w:sz w:val="22"/>
          <w:szCs w:val="22"/>
          <w:highlight w:val="none"/>
          <w:u w:val="single"/>
          <w:lang w:val="en-US" w:eastAsia="zh-CN"/>
        </w:rPr>
        <w:t xml:space="preserve"> </w:t>
      </w:r>
      <w:r>
        <w:rPr>
          <w:rFonts w:hint="default" w:ascii="仿宋_GB2312" w:hAnsi="仿宋_GB2312" w:eastAsia="仿宋_GB2312" w:cs="仿宋_GB2312"/>
          <w:color w:val="auto"/>
          <w:sz w:val="22"/>
          <w:szCs w:val="22"/>
          <w:highlight w:val="none"/>
          <w:lang w:val="en-US" w:eastAsia="zh-CN"/>
        </w:rPr>
        <w:t>联系方式：</w:t>
      </w:r>
      <w:r>
        <w:rPr>
          <w:rFonts w:hint="default"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lang w:val="en-US" w:eastAsia="zh-CN"/>
        </w:rPr>
        <w:t>XXXXXXXX</w:t>
      </w:r>
      <w:r>
        <w:rPr>
          <w:rFonts w:hint="default" w:ascii="仿宋_GB2312" w:hAnsi="仿宋_GB2312" w:eastAsia="仿宋_GB2312" w:cs="仿宋_GB2312"/>
          <w:color w:val="auto"/>
          <w:sz w:val="22"/>
          <w:szCs w:val="22"/>
          <w:highlight w:val="none"/>
          <w:u w:val="single"/>
          <w:lang w:val="en-US" w:eastAsia="zh-CN"/>
        </w:rPr>
        <w:t xml:space="preserve"> </w:t>
      </w:r>
      <w:r>
        <w:rPr>
          <w:rFonts w:hint="default" w:ascii="仿宋_GB2312" w:hAnsi="仿宋_GB2312" w:eastAsia="仿宋_GB2312" w:cs="仿宋_GB2312"/>
          <w:color w:val="auto"/>
          <w:sz w:val="22"/>
          <w:szCs w:val="22"/>
          <w:highlight w:val="none"/>
          <w:lang w:val="en-US" w:eastAsia="zh-CN"/>
        </w:rPr>
        <w:t>）为</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代表，代表对本工程技术服务工作负责，并向</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进行工作汇报，提交评估报告</w:t>
      </w:r>
      <w:r>
        <w:rPr>
          <w:rFonts w:hint="eastAsia" w:ascii="仿宋_GB2312" w:hAnsi="仿宋_GB2312" w:eastAsia="仿宋_GB2312" w:cs="仿宋_GB2312"/>
          <w:color w:val="auto"/>
          <w:sz w:val="22"/>
          <w:szCs w:val="22"/>
          <w:highlight w:val="none"/>
          <w:lang w:val="en-US" w:eastAsia="zh-CN"/>
        </w:rPr>
        <w:t>，承包人指定接收资料邮箱：</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6.19</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应当充分利用自有技术，协助</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对项目工程实现科学信息化评估</w:t>
      </w:r>
      <w:r>
        <w:rPr>
          <w:rFonts w:hint="eastAsia" w:ascii="仿宋_GB2312" w:hAnsi="仿宋_GB2312" w:eastAsia="仿宋_GB2312" w:cs="仿宋_GB2312"/>
          <w:color w:val="auto"/>
          <w:sz w:val="22"/>
          <w:szCs w:val="22"/>
          <w:highlight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6.20</w:t>
      </w:r>
      <w:r>
        <w:rPr>
          <w:rFonts w:hint="default"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val="en-US" w:eastAsia="zh-CN"/>
        </w:rPr>
        <w:t>承包人</w:t>
      </w:r>
      <w:r>
        <w:rPr>
          <w:rFonts w:hint="default" w:ascii="仿宋_GB2312" w:hAnsi="仿宋_GB2312" w:eastAsia="仿宋_GB2312" w:cs="仿宋_GB2312"/>
          <w:color w:val="auto"/>
          <w:sz w:val="22"/>
          <w:szCs w:val="22"/>
          <w:highlight w:val="none"/>
          <w:lang w:val="en-US" w:eastAsia="zh-CN"/>
        </w:rPr>
        <w:t>依据评估现场实际情况选择使用现场评估工作后台分析软件等技术手段为</w:t>
      </w:r>
      <w:r>
        <w:rPr>
          <w:rFonts w:hint="eastAsia" w:ascii="仿宋_GB2312" w:hAnsi="仿宋_GB2312" w:eastAsia="仿宋_GB2312" w:cs="仿宋_GB2312"/>
          <w:color w:val="auto"/>
          <w:sz w:val="22"/>
          <w:szCs w:val="22"/>
          <w:highlight w:val="none"/>
          <w:lang w:val="en-US" w:eastAsia="zh-CN"/>
        </w:rPr>
        <w:t>发包人</w:t>
      </w:r>
      <w:r>
        <w:rPr>
          <w:rFonts w:hint="default" w:ascii="仿宋_GB2312" w:hAnsi="仿宋_GB2312" w:eastAsia="仿宋_GB2312" w:cs="仿宋_GB2312"/>
          <w:color w:val="auto"/>
          <w:sz w:val="22"/>
          <w:szCs w:val="22"/>
          <w:highlight w:val="none"/>
          <w:lang w:val="en-US" w:eastAsia="zh-CN"/>
        </w:rPr>
        <w:t>提供服务。</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default"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rPr>
        <w:t>第</w:t>
      </w:r>
      <w:r>
        <w:rPr>
          <w:rFonts w:hint="eastAsia" w:ascii="黑体" w:hAnsi="黑体" w:eastAsia="黑体" w:cs="黑体"/>
          <w:bCs/>
          <w:color w:val="auto"/>
          <w:sz w:val="22"/>
          <w:szCs w:val="22"/>
          <w:highlight w:val="none"/>
          <w:lang w:val="en-US" w:eastAsia="zh-CN"/>
        </w:rPr>
        <w:t>七</w:t>
      </w:r>
      <w:r>
        <w:rPr>
          <w:rFonts w:hint="eastAsia" w:ascii="黑体" w:hAnsi="黑体" w:eastAsia="黑体" w:cs="黑体"/>
          <w:bCs/>
          <w:color w:val="auto"/>
          <w:sz w:val="22"/>
          <w:szCs w:val="22"/>
          <w:highlight w:val="none"/>
        </w:rPr>
        <w:t xml:space="preserve">条  </w:t>
      </w:r>
      <w:r>
        <w:rPr>
          <w:rFonts w:hint="eastAsia" w:ascii="黑体" w:hAnsi="黑体" w:eastAsia="黑体" w:cs="黑体"/>
          <w:bCs/>
          <w:color w:val="auto"/>
          <w:sz w:val="22"/>
          <w:szCs w:val="22"/>
          <w:highlight w:val="none"/>
          <w:lang w:val="en-US" w:eastAsia="zh-CN"/>
        </w:rPr>
        <w:t>费用及支付方式</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7.1 费用</w:t>
      </w:r>
      <w:r>
        <w:rPr>
          <w:rFonts w:hint="eastAsia" w:ascii="仿宋_GB2312" w:hAnsi="仿宋_GB2312" w:eastAsia="仿宋_GB2312" w:cs="仿宋_GB2312"/>
          <w:color w:val="auto"/>
          <w:sz w:val="22"/>
          <w:szCs w:val="22"/>
          <w:highlight w:val="none"/>
        </w:rPr>
        <w:t>总额</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7.1.1 本合同暂定总价：</w:t>
      </w:r>
      <w:r>
        <w:rPr>
          <w:rFonts w:hint="eastAsia" w:ascii="仿宋_GB2312" w:hAnsi="仿宋_GB2312" w:eastAsia="仿宋_GB2312" w:cs="仿宋_GB2312"/>
          <w:color w:val="auto"/>
          <w:sz w:val="22"/>
          <w:szCs w:val="22"/>
          <w:highlight w:val="none"/>
        </w:rPr>
        <w:t>含税价人民币（大写）</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元），税率</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none"/>
          <w:lang w:eastAsia="zh-CN"/>
        </w:rPr>
        <w:t>；</w:t>
      </w:r>
      <w:r>
        <w:rPr>
          <w:rFonts w:hint="eastAsia" w:ascii="仿宋_GB2312" w:hAnsi="仿宋_GB2312" w:eastAsia="仿宋_GB2312" w:cs="仿宋_GB2312"/>
          <w:color w:val="auto"/>
          <w:sz w:val="22"/>
          <w:szCs w:val="22"/>
          <w:highlight w:val="none"/>
        </w:rPr>
        <w:t>不含税价人民币（大写）</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u w:val="single"/>
        </w:rPr>
        <w:t xml:space="preserve">  </w:t>
      </w:r>
      <w:r>
        <w:rPr>
          <w:rFonts w:hint="eastAsia" w:ascii="仿宋_GB2312" w:hAnsi="仿宋_GB2312" w:eastAsia="仿宋_GB2312" w:cs="仿宋_GB2312"/>
          <w:color w:val="auto"/>
          <w:sz w:val="22"/>
          <w:szCs w:val="22"/>
          <w:highlight w:val="none"/>
        </w:rPr>
        <w:t>元）。</w:t>
      </w:r>
      <w:r>
        <w:rPr>
          <w:rFonts w:hint="eastAsia" w:ascii="仿宋_GB2312" w:hAnsi="仿宋_GB2312" w:eastAsia="仿宋_GB2312" w:cs="仿宋_GB2312"/>
          <w:color w:val="auto"/>
          <w:sz w:val="22"/>
          <w:szCs w:val="22"/>
          <w:highlight w:val="none"/>
          <w:lang w:eastAsia="zh-CN"/>
        </w:rPr>
        <w:t>费用包括但不限于承包人完成服务的人力物力成本、票据成本、账期成本、服务利润、账期利润、税金，以及其他一切明示和隐含的风险。</w:t>
      </w:r>
      <w:r>
        <w:rPr>
          <w:rFonts w:hint="eastAsia" w:ascii="仿宋_GB2312" w:hAnsi="仿宋_GB2312" w:eastAsia="仿宋_GB2312" w:cs="仿宋_GB2312"/>
          <w:color w:val="auto"/>
          <w:sz w:val="22"/>
          <w:szCs w:val="22"/>
          <w:highlight w:val="none"/>
        </w:rPr>
        <w:t>税率</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国家调整后随之调整，不含税价格不变</w:t>
      </w:r>
      <w:r>
        <w:rPr>
          <w:rFonts w:hint="eastAsia" w:ascii="仿宋_GB2312" w:hAnsi="仿宋_GB2312" w:eastAsia="仿宋_GB2312" w:cs="仿宋_GB2312"/>
          <w:color w:val="auto"/>
          <w:sz w:val="22"/>
          <w:szCs w:val="22"/>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7.1.2 双方确认，前款所述“本合同暂定总价款”不应视为发包人必须支付合同底价。双方按照本合同第1.2、第7.1条-第7.2条约定结算实际应付合同款。</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7.1.3具体计费标准如下表：</w:t>
      </w:r>
    </w:p>
    <w:tbl>
      <w:tblPr>
        <w:tblStyle w:val="43"/>
        <w:tblW w:w="8336" w:type="dxa"/>
        <w:tblInd w:w="0" w:type="dxa"/>
        <w:shd w:val="clear" w:color="auto" w:fill="auto"/>
        <w:tblLayout w:type="fixed"/>
        <w:tblCellMar>
          <w:top w:w="0" w:type="dxa"/>
          <w:left w:w="0" w:type="dxa"/>
          <w:bottom w:w="0" w:type="dxa"/>
          <w:right w:w="0" w:type="dxa"/>
        </w:tblCellMar>
      </w:tblPr>
      <w:tblGrid>
        <w:gridCol w:w="362"/>
        <w:gridCol w:w="361"/>
        <w:gridCol w:w="362"/>
        <w:gridCol w:w="1040"/>
        <w:gridCol w:w="881"/>
        <w:gridCol w:w="904"/>
        <w:gridCol w:w="1238"/>
        <w:gridCol w:w="879"/>
        <w:gridCol w:w="928"/>
        <w:gridCol w:w="1381"/>
      </w:tblGrid>
      <w:tr>
        <w:tblPrEx>
          <w:shd w:val="clear" w:color="auto" w:fill="auto"/>
          <w:tblLayout w:type="fixed"/>
          <w:tblCellMar>
            <w:top w:w="0" w:type="dxa"/>
            <w:left w:w="0" w:type="dxa"/>
            <w:bottom w:w="0" w:type="dxa"/>
            <w:right w:w="0" w:type="dxa"/>
          </w:tblCellMar>
        </w:tblPrEx>
        <w:trPr>
          <w:trHeight w:val="511" w:hRule="atLeast"/>
        </w:trPr>
        <w:tc>
          <w:tcPr>
            <w:tcW w:w="8336" w:type="dxa"/>
            <w:gridSpan w:val="10"/>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第三方巡检报价清单</w:t>
            </w:r>
          </w:p>
        </w:tc>
      </w:tr>
      <w:tr>
        <w:tblPrEx>
          <w:shd w:val="clear" w:color="auto" w:fill="auto"/>
          <w:tblLayout w:type="fixed"/>
          <w:tblCellMar>
            <w:top w:w="0" w:type="dxa"/>
            <w:left w:w="0" w:type="dxa"/>
            <w:bottom w:w="0" w:type="dxa"/>
            <w:right w:w="0" w:type="dxa"/>
          </w:tblCellMar>
        </w:tblPrEx>
        <w:trPr>
          <w:trHeight w:val="929" w:hRule="atLeast"/>
        </w:trPr>
        <w:tc>
          <w:tcPr>
            <w:tcW w:w="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序号</w:t>
            </w:r>
          </w:p>
        </w:tc>
        <w:tc>
          <w:tcPr>
            <w:tcW w:w="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类别</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人员分类</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巡检次数（次）</w:t>
            </w:r>
            <w:r>
              <w:rPr>
                <w:rFonts w:hint="eastAsia" w:ascii="仿宋_GB2312" w:hAnsi="仿宋_GB2312" w:eastAsia="仿宋_GB2312" w:cs="仿宋_GB2312"/>
                <w:i w:val="0"/>
                <w:color w:val="auto"/>
                <w:kern w:val="0"/>
                <w:sz w:val="22"/>
                <w:szCs w:val="22"/>
                <w:highlight w:val="none"/>
                <w:u w:val="none"/>
                <w:lang w:val="en-US" w:eastAsia="zh-CN" w:bidi="ar"/>
              </w:rPr>
              <w:br w:type="textWrapping"/>
            </w:r>
            <w:r>
              <w:rPr>
                <w:rFonts w:hint="eastAsia" w:ascii="仿宋_GB2312" w:hAnsi="仿宋_GB2312" w:eastAsia="仿宋_GB2312" w:cs="仿宋_GB2312"/>
                <w:i w:val="0"/>
                <w:color w:val="auto"/>
                <w:kern w:val="0"/>
                <w:sz w:val="22"/>
                <w:szCs w:val="22"/>
                <w:highlight w:val="none"/>
                <w:u w:val="none"/>
                <w:lang w:val="en-US" w:eastAsia="zh-CN" w:bidi="ar"/>
              </w:rPr>
              <w:t>a</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巡检人数（人）</w:t>
            </w:r>
            <w:r>
              <w:rPr>
                <w:rFonts w:hint="eastAsia" w:ascii="仿宋_GB2312" w:hAnsi="仿宋_GB2312" w:eastAsia="仿宋_GB2312" w:cs="仿宋_GB2312"/>
                <w:i w:val="0"/>
                <w:color w:val="auto"/>
                <w:kern w:val="0"/>
                <w:sz w:val="22"/>
                <w:szCs w:val="22"/>
                <w:highlight w:val="none"/>
                <w:u w:val="none"/>
                <w:lang w:val="en-US" w:eastAsia="zh-CN" w:bidi="ar"/>
              </w:rPr>
              <w:br w:type="textWrapping"/>
            </w:r>
            <w:r>
              <w:rPr>
                <w:rFonts w:hint="eastAsia" w:ascii="仿宋_GB2312" w:hAnsi="仿宋_GB2312" w:eastAsia="仿宋_GB2312" w:cs="仿宋_GB2312"/>
                <w:i w:val="0"/>
                <w:color w:val="auto"/>
                <w:kern w:val="0"/>
                <w:sz w:val="22"/>
                <w:szCs w:val="22"/>
                <w:highlight w:val="none"/>
                <w:u w:val="none"/>
                <w:lang w:val="en-US" w:eastAsia="zh-CN" w:bidi="ar"/>
              </w:rPr>
              <w:t>b</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人员综合单价（元/人/次）</w:t>
            </w:r>
            <w:r>
              <w:rPr>
                <w:rFonts w:hint="eastAsia" w:ascii="仿宋_GB2312" w:hAnsi="仿宋_GB2312" w:eastAsia="仿宋_GB2312" w:cs="仿宋_GB2312"/>
                <w:i w:val="0"/>
                <w:color w:val="auto"/>
                <w:kern w:val="0"/>
                <w:sz w:val="22"/>
                <w:szCs w:val="22"/>
                <w:highlight w:val="none"/>
                <w:u w:val="none"/>
                <w:lang w:val="en-US" w:eastAsia="zh-CN" w:bidi="ar"/>
              </w:rPr>
              <w:br w:type="textWrapping"/>
            </w:r>
            <w:r>
              <w:rPr>
                <w:rFonts w:hint="eastAsia" w:ascii="仿宋_GB2312" w:hAnsi="仿宋_GB2312" w:eastAsia="仿宋_GB2312" w:cs="仿宋_GB2312"/>
                <w:i w:val="0"/>
                <w:color w:val="auto"/>
                <w:kern w:val="0"/>
                <w:sz w:val="22"/>
                <w:szCs w:val="22"/>
                <w:highlight w:val="none"/>
                <w:u w:val="none"/>
                <w:lang w:val="en-US" w:eastAsia="zh-CN" w:bidi="ar"/>
              </w:rPr>
              <w:t>c</w:t>
            </w: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小计（元）</w:t>
            </w:r>
            <w:r>
              <w:rPr>
                <w:rFonts w:hint="eastAsia" w:ascii="仿宋_GB2312" w:hAnsi="仿宋_GB2312" w:eastAsia="仿宋_GB2312" w:cs="仿宋_GB2312"/>
                <w:i w:val="0"/>
                <w:color w:val="auto"/>
                <w:kern w:val="0"/>
                <w:sz w:val="22"/>
                <w:szCs w:val="22"/>
                <w:highlight w:val="none"/>
                <w:u w:val="none"/>
                <w:lang w:val="en-US" w:eastAsia="zh-CN" w:bidi="ar"/>
              </w:rPr>
              <w:br w:type="textWrapping"/>
            </w:r>
            <w:r>
              <w:rPr>
                <w:rFonts w:hint="eastAsia" w:ascii="仿宋_GB2312" w:hAnsi="仿宋_GB2312" w:eastAsia="仿宋_GB2312" w:cs="仿宋_GB2312"/>
                <w:i w:val="0"/>
                <w:color w:val="auto"/>
                <w:kern w:val="0"/>
                <w:sz w:val="22"/>
                <w:szCs w:val="22"/>
                <w:highlight w:val="none"/>
                <w:u w:val="none"/>
                <w:lang w:val="en-US" w:eastAsia="zh-CN" w:bidi="ar"/>
              </w:rPr>
              <w:t>a*b*c</w:t>
            </w: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合计（元）</w:t>
            </w: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670" w:hRule="atLeast"/>
        </w:trPr>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一</w:t>
            </w: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季度巡检</w:t>
            </w:r>
          </w:p>
        </w:tc>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组长</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土建、精装质量组长</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76</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left"/>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434" w:hRule="atLeast"/>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shd w:val="clear" w:color="auto" w:fill="auto"/>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机电安装组长</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76</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479" w:hRule="atLeast"/>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shd w:val="clear" w:color="auto" w:fill="auto"/>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大型机械设备组长</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76</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569" w:hRule="atLeast"/>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组员</w:t>
            </w: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土建、精装实测组员</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76</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2</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left"/>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731" w:hRule="atLeast"/>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shd w:val="clear" w:color="auto" w:fill="auto"/>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安全文明、管理行为组员</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76</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1049" w:hRule="atLeast"/>
        </w:trPr>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36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shd w:val="clear" w:color="auto" w:fill="auto"/>
              </w:rPr>
            </w:pPr>
          </w:p>
        </w:tc>
        <w:tc>
          <w:tcPr>
            <w:tcW w:w="10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土建、精装、机电设备等管理行为组员</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76</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911" w:hRule="atLeast"/>
        </w:trPr>
        <w:tc>
          <w:tcPr>
            <w:tcW w:w="36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二</w:t>
            </w:r>
          </w:p>
        </w:tc>
        <w:tc>
          <w:tcPr>
            <w:tcW w:w="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计划专项巡检</w:t>
            </w: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shd w:val="clear" w:color="auto" w:fill="auto"/>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园林质量</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40</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left"/>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911" w:hRule="atLeast"/>
        </w:trPr>
        <w:tc>
          <w:tcPr>
            <w:tcW w:w="36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p>
        </w:tc>
        <w:tc>
          <w:tcPr>
            <w:tcW w:w="36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p>
        </w:tc>
        <w:tc>
          <w:tcPr>
            <w:tcW w:w="140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pPr>
            <w:r>
              <w:rPr>
                <w:rFonts w:hint="eastAsia" w:ascii="仿宋_GB2312" w:hAnsi="仿宋_GB2312" w:eastAsia="仿宋_GB2312" w:cs="仿宋_GB2312"/>
                <w:i w:val="0"/>
                <w:color w:val="auto"/>
                <w:kern w:val="0"/>
                <w:sz w:val="22"/>
                <w:szCs w:val="22"/>
                <w:highlight w:val="none"/>
                <w:u w:val="none"/>
                <w:shd w:val="clear" w:color="auto" w:fill="auto"/>
                <w:lang w:val="en-US" w:eastAsia="zh-CN" w:bidi="ar"/>
              </w:rPr>
              <w:t>消防质量</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40</w:t>
            </w: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kern w:val="0"/>
                <w:sz w:val="22"/>
                <w:szCs w:val="22"/>
                <w:highlight w:val="none"/>
                <w:u w:val="none"/>
                <w:lang w:val="en-US" w:eastAsia="zh-CN" w:bidi="ar"/>
              </w:rPr>
            </w:pPr>
            <w:r>
              <w:rPr>
                <w:rFonts w:hint="eastAsia" w:ascii="仿宋_GB2312" w:hAnsi="仿宋_GB2312" w:eastAsia="仿宋_GB2312" w:cs="仿宋_GB2312"/>
                <w:i w:val="0"/>
                <w:color w:val="auto"/>
                <w:kern w:val="0"/>
                <w:sz w:val="22"/>
                <w:szCs w:val="22"/>
                <w:highlight w:val="none"/>
                <w:u w:val="none"/>
                <w:lang w:val="en-US" w:eastAsia="zh-CN" w:bidi="ar"/>
              </w:rPr>
              <w:t>1</w:t>
            </w: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left"/>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371" w:hRule="atLeast"/>
        </w:trPr>
        <w:tc>
          <w:tcPr>
            <w:tcW w:w="21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shd w:val="clear"/>
              <w:kinsoku/>
              <w:wordWrap/>
              <w:overflowPunct/>
              <w:topLinePunct w:val="0"/>
              <w:autoSpaceDE/>
              <w:autoSpaceDN/>
              <w:bidi w:val="0"/>
              <w:snapToGrid w:val="0"/>
              <w:spacing w:line="360" w:lineRule="auto"/>
              <w:jc w:val="center"/>
              <w:textAlignment w:val="center"/>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kern w:val="0"/>
                <w:sz w:val="22"/>
                <w:szCs w:val="22"/>
                <w:highlight w:val="none"/>
                <w:u w:val="none"/>
                <w:lang w:val="en-US" w:eastAsia="zh-CN" w:bidi="ar"/>
              </w:rPr>
              <w:t>合计</w:t>
            </w:r>
          </w:p>
        </w:tc>
        <w:tc>
          <w:tcPr>
            <w:tcW w:w="8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9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c>
          <w:tcPr>
            <w:tcW w:w="13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val="0"/>
              <w:spacing w:line="360" w:lineRule="auto"/>
              <w:jc w:val="center"/>
              <w:rPr>
                <w:rFonts w:hint="eastAsia" w:ascii="仿宋_GB2312" w:hAnsi="仿宋_GB2312" w:eastAsia="仿宋_GB2312" w:cs="仿宋_GB2312"/>
                <w:i w:val="0"/>
                <w:color w:val="auto"/>
                <w:sz w:val="22"/>
                <w:szCs w:val="22"/>
                <w:highlight w:val="none"/>
                <w:u w:val="none"/>
              </w:rPr>
            </w:pPr>
          </w:p>
        </w:tc>
      </w:tr>
      <w:tr>
        <w:tblPrEx>
          <w:shd w:val="clear" w:color="auto" w:fill="auto"/>
          <w:tblLayout w:type="fixed"/>
          <w:tblCellMar>
            <w:top w:w="0" w:type="dxa"/>
            <w:left w:w="0" w:type="dxa"/>
            <w:bottom w:w="0" w:type="dxa"/>
            <w:right w:w="0" w:type="dxa"/>
          </w:tblCellMar>
        </w:tblPrEx>
        <w:trPr>
          <w:trHeight w:val="926" w:hRule="atLeast"/>
        </w:trPr>
        <w:tc>
          <w:tcPr>
            <w:tcW w:w="8336" w:type="dxa"/>
            <w:gridSpan w:val="10"/>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pageBreakBefore w:val="0"/>
              <w:shd w:val="clear"/>
              <w:kinsoku/>
              <w:wordWrap/>
              <w:overflowPunct/>
              <w:topLinePunct w:val="0"/>
              <w:autoSpaceDE/>
              <w:autoSpaceDN/>
              <w:bidi w:val="0"/>
              <w:snapToGrid/>
              <w:spacing w:line="360" w:lineRule="auto"/>
              <w:jc w:val="left"/>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报价说明及要求：</w:t>
            </w:r>
          </w:p>
          <w:p>
            <w:pPr>
              <w:pageBreakBefore w:val="0"/>
              <w:shd w:val="clear"/>
              <w:kinsoku/>
              <w:wordWrap/>
              <w:overflowPunct/>
              <w:topLinePunct w:val="0"/>
              <w:autoSpaceDE/>
              <w:autoSpaceDN/>
              <w:bidi w:val="0"/>
              <w:snapToGrid/>
              <w:spacing w:line="360" w:lineRule="auto"/>
              <w:jc w:val="left"/>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1.采用含税固定单价、暂定总价的形式，合同履行期间，以上包干单价不会因为人工工资、物价、市场波动、费率或汇率的变动、工作量、工程所在地不同等任何因素而调整；</w:t>
            </w:r>
          </w:p>
          <w:p>
            <w:pPr>
              <w:pageBreakBefore w:val="0"/>
              <w:shd w:val="clear"/>
              <w:kinsoku/>
              <w:wordWrap/>
              <w:overflowPunct/>
              <w:topLinePunct w:val="0"/>
              <w:autoSpaceDE/>
              <w:autoSpaceDN/>
              <w:bidi w:val="0"/>
              <w:snapToGrid/>
              <w:spacing w:line="360" w:lineRule="auto"/>
              <w:jc w:val="left"/>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2.单价包含往返</w:t>
            </w:r>
            <w:r>
              <w:rPr>
                <w:rFonts w:hint="eastAsia" w:ascii="仿宋_GB2312" w:hAnsi="仿宋_GB2312" w:eastAsia="仿宋_GB2312" w:cs="仿宋_GB2312"/>
                <w:i w:val="0"/>
                <w:color w:val="auto"/>
                <w:sz w:val="22"/>
                <w:szCs w:val="22"/>
                <w:highlight w:val="none"/>
                <w:u w:val="none"/>
                <w:lang w:eastAsia="zh-CN"/>
              </w:rPr>
              <w:t>发包人</w:t>
            </w:r>
            <w:r>
              <w:rPr>
                <w:rFonts w:hint="eastAsia" w:ascii="仿宋_GB2312" w:hAnsi="仿宋_GB2312" w:eastAsia="仿宋_GB2312" w:cs="仿宋_GB2312"/>
                <w:i w:val="0"/>
                <w:color w:val="auto"/>
                <w:sz w:val="22"/>
                <w:szCs w:val="22"/>
                <w:highlight w:val="none"/>
                <w:u w:val="none"/>
              </w:rPr>
              <w:t>所在项目地点，完成本合同所规定检查评估工作的全部费用，同时包括前往各城市进行检查评估等业务所发生的往返交通工具、住宿、检测工具、餐费等补贴性差旅费用；</w:t>
            </w:r>
          </w:p>
          <w:p>
            <w:pPr>
              <w:pageBreakBefore w:val="0"/>
              <w:shd w:val="clear"/>
              <w:kinsoku/>
              <w:wordWrap/>
              <w:overflowPunct/>
              <w:topLinePunct w:val="0"/>
              <w:autoSpaceDE/>
              <w:autoSpaceDN/>
              <w:bidi w:val="0"/>
              <w:snapToGrid/>
              <w:spacing w:line="360" w:lineRule="auto"/>
              <w:jc w:val="left"/>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3.单价均为含税</w:t>
            </w:r>
            <w:r>
              <w:rPr>
                <w:rFonts w:hint="eastAsia" w:ascii="仿宋_GB2312" w:hAnsi="仿宋_GB2312" w:eastAsia="仿宋_GB2312" w:cs="仿宋_GB2312"/>
                <w:i w:val="0"/>
                <w:color w:val="auto"/>
                <w:sz w:val="22"/>
                <w:szCs w:val="22"/>
                <w:highlight w:val="none"/>
                <w:u w:val="none"/>
                <w:lang w:val="en-US" w:eastAsia="zh-CN"/>
              </w:rPr>
              <w:t>单</w:t>
            </w:r>
            <w:r>
              <w:rPr>
                <w:rFonts w:hint="eastAsia" w:ascii="仿宋_GB2312" w:hAnsi="仿宋_GB2312" w:eastAsia="仿宋_GB2312" w:cs="仿宋_GB2312"/>
                <w:i w:val="0"/>
                <w:color w:val="auto"/>
                <w:sz w:val="22"/>
                <w:szCs w:val="22"/>
                <w:highlight w:val="none"/>
                <w:u w:val="none"/>
              </w:rPr>
              <w:t>价；</w:t>
            </w:r>
          </w:p>
          <w:p>
            <w:pPr>
              <w:pageBreakBefore w:val="0"/>
              <w:shd w:val="clear"/>
              <w:kinsoku/>
              <w:wordWrap/>
              <w:overflowPunct/>
              <w:topLinePunct w:val="0"/>
              <w:autoSpaceDE/>
              <w:autoSpaceDN/>
              <w:bidi w:val="0"/>
              <w:snapToGrid/>
              <w:spacing w:line="360" w:lineRule="auto"/>
              <w:jc w:val="left"/>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4、季度巡检人员包含：土建、精装质量1人(组长)，土建、精装实测2人</w:t>
            </w:r>
            <w:r>
              <w:rPr>
                <w:rFonts w:hint="eastAsia" w:ascii="仿宋_GB2312" w:hAnsi="仿宋_GB2312" w:eastAsia="仿宋_GB2312" w:cs="仿宋_GB2312"/>
                <w:i w:val="0"/>
                <w:color w:val="auto"/>
                <w:sz w:val="22"/>
                <w:szCs w:val="22"/>
                <w:highlight w:val="none"/>
                <w:u w:val="none"/>
                <w:lang w:eastAsia="zh-CN"/>
              </w:rPr>
              <w:t>（</w:t>
            </w:r>
            <w:r>
              <w:rPr>
                <w:rFonts w:hint="eastAsia" w:ascii="仿宋_GB2312" w:hAnsi="仿宋_GB2312" w:eastAsia="仿宋_GB2312" w:cs="仿宋_GB2312"/>
                <w:i w:val="0"/>
                <w:color w:val="auto"/>
                <w:sz w:val="22"/>
                <w:szCs w:val="22"/>
                <w:highlight w:val="none"/>
                <w:u w:val="none"/>
                <w:lang w:val="en-US" w:eastAsia="zh-CN"/>
              </w:rPr>
              <w:t>组员</w:t>
            </w:r>
            <w:r>
              <w:rPr>
                <w:rFonts w:hint="eastAsia" w:ascii="仿宋_GB2312" w:hAnsi="仿宋_GB2312" w:eastAsia="仿宋_GB2312" w:cs="仿宋_GB2312"/>
                <w:i w:val="0"/>
                <w:color w:val="auto"/>
                <w:sz w:val="22"/>
                <w:szCs w:val="22"/>
                <w:highlight w:val="none"/>
                <w:u w:val="none"/>
                <w:lang w:eastAsia="zh-CN"/>
              </w:rPr>
              <w:t>）</w:t>
            </w:r>
            <w:r>
              <w:rPr>
                <w:rFonts w:hint="eastAsia" w:ascii="仿宋_GB2312" w:hAnsi="仿宋_GB2312" w:eastAsia="仿宋_GB2312" w:cs="仿宋_GB2312"/>
                <w:i w:val="0"/>
                <w:color w:val="auto"/>
                <w:sz w:val="22"/>
                <w:szCs w:val="22"/>
                <w:highlight w:val="none"/>
                <w:u w:val="none"/>
              </w:rPr>
              <w:t>，机电安装1人(组长)，安全文明、管理行为1人</w:t>
            </w:r>
            <w:r>
              <w:rPr>
                <w:rFonts w:hint="eastAsia" w:ascii="仿宋_GB2312" w:hAnsi="仿宋_GB2312" w:eastAsia="仿宋_GB2312" w:cs="仿宋_GB2312"/>
                <w:i w:val="0"/>
                <w:color w:val="auto"/>
                <w:sz w:val="22"/>
                <w:szCs w:val="22"/>
                <w:highlight w:val="none"/>
                <w:u w:val="none"/>
                <w:lang w:eastAsia="zh-CN"/>
              </w:rPr>
              <w:t>（</w:t>
            </w:r>
            <w:r>
              <w:rPr>
                <w:rFonts w:hint="eastAsia" w:ascii="仿宋_GB2312" w:hAnsi="仿宋_GB2312" w:eastAsia="仿宋_GB2312" w:cs="仿宋_GB2312"/>
                <w:i w:val="0"/>
                <w:color w:val="auto"/>
                <w:sz w:val="22"/>
                <w:szCs w:val="22"/>
                <w:highlight w:val="none"/>
                <w:u w:val="none"/>
                <w:lang w:val="en-US" w:eastAsia="zh-CN"/>
              </w:rPr>
              <w:t>组员</w:t>
            </w:r>
            <w:r>
              <w:rPr>
                <w:rFonts w:hint="eastAsia" w:ascii="仿宋_GB2312" w:hAnsi="仿宋_GB2312" w:eastAsia="仿宋_GB2312" w:cs="仿宋_GB2312"/>
                <w:i w:val="0"/>
                <w:color w:val="auto"/>
                <w:sz w:val="22"/>
                <w:szCs w:val="22"/>
                <w:highlight w:val="none"/>
                <w:u w:val="none"/>
                <w:lang w:eastAsia="zh-CN"/>
              </w:rPr>
              <w:t>）</w:t>
            </w:r>
            <w:r>
              <w:rPr>
                <w:rFonts w:hint="eastAsia" w:ascii="仿宋_GB2312" w:hAnsi="仿宋_GB2312" w:eastAsia="仿宋_GB2312" w:cs="仿宋_GB2312"/>
                <w:i w:val="0"/>
                <w:color w:val="auto"/>
                <w:sz w:val="22"/>
                <w:szCs w:val="22"/>
                <w:highlight w:val="none"/>
                <w:u w:val="none"/>
              </w:rPr>
              <w:t>，大型机械设备1人(组长)，土建、精装、机电设备等管理行为1人</w:t>
            </w:r>
            <w:r>
              <w:rPr>
                <w:rFonts w:hint="eastAsia" w:ascii="仿宋_GB2312" w:hAnsi="仿宋_GB2312" w:eastAsia="仿宋_GB2312" w:cs="仿宋_GB2312"/>
                <w:i w:val="0"/>
                <w:color w:val="auto"/>
                <w:sz w:val="22"/>
                <w:szCs w:val="22"/>
                <w:highlight w:val="none"/>
                <w:u w:val="none"/>
                <w:lang w:eastAsia="zh-CN"/>
              </w:rPr>
              <w:t>（</w:t>
            </w:r>
            <w:r>
              <w:rPr>
                <w:rFonts w:hint="eastAsia" w:ascii="仿宋_GB2312" w:hAnsi="仿宋_GB2312" w:eastAsia="仿宋_GB2312" w:cs="仿宋_GB2312"/>
                <w:i w:val="0"/>
                <w:color w:val="auto"/>
                <w:sz w:val="22"/>
                <w:szCs w:val="22"/>
                <w:highlight w:val="none"/>
                <w:u w:val="none"/>
                <w:lang w:val="en-US" w:eastAsia="zh-CN"/>
              </w:rPr>
              <w:t>组员</w:t>
            </w:r>
            <w:r>
              <w:rPr>
                <w:rFonts w:hint="eastAsia" w:ascii="仿宋_GB2312" w:hAnsi="仿宋_GB2312" w:eastAsia="仿宋_GB2312" w:cs="仿宋_GB2312"/>
                <w:i w:val="0"/>
                <w:color w:val="auto"/>
                <w:sz w:val="22"/>
                <w:szCs w:val="22"/>
                <w:highlight w:val="none"/>
                <w:u w:val="none"/>
                <w:lang w:eastAsia="zh-CN"/>
              </w:rPr>
              <w:t>）</w:t>
            </w:r>
            <w:r>
              <w:rPr>
                <w:rFonts w:hint="eastAsia" w:ascii="仿宋_GB2312" w:hAnsi="仿宋_GB2312" w:eastAsia="仿宋_GB2312" w:cs="仿宋_GB2312"/>
                <w:i w:val="0"/>
                <w:color w:val="auto"/>
                <w:sz w:val="22"/>
                <w:szCs w:val="22"/>
                <w:highlight w:val="none"/>
                <w:u w:val="none"/>
              </w:rPr>
              <w:t>；（以上人员数量均为暂定人员数量，</w:t>
            </w:r>
            <w:r>
              <w:rPr>
                <w:rFonts w:hint="eastAsia" w:ascii="仿宋_GB2312" w:hAnsi="仿宋_GB2312" w:eastAsia="仿宋_GB2312" w:cs="仿宋_GB2312"/>
                <w:i w:val="0"/>
                <w:color w:val="auto"/>
                <w:sz w:val="22"/>
                <w:szCs w:val="22"/>
                <w:highlight w:val="none"/>
                <w:u w:val="none"/>
                <w:lang w:val="en-US" w:eastAsia="zh-CN"/>
              </w:rPr>
              <w:t>发包人</w:t>
            </w:r>
            <w:r>
              <w:rPr>
                <w:rFonts w:hint="eastAsia" w:ascii="仿宋_GB2312" w:hAnsi="仿宋_GB2312" w:eastAsia="仿宋_GB2312" w:cs="仿宋_GB2312"/>
                <w:i w:val="0"/>
                <w:color w:val="auto"/>
                <w:sz w:val="22"/>
                <w:szCs w:val="22"/>
                <w:highlight w:val="none"/>
                <w:u w:val="none"/>
              </w:rPr>
              <w:t>可根据实际情况要求进行调整）</w:t>
            </w:r>
          </w:p>
          <w:p>
            <w:pPr>
              <w:pageBreakBefore w:val="0"/>
              <w:shd w:val="clear"/>
              <w:kinsoku/>
              <w:wordWrap/>
              <w:overflowPunct/>
              <w:topLinePunct w:val="0"/>
              <w:autoSpaceDE/>
              <w:autoSpaceDN/>
              <w:bidi w:val="0"/>
              <w:snapToGrid/>
              <w:spacing w:line="360" w:lineRule="auto"/>
              <w:jc w:val="left"/>
              <w:rPr>
                <w:rFonts w:hint="eastAsia" w:ascii="仿宋_GB2312" w:hAnsi="仿宋_GB2312" w:eastAsia="仿宋_GB2312" w:cs="仿宋_GB2312"/>
                <w:i w:val="0"/>
                <w:color w:val="auto"/>
                <w:sz w:val="22"/>
                <w:szCs w:val="22"/>
                <w:highlight w:val="none"/>
                <w:u w:val="none"/>
              </w:rPr>
            </w:pPr>
            <w:r>
              <w:rPr>
                <w:rFonts w:hint="eastAsia" w:ascii="仿宋_GB2312" w:hAnsi="仿宋_GB2312" w:eastAsia="仿宋_GB2312" w:cs="仿宋_GB2312"/>
                <w:i w:val="0"/>
                <w:color w:val="auto"/>
                <w:sz w:val="22"/>
                <w:szCs w:val="22"/>
                <w:highlight w:val="none"/>
                <w:u w:val="none"/>
              </w:rPr>
              <w:t>5、专项巡检为-园林或消防质量1人；（以上专业与人员均为暂定人员数量，</w:t>
            </w:r>
            <w:r>
              <w:rPr>
                <w:rFonts w:hint="eastAsia" w:ascii="仿宋_GB2312" w:hAnsi="仿宋_GB2312" w:eastAsia="仿宋_GB2312" w:cs="仿宋_GB2312"/>
                <w:i w:val="0"/>
                <w:color w:val="auto"/>
                <w:sz w:val="22"/>
                <w:szCs w:val="22"/>
                <w:highlight w:val="none"/>
                <w:u w:val="none"/>
                <w:lang w:val="en-US" w:eastAsia="zh-CN"/>
              </w:rPr>
              <w:t>发包人</w:t>
            </w:r>
            <w:r>
              <w:rPr>
                <w:rFonts w:hint="eastAsia" w:ascii="仿宋_GB2312" w:hAnsi="仿宋_GB2312" w:eastAsia="仿宋_GB2312" w:cs="仿宋_GB2312"/>
                <w:i w:val="0"/>
                <w:color w:val="auto"/>
                <w:sz w:val="22"/>
                <w:szCs w:val="22"/>
                <w:highlight w:val="none"/>
                <w:u w:val="none"/>
              </w:rPr>
              <w:t>可根据实际情况要求进行调整）</w:t>
            </w:r>
          </w:p>
          <w:p>
            <w:pPr>
              <w:shd w:val="clear"/>
              <w:spacing w:line="360" w:lineRule="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i w:val="0"/>
                <w:color w:val="auto"/>
                <w:sz w:val="22"/>
                <w:szCs w:val="22"/>
                <w:highlight w:val="none"/>
                <w:u w:val="none"/>
              </w:rPr>
              <w:t>6、季度巡检次数与专项巡检次数均为计划巡检次数，</w:t>
            </w:r>
            <w:r>
              <w:rPr>
                <w:rFonts w:hint="eastAsia" w:ascii="仿宋_GB2312" w:hAnsi="仿宋_GB2312" w:eastAsia="仿宋_GB2312" w:cs="仿宋_GB2312"/>
                <w:i w:val="0"/>
                <w:color w:val="auto"/>
                <w:sz w:val="22"/>
                <w:szCs w:val="22"/>
                <w:highlight w:val="none"/>
                <w:u w:val="none"/>
                <w:lang w:val="en-US" w:eastAsia="zh-CN"/>
              </w:rPr>
              <w:t>发包人</w:t>
            </w:r>
            <w:r>
              <w:rPr>
                <w:rFonts w:hint="eastAsia" w:ascii="仿宋_GB2312" w:hAnsi="仿宋_GB2312" w:eastAsia="仿宋_GB2312" w:cs="仿宋_GB2312"/>
                <w:i w:val="0"/>
                <w:color w:val="auto"/>
                <w:sz w:val="22"/>
                <w:szCs w:val="22"/>
                <w:highlight w:val="none"/>
                <w:u w:val="none"/>
              </w:rPr>
              <w:t>有权根据实际管理要求进</w:t>
            </w:r>
            <w:r>
              <w:rPr>
                <w:rFonts w:hint="eastAsia" w:ascii="仿宋_GB2312" w:hAnsi="仿宋_GB2312" w:eastAsia="仿宋_GB2312" w:cs="仿宋_GB2312"/>
                <w:b w:val="0"/>
                <w:bCs w:val="0"/>
                <w:i w:val="0"/>
                <w:color w:val="auto"/>
                <w:sz w:val="22"/>
                <w:szCs w:val="22"/>
                <w:highlight w:val="none"/>
                <w:u w:val="none"/>
              </w:rPr>
              <w:t>行调整。</w:t>
            </w:r>
          </w:p>
        </w:tc>
      </w:tr>
    </w:tbl>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7.1.4 第7.1.3条表中“综合单价”包括但不限于人工费、差旅费、设备使用费、交通费、伙食费、措施费、管理费、利润、规费、税金等完成合同服务内容的全部费用，此综合单价不因承包人成本或费用改变而改变，具体按照本合同约定方式结算。</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7.1.5 计费方式：单项巡检费用为：巡检次数</w:t>
      </w:r>
      <w:bookmarkStart w:id="139" w:name="OLE_LINK4"/>
      <w:r>
        <w:rPr>
          <w:rFonts w:hint="eastAsia" w:ascii="仿宋_GB2312" w:hAnsi="仿宋_GB2312" w:eastAsia="仿宋_GB2312" w:cs="仿宋_GB2312"/>
          <w:color w:val="auto"/>
          <w:sz w:val="22"/>
          <w:szCs w:val="22"/>
          <w:highlight w:val="none"/>
          <w:lang w:val="en-US" w:eastAsia="zh-CN"/>
        </w:rPr>
        <w:t>×</w:t>
      </w:r>
      <w:bookmarkEnd w:id="139"/>
      <w:r>
        <w:rPr>
          <w:rFonts w:hint="eastAsia" w:ascii="仿宋_GB2312" w:hAnsi="仿宋_GB2312" w:eastAsia="仿宋_GB2312" w:cs="仿宋_GB2312"/>
          <w:color w:val="auto"/>
          <w:sz w:val="22"/>
          <w:szCs w:val="22"/>
          <w:highlight w:val="none"/>
          <w:lang w:val="en-US" w:eastAsia="zh-CN"/>
        </w:rPr>
        <w:t>巡检人次×人员综合单价，合同实际应结算总费用为各单项巡检费用累加值。</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default"/>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7.1.6 标段的定义：以《巡检服务订单》中的项目进行划分，每个项目为一个标段，对应出具一组评估数据；当一个项目上涵盖多个分期或地块时（例如：一期项目、二期项目），按一个标段来进行评估，合并出具一组评估数据。</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7.2 </w:t>
      </w:r>
      <w:r>
        <w:rPr>
          <w:rFonts w:hint="eastAsia" w:ascii="仿宋_GB2312" w:hAnsi="仿宋_GB2312" w:eastAsia="仿宋_GB2312" w:cs="仿宋_GB2312"/>
          <w:color w:val="auto"/>
          <w:sz w:val="22"/>
          <w:szCs w:val="22"/>
          <w:highlight w:val="none"/>
        </w:rPr>
        <w:t>支付时间</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bookmarkStart w:id="140" w:name="OLE_LINK8"/>
      <w:r>
        <w:rPr>
          <w:rFonts w:hint="eastAsia" w:ascii="仿宋_GB2312" w:hAnsi="仿宋_GB2312" w:eastAsia="仿宋_GB2312" w:cs="仿宋_GB2312"/>
          <w:color w:val="auto"/>
          <w:sz w:val="22"/>
          <w:szCs w:val="22"/>
          <w:highlight w:val="none"/>
          <w:lang w:val="en-US" w:eastAsia="zh-CN"/>
        </w:rPr>
        <w:t xml:space="preserve">7.2.1 </w:t>
      </w:r>
      <w:bookmarkEnd w:id="140"/>
      <w:r>
        <w:rPr>
          <w:rFonts w:hint="eastAsia" w:ascii="仿宋_GB2312" w:hAnsi="仿宋_GB2312" w:eastAsia="仿宋_GB2312" w:cs="仿宋_GB2312"/>
          <w:color w:val="auto"/>
          <w:sz w:val="22"/>
          <w:szCs w:val="22"/>
          <w:highlight w:val="none"/>
          <w:lang w:val="en-US" w:eastAsia="zh-CN"/>
        </w:rPr>
        <w:t>项目单位巡检评估工作完成后(以巡检评估工作评价表出具为准)，承包人向发包人提交当期的请款报告。发包人确认请款报告后的15个工作日内，发包人按当期实际发生评估的数量及约定单价计算当期费用，向承包人支付实际发生评估费用的80%（如有罚款在当期进度款扣除），支付至项目单位巡检评估费用总价款的80%时不再支付进度款，项目单位完成所有巡检评估工作后，支付至项目总价款的90%，待合同内所有项目巡检内容完成后办理结算，结算审核完毕后支付至该项目单位巡检评估总价款的100%。</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7.2.2 发包人每次付款前，承包人应向实际服务方开具符合国家规定的相应金额增值税发票，否则发包人有权顺延付款，付款方式为银行转账。</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第八条  违约责任</w:t>
      </w:r>
    </w:p>
    <w:p>
      <w:pPr>
        <w:pageBreakBefore w:val="0"/>
        <w:widowControl w:val="0"/>
        <w:shd w:val="clear"/>
        <w:kinsoku/>
        <w:wordWrap/>
        <w:overflowPunct/>
        <w:topLinePunct w:val="0"/>
        <w:autoSpaceDE/>
        <w:autoSpaceDN/>
        <w:bidi w:val="0"/>
        <w:snapToGrid w:val="0"/>
        <w:spacing w:line="360" w:lineRule="auto"/>
        <w:ind w:firstLine="442" w:firstLineChars="20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 xml:space="preserve">8.1 发包人违约责任     </w:t>
      </w:r>
      <w:r>
        <w:rPr>
          <w:rFonts w:hint="eastAsia" w:ascii="仿宋_GB2312" w:hAnsi="仿宋_GB2312" w:eastAsia="仿宋_GB2312" w:cs="仿宋_GB2312"/>
          <w:color w:val="auto"/>
          <w:sz w:val="22"/>
          <w:szCs w:val="22"/>
          <w:highlight w:val="none"/>
          <w:lang w:val="en-US" w:eastAsia="zh-CN"/>
        </w:rPr>
        <w:t xml:space="preserve">                                                    </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8.1.1发包人无正当理由逾期支付合同价款的，发包人应当向承包人支付逾期付款违约金。逾期付款违约金以逾期金额为本金，从发包人逾期付款当日起按照当月已发布的一年期LPR计算至合同价款付清之日。逾期付款违约金总额累计不超过应付未付总金额的10%。</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8.1.2发包人提前解除本合同的，如承包人未实际开展工作的，应退还全部已付合同价款；如承包人已实际开展工作的，发包人应据承包人实际工作量结算合同价款，承包人不得追究发包人其他违约责任。</w:t>
      </w:r>
    </w:p>
    <w:p>
      <w:pPr>
        <w:pageBreakBefore w:val="0"/>
        <w:widowControl w:val="0"/>
        <w:shd w:val="clear"/>
        <w:kinsoku/>
        <w:wordWrap/>
        <w:overflowPunct/>
        <w:topLinePunct w:val="0"/>
        <w:autoSpaceDE/>
        <w:autoSpaceDN/>
        <w:bidi w:val="0"/>
        <w:snapToGrid w:val="0"/>
        <w:spacing w:line="360" w:lineRule="auto"/>
        <w:ind w:firstLine="442" w:firstLineChars="200"/>
        <w:rPr>
          <w:rFonts w:hint="eastAsia" w:ascii="仿宋_GB2312" w:hAnsi="仿宋_GB2312" w:eastAsia="仿宋_GB2312" w:cs="仿宋_GB2312"/>
          <w:b/>
          <w:bCs/>
          <w:color w:val="auto"/>
          <w:sz w:val="22"/>
          <w:szCs w:val="22"/>
          <w:highlight w:val="none"/>
          <w:lang w:val="en-US" w:eastAsia="zh-CN"/>
        </w:rPr>
      </w:pPr>
      <w:r>
        <w:rPr>
          <w:rFonts w:hint="eastAsia" w:ascii="仿宋_GB2312" w:hAnsi="仿宋_GB2312" w:eastAsia="仿宋_GB2312" w:cs="仿宋_GB2312"/>
          <w:b/>
          <w:bCs/>
          <w:color w:val="auto"/>
          <w:sz w:val="22"/>
          <w:szCs w:val="22"/>
          <w:highlight w:val="none"/>
          <w:lang w:val="en-US" w:eastAsia="zh-CN"/>
        </w:rPr>
        <w:t>8.2承包人违约责任</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 xml:space="preserve">8.2.1因承包人原因导致未在本合同约定的期限内提交评估报告的，每逾期一日，承包人应向发包人支付合同总额千分之一或人民币1000元(两者取大值）的违约金；逾期超过【7】个日历日的，发包人有权解除合同并且发包人有权要求承包人按照合同金额的10%支付违约金；如发包人的实际损失超出违约金数额的，发包人还有权就超出部分损失向承包人主张赔偿责任。            </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bookmarkStart w:id="141" w:name="OLE_LINK11"/>
      <w:r>
        <w:rPr>
          <w:rFonts w:hint="eastAsia" w:ascii="仿宋_GB2312" w:hAnsi="仿宋_GB2312" w:eastAsia="仿宋_GB2312" w:cs="仿宋_GB2312"/>
          <w:color w:val="auto"/>
          <w:sz w:val="22"/>
          <w:szCs w:val="22"/>
          <w:highlight w:val="none"/>
          <w:lang w:val="en-US" w:eastAsia="zh-CN"/>
        </w:rPr>
        <w:t xml:space="preserve">8.2.2 </w:t>
      </w:r>
      <w:bookmarkEnd w:id="141"/>
      <w:r>
        <w:rPr>
          <w:rFonts w:hint="eastAsia" w:ascii="仿宋_GB2312" w:hAnsi="仿宋_GB2312" w:eastAsia="仿宋_GB2312" w:cs="仿宋_GB2312"/>
          <w:color w:val="auto"/>
          <w:sz w:val="22"/>
          <w:szCs w:val="22"/>
          <w:highlight w:val="none"/>
          <w:lang w:val="en-US" w:eastAsia="zh-CN"/>
        </w:rPr>
        <w:t xml:space="preserve">承包人不得将本合同工作内容分包和转包给第三方单位或者个人，否则发包人有权解除本合同并要求承包人退还所收取的款项，并且发包人有权要求承包人按照合同金额的10%支付违约金；如发包人的实际损失超出违约金数额的，发包人还有权就超出部分损失向承包人主张赔偿责任。            </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8.2.3 承包人保证其提供工作成果质量，若因承包人过错导致评估报告存在虚假、重大遗漏等情形的，承包人须按照该单项评估工作服务费用的2倍向发包人支付违约金。</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 xml:space="preserve">8.2.4承包人无法定或约定事宜要求解除本合同的，承包人应向支付相当于合同总金额10%的违约金，如发包人的实际损失超出违约金数额的，发包人还有权就超出部分损失向承包人主张赔偿责任。                                             </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8.2.5如承包人违约的，发包人除有权要求承包人承担违约责任外，还有权要求承包人支付维权成本，包括但不限于诉讼/仲裁费、调查取证费/公证费/鉴定费、律师费、保全费、担保费、差旅费等维权费用及其他合理费用。</w:t>
      </w:r>
    </w:p>
    <w:p>
      <w:pPr>
        <w:keepNext w:val="0"/>
        <w:keepLines w:val="0"/>
        <w:pageBreakBefore w:val="0"/>
        <w:shd w:val="clear"/>
        <w:kinsoku/>
        <w:wordWrap/>
        <w:overflowPunct/>
        <w:topLinePunct w:val="0"/>
        <w:autoSpaceDE/>
        <w:autoSpaceDN/>
        <w:bidi w:val="0"/>
        <w:adjustRightInd w:val="0"/>
        <w:snapToGrid w:val="0"/>
        <w:spacing w:line="360" w:lineRule="auto"/>
        <w:ind w:firstLine="660" w:firstLineChars="3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8.2.6因承包人原因所产生的违约金、赔偿或其他应付费用，发包人有权从承包人提供的履约担保金额或发包人应支付的合同价款中直接扣除。</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第九条  项目联系人与通知</w:t>
      </w:r>
    </w:p>
    <w:p>
      <w:pPr>
        <w:pageBreakBefore w:val="0"/>
        <w:widowControl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9.1</w:t>
      </w:r>
      <w:r>
        <w:rPr>
          <w:rFonts w:hint="eastAsia" w:ascii="仿宋_GB2312" w:hAnsi="仿宋_GB2312" w:eastAsia="仿宋_GB2312" w:cs="仿宋_GB2312"/>
          <w:color w:val="auto"/>
          <w:sz w:val="22"/>
          <w:szCs w:val="22"/>
          <w:highlight w:val="none"/>
        </w:rPr>
        <w:t>双方确定，在本合同有效期内，</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指定</w:t>
      </w:r>
      <w:r>
        <w:rPr>
          <w:rFonts w:hint="eastAsia" w:ascii="仿宋_GB2312" w:hAnsi="仿宋_GB2312" w:eastAsia="仿宋_GB2312" w:cs="仿宋_GB2312"/>
          <w:color w:val="auto"/>
          <w:sz w:val="22"/>
          <w:szCs w:val="22"/>
          <w:highlight w:val="none"/>
          <w:u w:val="single"/>
          <w:lang w:val="en-US" w:eastAsia="zh-CN"/>
        </w:rPr>
        <w:t xml:space="preserve"> XXXXXXXX </w:t>
      </w:r>
      <w:r>
        <w:rPr>
          <w:rFonts w:hint="eastAsia" w:ascii="仿宋_GB2312" w:hAnsi="仿宋_GB2312" w:eastAsia="仿宋_GB2312" w:cs="仿宋_GB2312"/>
          <w:color w:val="auto"/>
          <w:sz w:val="22"/>
          <w:szCs w:val="22"/>
          <w:highlight w:val="none"/>
        </w:rPr>
        <w:t>为</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项目联系人，</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指定</w:t>
      </w:r>
      <w:r>
        <w:rPr>
          <w:rFonts w:hint="eastAsia" w:ascii="仿宋_GB2312" w:hAnsi="仿宋_GB2312" w:eastAsia="仿宋_GB2312" w:cs="仿宋_GB2312"/>
          <w:color w:val="auto"/>
          <w:sz w:val="22"/>
          <w:szCs w:val="22"/>
          <w:highlight w:val="none"/>
          <w:u w:val="single"/>
          <w:lang w:val="en-US" w:eastAsia="zh-CN"/>
        </w:rPr>
        <w:t xml:space="preserve"> XXXXXXXX </w:t>
      </w:r>
      <w:r>
        <w:rPr>
          <w:rFonts w:hint="eastAsia" w:ascii="仿宋_GB2312" w:hAnsi="仿宋_GB2312" w:eastAsia="仿宋_GB2312" w:cs="仿宋_GB2312"/>
          <w:color w:val="auto"/>
          <w:sz w:val="22"/>
          <w:szCs w:val="22"/>
          <w:highlight w:val="none"/>
        </w:rPr>
        <w:t>为</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项目联系人。项目联系人</w:t>
      </w:r>
      <w:r>
        <w:rPr>
          <w:rFonts w:hint="eastAsia" w:ascii="仿宋_GB2312" w:hAnsi="仿宋_GB2312" w:eastAsia="仿宋_GB2312" w:cs="仿宋_GB2312"/>
          <w:color w:val="auto"/>
          <w:sz w:val="22"/>
          <w:szCs w:val="22"/>
          <w:highlight w:val="none"/>
          <w:lang w:val="en-US" w:eastAsia="zh-CN"/>
        </w:rPr>
        <w:t>负责及时传达双方意见、接收往来文件</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一方变更项目联系人的，应当及时以书面形式通知另一方，未及时通知并影响本合同履行或造成损失的，应承担相应的责任。</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 xml:space="preserve">甲方指定联系人：                                                          </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姓    名：____________</w:t>
      </w:r>
      <w:r>
        <w:rPr>
          <w:rFonts w:hint="eastAsia" w:ascii="仿宋_GB2312" w:hAnsi="仿宋_GB2312" w:eastAsia="仿宋_GB2312" w:cs="仿宋_GB2312"/>
          <w:color w:val="auto"/>
          <w:sz w:val="22"/>
          <w:szCs w:val="22"/>
          <w:highlight w:val="none"/>
          <w:u w:val="none"/>
          <w:lang w:eastAsia="zh-CN"/>
        </w:rPr>
        <w:t>____________________________________</w:t>
      </w:r>
      <w:r>
        <w:rPr>
          <w:rFonts w:hint="eastAsia" w:ascii="仿宋_GB2312" w:hAnsi="仿宋_GB2312" w:eastAsia="仿宋_GB2312" w:cs="仿宋_GB2312"/>
          <w:color w:val="auto"/>
          <w:sz w:val="22"/>
          <w:szCs w:val="22"/>
          <w:highlight w:val="none"/>
          <w:lang w:eastAsia="zh-CN"/>
        </w:rPr>
        <w:t>_____</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联系电话：_____________________________________________________</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电子邮箱：_____________________________________________________</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 xml:space="preserve">通讯地址：____________________________________________________     </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甲方咨询投诉电话：0769-23366373</w:t>
      </w:r>
      <w:r>
        <w:rPr>
          <w:rFonts w:hint="eastAsia" w:ascii="仿宋_GB2312" w:hAnsi="仿宋_GB2312" w:eastAsia="仿宋_GB2312" w:cs="仿宋_GB2312"/>
          <w:color w:val="auto"/>
          <w:sz w:val="22"/>
          <w:szCs w:val="22"/>
          <w:highlight w:val="none"/>
          <w:lang w:eastAsia="zh-CN"/>
        </w:rPr>
        <w:t xml:space="preserve">      </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 xml:space="preserve">乙方指定联系人：                                                          </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姓    名：_____________________________________________________</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联系电话：_____________________________________________________</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eastAsia="zh-CN"/>
        </w:rPr>
        <w:t>电子邮箱：_____________________________________________________</w:t>
      </w:r>
    </w:p>
    <w:p>
      <w:pPr>
        <w:pStyle w:val="11"/>
        <w:pageBreakBefore w:val="0"/>
        <w:shd w:val="clear"/>
        <w:tabs>
          <w:tab w:val="left" w:pos="420"/>
        </w:tabs>
        <w:kinsoku/>
        <w:wordWrap/>
        <w:overflowPunct/>
        <w:topLinePunct w:val="0"/>
        <w:autoSpaceDE/>
        <w:autoSpaceDN/>
        <w:bidi w:val="0"/>
        <w:snapToGrid w:val="0"/>
        <w:spacing w:before="0" w:line="360" w:lineRule="auto"/>
        <w:ind w:left="298" w:leftChars="142" w:firstLine="121" w:firstLineChars="55"/>
        <w:jc w:val="left"/>
        <w:rPr>
          <w:rFonts w:hint="eastAsia"/>
          <w:color w:val="auto"/>
          <w:sz w:val="22"/>
          <w:szCs w:val="22"/>
          <w:highlight w:val="none"/>
        </w:rPr>
      </w:pPr>
      <w:r>
        <w:rPr>
          <w:rFonts w:hint="eastAsia" w:ascii="仿宋_GB2312" w:hAnsi="仿宋_GB2312" w:eastAsia="仿宋_GB2312" w:cs="仿宋_GB2312"/>
          <w:color w:val="auto"/>
          <w:sz w:val="22"/>
          <w:szCs w:val="22"/>
          <w:highlight w:val="none"/>
          <w:lang w:eastAsia="zh-CN"/>
        </w:rPr>
        <w:t>通讯地址：_____________________________________________________</w:t>
      </w:r>
    </w:p>
    <w:p>
      <w:pPr>
        <w:pageBreakBefore w:val="0"/>
        <w:widowControl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9.2 </w:t>
      </w:r>
      <w:r>
        <w:rPr>
          <w:rFonts w:hint="eastAsia" w:ascii="仿宋_GB2312" w:hAnsi="仿宋_GB2312" w:eastAsia="仿宋_GB2312" w:cs="仿宋_GB2312"/>
          <w:color w:val="auto"/>
          <w:sz w:val="22"/>
          <w:szCs w:val="22"/>
          <w:highlight w:val="none"/>
        </w:rPr>
        <w:t>甲、乙双方因履行本合同或与本合同有关的一切通知、要求、文件往来等都应以书面形式及时送达对方，受送达方应及时签收。如由于受送达方的原因不能送达或拒绝签收的，送达方可采用挂号信或者邮政特快专递邮寄送达，邮件寄至本合同记载之地址时，即视为送达。</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default"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第十条  不可抗力</w:t>
      </w:r>
    </w:p>
    <w:p>
      <w:pPr>
        <w:pageBreakBefore w:val="0"/>
        <w:widowControl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10.</w:t>
      </w:r>
      <w:r>
        <w:rPr>
          <w:rFonts w:hint="eastAsia" w:ascii="仿宋_GB2312" w:hAnsi="仿宋_GB2312" w:eastAsia="仿宋_GB2312" w:cs="仿宋_GB2312"/>
          <w:color w:val="auto"/>
          <w:sz w:val="22"/>
          <w:szCs w:val="22"/>
          <w:highlight w:val="none"/>
        </w:rPr>
        <w:t>1</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不可抗力是指战争、严重火灾、水灾、台风、地震等人力不可抗拒的因素引起的延误和影响，不可抗力的解释按法律规定。不可抗力发生后，受影响方应立即将不可抗力发生的情况通知另一方。上述情况发生后，双方应努力采取必要措施，密切配合减少不可抗力的影响。</w:t>
      </w:r>
    </w:p>
    <w:p>
      <w:pPr>
        <w:pageBreakBefore w:val="0"/>
        <w:widowControl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10</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val="en-US" w:eastAsia="zh-CN"/>
        </w:rPr>
        <w:t xml:space="preserve">2 </w:t>
      </w:r>
      <w:r>
        <w:rPr>
          <w:rFonts w:hint="eastAsia" w:ascii="仿宋_GB2312" w:hAnsi="仿宋_GB2312" w:eastAsia="仿宋_GB2312" w:cs="仿宋_GB2312"/>
          <w:color w:val="auto"/>
          <w:sz w:val="22"/>
          <w:szCs w:val="22"/>
          <w:highlight w:val="none"/>
        </w:rPr>
        <w:t>甲、乙任何一方如确因不可抗力的原因，不能履行本合同时，应及时向对方通知不能履行或须延期履行、部分履行合同的理由。不可抗力在取得有关机构证明或者合同相对方认可后，本合同可以不履行或延期履行或部分履行。</w:t>
      </w:r>
    </w:p>
    <w:p>
      <w:pPr>
        <w:pageBreakBefore w:val="0"/>
        <w:numPr>
          <w:ilvl w:val="-1"/>
          <w:numId w:val="0"/>
        </w:numPr>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10.3 不可抗力后果及其处理</w:t>
      </w:r>
    </w:p>
    <w:p>
      <w:pPr>
        <w:pageBreakBefore w:val="0"/>
        <w:numPr>
          <w:ilvl w:val="-1"/>
          <w:numId w:val="0"/>
        </w:numPr>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（1）合同一方延迟履行，在延迟履行期间发生不可抗力的，不免除其责任。</w:t>
      </w:r>
    </w:p>
    <w:p>
      <w:pPr>
        <w:pageBreakBefore w:val="0"/>
        <w:numPr>
          <w:ilvl w:val="-1"/>
          <w:numId w:val="0"/>
        </w:numPr>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（2）不可抗力发生后，合同双方均应采取措施尽量避免和减少损失的扩大，任何一方没有采取有效措施导致损失扩大的，应对扩大的损失承担责任。</w:t>
      </w:r>
    </w:p>
    <w:p>
      <w:pPr>
        <w:pageBreakBefore w:val="0"/>
        <w:numPr>
          <w:ins w:id="0" w:author=" wyb" w:date=""/>
        </w:numPr>
        <w:shd w:val="clear"/>
        <w:kinsoku/>
        <w:wordWrap/>
        <w:overflowPunct/>
        <w:topLinePunct w:val="0"/>
        <w:autoSpaceDE/>
        <w:autoSpaceDN/>
        <w:bidi w:val="0"/>
        <w:snapToGrid w:val="0"/>
        <w:spacing w:line="360" w:lineRule="auto"/>
        <w:ind w:firstLine="440" w:firstLineChars="200"/>
        <w:rPr>
          <w:rFonts w:hint="default" w:eastAsia="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（3）合同一方因不可抗力不能履行合同的，应当及时通知对方解除合同。双方根据乙方实际完成工作量据实结算合同费用。</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第十一条  合同的变更与解除</w:t>
      </w:r>
    </w:p>
    <w:p>
      <w:pPr>
        <w:keepNext w:val="0"/>
        <w:keepLines w:val="0"/>
        <w:pageBreakBefore w:val="0"/>
        <w:shd w:val="clear"/>
        <w:kinsoku/>
        <w:wordWrap/>
        <w:overflowPunct/>
        <w:topLinePunct w:val="0"/>
        <w:autoSpaceDE/>
        <w:autoSpaceDN/>
        <w:bidi w:val="0"/>
        <w:adjustRightInd/>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11.1 </w:t>
      </w: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有权</w:t>
      </w:r>
      <w:r>
        <w:rPr>
          <w:rFonts w:hint="eastAsia" w:ascii="仿宋_GB2312" w:hAnsi="仿宋_GB2312" w:eastAsia="仿宋_GB2312" w:cs="仿宋_GB2312"/>
          <w:color w:val="auto"/>
          <w:sz w:val="22"/>
          <w:szCs w:val="22"/>
          <w:highlight w:val="none"/>
          <w:lang w:val="en-US" w:eastAsia="zh-CN"/>
        </w:rPr>
        <w:t>根据实际工作需要随时调整本合同服务范围或提前解除本合同</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lang w:val="en-US" w:eastAsia="zh-CN"/>
        </w:rPr>
        <w:t>应配合相应工作</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并按照已发生的服务内容、范围进行结算</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lang w:val="en-US" w:eastAsia="zh-CN"/>
        </w:rPr>
        <w:t>承包人不得追究发包人其他违约责任。</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 xml:space="preserve">11.2 </w:t>
      </w:r>
      <w:r>
        <w:rPr>
          <w:rFonts w:hint="eastAsia" w:ascii="仿宋_GB2312" w:hAnsi="仿宋_GB2312" w:eastAsia="仿宋_GB2312" w:cs="仿宋_GB2312"/>
          <w:color w:val="auto"/>
          <w:sz w:val="22"/>
          <w:szCs w:val="22"/>
          <w:highlight w:val="none"/>
        </w:rPr>
        <w:t>双方确定，出现下列情形，致使本合同的履行成为不必要或不可能的，可以解除本合同</w:t>
      </w:r>
      <w:r>
        <w:rPr>
          <w:rFonts w:hint="eastAsia" w:ascii="仿宋_GB2312" w:hAnsi="仿宋_GB2312" w:eastAsia="仿宋_GB2312" w:cs="仿宋_GB2312"/>
          <w:color w:val="auto"/>
          <w:sz w:val="22"/>
          <w:szCs w:val="22"/>
          <w:highlight w:val="none"/>
          <w:lang w:eastAsia="zh-CN"/>
        </w:rPr>
        <w:t>。</w:t>
      </w:r>
    </w:p>
    <w:p>
      <w:pPr>
        <w:pStyle w:val="50"/>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firstLine="660" w:firstLineChars="300"/>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 xml:space="preserve">11.2.1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提供的</w:t>
      </w:r>
      <w:r>
        <w:rPr>
          <w:rFonts w:hint="eastAsia" w:ascii="仿宋_GB2312" w:hAnsi="仿宋_GB2312" w:eastAsia="仿宋_GB2312" w:cs="仿宋_GB2312"/>
          <w:color w:val="auto"/>
          <w:sz w:val="22"/>
          <w:szCs w:val="22"/>
          <w:highlight w:val="none"/>
          <w:lang w:val="en-US" w:eastAsia="zh-CN"/>
        </w:rPr>
        <w:t>技术成果</w:t>
      </w:r>
      <w:r>
        <w:rPr>
          <w:rFonts w:hint="eastAsia" w:ascii="仿宋_GB2312" w:hAnsi="仿宋_GB2312" w:eastAsia="仿宋_GB2312" w:cs="仿宋_GB2312"/>
          <w:color w:val="auto"/>
          <w:sz w:val="22"/>
          <w:szCs w:val="22"/>
          <w:highlight w:val="none"/>
        </w:rPr>
        <w:t>不符合合同约定标准且在</w:t>
      </w:r>
      <w:r>
        <w:rPr>
          <w:rFonts w:hint="eastAsia" w:ascii="仿宋_GB2312" w:hAnsi="仿宋_GB2312" w:eastAsia="仿宋_GB2312" w:cs="仿宋_GB2312"/>
          <w:color w:val="auto"/>
          <w:sz w:val="22"/>
          <w:szCs w:val="22"/>
          <w:highlight w:val="none"/>
          <w:lang w:val="en-US" w:eastAsia="zh-CN"/>
        </w:rPr>
        <w:t>30天</w:t>
      </w:r>
      <w:r>
        <w:rPr>
          <w:rFonts w:hint="eastAsia" w:ascii="仿宋_GB2312" w:hAnsi="仿宋_GB2312" w:eastAsia="仿宋_GB2312" w:cs="仿宋_GB2312"/>
          <w:color w:val="auto"/>
          <w:sz w:val="22"/>
          <w:szCs w:val="22"/>
          <w:highlight w:val="none"/>
        </w:rPr>
        <w:t>内仍未改正，或</w:t>
      </w:r>
      <w:r>
        <w:rPr>
          <w:rFonts w:hint="eastAsia" w:ascii="仿宋_GB2312" w:hAnsi="仿宋_GB2312" w:eastAsia="仿宋_GB2312" w:cs="仿宋_GB2312"/>
          <w:color w:val="auto"/>
          <w:sz w:val="22"/>
          <w:szCs w:val="22"/>
          <w:highlight w:val="none"/>
          <w:lang w:val="en-US" w:eastAsia="zh-CN"/>
        </w:rPr>
        <w:t>3次</w:t>
      </w:r>
      <w:r>
        <w:rPr>
          <w:rFonts w:hint="eastAsia" w:ascii="仿宋_GB2312" w:hAnsi="仿宋_GB2312" w:eastAsia="仿宋_GB2312" w:cs="仿宋_GB2312"/>
          <w:color w:val="auto"/>
          <w:sz w:val="22"/>
          <w:szCs w:val="22"/>
          <w:highlight w:val="none"/>
        </w:rPr>
        <w:t>整改后仍不符合合同约定标准的</w:t>
      </w:r>
      <w:r>
        <w:rPr>
          <w:rFonts w:hint="eastAsia" w:ascii="仿宋_GB2312" w:hAnsi="仿宋_GB2312" w:eastAsia="仿宋_GB2312" w:cs="仿宋_GB2312"/>
          <w:color w:val="auto"/>
          <w:sz w:val="22"/>
          <w:szCs w:val="22"/>
          <w:highlight w:val="none"/>
          <w:lang w:eastAsia="zh-CN"/>
        </w:rPr>
        <w:t>。</w:t>
      </w:r>
    </w:p>
    <w:p>
      <w:pPr>
        <w:pStyle w:val="50"/>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firstLine="660" w:firstLineChars="300"/>
        <w:textAlignment w:val="auto"/>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lang w:val="en-US" w:eastAsia="zh-CN"/>
        </w:rPr>
        <w:t>11.2.2 承包人未经发包人书面同意擅自更换指定人员超过</w:t>
      </w:r>
      <w:r>
        <w:rPr>
          <w:rFonts w:hint="eastAsia" w:ascii="仿宋_GB2312" w:hAnsi="仿宋_GB2312" w:eastAsia="仿宋_GB2312" w:cs="仿宋_GB2312"/>
          <w:color w:val="auto"/>
          <w:sz w:val="22"/>
          <w:szCs w:val="22"/>
          <w:highlight w:val="none"/>
          <w:u w:val="single"/>
          <w:lang w:val="en-US" w:eastAsia="zh-CN"/>
        </w:rPr>
        <w:t xml:space="preserve"> 3 </w:t>
      </w:r>
      <w:r>
        <w:rPr>
          <w:rFonts w:hint="eastAsia" w:ascii="仿宋_GB2312" w:hAnsi="仿宋_GB2312" w:eastAsia="仿宋_GB2312" w:cs="仿宋_GB2312"/>
          <w:color w:val="auto"/>
          <w:sz w:val="22"/>
          <w:szCs w:val="22"/>
          <w:highlight w:val="none"/>
          <w:u w:val="none"/>
          <w:lang w:val="en-US" w:eastAsia="zh-CN"/>
        </w:rPr>
        <w:t>次的。</w:t>
      </w:r>
    </w:p>
    <w:p>
      <w:pPr>
        <w:pStyle w:val="50"/>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firstLine="660" w:firstLineChars="300"/>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u w:val="none"/>
          <w:lang w:val="en-US" w:eastAsia="zh-CN"/>
        </w:rPr>
        <w:t xml:space="preserve">11.2.3 </w:t>
      </w:r>
      <w:r>
        <w:rPr>
          <w:rFonts w:hint="eastAsia" w:ascii="仿宋_GB2312" w:hAnsi="仿宋_GB2312" w:eastAsia="仿宋_GB2312" w:cs="仿宋_GB2312"/>
          <w:color w:val="auto"/>
          <w:sz w:val="22"/>
          <w:szCs w:val="22"/>
          <w:highlight w:val="none"/>
        </w:rPr>
        <w:t>本项目业主原因或其他客观原因，导致双方不能继续履行本合同</w:t>
      </w:r>
      <w:r>
        <w:rPr>
          <w:rFonts w:hint="eastAsia" w:ascii="仿宋_GB2312" w:hAnsi="仿宋_GB2312" w:eastAsia="仿宋_GB2312" w:cs="仿宋_GB2312"/>
          <w:color w:val="auto"/>
          <w:sz w:val="22"/>
          <w:szCs w:val="22"/>
          <w:highlight w:val="none"/>
          <w:lang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lang w:val="en-US" w:eastAsia="zh-CN"/>
        </w:rPr>
        <w:t>第十二条  纠纷解决方式</w:t>
      </w:r>
    </w:p>
    <w:p>
      <w:pPr>
        <w:pStyle w:val="50"/>
        <w:keepNext w:val="0"/>
        <w:keepLines w:val="0"/>
        <w:pageBreakBefore w:val="0"/>
        <w:numPr>
          <w:ilvl w:val="0"/>
          <w:numId w:val="0"/>
        </w:numPr>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如双方在履行本合同过程中发生纠纷，当事人双方应当及时协商解决</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协商不成时</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双方约定向</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u w:val="single"/>
          <w:lang w:eastAsia="zh-CN"/>
        </w:rPr>
        <w:t>发包人</w:t>
      </w:r>
      <w:r>
        <w:rPr>
          <w:rFonts w:hint="eastAsia" w:ascii="仿宋_GB2312" w:hAnsi="仿宋_GB2312" w:eastAsia="仿宋_GB2312" w:cs="仿宋_GB2312"/>
          <w:color w:val="auto"/>
          <w:sz w:val="22"/>
          <w:szCs w:val="22"/>
          <w:highlight w:val="none"/>
          <w:u w:val="single"/>
        </w:rPr>
        <w:t>法人机构所在地</w:t>
      </w:r>
      <w:r>
        <w:rPr>
          <w:rFonts w:hint="eastAsia" w:ascii="仿宋_GB2312" w:hAnsi="仿宋_GB2312" w:eastAsia="仿宋_GB2312" w:cs="仿宋_GB2312"/>
          <w:color w:val="auto"/>
          <w:sz w:val="22"/>
          <w:szCs w:val="22"/>
          <w:highlight w:val="none"/>
          <w:u w:val="single"/>
          <w:lang w:val="en-US" w:eastAsia="zh-CN"/>
        </w:rPr>
        <w:t xml:space="preserve">  </w:t>
      </w:r>
      <w:r>
        <w:rPr>
          <w:rFonts w:hint="eastAsia" w:ascii="仿宋_GB2312" w:hAnsi="仿宋_GB2312" w:eastAsia="仿宋_GB2312" w:cs="仿宋_GB2312"/>
          <w:color w:val="auto"/>
          <w:sz w:val="22"/>
          <w:szCs w:val="22"/>
          <w:highlight w:val="none"/>
        </w:rPr>
        <w:t>人民法院提起诉讼。</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第十三条  阳光合作协议</w:t>
      </w:r>
    </w:p>
    <w:p>
      <w:pPr>
        <w:pStyle w:val="50"/>
        <w:keepNext w:val="0"/>
        <w:keepLines w:val="0"/>
        <w:pageBreakBefore w:val="0"/>
        <w:numPr>
          <w:ilvl w:val="-1"/>
          <w:numId w:val="0"/>
        </w:numPr>
        <w:shd w:val="clear"/>
        <w:kinsoku/>
        <w:wordWrap/>
        <w:overflowPunct/>
        <w:topLinePunct w:val="0"/>
        <w:autoSpaceDE/>
        <w:autoSpaceDN/>
        <w:bidi w:val="0"/>
        <w:adjustRightInd w:val="0"/>
        <w:snapToGrid w:val="0"/>
        <w:spacing w:line="360" w:lineRule="auto"/>
        <w:ind w:firstLine="0" w:firstLineChars="0"/>
        <w:textAlignment w:val="auto"/>
        <w:outlineLvl w:val="9"/>
        <w:rPr>
          <w:rFonts w:hint="default" w:ascii="黑体" w:hAnsi="黑体" w:eastAsia="黑体" w:cs="黑体"/>
          <w:color w:val="auto"/>
          <w:spacing w:val="2"/>
          <w:sz w:val="22"/>
          <w:szCs w:val="22"/>
          <w:highlight w:val="none"/>
          <w:lang w:val="en-US" w:eastAsia="zh-CN"/>
        </w:rPr>
      </w:pPr>
      <w:r>
        <w:rPr>
          <w:rFonts w:hint="eastAsia" w:cs="黑体"/>
          <w:color w:val="auto"/>
          <w:spacing w:val="2"/>
          <w:sz w:val="22"/>
          <w:szCs w:val="22"/>
          <w:highlight w:val="none"/>
          <w:lang w:val="en-US" w:eastAsia="zh-CN"/>
        </w:rPr>
        <w:t xml:space="preserve">  </w:t>
      </w:r>
      <w:r>
        <w:rPr>
          <w:rFonts w:hint="eastAsia" w:ascii="仿宋_GB2312" w:hAnsi="仿宋_GB2312" w:eastAsia="仿宋_GB2312" w:cs="仿宋_GB2312"/>
          <w:color w:val="auto"/>
          <w:spacing w:val="0"/>
          <w:sz w:val="22"/>
          <w:szCs w:val="22"/>
          <w:highlight w:val="none"/>
          <w:lang w:val="en-US" w:eastAsia="zh-CN"/>
        </w:rPr>
        <w:t xml:space="preserve">  见附件1</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rPr>
        <w:t>第十</w:t>
      </w:r>
      <w:r>
        <w:rPr>
          <w:rFonts w:hint="eastAsia" w:ascii="黑体" w:hAnsi="黑体" w:eastAsia="黑体" w:cs="黑体"/>
          <w:bCs/>
          <w:color w:val="auto"/>
          <w:sz w:val="22"/>
          <w:szCs w:val="22"/>
          <w:highlight w:val="none"/>
          <w:lang w:val="en-US" w:eastAsia="zh-CN"/>
        </w:rPr>
        <w:t>四</w:t>
      </w:r>
      <w:r>
        <w:rPr>
          <w:rFonts w:hint="eastAsia" w:ascii="黑体" w:hAnsi="黑体" w:eastAsia="黑体" w:cs="黑体"/>
          <w:bCs/>
          <w:color w:val="auto"/>
          <w:sz w:val="22"/>
          <w:szCs w:val="22"/>
          <w:highlight w:val="none"/>
        </w:rPr>
        <w:t xml:space="preserve">条  </w:t>
      </w:r>
      <w:r>
        <w:rPr>
          <w:rFonts w:hint="eastAsia" w:ascii="黑体" w:hAnsi="黑体" w:eastAsia="黑体" w:cs="黑体"/>
          <w:bCs/>
          <w:color w:val="auto"/>
          <w:sz w:val="22"/>
          <w:szCs w:val="22"/>
          <w:highlight w:val="none"/>
          <w:lang w:val="en-US" w:eastAsia="zh-CN"/>
        </w:rPr>
        <w:t>承包人增值服务</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14.1 经验案例分享：</w:t>
      </w:r>
    </w:p>
    <w:p>
      <w:pPr>
        <w:pStyle w:val="50"/>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firstLine="660" w:firstLineChars="300"/>
        <w:textAlignment w:val="auto"/>
        <w:rPr>
          <w:rFonts w:hint="eastAsia" w:ascii="仿宋_GB2312" w:hAnsi="仿宋_GB2312" w:eastAsia="仿宋_GB2312" w:cs="仿宋_GB2312"/>
          <w:color w:val="auto"/>
          <w:sz w:val="22"/>
          <w:szCs w:val="22"/>
          <w:highlight w:val="none"/>
          <w:lang w:eastAsia="zh-CN"/>
        </w:rPr>
      </w:pPr>
      <w:r>
        <w:rPr>
          <w:rFonts w:hint="eastAsia" w:ascii="仿宋_GB2312" w:hAnsi="仿宋_GB2312" w:eastAsia="仿宋_GB2312" w:cs="仿宋_GB2312"/>
          <w:color w:val="auto"/>
          <w:sz w:val="22"/>
          <w:szCs w:val="22"/>
          <w:highlight w:val="none"/>
          <w:lang w:val="en-US" w:eastAsia="zh-CN"/>
        </w:rPr>
        <w:t xml:space="preserve">14.1.1 </w:t>
      </w:r>
      <w:r>
        <w:rPr>
          <w:rFonts w:hint="eastAsia" w:ascii="仿宋_GB2312" w:hAnsi="仿宋_GB2312" w:eastAsia="仿宋_GB2312" w:cs="仿宋_GB2312"/>
          <w:color w:val="auto"/>
          <w:sz w:val="22"/>
          <w:szCs w:val="22"/>
          <w:highlight w:val="none"/>
        </w:rPr>
        <w:t>标杆企业优秀经验分享：邀请</w:t>
      </w:r>
      <w:r>
        <w:rPr>
          <w:rFonts w:hint="eastAsia" w:ascii="仿宋_GB2312" w:hAnsi="仿宋_GB2312" w:eastAsia="仿宋_GB2312" w:cs="仿宋_GB2312"/>
          <w:color w:val="auto"/>
          <w:sz w:val="22"/>
          <w:szCs w:val="22"/>
          <w:highlight w:val="none"/>
          <w:lang w:val="en-US" w:eastAsia="zh-CN"/>
        </w:rPr>
        <w:t>发包人</w:t>
      </w:r>
      <w:r>
        <w:rPr>
          <w:rFonts w:hint="eastAsia" w:ascii="仿宋_GB2312" w:hAnsi="仿宋_GB2312" w:eastAsia="仿宋_GB2312" w:cs="仿宋_GB2312"/>
          <w:color w:val="auto"/>
          <w:sz w:val="22"/>
          <w:szCs w:val="22"/>
          <w:highlight w:val="none"/>
        </w:rPr>
        <w:t>参加</w:t>
      </w:r>
      <w:r>
        <w:rPr>
          <w:rFonts w:hint="eastAsia" w:ascii="仿宋_GB2312" w:hAnsi="仿宋_GB2312" w:eastAsia="仿宋_GB2312" w:cs="仿宋_GB2312"/>
          <w:color w:val="auto"/>
          <w:sz w:val="22"/>
          <w:szCs w:val="22"/>
          <w:highlight w:val="none"/>
          <w:lang w:val="en-US" w:eastAsia="zh-CN"/>
        </w:rPr>
        <w:t>承包人</w:t>
      </w:r>
      <w:r>
        <w:rPr>
          <w:rFonts w:hint="eastAsia" w:ascii="仿宋_GB2312" w:hAnsi="仿宋_GB2312" w:eastAsia="仿宋_GB2312" w:cs="仿宋_GB2312"/>
          <w:color w:val="auto"/>
          <w:sz w:val="22"/>
          <w:szCs w:val="22"/>
          <w:highlight w:val="none"/>
        </w:rPr>
        <w:t>举办行业沙龙活动，为业内提供横向交流平台。</w:t>
      </w:r>
    </w:p>
    <w:p>
      <w:pPr>
        <w:pStyle w:val="50"/>
        <w:keepNext w:val="0"/>
        <w:keepLines w:val="0"/>
        <w:pageBreakBefore w:val="0"/>
        <w:widowControl w:val="0"/>
        <w:numPr>
          <w:ilvl w:val="0"/>
          <w:numId w:val="0"/>
        </w:numPr>
        <w:shd w:val="clear"/>
        <w:kinsoku/>
        <w:wordWrap/>
        <w:overflowPunct/>
        <w:topLinePunct w:val="0"/>
        <w:autoSpaceDE/>
        <w:autoSpaceDN/>
        <w:bidi w:val="0"/>
        <w:adjustRightInd w:val="0"/>
        <w:snapToGrid w:val="0"/>
        <w:spacing w:line="360" w:lineRule="auto"/>
        <w:ind w:leftChars="0" w:firstLine="660" w:firstLineChars="300"/>
        <w:textAlignment w:val="auto"/>
        <w:rPr>
          <w:rFonts w:hint="eastAsia" w:ascii="仿宋_GB2312" w:hAnsi="仿宋_GB2312" w:eastAsia="仿宋_GB2312" w:cs="仿宋_GB2312"/>
          <w:color w:val="auto"/>
          <w:sz w:val="22"/>
          <w:szCs w:val="22"/>
          <w:highlight w:val="none"/>
          <w:u w:val="none"/>
          <w:lang w:val="en-US" w:eastAsia="zh-CN"/>
        </w:rPr>
      </w:pPr>
      <w:r>
        <w:rPr>
          <w:rFonts w:hint="eastAsia" w:ascii="仿宋_GB2312" w:hAnsi="仿宋_GB2312" w:eastAsia="仿宋_GB2312" w:cs="仿宋_GB2312"/>
          <w:color w:val="auto"/>
          <w:sz w:val="22"/>
          <w:szCs w:val="22"/>
          <w:highlight w:val="none"/>
          <w:lang w:val="en-US" w:eastAsia="zh-CN"/>
        </w:rPr>
        <w:t>14.1.2 优秀工地观摩：邀请发包人参加承包人众多评估项目中较优秀的工地现场参观，交流施工管理心得，取长补短</w:t>
      </w:r>
      <w:r>
        <w:rPr>
          <w:rFonts w:hint="eastAsia" w:ascii="仿宋_GB2312" w:hAnsi="仿宋_GB2312" w:eastAsia="仿宋_GB2312" w:cs="仿宋_GB2312"/>
          <w:color w:val="auto"/>
          <w:sz w:val="22"/>
          <w:szCs w:val="22"/>
          <w:highlight w:val="none"/>
          <w:u w:val="none"/>
          <w:lang w:val="en-US" w:eastAsia="zh-CN"/>
        </w:rPr>
        <w:t>。</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14.2 数据对标：承包人数据库涵盖了全国各省市项目标段的工程质量安全信息，可为发包人提供过程、交付评估等各项评估数据对标。</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14.3 邀请发包人参加行业交流—建筑工程品质管理高峰论坛。</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14.4 体系升级：定期根据现场评估状况与行业导向，不断对体系进行完善，更加深入地契合发包人的管理需求。</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14.5 行业研究资料：承包人定期发布的建筑工程行业的建造风险案例汇编、内参、新品质期刊等资料，可提供发包人参考。</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rPr>
        <w:t>第十</w:t>
      </w:r>
      <w:r>
        <w:rPr>
          <w:rFonts w:hint="eastAsia" w:ascii="黑体" w:hAnsi="黑体" w:eastAsia="黑体" w:cs="黑体"/>
          <w:bCs/>
          <w:color w:val="auto"/>
          <w:sz w:val="22"/>
          <w:szCs w:val="22"/>
          <w:highlight w:val="none"/>
          <w:lang w:val="en-US" w:eastAsia="zh-CN"/>
        </w:rPr>
        <w:t>五</w:t>
      </w:r>
      <w:r>
        <w:rPr>
          <w:rFonts w:hint="eastAsia" w:ascii="黑体" w:hAnsi="黑体" w:eastAsia="黑体" w:cs="黑体"/>
          <w:bCs/>
          <w:color w:val="auto"/>
          <w:sz w:val="22"/>
          <w:szCs w:val="22"/>
          <w:highlight w:val="none"/>
        </w:rPr>
        <w:t xml:space="preserve">条  </w:t>
      </w:r>
      <w:r>
        <w:rPr>
          <w:rFonts w:hint="eastAsia" w:ascii="黑体" w:hAnsi="黑体" w:eastAsia="黑体" w:cs="黑体"/>
          <w:bCs/>
          <w:color w:val="auto"/>
          <w:sz w:val="22"/>
          <w:szCs w:val="22"/>
          <w:highlight w:val="none"/>
          <w:lang w:val="en-US" w:eastAsia="zh-CN"/>
        </w:rPr>
        <w:t>其他</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15.1 本合同未尽事宜，由双方及时协商签订补充协议，补充协议与本合同具有同等法律效力。</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15.2 任何一方有效联系方式发生变更的，均应在变更前7日内通知对方，否则视为未变更，由此引起的一切不良后果均由未通知方自行承担。</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default"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15.3 本合同中约定的工作日为法定节假日时，自动顺延至法定节假日后的第一个工作日。</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15.4 本合同自双方盖章之日起生效。</w:t>
      </w:r>
    </w:p>
    <w:p>
      <w:pPr>
        <w:keepNext w:val="0"/>
        <w:keepLines w:val="0"/>
        <w:pageBreakBefore w:val="0"/>
        <w:shd w:val="clear"/>
        <w:kinsoku/>
        <w:wordWrap/>
        <w:overflowPunct/>
        <w:topLinePunct w:val="0"/>
        <w:autoSpaceDE/>
        <w:autoSpaceDN/>
        <w:bidi w:val="0"/>
        <w:adjustRightInd w:val="0"/>
        <w:snapToGrid w:val="0"/>
        <w:spacing w:line="360" w:lineRule="auto"/>
        <w:ind w:firstLine="440" w:firstLineChars="200"/>
        <w:textAlignment w:val="auto"/>
        <w:rPr>
          <w:rFonts w:hint="eastAsia" w:ascii="仿宋_GB2312" w:hAnsi="仿宋_GB2312" w:eastAsia="仿宋_GB2312" w:cs="仿宋_GB2312"/>
          <w:color w:val="auto"/>
          <w:sz w:val="22"/>
          <w:szCs w:val="22"/>
          <w:highlight w:val="none"/>
          <w:lang w:val="en-US" w:eastAsia="zh-CN"/>
        </w:rPr>
      </w:pPr>
      <w:r>
        <w:rPr>
          <w:rFonts w:hint="eastAsia" w:ascii="仿宋_GB2312" w:hAnsi="仿宋_GB2312" w:eastAsia="仿宋_GB2312" w:cs="仿宋_GB2312"/>
          <w:color w:val="auto"/>
          <w:sz w:val="22"/>
          <w:szCs w:val="22"/>
          <w:highlight w:val="none"/>
          <w:lang w:val="en-US" w:eastAsia="zh-CN"/>
        </w:rPr>
        <w:t>15.5 本合同一式 6 份，双方各执 3 份，具有同等法律效力。</w:t>
      </w:r>
    </w:p>
    <w:p>
      <w:pPr>
        <w:pageBreakBefore w:val="0"/>
        <w:widowControl w:val="0"/>
        <w:shd w:val="clear"/>
        <w:kinsoku/>
        <w:wordWrap/>
        <w:overflowPunct/>
        <w:topLinePunct w:val="0"/>
        <w:autoSpaceDE/>
        <w:autoSpaceDN/>
        <w:bidi w:val="0"/>
        <w:snapToGrid w:val="0"/>
        <w:spacing w:line="360" w:lineRule="auto"/>
        <w:ind w:firstLine="424" w:firstLineChars="193"/>
        <w:jc w:val="both"/>
        <w:rPr>
          <w:rFonts w:hint="eastAsia" w:ascii="仿宋_GB2312" w:hAnsi="仿宋_GB2312" w:eastAsia="仿宋_GB2312" w:cs="仿宋_GB2312"/>
          <w:color w:val="auto"/>
          <w:kern w:val="2"/>
          <w:sz w:val="22"/>
          <w:szCs w:val="22"/>
          <w:highlight w:val="none"/>
          <w:lang w:val="en-US" w:eastAsia="zh-CN" w:bidi="ar-SA"/>
        </w:rPr>
      </w:pPr>
    </w:p>
    <w:p>
      <w:pPr>
        <w:keepNext w:val="0"/>
        <w:keepLines w:val="0"/>
        <w:pageBreakBefore w:val="0"/>
        <w:widowControl/>
        <w:suppressLineNumbers w:val="0"/>
        <w:shd w:val="clear"/>
        <w:kinsoku/>
        <w:wordWrap/>
        <w:overflowPunct/>
        <w:topLinePunct w:val="0"/>
        <w:autoSpaceDE/>
        <w:autoSpaceDN/>
        <w:bidi w:val="0"/>
        <w:snapToGrid w:val="0"/>
        <w:spacing w:line="360" w:lineRule="auto"/>
        <w:jc w:val="center"/>
        <w:rPr>
          <w:rFonts w:ascii="Times New Roman" w:hAnsi="Times New Roman" w:eastAsia="宋体" w:cs="Times New Roman"/>
          <w:b/>
          <w:bCs/>
          <w:color w:val="auto"/>
          <w:sz w:val="22"/>
          <w:szCs w:val="22"/>
          <w:highlight w:val="none"/>
          <w:u w:val="none"/>
        </w:rPr>
      </w:pPr>
      <w:r>
        <w:rPr>
          <w:rFonts w:ascii="宋体" w:hAnsi="宋体" w:eastAsia="宋体" w:cs="宋体"/>
          <w:b/>
          <w:bCs/>
          <w:color w:val="auto"/>
          <w:kern w:val="0"/>
          <w:sz w:val="22"/>
          <w:szCs w:val="22"/>
          <w:highlight w:val="none"/>
          <w:u w:val="none"/>
          <w:lang w:val="en-US" w:eastAsia="zh-CN" w:bidi="ar"/>
        </w:rPr>
        <w:t>“以下无正文，为合同</w:t>
      </w:r>
      <w:r>
        <w:rPr>
          <w:rFonts w:hint="eastAsia" w:ascii="宋体" w:hAnsi="宋体" w:eastAsia="宋体" w:cs="宋体"/>
          <w:b/>
          <w:bCs/>
          <w:color w:val="auto"/>
          <w:kern w:val="0"/>
          <w:sz w:val="22"/>
          <w:szCs w:val="22"/>
          <w:highlight w:val="none"/>
          <w:u w:val="none"/>
          <w:lang w:val="en-US" w:eastAsia="zh-CN" w:bidi="ar"/>
        </w:rPr>
        <w:t>签署</w:t>
      </w:r>
      <w:r>
        <w:rPr>
          <w:rFonts w:ascii="宋体" w:hAnsi="宋体" w:eastAsia="宋体" w:cs="宋体"/>
          <w:b/>
          <w:bCs/>
          <w:color w:val="auto"/>
          <w:kern w:val="0"/>
          <w:sz w:val="22"/>
          <w:szCs w:val="22"/>
          <w:highlight w:val="none"/>
          <w:u w:val="none"/>
          <w:lang w:val="en-US" w:eastAsia="zh-CN" w:bidi="ar"/>
        </w:rPr>
        <w:t>页”</w:t>
      </w:r>
    </w:p>
    <w:p>
      <w:pPr>
        <w:pageBreakBefore w:val="0"/>
        <w:widowControl w:val="0"/>
        <w:shd w:val="clear"/>
        <w:kinsoku/>
        <w:wordWrap/>
        <w:overflowPunct/>
        <w:topLinePunct w:val="0"/>
        <w:autoSpaceDE/>
        <w:autoSpaceDN/>
        <w:bidi w:val="0"/>
        <w:snapToGrid w:val="0"/>
        <w:spacing w:line="360" w:lineRule="auto"/>
        <w:ind w:firstLine="424" w:firstLineChars="193"/>
        <w:jc w:val="both"/>
        <w:rPr>
          <w:rFonts w:hint="eastAsia" w:ascii="仿宋_GB2312" w:hAnsi="仿宋_GB2312" w:eastAsia="仿宋_GB2312" w:cs="仿宋_GB2312"/>
          <w:color w:val="auto"/>
          <w:kern w:val="2"/>
          <w:sz w:val="22"/>
          <w:szCs w:val="22"/>
          <w:highlight w:val="none"/>
          <w:lang w:val="en-US" w:eastAsia="zh-CN" w:bidi="ar-SA"/>
        </w:rPr>
      </w:pPr>
    </w:p>
    <w:p>
      <w:pPr>
        <w:pageBreakBefore w:val="0"/>
        <w:shd w:val="clear"/>
        <w:kinsoku/>
        <w:wordWrap/>
        <w:overflowPunct/>
        <w:topLinePunct w:val="0"/>
        <w:autoSpaceDE/>
        <w:autoSpaceDN/>
        <w:bidi w:val="0"/>
        <w:snapToGrid w:val="0"/>
        <w:spacing w:line="360" w:lineRule="auto"/>
        <w:rPr>
          <w:rFonts w:hint="eastAsia" w:ascii="仿宋_GB2312" w:hAnsi="仿宋_GB2312" w:eastAsia="仿宋_GB2312" w:cs="仿宋_GB2312"/>
          <w:color w:val="auto"/>
          <w:sz w:val="22"/>
          <w:szCs w:val="22"/>
          <w:highlight w:val="none"/>
        </w:rPr>
      </w:pPr>
    </w:p>
    <w:p>
      <w:pPr>
        <w:pageBreakBefore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eastAsia="zh-CN"/>
        </w:rPr>
        <w:t>发包人</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盖章</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lang w:eastAsia="zh-CN"/>
        </w:rPr>
        <w:t>承包人</w:t>
      </w:r>
      <w:r>
        <w:rPr>
          <w:rFonts w:hint="eastAsia" w:ascii="仿宋_GB2312" w:hAnsi="仿宋_GB2312" w:eastAsia="仿宋_GB2312" w:cs="仿宋_GB2312"/>
          <w:color w:val="auto"/>
          <w:sz w:val="22"/>
          <w:szCs w:val="22"/>
          <w:highlight w:val="none"/>
        </w:rPr>
        <w:t>：</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盖章</w:t>
      </w:r>
      <w:r>
        <w:rPr>
          <w:rFonts w:hint="eastAsia" w:ascii="仿宋_GB2312" w:hAnsi="仿宋_GB2312" w:eastAsia="仿宋_GB2312" w:cs="仿宋_GB2312"/>
          <w:color w:val="auto"/>
          <w:sz w:val="22"/>
          <w:szCs w:val="22"/>
          <w:highlight w:val="none"/>
          <w:lang w:eastAsia="zh-CN"/>
        </w:rPr>
        <w:t>）</w:t>
      </w:r>
    </w:p>
    <w:p>
      <w:pPr>
        <w:pageBreakBefore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法定代表人</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法定代表人</w:t>
      </w:r>
    </w:p>
    <w:p>
      <w:pPr>
        <w:pageBreakBefore w:val="0"/>
        <w:shd w:val="clear"/>
        <w:kinsoku/>
        <w:wordWrap/>
        <w:overflowPunct/>
        <w:topLinePunct w:val="0"/>
        <w:autoSpaceDE/>
        <w:autoSpaceDN/>
        <w:bidi w:val="0"/>
        <w:snapToGrid w:val="0"/>
        <w:spacing w:line="360" w:lineRule="auto"/>
        <w:ind w:firstLine="440" w:firstLineChars="200"/>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rPr>
        <w:t>或授权代表签字</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 xml:space="preserve">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 或授权代表签字</w:t>
      </w:r>
      <w:r>
        <w:rPr>
          <w:rFonts w:hint="eastAsia" w:ascii="仿宋_GB2312" w:hAnsi="仿宋_GB2312" w:eastAsia="仿宋_GB2312" w:cs="仿宋_GB2312"/>
          <w:color w:val="auto"/>
          <w:sz w:val="22"/>
          <w:szCs w:val="22"/>
          <w:highlight w:val="none"/>
          <w:lang w:eastAsia="zh-CN"/>
        </w:rPr>
        <w:t>：</w:t>
      </w:r>
      <w:r>
        <w:rPr>
          <w:rFonts w:hint="eastAsia" w:ascii="仿宋_GB2312" w:hAnsi="仿宋_GB2312" w:eastAsia="仿宋_GB2312" w:cs="仿宋_GB2312"/>
          <w:color w:val="auto"/>
          <w:sz w:val="22"/>
          <w:szCs w:val="22"/>
          <w:highlight w:val="none"/>
        </w:rPr>
        <w:t xml:space="preserve">       </w:t>
      </w:r>
    </w:p>
    <w:p>
      <w:pPr>
        <w:pageBreakBefore w:val="0"/>
        <w:shd w:val="clear"/>
        <w:kinsoku/>
        <w:wordWrap/>
        <w:overflowPunct/>
        <w:topLinePunct w:val="0"/>
        <w:autoSpaceDE/>
        <w:autoSpaceDN/>
        <w:bidi w:val="0"/>
        <w:snapToGrid w:val="0"/>
        <w:spacing w:line="360" w:lineRule="auto"/>
        <w:rPr>
          <w:rFonts w:hint="eastAsia" w:ascii="仿宋_GB2312" w:hAnsi="仿宋_GB2312" w:eastAsia="仿宋_GB2312" w:cs="仿宋_GB2312"/>
          <w:color w:val="auto"/>
          <w:sz w:val="22"/>
          <w:szCs w:val="22"/>
          <w:highlight w:val="none"/>
        </w:rPr>
      </w:pP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 xml:space="preserve">年   月   日 </w:t>
      </w:r>
      <w:r>
        <w:rPr>
          <w:rFonts w:hint="eastAsia" w:ascii="仿宋_GB2312" w:hAnsi="仿宋_GB2312" w:eastAsia="仿宋_GB2312" w:cs="仿宋_GB2312"/>
          <w:color w:val="auto"/>
          <w:sz w:val="22"/>
          <w:szCs w:val="22"/>
          <w:highlight w:val="none"/>
          <w:lang w:val="en-US" w:eastAsia="zh-CN"/>
        </w:rPr>
        <w:t xml:space="preserve">                     </w:t>
      </w:r>
      <w:r>
        <w:rPr>
          <w:rFonts w:hint="eastAsia" w:ascii="仿宋_GB2312" w:hAnsi="仿宋_GB2312" w:eastAsia="仿宋_GB2312" w:cs="仿宋_GB2312"/>
          <w:color w:val="auto"/>
          <w:sz w:val="22"/>
          <w:szCs w:val="22"/>
          <w:highlight w:val="none"/>
        </w:rPr>
        <w:t>年   月   日</w:t>
      </w:r>
    </w:p>
    <w:p>
      <w:pPr>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keepNext w:val="0"/>
        <w:keepLines w:val="0"/>
        <w:pageBreakBefore w:val="0"/>
        <w:shd w:val="clear"/>
        <w:kinsoku/>
        <w:wordWrap/>
        <w:overflowPunct/>
        <w:topLinePunct w:val="0"/>
        <w:autoSpaceDE/>
        <w:autoSpaceDN/>
        <w:bidi w:val="0"/>
        <w:adjustRightInd w:val="0"/>
        <w:snapToGrid w:val="0"/>
        <w:spacing w:line="360" w:lineRule="auto"/>
        <w:textAlignment w:val="auto"/>
        <w:outlineLvl w:val="9"/>
        <w:rPr>
          <w:rFonts w:hint="eastAsia" w:ascii="黑体" w:hAnsi="黑体" w:eastAsia="黑体" w:cs="黑体"/>
          <w:bCs/>
          <w:color w:val="auto"/>
          <w:sz w:val="22"/>
          <w:szCs w:val="22"/>
          <w:highlight w:val="none"/>
        </w:rPr>
      </w:pPr>
      <w:r>
        <w:rPr>
          <w:rFonts w:hint="eastAsia" w:ascii="黑体" w:hAnsi="黑体" w:eastAsia="黑体" w:cs="黑体"/>
          <w:bCs/>
          <w:color w:val="auto"/>
          <w:sz w:val="22"/>
          <w:szCs w:val="22"/>
          <w:highlight w:val="none"/>
        </w:rPr>
        <w:t>附件1：</w:t>
      </w:r>
    </w:p>
    <w:p>
      <w:pPr>
        <w:shd w:val="clear"/>
        <w:spacing w:line="48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阳光合作协议</w:t>
      </w:r>
    </w:p>
    <w:p>
      <w:pPr>
        <w:shd w:val="clear"/>
        <w:spacing w:line="480" w:lineRule="exact"/>
        <w:jc w:val="center"/>
        <w:rPr>
          <w:rFonts w:hint="eastAsia" w:ascii="宋体" w:hAnsi="宋体" w:eastAsia="宋体" w:cs="宋体"/>
          <w:b/>
          <w:color w:val="auto"/>
          <w:sz w:val="21"/>
          <w:szCs w:val="21"/>
          <w:highlight w:val="none"/>
        </w:rPr>
      </w:pPr>
    </w:p>
    <w:p>
      <w:pPr>
        <w:pStyle w:val="11"/>
        <w:shd w:val="clear"/>
        <w:rPr>
          <w:rFonts w:hint="eastAsia" w:ascii="宋体" w:hAnsi="宋体"/>
          <w:color w:val="auto"/>
          <w:sz w:val="22"/>
          <w:szCs w:val="22"/>
          <w:highlight w:val="none"/>
          <w:lang w:val="en-US" w:eastAsia="zh-CN"/>
        </w:rPr>
      </w:pPr>
      <w:r>
        <w:rPr>
          <w:rFonts w:hint="eastAsia" w:ascii="宋体" w:hAnsi="宋体"/>
          <w:color w:val="auto"/>
          <w:sz w:val="22"/>
          <w:szCs w:val="22"/>
          <w:highlight w:val="none"/>
        </w:rPr>
        <w:t>甲方：</w:t>
      </w:r>
      <w:r>
        <w:rPr>
          <w:rFonts w:hint="eastAsia" w:ascii="宋体" w:hAnsi="宋体"/>
          <w:color w:val="auto"/>
          <w:sz w:val="22"/>
          <w:szCs w:val="22"/>
          <w:highlight w:val="none"/>
          <w:lang w:val="en-US" w:eastAsia="zh-CN"/>
        </w:rPr>
        <w:t xml:space="preserve"> </w:t>
      </w:r>
    </w:p>
    <w:p>
      <w:pPr>
        <w:pStyle w:val="11"/>
        <w:shd w:val="clear"/>
        <w:rPr>
          <w:rFonts w:hint="eastAsia" w:ascii="宋体" w:hAnsi="宋体"/>
          <w:color w:val="auto"/>
          <w:sz w:val="22"/>
          <w:szCs w:val="22"/>
          <w:highlight w:val="none"/>
          <w:lang w:val="en-US" w:eastAsia="zh-CN"/>
        </w:rPr>
      </w:pPr>
      <w:r>
        <w:rPr>
          <w:rFonts w:hint="eastAsia" w:ascii="宋体" w:hAnsi="宋体"/>
          <w:color w:val="auto"/>
          <w:sz w:val="22"/>
          <w:szCs w:val="22"/>
          <w:highlight w:val="none"/>
        </w:rPr>
        <w:t>乙方：</w:t>
      </w:r>
      <w:r>
        <w:rPr>
          <w:rFonts w:hint="eastAsia" w:ascii="宋体" w:hAnsi="宋体"/>
          <w:color w:val="auto"/>
          <w:sz w:val="22"/>
          <w:szCs w:val="22"/>
          <w:highlight w:val="none"/>
          <w:lang w:val="en-US" w:eastAsia="zh-CN"/>
        </w:rPr>
        <w:t xml:space="preserve"> </w:t>
      </w:r>
    </w:p>
    <w:p>
      <w:pPr>
        <w:shd w:val="clear"/>
        <w:spacing w:before="166" w:beforeLines="50" w:after="166" w:afterLines="50" w:line="360" w:lineRule="auto"/>
        <w:ind w:left="105" w:leftChars="50" w:firstLine="420" w:firstLineChars="200"/>
        <w:contextualSpacing/>
        <w:rPr>
          <w:rFonts w:hint="eastAsia" w:ascii="宋体" w:hAnsi="宋体"/>
          <w:color w:val="auto"/>
          <w:szCs w:val="22"/>
          <w:highlight w:val="none"/>
          <w:lang w:val="en-US" w:eastAsia="zh-CN"/>
        </w:rPr>
      </w:pPr>
    </w:p>
    <w:p>
      <w:pPr>
        <w:shd w:val="clear"/>
        <w:spacing w:before="166" w:beforeLines="50" w:after="166" w:afterLines="50" w:line="360" w:lineRule="auto"/>
        <w:ind w:left="105" w:leftChars="50" w:firstLine="420" w:firstLineChars="200"/>
        <w:contextualSpacing/>
        <w:rPr>
          <w:rFonts w:hint="eastAsia" w:ascii="宋体" w:hAnsi="宋体"/>
          <w:color w:val="auto"/>
          <w:szCs w:val="22"/>
          <w:highlight w:val="none"/>
        </w:rPr>
      </w:pPr>
      <w:r>
        <w:rPr>
          <w:rFonts w:hint="eastAsia" w:ascii="宋体" w:hAnsi="宋体"/>
          <w:color w:val="auto"/>
          <w:szCs w:val="22"/>
          <w:highlight w:val="none"/>
        </w:rPr>
        <w:t xml:space="preserve"> 甲乙双方于202</w:t>
      </w:r>
      <w:r>
        <w:rPr>
          <w:rFonts w:hint="eastAsia" w:ascii="宋体" w:hAnsi="宋体"/>
          <w:color w:val="auto"/>
          <w:szCs w:val="22"/>
          <w:highlight w:val="none"/>
          <w:lang w:val="en-US" w:eastAsia="zh-CN"/>
        </w:rPr>
        <w:t xml:space="preserve">  </w:t>
      </w:r>
      <w:r>
        <w:rPr>
          <w:rFonts w:hint="eastAsia" w:ascii="宋体" w:hAnsi="宋体"/>
          <w:color w:val="auto"/>
          <w:szCs w:val="22"/>
          <w:highlight w:val="none"/>
        </w:rPr>
        <w:t>年   月   日签署了《</w:t>
      </w:r>
      <w:r>
        <w:rPr>
          <w:rFonts w:hint="eastAsia" w:ascii="宋体" w:hAnsi="宋体"/>
          <w:color w:val="auto"/>
          <w:szCs w:val="22"/>
          <w:highlight w:val="none"/>
          <w:lang w:val="en-US" w:eastAsia="zh-CN"/>
        </w:rPr>
        <w:t xml:space="preserve">            </w:t>
      </w:r>
      <w:r>
        <w:rPr>
          <w:rFonts w:hint="eastAsia" w:ascii="宋体" w:hAnsi="宋体"/>
          <w:color w:val="auto"/>
          <w:szCs w:val="22"/>
          <w:highlight w:val="none"/>
        </w:rPr>
        <w:t>合同 》（以下简称原合同），为加强双方阳光合作，保证职员职业安全，甲乙双方经协商签订本协议并作为双方共同遵守的阳光合作行为准则。</w:t>
      </w:r>
    </w:p>
    <w:p>
      <w:pPr>
        <w:shd w:val="clear"/>
        <w:spacing w:before="166" w:beforeLines="50" w:after="166" w:afterLines="50" w:line="360" w:lineRule="auto"/>
        <w:ind w:left="420" w:leftChars="200"/>
        <w:contextualSpacing/>
        <w:rPr>
          <w:rFonts w:ascii="宋体" w:hAnsi="宋体"/>
          <w:b/>
          <w:color w:val="auto"/>
          <w:highlight w:val="none"/>
        </w:rPr>
      </w:pPr>
      <w:r>
        <w:rPr>
          <w:rFonts w:hint="eastAsia" w:ascii="宋体" w:hAnsi="宋体"/>
          <w:b/>
          <w:color w:val="auto"/>
          <w:highlight w:val="none"/>
        </w:rPr>
        <w:t>一、甲方责任</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1.甲方有责任向乙方介绍本单位有关采购管理通用原则和本协议的规定。</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2.甲方有责任对本单位相关人员进行阳光合作教育。</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4.甲方人员如违反阳光合作管理制度及本协议规定，甲方视情节轻重、影响大小给予行政及经济处罚。</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5．对于乙方举报甲方人员违反阳光合作规定的情况，甲方应及时进行调查，根据调查情况进行处理，并将调查结果向乙方反馈。</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6.接受举报的一方应为举报方保密，不得对举报方进行报复，对举报属实和严格遵守《阳光合作协议》的合作方，在同等条件下给予后续合作的优先权。</w:t>
      </w:r>
    </w:p>
    <w:p>
      <w:pPr>
        <w:shd w:val="clear"/>
        <w:spacing w:before="166" w:beforeLines="50" w:after="166" w:afterLines="50" w:line="360" w:lineRule="auto"/>
        <w:ind w:left="420" w:leftChars="200"/>
        <w:contextualSpacing/>
        <w:rPr>
          <w:rFonts w:ascii="宋体" w:hAnsi="宋体"/>
          <w:b/>
          <w:color w:val="auto"/>
          <w:highlight w:val="none"/>
        </w:rPr>
      </w:pPr>
      <w:r>
        <w:rPr>
          <w:rFonts w:hint="eastAsia" w:ascii="宋体" w:hAnsi="宋体"/>
          <w:b/>
          <w:color w:val="auto"/>
          <w:highlight w:val="none"/>
        </w:rPr>
        <w:t>二、乙方责任</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1.乙方应保证乙方人员了解甲方有关采购管理通用原则和及本协议的规定，并遵照执行。</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2.乙方不得以任何形式给予甲方人员回扣、赠送实物、现金、有价证券、礼券等有价物品或提供旅游等其他可能影响职务行为公正履行的活动（以下统称“财物”）。</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3.乙方有责任接受甲方对乙方在合作期间阳光合作管理执行情况的监督，并对甲方相关调查工作主动配合。</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4.乙方有义务就甲方人员任何形式的索取或收受财物行为及时向甲方（直接联系人为东莞实业投资控股集团有限公司</w:t>
      </w:r>
      <w:r>
        <w:rPr>
          <w:rFonts w:hint="eastAsia" w:ascii="宋体" w:hAnsi="宋体"/>
          <w:color w:val="auto"/>
          <w:highlight w:val="none"/>
          <w:lang w:eastAsia="zh-CN"/>
        </w:rPr>
        <w:t>风控法务部</w:t>
      </w:r>
      <w:r>
        <w:rPr>
          <w:rFonts w:hint="eastAsia" w:ascii="宋体" w:hAnsi="宋体"/>
          <w:color w:val="auto"/>
          <w:highlight w:val="none"/>
        </w:rPr>
        <w:t>）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 xml:space="preserve">5．甲方接受乙方实名或匿名举报，保证为举报者的信息保密，常设举报部门及电话： </w:t>
      </w:r>
    </w:p>
    <w:p>
      <w:pPr>
        <w:shd w:val="clear"/>
        <w:spacing w:before="166" w:beforeLines="50" w:after="166" w:afterLines="50" w:line="360" w:lineRule="auto"/>
        <w:ind w:left="105" w:leftChars="50" w:firstLine="420" w:firstLineChars="200"/>
        <w:contextualSpacing/>
        <w:rPr>
          <w:rFonts w:hint="eastAsia" w:ascii="宋体" w:hAnsi="宋体" w:eastAsia="宋体"/>
          <w:color w:val="auto"/>
          <w:highlight w:val="none"/>
          <w:lang w:eastAsia="zh-CN"/>
        </w:rPr>
      </w:pPr>
      <w:r>
        <w:rPr>
          <w:rFonts w:hint="eastAsia" w:ascii="宋体" w:hAnsi="宋体"/>
          <w:color w:val="auto"/>
          <w:highlight w:val="none"/>
        </w:rPr>
        <w:t>举报受理部门：东莞实业投资控股集团有限公司</w:t>
      </w:r>
      <w:r>
        <w:rPr>
          <w:rFonts w:hint="eastAsia" w:ascii="宋体" w:hAnsi="宋体"/>
          <w:color w:val="auto"/>
          <w:highlight w:val="none"/>
          <w:lang w:eastAsia="zh-CN"/>
        </w:rPr>
        <w:t>风控法务部</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东实集团举报邮箱：dgsyxf@163.com</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东实集团举报电话：0769-28820703（周一至周五9:00-12:00和14:00-18:00）</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邮寄地址：东莞市东城区八一路1号机关二号大院9号楼，东莞实业投资控股集团有限公司</w:t>
      </w:r>
      <w:r>
        <w:rPr>
          <w:rFonts w:hint="eastAsia" w:ascii="宋体" w:hAnsi="宋体"/>
          <w:color w:val="auto"/>
          <w:highlight w:val="none"/>
          <w:lang w:eastAsia="zh-CN"/>
        </w:rPr>
        <w:t>风控法务部</w:t>
      </w:r>
      <w:r>
        <w:rPr>
          <w:rFonts w:hint="eastAsia" w:ascii="宋体" w:hAnsi="宋体"/>
          <w:color w:val="auto"/>
          <w:highlight w:val="none"/>
        </w:rPr>
        <w:t>收，邮编523000。</w:t>
      </w:r>
    </w:p>
    <w:p>
      <w:pPr>
        <w:shd w:val="clear"/>
        <w:spacing w:before="166" w:beforeLines="50" w:after="166" w:afterLines="50" w:line="360" w:lineRule="auto"/>
        <w:ind w:left="420" w:leftChars="200"/>
        <w:contextualSpacing/>
        <w:rPr>
          <w:rFonts w:ascii="宋体" w:hAnsi="宋体"/>
          <w:b/>
          <w:color w:val="auto"/>
          <w:highlight w:val="none"/>
        </w:rPr>
      </w:pPr>
      <w:r>
        <w:rPr>
          <w:rFonts w:hint="eastAsia" w:ascii="宋体" w:hAnsi="宋体"/>
          <w:b/>
          <w:color w:val="auto"/>
          <w:highlight w:val="none"/>
        </w:rPr>
        <w:t>三、其他</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1.本协议是原合同的补充协议，与原合同有同等法律效力。</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2.</w:t>
      </w:r>
      <w:r>
        <w:rPr>
          <w:rFonts w:ascii="宋体" w:hAnsi="宋体"/>
          <w:color w:val="auto"/>
          <w:highlight w:val="none"/>
        </w:rPr>
        <w:t>本</w:t>
      </w:r>
      <w:r>
        <w:rPr>
          <w:rFonts w:hint="eastAsia" w:ascii="宋体" w:hAnsi="宋体"/>
          <w:color w:val="auto"/>
          <w:highlight w:val="none"/>
        </w:rPr>
        <w:t>协议</w:t>
      </w:r>
      <w:r>
        <w:rPr>
          <w:rFonts w:ascii="宋体" w:hAnsi="宋体"/>
          <w:color w:val="auto"/>
          <w:highlight w:val="none"/>
        </w:rPr>
        <w:t>一式</w:t>
      </w:r>
      <w:r>
        <w:rPr>
          <w:rFonts w:hint="eastAsia" w:ascii="宋体" w:hAnsi="宋体"/>
          <w:color w:val="auto"/>
          <w:highlight w:val="none"/>
        </w:rPr>
        <w:t>四</w:t>
      </w:r>
      <w:r>
        <w:rPr>
          <w:rFonts w:ascii="宋体" w:hAnsi="宋体"/>
          <w:color w:val="auto"/>
          <w:highlight w:val="none"/>
        </w:rPr>
        <w:t>份，甲方执</w:t>
      </w:r>
      <w:r>
        <w:rPr>
          <w:rFonts w:hint="eastAsia" w:ascii="宋体" w:hAnsi="宋体"/>
          <w:color w:val="auto"/>
          <w:highlight w:val="none"/>
        </w:rPr>
        <w:t>贰</w:t>
      </w:r>
      <w:r>
        <w:rPr>
          <w:rFonts w:ascii="宋体" w:hAnsi="宋体"/>
          <w:color w:val="auto"/>
          <w:highlight w:val="none"/>
        </w:rPr>
        <w:t>份，乙方执</w:t>
      </w:r>
      <w:r>
        <w:rPr>
          <w:rFonts w:hint="eastAsia" w:ascii="宋体" w:hAnsi="宋体"/>
          <w:color w:val="auto"/>
          <w:highlight w:val="none"/>
        </w:rPr>
        <w:t>贰</w:t>
      </w:r>
      <w:r>
        <w:rPr>
          <w:rFonts w:ascii="宋体" w:hAnsi="宋体"/>
          <w:color w:val="auto"/>
          <w:highlight w:val="none"/>
        </w:rPr>
        <w:t>份</w:t>
      </w:r>
      <w:r>
        <w:rPr>
          <w:rFonts w:hint="eastAsia" w:ascii="宋体" w:hAnsi="宋体"/>
          <w:color w:val="auto"/>
          <w:highlight w:val="none"/>
        </w:rPr>
        <w:t>,具有同等法律效力。</w:t>
      </w:r>
    </w:p>
    <w:p>
      <w:pPr>
        <w:shd w:val="clear"/>
        <w:spacing w:before="166" w:beforeLines="50" w:after="166" w:afterLines="50" w:line="360" w:lineRule="auto"/>
        <w:ind w:left="105" w:leftChars="50" w:firstLine="420" w:firstLineChars="200"/>
        <w:contextualSpacing/>
        <w:rPr>
          <w:rFonts w:ascii="宋体" w:hAnsi="宋体"/>
          <w:color w:val="auto"/>
          <w:highlight w:val="none"/>
        </w:rPr>
      </w:pPr>
      <w:r>
        <w:rPr>
          <w:rFonts w:hint="eastAsia" w:ascii="宋体" w:hAnsi="宋体"/>
          <w:color w:val="auto"/>
          <w:highlight w:val="none"/>
        </w:rPr>
        <w:t>3.本协议经双方签署后生效。</w:t>
      </w:r>
    </w:p>
    <w:p>
      <w:pPr>
        <w:shd w:val="clear"/>
        <w:spacing w:before="166" w:beforeLines="50" w:after="166" w:afterLines="50" w:line="360" w:lineRule="auto"/>
        <w:ind w:firstLine="420" w:firstLineChars="200"/>
        <w:contextualSpacing/>
        <w:rPr>
          <w:rFonts w:ascii="宋体" w:hAnsi="宋体"/>
          <w:color w:val="auto"/>
          <w:highlight w:val="none"/>
        </w:rPr>
      </w:pPr>
    </w:p>
    <w:p>
      <w:pPr>
        <w:shd w:val="clear"/>
        <w:spacing w:before="166" w:beforeLines="50" w:after="166" w:afterLines="50" w:line="360" w:lineRule="auto"/>
        <w:ind w:firstLine="420" w:firstLineChars="200"/>
        <w:contextualSpacing/>
        <w:rPr>
          <w:rFonts w:ascii="宋体"/>
          <w:color w:val="auto"/>
          <w:highlight w:val="none"/>
        </w:rPr>
      </w:pPr>
      <w:r>
        <w:rPr>
          <w:rFonts w:hint="eastAsia" w:ascii="宋体" w:hAnsi="宋体"/>
          <w:color w:val="auto"/>
          <w:highlight w:val="none"/>
        </w:rPr>
        <w:t xml:space="preserve">甲方（盖章）：                 </w:t>
      </w:r>
      <w:r>
        <w:rPr>
          <w:rFonts w:hint="eastAsia" w:ascii="宋体" w:hAnsi="宋体"/>
          <w:color w:val="auto"/>
          <w:highlight w:val="none"/>
          <w:lang w:val="en-US" w:eastAsia="zh-CN"/>
        </w:rPr>
        <w:t xml:space="preserve"> </w:t>
      </w:r>
      <w:r>
        <w:rPr>
          <w:rFonts w:hint="eastAsia" w:ascii="宋体" w:hAnsi="宋体"/>
          <w:color w:val="auto"/>
          <w:highlight w:val="none"/>
        </w:rPr>
        <w:t xml:space="preserve">     乙方（盖章）：</w:t>
      </w:r>
      <w:r>
        <w:rPr>
          <w:rFonts w:ascii="宋体"/>
          <w:color w:val="auto"/>
          <w:highlight w:val="none"/>
        </w:rPr>
        <w:t xml:space="preserve"> </w:t>
      </w:r>
    </w:p>
    <w:p>
      <w:pPr>
        <w:shd w:val="clear"/>
        <w:spacing w:before="166" w:beforeLines="50" w:after="166" w:afterLines="50" w:line="360" w:lineRule="auto"/>
        <w:ind w:firstLine="420" w:firstLineChars="200"/>
        <w:contextualSpacing/>
        <w:rPr>
          <w:rFonts w:ascii="宋体" w:hAnsi="宋体"/>
          <w:color w:val="auto"/>
          <w:highlight w:val="none"/>
        </w:rPr>
      </w:pPr>
    </w:p>
    <w:p>
      <w:pPr>
        <w:shd w:val="clear"/>
        <w:spacing w:before="166" w:beforeLines="50" w:after="166" w:afterLines="50" w:line="360" w:lineRule="auto"/>
        <w:ind w:firstLine="420" w:firstLineChars="200"/>
        <w:contextualSpacing/>
        <w:rPr>
          <w:rFonts w:ascii="宋体"/>
          <w:color w:val="auto"/>
          <w:highlight w:val="none"/>
        </w:rPr>
      </w:pPr>
      <w:r>
        <w:rPr>
          <w:rFonts w:hint="eastAsia" w:ascii="宋体" w:hAnsi="宋体"/>
          <w:color w:val="auto"/>
          <w:highlight w:val="none"/>
        </w:rPr>
        <w:t>法定代表人（授权代表）：</w:t>
      </w:r>
      <w:r>
        <w:rPr>
          <w:rFonts w:hint="eastAsia" w:ascii="宋体"/>
          <w:color w:val="auto"/>
          <w:highlight w:val="none"/>
        </w:rPr>
        <w:tab/>
      </w:r>
      <w:r>
        <w:rPr>
          <w:rFonts w:hint="eastAsia" w:ascii="宋体"/>
          <w:color w:val="auto"/>
          <w:highlight w:val="none"/>
          <w:lang w:val="en-US" w:eastAsia="zh-CN"/>
        </w:rPr>
        <w:t xml:space="preserve">      </w:t>
      </w:r>
      <w:r>
        <w:rPr>
          <w:rFonts w:hint="eastAsia" w:ascii="宋体"/>
          <w:color w:val="auto"/>
          <w:highlight w:val="none"/>
        </w:rPr>
        <w:t xml:space="preserve"> </w:t>
      </w:r>
      <w:r>
        <w:rPr>
          <w:rFonts w:hint="eastAsia" w:ascii="宋体" w:hAnsi="宋体"/>
          <w:color w:val="auto"/>
          <w:highlight w:val="none"/>
        </w:rPr>
        <w:t>法定代表人（授权代表）：</w:t>
      </w:r>
    </w:p>
    <w:p>
      <w:pPr>
        <w:shd w:val="clear"/>
        <w:spacing w:before="166" w:beforeLines="50" w:after="166" w:afterLines="50" w:line="360" w:lineRule="auto"/>
        <w:ind w:firstLine="420" w:firstLineChars="200"/>
        <w:contextualSpacing/>
        <w:rPr>
          <w:rFonts w:ascii="宋体" w:hAnsi="宋体"/>
          <w:color w:val="auto"/>
          <w:highlight w:val="none"/>
        </w:rPr>
      </w:pPr>
    </w:p>
    <w:p>
      <w:pPr>
        <w:pStyle w:val="13"/>
        <w:keepNext w:val="0"/>
        <w:keepLines w:val="0"/>
        <w:pageBreakBefore w:val="0"/>
        <w:shd w:val="clear"/>
        <w:kinsoku/>
        <w:wordWrap/>
        <w:overflowPunct/>
        <w:topLinePunct w:val="0"/>
        <w:autoSpaceDE/>
        <w:autoSpaceDN/>
        <w:bidi w:val="0"/>
        <w:adjustRightInd w:val="0"/>
        <w:snapToGrid w:val="0"/>
        <w:ind w:left="0" w:leftChars="0" w:firstLine="420" w:firstLineChars="200"/>
        <w:textAlignment w:val="auto"/>
        <w:rPr>
          <w:rFonts w:hint="eastAsia" w:ascii="宋体" w:hAnsi="宋体" w:eastAsia="宋体" w:cs="宋体"/>
          <w:color w:val="auto"/>
          <w:kern w:val="2"/>
          <w:sz w:val="21"/>
          <w:szCs w:val="21"/>
          <w:highlight w:val="none"/>
          <w:lang w:val="en-US" w:eastAsia="zh-CN" w:bidi="ar"/>
        </w:rPr>
      </w:pPr>
      <w:r>
        <w:rPr>
          <w:rFonts w:hint="eastAsia" w:ascii="宋体" w:hAnsi="宋体"/>
          <w:color w:val="auto"/>
          <w:highlight w:val="none"/>
        </w:rPr>
        <w:t>签约日期：   年   月   日</w:t>
      </w:r>
      <w:bookmarkStart w:id="142" w:name="设计变更通知单"/>
      <w:bookmarkEnd w:id="142"/>
      <w:bookmarkStart w:id="143" w:name="现场签证通知单"/>
      <w:bookmarkEnd w:id="143"/>
      <w:r>
        <w:rPr>
          <w:color w:val="auto"/>
          <w:highlight w:val="none"/>
        </w:rPr>
        <w:tab/>
      </w:r>
      <w:r>
        <w:rPr>
          <w:color w:val="auto"/>
          <w:highlight w:val="none"/>
        </w:rPr>
        <w:t xml:space="preserve">    </w:t>
      </w:r>
      <w:r>
        <w:rPr>
          <w:rFonts w:hint="eastAsia"/>
          <w:color w:val="auto"/>
          <w:highlight w:val="none"/>
        </w:rPr>
        <w:t xml:space="preserve">   </w:t>
      </w:r>
      <w:r>
        <w:rPr>
          <w:rFonts w:hint="eastAsia" w:ascii="宋体" w:hAnsi="宋体"/>
          <w:color w:val="auto"/>
          <w:highlight w:val="none"/>
        </w:rPr>
        <w:t xml:space="preserve">签约日期：   年   月   </w:t>
      </w:r>
      <w:r>
        <w:rPr>
          <w:rFonts w:hint="eastAsia" w:ascii="宋体" w:hAnsi="宋体" w:eastAsia="宋体" w:cs="宋体"/>
          <w:color w:val="auto"/>
          <w:kern w:val="2"/>
          <w:sz w:val="21"/>
          <w:szCs w:val="21"/>
          <w:highlight w:val="none"/>
          <w:lang w:val="en-US" w:eastAsia="zh-CN" w:bidi="ar"/>
        </w:rPr>
        <w:t>日</w:t>
      </w:r>
    </w:p>
    <w:p>
      <w:pPr>
        <w:shd w:val="clear"/>
        <w:rPr>
          <w:rFonts w:hint="eastAsia" w:ascii="宋体" w:hAnsi="宋体" w:eastAsia="宋体" w:cs="宋体"/>
          <w:color w:val="auto"/>
          <w:kern w:val="2"/>
          <w:sz w:val="21"/>
          <w:szCs w:val="21"/>
          <w:highlight w:val="none"/>
          <w:lang w:val="en-US" w:eastAsia="zh-CN" w:bidi="ar"/>
        </w:rPr>
      </w:pPr>
      <w:r>
        <w:rPr>
          <w:rFonts w:hint="eastAsia" w:ascii="宋体" w:hAnsi="宋体" w:eastAsia="宋体" w:cs="宋体"/>
          <w:color w:val="auto"/>
          <w:kern w:val="2"/>
          <w:sz w:val="21"/>
          <w:szCs w:val="21"/>
          <w:highlight w:val="none"/>
          <w:lang w:val="en-US" w:eastAsia="zh-CN" w:bidi="ar"/>
        </w:rPr>
        <w:br w:type="page"/>
      </w:r>
    </w:p>
    <w:p>
      <w:pPr>
        <w:keepNext w:val="0"/>
        <w:keepLines w:val="0"/>
        <w:pageBreakBefore w:val="0"/>
        <w:shd w:val="clear"/>
        <w:kinsoku/>
        <w:wordWrap/>
        <w:overflowPunct/>
        <w:topLinePunct w:val="0"/>
        <w:autoSpaceDE/>
        <w:autoSpaceDN/>
        <w:bidi w:val="0"/>
        <w:adjustRightInd w:val="0"/>
        <w:snapToGrid w:val="0"/>
        <w:spacing w:line="360" w:lineRule="auto"/>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附件2：</w:t>
      </w:r>
    </w:p>
    <w:p>
      <w:pPr>
        <w:shd w:val="clear"/>
        <w:jc w:val="center"/>
        <w:rPr>
          <w:rFonts w:hint="eastAsia"/>
          <w:color w:val="auto"/>
          <w:sz w:val="36"/>
          <w:szCs w:val="36"/>
          <w:highlight w:val="none"/>
        </w:rPr>
      </w:pPr>
      <w:r>
        <w:rPr>
          <w:rFonts w:hint="eastAsia"/>
          <w:color w:val="auto"/>
          <w:sz w:val="36"/>
          <w:szCs w:val="36"/>
          <w:highlight w:val="none"/>
        </w:rPr>
        <w:t>授权委托书</w:t>
      </w:r>
    </w:p>
    <w:p>
      <w:pPr>
        <w:shd w:val="clear"/>
        <w:rPr>
          <w:rFonts w:hint="eastAsia"/>
          <w:color w:val="auto"/>
          <w:highlight w:val="none"/>
        </w:rPr>
      </w:pPr>
    </w:p>
    <w:p>
      <w:pPr>
        <w:shd w:val="clear"/>
        <w:ind w:firstLine="1960" w:firstLineChars="700"/>
        <w:rPr>
          <w:rFonts w:hint="eastAsia"/>
          <w:color w:val="auto"/>
          <w:sz w:val="28"/>
          <w:szCs w:val="28"/>
          <w:highlight w:val="none"/>
        </w:rPr>
      </w:pPr>
      <w:r>
        <w:rPr>
          <w:rFonts w:hint="eastAsia"/>
          <w:color w:val="auto"/>
          <w:sz w:val="28"/>
          <w:szCs w:val="28"/>
          <w:highlight w:val="none"/>
          <w:lang w:eastAsia="zh-CN"/>
        </w:rPr>
        <w:t>（</w:t>
      </w:r>
      <w:r>
        <w:rPr>
          <w:rFonts w:hint="eastAsia"/>
          <w:color w:val="auto"/>
          <w:sz w:val="28"/>
          <w:szCs w:val="28"/>
          <w:highlight w:val="none"/>
          <w:lang w:val="en-US" w:eastAsia="zh-CN"/>
        </w:rPr>
        <w:t>承包人</w:t>
      </w:r>
      <w:r>
        <w:rPr>
          <w:rFonts w:hint="eastAsia"/>
          <w:color w:val="auto"/>
          <w:sz w:val="28"/>
          <w:szCs w:val="28"/>
          <w:highlight w:val="none"/>
          <w:lang w:eastAsia="zh-CN"/>
        </w:rPr>
        <w:t>）</w:t>
      </w:r>
      <w:r>
        <w:rPr>
          <w:rFonts w:hint="eastAsia"/>
          <w:color w:val="auto"/>
          <w:sz w:val="28"/>
          <w:szCs w:val="28"/>
          <w:highlight w:val="none"/>
        </w:rPr>
        <w:t>：</w:t>
      </w:r>
    </w:p>
    <w:p>
      <w:pPr>
        <w:shd w:val="clear"/>
        <w:rPr>
          <w:rFonts w:hint="default" w:eastAsia="宋体"/>
          <w:color w:val="auto"/>
          <w:sz w:val="28"/>
          <w:szCs w:val="28"/>
          <w:highlight w:val="none"/>
          <w:lang w:val="en-US" w:eastAsia="zh-CN"/>
        </w:rPr>
      </w:pPr>
      <w:r>
        <w:rPr>
          <w:rFonts w:hint="eastAsia"/>
          <w:color w:val="auto"/>
          <w:sz w:val="28"/>
          <w:szCs w:val="28"/>
          <w:highlight w:val="none"/>
        </w:rPr>
        <w:t>本委托书声明：</w:t>
      </w:r>
    </w:p>
    <w:p>
      <w:pPr>
        <w:shd w:val="clear"/>
        <w:ind w:firstLine="560" w:firstLineChars="200"/>
        <w:rPr>
          <w:rFonts w:hint="eastAsia"/>
          <w:color w:val="auto"/>
          <w:sz w:val="28"/>
          <w:szCs w:val="28"/>
          <w:highlight w:val="none"/>
        </w:rPr>
      </w:pPr>
      <w:r>
        <w:rPr>
          <w:rFonts w:hint="eastAsia"/>
          <w:color w:val="auto"/>
          <w:sz w:val="28"/>
          <w:szCs w:val="28"/>
          <w:highlight w:val="none"/>
          <w:lang w:val="en-US" w:eastAsia="zh-CN"/>
        </w:rPr>
        <w:t>我司与贵司于</w:t>
      </w:r>
      <w:r>
        <w:rPr>
          <w:rFonts w:hint="eastAsia"/>
          <w:color w:val="auto"/>
          <w:sz w:val="28"/>
          <w:szCs w:val="28"/>
          <w:highlight w:val="none"/>
        </w:rPr>
        <w:t xml:space="preserve">   年   月   日</w:t>
      </w:r>
      <w:r>
        <w:rPr>
          <w:rFonts w:hint="eastAsia"/>
          <w:color w:val="auto"/>
          <w:sz w:val="28"/>
          <w:szCs w:val="28"/>
          <w:highlight w:val="none"/>
          <w:lang w:val="en-US" w:eastAsia="zh-CN"/>
        </w:rPr>
        <w:t>签订        合同，依据合同第1.2.1条款，现授权              （项目单位）开展       （项目名称）巡检评估服务工作，包含</w:t>
      </w:r>
      <w:r>
        <w:rPr>
          <w:rFonts w:hint="eastAsia" w:eastAsia="宋体"/>
          <w:color w:val="auto"/>
          <w:sz w:val="28"/>
          <w:szCs w:val="28"/>
          <w:highlight w:val="none"/>
          <w:lang w:val="en-US" w:eastAsia="zh-CN"/>
        </w:rPr>
        <w:t>下达《巡检服务订单》、申请进度款、结算、履约评价等事宜。</w:t>
      </w:r>
    </w:p>
    <w:p>
      <w:pPr>
        <w:shd w:val="clear"/>
        <w:ind w:firstLine="560" w:firstLineChars="200"/>
        <w:rPr>
          <w:rFonts w:hint="eastAsia"/>
          <w:color w:val="auto"/>
          <w:sz w:val="28"/>
          <w:szCs w:val="28"/>
          <w:highlight w:val="none"/>
        </w:rPr>
      </w:pPr>
      <w:r>
        <w:rPr>
          <w:rFonts w:hint="eastAsia"/>
          <w:color w:val="auto"/>
          <w:sz w:val="28"/>
          <w:szCs w:val="28"/>
          <w:highlight w:val="none"/>
        </w:rPr>
        <w:t>本委托书于   年   月   日至   年   月   日签字生效，有效期与</w:t>
      </w:r>
      <w:r>
        <w:rPr>
          <w:rFonts w:hint="eastAsia"/>
          <w:color w:val="auto"/>
          <w:sz w:val="28"/>
          <w:szCs w:val="28"/>
          <w:highlight w:val="none"/>
          <w:lang w:val="en-US" w:eastAsia="zh-CN"/>
        </w:rPr>
        <w:t>合同</w:t>
      </w:r>
      <w:r>
        <w:rPr>
          <w:rFonts w:hint="eastAsia"/>
          <w:color w:val="auto"/>
          <w:sz w:val="28"/>
          <w:szCs w:val="28"/>
          <w:highlight w:val="none"/>
        </w:rPr>
        <w:t>有效期一致，特此声明。</w:t>
      </w:r>
    </w:p>
    <w:p>
      <w:pPr>
        <w:shd w:val="clear"/>
        <w:rPr>
          <w:rFonts w:hint="eastAsia"/>
          <w:color w:val="auto"/>
          <w:sz w:val="28"/>
          <w:szCs w:val="28"/>
          <w:highlight w:val="none"/>
        </w:rPr>
      </w:pPr>
    </w:p>
    <w:p>
      <w:pPr>
        <w:shd w:val="clear"/>
        <w:rPr>
          <w:rFonts w:hint="eastAsia"/>
          <w:color w:val="auto"/>
          <w:sz w:val="28"/>
          <w:szCs w:val="28"/>
          <w:highlight w:val="none"/>
          <w:lang w:eastAsia="zh-CN"/>
        </w:rPr>
      </w:pPr>
      <w:r>
        <w:rPr>
          <w:rFonts w:hint="eastAsia"/>
          <w:color w:val="auto"/>
          <w:sz w:val="28"/>
          <w:szCs w:val="28"/>
          <w:highlight w:val="none"/>
          <w:lang w:val="en-US" w:eastAsia="zh-CN"/>
        </w:rPr>
        <w:t>委托方</w:t>
      </w:r>
      <w:r>
        <w:rPr>
          <w:rFonts w:hint="eastAsia"/>
          <w:color w:val="auto"/>
          <w:sz w:val="28"/>
          <w:szCs w:val="28"/>
          <w:highlight w:val="none"/>
        </w:rPr>
        <w:t>：</w:t>
      </w:r>
      <w:r>
        <w:rPr>
          <w:rFonts w:hint="eastAsia"/>
          <w:color w:val="auto"/>
          <w:sz w:val="28"/>
          <w:szCs w:val="28"/>
          <w:highlight w:val="none"/>
          <w:lang w:eastAsia="zh-CN"/>
        </w:rPr>
        <w:t>（</w:t>
      </w:r>
      <w:r>
        <w:rPr>
          <w:rFonts w:hint="eastAsia"/>
          <w:color w:val="auto"/>
          <w:sz w:val="28"/>
          <w:szCs w:val="28"/>
          <w:highlight w:val="none"/>
        </w:rPr>
        <w:t>盖章</w:t>
      </w:r>
      <w:r>
        <w:rPr>
          <w:rFonts w:hint="eastAsia"/>
          <w:color w:val="auto"/>
          <w:sz w:val="28"/>
          <w:szCs w:val="28"/>
          <w:highlight w:val="none"/>
          <w:lang w:eastAsia="zh-CN"/>
        </w:rPr>
        <w:t>）</w:t>
      </w:r>
    </w:p>
    <w:p>
      <w:pPr>
        <w:shd w:val="clear"/>
        <w:rPr>
          <w:rFonts w:hint="eastAsia"/>
          <w:color w:val="auto"/>
          <w:sz w:val="28"/>
          <w:szCs w:val="28"/>
          <w:highlight w:val="none"/>
        </w:rPr>
      </w:pPr>
      <w:r>
        <w:rPr>
          <w:rFonts w:hint="eastAsia"/>
          <w:color w:val="auto"/>
          <w:sz w:val="28"/>
          <w:szCs w:val="28"/>
          <w:highlight w:val="none"/>
        </w:rPr>
        <w:t>法定代表人或授权代表签字（签字或盖章）：</w:t>
      </w:r>
    </w:p>
    <w:p>
      <w:pPr>
        <w:shd w:val="clear"/>
        <w:rPr>
          <w:rFonts w:hint="eastAsia"/>
          <w:color w:val="auto"/>
          <w:sz w:val="28"/>
          <w:szCs w:val="28"/>
          <w:highlight w:val="none"/>
        </w:rPr>
      </w:pPr>
    </w:p>
    <w:p>
      <w:pPr>
        <w:shd w:val="clear"/>
        <w:rPr>
          <w:rFonts w:hint="default" w:eastAsia="宋体"/>
          <w:color w:val="auto"/>
          <w:sz w:val="28"/>
          <w:szCs w:val="28"/>
          <w:highlight w:val="none"/>
          <w:lang w:val="en-US" w:eastAsia="zh-CN"/>
        </w:rPr>
      </w:pPr>
      <w:r>
        <w:rPr>
          <w:rFonts w:hint="eastAsia"/>
          <w:color w:val="auto"/>
          <w:sz w:val="28"/>
          <w:szCs w:val="28"/>
          <w:highlight w:val="none"/>
          <w:lang w:val="en-US" w:eastAsia="zh-CN"/>
        </w:rPr>
        <w:t>受委托方：</w:t>
      </w:r>
      <w:r>
        <w:rPr>
          <w:rFonts w:hint="eastAsia"/>
          <w:color w:val="auto"/>
          <w:sz w:val="28"/>
          <w:szCs w:val="28"/>
          <w:highlight w:val="none"/>
        </w:rPr>
        <w:t>（</w:t>
      </w:r>
      <w:r>
        <w:rPr>
          <w:rFonts w:hint="eastAsia"/>
          <w:color w:val="auto"/>
          <w:sz w:val="28"/>
          <w:szCs w:val="28"/>
          <w:highlight w:val="none"/>
          <w:lang w:val="en-US" w:eastAsia="zh-CN"/>
        </w:rPr>
        <w:t>盖</w:t>
      </w:r>
      <w:r>
        <w:rPr>
          <w:rFonts w:hint="eastAsia"/>
          <w:color w:val="auto"/>
          <w:sz w:val="28"/>
          <w:szCs w:val="28"/>
          <w:highlight w:val="none"/>
        </w:rPr>
        <w:t>章）</w:t>
      </w:r>
    </w:p>
    <w:p>
      <w:pPr>
        <w:shd w:val="clear"/>
        <w:rPr>
          <w:rFonts w:hint="eastAsia"/>
          <w:color w:val="auto"/>
          <w:sz w:val="28"/>
          <w:szCs w:val="28"/>
          <w:highlight w:val="none"/>
        </w:rPr>
      </w:pPr>
      <w:r>
        <w:rPr>
          <w:rFonts w:hint="eastAsia"/>
          <w:color w:val="auto"/>
          <w:sz w:val="28"/>
          <w:szCs w:val="28"/>
          <w:highlight w:val="none"/>
        </w:rPr>
        <w:t>法定代表人（签字或盖章）：</w:t>
      </w:r>
    </w:p>
    <w:p>
      <w:pPr>
        <w:shd w:val="clear"/>
        <w:ind w:firstLine="840" w:firstLineChars="300"/>
        <w:rPr>
          <w:rFonts w:hint="eastAsia"/>
          <w:color w:val="auto"/>
          <w:sz w:val="28"/>
          <w:szCs w:val="28"/>
          <w:highlight w:val="none"/>
        </w:rPr>
      </w:pPr>
      <w:r>
        <w:rPr>
          <w:rFonts w:hint="eastAsia"/>
          <w:color w:val="auto"/>
          <w:sz w:val="28"/>
          <w:szCs w:val="28"/>
          <w:highlight w:val="none"/>
        </w:rPr>
        <w:t>年   月   日</w:t>
      </w:r>
    </w:p>
    <w:p>
      <w:pPr>
        <w:shd w:val="clear"/>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br w:type="page"/>
      </w:r>
    </w:p>
    <w:p>
      <w:pPr>
        <w:keepNext w:val="0"/>
        <w:keepLines w:val="0"/>
        <w:pageBreakBefore w:val="0"/>
        <w:shd w:val="clear"/>
        <w:kinsoku/>
        <w:wordWrap/>
        <w:overflowPunct/>
        <w:topLinePunct w:val="0"/>
        <w:autoSpaceDE/>
        <w:autoSpaceDN/>
        <w:bidi w:val="0"/>
        <w:adjustRightInd w:val="0"/>
        <w:snapToGrid w:val="0"/>
        <w:spacing w:line="360" w:lineRule="auto"/>
        <w:textAlignment w:val="auto"/>
        <w:outlineLvl w:val="9"/>
        <w:rPr>
          <w:rFonts w:hint="eastAsia" w:ascii="黑体" w:hAnsi="黑体" w:eastAsia="黑体" w:cs="黑体"/>
          <w:bCs/>
          <w:color w:val="auto"/>
          <w:sz w:val="22"/>
          <w:szCs w:val="22"/>
          <w:highlight w:val="none"/>
          <w:lang w:val="en-US" w:eastAsia="zh-CN"/>
        </w:rPr>
      </w:pPr>
      <w:r>
        <w:rPr>
          <w:rFonts w:hint="eastAsia" w:ascii="黑体" w:hAnsi="黑体" w:eastAsia="黑体" w:cs="黑体"/>
          <w:bCs/>
          <w:color w:val="auto"/>
          <w:sz w:val="22"/>
          <w:szCs w:val="22"/>
          <w:highlight w:val="none"/>
          <w:lang w:val="en-US" w:eastAsia="zh-CN"/>
        </w:rPr>
        <w:t>附件3：</w:t>
      </w:r>
    </w:p>
    <w:p>
      <w:pPr>
        <w:shd w:val="clear"/>
        <w:spacing w:after="0" w:line="240" w:lineRule="auto"/>
        <w:jc w:val="center"/>
        <w:outlineLvl w:val="9"/>
        <w:rPr>
          <w:rFonts w:hint="default" w:ascii="微软雅黑" w:hAnsi="微软雅黑" w:eastAsia="微软雅黑" w:cs="微软雅黑"/>
          <w:b/>
          <w:bCs/>
          <w:color w:val="auto"/>
          <w:sz w:val="30"/>
          <w:szCs w:val="30"/>
          <w:highlight w:val="none"/>
          <w:lang w:val="en-US" w:eastAsia="zh-CN"/>
        </w:rPr>
      </w:pPr>
      <w:r>
        <w:rPr>
          <w:rFonts w:hint="eastAsia" w:ascii="微软雅黑" w:hAnsi="微软雅黑" w:eastAsia="微软雅黑" w:cs="微软雅黑"/>
          <w:b/>
          <w:bCs/>
          <w:color w:val="auto"/>
          <w:sz w:val="30"/>
          <w:szCs w:val="30"/>
          <w:highlight w:val="none"/>
          <w:lang w:val="en-US" w:eastAsia="zh-CN"/>
        </w:rPr>
        <w:t>巡检服务订单</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4"/>
        <w:gridCol w:w="2074"/>
        <w:gridCol w:w="2074"/>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74"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订单编号</w:t>
            </w:r>
          </w:p>
        </w:tc>
        <w:tc>
          <w:tcPr>
            <w:tcW w:w="2074"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____________</w:t>
            </w:r>
          </w:p>
        </w:tc>
        <w:tc>
          <w:tcPr>
            <w:tcW w:w="2074"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签订日期</w:t>
            </w:r>
          </w:p>
        </w:tc>
        <w:tc>
          <w:tcPr>
            <w:tcW w:w="230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年</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u w:val="single"/>
                <w:lang w:val="en-US" w:eastAsia="zh-CN"/>
              </w:rPr>
              <w:t xml:space="preserve">   </w:t>
            </w:r>
            <w:r>
              <w:rPr>
                <w:rFonts w:hint="eastAsia" w:ascii="微软雅黑" w:hAnsi="微软雅黑" w:eastAsia="微软雅黑" w:cs="微软雅黑"/>
                <w:color w:val="auto"/>
                <w:sz w:val="24"/>
                <w:szCs w:val="24"/>
                <w:highlight w:val="none"/>
              </w:rPr>
              <w:t>日</w:t>
            </w:r>
          </w:p>
        </w:tc>
      </w:tr>
    </w:tbl>
    <w:p>
      <w:pPr>
        <w:shd w:val="clear"/>
        <w:spacing w:line="240" w:lineRule="auto"/>
        <w:outlineLvl w:val="9"/>
        <w:rPr>
          <w:rFonts w:hint="eastAsia" w:ascii="微软雅黑" w:hAnsi="微软雅黑" w:eastAsia="微软雅黑" w:cs="微软雅黑"/>
          <w:color w:val="auto"/>
          <w:sz w:val="24"/>
          <w:szCs w:val="24"/>
          <w:highlight w:val="none"/>
        </w:rPr>
      </w:pPr>
    </w:p>
    <w:p>
      <w:pPr>
        <w:shd w:val="clear"/>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一、服务双方信息</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2"/>
        <w:gridCol w:w="2279"/>
        <w:gridCol w:w="1983"/>
        <w:gridCol w:w="2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61" w:type="dxa"/>
            <w:gridSpan w:val="2"/>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w:t>
            </w:r>
            <w:r>
              <w:rPr>
                <w:rFonts w:hint="eastAsia" w:ascii="微软雅黑" w:hAnsi="微软雅黑" w:eastAsia="微软雅黑" w:cs="微软雅黑"/>
                <w:color w:val="auto"/>
                <w:sz w:val="24"/>
                <w:szCs w:val="24"/>
                <w:highlight w:val="none"/>
                <w:lang w:val="en-US" w:eastAsia="zh-CN"/>
              </w:rPr>
              <w:t>授权项目单位</w:t>
            </w:r>
            <w:r>
              <w:rPr>
                <w:rFonts w:hint="eastAsia" w:ascii="微软雅黑" w:hAnsi="微软雅黑" w:eastAsia="微软雅黑" w:cs="微软雅黑"/>
                <w:color w:val="auto"/>
                <w:sz w:val="24"/>
                <w:szCs w:val="24"/>
                <w:highlight w:val="none"/>
              </w:rPr>
              <w:t>）</w:t>
            </w:r>
          </w:p>
        </w:tc>
        <w:tc>
          <w:tcPr>
            <w:tcW w:w="4261" w:type="dxa"/>
            <w:gridSpan w:val="2"/>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乙方（服务方）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2"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单位名称</w:t>
            </w:r>
          </w:p>
        </w:tc>
        <w:tc>
          <w:tcPr>
            <w:tcW w:w="2279" w:type="dxa"/>
          </w:tcPr>
          <w:p>
            <w:pPr>
              <w:shd w:val="clear"/>
              <w:spacing w:after="0" w:line="240" w:lineRule="auto"/>
              <w:outlineLvl w:val="9"/>
              <w:rPr>
                <w:rFonts w:hint="eastAsia" w:ascii="微软雅黑" w:hAnsi="微软雅黑" w:eastAsia="微软雅黑" w:cs="微软雅黑"/>
                <w:color w:val="auto"/>
                <w:sz w:val="24"/>
                <w:szCs w:val="24"/>
                <w:highlight w:val="none"/>
              </w:rPr>
            </w:pPr>
          </w:p>
        </w:tc>
        <w:tc>
          <w:tcPr>
            <w:tcW w:w="1983"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单位名称</w:t>
            </w:r>
          </w:p>
        </w:tc>
        <w:tc>
          <w:tcPr>
            <w:tcW w:w="2278" w:type="dxa"/>
          </w:tcPr>
          <w:p>
            <w:pPr>
              <w:shd w:val="clear"/>
              <w:spacing w:after="0" w:line="240" w:lineRule="auto"/>
              <w:outlineLvl w:val="9"/>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2" w:type="dxa"/>
          </w:tcPr>
          <w:p>
            <w:pPr>
              <w:shd w:val="clear"/>
              <w:spacing w:after="0" w:line="240" w:lineRule="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项目名称</w:t>
            </w:r>
          </w:p>
        </w:tc>
        <w:tc>
          <w:tcPr>
            <w:tcW w:w="2279" w:type="dxa"/>
          </w:tcPr>
          <w:p>
            <w:pPr>
              <w:shd w:val="clear"/>
              <w:spacing w:after="0" w:line="240" w:lineRule="auto"/>
              <w:outlineLvl w:val="9"/>
              <w:rPr>
                <w:rFonts w:hint="eastAsia" w:ascii="微软雅黑" w:hAnsi="微软雅黑" w:eastAsia="微软雅黑" w:cs="微软雅黑"/>
                <w:color w:val="auto"/>
                <w:sz w:val="24"/>
                <w:szCs w:val="24"/>
                <w:highlight w:val="none"/>
              </w:rPr>
            </w:pPr>
          </w:p>
        </w:tc>
        <w:tc>
          <w:tcPr>
            <w:tcW w:w="1983"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单位地址</w:t>
            </w:r>
          </w:p>
        </w:tc>
        <w:tc>
          <w:tcPr>
            <w:tcW w:w="2278" w:type="dxa"/>
          </w:tcPr>
          <w:p>
            <w:pPr>
              <w:shd w:val="clear"/>
              <w:spacing w:after="0" w:line="240" w:lineRule="auto"/>
              <w:outlineLvl w:val="9"/>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2"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项目地址</w:t>
            </w:r>
          </w:p>
        </w:tc>
        <w:tc>
          <w:tcPr>
            <w:tcW w:w="2279" w:type="dxa"/>
          </w:tcPr>
          <w:p>
            <w:pPr>
              <w:shd w:val="clear"/>
              <w:spacing w:after="0" w:line="240" w:lineRule="auto"/>
              <w:outlineLvl w:val="9"/>
              <w:rPr>
                <w:rFonts w:hint="eastAsia" w:ascii="微软雅黑" w:hAnsi="微软雅黑" w:eastAsia="微软雅黑" w:cs="微软雅黑"/>
                <w:color w:val="auto"/>
                <w:sz w:val="24"/>
                <w:szCs w:val="24"/>
                <w:highlight w:val="none"/>
              </w:rPr>
            </w:pPr>
          </w:p>
        </w:tc>
        <w:tc>
          <w:tcPr>
            <w:tcW w:w="1983"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w:t>
            </w:r>
          </w:p>
        </w:tc>
        <w:tc>
          <w:tcPr>
            <w:tcW w:w="2278" w:type="dxa"/>
          </w:tcPr>
          <w:p>
            <w:pPr>
              <w:shd w:val="clear"/>
              <w:spacing w:after="0" w:line="240" w:lineRule="auto"/>
              <w:outlineLvl w:val="9"/>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2" w:type="dxa"/>
            <w:vAlign w:val="top"/>
          </w:tcPr>
          <w:p>
            <w:pPr>
              <w:shd w:val="clear"/>
              <w:spacing w:after="0" w:line="240" w:lineRule="auto"/>
              <w:outlineLvl w:val="9"/>
              <w:rPr>
                <w:rFonts w:hint="eastAsia" w:ascii="微软雅黑" w:hAnsi="微软雅黑" w:eastAsia="微软雅黑" w:cs="微软雅黑"/>
                <w:color w:val="auto"/>
                <w:sz w:val="24"/>
                <w:szCs w:val="24"/>
                <w:highlight w:val="none"/>
                <w:lang w:val="en-US" w:eastAsia="en-US" w:bidi="ar-SA"/>
              </w:rPr>
            </w:pPr>
            <w:r>
              <w:rPr>
                <w:rFonts w:hint="eastAsia" w:ascii="微软雅黑" w:hAnsi="微软雅黑" w:eastAsia="微软雅黑" w:cs="微软雅黑"/>
                <w:color w:val="auto"/>
                <w:sz w:val="24"/>
                <w:szCs w:val="24"/>
                <w:highlight w:val="none"/>
              </w:rPr>
              <w:t>联系人</w:t>
            </w:r>
          </w:p>
        </w:tc>
        <w:tc>
          <w:tcPr>
            <w:tcW w:w="2279" w:type="dxa"/>
          </w:tcPr>
          <w:p>
            <w:pPr>
              <w:shd w:val="clear"/>
              <w:spacing w:after="0" w:line="240" w:lineRule="auto"/>
              <w:outlineLvl w:val="9"/>
              <w:rPr>
                <w:rFonts w:hint="eastAsia" w:ascii="微软雅黑" w:hAnsi="微软雅黑" w:eastAsia="微软雅黑" w:cs="微软雅黑"/>
                <w:color w:val="auto"/>
                <w:sz w:val="24"/>
                <w:szCs w:val="24"/>
                <w:highlight w:val="none"/>
              </w:rPr>
            </w:pPr>
          </w:p>
        </w:tc>
        <w:tc>
          <w:tcPr>
            <w:tcW w:w="1983"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联系电话</w:t>
            </w:r>
          </w:p>
        </w:tc>
        <w:tc>
          <w:tcPr>
            <w:tcW w:w="2278" w:type="dxa"/>
          </w:tcPr>
          <w:p>
            <w:pPr>
              <w:shd w:val="clear"/>
              <w:spacing w:after="0" w:line="240" w:lineRule="auto"/>
              <w:outlineLvl w:val="9"/>
              <w:rPr>
                <w:rFonts w:hint="eastAsia" w:ascii="微软雅黑" w:hAnsi="微软雅黑" w:eastAsia="微软雅黑" w:cs="微软雅黑"/>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982" w:type="dxa"/>
            <w:vAlign w:val="top"/>
          </w:tcPr>
          <w:p>
            <w:pPr>
              <w:shd w:val="clear"/>
              <w:spacing w:after="0" w:line="240" w:lineRule="auto"/>
              <w:outlineLvl w:val="9"/>
              <w:rPr>
                <w:rFonts w:hint="default" w:ascii="微软雅黑" w:hAnsi="微软雅黑" w:eastAsia="微软雅黑" w:cs="微软雅黑"/>
                <w:color w:val="auto"/>
                <w:sz w:val="24"/>
                <w:szCs w:val="24"/>
                <w:highlight w:val="none"/>
                <w:lang w:val="en-US" w:eastAsia="zh-CN" w:bidi="ar-SA"/>
              </w:rPr>
            </w:pPr>
            <w:r>
              <w:rPr>
                <w:rFonts w:hint="eastAsia" w:ascii="微软雅黑" w:hAnsi="微软雅黑" w:eastAsia="微软雅黑" w:cs="微软雅黑"/>
                <w:color w:val="auto"/>
                <w:sz w:val="24"/>
                <w:szCs w:val="24"/>
                <w:highlight w:val="none"/>
              </w:rPr>
              <w:t>联系电话</w:t>
            </w:r>
          </w:p>
        </w:tc>
        <w:tc>
          <w:tcPr>
            <w:tcW w:w="2279" w:type="dxa"/>
          </w:tcPr>
          <w:p>
            <w:pPr>
              <w:shd w:val="clear"/>
              <w:spacing w:after="0" w:line="240" w:lineRule="auto"/>
              <w:outlineLvl w:val="9"/>
              <w:rPr>
                <w:rFonts w:hint="eastAsia" w:ascii="微软雅黑" w:hAnsi="微软雅黑" w:eastAsia="微软雅黑" w:cs="微软雅黑"/>
                <w:color w:val="auto"/>
                <w:sz w:val="24"/>
                <w:szCs w:val="24"/>
                <w:highlight w:val="none"/>
              </w:rPr>
            </w:pPr>
          </w:p>
        </w:tc>
        <w:tc>
          <w:tcPr>
            <w:tcW w:w="1983"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电子邮箱</w:t>
            </w:r>
          </w:p>
        </w:tc>
        <w:tc>
          <w:tcPr>
            <w:tcW w:w="2278" w:type="dxa"/>
          </w:tcPr>
          <w:p>
            <w:pPr>
              <w:shd w:val="clear"/>
              <w:spacing w:after="0" w:line="240" w:lineRule="auto"/>
              <w:outlineLvl w:val="9"/>
              <w:rPr>
                <w:rFonts w:hint="eastAsia" w:ascii="微软雅黑" w:hAnsi="微软雅黑" w:eastAsia="微软雅黑" w:cs="微软雅黑"/>
                <w:color w:val="auto"/>
                <w:sz w:val="24"/>
                <w:szCs w:val="24"/>
                <w:highlight w:val="none"/>
              </w:rPr>
            </w:pPr>
          </w:p>
        </w:tc>
      </w:tr>
    </w:tbl>
    <w:p>
      <w:pPr>
        <w:numPr>
          <w:ilvl w:val="0"/>
          <w:numId w:val="0"/>
        </w:numPr>
        <w:shd w:val="clear"/>
        <w:spacing w:line="240" w:lineRule="auto"/>
        <w:outlineLvl w:val="9"/>
        <w:rPr>
          <w:rFonts w:hint="eastAsia" w:ascii="微软雅黑" w:hAnsi="微软雅黑" w:eastAsia="微软雅黑" w:cs="微软雅黑"/>
          <w:color w:val="auto"/>
          <w:sz w:val="24"/>
          <w:szCs w:val="24"/>
          <w:highlight w:val="none"/>
          <w:lang w:val="en-US" w:eastAsia="zh-CN"/>
        </w:rPr>
      </w:pPr>
    </w:p>
    <w:p>
      <w:pPr>
        <w:numPr>
          <w:ilvl w:val="0"/>
          <w:numId w:val="0"/>
        </w:numPr>
        <w:shd w:val="clear"/>
        <w:spacing w:line="240" w:lineRule="auto"/>
        <w:outlineLvl w:val="9"/>
        <w:rPr>
          <w:rFonts w:hint="eastAsia"/>
          <w:color w:val="auto"/>
          <w:highlight w:val="none"/>
        </w:rPr>
      </w:pP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巡检</w:t>
      </w:r>
      <w:r>
        <w:rPr>
          <w:rFonts w:hint="eastAsia" w:ascii="微软雅黑" w:hAnsi="微软雅黑" w:eastAsia="微软雅黑" w:cs="微软雅黑"/>
          <w:color w:val="auto"/>
          <w:sz w:val="24"/>
          <w:szCs w:val="24"/>
          <w:highlight w:val="none"/>
          <w:lang w:val="en-US" w:eastAsia="zh-CN"/>
        </w:rPr>
        <w:t>服务</w:t>
      </w:r>
      <w:r>
        <w:rPr>
          <w:rFonts w:hint="eastAsia" w:ascii="微软雅黑" w:hAnsi="微软雅黑" w:eastAsia="微软雅黑" w:cs="微软雅黑"/>
          <w:color w:val="auto"/>
          <w:sz w:val="24"/>
          <w:szCs w:val="24"/>
          <w:highlight w:val="none"/>
        </w:rPr>
        <w:t>详情</w:t>
      </w:r>
    </w:p>
    <w:tbl>
      <w:tblPr>
        <w:tblStyle w:val="44"/>
        <w:tblW w:w="8316"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2"/>
        <w:gridCol w:w="441"/>
        <w:gridCol w:w="2838"/>
        <w:gridCol w:w="913"/>
        <w:gridCol w:w="1357"/>
        <w:gridCol w:w="1124"/>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45" w:hRule="atLeast"/>
        </w:trPr>
        <w:tc>
          <w:tcPr>
            <w:tcW w:w="742"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巡检服务内容</w:t>
            </w:r>
          </w:p>
        </w:tc>
        <w:tc>
          <w:tcPr>
            <w:tcW w:w="3279" w:type="dxa"/>
            <w:gridSpan w:val="2"/>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人员分类</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巡检人数（人）b</w:t>
            </w: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人员综合单价（元/人/次）c</w:t>
            </w: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小计（元）</w:t>
            </w:r>
            <w:r>
              <w:rPr>
                <w:rFonts w:hint="eastAsia" w:ascii="微软雅黑" w:hAnsi="微软雅黑" w:eastAsia="微软雅黑" w:cs="微软雅黑"/>
                <w:color w:val="auto"/>
                <w:sz w:val="24"/>
                <w:szCs w:val="24"/>
                <w:highlight w:val="none"/>
                <w:lang w:val="en-US" w:eastAsia="zh-CN"/>
              </w:rPr>
              <w:br w:type="textWrapping"/>
            </w:r>
            <w:r>
              <w:rPr>
                <w:rFonts w:hint="eastAsia" w:ascii="微软雅黑" w:hAnsi="微软雅黑" w:eastAsia="微软雅黑" w:cs="微软雅黑"/>
                <w:color w:val="auto"/>
                <w:sz w:val="24"/>
                <w:szCs w:val="24"/>
                <w:highlight w:val="none"/>
                <w:lang w:val="en-US" w:eastAsia="zh-CN"/>
              </w:rPr>
              <w:t>b*c</w:t>
            </w:r>
          </w:p>
        </w:tc>
        <w:tc>
          <w:tcPr>
            <w:tcW w:w="901"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3" w:hRule="atLeast"/>
        </w:trPr>
        <w:tc>
          <w:tcPr>
            <w:tcW w:w="742" w:type="dxa"/>
            <w:vMerge w:val="restart"/>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季度巡检</w:t>
            </w:r>
          </w:p>
        </w:tc>
        <w:tc>
          <w:tcPr>
            <w:tcW w:w="441" w:type="dxa"/>
            <w:vMerge w:val="restart"/>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组长</w:t>
            </w:r>
          </w:p>
        </w:tc>
        <w:tc>
          <w:tcPr>
            <w:tcW w:w="2838"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土建、精装质量组长</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restart"/>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3" w:hRule="atLeast"/>
        </w:trPr>
        <w:tc>
          <w:tcPr>
            <w:tcW w:w="742"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44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2838"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机电安装组长</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90" w:hRule="atLeast"/>
        </w:trPr>
        <w:tc>
          <w:tcPr>
            <w:tcW w:w="742"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44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2838"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大型机械设备组长</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45" w:hRule="atLeast"/>
        </w:trPr>
        <w:tc>
          <w:tcPr>
            <w:tcW w:w="742"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441" w:type="dxa"/>
            <w:vMerge w:val="restart"/>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组员</w:t>
            </w:r>
          </w:p>
        </w:tc>
        <w:tc>
          <w:tcPr>
            <w:tcW w:w="2838"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土建、精装实测组员</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85" w:hRule="atLeast"/>
        </w:trPr>
        <w:tc>
          <w:tcPr>
            <w:tcW w:w="742"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44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2838"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安全文明、管理行为组员</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63" w:hRule="atLeast"/>
        </w:trPr>
        <w:tc>
          <w:tcPr>
            <w:tcW w:w="742"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44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2838"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土建、精装、机电设备等管理行为组员</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trPr>
        <w:tc>
          <w:tcPr>
            <w:tcW w:w="742" w:type="dxa"/>
            <w:vMerge w:val="restart"/>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计划专项巡检</w:t>
            </w:r>
          </w:p>
        </w:tc>
        <w:tc>
          <w:tcPr>
            <w:tcW w:w="3279" w:type="dxa"/>
            <w:gridSpan w:val="2"/>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园林质量</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restart"/>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trPr>
        <w:tc>
          <w:tcPr>
            <w:tcW w:w="742"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3279" w:type="dxa"/>
            <w:gridSpan w:val="2"/>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消防质量</w:t>
            </w:r>
          </w:p>
        </w:tc>
        <w:tc>
          <w:tcPr>
            <w:tcW w:w="913"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357"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1124"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901" w:type="dxa"/>
            <w:vMerge w:val="continue"/>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31" w:hRule="atLeast"/>
        </w:trPr>
        <w:tc>
          <w:tcPr>
            <w:tcW w:w="742" w:type="dxa"/>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合计</w:t>
            </w:r>
          </w:p>
        </w:tc>
        <w:tc>
          <w:tcPr>
            <w:tcW w:w="3279" w:type="dxa"/>
            <w:gridSpan w:val="2"/>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c>
          <w:tcPr>
            <w:tcW w:w="4295" w:type="dxa"/>
            <w:gridSpan w:val="4"/>
            <w:vAlign w:val="center"/>
          </w:tcPr>
          <w:p>
            <w:pPr>
              <w:keepNext w:val="0"/>
              <w:keepLines w:val="0"/>
              <w:pageBreakBefore w:val="0"/>
              <w:widowControl/>
              <w:suppressLineNumbers w:val="0"/>
              <w:shd w:val="clear"/>
              <w:kinsoku/>
              <w:wordWrap/>
              <w:overflowPunct/>
              <w:topLinePunct w:val="0"/>
              <w:autoSpaceDE/>
              <w:autoSpaceDN/>
              <w:bidi w:val="0"/>
              <w:adjustRightInd w:val="0"/>
              <w:snapToGrid w:val="0"/>
              <w:spacing w:line="240" w:lineRule="auto"/>
              <w:jc w:val="center"/>
              <w:textAlignment w:val="center"/>
              <w:outlineLvl w:val="9"/>
              <w:rPr>
                <w:rFonts w:hint="eastAsia" w:ascii="微软雅黑" w:hAnsi="微软雅黑" w:eastAsia="微软雅黑" w:cs="微软雅黑"/>
                <w:color w:val="auto"/>
                <w:sz w:val="24"/>
                <w:szCs w:val="24"/>
                <w:highlight w:val="none"/>
                <w:lang w:val="en-US" w:eastAsia="zh-CN"/>
              </w:rPr>
            </w:pPr>
          </w:p>
        </w:tc>
      </w:tr>
    </w:tbl>
    <w:p>
      <w:pPr>
        <w:shd w:val="clear"/>
        <w:spacing w:line="240" w:lineRule="auto"/>
        <w:outlineLvl w:val="9"/>
        <w:rPr>
          <w:rFonts w:hint="eastAsia" w:ascii="微软雅黑" w:hAnsi="微软雅黑" w:eastAsia="微软雅黑" w:cs="微软雅黑"/>
          <w:color w:val="auto"/>
          <w:sz w:val="24"/>
          <w:szCs w:val="24"/>
          <w:highlight w:val="none"/>
          <w:lang w:val="en-US" w:eastAsia="zh-CN"/>
        </w:rPr>
      </w:pPr>
    </w:p>
    <w:p>
      <w:pPr>
        <w:shd w:val="clear"/>
        <w:spacing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rPr>
        <w:t>、双方确认</w:t>
      </w:r>
    </w:p>
    <w:tbl>
      <w:tblPr>
        <w:tblStyle w:val="44"/>
        <w:tblW w:w="86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4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甲方确认（盖章）</w:t>
            </w:r>
          </w:p>
        </w:tc>
        <w:tc>
          <w:tcPr>
            <w:tcW w:w="432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乙方确认（盖章）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授权代表签字：__________</w:t>
            </w:r>
          </w:p>
        </w:tc>
        <w:tc>
          <w:tcPr>
            <w:tcW w:w="432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授权代表签字：__________</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32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日期：____年__月__日</w:t>
            </w:r>
          </w:p>
        </w:tc>
        <w:tc>
          <w:tcPr>
            <w:tcW w:w="4320" w:type="dxa"/>
          </w:tcPr>
          <w:p>
            <w:pPr>
              <w:shd w:val="clear"/>
              <w:spacing w:after="0" w:line="240" w:lineRule="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日期：____年__月__日</w:t>
            </w:r>
          </w:p>
        </w:tc>
      </w:tr>
    </w:tbl>
    <w:p>
      <w:pPr>
        <w:pStyle w:val="13"/>
        <w:keepNext w:val="0"/>
        <w:keepLines w:val="0"/>
        <w:pageBreakBefore w:val="0"/>
        <w:shd w:val="clea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color w:val="auto"/>
          <w:kern w:val="2"/>
          <w:sz w:val="21"/>
          <w:szCs w:val="22"/>
          <w:highlight w:val="none"/>
          <w:lang w:val="en-US" w:eastAsia="zh-CN" w:bidi="ar-SA"/>
        </w:rPr>
      </w:pPr>
      <w:r>
        <w:rPr>
          <w:rFonts w:hint="eastAsia" w:ascii="宋体" w:hAnsi="宋体" w:eastAsia="宋体" w:cs="宋体"/>
          <w:color w:val="auto"/>
          <w:kern w:val="2"/>
          <w:sz w:val="21"/>
          <w:szCs w:val="22"/>
          <w:highlight w:val="none"/>
          <w:lang w:val="en-US" w:eastAsia="zh-CN" w:bidi="ar-SA"/>
        </w:rPr>
        <w:br w:type="page"/>
      </w:r>
    </w:p>
    <w:p>
      <w:pPr>
        <w:pStyle w:val="2"/>
        <w:shd w:val="clear"/>
        <w:spacing w:before="0" w:after="0" w:line="240" w:lineRule="auto"/>
        <w:outlineLvl w:val="0"/>
        <w:rPr>
          <w:rFonts w:hint="eastAsia" w:ascii="宋体" w:hAnsi="宋体" w:eastAsia="宋体" w:cs="宋体"/>
          <w:color w:val="auto"/>
          <w:sz w:val="28"/>
          <w:szCs w:val="28"/>
          <w:highlight w:val="none"/>
        </w:rPr>
      </w:pPr>
      <w:bookmarkStart w:id="144" w:name="_Toc31469"/>
      <w:r>
        <w:rPr>
          <w:rFonts w:hint="eastAsia" w:ascii="宋体" w:hAnsi="宋体" w:eastAsia="宋体" w:cs="宋体"/>
          <w:color w:val="auto"/>
          <w:sz w:val="28"/>
          <w:szCs w:val="28"/>
          <w:highlight w:val="none"/>
        </w:rPr>
        <w:t>第六部分附件－投标文件格式</w:t>
      </w:r>
      <w:bookmarkEnd w:id="144"/>
    </w:p>
    <w:p>
      <w:pPr>
        <w:shd w:val="clear"/>
        <w:rPr>
          <w:rFonts w:hint="eastAsia" w:ascii="宋体" w:hAnsi="宋体" w:eastAsia="宋体" w:cs="宋体"/>
          <w:color w:val="auto"/>
          <w:highlight w:val="none"/>
        </w:rPr>
      </w:pPr>
    </w:p>
    <w:p>
      <w:pPr>
        <w:pStyle w:val="5"/>
        <w:widowControl w:val="0"/>
        <w:shd w:val="clear"/>
        <w:overflowPunct w:val="0"/>
        <w:spacing w:line="240" w:lineRule="auto"/>
        <w:outlineLvl w:val="1"/>
        <w:rPr>
          <w:rFonts w:hint="eastAsia" w:ascii="宋体" w:hAnsi="宋体" w:eastAsia="宋体" w:cs="宋体"/>
          <w:color w:val="auto"/>
          <w:sz w:val="21"/>
          <w:szCs w:val="21"/>
          <w:highlight w:val="none"/>
        </w:rPr>
      </w:pPr>
      <w:bookmarkStart w:id="145" w:name="_Toc30969"/>
      <w:r>
        <w:rPr>
          <w:rFonts w:hint="eastAsia" w:ascii="宋体" w:hAnsi="宋体" w:eastAsia="宋体" w:cs="宋体"/>
          <w:color w:val="auto"/>
          <w:sz w:val="21"/>
          <w:szCs w:val="21"/>
          <w:highlight w:val="none"/>
        </w:rPr>
        <w:t>投标文件目录</w:t>
      </w:r>
      <w:bookmarkEnd w:id="145"/>
    </w:p>
    <w:p>
      <w:pPr>
        <w:shd w:val="clear"/>
        <w:jc w:val="center"/>
        <w:rPr>
          <w:rFonts w:hint="eastAsia" w:ascii="宋体" w:hAnsi="宋体" w:eastAsia="宋体" w:cs="宋体"/>
          <w:color w:val="auto"/>
          <w:sz w:val="32"/>
          <w:szCs w:val="32"/>
          <w:highlight w:val="none"/>
        </w:rPr>
      </w:pPr>
    </w:p>
    <w:p>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目录</w:t>
      </w:r>
    </w:p>
    <w:p>
      <w:pPr>
        <w:shd w:val="clea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格式自理。</w:t>
      </w: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hd w:val="clear"/>
        <w:adjustRightInd/>
        <w:snapToGrid/>
        <w:spacing w:line="276"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1、投标人制作的投标文件应当具备目录。</w:t>
      </w:r>
      <w:r>
        <w:rPr>
          <w:rFonts w:hint="eastAsia" w:ascii="宋体" w:hAnsi="宋体" w:eastAsia="宋体" w:cs="宋体"/>
          <w:color w:val="auto"/>
          <w:szCs w:val="21"/>
          <w:highlight w:val="none"/>
        </w:rPr>
        <w:br w:type="page"/>
      </w:r>
    </w:p>
    <w:p>
      <w:pPr>
        <w:pStyle w:val="5"/>
        <w:widowControl w:val="0"/>
        <w:shd w:val="clear"/>
        <w:overflowPunct w:val="0"/>
        <w:spacing w:line="240" w:lineRule="auto"/>
        <w:outlineLvl w:val="3"/>
        <w:rPr>
          <w:rFonts w:hint="eastAsia" w:ascii="宋体" w:hAnsi="宋体" w:eastAsia="宋体" w:cs="宋体"/>
          <w:color w:val="auto"/>
          <w:sz w:val="21"/>
          <w:szCs w:val="21"/>
          <w:highlight w:val="none"/>
        </w:rPr>
      </w:pPr>
      <w:bookmarkStart w:id="146" w:name="_Toc19656"/>
      <w:r>
        <w:rPr>
          <w:rFonts w:hint="eastAsia" w:ascii="宋体" w:hAnsi="宋体" w:eastAsia="宋体" w:cs="宋体"/>
          <w:color w:val="auto"/>
          <w:sz w:val="21"/>
          <w:szCs w:val="21"/>
          <w:highlight w:val="none"/>
        </w:rPr>
        <w:t>附件1.评分标准索引表</w:t>
      </w:r>
      <w:bookmarkEnd w:id="146"/>
    </w:p>
    <w:p>
      <w:pPr>
        <w:shd w:val="clear"/>
        <w:adjustRightInd/>
        <w:snapToGrid/>
        <w:spacing w:line="276" w:lineRule="auto"/>
        <w:rPr>
          <w:rFonts w:hint="eastAsia" w:ascii="宋体" w:hAnsi="宋体" w:eastAsia="宋体" w:cs="宋体"/>
          <w:color w:val="auto"/>
          <w:szCs w:val="21"/>
          <w:highlight w:val="none"/>
        </w:rPr>
      </w:pPr>
    </w:p>
    <w:p>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评分标准索引表</w:t>
      </w:r>
    </w:p>
    <w:tbl>
      <w:tblPr>
        <w:tblStyle w:val="4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7" w:hRule="atLeast"/>
        </w:trPr>
        <w:tc>
          <w:tcPr>
            <w:tcW w:w="1704" w:type="dxa"/>
            <w:vAlign w:val="center"/>
          </w:tcPr>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4" w:type="dxa"/>
            <w:vAlign w:val="center"/>
          </w:tcPr>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评审项目</w:t>
            </w:r>
          </w:p>
        </w:tc>
        <w:tc>
          <w:tcPr>
            <w:tcW w:w="1704" w:type="dxa"/>
            <w:vAlign w:val="center"/>
          </w:tcPr>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评审细则</w:t>
            </w:r>
          </w:p>
        </w:tc>
        <w:tc>
          <w:tcPr>
            <w:tcW w:w="1705" w:type="dxa"/>
            <w:vAlign w:val="center"/>
          </w:tcPr>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分值</w:t>
            </w:r>
          </w:p>
        </w:tc>
        <w:tc>
          <w:tcPr>
            <w:tcW w:w="1705" w:type="dxa"/>
            <w:vAlign w:val="center"/>
          </w:tcPr>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hd w:val="clear"/>
              <w:rPr>
                <w:rFonts w:hint="eastAsia" w:ascii="宋体" w:hAnsi="宋体" w:eastAsia="宋体" w:cs="宋体"/>
                <w:color w:val="auto"/>
                <w:highlight w:val="none"/>
              </w:rPr>
            </w:pPr>
            <w:r>
              <w:rPr>
                <w:rFonts w:hint="eastAsia" w:ascii="宋体" w:hAnsi="宋体" w:eastAsia="宋体" w:cs="宋体"/>
                <w:color w:val="auto"/>
                <w:highlight w:val="none"/>
              </w:rPr>
              <w:t>商务评审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8522" w:type="dxa"/>
            <w:gridSpan w:val="5"/>
            <w:vAlign w:val="center"/>
          </w:tcPr>
          <w:p>
            <w:pPr>
              <w:shd w:val="clear"/>
              <w:rPr>
                <w:rFonts w:hint="eastAsia" w:ascii="宋体" w:hAnsi="宋体" w:eastAsia="宋体" w:cs="宋体"/>
                <w:color w:val="auto"/>
                <w:highlight w:val="none"/>
              </w:rPr>
            </w:pPr>
            <w:r>
              <w:rPr>
                <w:rFonts w:hint="eastAsia" w:ascii="宋体" w:hAnsi="宋体" w:eastAsia="宋体" w:cs="宋体"/>
                <w:color w:val="auto"/>
                <w:highlight w:val="none"/>
              </w:rPr>
              <w:t>技术评审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1" w:hRule="atLeast"/>
        </w:trPr>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4"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c>
          <w:tcPr>
            <w:tcW w:w="1705" w:type="dxa"/>
            <w:vAlign w:val="center"/>
          </w:tcPr>
          <w:p>
            <w:pPr>
              <w:shd w:val="clear"/>
              <w:jc w:val="center"/>
              <w:rPr>
                <w:rFonts w:hint="eastAsia" w:ascii="宋体" w:hAnsi="宋体" w:eastAsia="宋体" w:cs="宋体"/>
                <w:color w:val="auto"/>
                <w:highlight w:val="none"/>
              </w:rPr>
            </w:pPr>
          </w:p>
        </w:tc>
      </w:tr>
    </w:tbl>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numPr>
          <w:ilvl w:val="0"/>
          <w:numId w:val="10"/>
        </w:num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该表格为参考格式，投标人可按实际情况自行制订评分标准索引表。</w:t>
      </w:r>
    </w:p>
    <w:p>
      <w:pPr>
        <w:pStyle w:val="11"/>
        <w:shd w:val="clear"/>
        <w:spacing w:before="0"/>
        <w:ind w:left="0"/>
        <w:rPr>
          <w:rFonts w:hint="eastAsia" w:ascii="宋体" w:hAnsi="宋体" w:eastAsia="宋体" w:cs="宋体"/>
          <w:color w:val="auto"/>
          <w:highlight w:val="none"/>
        </w:rPr>
      </w:pP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p>
    <w:p>
      <w:pPr>
        <w:shd w:val="clear"/>
        <w:adjustRightInd/>
        <w:snapToGrid/>
        <w:spacing w:line="276"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hd w:val="clear"/>
        <w:jc w:val="center"/>
        <w:rPr>
          <w:rFonts w:hint="eastAsia" w:ascii="宋体" w:hAnsi="宋体" w:eastAsia="宋体" w:cs="宋体"/>
          <w:color w:val="auto"/>
          <w:sz w:val="52"/>
          <w:szCs w:val="52"/>
          <w:highlight w:val="none"/>
        </w:rPr>
      </w:pPr>
      <w:bookmarkStart w:id="147" w:name="_Toc30918"/>
      <w:bookmarkStart w:id="148" w:name="_Toc18450"/>
      <w:bookmarkStart w:id="149" w:name="_Toc20335"/>
      <w:bookmarkStart w:id="150" w:name="_Toc21746"/>
      <w:bookmarkStart w:id="151" w:name="_Toc28154"/>
    </w:p>
    <w:p>
      <w:pPr>
        <w:pStyle w:val="2"/>
        <w:shd w:val="clear"/>
        <w:spacing w:before="0" w:after="0" w:line="360" w:lineRule="auto"/>
        <w:jc w:val="center"/>
        <w:rPr>
          <w:rFonts w:hint="eastAsia" w:ascii="宋体" w:hAnsi="宋体" w:eastAsia="宋体" w:cs="宋体"/>
          <w:color w:val="auto"/>
          <w:sz w:val="72"/>
          <w:szCs w:val="72"/>
          <w:highlight w:val="none"/>
        </w:rPr>
      </w:pPr>
      <w:bookmarkStart w:id="152" w:name="_Toc14838"/>
      <w:r>
        <w:rPr>
          <w:rFonts w:hint="eastAsia" w:ascii="宋体" w:hAnsi="宋体" w:eastAsia="宋体" w:cs="宋体"/>
          <w:color w:val="auto"/>
          <w:sz w:val="72"/>
          <w:szCs w:val="72"/>
          <w:highlight w:val="none"/>
        </w:rPr>
        <w:t>价格文件</w:t>
      </w:r>
      <w:bookmarkEnd w:id="147"/>
      <w:bookmarkEnd w:id="148"/>
      <w:bookmarkEnd w:id="152"/>
      <w:bookmarkStart w:id="153" w:name="_Hlt10519799"/>
      <w:bookmarkEnd w:id="153"/>
      <w:bookmarkStart w:id="154" w:name="_Hlt10456397"/>
      <w:bookmarkEnd w:id="154"/>
    </w:p>
    <w:p>
      <w:pPr>
        <w:shd w:val="clea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bookmarkEnd w:id="149"/>
      <w:bookmarkEnd w:id="150"/>
      <w:bookmarkEnd w:id="151"/>
    </w:p>
    <w:p>
      <w:pPr>
        <w:shd w:val="clear"/>
        <w:rPr>
          <w:rFonts w:hint="eastAsia" w:ascii="宋体" w:hAnsi="宋体" w:eastAsia="宋体" w:cs="宋体"/>
          <w:color w:val="auto"/>
          <w:highlight w:val="none"/>
        </w:rPr>
      </w:pPr>
    </w:p>
    <w:p>
      <w:pPr>
        <w:pStyle w:val="11"/>
        <w:shd w:val="clear"/>
        <w:rPr>
          <w:rFonts w:hint="eastAsia" w:ascii="宋体" w:hAnsi="宋体" w:eastAsia="宋体" w:cs="宋体"/>
          <w:color w:val="auto"/>
          <w:highlight w:val="none"/>
        </w:rPr>
      </w:pPr>
    </w:p>
    <w:p>
      <w:pPr>
        <w:pStyle w:val="10"/>
        <w:keepNext w:val="0"/>
        <w:keepLines w:val="0"/>
        <w:pageBreakBefore w:val="0"/>
        <w:widowControl/>
        <w:shd w:val="clear"/>
        <w:kinsoku/>
        <w:wordWrap/>
        <w:overflowPunct/>
        <w:topLinePunct w:val="0"/>
        <w:autoSpaceDE/>
        <w:autoSpaceDN/>
        <w:bidi w:val="0"/>
        <w:adjustRightInd w:val="0"/>
        <w:snapToGrid w:val="0"/>
        <w:spacing w:before="0" w:after="0" w:afterAutospacing="0" w:line="360" w:lineRule="auto"/>
        <w:ind w:left="0" w:firstLine="240"/>
        <w:textAlignment w:val="auto"/>
        <w:rPr>
          <w:rFonts w:hint="eastAsia" w:ascii="宋体" w:hAnsi="宋体" w:eastAsia="宋体" w:cs="宋体"/>
          <w:color w:val="auto"/>
          <w:highlight w:val="none"/>
        </w:rPr>
      </w:pPr>
    </w:p>
    <w:p>
      <w:pPr>
        <w:keepNext w:val="0"/>
        <w:keepLines w:val="0"/>
        <w:pageBreakBefore w:val="0"/>
        <w:widowControl/>
        <w:shd w:val="clear"/>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0"/>
          <w:kern w:val="0"/>
          <w:sz w:val="32"/>
          <w:szCs w:val="32"/>
          <w:highlight w:val="none"/>
          <w:fitText w:val="1600" w:id="0"/>
        </w:rPr>
      </w:pPr>
      <w:r>
        <w:rPr>
          <w:rFonts w:hint="eastAsia" w:ascii="宋体" w:hAnsi="宋体" w:eastAsia="宋体" w:cs="宋体"/>
          <w:b/>
          <w:bCs/>
          <w:color w:val="auto"/>
          <w:spacing w:val="0"/>
          <w:kern w:val="0"/>
          <w:sz w:val="32"/>
          <w:szCs w:val="32"/>
          <w:highlight w:val="none"/>
          <w:fitText w:val="1600" w:id="0"/>
        </w:rPr>
        <w:t>项目名称：</w:t>
      </w:r>
    </w:p>
    <w:p>
      <w:pPr>
        <w:keepNext w:val="0"/>
        <w:keepLines w:val="0"/>
        <w:pageBreakBefore w:val="0"/>
        <w:widowControl/>
        <w:shd w:val="clear"/>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1"/>
          <w:w w:val="83"/>
          <w:kern w:val="0"/>
          <w:sz w:val="32"/>
          <w:szCs w:val="32"/>
          <w:highlight w:val="none"/>
          <w:fitText w:val="1600" w:id="1"/>
        </w:rPr>
      </w:pPr>
      <w:r>
        <w:rPr>
          <w:rFonts w:hint="eastAsia" w:ascii="宋体" w:hAnsi="宋体" w:eastAsia="宋体" w:cs="宋体"/>
          <w:b/>
          <w:bCs/>
          <w:color w:val="auto"/>
          <w:spacing w:val="0"/>
          <w:w w:val="100"/>
          <w:kern w:val="0"/>
          <w:sz w:val="32"/>
          <w:szCs w:val="32"/>
          <w:highlight w:val="none"/>
          <w:fitText w:val="1600" w:id="1"/>
        </w:rPr>
        <w:t>项目编号：</w:t>
      </w:r>
    </w:p>
    <w:p>
      <w:pPr>
        <w:shd w:val="clear"/>
        <w:rPr>
          <w:rFonts w:hint="eastAsia" w:ascii="宋体" w:hAnsi="宋体" w:eastAsia="宋体" w:cs="宋体"/>
          <w:b/>
          <w:bCs/>
          <w:color w:val="auto"/>
          <w:spacing w:val="0"/>
          <w:w w:val="55"/>
          <w:kern w:val="0"/>
          <w:sz w:val="32"/>
          <w:szCs w:val="32"/>
          <w:highlight w:val="none"/>
          <w:fitText w:val="1600" w:id="2"/>
        </w:rPr>
      </w:pPr>
      <w:r>
        <w:rPr>
          <w:rFonts w:hint="eastAsia" w:ascii="宋体" w:hAnsi="宋体" w:eastAsia="宋体" w:cs="宋体"/>
          <w:b/>
          <w:bCs/>
          <w:color w:val="auto"/>
          <w:spacing w:val="1"/>
          <w:w w:val="62"/>
          <w:kern w:val="0"/>
          <w:sz w:val="32"/>
          <w:szCs w:val="32"/>
          <w:highlight w:val="none"/>
          <w:fitText w:val="1600" w:id="2"/>
          <w:lang w:bidi="ar"/>
        </w:rPr>
        <w:t>包组号（如有）</w:t>
      </w:r>
      <w:r>
        <w:rPr>
          <w:rFonts w:hint="eastAsia" w:ascii="宋体" w:hAnsi="宋体" w:eastAsia="宋体" w:cs="宋体"/>
          <w:b/>
          <w:bCs/>
          <w:color w:val="auto"/>
          <w:spacing w:val="0"/>
          <w:w w:val="62"/>
          <w:kern w:val="0"/>
          <w:sz w:val="32"/>
          <w:szCs w:val="32"/>
          <w:highlight w:val="none"/>
          <w:fitText w:val="1600" w:id="2"/>
          <w:lang w:bidi="ar"/>
        </w:rPr>
        <w:t>：</w:t>
      </w:r>
    </w:p>
    <w:p>
      <w:pPr>
        <w:keepNext w:val="0"/>
        <w:keepLines w:val="0"/>
        <w:pageBreakBefore w:val="0"/>
        <w:widowControl/>
        <w:shd w:val="clear"/>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3"/>
          <w:w w:val="71"/>
          <w:kern w:val="0"/>
          <w:sz w:val="32"/>
          <w:szCs w:val="32"/>
          <w:highlight w:val="none"/>
          <w:fitText w:val="1600" w:id="3"/>
        </w:rPr>
      </w:pPr>
      <w:r>
        <w:rPr>
          <w:rFonts w:hint="eastAsia" w:ascii="宋体" w:hAnsi="宋体" w:eastAsia="宋体" w:cs="宋体"/>
          <w:b/>
          <w:bCs/>
          <w:color w:val="auto"/>
          <w:spacing w:val="0"/>
          <w:w w:val="83"/>
          <w:kern w:val="0"/>
          <w:sz w:val="32"/>
          <w:szCs w:val="32"/>
          <w:highlight w:val="none"/>
          <w:fitText w:val="1600" w:id="3"/>
        </w:rPr>
        <w:t>投标人名称</w:t>
      </w:r>
      <w:r>
        <w:rPr>
          <w:rFonts w:hint="eastAsia" w:ascii="宋体" w:hAnsi="宋体" w:eastAsia="宋体" w:cs="宋体"/>
          <w:b/>
          <w:bCs/>
          <w:color w:val="auto"/>
          <w:spacing w:val="2"/>
          <w:w w:val="83"/>
          <w:kern w:val="0"/>
          <w:sz w:val="32"/>
          <w:szCs w:val="32"/>
          <w:highlight w:val="none"/>
          <w:fitText w:val="1600" w:id="3"/>
        </w:rPr>
        <w:t>：</w:t>
      </w:r>
    </w:p>
    <w:p>
      <w:pPr>
        <w:keepNext w:val="0"/>
        <w:keepLines w:val="0"/>
        <w:pageBreakBefore w:val="0"/>
        <w:widowControl/>
        <w:shd w:val="clear"/>
        <w:kinsoku/>
        <w:wordWrap/>
        <w:overflowPunct/>
        <w:topLinePunct w:val="0"/>
        <w:autoSpaceDE/>
        <w:autoSpaceDN/>
        <w:bidi w:val="0"/>
        <w:adjustRightInd w:val="0"/>
        <w:snapToGrid w:val="0"/>
        <w:spacing w:afterAutospacing="0" w:line="360" w:lineRule="auto"/>
        <w:ind w:left="0"/>
        <w:textAlignment w:val="auto"/>
        <w:rPr>
          <w:rFonts w:hint="eastAsia" w:ascii="宋体" w:hAnsi="宋体" w:eastAsia="宋体" w:cs="宋体"/>
          <w:b/>
          <w:bCs/>
          <w:color w:val="auto"/>
          <w:spacing w:val="4"/>
          <w:w w:val="83"/>
          <w:kern w:val="0"/>
          <w:sz w:val="32"/>
          <w:szCs w:val="32"/>
          <w:highlight w:val="none"/>
          <w:fitText w:val="1600" w:id="4"/>
        </w:rPr>
      </w:pPr>
      <w:r>
        <w:rPr>
          <w:rFonts w:hint="eastAsia" w:ascii="宋体" w:hAnsi="宋体" w:eastAsia="宋体" w:cs="宋体"/>
          <w:b/>
          <w:bCs/>
          <w:color w:val="auto"/>
          <w:spacing w:val="0"/>
          <w:w w:val="100"/>
          <w:kern w:val="0"/>
          <w:sz w:val="32"/>
          <w:szCs w:val="32"/>
          <w:highlight w:val="none"/>
          <w:fitText w:val="1600" w:id="4"/>
        </w:rPr>
        <w:t>日    期：</w:t>
      </w:r>
    </w:p>
    <w:p>
      <w:pPr>
        <w:shd w:val="clear"/>
        <w:rPr>
          <w:rFonts w:hint="eastAsia" w:ascii="宋体" w:hAnsi="宋体" w:eastAsia="宋体" w:cs="宋体"/>
          <w:color w:val="auto"/>
          <w:spacing w:val="1390"/>
          <w:kern w:val="0"/>
          <w:highlight w:val="none"/>
          <w:fitText w:val="1600" w:id="5"/>
        </w:rPr>
      </w:pPr>
    </w:p>
    <w:p>
      <w:pPr>
        <w:pStyle w:val="11"/>
        <w:shd w:val="clear"/>
        <w:rPr>
          <w:rFonts w:hint="eastAsia" w:ascii="宋体" w:hAnsi="宋体" w:eastAsia="宋体" w:cs="宋体"/>
          <w:color w:val="auto"/>
          <w:spacing w:val="1360"/>
          <w:kern w:val="0"/>
          <w:highlight w:val="none"/>
          <w:fitText w:val="1600" w:id="6"/>
        </w:rPr>
      </w:pPr>
    </w:p>
    <w:p>
      <w:pPr>
        <w:pStyle w:val="10"/>
        <w:shd w:val="clear"/>
        <w:ind w:firstLine="240"/>
        <w:rPr>
          <w:rFonts w:hint="eastAsia" w:ascii="宋体" w:hAnsi="宋体" w:eastAsia="宋体" w:cs="宋体"/>
          <w:color w:val="auto"/>
          <w:highlight w:val="none"/>
        </w:rPr>
      </w:pPr>
    </w:p>
    <w:p>
      <w:pPr>
        <w:pStyle w:val="29"/>
        <w:shd w:val="clear"/>
        <w:rPr>
          <w:rFonts w:hint="eastAsia" w:ascii="宋体" w:hAnsi="宋体" w:eastAsia="宋体" w:cs="宋体"/>
          <w:color w:val="auto"/>
          <w:highlight w:val="none"/>
        </w:rPr>
      </w:pPr>
    </w:p>
    <w:p>
      <w:pPr>
        <w:shd w:val="clear"/>
        <w:rPr>
          <w:rFonts w:hint="eastAsia" w:ascii="宋体" w:hAnsi="宋体" w:eastAsia="宋体" w:cs="宋体"/>
          <w:color w:val="auto"/>
          <w:highlight w:val="none"/>
        </w:rPr>
      </w:pPr>
    </w:p>
    <w:p>
      <w:pPr>
        <w:pStyle w:val="11"/>
        <w:shd w:val="clear"/>
        <w:rPr>
          <w:rFonts w:hint="eastAsia" w:ascii="宋体" w:hAnsi="宋体" w:eastAsia="宋体" w:cs="宋体"/>
          <w:color w:val="auto"/>
          <w:highlight w:val="none"/>
        </w:rPr>
      </w:pPr>
    </w:p>
    <w:p>
      <w:pPr>
        <w:pStyle w:val="10"/>
        <w:shd w:val="clear"/>
        <w:ind w:firstLine="240"/>
        <w:rPr>
          <w:rFonts w:hint="eastAsia" w:ascii="宋体" w:hAnsi="宋体" w:eastAsia="宋体" w:cs="宋体"/>
          <w:color w:val="auto"/>
          <w:highlight w:val="none"/>
        </w:rPr>
      </w:pPr>
    </w:p>
    <w:p>
      <w:pPr>
        <w:pStyle w:val="29"/>
        <w:shd w:val="clear"/>
        <w:rPr>
          <w:rFonts w:hint="eastAsia" w:ascii="宋体" w:hAnsi="宋体" w:eastAsia="宋体" w:cs="宋体"/>
          <w:color w:val="auto"/>
          <w:highlight w:val="none"/>
        </w:rPr>
      </w:pPr>
    </w:p>
    <w:p>
      <w:pPr>
        <w:pStyle w:val="29"/>
        <w:shd w:val="clear"/>
        <w:ind w:left="0"/>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shd w:val="clear"/>
        <w:overflowPunct w:val="0"/>
        <w:spacing w:line="240" w:lineRule="auto"/>
        <w:rPr>
          <w:rFonts w:hint="eastAsia" w:ascii="宋体" w:hAnsi="宋体" w:eastAsia="宋体" w:cs="宋体"/>
          <w:color w:val="auto"/>
          <w:sz w:val="21"/>
          <w:szCs w:val="21"/>
          <w:highlight w:val="none"/>
        </w:rPr>
      </w:pPr>
      <w:bookmarkStart w:id="155" w:name="_Toc332"/>
      <w:r>
        <w:rPr>
          <w:rFonts w:hint="eastAsia" w:ascii="宋体" w:hAnsi="宋体" w:eastAsia="宋体" w:cs="宋体"/>
          <w:color w:val="auto"/>
          <w:sz w:val="21"/>
          <w:szCs w:val="21"/>
          <w:highlight w:val="none"/>
        </w:rPr>
        <w:t>附件2.开标一览表格式</w:t>
      </w:r>
      <w:bookmarkEnd w:id="155"/>
    </w:p>
    <w:p>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开标一览表</w:t>
      </w:r>
    </w:p>
    <w:p>
      <w:pPr>
        <w:shd w:val="clear"/>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采购项目编号：</w:t>
      </w:r>
    </w:p>
    <w:p>
      <w:pPr>
        <w:shd w:val="clear"/>
        <w:rPr>
          <w:rFonts w:hint="eastAsia" w:ascii="宋体" w:hAnsi="宋体" w:eastAsia="宋体" w:cs="宋体"/>
          <w:color w:val="auto"/>
          <w:szCs w:val="21"/>
          <w:highlight w:val="none"/>
          <w:lang w:val="en-US" w:eastAsia="zh-CN"/>
        </w:rPr>
      </w:pPr>
    </w:p>
    <w:tbl>
      <w:tblPr>
        <w:tblStyle w:val="43"/>
        <w:tblW w:w="899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916"/>
        <w:gridCol w:w="1950"/>
        <w:gridCol w:w="327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03" w:hRule="atLeast"/>
          <w:jc w:val="center"/>
        </w:trPr>
        <w:tc>
          <w:tcPr>
            <w:tcW w:w="1069" w:type="dxa"/>
            <w:tcBorders>
              <w:bottom w:val="double" w:color="auto" w:sz="4" w:space="0"/>
            </w:tcBorders>
            <w:noWrap w:val="0"/>
            <w:vAlign w:val="center"/>
          </w:tcPr>
          <w:p>
            <w:pPr>
              <w:widowControl w:val="0"/>
              <w:shd w:val="clear"/>
              <w:tabs>
                <w:tab w:val="left" w:pos="654"/>
                <w:tab w:val="left" w:pos="1734"/>
                <w:tab w:val="left" w:pos="2814"/>
                <w:tab w:val="left" w:pos="3894"/>
                <w:tab w:val="left" w:pos="5334"/>
                <w:tab w:val="left" w:pos="6414"/>
                <w:tab w:val="left" w:pos="7254"/>
                <w:tab w:val="left" w:pos="8574"/>
                <w:tab w:val="left" w:pos="9654"/>
              </w:tabs>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lang w:val="en-US" w:eastAsia="zh-CN"/>
              </w:rPr>
              <w:t>包组号：</w:t>
            </w:r>
          </w:p>
        </w:tc>
        <w:tc>
          <w:tcPr>
            <w:tcW w:w="1916" w:type="dxa"/>
            <w:tcBorders>
              <w:bottom w:val="double" w:color="auto" w:sz="4" w:space="0"/>
            </w:tcBorders>
            <w:noWrap w:val="0"/>
            <w:vAlign w:val="center"/>
          </w:tcPr>
          <w:p>
            <w:pPr>
              <w:widowControl w:val="0"/>
              <w:shd w:val="clear"/>
              <w:tabs>
                <w:tab w:val="left" w:pos="654"/>
                <w:tab w:val="left" w:pos="1734"/>
                <w:tab w:val="left" w:pos="2814"/>
                <w:tab w:val="left" w:pos="3894"/>
                <w:tab w:val="left" w:pos="5334"/>
                <w:tab w:val="left" w:pos="6414"/>
                <w:tab w:val="left" w:pos="7254"/>
                <w:tab w:val="left" w:pos="8574"/>
                <w:tab w:val="left" w:pos="9654"/>
              </w:tabs>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项目</w:t>
            </w:r>
            <w:r>
              <w:rPr>
                <w:rFonts w:hint="eastAsia" w:ascii="宋体" w:hAnsi="宋体" w:eastAsia="宋体" w:cs="宋体"/>
                <w:bCs/>
                <w:color w:val="auto"/>
                <w:sz w:val="21"/>
                <w:szCs w:val="21"/>
                <w:highlight w:val="none"/>
              </w:rPr>
              <w:t>名称</w:t>
            </w:r>
          </w:p>
        </w:tc>
        <w:tc>
          <w:tcPr>
            <w:tcW w:w="1950" w:type="dxa"/>
            <w:tcBorders>
              <w:bottom w:val="double" w:color="auto" w:sz="4" w:space="0"/>
            </w:tcBorders>
            <w:noWrap w:val="0"/>
            <w:vAlign w:val="center"/>
          </w:tcPr>
          <w:p>
            <w:pPr>
              <w:widowControl w:val="0"/>
              <w:shd w:val="clear"/>
              <w:tabs>
                <w:tab w:val="left" w:pos="654"/>
                <w:tab w:val="left" w:pos="1734"/>
                <w:tab w:val="left" w:pos="2814"/>
                <w:tab w:val="left" w:pos="3894"/>
                <w:tab w:val="left" w:pos="5334"/>
                <w:tab w:val="left" w:pos="6414"/>
                <w:tab w:val="left" w:pos="7254"/>
                <w:tab w:val="left" w:pos="8574"/>
                <w:tab w:val="left" w:pos="9654"/>
              </w:tabs>
              <w:adjustRightInd/>
              <w:snapToGrid/>
              <w:spacing w:line="360" w:lineRule="auto"/>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项目</w:t>
            </w:r>
            <w:r>
              <w:rPr>
                <w:rFonts w:hint="eastAsia" w:ascii="宋体" w:hAnsi="宋体" w:eastAsia="宋体" w:cs="宋体"/>
                <w:bCs/>
                <w:color w:val="auto"/>
                <w:sz w:val="21"/>
                <w:szCs w:val="21"/>
                <w:highlight w:val="none"/>
                <w:lang w:eastAsia="zh-CN"/>
              </w:rPr>
              <w:t>报价</w:t>
            </w:r>
          </w:p>
        </w:tc>
        <w:tc>
          <w:tcPr>
            <w:tcW w:w="3270" w:type="dxa"/>
            <w:tcBorders>
              <w:bottom w:val="double" w:color="auto" w:sz="4" w:space="0"/>
            </w:tcBorders>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bidi="ar-SA"/>
              </w:rPr>
              <w:t>服务期限</w:t>
            </w:r>
          </w:p>
        </w:tc>
        <w:tc>
          <w:tcPr>
            <w:tcW w:w="792" w:type="dxa"/>
            <w:tcBorders>
              <w:bottom w:val="double" w:color="auto" w:sz="4" w:space="0"/>
            </w:tcBorders>
            <w:noWrap w:val="0"/>
            <w:vAlign w:val="center"/>
          </w:tcPr>
          <w:p>
            <w:pPr>
              <w:widowControl w:val="0"/>
              <w:shd w:val="clear"/>
              <w:tabs>
                <w:tab w:val="left" w:pos="654"/>
                <w:tab w:val="left" w:pos="1734"/>
                <w:tab w:val="left" w:pos="2814"/>
                <w:tab w:val="left" w:pos="3894"/>
                <w:tab w:val="left" w:pos="5334"/>
                <w:tab w:val="left" w:pos="6414"/>
                <w:tab w:val="left" w:pos="7254"/>
                <w:tab w:val="left" w:pos="8574"/>
                <w:tab w:val="left" w:pos="9654"/>
              </w:tabs>
              <w:adjustRightInd/>
              <w:snapToGrid/>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66" w:hRule="atLeast"/>
          <w:jc w:val="center"/>
        </w:trPr>
        <w:tc>
          <w:tcPr>
            <w:tcW w:w="1069" w:type="dxa"/>
            <w:noWrap w:val="0"/>
            <w:vAlign w:val="center"/>
          </w:tcPr>
          <w:p>
            <w:pPr>
              <w:widowControl w:val="0"/>
              <w:shd w:val="clea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p>
        </w:tc>
        <w:tc>
          <w:tcPr>
            <w:tcW w:w="1916" w:type="dxa"/>
            <w:noWrap w:val="0"/>
            <w:vAlign w:val="center"/>
          </w:tcPr>
          <w:p>
            <w:pPr>
              <w:widowControl w:val="0"/>
              <w:shd w:val="clear"/>
              <w:autoSpaceDE w:val="0"/>
              <w:autoSpaceDN w:val="0"/>
              <w:adjustRightInd w:val="0"/>
              <w:spacing w:line="360" w:lineRule="auto"/>
              <w:jc w:val="center"/>
              <w:rPr>
                <w:rFonts w:hint="eastAsia" w:ascii="宋体" w:hAnsi="宋体" w:eastAsia="宋体" w:cs="宋体"/>
                <w:color w:val="auto"/>
                <w:kern w:val="2"/>
                <w:sz w:val="21"/>
                <w:szCs w:val="21"/>
                <w:highlight w:val="none"/>
                <w:lang w:val="en-US" w:eastAsia="zh-CN" w:bidi="ar-SA"/>
              </w:rPr>
            </w:pPr>
          </w:p>
        </w:tc>
        <w:tc>
          <w:tcPr>
            <w:tcW w:w="1950" w:type="dxa"/>
            <w:noWrap w:val="0"/>
            <w:vAlign w:val="center"/>
          </w:tcPr>
          <w:p>
            <w:pPr>
              <w:widowControl/>
              <w:shd w:val="clear"/>
              <w:adjustRightInd/>
              <w:snapToGrid/>
              <w:spacing w:line="36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小写：</w:t>
            </w:r>
          </w:p>
          <w:p>
            <w:pPr>
              <w:pStyle w:val="13"/>
              <w:shd w:val="clear"/>
              <w:ind w:left="0" w:leftChars="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bCs/>
                <w:color w:val="auto"/>
                <w:sz w:val="21"/>
                <w:szCs w:val="21"/>
                <w:highlight w:val="none"/>
                <w:lang w:val="en-US" w:eastAsia="zh-CN"/>
              </w:rPr>
              <w:t>大写：</w:t>
            </w:r>
          </w:p>
        </w:tc>
        <w:tc>
          <w:tcPr>
            <w:tcW w:w="3270" w:type="dxa"/>
            <w:noWrap w:val="0"/>
            <w:vAlign w:val="center"/>
          </w:tcPr>
          <w:p>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lang w:val="en-US" w:eastAsia="zh-CN" w:bidi="ar-SA"/>
              </w:rPr>
              <w:t>自</w:t>
            </w:r>
            <w:r>
              <w:rPr>
                <w:rFonts w:hint="eastAsia"/>
                <w:color w:val="auto"/>
                <w:highlight w:val="none"/>
                <w:lang w:val="en-US" w:eastAsia="zh-CN"/>
              </w:rPr>
              <w:t>合同签订之日起</w:t>
            </w:r>
            <w:r>
              <w:rPr>
                <w:rFonts w:hint="eastAsia" w:ascii="宋体" w:hAnsi="宋体" w:eastAsia="宋体" w:cs="宋体"/>
                <w:color w:val="auto"/>
                <w:sz w:val="21"/>
                <w:szCs w:val="21"/>
                <w:highlight w:val="none"/>
                <w:lang w:val="en-US" w:eastAsia="zh-CN" w:bidi="ar-SA"/>
              </w:rPr>
              <w:t>至2027年12月31日或完成本项目约定的所有次数评估检查工作</w:t>
            </w:r>
          </w:p>
        </w:tc>
        <w:tc>
          <w:tcPr>
            <w:tcW w:w="792" w:type="dxa"/>
            <w:noWrap w:val="0"/>
            <w:vAlign w:val="center"/>
          </w:tcPr>
          <w:p>
            <w:pPr>
              <w:widowControl w:val="0"/>
              <w:shd w:val="clear"/>
              <w:tabs>
                <w:tab w:val="left" w:pos="654"/>
                <w:tab w:val="left" w:pos="1734"/>
                <w:tab w:val="left" w:pos="2814"/>
                <w:tab w:val="left" w:pos="3894"/>
                <w:tab w:val="left" w:pos="5334"/>
                <w:tab w:val="left" w:pos="6414"/>
                <w:tab w:val="left" w:pos="7254"/>
                <w:tab w:val="left" w:pos="8574"/>
                <w:tab w:val="left" w:pos="9654"/>
              </w:tabs>
              <w:adjustRightInd/>
              <w:snapToGrid/>
              <w:spacing w:line="360" w:lineRule="auto"/>
              <w:jc w:val="center"/>
              <w:rPr>
                <w:rFonts w:hint="eastAsia" w:ascii="宋体" w:hAnsi="宋体" w:eastAsia="宋体" w:cs="宋体"/>
                <w:bCs/>
                <w:color w:val="auto"/>
                <w:sz w:val="21"/>
                <w:szCs w:val="21"/>
                <w:highlight w:val="none"/>
              </w:rPr>
            </w:pPr>
          </w:p>
        </w:tc>
      </w:tr>
    </w:tbl>
    <w:p>
      <w:pPr>
        <w:shd w:val="clear"/>
        <w:ind w:firstLine="359" w:firstLineChars="171"/>
        <w:rPr>
          <w:rFonts w:hint="eastAsia" w:ascii="宋体" w:hAnsi="宋体" w:eastAsia="宋体" w:cs="宋体"/>
          <w:color w:val="auto"/>
          <w:szCs w:val="21"/>
          <w:highlight w:val="none"/>
        </w:rPr>
      </w:pPr>
    </w:p>
    <w:p>
      <w:pPr>
        <w:shd w:val="clea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shd w:val="clea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shd w:val="clear"/>
        <w:ind w:firstLine="359" w:firstLineChars="171"/>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shd w:val="clear"/>
        <w:ind w:firstLine="359" w:firstLineChars="171"/>
        <w:rPr>
          <w:rFonts w:hint="eastAsia" w:ascii="宋体" w:hAnsi="宋体" w:eastAsia="宋体" w:cs="宋体"/>
          <w:color w:val="auto"/>
          <w:szCs w:val="21"/>
          <w:highlight w:val="none"/>
        </w:rPr>
      </w:pPr>
    </w:p>
    <w:p>
      <w:pPr>
        <w:shd w:val="clear"/>
        <w:ind w:left="391" w:hanging="390" w:hangingChars="186"/>
        <w:rPr>
          <w:rFonts w:hint="eastAsia" w:ascii="宋体" w:hAnsi="宋体" w:eastAsia="宋体" w:cs="宋体"/>
          <w:color w:val="auto"/>
          <w:highlight w:val="none"/>
        </w:rPr>
      </w:pPr>
      <w:r>
        <w:rPr>
          <w:rFonts w:hint="eastAsia" w:ascii="宋体" w:hAnsi="宋体" w:eastAsia="宋体" w:cs="宋体"/>
          <w:color w:val="auto"/>
          <w:szCs w:val="21"/>
          <w:highlight w:val="none"/>
        </w:rPr>
        <w:t xml:space="preserve">    注：</w:t>
      </w:r>
    </w:p>
    <w:p>
      <w:pPr>
        <w:numPr>
          <w:ilvl w:val="0"/>
          <w:numId w:val="11"/>
        </w:numPr>
        <w:shd w:val="clear"/>
        <w:ind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投标</w:t>
      </w:r>
      <w:r>
        <w:rPr>
          <w:rFonts w:hint="eastAsia" w:ascii="宋体" w:hAnsi="宋体" w:eastAsia="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rPr>
        <w:t>栏须用大写和小写两种方式表示的投标</w:t>
      </w:r>
      <w:r>
        <w:rPr>
          <w:rFonts w:hint="eastAsia" w:ascii="宋体" w:hAnsi="宋体" w:eastAsia="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rPr>
        <w:t>，报价保留小数点后两位。投标</w:t>
      </w:r>
      <w:r>
        <w:rPr>
          <w:rFonts w:hint="eastAsia" w:ascii="宋体" w:hAnsi="宋体" w:eastAsia="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rPr>
        <w:t>大小写不一致，以大写为准。投标</w:t>
      </w:r>
      <w:r>
        <w:rPr>
          <w:rFonts w:hint="eastAsia" w:ascii="宋体" w:hAnsi="宋体" w:eastAsia="宋体" w:cs="宋体"/>
          <w:b w:val="0"/>
          <w:bCs w:val="0"/>
          <w:color w:val="auto"/>
          <w:szCs w:val="21"/>
          <w:highlight w:val="none"/>
          <w:lang w:val="en-US" w:eastAsia="zh-CN"/>
        </w:rPr>
        <w:t>报价</w:t>
      </w:r>
      <w:r>
        <w:rPr>
          <w:rFonts w:hint="eastAsia" w:ascii="宋体" w:hAnsi="宋体" w:eastAsia="宋体" w:cs="宋体"/>
          <w:b w:val="0"/>
          <w:bCs w:val="0"/>
          <w:color w:val="auto"/>
          <w:szCs w:val="21"/>
          <w:highlight w:val="none"/>
        </w:rPr>
        <w:t>必须准确唯一且应包含采购文件要求的所有费用。</w:t>
      </w:r>
    </w:p>
    <w:p>
      <w:pPr>
        <w:shd w:val="clear"/>
        <w:ind w:firstLine="420" w:firstLineChars="200"/>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val="en-US" w:eastAsia="zh-CN"/>
        </w:rPr>
        <w:t>2</w:t>
      </w:r>
      <w:r>
        <w:rPr>
          <w:rFonts w:hint="eastAsia" w:ascii="宋体" w:hAnsi="宋体" w:eastAsia="宋体" w:cs="宋体"/>
          <w:b w:val="0"/>
          <w:bCs w:val="0"/>
          <w:color w:val="auto"/>
          <w:szCs w:val="21"/>
          <w:highlight w:val="none"/>
        </w:rPr>
        <w:t>、温馨提示：未按采购文件要求报价、填写开标一览表是导致投标人废标的常见问题，请投标人仔细填写，认真核对。</w:t>
      </w:r>
    </w:p>
    <w:p>
      <w:pPr>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shd w:val="clear"/>
        <w:rPr>
          <w:rFonts w:hint="eastAsia" w:ascii="宋体" w:hAnsi="宋体" w:eastAsia="宋体" w:cs="宋体"/>
          <w:color w:val="auto"/>
          <w:sz w:val="52"/>
          <w:szCs w:val="52"/>
          <w:highlight w:val="none"/>
        </w:rPr>
      </w:pPr>
    </w:p>
    <w:p>
      <w:pPr>
        <w:pStyle w:val="2"/>
        <w:shd w:val="clear"/>
        <w:spacing w:before="0" w:after="0" w:line="360" w:lineRule="auto"/>
        <w:jc w:val="center"/>
        <w:rPr>
          <w:rFonts w:hint="eastAsia" w:ascii="宋体" w:hAnsi="宋体" w:eastAsia="宋体" w:cs="宋体"/>
          <w:color w:val="auto"/>
          <w:sz w:val="72"/>
          <w:szCs w:val="72"/>
          <w:highlight w:val="none"/>
        </w:rPr>
      </w:pPr>
      <w:bookmarkStart w:id="156" w:name="_Toc25753"/>
      <w:r>
        <w:rPr>
          <w:rFonts w:hint="eastAsia" w:ascii="宋体" w:hAnsi="宋体" w:eastAsia="宋体" w:cs="宋体"/>
          <w:color w:val="auto"/>
          <w:sz w:val="72"/>
          <w:szCs w:val="72"/>
          <w:highlight w:val="none"/>
        </w:rPr>
        <w:t>商务文件</w:t>
      </w:r>
      <w:bookmarkEnd w:id="156"/>
    </w:p>
    <w:p>
      <w:pPr>
        <w:shd w:val="clea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pPr>
        <w:shd w:val="clear"/>
        <w:rPr>
          <w:rFonts w:hint="eastAsia" w:ascii="宋体" w:hAnsi="宋体" w:eastAsia="宋体" w:cs="宋体"/>
          <w:color w:val="auto"/>
          <w:highlight w:val="none"/>
        </w:rPr>
      </w:pPr>
    </w:p>
    <w:p>
      <w:pPr>
        <w:pStyle w:val="11"/>
        <w:shd w:val="clear"/>
        <w:rPr>
          <w:rFonts w:hint="eastAsia" w:ascii="宋体" w:hAnsi="宋体" w:eastAsia="宋体" w:cs="宋体"/>
          <w:color w:val="auto"/>
          <w:highlight w:val="none"/>
        </w:rPr>
      </w:pPr>
    </w:p>
    <w:p>
      <w:pPr>
        <w:pStyle w:val="10"/>
        <w:shd w:val="clear"/>
        <w:ind w:firstLine="240"/>
        <w:rPr>
          <w:rFonts w:hint="eastAsia" w:ascii="宋体" w:hAnsi="宋体" w:eastAsia="宋体" w:cs="宋体"/>
          <w:color w:val="auto"/>
          <w:highlight w:val="none"/>
        </w:rPr>
      </w:pPr>
    </w:p>
    <w:p>
      <w:pPr>
        <w:shd w:val="clear"/>
        <w:rPr>
          <w:rFonts w:hint="eastAsia" w:ascii="宋体" w:hAnsi="宋体" w:eastAsia="宋体" w:cs="宋体"/>
          <w:b/>
          <w:bCs/>
          <w:color w:val="auto"/>
          <w:spacing w:val="1"/>
          <w:w w:val="83"/>
          <w:kern w:val="0"/>
          <w:sz w:val="32"/>
          <w:szCs w:val="32"/>
          <w:highlight w:val="none"/>
          <w:fitText w:val="1600" w:id="7"/>
        </w:rPr>
      </w:pPr>
      <w:r>
        <w:rPr>
          <w:rFonts w:hint="eastAsia" w:ascii="宋体" w:hAnsi="宋体" w:eastAsia="宋体" w:cs="宋体"/>
          <w:b/>
          <w:bCs/>
          <w:color w:val="auto"/>
          <w:spacing w:val="0"/>
          <w:w w:val="100"/>
          <w:kern w:val="0"/>
          <w:sz w:val="32"/>
          <w:szCs w:val="32"/>
          <w:highlight w:val="none"/>
          <w:fitText w:val="1600" w:id="7"/>
        </w:rPr>
        <w:t>项目名称：</w:t>
      </w:r>
    </w:p>
    <w:p>
      <w:pPr>
        <w:shd w:val="clear"/>
        <w:rPr>
          <w:rFonts w:hint="eastAsia" w:ascii="宋体" w:hAnsi="宋体" w:eastAsia="宋体" w:cs="宋体"/>
          <w:b/>
          <w:bCs/>
          <w:color w:val="auto"/>
          <w:spacing w:val="1"/>
          <w:w w:val="83"/>
          <w:kern w:val="0"/>
          <w:sz w:val="32"/>
          <w:szCs w:val="32"/>
          <w:highlight w:val="none"/>
          <w:fitText w:val="1600" w:id="8"/>
        </w:rPr>
      </w:pPr>
      <w:r>
        <w:rPr>
          <w:rFonts w:hint="eastAsia" w:ascii="宋体" w:hAnsi="宋体" w:eastAsia="宋体" w:cs="宋体"/>
          <w:b/>
          <w:bCs/>
          <w:color w:val="auto"/>
          <w:spacing w:val="0"/>
          <w:w w:val="100"/>
          <w:kern w:val="0"/>
          <w:sz w:val="32"/>
          <w:szCs w:val="32"/>
          <w:highlight w:val="none"/>
          <w:fitText w:val="1600" w:id="8"/>
        </w:rPr>
        <w:t>项目编号：</w:t>
      </w:r>
    </w:p>
    <w:p>
      <w:pPr>
        <w:shd w:val="clear"/>
        <w:rPr>
          <w:rFonts w:hint="eastAsia" w:ascii="宋体" w:hAnsi="宋体" w:eastAsia="宋体" w:cs="宋体"/>
          <w:b/>
          <w:bCs/>
          <w:color w:val="auto"/>
          <w:spacing w:val="0"/>
          <w:w w:val="55"/>
          <w:kern w:val="0"/>
          <w:sz w:val="32"/>
          <w:szCs w:val="32"/>
          <w:highlight w:val="none"/>
          <w:fitText w:val="1600" w:id="9"/>
        </w:rPr>
      </w:pPr>
      <w:r>
        <w:rPr>
          <w:rFonts w:hint="eastAsia" w:ascii="宋体" w:hAnsi="宋体" w:eastAsia="宋体" w:cs="宋体"/>
          <w:b/>
          <w:bCs/>
          <w:color w:val="auto"/>
          <w:spacing w:val="1"/>
          <w:w w:val="62"/>
          <w:kern w:val="0"/>
          <w:sz w:val="32"/>
          <w:szCs w:val="32"/>
          <w:highlight w:val="none"/>
          <w:fitText w:val="1600" w:id="9"/>
          <w:lang w:val="en-US" w:bidi="ar-SA"/>
        </w:rPr>
        <w:t>包组号（如有）</w:t>
      </w:r>
      <w:r>
        <w:rPr>
          <w:rFonts w:hint="eastAsia" w:ascii="宋体" w:hAnsi="宋体" w:eastAsia="宋体" w:cs="宋体"/>
          <w:b/>
          <w:bCs/>
          <w:color w:val="auto"/>
          <w:spacing w:val="0"/>
          <w:w w:val="62"/>
          <w:kern w:val="0"/>
          <w:sz w:val="32"/>
          <w:szCs w:val="32"/>
          <w:highlight w:val="none"/>
          <w:fitText w:val="1600" w:id="9"/>
          <w:lang w:val="en-US" w:bidi="ar-SA"/>
        </w:rPr>
        <w:t>：</w:t>
      </w:r>
    </w:p>
    <w:p>
      <w:pPr>
        <w:shd w:val="clear"/>
        <w:rPr>
          <w:rFonts w:hint="eastAsia" w:ascii="宋体" w:hAnsi="宋体" w:eastAsia="宋体" w:cs="宋体"/>
          <w:b/>
          <w:bCs/>
          <w:color w:val="auto"/>
          <w:spacing w:val="3"/>
          <w:w w:val="71"/>
          <w:kern w:val="0"/>
          <w:sz w:val="32"/>
          <w:szCs w:val="32"/>
          <w:highlight w:val="none"/>
          <w:fitText w:val="1600" w:id="10"/>
        </w:rPr>
      </w:pPr>
      <w:r>
        <w:rPr>
          <w:rFonts w:hint="eastAsia" w:ascii="宋体" w:hAnsi="宋体" w:eastAsia="宋体" w:cs="宋体"/>
          <w:b/>
          <w:bCs/>
          <w:color w:val="auto"/>
          <w:spacing w:val="0"/>
          <w:w w:val="83"/>
          <w:kern w:val="0"/>
          <w:sz w:val="32"/>
          <w:szCs w:val="32"/>
          <w:highlight w:val="none"/>
          <w:fitText w:val="1600" w:id="10"/>
        </w:rPr>
        <w:t>投标人名称</w:t>
      </w:r>
      <w:r>
        <w:rPr>
          <w:rFonts w:hint="eastAsia" w:ascii="宋体" w:hAnsi="宋体" w:eastAsia="宋体" w:cs="宋体"/>
          <w:b/>
          <w:bCs/>
          <w:color w:val="auto"/>
          <w:spacing w:val="2"/>
          <w:w w:val="83"/>
          <w:kern w:val="0"/>
          <w:sz w:val="32"/>
          <w:szCs w:val="32"/>
          <w:highlight w:val="none"/>
          <w:fitText w:val="1600" w:id="10"/>
        </w:rPr>
        <w:t>：</w:t>
      </w:r>
    </w:p>
    <w:p>
      <w:pPr>
        <w:shd w:val="clear"/>
        <w:rPr>
          <w:rFonts w:hint="eastAsia" w:ascii="宋体" w:hAnsi="宋体" w:eastAsia="宋体" w:cs="宋体"/>
          <w:b/>
          <w:bCs/>
          <w:color w:val="auto"/>
          <w:spacing w:val="4"/>
          <w:w w:val="83"/>
          <w:kern w:val="0"/>
          <w:sz w:val="32"/>
          <w:szCs w:val="32"/>
          <w:highlight w:val="none"/>
          <w:fitText w:val="1600" w:id="11"/>
        </w:rPr>
      </w:pPr>
      <w:r>
        <w:rPr>
          <w:rFonts w:hint="eastAsia" w:ascii="宋体" w:hAnsi="宋体" w:eastAsia="宋体" w:cs="宋体"/>
          <w:b/>
          <w:bCs/>
          <w:color w:val="auto"/>
          <w:spacing w:val="0"/>
          <w:w w:val="100"/>
          <w:kern w:val="0"/>
          <w:sz w:val="32"/>
          <w:szCs w:val="32"/>
          <w:highlight w:val="none"/>
          <w:fitText w:val="1600" w:id="11"/>
        </w:rPr>
        <w:t>日    期：</w:t>
      </w:r>
    </w:p>
    <w:p>
      <w:pPr>
        <w:pStyle w:val="11"/>
        <w:shd w:val="clear"/>
        <w:rPr>
          <w:rFonts w:hint="eastAsia" w:ascii="宋体" w:hAnsi="宋体" w:eastAsia="宋体" w:cs="宋体"/>
          <w:b/>
          <w:color w:val="auto"/>
          <w:spacing w:val="1280"/>
          <w:w w:val="100"/>
          <w:kern w:val="0"/>
          <w:sz w:val="32"/>
          <w:szCs w:val="32"/>
          <w:highlight w:val="none"/>
          <w:fitText w:val="1600" w:id="12"/>
        </w:rPr>
      </w:pPr>
    </w:p>
    <w:p>
      <w:pPr>
        <w:pStyle w:val="10"/>
        <w:shd w:val="clear"/>
        <w:ind w:firstLine="321"/>
        <w:rPr>
          <w:rFonts w:hint="eastAsia" w:ascii="宋体" w:hAnsi="宋体" w:eastAsia="宋体" w:cs="宋体"/>
          <w:b/>
          <w:color w:val="auto"/>
          <w:spacing w:val="1280"/>
          <w:w w:val="100"/>
          <w:kern w:val="0"/>
          <w:sz w:val="32"/>
          <w:szCs w:val="32"/>
          <w:highlight w:val="none"/>
          <w:fitText w:val="1600" w:id="13"/>
        </w:rPr>
      </w:pPr>
    </w:p>
    <w:p>
      <w:pPr>
        <w:pStyle w:val="29"/>
        <w:shd w:val="clear"/>
        <w:rPr>
          <w:rFonts w:hint="eastAsia" w:ascii="宋体" w:hAnsi="宋体" w:eastAsia="宋体" w:cs="宋体"/>
          <w:b/>
          <w:color w:val="auto"/>
          <w:sz w:val="32"/>
          <w:szCs w:val="32"/>
          <w:highlight w:val="none"/>
        </w:rPr>
      </w:pPr>
    </w:p>
    <w:p>
      <w:pPr>
        <w:shd w:val="clear"/>
        <w:rPr>
          <w:rFonts w:hint="eastAsia" w:ascii="宋体" w:hAnsi="宋体" w:eastAsia="宋体" w:cs="宋体"/>
          <w:b/>
          <w:color w:val="auto"/>
          <w:sz w:val="32"/>
          <w:szCs w:val="32"/>
          <w:highlight w:val="none"/>
        </w:rPr>
      </w:pPr>
    </w:p>
    <w:p>
      <w:pPr>
        <w:pStyle w:val="11"/>
        <w:shd w:val="clear"/>
        <w:rPr>
          <w:rFonts w:hint="eastAsia" w:ascii="宋体" w:hAnsi="宋体" w:eastAsia="宋体" w:cs="宋体"/>
          <w:b/>
          <w:color w:val="auto"/>
          <w:sz w:val="32"/>
          <w:szCs w:val="32"/>
          <w:highlight w:val="none"/>
        </w:rPr>
      </w:pPr>
    </w:p>
    <w:p>
      <w:pPr>
        <w:shd w:val="clear"/>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shd w:val="clear"/>
        <w:overflowPunct w:val="0"/>
        <w:spacing w:line="240" w:lineRule="auto"/>
        <w:rPr>
          <w:rFonts w:hint="eastAsia" w:ascii="宋体" w:hAnsi="宋体" w:eastAsia="宋体" w:cs="宋体"/>
          <w:color w:val="auto"/>
          <w:highlight w:val="none"/>
        </w:rPr>
      </w:pPr>
      <w:bookmarkStart w:id="157" w:name="_Toc7416"/>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.投标书格式</w:t>
      </w:r>
      <w:bookmarkEnd w:id="157"/>
    </w:p>
    <w:p>
      <w:pPr>
        <w:shd w:val="clear"/>
        <w:jc w:val="center"/>
        <w:rPr>
          <w:rFonts w:hint="eastAsia" w:ascii="宋体" w:hAnsi="宋体" w:eastAsia="宋体" w:cs="宋体"/>
          <w:color w:val="auto"/>
          <w:szCs w:val="21"/>
          <w:highlight w:val="none"/>
        </w:rPr>
      </w:pPr>
      <w:r>
        <w:rPr>
          <w:rFonts w:hint="eastAsia" w:ascii="宋体" w:hAnsi="宋体" w:eastAsia="宋体" w:cs="宋体"/>
          <w:color w:val="auto"/>
          <w:sz w:val="32"/>
          <w:szCs w:val="32"/>
          <w:highlight w:val="none"/>
        </w:rPr>
        <w:t>投标书</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广西同泽工程项目管理股份有限公司</w:t>
      </w:r>
    </w:p>
    <w:p>
      <w:pPr>
        <w:shd w:val="clear"/>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根据贵方为</w:t>
      </w:r>
      <w:r>
        <w:rPr>
          <w:rFonts w:hint="eastAsia" w:ascii="宋体" w:hAnsi="宋体" w:eastAsia="宋体" w:cs="宋体"/>
          <w:color w:val="auto"/>
          <w:szCs w:val="21"/>
          <w:highlight w:val="none"/>
          <w:u w:val="single"/>
        </w:rPr>
        <w:t>（项目名称）（采购项目编号）</w:t>
      </w:r>
      <w:r>
        <w:rPr>
          <w:rFonts w:hint="eastAsia" w:ascii="宋体" w:hAnsi="宋体" w:eastAsia="宋体" w:cs="宋体"/>
          <w:color w:val="auto"/>
          <w:szCs w:val="21"/>
          <w:highlight w:val="none"/>
        </w:rPr>
        <w:t>项目采购公告/采购邀请，签字代表</w:t>
      </w:r>
      <w:r>
        <w:rPr>
          <w:rFonts w:hint="eastAsia" w:ascii="宋体" w:hAnsi="宋体" w:eastAsia="宋体" w:cs="宋体"/>
          <w:color w:val="auto"/>
          <w:szCs w:val="21"/>
          <w:highlight w:val="none"/>
          <w:u w:val="single"/>
        </w:rPr>
        <w:t>（姓名、职务）</w:t>
      </w:r>
      <w:r>
        <w:rPr>
          <w:rFonts w:hint="eastAsia" w:ascii="宋体" w:hAnsi="宋体" w:eastAsia="宋体" w:cs="宋体"/>
          <w:color w:val="auto"/>
          <w:szCs w:val="21"/>
          <w:highlight w:val="none"/>
        </w:rPr>
        <w:t>经正式授权并代表投标人</w:t>
      </w:r>
      <w:r>
        <w:rPr>
          <w:rFonts w:hint="eastAsia" w:ascii="宋体" w:hAnsi="宋体" w:eastAsia="宋体" w:cs="宋体"/>
          <w:color w:val="auto"/>
          <w:szCs w:val="21"/>
          <w:highlight w:val="none"/>
          <w:u w:val="single"/>
        </w:rPr>
        <w:t>（投标人名称、地址）</w:t>
      </w:r>
      <w:r>
        <w:rPr>
          <w:rFonts w:hint="eastAsia" w:ascii="宋体" w:hAnsi="宋体" w:eastAsia="宋体" w:cs="宋体"/>
          <w:color w:val="auto"/>
          <w:szCs w:val="21"/>
          <w:highlight w:val="none"/>
        </w:rPr>
        <w:t>提交投标文件及“唱标信封”：</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在此，签字代表宣布同意如下： </w:t>
      </w:r>
    </w:p>
    <w:p>
      <w:pPr>
        <w:widowControl w:val="0"/>
        <w:numPr>
          <w:ilvl w:val="0"/>
          <w:numId w:val="12"/>
        </w:numPr>
        <w:shd w:val="clear"/>
        <w:adjustRightInd/>
        <w:snapToGrid/>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我方将按采购文件的规定履行合同责任和义务。 </w:t>
      </w:r>
    </w:p>
    <w:p>
      <w:pPr>
        <w:widowControl w:val="0"/>
        <w:numPr>
          <w:ilvl w:val="0"/>
          <w:numId w:val="12"/>
        </w:numPr>
        <w:shd w:val="clear"/>
        <w:adjustRightInd/>
        <w:snapToGrid/>
        <w:jc w:val="both"/>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我方已完整阅读了本项目采购文件的所有内容（包括澄清，以及所有已提供的参考资料和有关附件），并完全理解上述文件所表达的意思，该项目递交投标文件时间截止后，我方承诺不再对上述文件内容进行异议。</w:t>
      </w:r>
    </w:p>
    <w:p>
      <w:pPr>
        <w:widowControl w:val="0"/>
        <w:numPr>
          <w:ilvl w:val="0"/>
          <w:numId w:val="12"/>
        </w:numPr>
        <w:shd w:val="clea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本投标有效期为自开标日起</w:t>
      </w:r>
      <w:r>
        <w:rPr>
          <w:rFonts w:hint="eastAsia" w:ascii="宋体" w:hAnsi="宋体" w:eastAsia="宋体" w:cs="宋体"/>
          <w:color w:val="auto"/>
          <w:szCs w:val="21"/>
          <w:highlight w:val="none"/>
          <w:u w:val="single"/>
        </w:rPr>
        <w:t>90</w:t>
      </w:r>
      <w:r>
        <w:rPr>
          <w:rFonts w:hint="eastAsia" w:ascii="宋体" w:hAnsi="宋体" w:eastAsia="宋体" w:cs="宋体"/>
          <w:color w:val="auto"/>
          <w:szCs w:val="21"/>
          <w:highlight w:val="none"/>
        </w:rPr>
        <w:t xml:space="preserve">个日历日。 </w:t>
      </w:r>
    </w:p>
    <w:p>
      <w:pPr>
        <w:widowControl w:val="0"/>
        <w:numPr>
          <w:ilvl w:val="0"/>
          <w:numId w:val="12"/>
        </w:numPr>
        <w:shd w:val="clea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我方保证遵守投标人须知中关于没收投标保证金的规定。</w:t>
      </w:r>
    </w:p>
    <w:p>
      <w:pPr>
        <w:widowControl w:val="0"/>
        <w:numPr>
          <w:ilvl w:val="0"/>
          <w:numId w:val="12"/>
        </w:numPr>
        <w:shd w:val="clea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我方承诺，与买方聘请的为此项目提供咨询服务的公司及任何附属机构均无关联，我方不是买方的附属机构。 </w:t>
      </w:r>
    </w:p>
    <w:p>
      <w:pPr>
        <w:widowControl w:val="0"/>
        <w:numPr>
          <w:ilvl w:val="0"/>
          <w:numId w:val="12"/>
        </w:numPr>
        <w:shd w:val="clea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承诺，我方具备投标人邀请中所要求的资格条件，已清楚采购文件所有要求及有关规定；并承诺参加本次采购活动中，如有违法、违规、弄虚作假行为，所造成的损失、不良后果及法律责任，一律由我方承担；</w:t>
      </w:r>
    </w:p>
    <w:p>
      <w:pPr>
        <w:widowControl w:val="0"/>
        <w:numPr>
          <w:ilvl w:val="0"/>
          <w:numId w:val="12"/>
        </w:numPr>
        <w:shd w:val="clear"/>
        <w:adjustRightInd/>
        <w:snapToGrid/>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我方同意提供按照贵方可能要求的与其投标有关的一切数据或资料。</w:t>
      </w:r>
    </w:p>
    <w:p>
      <w:pPr>
        <w:widowControl w:val="0"/>
        <w:numPr>
          <w:ilvl w:val="0"/>
          <w:numId w:val="12"/>
        </w:numPr>
        <w:shd w:val="clear"/>
        <w:adjustRightInd/>
        <w:snapToGrid/>
        <w:jc w:val="both"/>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与本投标有关的一切正式信函请寄：</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 电子邮箱：</w:t>
      </w:r>
    </w:p>
    <w:p>
      <w:pPr>
        <w:shd w:val="clea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电话/移动电话：</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投标人法定代表人（或其授权代表）签字： </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投标人名称（全称）： </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投标人盖章： </w:t>
      </w:r>
    </w:p>
    <w:p>
      <w:pPr>
        <w:shd w:val="clear"/>
        <w:rPr>
          <w:rFonts w:hint="eastAsia" w:ascii="宋体" w:hAnsi="宋体" w:eastAsia="宋体" w:cs="宋体"/>
          <w:color w:val="auto"/>
          <w:highlight w:val="none"/>
        </w:rPr>
      </w:pPr>
      <w:r>
        <w:rPr>
          <w:rFonts w:hint="eastAsia" w:ascii="宋体" w:hAnsi="宋体" w:eastAsia="宋体" w:cs="宋体"/>
          <w:color w:val="auto"/>
          <w:szCs w:val="21"/>
          <w:highlight w:val="none"/>
        </w:rPr>
        <w:t>日期：</w:t>
      </w:r>
      <w:r>
        <w:rPr>
          <w:rFonts w:hint="eastAsia" w:ascii="宋体" w:hAnsi="宋体" w:eastAsia="宋体" w:cs="宋体"/>
          <w:color w:val="auto"/>
          <w:highlight w:val="none"/>
        </w:rPr>
        <w:br w:type="page"/>
      </w:r>
    </w:p>
    <w:p>
      <w:pPr>
        <w:pStyle w:val="5"/>
        <w:widowControl w:val="0"/>
        <w:shd w:val="clear"/>
        <w:overflowPunct w:val="0"/>
        <w:spacing w:line="240" w:lineRule="auto"/>
        <w:outlineLvl w:val="3"/>
        <w:rPr>
          <w:rFonts w:hint="eastAsia" w:ascii="宋体" w:hAnsi="宋体" w:eastAsia="宋体" w:cs="宋体"/>
          <w:color w:val="auto"/>
          <w:sz w:val="21"/>
          <w:szCs w:val="21"/>
          <w:highlight w:val="none"/>
        </w:rPr>
      </w:pPr>
      <w:bookmarkStart w:id="158" w:name="_Toc2520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.法定代表人证明书格式</w:t>
      </w:r>
      <w:bookmarkEnd w:id="158"/>
    </w:p>
    <w:p>
      <w:pPr>
        <w:shd w:val="clear"/>
        <w:rPr>
          <w:rFonts w:hint="eastAsia" w:ascii="宋体" w:hAnsi="宋体" w:eastAsia="宋体" w:cs="宋体"/>
          <w:color w:val="auto"/>
          <w:highlight w:val="none"/>
        </w:rPr>
      </w:pPr>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法定代表人证明书</w:t>
      </w:r>
    </w:p>
    <w:p>
      <w:pPr>
        <w:pStyle w:val="53"/>
        <w:shd w:val="clear"/>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致：广西同泽工程项目管理股份有限公司</w:t>
      </w:r>
    </w:p>
    <w:p>
      <w:pPr>
        <w:pStyle w:val="53"/>
        <w:shd w:val="clear"/>
        <w:spacing w:line="420" w:lineRule="atLeast"/>
        <w:ind w:firstLine="433"/>
        <w:rPr>
          <w:rFonts w:hint="eastAsia" w:ascii="宋体" w:hAnsi="宋体" w:eastAsia="宋体" w:cs="宋体"/>
          <w:color w:val="auto"/>
          <w:sz w:val="21"/>
          <w:szCs w:val="21"/>
          <w:highlight w:val="none"/>
        </w:rPr>
      </w:pPr>
    </w:p>
    <w:p>
      <w:pPr>
        <w:pStyle w:val="53"/>
        <w:shd w:val="clear"/>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投标人名称:</w:t>
      </w:r>
    </w:p>
    <w:p>
      <w:pPr>
        <w:pStyle w:val="53"/>
        <w:shd w:val="clear"/>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单 位 性质：</w:t>
      </w:r>
    </w:p>
    <w:p>
      <w:pPr>
        <w:pStyle w:val="53"/>
        <w:shd w:val="clear"/>
        <w:spacing w:line="420" w:lineRule="atLeast"/>
        <w:ind w:firstLine="433"/>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地      址：</w:t>
      </w:r>
    </w:p>
    <w:p>
      <w:pPr>
        <w:pStyle w:val="53"/>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 立 时间：年月日</w:t>
      </w:r>
    </w:p>
    <w:p>
      <w:pPr>
        <w:pStyle w:val="53"/>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经 营 期限：</w:t>
      </w:r>
    </w:p>
    <w:p>
      <w:pPr>
        <w:pStyle w:val="53"/>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姓名：性别：年龄：职务：</w:t>
      </w:r>
    </w:p>
    <w:p>
      <w:pPr>
        <w:pStyle w:val="53"/>
        <w:shd w:val="clear"/>
        <w:spacing w:line="42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系（投标人名称）的法定代表人。</w:t>
      </w:r>
    </w:p>
    <w:p>
      <w:pPr>
        <w:shd w:val="clear"/>
        <w:spacing w:line="420" w:lineRule="atLeas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特此证明。</w:t>
      </w:r>
    </w:p>
    <w:p>
      <w:pPr>
        <w:pStyle w:val="53"/>
        <w:shd w:val="clear"/>
        <w:spacing w:line="500" w:lineRule="atLeast"/>
        <w:ind w:firstLine="3517" w:firstLineChars="1675"/>
        <w:rPr>
          <w:rFonts w:hint="eastAsia" w:ascii="宋体" w:hAnsi="宋体" w:eastAsia="宋体" w:cs="宋体"/>
          <w:color w:val="auto"/>
          <w:sz w:val="21"/>
          <w:szCs w:val="21"/>
          <w:highlight w:val="none"/>
        </w:rPr>
      </w:pP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法定代表人（签名或盖私章）：</w:t>
      </w: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法定代表人联系方式：</w:t>
      </w:r>
    </w:p>
    <w:p>
      <w:pPr>
        <w:pStyle w:val="53"/>
        <w:shd w:val="clear"/>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身份证号码：</w:t>
      </w:r>
    </w:p>
    <w:p>
      <w:pPr>
        <w:pStyle w:val="53"/>
        <w:shd w:val="clear"/>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shd w:val="clear"/>
        <w:ind w:firstLine="420" w:firstLineChars="200"/>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注：法定代表人身份证明书需附法人代表身份证复印件。</w:t>
      </w:r>
    </w:p>
    <w:tbl>
      <w:tblPr>
        <w:tblStyle w:val="43"/>
        <w:tblW w:w="83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182"/>
        <w:gridCol w:w="418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517" w:hRule="atLeast"/>
          <w:jc w:val="center"/>
        </w:trPr>
        <w:tc>
          <w:tcPr>
            <w:tcW w:w="4182" w:type="dxa"/>
            <w:vAlign w:val="center"/>
          </w:tcPr>
          <w:p>
            <w:pPr>
              <w:pStyle w:val="53"/>
              <w:shd w:val="clear"/>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182" w:type="dxa"/>
            <w:vAlign w:val="center"/>
          </w:tcPr>
          <w:p>
            <w:pPr>
              <w:pStyle w:val="53"/>
              <w:shd w:val="clear"/>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pPr>
        <w:shd w:val="clear"/>
        <w:rPr>
          <w:rFonts w:hint="eastAsia" w:ascii="宋体" w:hAnsi="宋体" w:eastAsia="宋体" w:cs="宋体"/>
          <w:color w:val="auto"/>
          <w:highlight w:val="none"/>
        </w:rPr>
      </w:pPr>
    </w:p>
    <w:p>
      <w:pPr>
        <w:shd w:val="clear"/>
        <w:adjustRightInd/>
        <w:snapToGrid/>
        <w:spacing w:line="276" w:lineRule="auto"/>
        <w:rPr>
          <w:rFonts w:hint="eastAsia" w:ascii="宋体" w:hAnsi="宋体" w:eastAsia="宋体" w:cs="宋体"/>
          <w:b/>
          <w:bCs/>
          <w:color w:val="auto"/>
          <w:sz w:val="24"/>
          <w:szCs w:val="28"/>
          <w:highlight w:val="none"/>
        </w:rPr>
      </w:pPr>
      <w:r>
        <w:rPr>
          <w:rFonts w:hint="eastAsia" w:ascii="宋体" w:hAnsi="宋体" w:eastAsia="宋体" w:cs="宋体"/>
          <w:color w:val="auto"/>
          <w:sz w:val="24"/>
          <w:highlight w:val="none"/>
        </w:rPr>
        <w:br w:type="page"/>
      </w:r>
    </w:p>
    <w:p>
      <w:pPr>
        <w:pStyle w:val="5"/>
        <w:widowControl w:val="0"/>
        <w:shd w:val="clear"/>
        <w:overflowPunct w:val="0"/>
        <w:spacing w:line="240" w:lineRule="auto"/>
        <w:rPr>
          <w:rFonts w:hint="eastAsia" w:ascii="宋体" w:hAnsi="宋体" w:eastAsia="宋体" w:cs="宋体"/>
          <w:color w:val="auto"/>
          <w:highlight w:val="none"/>
        </w:rPr>
      </w:pPr>
      <w:bookmarkStart w:id="159" w:name="_Toc17875"/>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.法定代表人授权书格式</w:t>
      </w:r>
      <w:bookmarkEnd w:id="159"/>
    </w:p>
    <w:p>
      <w:pPr>
        <w:shd w:val="clear"/>
        <w:rPr>
          <w:rFonts w:hint="eastAsia" w:ascii="宋体" w:hAnsi="宋体" w:eastAsia="宋体" w:cs="宋体"/>
          <w:color w:val="auto"/>
          <w:highlight w:val="none"/>
        </w:rPr>
      </w:pPr>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法定代表人授权书</w:t>
      </w:r>
    </w:p>
    <w:p>
      <w:pPr>
        <w:pStyle w:val="53"/>
        <w:shd w:val="clear"/>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致：广西同泽工程项目管理股份有限公司</w:t>
      </w:r>
    </w:p>
    <w:p>
      <w:pPr>
        <w:pStyle w:val="53"/>
        <w:shd w:val="clear"/>
        <w:spacing w:line="420" w:lineRule="atLeast"/>
        <w:ind w:firstLine="433"/>
        <w:rPr>
          <w:rFonts w:hint="eastAsia" w:ascii="宋体" w:hAnsi="宋体" w:eastAsia="宋体" w:cs="宋体"/>
          <w:color w:val="auto"/>
          <w:sz w:val="21"/>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本授权书声明：注册于</w:t>
      </w:r>
      <w:r>
        <w:rPr>
          <w:rFonts w:hint="eastAsia" w:ascii="宋体" w:hAnsi="宋体" w:eastAsia="宋体" w:cs="宋体"/>
          <w:color w:val="auto"/>
          <w:szCs w:val="21"/>
          <w:highlight w:val="none"/>
          <w:u w:val="single"/>
        </w:rPr>
        <w:t>（国家或地区的名称）</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（法定代表人姓名、职务）</w:t>
      </w:r>
      <w:r>
        <w:rPr>
          <w:rFonts w:hint="eastAsia" w:ascii="宋体" w:hAnsi="宋体" w:eastAsia="宋体" w:cs="宋体"/>
          <w:color w:val="auto"/>
          <w:szCs w:val="21"/>
          <w:highlight w:val="none"/>
        </w:rPr>
        <w:t>代表本单位授权</w:t>
      </w:r>
      <w:r>
        <w:rPr>
          <w:rFonts w:hint="eastAsia" w:ascii="宋体" w:hAnsi="宋体" w:eastAsia="宋体" w:cs="宋体"/>
          <w:color w:val="auto"/>
          <w:szCs w:val="21"/>
          <w:highlight w:val="none"/>
          <w:u w:val="single"/>
        </w:rPr>
        <w:t>（单位名称）</w:t>
      </w:r>
      <w:r>
        <w:rPr>
          <w:rFonts w:hint="eastAsia" w:ascii="宋体" w:hAnsi="宋体" w:eastAsia="宋体" w:cs="宋体"/>
          <w:color w:val="auto"/>
          <w:szCs w:val="21"/>
          <w:highlight w:val="none"/>
        </w:rPr>
        <w:t>的在下面签字的</w:t>
      </w:r>
      <w:r>
        <w:rPr>
          <w:rFonts w:hint="eastAsia" w:ascii="宋体" w:hAnsi="宋体" w:eastAsia="宋体" w:cs="宋体"/>
          <w:color w:val="auto"/>
          <w:szCs w:val="21"/>
          <w:highlight w:val="none"/>
          <w:u w:val="single"/>
        </w:rPr>
        <w:t>（被授权人的姓名、职务）</w:t>
      </w:r>
      <w:r>
        <w:rPr>
          <w:rFonts w:hint="eastAsia" w:ascii="宋体" w:hAnsi="宋体" w:eastAsia="宋体" w:cs="宋体"/>
          <w:color w:val="auto"/>
          <w:szCs w:val="21"/>
          <w:highlight w:val="none"/>
        </w:rPr>
        <w:t>为本单位的合法代理人，就</w:t>
      </w:r>
      <w:r>
        <w:rPr>
          <w:rFonts w:hint="eastAsia" w:ascii="宋体" w:hAnsi="宋体" w:eastAsia="宋体" w:cs="宋体"/>
          <w:color w:val="auto"/>
          <w:szCs w:val="21"/>
          <w:highlight w:val="none"/>
          <w:u w:val="single"/>
        </w:rPr>
        <w:t>（项目名称）</w:t>
      </w:r>
      <w:r>
        <w:rPr>
          <w:rFonts w:hint="eastAsia" w:ascii="宋体" w:hAnsi="宋体" w:eastAsia="宋体" w:cs="宋体"/>
          <w:color w:val="auto"/>
          <w:szCs w:val="21"/>
          <w:highlight w:val="none"/>
        </w:rPr>
        <w:t>投标及参加项目谈判，以本单位名义处理一切与之有关的事务。</w:t>
      </w:r>
    </w:p>
    <w:p>
      <w:pPr>
        <w:shd w:val="clear"/>
        <w:ind w:firstLine="315" w:firstLineChars="15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本授权书于年月日签字生效，特此声明。</w:t>
      </w:r>
    </w:p>
    <w:p>
      <w:pPr>
        <w:pStyle w:val="53"/>
        <w:shd w:val="clear"/>
        <w:spacing w:line="500" w:lineRule="atLeast"/>
        <w:ind w:firstLine="3517" w:firstLineChars="1675"/>
        <w:rPr>
          <w:rFonts w:hint="eastAsia" w:ascii="宋体" w:hAnsi="宋体" w:eastAsia="宋体" w:cs="宋体"/>
          <w:color w:val="auto"/>
          <w:sz w:val="21"/>
          <w:szCs w:val="21"/>
          <w:highlight w:val="none"/>
        </w:rPr>
      </w:pP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53"/>
        <w:shd w:val="clear"/>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法定代表人签字（签名或盖私章）：</w:t>
      </w: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被授权人签字：</w:t>
      </w:r>
    </w:p>
    <w:p>
      <w:pPr>
        <w:pStyle w:val="53"/>
        <w:shd w:val="clear"/>
        <w:spacing w:line="500" w:lineRule="atLeast"/>
        <w:ind w:firstLine="3517" w:firstLineChars="1675"/>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职务：</w:t>
      </w: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移动电话： </w:t>
      </w: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详细通讯地址：</w:t>
      </w:r>
    </w:p>
    <w:p>
      <w:pPr>
        <w:pStyle w:val="53"/>
        <w:shd w:val="clear"/>
        <w:spacing w:line="500" w:lineRule="atLeast"/>
        <w:ind w:firstLine="3517" w:firstLineChars="167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邮箱：                          </w:t>
      </w:r>
    </w:p>
    <w:p>
      <w:pPr>
        <w:pStyle w:val="53"/>
        <w:shd w:val="clear"/>
        <w:spacing w:line="500" w:lineRule="atLeast"/>
        <w:ind w:firstLine="3507" w:firstLineChars="16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  年  月  日</w:t>
      </w:r>
    </w:p>
    <w:p>
      <w:pPr>
        <w:pStyle w:val="53"/>
        <w:shd w:val="clear"/>
        <w:spacing w:line="460" w:lineRule="exact"/>
        <w:ind w:firstLine="433"/>
        <w:rPr>
          <w:rFonts w:hint="eastAsia" w:ascii="宋体" w:hAnsi="宋体" w:eastAsia="宋体" w:cs="宋体"/>
          <w:color w:val="auto"/>
          <w:sz w:val="21"/>
          <w:szCs w:val="21"/>
          <w:highlight w:val="none"/>
        </w:rPr>
      </w:pP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须附：被授权人身份证复印件。</w:t>
      </w:r>
    </w:p>
    <w:tbl>
      <w:tblPr>
        <w:tblStyle w:val="43"/>
        <w:tblW w:w="8464" w:type="dxa"/>
        <w:jc w:val="center"/>
        <w:tblInd w:w="0"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4232"/>
        <w:gridCol w:w="4232"/>
      </w:tblGrid>
      <w:tr>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Ex>
        <w:trPr>
          <w:trHeight w:val="2661" w:hRule="atLeast"/>
          <w:jc w:val="center"/>
        </w:trPr>
        <w:tc>
          <w:tcPr>
            <w:tcW w:w="4232" w:type="dxa"/>
            <w:vAlign w:val="center"/>
          </w:tcPr>
          <w:p>
            <w:pPr>
              <w:pStyle w:val="53"/>
              <w:shd w:val="clear"/>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正面</w:t>
            </w:r>
          </w:p>
        </w:tc>
        <w:tc>
          <w:tcPr>
            <w:tcW w:w="4232" w:type="dxa"/>
            <w:vAlign w:val="center"/>
          </w:tcPr>
          <w:p>
            <w:pPr>
              <w:pStyle w:val="53"/>
              <w:shd w:val="clear"/>
              <w:spacing w:line="460" w:lineRule="exact"/>
              <w:ind w:firstLine="0" w:firstLineChars="0"/>
              <w:jc w:val="center"/>
              <w:rPr>
                <w:rFonts w:hint="eastAsia" w:ascii="宋体" w:hAnsi="宋体" w:eastAsia="宋体" w:cs="宋体"/>
                <w:color w:val="auto"/>
                <w:sz w:val="22"/>
                <w:highlight w:val="none"/>
              </w:rPr>
            </w:pPr>
            <w:r>
              <w:rPr>
                <w:rFonts w:hint="eastAsia" w:ascii="宋体" w:hAnsi="宋体" w:eastAsia="宋体" w:cs="宋体"/>
                <w:color w:val="auto"/>
                <w:sz w:val="22"/>
                <w:highlight w:val="none"/>
              </w:rPr>
              <w:t>背面</w:t>
            </w:r>
          </w:p>
        </w:tc>
      </w:tr>
    </w:tbl>
    <w:p>
      <w:pPr>
        <w:shd w:val="clear"/>
        <w:adjustRightInd/>
        <w:snapToGrid/>
        <w:spacing w:line="276" w:lineRule="auto"/>
        <w:rPr>
          <w:rFonts w:hint="eastAsia" w:ascii="宋体" w:hAnsi="宋体" w:eastAsia="宋体" w:cs="宋体"/>
          <w:color w:val="auto"/>
          <w:highlight w:val="none"/>
        </w:rPr>
      </w:pPr>
      <w:bookmarkStart w:id="160" w:name="_Toc22486"/>
      <w:r>
        <w:rPr>
          <w:rFonts w:hint="eastAsia" w:ascii="宋体" w:hAnsi="宋体" w:eastAsia="宋体" w:cs="宋体"/>
          <w:color w:val="auto"/>
          <w:szCs w:val="21"/>
          <w:highlight w:val="none"/>
        </w:rPr>
        <w:br w:type="page"/>
      </w:r>
    </w:p>
    <w:p>
      <w:pPr>
        <w:pStyle w:val="5"/>
        <w:widowControl w:val="0"/>
        <w:shd w:val="clear"/>
        <w:overflowPunct w:val="0"/>
        <w:spacing w:line="240" w:lineRule="auto"/>
        <w:rPr>
          <w:rFonts w:hint="eastAsia" w:ascii="宋体" w:hAnsi="宋体" w:eastAsia="宋体" w:cs="宋体"/>
          <w:color w:val="auto"/>
          <w:sz w:val="21"/>
          <w:szCs w:val="21"/>
          <w:highlight w:val="none"/>
        </w:rPr>
      </w:pPr>
      <w:bookmarkStart w:id="161" w:name="_Toc1667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.资格申明</w:t>
      </w:r>
      <w:bookmarkEnd w:id="161"/>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资格申明</w:t>
      </w:r>
    </w:p>
    <w:p>
      <w:pPr>
        <w:pStyle w:val="53"/>
        <w:shd w:val="clear"/>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广西同泽工程项目管理股份有限公司 </w:t>
      </w:r>
      <w:r>
        <w:rPr>
          <w:rFonts w:hint="eastAsia" w:ascii="宋体" w:hAnsi="宋体" w:eastAsia="宋体" w:cs="宋体"/>
          <w:color w:val="auto"/>
          <w:sz w:val="21"/>
          <w:szCs w:val="21"/>
          <w:highlight w:val="none"/>
        </w:rPr>
        <w:t>：</w:t>
      </w:r>
    </w:p>
    <w:p>
      <w:pPr>
        <w:shd w:val="clear"/>
        <w:ind w:firstLine="420" w:firstLineChars="200"/>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我方愿响应贵方关于（项目名称：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）的投标邀请，参与投标，提供用户需求书中规定的货物及相关服务，并按采购文件要求提交所附资格文件且声明和保证如下：</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一、我方具备投标人邀请中所要求得资格条件，已清楚采购文件所有要求及有关规定；并承诺参加本次采购活动中，如有违法、违规、弄虚作假行为，所造成的损失、不良后果及法律责任，一律由我方承担；</w:t>
      </w: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二、我方依法注册，在法律上、财务上和运作上完全独立于</w:t>
      </w:r>
      <w:r>
        <w:rPr>
          <w:rFonts w:hint="eastAsia" w:ascii="宋体" w:hAnsi="宋体" w:eastAsia="宋体" w:cs="宋体"/>
          <w:color w:val="auto"/>
          <w:szCs w:val="21"/>
          <w:highlight w:val="none"/>
          <w:u w:val="single"/>
        </w:rPr>
        <w:t xml:space="preserve">  xxxx   </w:t>
      </w:r>
      <w:r>
        <w:rPr>
          <w:rFonts w:hint="eastAsia" w:ascii="宋体" w:hAnsi="宋体" w:eastAsia="宋体" w:cs="宋体"/>
          <w:color w:val="auto"/>
          <w:szCs w:val="21"/>
          <w:highlight w:val="none"/>
        </w:rPr>
        <w:t>公司（采购人）及</w:t>
      </w:r>
      <w:r>
        <w:rPr>
          <w:rFonts w:hint="eastAsia" w:ascii="宋体" w:hAnsi="宋体" w:eastAsia="宋体" w:cs="宋体"/>
          <w:color w:val="auto"/>
          <w:szCs w:val="21"/>
          <w:highlight w:val="none"/>
          <w:u w:val="single"/>
        </w:rPr>
        <w:t xml:space="preserve">    xxx   </w:t>
      </w:r>
      <w:r>
        <w:rPr>
          <w:rFonts w:hint="eastAsia" w:ascii="宋体" w:hAnsi="宋体" w:eastAsia="宋体" w:cs="宋体"/>
          <w:color w:val="auto"/>
          <w:szCs w:val="21"/>
          <w:highlight w:val="none"/>
        </w:rPr>
        <w:t>公司（采购代理机构）。</w:t>
      </w:r>
    </w:p>
    <w:p>
      <w:pPr>
        <w:pStyle w:val="53"/>
        <w:shd w:val="clear"/>
        <w:spacing w:line="500" w:lineRule="atLeast"/>
        <w:ind w:firstLine="3517" w:firstLineChars="1675"/>
        <w:rPr>
          <w:rFonts w:hint="eastAsia" w:ascii="宋体" w:hAnsi="宋体" w:eastAsia="宋体" w:cs="宋体"/>
          <w:color w:val="auto"/>
          <w:sz w:val="21"/>
          <w:szCs w:val="21"/>
          <w:highlight w:val="none"/>
        </w:rPr>
      </w:pPr>
    </w:p>
    <w:p>
      <w:pPr>
        <w:pStyle w:val="53"/>
        <w:shd w:val="clear"/>
        <w:spacing w:line="500" w:lineRule="atLeast"/>
        <w:ind w:firstLine="3517" w:firstLineChars="1675"/>
        <w:rPr>
          <w:rFonts w:hint="eastAsia" w:ascii="宋体" w:hAnsi="宋体" w:eastAsia="宋体" w:cs="宋体"/>
          <w:color w:val="auto"/>
          <w:sz w:val="21"/>
          <w:szCs w:val="21"/>
          <w:highlight w:val="none"/>
        </w:rPr>
      </w:pPr>
    </w:p>
    <w:p>
      <w:pPr>
        <w:pStyle w:val="53"/>
        <w:shd w:val="clear"/>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投标人名称（加盖公章）：</w:t>
      </w:r>
    </w:p>
    <w:p>
      <w:pPr>
        <w:pStyle w:val="53"/>
        <w:shd w:val="clear"/>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法定代表人签字（签名或盖私章）：</w:t>
      </w:r>
    </w:p>
    <w:p>
      <w:pPr>
        <w:pStyle w:val="53"/>
        <w:shd w:val="clear"/>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日     期：年月日</w:t>
      </w:r>
    </w:p>
    <w:p>
      <w:pPr>
        <w:pStyle w:val="53"/>
        <w:shd w:val="clear"/>
        <w:spacing w:line="500" w:lineRule="atLeas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pPr>
        <w:pStyle w:val="5"/>
        <w:widowControl w:val="0"/>
        <w:shd w:val="clear"/>
        <w:overflowPunct w:val="0"/>
        <w:spacing w:line="240" w:lineRule="auto"/>
        <w:rPr>
          <w:rFonts w:hint="eastAsia" w:ascii="宋体" w:hAnsi="宋体" w:eastAsia="宋体" w:cs="宋体"/>
          <w:color w:val="auto"/>
          <w:sz w:val="21"/>
          <w:szCs w:val="21"/>
          <w:highlight w:val="none"/>
        </w:rPr>
      </w:pPr>
      <w:bookmarkStart w:id="162" w:name="_Toc23638"/>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.营业执照</w:t>
      </w:r>
      <w:bookmarkEnd w:id="162"/>
    </w:p>
    <w:p>
      <w:pPr>
        <w:shd w:val="clear"/>
        <w:jc w:val="center"/>
        <w:rPr>
          <w:rFonts w:hint="eastAsia" w:ascii="宋体" w:hAnsi="宋体" w:eastAsia="宋体" w:cs="宋体"/>
          <w:color w:val="auto"/>
          <w:sz w:val="28"/>
          <w:szCs w:val="28"/>
          <w:highlight w:val="none"/>
        </w:rPr>
      </w:pPr>
      <w:bookmarkStart w:id="163" w:name="_Toc5919"/>
      <w:bookmarkStart w:id="164" w:name="_Toc24210"/>
      <w:bookmarkStart w:id="165" w:name="_Toc1511"/>
      <w:bookmarkStart w:id="166" w:name="_Toc17470"/>
      <w:bookmarkStart w:id="167" w:name="_Toc4926"/>
      <w:r>
        <w:rPr>
          <w:rFonts w:hint="eastAsia" w:ascii="宋体" w:hAnsi="宋体" w:eastAsia="宋体" w:cs="宋体"/>
          <w:color w:val="auto"/>
          <w:sz w:val="28"/>
          <w:szCs w:val="28"/>
          <w:highlight w:val="none"/>
        </w:rPr>
        <w:t>营业执照</w:t>
      </w:r>
      <w:bookmarkEnd w:id="163"/>
      <w:bookmarkEnd w:id="164"/>
      <w:bookmarkEnd w:id="165"/>
      <w:bookmarkEnd w:id="166"/>
      <w:bookmarkEnd w:id="167"/>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pStyle w:val="5"/>
        <w:widowControl w:val="0"/>
        <w:shd w:val="clear"/>
        <w:overflowPunct w:val="0"/>
        <w:spacing w:line="240" w:lineRule="auto"/>
        <w:rPr>
          <w:rFonts w:hint="eastAsia" w:ascii="宋体" w:hAnsi="宋体" w:eastAsia="宋体" w:cs="宋体"/>
          <w:color w:val="auto"/>
          <w:sz w:val="21"/>
          <w:szCs w:val="21"/>
          <w:highlight w:val="none"/>
        </w:rPr>
      </w:pPr>
      <w:bookmarkStart w:id="168" w:name="_Toc11223"/>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.相关资质证明文件</w:t>
      </w:r>
      <w:bookmarkEnd w:id="168"/>
    </w:p>
    <w:p>
      <w:pPr>
        <w:shd w:val="clear"/>
        <w:rPr>
          <w:rFonts w:hint="eastAsia" w:ascii="宋体" w:hAnsi="宋体" w:eastAsia="宋体" w:cs="宋体"/>
          <w:color w:val="auto"/>
          <w:highlight w:val="none"/>
        </w:rPr>
      </w:pPr>
    </w:p>
    <w:p>
      <w:pPr>
        <w:shd w:val="clear"/>
        <w:jc w:val="center"/>
        <w:rPr>
          <w:rFonts w:hint="eastAsia" w:ascii="宋体" w:hAnsi="宋体" w:eastAsia="宋体" w:cs="宋体"/>
          <w:color w:val="auto"/>
          <w:sz w:val="28"/>
          <w:szCs w:val="28"/>
          <w:highlight w:val="none"/>
        </w:rPr>
      </w:pPr>
      <w:bookmarkStart w:id="169" w:name="_Toc16233"/>
      <w:bookmarkStart w:id="170" w:name="_Toc16698"/>
      <w:bookmarkStart w:id="171" w:name="_Toc30307"/>
      <w:bookmarkStart w:id="172" w:name="_Toc13458"/>
      <w:bookmarkStart w:id="173" w:name="_Toc9592"/>
      <w:r>
        <w:rPr>
          <w:rFonts w:hint="eastAsia" w:ascii="宋体" w:hAnsi="宋体" w:eastAsia="宋体" w:cs="宋体"/>
          <w:color w:val="auto"/>
          <w:sz w:val="28"/>
          <w:szCs w:val="28"/>
          <w:highlight w:val="none"/>
        </w:rPr>
        <w:t>相关资质证明文件</w:t>
      </w:r>
      <w:bookmarkEnd w:id="160"/>
      <w:bookmarkEnd w:id="169"/>
      <w:bookmarkEnd w:id="170"/>
      <w:bookmarkEnd w:id="171"/>
      <w:bookmarkEnd w:id="172"/>
      <w:bookmarkEnd w:id="173"/>
    </w:p>
    <w:p>
      <w:pPr>
        <w:numPr>
          <w:ilvl w:val="0"/>
          <w:numId w:val="13"/>
        </w:numPr>
        <w:shd w:val="clea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符合投标邀请书“投标人资格要求”其他要求对应的证明文件；</w:t>
      </w:r>
    </w:p>
    <w:p>
      <w:pPr>
        <w:numPr>
          <w:ilvl w:val="0"/>
          <w:numId w:val="13"/>
        </w:numPr>
        <w:shd w:val="clear"/>
        <w:tabs>
          <w:tab w:val="left" w:pos="1680"/>
        </w:tabs>
        <w:jc w:val="both"/>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投标人认为必要的文件。</w:t>
      </w:r>
      <w:r>
        <w:rPr>
          <w:rFonts w:hint="eastAsia" w:ascii="宋体" w:hAnsi="宋体" w:eastAsia="宋体" w:cs="宋体"/>
          <w:b/>
          <w:bCs/>
          <w:color w:val="auto"/>
          <w:szCs w:val="21"/>
          <w:highlight w:val="none"/>
        </w:rPr>
        <w:br w:type="page"/>
      </w:r>
    </w:p>
    <w:p>
      <w:pPr>
        <w:pStyle w:val="5"/>
        <w:widowControl w:val="0"/>
        <w:shd w:val="clear"/>
        <w:overflowPunct w:val="0"/>
        <w:spacing w:line="240" w:lineRule="auto"/>
        <w:rPr>
          <w:rFonts w:hint="eastAsia" w:ascii="宋体" w:hAnsi="宋体" w:eastAsia="宋体" w:cs="宋体"/>
          <w:color w:val="auto"/>
          <w:highlight w:val="none"/>
        </w:rPr>
      </w:pPr>
      <w:bookmarkStart w:id="174" w:name="_Toc1652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.在经营活动中没有重大违法记录的书面声明格式</w:t>
      </w:r>
      <w:bookmarkEnd w:id="174"/>
    </w:p>
    <w:p>
      <w:pPr>
        <w:shd w:val="clear"/>
        <w:rPr>
          <w:rFonts w:hint="eastAsia" w:ascii="宋体" w:hAnsi="宋体" w:eastAsia="宋体" w:cs="宋体"/>
          <w:color w:val="auto"/>
          <w:highlight w:val="none"/>
        </w:rPr>
      </w:pPr>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投标人在经营活动中前三年内未有重大违法记录、没有不良信用记录的声明函</w:t>
      </w:r>
    </w:p>
    <w:p>
      <w:pPr>
        <w:shd w:val="clear"/>
        <w:ind w:firstLine="420" w:firstLineChars="200"/>
        <w:rPr>
          <w:rFonts w:hint="eastAsia" w:ascii="宋体" w:hAnsi="宋体" w:eastAsia="宋体" w:cs="宋体"/>
          <w:color w:val="auto"/>
          <w:szCs w:val="21"/>
          <w:highlight w:val="none"/>
        </w:rPr>
      </w:pP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eastAsia="宋体" w:cs="宋体"/>
          <w:color w:val="auto"/>
          <w:szCs w:val="21"/>
          <w:highlight w:val="none"/>
        </w:rPr>
        <w:t>：</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 （项目编号:</w:t>
      </w:r>
      <w:r>
        <w:rPr>
          <w:rFonts w:hint="eastAsia" w:ascii="宋体" w:hAnsi="宋体" w:eastAsia="宋体" w:cs="宋体"/>
          <w:color w:val="auto"/>
          <w:szCs w:val="21"/>
          <w:highlight w:val="none"/>
          <w:lang w:val="en-US" w:eastAsia="zh-CN"/>
        </w:rPr>
        <w:t>XX</w:t>
      </w:r>
      <w:r>
        <w:rPr>
          <w:rFonts w:hint="eastAsia" w:ascii="宋体" w:hAnsi="宋体" w:eastAsia="宋体" w:cs="宋体"/>
          <w:color w:val="auto"/>
          <w:szCs w:val="21"/>
          <w:highlight w:val="none"/>
        </w:rPr>
        <w:t>）采购活动前三年内（设立不满三年的从设立之日计算），在经营活动中没有重大违法记录；至本项目提交投标文件截止时间止未被列入“信用中国”网站失信被执行人、重大税收违法失信主体、政府采购严重违法失信行为记录名单。</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pPr>
        <w:shd w:val="clear"/>
        <w:ind w:firstLine="420" w:firstLineChars="200"/>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pPr>
        <w:shd w:val="clear"/>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shd w:val="clear"/>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highlight w:val="none"/>
        </w:rPr>
      </w:pPr>
    </w:p>
    <w:p>
      <w:pPr>
        <w:pStyle w:val="5"/>
        <w:widowControl w:val="0"/>
        <w:shd w:val="clear"/>
        <w:overflowPunct w:val="0"/>
        <w:spacing w:line="240" w:lineRule="auto"/>
        <w:rPr>
          <w:rFonts w:hint="eastAsia" w:ascii="宋体" w:hAnsi="宋体" w:eastAsia="宋体" w:cs="宋体"/>
          <w:color w:val="auto"/>
          <w:highlight w:val="none"/>
        </w:rPr>
      </w:pPr>
      <w:bookmarkStart w:id="175" w:name="_Toc1229"/>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.书面声明格式</w:t>
      </w:r>
      <w:bookmarkEnd w:id="175"/>
    </w:p>
    <w:p>
      <w:pPr>
        <w:shd w:val="clear"/>
        <w:rPr>
          <w:rFonts w:hint="eastAsia" w:ascii="宋体" w:hAnsi="宋体" w:eastAsia="宋体" w:cs="宋体"/>
          <w:color w:val="auto"/>
          <w:highlight w:val="none"/>
        </w:rPr>
      </w:pPr>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声明函</w:t>
      </w:r>
    </w:p>
    <w:p>
      <w:pPr>
        <w:shd w:val="clear"/>
        <w:ind w:firstLine="420" w:firstLineChars="200"/>
        <w:rPr>
          <w:rFonts w:hint="eastAsia" w:ascii="宋体" w:hAnsi="宋体" w:eastAsia="宋体" w:cs="宋体"/>
          <w:color w:val="auto"/>
          <w:szCs w:val="21"/>
          <w:highlight w:val="none"/>
        </w:rPr>
      </w:pP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eastAsia="zh-CN"/>
        </w:rPr>
        <w:t>广西同泽工程项目管理股份有限公司</w:t>
      </w:r>
      <w:r>
        <w:rPr>
          <w:rFonts w:hint="eastAsia" w:ascii="宋体" w:hAnsi="宋体" w:eastAsia="宋体" w:cs="宋体"/>
          <w:color w:val="auto"/>
          <w:szCs w:val="21"/>
          <w:highlight w:val="none"/>
        </w:rPr>
        <w:t>：</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我公司郑重承诺：在参加“</w:t>
      </w:r>
      <w:r>
        <w:rPr>
          <w:rFonts w:hint="eastAsia" w:ascii="宋体" w:hAnsi="宋体" w:eastAsia="宋体" w:cs="宋体"/>
          <w:color w:val="auto"/>
          <w:szCs w:val="21"/>
          <w:highlight w:val="none"/>
          <w:u w:val="single"/>
        </w:rPr>
        <w:t>（采购项目名称）</w:t>
      </w:r>
      <w:r>
        <w:rPr>
          <w:rFonts w:hint="eastAsia" w:ascii="宋体" w:hAnsi="宋体" w:eastAsia="宋体" w:cs="宋体"/>
          <w:color w:val="auto"/>
          <w:szCs w:val="21"/>
          <w:highlight w:val="none"/>
        </w:rPr>
        <w:t>” （项目编号:</w:t>
      </w:r>
      <w:r>
        <w:rPr>
          <w:rFonts w:hint="eastAsia" w:ascii="宋体" w:hAnsi="宋体" w:eastAsia="宋体" w:cs="宋体"/>
          <w:color w:val="auto"/>
          <w:szCs w:val="21"/>
          <w:highlight w:val="none"/>
          <w:lang w:val="en-US" w:eastAsia="zh-CN"/>
        </w:rPr>
        <w:t>XX</w:t>
      </w:r>
      <w:r>
        <w:rPr>
          <w:rFonts w:hint="eastAsia" w:ascii="宋体" w:hAnsi="宋体" w:eastAsia="宋体" w:cs="宋体"/>
          <w:color w:val="auto"/>
          <w:szCs w:val="21"/>
          <w:highlight w:val="none"/>
        </w:rPr>
        <w:t>）采购活动</w:t>
      </w:r>
      <w:r>
        <w:rPr>
          <w:rFonts w:hint="eastAsia" w:ascii="宋体" w:hAnsi="宋体" w:eastAsia="宋体" w:cs="宋体"/>
          <w:color w:val="auto"/>
          <w:szCs w:val="21"/>
          <w:highlight w:val="none"/>
          <w:lang w:val="en-US" w:eastAsia="zh-CN"/>
        </w:rPr>
        <w:t>中</w:t>
      </w:r>
      <w:r>
        <w:rPr>
          <w:rFonts w:hint="eastAsia" w:ascii="宋体" w:hAnsi="宋体" w:eastAsia="宋体" w:cs="宋体"/>
          <w:color w:val="auto"/>
          <w:szCs w:val="21"/>
          <w:highlight w:val="none"/>
        </w:rPr>
        <w:t>投标人的单位负责人为同一人或者存在直接控股、管理关系的不同投标人，不得参加同一合同项下的采购活动。</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我公司以上承诺均为真实有效，绝无任何虚假、伪造的成份，否则，愿承担相应的后果和法律责任。</w:t>
      </w:r>
    </w:p>
    <w:p>
      <w:pPr>
        <w:shd w:val="clear"/>
        <w:ind w:firstLine="420" w:firstLineChars="200"/>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投标人名称（盖章）：</w:t>
      </w:r>
    </w:p>
    <w:p>
      <w:pPr>
        <w:shd w:val="clear"/>
        <w:rPr>
          <w:rFonts w:hint="eastAsia" w:ascii="宋体" w:hAnsi="宋体" w:eastAsia="宋体" w:cs="宋体"/>
          <w:color w:val="auto"/>
          <w:szCs w:val="21"/>
          <w:highlight w:val="none"/>
        </w:rPr>
      </w:pPr>
    </w:p>
    <w:p>
      <w:pPr>
        <w:shd w:val="clear"/>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日期：</w:t>
      </w:r>
    </w:p>
    <w:p>
      <w:pPr>
        <w:shd w:val="clear"/>
        <w:rPr>
          <w:rFonts w:hint="eastAsia" w:ascii="宋体" w:hAnsi="宋体" w:eastAsia="宋体" w:cs="宋体"/>
          <w:color w:val="auto"/>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widowControl w:val="0"/>
        <w:shd w:val="clear"/>
        <w:overflowPunct w:val="0"/>
        <w:spacing w:line="240" w:lineRule="auto"/>
        <w:outlineLvl w:val="9"/>
        <w:rPr>
          <w:rFonts w:hint="eastAsia" w:ascii="宋体" w:hAnsi="宋体" w:eastAsia="宋体" w:cs="宋体"/>
          <w:color w:val="auto"/>
          <w:sz w:val="21"/>
          <w:szCs w:val="21"/>
          <w:highlight w:val="none"/>
        </w:rPr>
      </w:pPr>
    </w:p>
    <w:p>
      <w:pPr>
        <w:shd w:val="clear"/>
        <w:outlineLvl w:val="9"/>
        <w:rPr>
          <w:rFonts w:hint="eastAsia" w:ascii="宋体" w:hAnsi="宋体" w:eastAsia="宋体" w:cs="宋体"/>
          <w:color w:val="auto"/>
          <w:highlight w:val="none"/>
        </w:rPr>
      </w:pPr>
    </w:p>
    <w:p>
      <w:pPr>
        <w:pStyle w:val="47"/>
        <w:shd w:val="clear"/>
        <w:rPr>
          <w:rFonts w:hint="eastAsia" w:ascii="宋体" w:hAnsi="宋体" w:eastAsia="宋体" w:cs="宋体"/>
          <w:color w:val="auto"/>
          <w:highlight w:val="none"/>
        </w:rPr>
      </w:pPr>
    </w:p>
    <w:p>
      <w:pPr>
        <w:pStyle w:val="47"/>
        <w:shd w:val="clear"/>
        <w:rPr>
          <w:rFonts w:hint="eastAsia" w:ascii="宋体" w:hAnsi="宋体" w:eastAsia="宋体" w:cs="宋体"/>
          <w:color w:val="auto"/>
          <w:highlight w:val="none"/>
        </w:rPr>
      </w:pPr>
    </w:p>
    <w:p>
      <w:pPr>
        <w:pStyle w:val="47"/>
        <w:shd w:val="clear"/>
        <w:rPr>
          <w:rFonts w:hint="eastAsia" w:ascii="宋体" w:hAnsi="宋体" w:eastAsia="宋体" w:cs="宋体"/>
          <w:color w:val="auto"/>
          <w:highlight w:val="none"/>
        </w:rPr>
      </w:pPr>
    </w:p>
    <w:p>
      <w:pPr>
        <w:pStyle w:val="5"/>
        <w:widowControl w:val="0"/>
        <w:shd w:val="clear"/>
        <w:overflowPunct w:val="0"/>
        <w:spacing w:line="240" w:lineRule="auto"/>
        <w:rPr>
          <w:rFonts w:hint="eastAsia" w:ascii="宋体" w:hAnsi="宋体" w:eastAsia="宋体" w:cs="宋体"/>
          <w:color w:val="auto"/>
          <w:highlight w:val="none"/>
        </w:rPr>
      </w:pPr>
      <w:bookmarkStart w:id="176" w:name="_Toc19745"/>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.承诺书格式</w:t>
      </w:r>
      <w:bookmarkEnd w:id="176"/>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承诺书</w:t>
      </w:r>
    </w:p>
    <w:p>
      <w:pPr>
        <w:pStyle w:val="53"/>
        <w:shd w:val="clear"/>
        <w:spacing w:line="420" w:lineRule="atLeas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致广西同泽工程项目管理股份有限公司：</w:t>
      </w:r>
    </w:p>
    <w:p>
      <w:pPr>
        <w:shd w:val="clear"/>
        <w:jc w:val="center"/>
        <w:rPr>
          <w:rFonts w:hint="eastAsia" w:ascii="宋体" w:hAnsi="宋体" w:eastAsia="宋体" w:cs="宋体"/>
          <w:color w:val="auto"/>
          <w:szCs w:val="21"/>
          <w:highlight w:val="none"/>
        </w:rPr>
      </w:pPr>
    </w:p>
    <w:p>
      <w:pPr>
        <w:pStyle w:val="53"/>
        <w:shd w:val="clear"/>
        <w:spacing w:line="420" w:lineRule="exact"/>
        <w:ind w:firstLine="43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我方已完整阅读了</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）采购文件的所有内容（包括澄清，以及所有已提供的参考资料和有关附件），并完全理解上述文件所表达的意思，该项目递交投标文件时间截止后，我方承诺不再对上述文件内容有异议。</w:t>
      </w:r>
      <w:r>
        <w:rPr>
          <w:rFonts w:hint="eastAsia" w:ascii="宋体" w:hAnsi="宋体" w:eastAsia="宋体" w:cs="宋体"/>
          <w:color w:val="auto"/>
          <w:sz w:val="21"/>
          <w:szCs w:val="21"/>
          <w:highlight w:val="none"/>
        </w:rPr>
        <w:cr/>
      </w:r>
    </w:p>
    <w:p>
      <w:pPr>
        <w:pStyle w:val="53"/>
        <w:shd w:val="clear"/>
        <w:spacing w:line="420" w:lineRule="exact"/>
        <w:ind w:firstLine="433"/>
        <w:rPr>
          <w:rFonts w:hint="eastAsia" w:ascii="宋体" w:hAnsi="宋体" w:eastAsia="宋体" w:cs="宋体"/>
          <w:color w:val="auto"/>
          <w:sz w:val="21"/>
          <w:szCs w:val="21"/>
          <w:highlight w:val="none"/>
        </w:rPr>
      </w:pPr>
    </w:p>
    <w:p>
      <w:pPr>
        <w:shd w:val="clea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投标人名称（加盖公章）：</w:t>
      </w:r>
    </w:p>
    <w:p>
      <w:pPr>
        <w:shd w:val="clea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法定代表人或被授权人（签名或盖私章）：</w:t>
      </w:r>
    </w:p>
    <w:p>
      <w:pPr>
        <w:shd w:val="clear"/>
        <w:ind w:right="561"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日      期：</w:t>
      </w:r>
    </w:p>
    <w:p>
      <w:pPr>
        <w:shd w:val="clear"/>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p>
    <w:p>
      <w:pPr>
        <w:pStyle w:val="5"/>
        <w:widowControl w:val="0"/>
        <w:shd w:val="clear"/>
        <w:overflowPunct w:val="0"/>
        <w:spacing w:line="240" w:lineRule="auto"/>
        <w:rPr>
          <w:rFonts w:hint="eastAsia" w:ascii="宋体" w:hAnsi="宋体" w:eastAsia="宋体" w:cs="宋体"/>
          <w:color w:val="auto"/>
          <w:sz w:val="21"/>
          <w:szCs w:val="21"/>
          <w:highlight w:val="none"/>
        </w:rPr>
      </w:pPr>
      <w:bookmarkStart w:id="177" w:name="_Toc8233"/>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.商务需求条款偏离表格式</w:t>
      </w:r>
      <w:bookmarkEnd w:id="177"/>
    </w:p>
    <w:p>
      <w:pPr>
        <w:shd w:val="clear"/>
        <w:jc w:val="center"/>
        <w:rPr>
          <w:rFonts w:hint="eastAsia" w:ascii="宋体" w:hAnsi="宋体" w:eastAsia="宋体" w:cs="宋体"/>
          <w:color w:val="auto"/>
          <w:sz w:val="28"/>
          <w:szCs w:val="28"/>
          <w:highlight w:val="none"/>
        </w:rPr>
      </w:pPr>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商务需求条款偏离表</w:t>
      </w:r>
    </w:p>
    <w:tbl>
      <w:tblPr>
        <w:tblStyle w:val="43"/>
        <w:tblW w:w="8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1620"/>
        <w:gridCol w:w="1360"/>
        <w:gridCol w:w="1587"/>
        <w:gridCol w:w="1133"/>
        <w:gridCol w:w="1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2" w:hRule="atLeast"/>
        </w:trPr>
        <w:tc>
          <w:tcPr>
            <w:tcW w:w="100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620"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60"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587"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133"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730"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08" w:type="dxa"/>
            <w:vAlign w:val="center"/>
          </w:tcPr>
          <w:p>
            <w:pPr>
              <w:shd w:val="clear"/>
              <w:jc w:val="center"/>
              <w:rPr>
                <w:rFonts w:hint="eastAsia" w:ascii="宋体" w:hAnsi="宋体" w:eastAsia="宋体" w:cs="宋体"/>
                <w:color w:val="auto"/>
                <w:szCs w:val="21"/>
                <w:highlight w:val="none"/>
              </w:rPr>
            </w:pPr>
          </w:p>
        </w:tc>
        <w:tc>
          <w:tcPr>
            <w:tcW w:w="1620" w:type="dxa"/>
            <w:vAlign w:val="center"/>
          </w:tcPr>
          <w:p>
            <w:pPr>
              <w:shd w:val="clear"/>
              <w:jc w:val="center"/>
              <w:rPr>
                <w:rFonts w:hint="eastAsia" w:ascii="宋体" w:hAnsi="宋体" w:eastAsia="宋体" w:cs="宋体"/>
                <w:color w:val="auto"/>
                <w:szCs w:val="21"/>
                <w:highlight w:val="none"/>
              </w:rPr>
            </w:pPr>
          </w:p>
        </w:tc>
        <w:tc>
          <w:tcPr>
            <w:tcW w:w="1360" w:type="dxa"/>
            <w:vAlign w:val="center"/>
          </w:tcPr>
          <w:p>
            <w:pPr>
              <w:shd w:val="clear"/>
              <w:jc w:val="center"/>
              <w:rPr>
                <w:rFonts w:hint="eastAsia" w:ascii="宋体" w:hAnsi="宋体" w:eastAsia="宋体" w:cs="宋体"/>
                <w:color w:val="auto"/>
                <w:szCs w:val="21"/>
                <w:highlight w:val="none"/>
              </w:rPr>
            </w:pPr>
          </w:p>
        </w:tc>
        <w:tc>
          <w:tcPr>
            <w:tcW w:w="1587" w:type="dxa"/>
            <w:vAlign w:val="center"/>
          </w:tcPr>
          <w:p>
            <w:pPr>
              <w:shd w:val="clear"/>
              <w:jc w:val="center"/>
              <w:rPr>
                <w:rFonts w:hint="eastAsia" w:ascii="宋体" w:hAnsi="宋体" w:eastAsia="宋体" w:cs="宋体"/>
                <w:color w:val="auto"/>
                <w:szCs w:val="21"/>
                <w:highlight w:val="none"/>
              </w:rPr>
            </w:pPr>
          </w:p>
        </w:tc>
        <w:tc>
          <w:tcPr>
            <w:tcW w:w="1133" w:type="dxa"/>
            <w:vAlign w:val="center"/>
          </w:tcPr>
          <w:p>
            <w:pPr>
              <w:shd w:val="clear"/>
              <w:jc w:val="center"/>
              <w:rPr>
                <w:rFonts w:hint="eastAsia" w:ascii="宋体" w:hAnsi="宋体" w:eastAsia="宋体" w:cs="宋体"/>
                <w:color w:val="auto"/>
                <w:szCs w:val="21"/>
                <w:highlight w:val="none"/>
              </w:rPr>
            </w:pPr>
          </w:p>
        </w:tc>
        <w:tc>
          <w:tcPr>
            <w:tcW w:w="1730" w:type="dxa"/>
            <w:vAlign w:val="center"/>
          </w:tcPr>
          <w:p>
            <w:pPr>
              <w:shd w:val="clear"/>
              <w:jc w:val="center"/>
              <w:rPr>
                <w:rFonts w:hint="eastAsia" w:ascii="宋体" w:hAnsi="宋体" w:eastAsia="宋体" w:cs="宋体"/>
                <w:color w:val="auto"/>
                <w:szCs w:val="21"/>
                <w:highlight w:val="none"/>
              </w:rPr>
            </w:pPr>
          </w:p>
        </w:tc>
      </w:tr>
    </w:tbl>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shd w:val="clear"/>
        <w:rPr>
          <w:rFonts w:hint="eastAsia" w:ascii="宋体" w:hAnsi="宋体" w:eastAsia="宋体" w:cs="宋体"/>
          <w:color w:val="auto"/>
          <w:szCs w:val="21"/>
          <w:highlight w:val="none"/>
        </w:rPr>
      </w:pPr>
    </w:p>
    <w:p>
      <w:pPr>
        <w:shd w:val="clear"/>
        <w:ind w:left="718" w:hanging="718" w:hangingChars="342"/>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1、投标人应对照采购文件商务需求书中商务要求，说明已对采购文件的商务内容做出了实质性的响应。</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商务需求书”的内容并对采购人所需的服务要求作全面响应，投标人必须承担完成“商务需求书”所描述内容的义务，因此对投标人投标产生负面影响的，投标人自行承担后果。</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shd w:val="clear"/>
        <w:overflowPunct w:val="0"/>
        <w:spacing w:line="240" w:lineRule="auto"/>
        <w:rPr>
          <w:rFonts w:hint="eastAsia" w:ascii="宋体" w:hAnsi="宋体" w:eastAsia="宋体" w:cs="宋体"/>
          <w:color w:val="auto"/>
          <w:sz w:val="30"/>
          <w:szCs w:val="30"/>
          <w:highlight w:val="none"/>
        </w:rPr>
      </w:pPr>
      <w:bookmarkStart w:id="178" w:name="_Toc8375"/>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.业绩表</w:t>
      </w:r>
      <w:bookmarkEnd w:id="178"/>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业绩表</w:t>
      </w:r>
    </w:p>
    <w:tbl>
      <w:tblPr>
        <w:tblStyle w:val="44"/>
        <w:tblW w:w="85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5"/>
        <w:gridCol w:w="16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705" w:type="dxa"/>
            <w:vAlign w:val="center"/>
          </w:tcPr>
          <w:p>
            <w:pPr>
              <w:shd w:val="clea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706" w:type="dxa"/>
            <w:vAlign w:val="center"/>
          </w:tcPr>
          <w:p>
            <w:pPr>
              <w:shd w:val="clea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项目金额</w:t>
            </w:r>
          </w:p>
        </w:tc>
        <w:tc>
          <w:tcPr>
            <w:tcW w:w="1705" w:type="dxa"/>
            <w:vAlign w:val="center"/>
          </w:tcPr>
          <w:p>
            <w:pPr>
              <w:shd w:val="clea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项目合同签订时间</w:t>
            </w:r>
          </w:p>
        </w:tc>
        <w:tc>
          <w:tcPr>
            <w:tcW w:w="1697" w:type="dxa"/>
            <w:vAlign w:val="center"/>
          </w:tcPr>
          <w:p>
            <w:pPr>
              <w:shd w:val="clear"/>
              <w:adjustRightInd/>
              <w:snapToGrid/>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vAlign w:val="center"/>
          </w:tcPr>
          <w:p>
            <w:pPr>
              <w:shd w:val="clear"/>
              <w:adjustRightInd/>
              <w:snapToGrid/>
              <w:jc w:val="center"/>
              <w:rPr>
                <w:rFonts w:hint="eastAsia" w:ascii="宋体" w:hAnsi="宋体" w:eastAsia="宋体" w:cs="宋体"/>
                <w:color w:val="auto"/>
                <w:szCs w:val="21"/>
                <w:highlight w:val="none"/>
              </w:rPr>
            </w:pPr>
          </w:p>
        </w:tc>
        <w:tc>
          <w:tcPr>
            <w:tcW w:w="1705" w:type="dxa"/>
            <w:vAlign w:val="center"/>
          </w:tcPr>
          <w:p>
            <w:pPr>
              <w:shd w:val="clear"/>
              <w:adjustRightInd/>
              <w:snapToGrid/>
              <w:jc w:val="center"/>
              <w:rPr>
                <w:rFonts w:hint="eastAsia" w:ascii="宋体" w:hAnsi="宋体" w:eastAsia="宋体" w:cs="宋体"/>
                <w:color w:val="auto"/>
                <w:szCs w:val="21"/>
                <w:highlight w:val="none"/>
              </w:rPr>
            </w:pPr>
          </w:p>
        </w:tc>
        <w:tc>
          <w:tcPr>
            <w:tcW w:w="1706" w:type="dxa"/>
            <w:vAlign w:val="center"/>
          </w:tcPr>
          <w:p>
            <w:pPr>
              <w:shd w:val="clear"/>
              <w:adjustRightInd/>
              <w:snapToGrid/>
              <w:jc w:val="center"/>
              <w:rPr>
                <w:rFonts w:hint="eastAsia" w:ascii="宋体" w:hAnsi="宋体" w:eastAsia="宋体" w:cs="宋体"/>
                <w:color w:val="auto"/>
                <w:szCs w:val="21"/>
                <w:highlight w:val="none"/>
              </w:rPr>
            </w:pPr>
          </w:p>
        </w:tc>
        <w:tc>
          <w:tcPr>
            <w:tcW w:w="1705" w:type="dxa"/>
            <w:vAlign w:val="center"/>
          </w:tcPr>
          <w:p>
            <w:pPr>
              <w:shd w:val="clear"/>
              <w:adjustRightInd/>
              <w:snapToGrid/>
              <w:jc w:val="center"/>
              <w:rPr>
                <w:rFonts w:hint="eastAsia" w:ascii="宋体" w:hAnsi="宋体" w:eastAsia="宋体" w:cs="宋体"/>
                <w:color w:val="auto"/>
                <w:szCs w:val="21"/>
                <w:highlight w:val="none"/>
              </w:rPr>
            </w:pPr>
          </w:p>
        </w:tc>
        <w:tc>
          <w:tcPr>
            <w:tcW w:w="1697" w:type="dxa"/>
            <w:vAlign w:val="center"/>
          </w:tcPr>
          <w:p>
            <w:pPr>
              <w:shd w:val="clear"/>
              <w:adjustRightInd/>
              <w:snapToGrid/>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706"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697" w:type="dxa"/>
          </w:tcPr>
          <w:p>
            <w:pPr>
              <w:shd w:val="clea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706"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697" w:type="dxa"/>
          </w:tcPr>
          <w:p>
            <w:pPr>
              <w:shd w:val="clea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706"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697" w:type="dxa"/>
          </w:tcPr>
          <w:p>
            <w:pPr>
              <w:shd w:val="clea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706"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697" w:type="dxa"/>
          </w:tcPr>
          <w:p>
            <w:pPr>
              <w:shd w:val="clear"/>
              <w:adjustRightInd/>
              <w:snapToGrid/>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7" w:hRule="atLeast"/>
        </w:trPr>
        <w:tc>
          <w:tcPr>
            <w:tcW w:w="1705"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706" w:type="dxa"/>
          </w:tcPr>
          <w:p>
            <w:pPr>
              <w:shd w:val="clear"/>
              <w:adjustRightInd/>
              <w:snapToGrid/>
              <w:rPr>
                <w:rFonts w:hint="eastAsia" w:ascii="宋体" w:hAnsi="宋体" w:eastAsia="宋体" w:cs="宋体"/>
                <w:color w:val="auto"/>
                <w:szCs w:val="21"/>
                <w:highlight w:val="none"/>
              </w:rPr>
            </w:pPr>
          </w:p>
        </w:tc>
        <w:tc>
          <w:tcPr>
            <w:tcW w:w="1705" w:type="dxa"/>
          </w:tcPr>
          <w:p>
            <w:pPr>
              <w:shd w:val="clear"/>
              <w:adjustRightInd/>
              <w:snapToGrid/>
              <w:rPr>
                <w:rFonts w:hint="eastAsia" w:ascii="宋体" w:hAnsi="宋体" w:eastAsia="宋体" w:cs="宋体"/>
                <w:color w:val="auto"/>
                <w:szCs w:val="21"/>
                <w:highlight w:val="none"/>
              </w:rPr>
            </w:pPr>
          </w:p>
        </w:tc>
        <w:tc>
          <w:tcPr>
            <w:tcW w:w="1697" w:type="dxa"/>
          </w:tcPr>
          <w:p>
            <w:pPr>
              <w:shd w:val="clear"/>
              <w:adjustRightInd/>
              <w:snapToGrid/>
              <w:rPr>
                <w:rFonts w:hint="eastAsia" w:ascii="宋体" w:hAnsi="宋体" w:eastAsia="宋体" w:cs="宋体"/>
                <w:color w:val="auto"/>
                <w:szCs w:val="21"/>
                <w:highlight w:val="none"/>
              </w:rPr>
            </w:pPr>
          </w:p>
        </w:tc>
      </w:tr>
    </w:tbl>
    <w:p>
      <w:pPr>
        <w:pStyle w:val="50"/>
        <w:shd w:val="clear"/>
        <w:rPr>
          <w:rFonts w:hint="eastAsia" w:ascii="宋体" w:hAnsi="宋体" w:eastAsia="宋体" w:cs="宋体"/>
          <w:color w:val="auto"/>
          <w:szCs w:val="21"/>
          <w:highlight w:val="none"/>
        </w:rPr>
      </w:pPr>
    </w:p>
    <w:p>
      <w:pPr>
        <w:pStyle w:val="50"/>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pStyle w:val="50"/>
        <w:numPr>
          <w:ilvl w:val="0"/>
          <w:numId w:val="14"/>
        </w:num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pPr>
        <w:pStyle w:val="50"/>
        <w:numPr>
          <w:ilvl w:val="0"/>
          <w:numId w:val="14"/>
        </w:num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业绩表所列出的材料应为真实准确的，并应提供相关证明材料复印件加盖公章。请勿提供虚假、过期材料，否则将依据相关规定严肃处理。</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shd w:val="clear"/>
        <w:overflowPunct w:val="0"/>
        <w:spacing w:line="240" w:lineRule="auto"/>
        <w:rPr>
          <w:rFonts w:hint="eastAsia" w:ascii="宋体" w:hAnsi="宋体" w:eastAsia="宋体" w:cs="宋体"/>
          <w:color w:val="auto"/>
          <w:highlight w:val="none"/>
        </w:rPr>
      </w:pPr>
      <w:bookmarkStart w:id="179" w:name="_Toc30991"/>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.联合体协议书</w:t>
      </w:r>
      <w:r>
        <w:rPr>
          <w:rFonts w:hint="eastAsia" w:ascii="宋体" w:hAnsi="宋体" w:eastAsia="宋体" w:cs="宋体"/>
          <w:color w:val="auto"/>
          <w:highlight w:val="none"/>
        </w:rPr>
        <w:t>（如有）</w:t>
      </w:r>
      <w:bookmarkEnd w:id="179"/>
    </w:p>
    <w:p>
      <w:pPr>
        <w:shd w:val="clea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r>
        <w:rPr>
          <w:rFonts w:hint="eastAsia" w:ascii="宋体" w:hAnsi="宋体" w:eastAsia="宋体" w:cs="宋体"/>
          <w:b/>
          <w:bCs/>
          <w:color w:val="auto"/>
          <w:highlight w:val="none"/>
        </w:rPr>
        <w:t>联合体共同投标协议书</w:t>
      </w:r>
    </w:p>
    <w:p>
      <w:pPr>
        <w:shd w:val="clear"/>
        <w:jc w:val="center"/>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立约方：（甲公司全称）</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（乙公司全称）</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（……公司全称）</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自愿组成联合体，以一个投标人的身份共同参加</w:t>
      </w:r>
      <w:r>
        <w:rPr>
          <w:rFonts w:hint="eastAsia" w:ascii="宋体" w:hAnsi="宋体" w:eastAsia="宋体" w:cs="宋体"/>
          <w:color w:val="auto"/>
          <w:szCs w:val="21"/>
          <w:highlight w:val="none"/>
          <w:u w:val="single"/>
        </w:rPr>
        <w:t>（xxxx项目） （项目编号：xxxx）</w:t>
      </w:r>
      <w:r>
        <w:rPr>
          <w:rFonts w:hint="eastAsia" w:ascii="宋体" w:hAnsi="宋体" w:eastAsia="宋体" w:cs="宋体"/>
          <w:color w:val="auto"/>
          <w:szCs w:val="21"/>
          <w:highlight w:val="none"/>
        </w:rPr>
        <w:t>的招标活动。经各方充分协商一致，就项目的投标和合同实施阶段的有关事务协商一致订立协议如下：</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一、联合体各方关系</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1.（甲公司全称）、（乙公司全称）、（……公司全称）</w:t>
      </w:r>
      <w:r>
        <w:rPr>
          <w:rFonts w:hint="eastAsia" w:ascii="宋体" w:hAnsi="宋体" w:eastAsia="宋体" w:cs="宋体"/>
          <w:color w:val="auto"/>
          <w:szCs w:val="21"/>
          <w:highlight w:val="none"/>
        </w:rPr>
        <w:t>共同组成一个联合体，以一个投标人的身份共同参加本项目的投标。</w:t>
      </w:r>
      <w:r>
        <w:rPr>
          <w:rFonts w:hint="eastAsia" w:ascii="宋体" w:hAnsi="宋体" w:eastAsia="宋体" w:cs="宋体"/>
          <w:color w:val="auto"/>
          <w:szCs w:val="21"/>
          <w:highlight w:val="none"/>
          <w:u w:val="single"/>
        </w:rPr>
        <w:t>（甲公司全称）、（乙公司全称）、（……公司全称）</w:t>
      </w:r>
      <w:r>
        <w:rPr>
          <w:rFonts w:hint="eastAsia" w:ascii="宋体" w:hAnsi="宋体" w:eastAsia="宋体" w:cs="宋体"/>
          <w:color w:val="auto"/>
          <w:szCs w:val="21"/>
          <w:highlight w:val="none"/>
        </w:rPr>
        <w:t>作为联合体成员，若中标，联合体各方共同与</w:t>
      </w:r>
      <w:r>
        <w:rPr>
          <w:rFonts w:hint="eastAsia" w:ascii="宋体" w:hAnsi="宋体" w:eastAsia="宋体" w:cs="宋体"/>
          <w:color w:val="auto"/>
          <w:szCs w:val="21"/>
          <w:highlight w:val="none"/>
          <w:u w:val="single"/>
        </w:rPr>
        <w:t>（采购人）</w:t>
      </w:r>
      <w:r>
        <w:rPr>
          <w:rFonts w:hint="eastAsia" w:ascii="宋体" w:hAnsi="宋体" w:eastAsia="宋体" w:cs="宋体"/>
          <w:color w:val="auto"/>
          <w:szCs w:val="21"/>
          <w:highlight w:val="none"/>
        </w:rPr>
        <w:t>签订合同。</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2.本次投标中，以</w:t>
      </w:r>
      <w:r>
        <w:rPr>
          <w:rFonts w:hint="eastAsia" w:ascii="宋体" w:hAnsi="宋体" w:eastAsia="宋体" w:cs="宋体"/>
          <w:color w:val="auto"/>
          <w:szCs w:val="21"/>
          <w:highlight w:val="none"/>
          <w:u w:val="single"/>
        </w:rPr>
        <w:t>（公司全称）</w:t>
      </w:r>
      <w:r>
        <w:rPr>
          <w:rFonts w:hint="eastAsia" w:ascii="宋体" w:hAnsi="宋体" w:eastAsia="宋体" w:cs="宋体"/>
          <w:color w:val="auto"/>
          <w:szCs w:val="21"/>
          <w:highlight w:val="none"/>
        </w:rPr>
        <w:t>为联合体牵头人。</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二、联合体内部有关事项约定如下：</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1.联合体牵头人合法代表联合体各成员，负责本项目投标文件编制和投标工作，并代表联合体成员递交和接受相关的资料、信息及指示，并处理与之有关的一切事务，负责合同实施阶段的主办、组织和协调工作。</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2.联合体将严格按照文件的各项要求，递交投标文件，切实执行一切合同文件，共同承担合同规定的一切义务和责任，同时按照内部职责的划分，承担自身所负的责任和风险，在法律上承担连带责任。</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3.如中标，联合体各方共同与（采购人）签订合同书，并就中标项目向采购人负有连带的和各自的法律责任；</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4.联合体各成员单位内部的职责分工如下：</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p>
      <w:pPr>
        <w:shd w:val="clear"/>
        <w:rPr>
          <w:rFonts w:hint="eastAsia" w:ascii="宋体" w:hAnsi="宋体" w:eastAsia="宋体" w:cs="宋体"/>
          <w:color w:val="auto"/>
          <w:highlight w:val="none"/>
        </w:rPr>
      </w:pPr>
      <w:r>
        <w:rPr>
          <w:rFonts w:hint="eastAsia" w:ascii="宋体" w:hAnsi="宋体" w:eastAsia="宋体" w:cs="宋体"/>
          <w:color w:val="auto"/>
          <w:szCs w:val="21"/>
          <w:highlight w:val="none"/>
        </w:rPr>
        <w:t>（2）</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联合体各方不得再以自己名义参与本项目投标，联合体各方不能作为其它联合体或单独投标单位的项目组成员参加本项目投标。因发生上述问题导致联合体成为无效投标，联合体的其他成员可追究其违约责任和经济损失。</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四、联合体如因违约过失责任而导致采购人经济损失或被索赔时，本联合体任何一方均同意无条件优先清偿采购人的一切债务和经济赔偿。</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五、联合体中标后，本联合体协议是合同的附件，对联合体各成员单位有合同约束力。</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六、本协议在自签署之日起生效，投标有效期内有效，如获中标资格，本协议有效期延续至合同履行完毕之日。</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七、本协议书一式____份，联合体成员和采购人各执一份。 </w:t>
      </w: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注：本协议书由委托人签字的，应附法定代表人签字的授权委托书。</w:t>
      </w: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牵头人名称：_______________________（盖单位公章）</w:t>
      </w: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成员一名称：_______________________（盖单位公章）</w:t>
      </w: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shd w:val="clear"/>
        <w:rPr>
          <w:rFonts w:hint="eastAsia" w:ascii="宋体" w:hAnsi="宋体" w:eastAsia="宋体" w:cs="宋体"/>
          <w:color w:val="auto"/>
          <w:sz w:val="21"/>
          <w:szCs w:val="21"/>
          <w:highlight w:val="none"/>
        </w:rPr>
      </w:pP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成员二名称：_______________________（盖单位公章）</w:t>
      </w:r>
    </w:p>
    <w:p>
      <w:pPr>
        <w:pStyle w:val="11"/>
        <w:shd w:val="clea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法定代表人或其委托代理人：_____________（签字）</w:t>
      </w:r>
    </w:p>
    <w:p>
      <w:pPr>
        <w:pStyle w:val="11"/>
        <w:shd w:val="clear"/>
        <w:ind w:firstLine="210" w:firstLineChars="1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p>
      <w:pPr>
        <w:pStyle w:val="11"/>
        <w:shd w:val="clear"/>
        <w:rPr>
          <w:rFonts w:hint="eastAsia" w:ascii="宋体" w:hAnsi="宋体" w:eastAsia="宋体" w:cs="宋体"/>
          <w:color w:val="auto"/>
          <w:highlight w:val="none"/>
          <w:lang w:val="en-US"/>
        </w:rPr>
        <w:sectPr>
          <w:headerReference r:id="rId12" w:type="first"/>
          <w:footerReference r:id="rId14" w:type="first"/>
          <w:headerReference r:id="rId11" w:type="default"/>
          <w:footerReference r:id="rId13" w:type="default"/>
          <w:pgSz w:w="11906" w:h="16838"/>
          <w:pgMar w:top="1440" w:right="1800" w:bottom="1440" w:left="1800" w:header="708" w:footer="708" w:gutter="0"/>
          <w:pgNumType w:fmt="decimal"/>
          <w:cols w:space="708" w:num="1"/>
          <w:titlePg/>
          <w:docGrid w:type="lines" w:linePitch="360" w:charSpace="0"/>
        </w:sectPr>
      </w:pPr>
      <w:r>
        <w:rPr>
          <w:rFonts w:hint="eastAsia" w:ascii="宋体" w:hAnsi="宋体" w:eastAsia="宋体" w:cs="宋体"/>
          <w:color w:val="auto"/>
          <w:sz w:val="21"/>
          <w:szCs w:val="21"/>
          <w:highlight w:val="none"/>
        </w:rPr>
        <w:t xml:space="preserve">        年     月     日</w:t>
      </w:r>
    </w:p>
    <w:p>
      <w:pPr>
        <w:pStyle w:val="11"/>
        <w:shd w:val="clear"/>
        <w:rPr>
          <w:rFonts w:hint="eastAsia" w:ascii="宋体" w:hAnsi="宋体" w:eastAsia="宋体" w:cs="宋体"/>
          <w:color w:val="auto"/>
          <w:highlight w:val="none"/>
        </w:rPr>
      </w:pPr>
    </w:p>
    <w:p>
      <w:pPr>
        <w:pStyle w:val="2"/>
        <w:shd w:val="clear"/>
        <w:spacing w:before="0" w:after="0" w:line="360" w:lineRule="auto"/>
        <w:jc w:val="center"/>
        <w:rPr>
          <w:rFonts w:hint="eastAsia" w:ascii="宋体" w:hAnsi="宋体" w:eastAsia="宋体" w:cs="宋体"/>
          <w:color w:val="auto"/>
          <w:sz w:val="72"/>
          <w:szCs w:val="72"/>
          <w:highlight w:val="none"/>
        </w:rPr>
      </w:pPr>
      <w:bookmarkStart w:id="180" w:name="_Toc19763"/>
      <w:r>
        <w:rPr>
          <w:rFonts w:hint="eastAsia" w:ascii="宋体" w:hAnsi="宋体" w:eastAsia="宋体" w:cs="宋体"/>
          <w:color w:val="auto"/>
          <w:sz w:val="72"/>
          <w:szCs w:val="72"/>
          <w:highlight w:val="none"/>
        </w:rPr>
        <w:t>技术文件</w:t>
      </w:r>
      <w:bookmarkEnd w:id="180"/>
    </w:p>
    <w:p>
      <w:pPr>
        <w:shd w:val="clear"/>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（单独装订成册）</w:t>
      </w:r>
    </w:p>
    <w:p>
      <w:pPr>
        <w:shd w:val="clear"/>
        <w:rPr>
          <w:rFonts w:hint="eastAsia" w:ascii="宋体" w:hAnsi="宋体" w:eastAsia="宋体" w:cs="宋体"/>
          <w:color w:val="auto"/>
          <w:highlight w:val="none"/>
        </w:rPr>
      </w:pPr>
    </w:p>
    <w:p>
      <w:pPr>
        <w:pStyle w:val="11"/>
        <w:shd w:val="clear"/>
        <w:rPr>
          <w:rFonts w:hint="eastAsia" w:ascii="宋体" w:hAnsi="宋体" w:eastAsia="宋体" w:cs="宋体"/>
          <w:color w:val="auto"/>
          <w:highlight w:val="none"/>
        </w:rPr>
      </w:pPr>
    </w:p>
    <w:p>
      <w:pPr>
        <w:pStyle w:val="10"/>
        <w:shd w:val="clear"/>
        <w:ind w:firstLine="240"/>
        <w:rPr>
          <w:rFonts w:hint="eastAsia" w:ascii="宋体" w:hAnsi="宋体" w:eastAsia="宋体" w:cs="宋体"/>
          <w:color w:val="auto"/>
          <w:highlight w:val="none"/>
        </w:rPr>
      </w:pPr>
    </w:p>
    <w:p>
      <w:pPr>
        <w:shd w:val="clear"/>
        <w:jc w:val="both"/>
        <w:rPr>
          <w:rFonts w:hint="eastAsia" w:ascii="宋体" w:hAnsi="宋体" w:eastAsia="宋体" w:cs="宋体"/>
          <w:b/>
          <w:bCs/>
          <w:color w:val="auto"/>
          <w:spacing w:val="1"/>
          <w:w w:val="83"/>
          <w:kern w:val="0"/>
          <w:sz w:val="32"/>
          <w:szCs w:val="32"/>
          <w:highlight w:val="none"/>
          <w:fitText w:val="1600" w:id="14"/>
        </w:rPr>
      </w:pPr>
      <w:r>
        <w:rPr>
          <w:rFonts w:hint="eastAsia" w:ascii="宋体" w:hAnsi="宋体" w:eastAsia="宋体" w:cs="宋体"/>
          <w:b/>
          <w:bCs/>
          <w:color w:val="auto"/>
          <w:spacing w:val="0"/>
          <w:w w:val="100"/>
          <w:kern w:val="0"/>
          <w:sz w:val="32"/>
          <w:szCs w:val="32"/>
          <w:highlight w:val="none"/>
          <w:fitText w:val="1600" w:id="14"/>
        </w:rPr>
        <w:t>项目名称：</w:t>
      </w:r>
    </w:p>
    <w:p>
      <w:pPr>
        <w:shd w:val="clear"/>
        <w:jc w:val="both"/>
        <w:rPr>
          <w:rFonts w:hint="eastAsia" w:ascii="宋体" w:hAnsi="宋体" w:eastAsia="宋体" w:cs="宋体"/>
          <w:b/>
          <w:bCs/>
          <w:color w:val="auto"/>
          <w:spacing w:val="1"/>
          <w:w w:val="83"/>
          <w:kern w:val="0"/>
          <w:sz w:val="32"/>
          <w:szCs w:val="32"/>
          <w:highlight w:val="none"/>
          <w:fitText w:val="1600" w:id="15"/>
        </w:rPr>
      </w:pPr>
      <w:r>
        <w:rPr>
          <w:rFonts w:hint="eastAsia" w:ascii="宋体" w:hAnsi="宋体" w:eastAsia="宋体" w:cs="宋体"/>
          <w:b/>
          <w:bCs/>
          <w:color w:val="auto"/>
          <w:spacing w:val="0"/>
          <w:w w:val="100"/>
          <w:kern w:val="0"/>
          <w:sz w:val="32"/>
          <w:szCs w:val="32"/>
          <w:highlight w:val="none"/>
          <w:fitText w:val="1600" w:id="15"/>
        </w:rPr>
        <w:t>项目编号：</w:t>
      </w:r>
    </w:p>
    <w:p>
      <w:pPr>
        <w:shd w:val="clear"/>
        <w:rPr>
          <w:rFonts w:hint="eastAsia" w:ascii="宋体" w:hAnsi="宋体" w:eastAsia="宋体" w:cs="宋体"/>
          <w:b/>
          <w:bCs/>
          <w:color w:val="auto"/>
          <w:spacing w:val="0"/>
          <w:w w:val="55"/>
          <w:kern w:val="0"/>
          <w:sz w:val="32"/>
          <w:szCs w:val="32"/>
          <w:highlight w:val="none"/>
          <w:fitText w:val="1600" w:id="16"/>
        </w:rPr>
      </w:pPr>
      <w:r>
        <w:rPr>
          <w:rFonts w:hint="eastAsia" w:ascii="宋体" w:hAnsi="宋体" w:eastAsia="宋体" w:cs="宋体"/>
          <w:b/>
          <w:bCs/>
          <w:color w:val="auto"/>
          <w:spacing w:val="1"/>
          <w:w w:val="62"/>
          <w:kern w:val="0"/>
          <w:sz w:val="32"/>
          <w:szCs w:val="32"/>
          <w:highlight w:val="none"/>
          <w:fitText w:val="1600" w:id="16"/>
          <w:lang w:val="en-US" w:bidi="ar-SA"/>
        </w:rPr>
        <w:t>包组号（如有）</w:t>
      </w:r>
      <w:r>
        <w:rPr>
          <w:rFonts w:hint="eastAsia" w:ascii="宋体" w:hAnsi="宋体" w:eastAsia="宋体" w:cs="宋体"/>
          <w:b/>
          <w:bCs/>
          <w:color w:val="auto"/>
          <w:spacing w:val="0"/>
          <w:w w:val="62"/>
          <w:kern w:val="0"/>
          <w:sz w:val="32"/>
          <w:szCs w:val="32"/>
          <w:highlight w:val="none"/>
          <w:fitText w:val="1600" w:id="16"/>
          <w:lang w:val="en-US" w:bidi="ar-SA"/>
        </w:rPr>
        <w:t>：</w:t>
      </w:r>
    </w:p>
    <w:p>
      <w:pPr>
        <w:shd w:val="clear"/>
        <w:jc w:val="both"/>
        <w:rPr>
          <w:rFonts w:hint="eastAsia" w:ascii="宋体" w:hAnsi="宋体" w:eastAsia="宋体" w:cs="宋体"/>
          <w:b/>
          <w:bCs/>
          <w:color w:val="auto"/>
          <w:spacing w:val="3"/>
          <w:w w:val="71"/>
          <w:kern w:val="0"/>
          <w:sz w:val="32"/>
          <w:szCs w:val="32"/>
          <w:highlight w:val="none"/>
          <w:fitText w:val="1600" w:id="17"/>
        </w:rPr>
      </w:pPr>
      <w:r>
        <w:rPr>
          <w:rFonts w:hint="eastAsia" w:ascii="宋体" w:hAnsi="宋体" w:eastAsia="宋体" w:cs="宋体"/>
          <w:b/>
          <w:bCs/>
          <w:color w:val="auto"/>
          <w:spacing w:val="0"/>
          <w:w w:val="83"/>
          <w:kern w:val="0"/>
          <w:sz w:val="32"/>
          <w:szCs w:val="32"/>
          <w:highlight w:val="none"/>
          <w:fitText w:val="1600" w:id="17"/>
        </w:rPr>
        <w:t>投标人名称</w:t>
      </w:r>
      <w:r>
        <w:rPr>
          <w:rFonts w:hint="eastAsia" w:ascii="宋体" w:hAnsi="宋体" w:eastAsia="宋体" w:cs="宋体"/>
          <w:b/>
          <w:bCs/>
          <w:color w:val="auto"/>
          <w:spacing w:val="2"/>
          <w:w w:val="83"/>
          <w:kern w:val="0"/>
          <w:sz w:val="32"/>
          <w:szCs w:val="32"/>
          <w:highlight w:val="none"/>
          <w:fitText w:val="1600" w:id="17"/>
        </w:rPr>
        <w:t>：</w:t>
      </w:r>
    </w:p>
    <w:p>
      <w:pPr>
        <w:shd w:val="clear"/>
        <w:jc w:val="both"/>
        <w:rPr>
          <w:rFonts w:hint="eastAsia" w:ascii="宋体" w:hAnsi="宋体" w:eastAsia="宋体" w:cs="宋体"/>
          <w:b/>
          <w:bCs/>
          <w:color w:val="auto"/>
          <w:spacing w:val="4"/>
          <w:w w:val="83"/>
          <w:kern w:val="0"/>
          <w:sz w:val="32"/>
          <w:szCs w:val="32"/>
          <w:highlight w:val="none"/>
          <w:fitText w:val="1600" w:id="18"/>
        </w:rPr>
      </w:pPr>
      <w:r>
        <w:rPr>
          <w:rFonts w:hint="eastAsia" w:ascii="宋体" w:hAnsi="宋体" w:eastAsia="宋体" w:cs="宋体"/>
          <w:b/>
          <w:bCs/>
          <w:color w:val="auto"/>
          <w:spacing w:val="0"/>
          <w:w w:val="100"/>
          <w:kern w:val="0"/>
          <w:sz w:val="32"/>
          <w:szCs w:val="32"/>
          <w:highlight w:val="none"/>
          <w:fitText w:val="1600" w:id="18"/>
        </w:rPr>
        <w:t>日    期：</w:t>
      </w:r>
    </w:p>
    <w:p>
      <w:pPr>
        <w:shd w:val="clear"/>
        <w:jc w:val="both"/>
        <w:rPr>
          <w:rFonts w:hint="eastAsia" w:ascii="宋体" w:hAnsi="宋体" w:eastAsia="宋体" w:cs="宋体"/>
          <w:color w:val="auto"/>
          <w:spacing w:val="0"/>
          <w:kern w:val="0"/>
          <w:szCs w:val="21"/>
          <w:highlight w:val="none"/>
          <w:fitText w:val="1600" w:id="19"/>
        </w:rPr>
      </w:pPr>
      <w:r>
        <w:rPr>
          <w:rFonts w:hint="eastAsia" w:ascii="宋体" w:hAnsi="宋体" w:eastAsia="宋体" w:cs="宋体"/>
          <w:color w:val="auto"/>
          <w:spacing w:val="1180"/>
          <w:kern w:val="0"/>
          <w:szCs w:val="21"/>
          <w:highlight w:val="none"/>
          <w:fitText w:val="1600" w:id="19"/>
        </w:rPr>
        <w:br w:type="page"/>
      </w:r>
    </w:p>
    <w:p>
      <w:pPr>
        <w:pStyle w:val="5"/>
        <w:widowControl w:val="0"/>
        <w:shd w:val="clear"/>
        <w:overflowPunct w:val="0"/>
        <w:spacing w:line="240" w:lineRule="auto"/>
        <w:rPr>
          <w:rFonts w:hint="eastAsia" w:ascii="宋体" w:hAnsi="宋体" w:eastAsia="宋体" w:cs="宋体"/>
          <w:color w:val="auto"/>
          <w:sz w:val="21"/>
          <w:szCs w:val="21"/>
          <w:highlight w:val="none"/>
        </w:rPr>
      </w:pPr>
      <w:bookmarkStart w:id="181" w:name="_Toc14256"/>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 技术规格偏离表格式</w:t>
      </w:r>
      <w:bookmarkEnd w:id="181"/>
    </w:p>
    <w:p>
      <w:pPr>
        <w:shd w:val="clear"/>
        <w:jc w:val="center"/>
        <w:rPr>
          <w:rFonts w:hint="eastAsia" w:ascii="宋体" w:hAnsi="宋体" w:eastAsia="宋体" w:cs="宋体"/>
          <w:color w:val="auto"/>
          <w:sz w:val="28"/>
          <w:szCs w:val="28"/>
          <w:highlight w:val="none"/>
        </w:rPr>
      </w:pPr>
    </w:p>
    <w:p>
      <w:pPr>
        <w:shd w:val="clear"/>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技术规格偏离表</w:t>
      </w:r>
    </w:p>
    <w:tbl>
      <w:tblPr>
        <w:tblStyle w:val="4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1902"/>
        <w:gridCol w:w="1370"/>
        <w:gridCol w:w="1629"/>
        <w:gridCol w:w="1239"/>
        <w:gridCol w:w="1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83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02"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服务项目名称</w:t>
            </w:r>
          </w:p>
        </w:tc>
        <w:tc>
          <w:tcPr>
            <w:tcW w:w="1370"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采购要求</w:t>
            </w:r>
          </w:p>
        </w:tc>
        <w:tc>
          <w:tcPr>
            <w:tcW w:w="1629"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投标实际响应</w:t>
            </w:r>
          </w:p>
        </w:tc>
        <w:tc>
          <w:tcPr>
            <w:tcW w:w="1239"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是否偏离</w:t>
            </w:r>
          </w:p>
        </w:tc>
        <w:tc>
          <w:tcPr>
            <w:tcW w:w="1544"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38" w:type="dxa"/>
            <w:vAlign w:val="center"/>
          </w:tcPr>
          <w:p>
            <w:pPr>
              <w:shd w:val="clear"/>
              <w:jc w:val="center"/>
              <w:rPr>
                <w:rFonts w:hint="eastAsia" w:ascii="宋体" w:hAnsi="宋体" w:eastAsia="宋体" w:cs="宋体"/>
                <w:color w:val="auto"/>
                <w:szCs w:val="21"/>
                <w:highlight w:val="none"/>
              </w:rPr>
            </w:pPr>
          </w:p>
        </w:tc>
        <w:tc>
          <w:tcPr>
            <w:tcW w:w="1902" w:type="dxa"/>
            <w:vAlign w:val="center"/>
          </w:tcPr>
          <w:p>
            <w:pPr>
              <w:shd w:val="clear"/>
              <w:jc w:val="center"/>
              <w:rPr>
                <w:rFonts w:hint="eastAsia" w:ascii="宋体" w:hAnsi="宋体" w:eastAsia="宋体" w:cs="宋体"/>
                <w:color w:val="auto"/>
                <w:szCs w:val="21"/>
                <w:highlight w:val="none"/>
              </w:rPr>
            </w:pPr>
          </w:p>
        </w:tc>
        <w:tc>
          <w:tcPr>
            <w:tcW w:w="1370" w:type="dxa"/>
            <w:vAlign w:val="center"/>
          </w:tcPr>
          <w:p>
            <w:pPr>
              <w:shd w:val="clear"/>
              <w:jc w:val="center"/>
              <w:rPr>
                <w:rFonts w:hint="eastAsia" w:ascii="宋体" w:hAnsi="宋体" w:eastAsia="宋体" w:cs="宋体"/>
                <w:color w:val="auto"/>
                <w:szCs w:val="21"/>
                <w:highlight w:val="none"/>
              </w:rPr>
            </w:pPr>
          </w:p>
        </w:tc>
        <w:tc>
          <w:tcPr>
            <w:tcW w:w="1629" w:type="dxa"/>
            <w:vAlign w:val="center"/>
          </w:tcPr>
          <w:p>
            <w:pPr>
              <w:shd w:val="clear"/>
              <w:jc w:val="center"/>
              <w:rPr>
                <w:rFonts w:hint="eastAsia" w:ascii="宋体" w:hAnsi="宋体" w:eastAsia="宋体" w:cs="宋体"/>
                <w:color w:val="auto"/>
                <w:szCs w:val="21"/>
                <w:highlight w:val="none"/>
              </w:rPr>
            </w:pPr>
          </w:p>
        </w:tc>
        <w:tc>
          <w:tcPr>
            <w:tcW w:w="1239" w:type="dxa"/>
            <w:vAlign w:val="center"/>
          </w:tcPr>
          <w:p>
            <w:pPr>
              <w:shd w:val="clear"/>
              <w:jc w:val="center"/>
              <w:rPr>
                <w:rFonts w:hint="eastAsia" w:ascii="宋体" w:hAnsi="宋体" w:eastAsia="宋体" w:cs="宋体"/>
                <w:color w:val="auto"/>
                <w:szCs w:val="21"/>
                <w:highlight w:val="none"/>
              </w:rPr>
            </w:pPr>
          </w:p>
        </w:tc>
        <w:tc>
          <w:tcPr>
            <w:tcW w:w="1544" w:type="dxa"/>
            <w:vAlign w:val="center"/>
          </w:tcPr>
          <w:p>
            <w:pPr>
              <w:shd w:val="clear"/>
              <w:jc w:val="center"/>
              <w:rPr>
                <w:rFonts w:hint="eastAsia" w:ascii="宋体" w:hAnsi="宋体" w:eastAsia="宋体" w:cs="宋体"/>
                <w:color w:val="auto"/>
                <w:szCs w:val="21"/>
                <w:highlight w:val="none"/>
              </w:rPr>
            </w:pPr>
          </w:p>
        </w:tc>
      </w:tr>
    </w:tbl>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shd w:val="clear"/>
        <w:ind w:firstLine="178" w:firstLineChars="85"/>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应对照采购文件技术需求书中技术规格，说明所提供服务已对采购文件的技术规格做出了实质性的响应，并申明与技术规格条文的偏差和例外。特别对有具体参数要求的指标，投标人必须提供所投设备的具体参数值。</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2、不论出于何种原因此表未填写完整，投标人都被认为已清楚了解采购文件“技术需求书”的内容并对采购人所需的服务要求作全面响应，投标人必须承担完成“技术需求书”所描述内容的义务，因此对投标人投标产生负面影响的，投标人自行承担后果。</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3、如有偏离，应在“偏离情况”栏内注明“正”、“负”或“无”，并在“说明”栏内予以说明。</w:t>
      </w:r>
    </w:p>
    <w:p>
      <w:pPr>
        <w:shd w:val="clea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5、如投标人对用户需求书商务要求的条款全部响应的，也可以在表格下面用文字总括性的说明。</w:t>
      </w:r>
    </w:p>
    <w:p>
      <w:pPr>
        <w:shd w:val="clear"/>
        <w:adjustRightInd/>
        <w:snapToGrid/>
        <w:spacing w:line="276" w:lineRule="auto"/>
        <w:rPr>
          <w:rFonts w:hint="eastAsia" w:ascii="宋体" w:hAnsi="宋体" w:eastAsia="宋体" w:cs="宋体"/>
          <w:color w:val="auto"/>
          <w:highlight w:val="none"/>
        </w:rPr>
      </w:pPr>
    </w:p>
    <w:p>
      <w:pPr>
        <w:shd w:val="clear"/>
        <w:adjustRightInd/>
        <w:snapToGrid/>
        <w:spacing w:line="276" w:lineRule="auto"/>
        <w:rPr>
          <w:rFonts w:hint="eastAsia" w:ascii="宋体" w:hAnsi="宋体" w:eastAsia="宋体" w:cs="宋体"/>
          <w:color w:val="auto"/>
          <w:highlight w:val="none"/>
        </w:rPr>
      </w:pPr>
    </w:p>
    <w:p>
      <w:pPr>
        <w:shd w:val="clear"/>
        <w:rPr>
          <w:rFonts w:hint="eastAsia" w:ascii="宋体" w:hAnsi="宋体" w:eastAsia="宋体" w:cs="宋体"/>
          <w:color w:val="auto"/>
          <w:szCs w:val="21"/>
          <w:highlight w:val="none"/>
        </w:rPr>
      </w:pPr>
      <w:bookmarkStart w:id="182" w:name="_Toc17691"/>
      <w:r>
        <w:rPr>
          <w:rFonts w:hint="eastAsia" w:ascii="宋体" w:hAnsi="宋体" w:eastAsia="宋体" w:cs="宋体"/>
          <w:color w:val="auto"/>
          <w:szCs w:val="21"/>
          <w:highlight w:val="none"/>
        </w:rPr>
        <w:br w:type="page"/>
      </w:r>
    </w:p>
    <w:bookmarkEnd w:id="182"/>
    <w:p>
      <w:pPr>
        <w:pStyle w:val="5"/>
        <w:widowControl w:val="0"/>
        <w:shd w:val="clear"/>
        <w:overflowPunct w:val="0"/>
        <w:spacing w:line="240" w:lineRule="auto"/>
        <w:outlineLvl w:val="3"/>
        <w:rPr>
          <w:rFonts w:hint="eastAsia" w:ascii="宋体" w:hAnsi="宋体" w:eastAsia="宋体" w:cs="宋体"/>
          <w:color w:val="auto"/>
          <w:sz w:val="21"/>
          <w:szCs w:val="21"/>
          <w:highlight w:val="none"/>
        </w:rPr>
      </w:pPr>
      <w:bookmarkStart w:id="183" w:name="_Toc2091"/>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16</w:t>
      </w:r>
      <w:r>
        <w:rPr>
          <w:rFonts w:hint="eastAsia" w:ascii="宋体" w:hAnsi="宋体" w:eastAsia="宋体" w:cs="宋体"/>
          <w:color w:val="auto"/>
          <w:sz w:val="21"/>
          <w:szCs w:val="21"/>
          <w:highlight w:val="none"/>
        </w:rPr>
        <w:t>.项目实施方案格式</w:t>
      </w:r>
      <w:bookmarkEnd w:id="183"/>
    </w:p>
    <w:p>
      <w:pPr>
        <w:shd w:val="clear"/>
        <w:jc w:val="center"/>
        <w:rPr>
          <w:rFonts w:hint="eastAsia" w:ascii="宋体" w:hAnsi="宋体" w:eastAsia="宋体" w:cs="宋体"/>
          <w:color w:val="auto"/>
          <w:sz w:val="32"/>
          <w:szCs w:val="32"/>
          <w:highlight w:val="none"/>
        </w:rPr>
      </w:pPr>
    </w:p>
    <w:p>
      <w:pPr>
        <w:shd w:val="clear"/>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项目实施方案</w:t>
      </w:r>
    </w:p>
    <w:p>
      <w:pPr>
        <w:shd w:val="clear"/>
        <w:jc w:val="center"/>
        <w:rPr>
          <w:rFonts w:hint="eastAsia" w:ascii="宋体" w:hAnsi="宋体" w:eastAsia="宋体" w:cs="宋体"/>
          <w:color w:val="auto"/>
          <w:sz w:val="32"/>
          <w:szCs w:val="32"/>
          <w:highlight w:val="none"/>
        </w:rPr>
      </w:pP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eastAsia="宋体" w:cs="宋体"/>
          <w:color w:val="auto"/>
          <w:szCs w:val="21"/>
          <w:highlight w:val="none"/>
        </w:rPr>
        <w:t>总体实施服务方案</w:t>
      </w: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eastAsia="宋体" w:cs="宋体"/>
          <w:color w:val="auto"/>
          <w:szCs w:val="21"/>
          <w:highlight w:val="none"/>
        </w:rPr>
        <w:t>对项目重点、难点分析及相应的对策措施</w:t>
      </w: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服务内容及服务方式</w:t>
      </w: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eastAsia="宋体" w:cs="宋体"/>
          <w:color w:val="auto"/>
          <w:szCs w:val="21"/>
          <w:highlight w:val="none"/>
        </w:rPr>
        <w:t>质量安全保证措施</w:t>
      </w: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、投标人认为对投标有利的其他资料</w:t>
      </w: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rPr>
        <w:t>、..........</w:t>
      </w: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自行编写。</w:t>
      </w:r>
    </w:p>
    <w:p>
      <w:pPr>
        <w:shd w:val="clear"/>
        <w:ind w:left="718" w:leftChars="200" w:hanging="298" w:hangingChars="142"/>
        <w:rPr>
          <w:rFonts w:hint="eastAsia" w:ascii="宋体" w:hAnsi="宋体" w:eastAsia="宋体" w:cs="宋体"/>
          <w:color w:val="auto"/>
          <w:szCs w:val="21"/>
          <w:highlight w:val="none"/>
        </w:rPr>
      </w:pPr>
    </w:p>
    <w:p>
      <w:pPr>
        <w:shd w:val="clear"/>
        <w:ind w:left="718" w:leftChars="200" w:hanging="298" w:hangingChars="142"/>
        <w:rPr>
          <w:rFonts w:hint="eastAsia" w:ascii="宋体" w:hAnsi="宋体" w:eastAsia="宋体" w:cs="宋体"/>
          <w:color w:val="auto"/>
          <w:szCs w:val="21"/>
          <w:highlight w:val="none"/>
        </w:rPr>
      </w:pPr>
    </w:p>
    <w:p>
      <w:pPr>
        <w:shd w:val="clear"/>
        <w:ind w:left="718" w:leftChars="200" w:hanging="298" w:hangingChars="142"/>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shd w:val="clear"/>
        <w:overflowPunct w:val="0"/>
        <w:spacing w:line="240" w:lineRule="auto"/>
        <w:outlineLvl w:val="3"/>
        <w:rPr>
          <w:rFonts w:hint="eastAsia" w:ascii="宋体" w:hAnsi="宋体" w:eastAsia="宋体" w:cs="宋体"/>
          <w:color w:val="auto"/>
          <w:sz w:val="21"/>
          <w:szCs w:val="21"/>
          <w:highlight w:val="none"/>
        </w:rPr>
      </w:pPr>
      <w:bookmarkStart w:id="184" w:name="_Toc22735"/>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.实施本项目的有关人员资料表格式</w:t>
      </w:r>
      <w:bookmarkEnd w:id="184"/>
    </w:p>
    <w:p>
      <w:pPr>
        <w:shd w:val="clear"/>
        <w:jc w:val="center"/>
        <w:rPr>
          <w:rFonts w:hint="eastAsia" w:ascii="宋体" w:hAnsi="宋体" w:eastAsia="宋体" w:cs="宋体"/>
          <w:color w:val="auto"/>
          <w:szCs w:val="21"/>
          <w:highlight w:val="none"/>
        </w:rPr>
      </w:pPr>
    </w:p>
    <w:p>
      <w:pPr>
        <w:shd w:val="clear"/>
        <w:jc w:val="center"/>
        <w:outlineLvl w:val="9"/>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实施本项目的有关人员资料表</w:t>
      </w:r>
    </w:p>
    <w:tbl>
      <w:tblPr>
        <w:tblStyle w:val="43"/>
        <w:tblW w:w="851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702"/>
        <w:gridCol w:w="1861"/>
        <w:gridCol w:w="702"/>
        <w:gridCol w:w="702"/>
        <w:gridCol w:w="1164"/>
        <w:gridCol w:w="818"/>
        <w:gridCol w:w="1165"/>
        <w:gridCol w:w="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702"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861"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本项目拟任岗位</w:t>
            </w:r>
          </w:p>
        </w:tc>
        <w:tc>
          <w:tcPr>
            <w:tcW w:w="702"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702"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164"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818"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 业</w:t>
            </w:r>
          </w:p>
        </w:tc>
        <w:tc>
          <w:tcPr>
            <w:tcW w:w="1165" w:type="dxa"/>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资质证书</w:t>
            </w:r>
          </w:p>
        </w:tc>
        <w:tc>
          <w:tcPr>
            <w:tcW w:w="703" w:type="dxa"/>
            <w:tcBorders>
              <w:right w:val="single" w:color="auto" w:sz="6" w:space="0"/>
            </w:tcBorders>
            <w:vAlign w:val="center"/>
          </w:tcPr>
          <w:p>
            <w:pPr>
              <w:shd w:val="clea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861"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702" w:type="dxa"/>
            <w:vAlign w:val="center"/>
          </w:tcPr>
          <w:p>
            <w:pPr>
              <w:shd w:val="clear"/>
              <w:spacing w:line="288" w:lineRule="auto"/>
              <w:jc w:val="center"/>
              <w:rPr>
                <w:rFonts w:hint="eastAsia" w:ascii="宋体" w:hAnsi="宋体" w:eastAsia="宋体" w:cs="宋体"/>
                <w:color w:val="auto"/>
                <w:szCs w:val="21"/>
                <w:highlight w:val="none"/>
              </w:rPr>
            </w:pPr>
          </w:p>
        </w:tc>
        <w:tc>
          <w:tcPr>
            <w:tcW w:w="1164" w:type="dxa"/>
            <w:vAlign w:val="center"/>
          </w:tcPr>
          <w:p>
            <w:pPr>
              <w:shd w:val="clear"/>
              <w:spacing w:line="288" w:lineRule="auto"/>
              <w:jc w:val="center"/>
              <w:rPr>
                <w:rFonts w:hint="eastAsia" w:ascii="宋体" w:hAnsi="宋体" w:eastAsia="宋体" w:cs="宋体"/>
                <w:color w:val="auto"/>
                <w:szCs w:val="21"/>
                <w:highlight w:val="none"/>
              </w:rPr>
            </w:pPr>
          </w:p>
        </w:tc>
        <w:tc>
          <w:tcPr>
            <w:tcW w:w="818" w:type="dxa"/>
            <w:vAlign w:val="center"/>
          </w:tcPr>
          <w:p>
            <w:pPr>
              <w:shd w:val="clear"/>
              <w:spacing w:line="288" w:lineRule="auto"/>
              <w:jc w:val="center"/>
              <w:rPr>
                <w:rFonts w:hint="eastAsia" w:ascii="宋体" w:hAnsi="宋体" w:eastAsia="宋体" w:cs="宋体"/>
                <w:color w:val="auto"/>
                <w:szCs w:val="21"/>
                <w:highlight w:val="none"/>
              </w:rPr>
            </w:pPr>
          </w:p>
        </w:tc>
        <w:tc>
          <w:tcPr>
            <w:tcW w:w="1165" w:type="dxa"/>
            <w:vAlign w:val="center"/>
          </w:tcPr>
          <w:p>
            <w:pPr>
              <w:shd w:val="clear"/>
              <w:spacing w:line="288" w:lineRule="auto"/>
              <w:jc w:val="center"/>
              <w:rPr>
                <w:rFonts w:hint="eastAsia" w:ascii="宋体" w:hAnsi="宋体" w:eastAsia="宋体" w:cs="宋体"/>
                <w:color w:val="auto"/>
                <w:szCs w:val="21"/>
                <w:highlight w:val="none"/>
              </w:rPr>
            </w:pPr>
          </w:p>
        </w:tc>
        <w:tc>
          <w:tcPr>
            <w:tcW w:w="703" w:type="dxa"/>
            <w:tcBorders>
              <w:right w:val="single" w:color="auto" w:sz="6" w:space="0"/>
            </w:tcBorders>
            <w:vAlign w:val="center"/>
          </w:tcPr>
          <w:p>
            <w:pPr>
              <w:shd w:val="clear"/>
              <w:spacing w:line="288" w:lineRule="auto"/>
              <w:jc w:val="center"/>
              <w:rPr>
                <w:rFonts w:hint="eastAsia" w:ascii="宋体" w:hAnsi="宋体" w:eastAsia="宋体" w:cs="宋体"/>
                <w:color w:val="auto"/>
                <w:szCs w:val="21"/>
                <w:highlight w:val="none"/>
              </w:rPr>
            </w:pPr>
          </w:p>
        </w:tc>
      </w:tr>
    </w:tbl>
    <w:p>
      <w:pPr>
        <w:shd w:val="clear"/>
        <w:ind w:firstLine="178" w:firstLineChars="85"/>
        <w:rPr>
          <w:rFonts w:hint="eastAsia" w:ascii="宋体" w:hAnsi="宋体" w:eastAsia="宋体" w:cs="宋体"/>
          <w:color w:val="auto"/>
          <w:szCs w:val="21"/>
          <w:highlight w:val="none"/>
        </w:rPr>
      </w:pPr>
    </w:p>
    <w:p>
      <w:pPr>
        <w:shd w:val="clea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附有关证明文件（复印件加盖公章）</w:t>
      </w:r>
    </w:p>
    <w:p>
      <w:pPr>
        <w:shd w:val="clea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投标人代表签字：</w:t>
      </w:r>
    </w:p>
    <w:p>
      <w:pPr>
        <w:shd w:val="clear"/>
        <w:ind w:firstLine="178" w:firstLineChars="85"/>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投标人盖章：</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w:t>
      </w:r>
    </w:p>
    <w:p>
      <w:pPr>
        <w:pStyle w:val="50"/>
        <w:numPr>
          <w:ilvl w:val="0"/>
          <w:numId w:val="15"/>
        </w:numPr>
        <w:shd w:val="clea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投标人可按项目的实际需要提供本表格。</w:t>
      </w:r>
    </w:p>
    <w:p>
      <w:pPr>
        <w:pStyle w:val="50"/>
        <w:numPr>
          <w:ilvl w:val="0"/>
          <w:numId w:val="15"/>
        </w:numPr>
        <w:shd w:val="clea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该表格为参考格式，投标人可按实际情况自行制订。</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3、投标人若未提供或未填写完整则视为完全响应采购文件的人员要求，因此对投标人投标产生负面影响的，投标人自行承担后果。</w:t>
      </w:r>
    </w:p>
    <w:p>
      <w:pPr>
        <w:pStyle w:val="50"/>
        <w:numPr>
          <w:ilvl w:val="0"/>
          <w:numId w:val="15"/>
        </w:numPr>
        <w:shd w:val="clear"/>
        <w:ind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pStyle w:val="5"/>
        <w:widowControl w:val="0"/>
        <w:shd w:val="clear"/>
        <w:overflowPunct w:val="0"/>
        <w:spacing w:line="240" w:lineRule="auto"/>
        <w:outlineLvl w:val="3"/>
        <w:rPr>
          <w:rFonts w:hint="eastAsia" w:ascii="宋体" w:hAnsi="宋体" w:eastAsia="宋体" w:cs="宋体"/>
          <w:color w:val="auto"/>
          <w:highlight w:val="none"/>
        </w:rPr>
      </w:pPr>
      <w:bookmarkStart w:id="185" w:name="_Toc2774"/>
      <w:r>
        <w:rPr>
          <w:rFonts w:hint="eastAsia" w:ascii="宋体" w:hAnsi="宋体" w:eastAsia="宋体" w:cs="宋体"/>
          <w:color w:val="auto"/>
          <w:sz w:val="21"/>
          <w:szCs w:val="21"/>
          <w:highlight w:val="none"/>
        </w:rPr>
        <w:t>附件1</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.投标保证金汇入情况说明格式</w:t>
      </w:r>
      <w:bookmarkEnd w:id="185"/>
    </w:p>
    <w:p>
      <w:pPr>
        <w:shd w:val="clear"/>
        <w:rPr>
          <w:rFonts w:hint="eastAsia" w:ascii="宋体" w:hAnsi="宋体" w:eastAsia="宋体" w:cs="宋体"/>
          <w:color w:val="auto"/>
          <w:highlight w:val="none"/>
        </w:rPr>
      </w:pPr>
    </w:p>
    <w:p>
      <w:pPr>
        <w:shd w:val="clear"/>
        <w:jc w:val="center"/>
        <w:outlineLvl w:val="9"/>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投标保证金汇入情况说明</w:t>
      </w:r>
    </w:p>
    <w:p>
      <w:pPr>
        <w:shd w:val="clea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cs="宋体"/>
          <w:color w:val="auto"/>
          <w:szCs w:val="21"/>
          <w:highlight w:val="none"/>
          <w:lang w:eastAsia="zh-CN"/>
        </w:rPr>
        <w:t>广西同泽工程项目管理股份有限公司</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项目（采购项目编号：）的采购文件要求，于年月日前以</w:t>
      </w:r>
      <w:r>
        <w:rPr>
          <w:rFonts w:hint="eastAsia" w:ascii="宋体" w:hAnsi="宋体" w:eastAsia="宋体" w:cs="宋体"/>
          <w:color w:val="auto"/>
          <w:szCs w:val="21"/>
          <w:highlight w:val="none"/>
          <w:u w:val="single"/>
        </w:rPr>
        <w:t xml:space="preserve">           （付款形式）</w:t>
      </w:r>
      <w:r>
        <w:rPr>
          <w:rFonts w:hint="eastAsia" w:ascii="宋体" w:hAnsi="宋体" w:eastAsia="宋体" w:cs="宋体"/>
          <w:color w:val="auto"/>
          <w:szCs w:val="21"/>
          <w:highlight w:val="none"/>
        </w:rPr>
        <w:t>方式汇入指定帐户（帐户名称：</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，帐号：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本单位投标保证金的汇款情况：（详见附件－投标保证金进帐单）</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汇款金额：（大写）人民币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汇款帐户名称：</w:t>
      </w:r>
      <w:r>
        <w:rPr>
          <w:rFonts w:hint="eastAsia" w:ascii="宋体" w:hAnsi="宋体" w:eastAsia="宋体" w:cs="宋体"/>
          <w:color w:val="auto"/>
          <w:szCs w:val="21"/>
          <w:highlight w:val="none"/>
          <w:u w:val="single"/>
        </w:rPr>
        <w:t xml:space="preserve">  （必须是投标时使用的帐户名）   </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帐        号：</w:t>
      </w:r>
      <w:r>
        <w:rPr>
          <w:rFonts w:hint="eastAsia" w:ascii="宋体" w:hAnsi="宋体" w:eastAsia="宋体" w:cs="宋体"/>
          <w:color w:val="auto"/>
          <w:szCs w:val="21"/>
          <w:highlight w:val="none"/>
          <w:u w:val="single"/>
        </w:rPr>
        <w:t xml:space="preserve">  （必须是投标时使用的帐号）        </w:t>
      </w:r>
    </w:p>
    <w:p>
      <w:pPr>
        <w:shd w:val="clear"/>
        <w:spacing w:line="48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开 户  银 行：</w:t>
      </w:r>
      <w:r>
        <w:rPr>
          <w:rFonts w:hint="eastAsia" w:ascii="宋体" w:hAnsi="宋体" w:eastAsia="宋体" w:cs="宋体"/>
          <w:color w:val="auto"/>
          <w:szCs w:val="21"/>
          <w:highlight w:val="none"/>
          <w:u w:val="single"/>
        </w:rPr>
        <w:t xml:space="preserve">  （  XX 银行 XX 分行 XX 支行   ）</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投标保证金退回时，请按上述资料退回。</w:t>
      </w:r>
    </w:p>
    <w:p>
      <w:pPr>
        <w:shd w:val="clear"/>
        <w:spacing w:line="480" w:lineRule="auto"/>
        <w:ind w:right="844" w:rightChars="402"/>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（单位公章）</w:t>
      </w:r>
    </w:p>
    <w:p>
      <w:pPr>
        <w:shd w:val="clear"/>
        <w:spacing w:line="480" w:lineRule="auto"/>
        <w:ind w:right="628" w:rightChars="2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 月 日</w:t>
      </w:r>
    </w:p>
    <w:p>
      <w:pPr>
        <w:shd w:val="clea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单位名称：</w:t>
      </w:r>
    </w:p>
    <w:p>
      <w:pPr>
        <w:shd w:val="clea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单位地址：</w:t>
      </w:r>
    </w:p>
    <w:p>
      <w:pPr>
        <w:shd w:val="clea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p>
      <w:pPr>
        <w:shd w:val="clea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单位电话： 联系人手机：</w:t>
      </w:r>
    </w:p>
    <w:p>
      <w:pPr>
        <w:shd w:val="clear"/>
        <w:rPr>
          <w:rFonts w:hint="eastAsia" w:ascii="宋体" w:hAnsi="宋体" w:eastAsia="宋体" w:cs="宋体"/>
          <w:color w:val="auto"/>
          <w:szCs w:val="21"/>
          <w:highlight w:val="none"/>
        </w:rPr>
      </w:pPr>
    </w:p>
    <w:p>
      <w:pPr>
        <w:shd w:val="clea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pPr>
        <w:shd w:val="clear"/>
        <w:spacing w:line="38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附：我方投标保证金汇款凭证</w:t>
      </w:r>
    </w:p>
    <w:tbl>
      <w:tblPr>
        <w:tblStyle w:val="43"/>
        <w:tblW w:w="89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89" w:hRule="atLeast"/>
        </w:trPr>
        <w:tc>
          <w:tcPr>
            <w:tcW w:w="8953" w:type="dxa"/>
            <w:vAlign w:val="center"/>
          </w:tcPr>
          <w:p>
            <w:pPr>
              <w:shd w:val="clear"/>
              <w:tabs>
                <w:tab w:val="left" w:pos="3885"/>
              </w:tabs>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（粘贴汇款单或转账凭证复印件，并在骑缝上加盖投标人公章，或是直接把转账凭证复印到此张纸上）</w:t>
            </w:r>
          </w:p>
        </w:tc>
      </w:tr>
    </w:tbl>
    <w:p>
      <w:pPr>
        <w:shd w:val="clear"/>
        <w:spacing w:line="48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注：此表既要装订在投标文件中，又要按投标人须知的规定与开标一览表、投标保证金汇款底单复印件及授权委托书一同密封装入唱标信封，唱标信封单独提交。</w:t>
      </w: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p>
    <w:p>
      <w:pPr>
        <w:pStyle w:val="5"/>
        <w:numPr>
          <w:ilvl w:val="255"/>
          <w:numId w:val="0"/>
        </w:numPr>
        <w:shd w:val="clear"/>
        <w:tabs>
          <w:tab w:val="left" w:pos="720"/>
          <w:tab w:val="left" w:pos="3840"/>
        </w:tabs>
        <w:ind w:left="283"/>
        <w:jc w:val="both"/>
        <w:outlineLvl w:val="3"/>
        <w:rPr>
          <w:rFonts w:hint="eastAsia" w:ascii="宋体" w:hAnsi="宋体" w:eastAsia="宋体" w:cs="宋体"/>
          <w:color w:val="auto"/>
          <w:sz w:val="21"/>
          <w:szCs w:val="21"/>
          <w:highlight w:val="none"/>
        </w:rPr>
      </w:pPr>
      <w:bookmarkStart w:id="186" w:name="_Toc2653"/>
      <w:bookmarkStart w:id="187" w:name="_Toc2700"/>
      <w:bookmarkStart w:id="188" w:name="_Toc486922812"/>
      <w:bookmarkStart w:id="189" w:name="_Toc425348209"/>
      <w:bookmarkStart w:id="190" w:name="_Toc18296"/>
      <w:bookmarkStart w:id="191" w:name="_Toc2144"/>
      <w:bookmarkStart w:id="192" w:name="_Toc17028"/>
      <w:bookmarkStart w:id="193" w:name="_Toc4866"/>
      <w:bookmarkStart w:id="194" w:name="_Toc14605"/>
      <w:bookmarkStart w:id="195" w:name="_Toc19947"/>
      <w:bookmarkStart w:id="196" w:name="_Toc25861"/>
      <w:bookmarkStart w:id="197" w:name="_Toc29855"/>
      <w:bookmarkStart w:id="198" w:name="_Toc28623"/>
      <w:bookmarkStart w:id="199" w:name="_Toc1562"/>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.中标服务费承诺书（适用于中标单位支付中标服务费情况）</w:t>
      </w:r>
      <w:bookmarkEnd w:id="186"/>
    </w:p>
    <w:p>
      <w:pPr>
        <w:shd w:val="clear"/>
        <w:rPr>
          <w:rFonts w:hint="eastAsia" w:ascii="宋体" w:hAnsi="宋体" w:eastAsia="宋体" w:cs="宋体"/>
          <w:color w:val="auto"/>
          <w:highlight w:val="none"/>
        </w:rPr>
      </w:pPr>
    </w:p>
    <w:p>
      <w:pPr>
        <w:shd w:val="clea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中标服务费承诺书</w:t>
      </w:r>
      <w:bookmarkEnd w:id="187"/>
      <w:bookmarkEnd w:id="188"/>
      <w:bookmarkEnd w:id="189"/>
    </w:p>
    <w:p>
      <w:pPr>
        <w:shd w:val="clear"/>
        <w:spacing w:line="360" w:lineRule="auto"/>
        <w:ind w:right="781" w:rightChars="372" w:firstLine="420"/>
        <w:rPr>
          <w:rFonts w:hint="eastAsia" w:ascii="宋体" w:hAnsi="宋体" w:eastAsia="宋体" w:cs="宋体"/>
          <w:color w:val="auto"/>
          <w:szCs w:val="21"/>
          <w:highlight w:val="none"/>
          <w:lang w:val="zh-CN"/>
        </w:rPr>
      </w:pP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致：</w:t>
      </w:r>
      <w:r>
        <w:rPr>
          <w:rFonts w:hint="eastAsia" w:ascii="宋体" w:hAnsi="宋体" w:cs="宋体"/>
          <w:b w:val="0"/>
          <w:bCs/>
          <w:color w:val="auto"/>
          <w:sz w:val="21"/>
          <w:szCs w:val="21"/>
          <w:highlight w:val="none"/>
          <w:lang w:eastAsia="zh-CN"/>
        </w:rPr>
        <w:t>广西同泽工程项目管理股份有限公司</w:t>
      </w:r>
    </w:p>
    <w:p>
      <w:pPr>
        <w:shd w:val="clea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如果我方在贵公司组织的</w:t>
      </w:r>
      <w:r>
        <w:rPr>
          <w:rFonts w:hint="eastAsia" w:ascii="宋体" w:hAnsi="宋体" w:eastAsia="宋体" w:cs="宋体"/>
          <w:color w:val="auto"/>
          <w:sz w:val="21"/>
          <w:szCs w:val="21"/>
          <w:highlight w:val="none"/>
          <w:u w:val="single"/>
        </w:rPr>
        <w:t xml:space="preserve">     （项目名称）             </w:t>
      </w: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）招标中获中标，我方保证在收取《中标通知书》后，按招标文件规定向贵公司交纳招标代理服务费。我方已清楚本项目服务费为按整个项目中标价金额数为准，按《采购代理服务收费标准》执行收费。</w:t>
      </w:r>
    </w:p>
    <w:p>
      <w:pPr>
        <w:shd w:val="clear"/>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方如违约，愿凭贵公司开出的违约通知，同意按招标代理服务费的200％接受处罚，从我方提交的投标保证金中支付；以银行保函（或《政府采购投标担保函》）方式提交投标保证金时，同意和要求投标保函开立银行（或开立《政府采购投标担保函》的担保机构）应</w:t>
      </w:r>
      <w:r>
        <w:rPr>
          <w:rFonts w:hint="eastAsia" w:ascii="宋体" w:hAnsi="宋体" w:cs="宋体"/>
          <w:color w:val="auto"/>
          <w:sz w:val="21"/>
          <w:szCs w:val="21"/>
          <w:highlight w:val="none"/>
          <w:lang w:eastAsia="zh-CN"/>
        </w:rPr>
        <w:t>广西同泽工程项目管理股份有限公司</w:t>
      </w:r>
      <w:r>
        <w:rPr>
          <w:rFonts w:hint="eastAsia" w:ascii="宋体" w:hAnsi="宋体" w:eastAsia="宋体" w:cs="宋体"/>
          <w:color w:val="auto"/>
          <w:sz w:val="21"/>
          <w:szCs w:val="21"/>
          <w:highlight w:val="none"/>
        </w:rPr>
        <w:t>的要求办理支付手续；不足部分由甲方在支付我方的中标合同款中代为扣付，并愿承担全部由此引起的法律责任。</w:t>
      </w:r>
    </w:p>
    <w:p>
      <w:pPr>
        <w:shd w:val="clear"/>
        <w:spacing w:line="360" w:lineRule="auto"/>
        <w:ind w:firstLine="40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特此承诺！</w:t>
      </w:r>
    </w:p>
    <w:p>
      <w:pPr>
        <w:shd w:val="clear"/>
        <w:spacing w:line="360" w:lineRule="auto"/>
        <w:ind w:firstLine="405"/>
        <w:rPr>
          <w:rFonts w:hint="eastAsia" w:ascii="宋体" w:hAnsi="宋体" w:eastAsia="宋体" w:cs="宋体"/>
          <w:color w:val="auto"/>
          <w:sz w:val="21"/>
          <w:szCs w:val="21"/>
          <w:highlight w:val="none"/>
        </w:rPr>
      </w:pPr>
    </w:p>
    <w:p>
      <w:pPr>
        <w:shd w:val="clear"/>
        <w:spacing w:line="360" w:lineRule="auto"/>
        <w:ind w:firstLine="405"/>
        <w:rPr>
          <w:rFonts w:hint="eastAsia" w:ascii="宋体" w:hAnsi="宋体" w:eastAsia="宋体" w:cs="宋体"/>
          <w:color w:val="auto"/>
          <w:sz w:val="21"/>
          <w:szCs w:val="21"/>
          <w:highlight w:val="none"/>
        </w:rPr>
      </w:pPr>
    </w:p>
    <w:p>
      <w:pPr>
        <w:shd w:val="clear"/>
        <w:spacing w:line="360" w:lineRule="auto"/>
        <w:ind w:left="4712" w:leftChars="224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投标人法定名称（公章）：</w:t>
      </w:r>
    </w:p>
    <w:p>
      <w:pPr>
        <w:shd w:val="clear"/>
        <w:spacing w:line="360" w:lineRule="auto"/>
        <w:ind w:left="4712" w:leftChars="2244"/>
        <w:jc w:val="left"/>
        <w:rPr>
          <w:rFonts w:hint="eastAsia" w:ascii="宋体" w:hAnsi="宋体" w:eastAsia="宋体" w:cs="宋体"/>
          <w:color w:val="auto"/>
          <w:sz w:val="21"/>
          <w:szCs w:val="21"/>
          <w:highlight w:val="none"/>
        </w:rPr>
      </w:pPr>
    </w:p>
    <w:p>
      <w:pPr>
        <w:shd w:val="clear"/>
        <w:spacing w:line="360" w:lineRule="auto"/>
        <w:ind w:left="4712" w:leftChars="224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投标人法定地址：</w:t>
      </w:r>
    </w:p>
    <w:p>
      <w:pPr>
        <w:shd w:val="clear"/>
        <w:spacing w:line="360" w:lineRule="auto"/>
        <w:ind w:left="4712" w:leftChars="2244" w:right="420"/>
        <w:jc w:val="left"/>
        <w:rPr>
          <w:rFonts w:hint="eastAsia" w:ascii="宋体" w:hAnsi="宋体" w:eastAsia="宋体" w:cs="宋体"/>
          <w:color w:val="auto"/>
          <w:sz w:val="21"/>
          <w:szCs w:val="21"/>
          <w:highlight w:val="none"/>
        </w:rPr>
      </w:pPr>
    </w:p>
    <w:p>
      <w:pPr>
        <w:shd w:val="clear"/>
        <w:spacing w:line="360" w:lineRule="auto"/>
        <w:ind w:left="4712" w:leftChars="2244" w:right="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投标人授权代表（签名或印鉴）：</w:t>
      </w:r>
    </w:p>
    <w:p>
      <w:pPr>
        <w:shd w:val="clear"/>
        <w:spacing w:line="360" w:lineRule="auto"/>
        <w:ind w:left="4712" w:leftChars="2244"/>
        <w:jc w:val="left"/>
        <w:rPr>
          <w:rFonts w:hint="eastAsia" w:ascii="宋体" w:hAnsi="宋体" w:eastAsia="宋体" w:cs="宋体"/>
          <w:color w:val="auto"/>
          <w:sz w:val="21"/>
          <w:szCs w:val="21"/>
          <w:highlight w:val="none"/>
        </w:rPr>
      </w:pPr>
    </w:p>
    <w:p>
      <w:pPr>
        <w:shd w:val="clear"/>
        <w:spacing w:line="360" w:lineRule="auto"/>
        <w:ind w:left="4712" w:leftChars="224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电    话：</w:t>
      </w:r>
    </w:p>
    <w:p>
      <w:pPr>
        <w:shd w:val="clear"/>
        <w:spacing w:line="360" w:lineRule="auto"/>
        <w:ind w:left="4712" w:leftChars="2244"/>
        <w:jc w:val="left"/>
        <w:rPr>
          <w:rFonts w:hint="eastAsia" w:ascii="宋体" w:hAnsi="宋体" w:eastAsia="宋体" w:cs="宋体"/>
          <w:color w:val="auto"/>
          <w:sz w:val="21"/>
          <w:szCs w:val="21"/>
          <w:highlight w:val="none"/>
        </w:rPr>
      </w:pPr>
    </w:p>
    <w:p>
      <w:pPr>
        <w:shd w:val="clear"/>
        <w:spacing w:line="360" w:lineRule="auto"/>
        <w:ind w:left="4712" w:leftChars="224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传    真：</w:t>
      </w:r>
    </w:p>
    <w:p>
      <w:pPr>
        <w:shd w:val="clear"/>
        <w:spacing w:line="360" w:lineRule="auto"/>
        <w:ind w:left="4712" w:leftChars="2244"/>
        <w:jc w:val="left"/>
        <w:rPr>
          <w:rFonts w:hint="eastAsia" w:ascii="宋体" w:hAnsi="宋体" w:eastAsia="宋体" w:cs="宋体"/>
          <w:color w:val="auto"/>
          <w:sz w:val="21"/>
          <w:szCs w:val="21"/>
          <w:highlight w:val="none"/>
        </w:rPr>
      </w:pPr>
    </w:p>
    <w:p>
      <w:pPr>
        <w:shd w:val="clear"/>
        <w:spacing w:line="360" w:lineRule="auto"/>
        <w:ind w:left="4712" w:leftChars="2244"/>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承诺日期：</w:t>
      </w:r>
    </w:p>
    <w:p>
      <w:pPr>
        <w:pStyle w:val="11"/>
        <w:shd w:val="clear"/>
        <w:rPr>
          <w:rFonts w:hint="eastAsia" w:ascii="宋体" w:hAnsi="宋体" w:eastAsia="宋体" w:cs="宋体"/>
          <w:color w:val="auto"/>
          <w:sz w:val="21"/>
          <w:szCs w:val="21"/>
          <w:highlight w:val="none"/>
        </w:rPr>
      </w:pPr>
    </w:p>
    <w:p>
      <w:pPr>
        <w:pStyle w:val="10"/>
        <w:shd w:val="clear"/>
        <w:rPr>
          <w:rFonts w:hint="eastAsia" w:ascii="宋体" w:hAnsi="宋体" w:eastAsia="宋体" w:cs="宋体"/>
          <w:color w:val="auto"/>
          <w:sz w:val="21"/>
          <w:szCs w:val="21"/>
          <w:highlight w:val="none"/>
        </w:rPr>
      </w:pPr>
    </w:p>
    <w:p>
      <w:pPr>
        <w:shd w:val="clear"/>
        <w:rPr>
          <w:rFonts w:hint="eastAsia" w:ascii="宋体" w:hAnsi="宋体" w:eastAsia="宋体" w:cs="宋体"/>
          <w:color w:val="auto"/>
          <w:sz w:val="21"/>
          <w:highlight w:val="none"/>
        </w:rPr>
      </w:pPr>
    </w:p>
    <w:p>
      <w:pPr>
        <w:shd w:val="clear"/>
        <w:spacing w:line="360" w:lineRule="auto"/>
        <w:rPr>
          <w:rFonts w:hint="eastAsia" w:ascii="宋体" w:hAnsi="宋体" w:eastAsia="宋体" w:cs="宋体"/>
          <w:color w:val="auto"/>
          <w:highlight w:val="none"/>
        </w:rPr>
      </w:pPr>
    </w:p>
    <w:p>
      <w:pPr>
        <w:pStyle w:val="5"/>
        <w:numPr>
          <w:ilvl w:val="255"/>
          <w:numId w:val="0"/>
        </w:numPr>
        <w:shd w:val="clear"/>
        <w:tabs>
          <w:tab w:val="left" w:pos="720"/>
          <w:tab w:val="left" w:pos="3840"/>
        </w:tabs>
        <w:ind w:left="283"/>
        <w:jc w:val="both"/>
        <w:outlineLvl w:val="3"/>
        <w:rPr>
          <w:rFonts w:hint="eastAsia" w:ascii="宋体" w:hAnsi="宋体" w:eastAsia="宋体" w:cs="宋体"/>
          <w:color w:val="auto"/>
          <w:sz w:val="21"/>
          <w:szCs w:val="21"/>
          <w:highlight w:val="none"/>
        </w:rPr>
      </w:pPr>
      <w:bookmarkStart w:id="200" w:name="_Toc1700"/>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.不可撤销履约保函</w:t>
      </w:r>
      <w:bookmarkEnd w:id="190"/>
      <w:bookmarkEnd w:id="191"/>
      <w:bookmarkEnd w:id="192"/>
      <w:bookmarkEnd w:id="193"/>
      <w:bookmarkEnd w:id="194"/>
      <w:bookmarkEnd w:id="195"/>
      <w:bookmarkEnd w:id="196"/>
      <w:bookmarkEnd w:id="197"/>
      <w:bookmarkEnd w:id="198"/>
      <w:bookmarkEnd w:id="199"/>
      <w:bookmarkEnd w:id="200"/>
    </w:p>
    <w:p>
      <w:pPr>
        <w:shd w:val="clear"/>
        <w:bidi w:val="0"/>
        <w:rPr>
          <w:rFonts w:hint="eastAsia"/>
          <w:color w:val="auto"/>
          <w:highlight w:val="none"/>
        </w:rPr>
      </w:pPr>
    </w:p>
    <w:p>
      <w:pPr>
        <w:shd w:val="clear"/>
        <w:jc w:val="center"/>
        <w:rPr>
          <w:rFonts w:hint="eastAsia" w:ascii="宋体" w:hAnsi="宋体" w:eastAsia="宋体" w:cs="宋体"/>
          <w:color w:val="auto"/>
          <w:highlight w:val="none"/>
        </w:rPr>
      </w:pPr>
      <w:r>
        <w:rPr>
          <w:rFonts w:hint="eastAsia" w:ascii="宋体" w:hAnsi="宋体" w:eastAsia="宋体" w:cs="宋体"/>
          <w:color w:val="auto"/>
          <w:highlight w:val="none"/>
        </w:rPr>
        <w:t>银行编号：</w:t>
      </w:r>
    </w:p>
    <w:p>
      <w:pPr>
        <w:shd w:val="clear"/>
        <w:rPr>
          <w:rFonts w:hint="eastAsia" w:ascii="宋体" w:hAnsi="宋体" w:eastAsia="宋体" w:cs="宋体"/>
          <w:color w:val="auto"/>
          <w:highlight w:val="none"/>
        </w:rPr>
      </w:pPr>
      <w:r>
        <w:rPr>
          <w:rFonts w:hint="eastAsia" w:ascii="宋体" w:hAnsi="宋体" w:eastAsia="宋体" w:cs="宋体"/>
          <w:color w:val="auto"/>
          <w:highlight w:val="none"/>
        </w:rPr>
        <w:t>致：</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（甲方）</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鉴于</w:t>
      </w:r>
      <w:r>
        <w:rPr>
          <w:rFonts w:hint="eastAsia" w:ascii="宋体" w:hAnsi="宋体" w:eastAsia="宋体" w:cs="宋体"/>
          <w:color w:val="auto"/>
          <w:highlight w:val="none"/>
          <w:u w:val="single"/>
        </w:rPr>
        <w:t xml:space="preserve">         （地址：          ，下称 “乙方” ）</w:t>
      </w:r>
      <w:r>
        <w:rPr>
          <w:rFonts w:hint="eastAsia" w:ascii="宋体" w:hAnsi="宋体" w:eastAsia="宋体" w:cs="宋体"/>
          <w:color w:val="auto"/>
          <w:highlight w:val="none"/>
        </w:rPr>
        <w:t>已保证按</w:t>
      </w:r>
      <w:r>
        <w:rPr>
          <w:rFonts w:hint="eastAsia" w:ascii="宋体" w:hAnsi="宋体" w:eastAsia="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ascii="宋体" w:hAnsi="宋体" w:eastAsia="宋体" w:cs="宋体"/>
          <w:color w:val="auto"/>
          <w:highlight w:val="none"/>
          <w:u w:val="single"/>
        </w:rPr>
        <w:t>合同（合同编号：    ）</w:t>
      </w:r>
      <w:r>
        <w:rPr>
          <w:rFonts w:hint="eastAsia" w:ascii="宋体" w:hAnsi="宋体" w:eastAsia="宋体" w:cs="宋体"/>
          <w:color w:val="auto"/>
          <w:highlight w:val="none"/>
        </w:rPr>
        <w:t>中规定的义务履行合同。</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根据上述合同约定，乙方应向甲方提供一份金额为合同总价的</w:t>
      </w:r>
      <w:r>
        <w:rPr>
          <w:rFonts w:hint="eastAsia" w:ascii="宋体" w:hAnsi="宋体" w:eastAsia="宋体" w:cs="宋体"/>
          <w:color w:val="auto"/>
          <w:highlight w:val="none"/>
          <w:u w:val="single"/>
        </w:rPr>
        <w:t>10</w:t>
      </w:r>
      <w:r>
        <w:rPr>
          <w:rFonts w:hint="eastAsia" w:ascii="宋体" w:hAnsi="宋体" w:eastAsia="宋体" w:cs="宋体"/>
          <w:color w:val="auto"/>
          <w:highlight w:val="none"/>
        </w:rPr>
        <w:t>%即</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w:t>
      </w:r>
      <w:r>
        <w:rPr>
          <w:rFonts w:hint="eastAsia" w:ascii="宋体" w:hAnsi="宋体" w:eastAsia="宋体" w:cs="宋体"/>
          <w:bCs/>
          <w:color w:val="auto"/>
          <w:highlight w:val="none"/>
        </w:rPr>
        <w:t>不可撤销</w:t>
      </w:r>
      <w:r>
        <w:rPr>
          <w:rFonts w:hint="eastAsia" w:ascii="宋体" w:hAnsi="宋体" w:eastAsia="宋体" w:cs="宋体"/>
          <w:color w:val="auto"/>
          <w:highlight w:val="none"/>
        </w:rPr>
        <w:t>银行履约保函，作为乙方履行上述合同的担保。</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w:t>
      </w:r>
      <w:r>
        <w:rPr>
          <w:rFonts w:hint="eastAsia" w:ascii="宋体" w:hAnsi="宋体" w:eastAsia="宋体" w:cs="宋体"/>
          <w:color w:val="auto"/>
          <w:highlight w:val="none"/>
          <w:u w:val="single"/>
        </w:rPr>
        <w:t xml:space="preserve">            （银行名称）</w:t>
      </w:r>
      <w:r>
        <w:rPr>
          <w:rFonts w:hint="eastAsia" w:ascii="宋体" w:hAnsi="宋体" w:eastAsia="宋体" w:cs="宋体"/>
          <w:color w:val="auto"/>
          <w:highlight w:val="none"/>
        </w:rPr>
        <w:t>，受乙方的委托，不仅作为连带责任保证人而且作为主要的责任人，无条件和不可撤销地同意在甲方提出因乙方没有履行上述合同规定，而要求扣划保证金的书面要求后，7个工作日内为甲方扣划金额不超过</w:t>
      </w:r>
      <w:r>
        <w:rPr>
          <w:rFonts w:hint="eastAsia" w:ascii="宋体" w:hAnsi="宋体" w:eastAsia="宋体" w:cs="宋体"/>
          <w:color w:val="auto"/>
          <w:highlight w:val="none"/>
          <w:u w:val="single"/>
        </w:rPr>
        <w:t>人民币          （RMB       元）</w:t>
      </w:r>
      <w:r>
        <w:rPr>
          <w:rFonts w:hint="eastAsia" w:ascii="宋体" w:hAnsi="宋体" w:eastAsia="宋体" w:cs="宋体"/>
          <w:color w:val="auto"/>
          <w:highlight w:val="none"/>
        </w:rPr>
        <w:t>的保证金。</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我方还同意，任何甲方与乙方之间可能对合同条款的修改、规范或其他合同文件的变动补充，都不能免除我方按本保函所承担的责任。因此，有关上述变动、补充和修改无须通知我方。</w:t>
      </w:r>
    </w:p>
    <w:p>
      <w:pPr>
        <w:shd w:val="clear"/>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本保函从上述</w:t>
      </w:r>
      <w:r>
        <w:rPr>
          <w:rFonts w:hint="eastAsia" w:ascii="宋体" w:hAnsi="宋体" w:eastAsia="宋体" w:cs="宋体"/>
          <w:color w:val="auto"/>
          <w:szCs w:val="21"/>
          <w:highlight w:val="none"/>
        </w:rPr>
        <w:t>合同签订之日起至项目完工验收合格并结算完毕后，经双方签字</w:t>
      </w:r>
      <w:r>
        <w:rPr>
          <w:rFonts w:hint="eastAsia" w:ascii="宋体" w:hAnsi="宋体" w:eastAsia="宋体" w:cs="宋体"/>
          <w:color w:val="auto"/>
          <w:szCs w:val="21"/>
          <w:highlight w:val="none"/>
          <w:u w:val="single"/>
          <w:lang w:val="en-US" w:eastAsia="zh-CN"/>
        </w:rPr>
        <w:t>30</w:t>
      </w:r>
      <w:r>
        <w:rPr>
          <w:rFonts w:hint="eastAsia" w:ascii="宋体" w:hAnsi="宋体" w:eastAsia="宋体" w:cs="宋体"/>
          <w:color w:val="auto"/>
          <w:szCs w:val="21"/>
          <w:highlight w:val="none"/>
        </w:rPr>
        <w:t>天内保持有效</w:t>
      </w:r>
      <w:r>
        <w:rPr>
          <w:rFonts w:hint="eastAsia" w:ascii="宋体" w:hAnsi="宋体" w:eastAsia="宋体" w:cs="宋体"/>
          <w:color w:val="auto"/>
          <w:highlight w:val="none"/>
        </w:rPr>
        <w:t>。</w:t>
      </w:r>
    </w:p>
    <w:p>
      <w:pPr>
        <w:shd w:val="clear"/>
        <w:ind w:firstLine="2824" w:firstLineChars="1345"/>
        <w:rPr>
          <w:rFonts w:hint="eastAsia" w:ascii="宋体" w:hAnsi="宋体" w:eastAsia="宋体" w:cs="宋体"/>
          <w:color w:val="auto"/>
          <w:highlight w:val="none"/>
        </w:rPr>
      </w:pPr>
    </w:p>
    <w:p>
      <w:pPr>
        <w:shd w:val="clea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保证人：（盖章）</w:t>
      </w:r>
      <w:r>
        <w:rPr>
          <w:rFonts w:hint="eastAsia" w:ascii="宋体" w:hAnsi="宋体" w:eastAsia="宋体" w:cs="宋体"/>
          <w:color w:val="auto"/>
          <w:highlight w:val="none"/>
          <w:u w:val="single"/>
        </w:rPr>
        <w:t xml:space="preserve">                        </w:t>
      </w:r>
    </w:p>
    <w:p>
      <w:pPr>
        <w:shd w:val="clea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负责人：（签字）</w:t>
      </w:r>
      <w:r>
        <w:rPr>
          <w:rFonts w:hint="eastAsia" w:ascii="宋体" w:hAnsi="宋体" w:eastAsia="宋体" w:cs="宋体"/>
          <w:color w:val="auto"/>
          <w:highlight w:val="none"/>
          <w:u w:val="single"/>
        </w:rPr>
        <w:t xml:space="preserve">                        </w:t>
      </w:r>
    </w:p>
    <w:p>
      <w:pPr>
        <w:shd w:val="clea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联系人：</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p>
    <w:p>
      <w:pPr>
        <w:shd w:val="clea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u w:val="single"/>
        </w:rPr>
        <w:t xml:space="preserve">                             </w:t>
      </w:r>
    </w:p>
    <w:p>
      <w:pPr>
        <w:shd w:val="clear"/>
        <w:ind w:firstLine="5040" w:firstLineChars="2400"/>
        <w:rPr>
          <w:rFonts w:hint="eastAsia" w:ascii="宋体" w:hAnsi="宋体" w:eastAsia="宋体" w:cs="宋体"/>
          <w:color w:val="auto"/>
          <w:highlight w:val="none"/>
        </w:rPr>
      </w:pPr>
      <w:r>
        <w:rPr>
          <w:rFonts w:hint="eastAsia" w:ascii="宋体" w:hAnsi="宋体" w:eastAsia="宋体" w:cs="宋体"/>
          <w:color w:val="auto"/>
          <w:highlight w:val="none"/>
        </w:rPr>
        <w:t>日期：</w:t>
      </w:r>
      <w:r>
        <w:rPr>
          <w:rFonts w:hint="eastAsia" w:ascii="宋体" w:hAnsi="宋体" w:eastAsia="宋体" w:cs="宋体"/>
          <w:color w:val="auto"/>
          <w:highlight w:val="none"/>
          <w:u w:val="single"/>
        </w:rPr>
        <w:t xml:space="preserve">                               </w:t>
      </w:r>
    </w:p>
    <w:p>
      <w:pPr>
        <w:pStyle w:val="15"/>
        <w:shd w:val="clear"/>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说明：投标人在投标时不需提交正式保函，在</w:t>
      </w:r>
      <w:r>
        <w:rPr>
          <w:rFonts w:hint="eastAsia" w:ascii="宋体" w:hAnsi="宋体" w:cs="宋体"/>
          <w:color w:val="auto"/>
          <w:szCs w:val="24"/>
          <w:highlight w:val="none"/>
          <w:lang w:val="en-US" w:eastAsia="zh-CN"/>
        </w:rPr>
        <w:t>投标</w:t>
      </w:r>
      <w:r>
        <w:rPr>
          <w:rFonts w:hint="eastAsia" w:ascii="宋体" w:hAnsi="宋体" w:cs="宋体"/>
          <w:color w:val="auto"/>
          <w:szCs w:val="24"/>
          <w:highlight w:val="none"/>
          <w:lang w:eastAsia="zh-CN"/>
        </w:rPr>
        <w:t>文件</w:t>
      </w:r>
      <w:r>
        <w:rPr>
          <w:rFonts w:hint="eastAsia" w:ascii="宋体" w:hAnsi="宋体" w:eastAsia="宋体" w:cs="宋体"/>
          <w:color w:val="auto"/>
          <w:szCs w:val="24"/>
          <w:highlight w:val="none"/>
        </w:rPr>
        <w:t>中盖投标人公章确认保函格式即可，乙方</w:t>
      </w:r>
      <w:r>
        <w:rPr>
          <w:rFonts w:hint="eastAsia" w:ascii="宋体" w:hAnsi="宋体" w:eastAsia="宋体" w:cs="宋体"/>
          <w:color w:val="auto"/>
          <w:highlight w:val="none"/>
        </w:rPr>
        <w:t>在签订合同时</w:t>
      </w:r>
      <w:r>
        <w:rPr>
          <w:rFonts w:hint="eastAsia" w:ascii="宋体" w:hAnsi="宋体" w:eastAsia="宋体" w:cs="宋体"/>
          <w:color w:val="auto"/>
          <w:szCs w:val="24"/>
          <w:highlight w:val="none"/>
        </w:rPr>
        <w:t>提交正式保函。</w:t>
      </w:r>
    </w:p>
    <w:p>
      <w:pPr>
        <w:shd w:val="clear"/>
        <w:rPr>
          <w:rFonts w:hint="eastAsia" w:ascii="宋体" w:hAnsi="宋体" w:eastAsia="宋体" w:cs="宋体"/>
          <w:color w:val="auto"/>
          <w:szCs w:val="21"/>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shd w:val="clear"/>
        <w:jc w:val="center"/>
        <w:rPr>
          <w:rFonts w:hint="eastAsia" w:ascii="宋体" w:hAnsi="宋体" w:eastAsia="宋体" w:cs="宋体"/>
          <w:color w:val="auto"/>
          <w:highlight w:val="none"/>
        </w:rPr>
      </w:pPr>
    </w:p>
    <w:p>
      <w:pPr>
        <w:pStyle w:val="5"/>
        <w:numPr>
          <w:ilvl w:val="255"/>
          <w:numId w:val="0"/>
        </w:numPr>
        <w:shd w:val="clear"/>
        <w:tabs>
          <w:tab w:val="left" w:pos="720"/>
          <w:tab w:val="left" w:pos="3840"/>
        </w:tabs>
        <w:ind w:left="283"/>
        <w:jc w:val="both"/>
        <w:outlineLvl w:val="3"/>
        <w:rPr>
          <w:rFonts w:hint="eastAsia" w:ascii="宋体" w:hAnsi="宋体" w:eastAsia="宋体" w:cs="宋体"/>
          <w:color w:val="auto"/>
          <w:sz w:val="21"/>
          <w:szCs w:val="21"/>
          <w:highlight w:val="none"/>
        </w:rPr>
      </w:pPr>
      <w:bookmarkStart w:id="201" w:name="_Toc11812"/>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.预付款保函（适用于预付款支付）</w:t>
      </w:r>
      <w:bookmarkEnd w:id="201"/>
    </w:p>
    <w:p>
      <w:pPr>
        <w:pStyle w:val="15"/>
        <w:shd w:val="clear"/>
        <w:rPr>
          <w:rFonts w:hint="eastAsia" w:ascii="宋体" w:hAnsi="宋体" w:eastAsia="宋体" w:cs="宋体"/>
          <w:color w:val="auto"/>
          <w:szCs w:val="24"/>
          <w:highlight w:val="none"/>
        </w:rPr>
      </w:pPr>
    </w:p>
    <w:p>
      <w:pPr>
        <w:shd w:val="clear"/>
        <w:jc w:val="center"/>
        <w:rPr>
          <w:rFonts w:hint="eastAsia" w:ascii="宋体" w:hAnsi="宋体" w:eastAsia="宋体" w:cs="宋体"/>
          <w:color w:val="auto"/>
          <w:sz w:val="28"/>
          <w:szCs w:val="28"/>
          <w:highlight w:val="none"/>
        </w:rPr>
      </w:pPr>
      <w:bookmarkStart w:id="202" w:name="_Toc3295"/>
      <w:bookmarkStart w:id="203" w:name="_Toc31418"/>
      <w:bookmarkStart w:id="204" w:name="_Toc5034"/>
      <w:bookmarkStart w:id="205" w:name="_Toc6877"/>
      <w:bookmarkStart w:id="206" w:name="_Toc25494"/>
      <w:bookmarkStart w:id="207" w:name="_Toc29054"/>
      <w:bookmarkStart w:id="208" w:name="_Toc10315"/>
      <w:bookmarkStart w:id="209" w:name="_Toc27545"/>
      <w:bookmarkStart w:id="210" w:name="_Toc7374"/>
      <w:bookmarkStart w:id="211" w:name="_Toc20669"/>
      <w:bookmarkStart w:id="212" w:name="_Toc29728"/>
      <w:bookmarkStart w:id="213" w:name="_Toc1039"/>
      <w:r>
        <w:rPr>
          <w:rFonts w:hint="eastAsia" w:ascii="宋体" w:hAnsi="宋体" w:eastAsia="宋体" w:cs="宋体"/>
          <w:color w:val="auto"/>
          <w:sz w:val="28"/>
          <w:szCs w:val="28"/>
          <w:highlight w:val="none"/>
        </w:rPr>
        <w:t>不可撤销预付款保函</w:t>
      </w:r>
      <w:bookmarkEnd w:id="202"/>
      <w:bookmarkEnd w:id="203"/>
      <w:bookmarkEnd w:id="204"/>
      <w:bookmarkEnd w:id="205"/>
      <w:bookmarkEnd w:id="206"/>
      <w:bookmarkEnd w:id="207"/>
      <w:bookmarkEnd w:id="208"/>
      <w:bookmarkEnd w:id="209"/>
      <w:bookmarkEnd w:id="210"/>
      <w:bookmarkEnd w:id="211"/>
      <w:bookmarkEnd w:id="212"/>
      <w:bookmarkEnd w:id="213"/>
    </w:p>
    <w:p>
      <w:pPr>
        <w:shd w:val="clear"/>
        <w:ind w:firstLine="63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银行编号：</w:t>
      </w:r>
      <w:r>
        <w:rPr>
          <w:rFonts w:hint="eastAsia" w:ascii="宋体" w:hAnsi="宋体" w:eastAsia="宋体" w:cs="宋体"/>
          <w:color w:val="auto"/>
          <w:szCs w:val="21"/>
          <w:highlight w:val="none"/>
          <w:u w:val="single"/>
        </w:rPr>
        <w:t xml:space="preserve">             </w:t>
      </w:r>
    </w:p>
    <w:p>
      <w:pPr>
        <w:shd w:val="clear"/>
        <w:ind w:firstLine="6300"/>
        <w:rPr>
          <w:rFonts w:hint="eastAsia" w:ascii="宋体" w:hAnsi="宋体" w:eastAsia="宋体" w:cs="宋体"/>
          <w:color w:val="auto"/>
          <w:szCs w:val="21"/>
          <w:highlight w:val="none"/>
        </w:rPr>
      </w:pP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t>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（下称“采购人”）</w:t>
      </w:r>
    </w:p>
    <w:p>
      <w:pPr>
        <w:shd w:val="clea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鉴于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4"/>
          <w:highlight w:val="none"/>
          <w:u w:val="single"/>
        </w:rPr>
        <w:t>（地址：          ，下称 “中标人” ）</w:t>
      </w:r>
      <w:r>
        <w:rPr>
          <w:rFonts w:hint="eastAsia" w:ascii="宋体" w:hAnsi="宋体" w:eastAsia="宋体" w:cs="宋体"/>
          <w:color w:val="auto"/>
          <w:szCs w:val="21"/>
          <w:highlight w:val="none"/>
        </w:rPr>
        <w:t>，已保证按</w:t>
      </w:r>
      <w:r>
        <w:rPr>
          <w:rFonts w:hint="eastAsia" w:ascii="宋体" w:hAnsi="宋体" w:eastAsia="宋体" w:cs="宋体"/>
          <w:color w:val="auto"/>
          <w:szCs w:val="21"/>
          <w:highlight w:val="none"/>
          <w:u w:val="single"/>
        </w:rPr>
        <w:t xml:space="preserve">          承包合同书（合同编号：    ）</w:t>
      </w:r>
      <w:r>
        <w:rPr>
          <w:rFonts w:hint="eastAsia" w:ascii="宋体" w:hAnsi="宋体" w:eastAsia="宋体" w:cs="宋体"/>
          <w:color w:val="auto"/>
          <w:szCs w:val="21"/>
          <w:highlight w:val="none"/>
        </w:rPr>
        <w:t>中规定的义务履行合同。</w:t>
      </w:r>
    </w:p>
    <w:p>
      <w:pPr>
        <w:shd w:val="clear"/>
        <w:ind w:firstLine="437"/>
        <w:rPr>
          <w:rFonts w:hint="eastAsia" w:ascii="宋体" w:hAnsi="宋体" w:eastAsia="宋体" w:cs="宋体"/>
          <w:color w:val="auto"/>
          <w:szCs w:val="21"/>
          <w:highlight w:val="none"/>
        </w:rPr>
      </w:pPr>
      <w:r>
        <w:rPr>
          <w:rFonts w:hint="eastAsia" w:ascii="宋体" w:hAnsi="宋体" w:eastAsia="宋体" w:cs="宋体"/>
          <w:color w:val="auto"/>
          <w:szCs w:val="24"/>
          <w:highlight w:val="none"/>
        </w:rPr>
        <w:t>根据上述合同（招标文件）规定，中标人应向采购人提供一份金额为合同总价的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即人民币</w:t>
      </w:r>
      <w:r>
        <w:rPr>
          <w:rFonts w:hint="eastAsia" w:ascii="宋体" w:hAnsi="宋体" w:eastAsia="宋体" w:cs="宋体"/>
          <w:color w:val="auto"/>
          <w:szCs w:val="21"/>
          <w:highlight w:val="none"/>
          <w:u w:val="single"/>
        </w:rPr>
        <w:t xml:space="preserve">      （RMB      元）</w:t>
      </w:r>
      <w:r>
        <w:rPr>
          <w:rFonts w:hint="eastAsia" w:ascii="宋体" w:hAnsi="宋体" w:eastAsia="宋体" w:cs="宋体"/>
          <w:color w:val="auto"/>
          <w:szCs w:val="21"/>
          <w:highlight w:val="none"/>
        </w:rPr>
        <w:t>的不可撤销银行预付款保函，以保证中标人履行合同的相关条款。</w:t>
      </w:r>
    </w:p>
    <w:p>
      <w:pPr>
        <w:shd w:val="clea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w:t>
      </w:r>
      <w:r>
        <w:rPr>
          <w:rFonts w:hint="eastAsia" w:ascii="宋体" w:hAnsi="宋体" w:eastAsia="宋体" w:cs="宋体"/>
          <w:color w:val="auto"/>
          <w:szCs w:val="21"/>
          <w:highlight w:val="none"/>
          <w:u w:val="single"/>
        </w:rPr>
        <w:t xml:space="preserve">  （银行名称）  </w:t>
      </w:r>
      <w:r>
        <w:rPr>
          <w:rFonts w:hint="eastAsia" w:ascii="宋体" w:hAnsi="宋体" w:eastAsia="宋体" w:cs="宋体"/>
          <w:color w:val="auto"/>
          <w:szCs w:val="21"/>
          <w:highlight w:val="none"/>
        </w:rPr>
        <w:t>，受中标人的委托，作为连带责任保证人，无条件和不可撤销地同意在采购人提出因中标人没有履行上述合同规定，而要求收回上述金额内任何付款的书面要求后，于7个工作日内为采购人予以支付并保证到达采购人账户，以保证在中标人没有履行或部分履行合同条款的责任时，采购人可以向中标人收回全部或部分预付款。</w:t>
      </w:r>
    </w:p>
    <w:p>
      <w:pPr>
        <w:shd w:val="clea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我方还同意，任何采购人与中标人之间可能对合同条款的修改、规范或其他合同文件的变动补充，都不能免除我方按本保函所承担的责任。因此，有关上述变动、补充和修改无须通知我方。</w:t>
      </w:r>
    </w:p>
    <w:p>
      <w:pPr>
        <w:shd w:val="clear"/>
        <w:ind w:firstLine="437"/>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本保函有效期从保函开立之日起至采购人向中标人抵扣完所有预付款之日止。</w:t>
      </w:r>
    </w:p>
    <w:p>
      <w:pPr>
        <w:shd w:val="clear"/>
        <w:rPr>
          <w:rFonts w:hint="eastAsia" w:ascii="宋体" w:hAnsi="宋体" w:eastAsia="宋体" w:cs="宋体"/>
          <w:color w:val="auto"/>
          <w:szCs w:val="21"/>
          <w:highlight w:val="none"/>
        </w:rPr>
      </w:pPr>
    </w:p>
    <w:p>
      <w:pPr>
        <w:shd w:val="clear"/>
        <w:ind w:firstLine="437"/>
        <w:rPr>
          <w:rFonts w:hint="eastAsia" w:ascii="宋体" w:hAnsi="宋体" w:eastAsia="宋体" w:cs="宋体"/>
          <w:color w:val="auto"/>
          <w:szCs w:val="21"/>
          <w:highlight w:val="none"/>
        </w:rPr>
      </w:pPr>
    </w:p>
    <w:p>
      <w:pPr>
        <w:shd w:val="clea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保证人：（公章）</w:t>
      </w:r>
      <w:r>
        <w:rPr>
          <w:rFonts w:hint="eastAsia" w:ascii="宋体" w:hAnsi="宋体" w:eastAsia="宋体" w:cs="宋体"/>
          <w:color w:val="auto"/>
          <w:szCs w:val="21"/>
          <w:highlight w:val="none"/>
          <w:u w:val="single"/>
        </w:rPr>
        <w:t xml:space="preserve">                     </w:t>
      </w:r>
    </w:p>
    <w:p>
      <w:pPr>
        <w:shd w:val="clea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负责人：（签字）</w:t>
      </w:r>
      <w:r>
        <w:rPr>
          <w:rFonts w:hint="eastAsia" w:ascii="宋体" w:hAnsi="宋体" w:eastAsia="宋体" w:cs="宋体"/>
          <w:color w:val="auto"/>
          <w:szCs w:val="21"/>
          <w:highlight w:val="none"/>
          <w:u w:val="single"/>
        </w:rPr>
        <w:t xml:space="preserve">                     </w:t>
      </w:r>
    </w:p>
    <w:p>
      <w:pPr>
        <w:shd w:val="clea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u w:val="single"/>
        </w:rPr>
        <w:t xml:space="preserve">                          </w:t>
      </w:r>
    </w:p>
    <w:p>
      <w:pPr>
        <w:shd w:val="clear"/>
        <w:ind w:firstLine="486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p>
    <w:p>
      <w:pPr>
        <w:shd w:val="clear"/>
        <w:ind w:firstLine="486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日期：</w:t>
      </w:r>
      <w:r>
        <w:rPr>
          <w:rFonts w:hint="eastAsia" w:ascii="宋体" w:hAnsi="宋体" w:eastAsia="宋体" w:cs="宋体"/>
          <w:color w:val="auto"/>
          <w:szCs w:val="21"/>
          <w:highlight w:val="none"/>
          <w:u w:val="single"/>
        </w:rPr>
        <w:t xml:space="preserve">                              </w:t>
      </w:r>
    </w:p>
    <w:p>
      <w:pPr>
        <w:pStyle w:val="15"/>
        <w:shd w:val="clear"/>
        <w:rPr>
          <w:rFonts w:hint="eastAsia" w:ascii="宋体" w:hAnsi="宋体" w:eastAsia="宋体" w:cs="宋体"/>
          <w:color w:val="auto"/>
          <w:szCs w:val="21"/>
          <w:highlight w:val="none"/>
        </w:rPr>
      </w:pPr>
    </w:p>
    <w:p>
      <w:pPr>
        <w:pStyle w:val="15"/>
        <w:shd w:val="clear"/>
        <w:rPr>
          <w:rFonts w:hint="eastAsia" w:ascii="宋体" w:hAnsi="宋体" w:eastAsia="宋体" w:cs="宋体"/>
          <w:color w:val="auto"/>
          <w:szCs w:val="21"/>
          <w:highlight w:val="none"/>
        </w:rPr>
      </w:pPr>
    </w:p>
    <w:p>
      <w:pPr>
        <w:shd w:val="clear"/>
        <w:ind w:firstLine="413" w:firstLineChars="196"/>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说明：投标人在投标文件中盖投标人公章确认保函内容即可，如中标再由银行出具保函。</w:t>
      </w:r>
    </w:p>
    <w:p>
      <w:pPr>
        <w:shd w:val="clear"/>
        <w:rPr>
          <w:rFonts w:hint="eastAsia" w:ascii="宋体" w:hAnsi="宋体" w:eastAsia="宋体" w:cs="宋体"/>
          <w:color w:val="auto"/>
          <w:szCs w:val="21"/>
          <w:highlight w:val="none"/>
        </w:rPr>
        <w:sectPr>
          <w:pgSz w:w="11906" w:h="16838"/>
          <w:pgMar w:top="1440" w:right="1800" w:bottom="1440" w:left="1800" w:header="708" w:footer="708" w:gutter="0"/>
          <w:pgNumType w:fmt="decimal"/>
          <w:cols w:space="708" w:num="1"/>
          <w:titlePg/>
          <w:docGrid w:type="lines" w:linePitch="360" w:charSpace="0"/>
        </w:sectPr>
      </w:pPr>
    </w:p>
    <w:p>
      <w:pPr>
        <w:pStyle w:val="11"/>
        <w:shd w:val="clear"/>
        <w:rPr>
          <w:rFonts w:hint="eastAsia" w:ascii="宋体" w:hAnsi="宋体" w:eastAsia="宋体" w:cs="宋体"/>
          <w:color w:val="auto"/>
          <w:highlight w:val="none"/>
        </w:rPr>
      </w:pPr>
      <w:bookmarkStart w:id="214" w:name="_Toc1968"/>
    </w:p>
    <w:p>
      <w:pPr>
        <w:shd w:val="clear"/>
        <w:jc w:val="center"/>
        <w:outlineLvl w:val="0"/>
        <w:rPr>
          <w:rFonts w:hint="eastAsia" w:ascii="宋体" w:hAnsi="宋体" w:eastAsia="宋体" w:cs="宋体"/>
          <w:color w:val="auto"/>
          <w:sz w:val="72"/>
          <w:szCs w:val="72"/>
          <w:highlight w:val="none"/>
        </w:rPr>
      </w:pPr>
      <w:bookmarkStart w:id="215" w:name="_Toc31704"/>
      <w:r>
        <w:rPr>
          <w:rFonts w:hint="eastAsia" w:ascii="宋体" w:hAnsi="宋体" w:eastAsia="宋体" w:cs="宋体"/>
          <w:color w:val="auto"/>
          <w:sz w:val="72"/>
          <w:szCs w:val="72"/>
          <w:highlight w:val="none"/>
        </w:rPr>
        <w:t>唱标信封</w:t>
      </w:r>
      <w:bookmarkEnd w:id="215"/>
    </w:p>
    <w:p>
      <w:pPr>
        <w:shd w:val="clear"/>
        <w:jc w:val="center"/>
        <w:rPr>
          <w:rFonts w:hint="eastAsia" w:ascii="宋体" w:hAnsi="宋体" w:eastAsia="宋体" w:cs="宋体"/>
          <w:color w:val="auto"/>
          <w:sz w:val="52"/>
          <w:szCs w:val="52"/>
          <w:highlight w:val="none"/>
        </w:rPr>
      </w:pPr>
      <w:r>
        <w:rPr>
          <w:rFonts w:hint="eastAsia" w:ascii="宋体" w:hAnsi="宋体" w:eastAsia="宋体" w:cs="宋体"/>
          <w:color w:val="auto"/>
          <w:sz w:val="52"/>
          <w:szCs w:val="52"/>
          <w:highlight w:val="none"/>
        </w:rPr>
        <w:t>（单独装订成册，单独封装）</w:t>
      </w:r>
    </w:p>
    <w:p>
      <w:pPr>
        <w:shd w:val="clear"/>
        <w:rPr>
          <w:rFonts w:hint="eastAsia" w:ascii="宋体" w:hAnsi="宋体" w:eastAsia="宋体" w:cs="宋体"/>
          <w:color w:val="auto"/>
          <w:highlight w:val="none"/>
        </w:rPr>
      </w:pPr>
    </w:p>
    <w:p>
      <w:pPr>
        <w:pStyle w:val="11"/>
        <w:shd w:val="clear"/>
        <w:rPr>
          <w:rFonts w:hint="eastAsia" w:ascii="宋体" w:hAnsi="宋体" w:eastAsia="宋体" w:cs="宋体"/>
          <w:color w:val="auto"/>
          <w:highlight w:val="none"/>
        </w:rPr>
      </w:pPr>
    </w:p>
    <w:p>
      <w:pPr>
        <w:pStyle w:val="10"/>
        <w:shd w:val="clear"/>
        <w:ind w:firstLine="240"/>
        <w:rPr>
          <w:rFonts w:hint="eastAsia" w:ascii="宋体" w:hAnsi="宋体" w:eastAsia="宋体" w:cs="宋体"/>
          <w:color w:val="auto"/>
          <w:highlight w:val="none"/>
        </w:rPr>
      </w:pPr>
    </w:p>
    <w:p>
      <w:pPr>
        <w:pStyle w:val="10"/>
        <w:shd w:val="clear"/>
        <w:ind w:firstLine="240"/>
        <w:rPr>
          <w:rFonts w:hint="eastAsia" w:ascii="宋体" w:hAnsi="宋体" w:eastAsia="宋体" w:cs="宋体"/>
          <w:color w:val="auto"/>
          <w:highlight w:val="none"/>
        </w:rPr>
      </w:pPr>
    </w:p>
    <w:p>
      <w:pPr>
        <w:shd w:val="clea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106"/>
          <w:sz w:val="32"/>
          <w:szCs w:val="32"/>
          <w:highlight w:val="none"/>
        </w:rPr>
        <w:t>项目名</w:t>
      </w:r>
      <w:r>
        <w:rPr>
          <w:rFonts w:hint="eastAsia" w:ascii="宋体" w:hAnsi="宋体" w:eastAsia="宋体" w:cs="宋体"/>
          <w:b/>
          <w:color w:val="auto"/>
          <w:spacing w:val="2"/>
          <w:sz w:val="32"/>
          <w:szCs w:val="32"/>
          <w:highlight w:val="none"/>
        </w:rPr>
        <w:t>称</w:t>
      </w:r>
      <w:r>
        <w:rPr>
          <w:rFonts w:hint="eastAsia" w:ascii="宋体" w:hAnsi="宋体" w:eastAsia="宋体" w:cs="宋体"/>
          <w:b/>
          <w:color w:val="auto"/>
          <w:spacing w:val="-6"/>
          <w:sz w:val="32"/>
          <w:szCs w:val="32"/>
          <w:highlight w:val="none"/>
        </w:rPr>
        <w:t>：</w:t>
      </w:r>
    </w:p>
    <w:p>
      <w:pPr>
        <w:shd w:val="clear"/>
        <w:rPr>
          <w:rFonts w:hint="eastAsia" w:ascii="宋体" w:hAnsi="宋体" w:eastAsia="宋体" w:cs="宋体"/>
          <w:b/>
          <w:color w:val="auto"/>
          <w:sz w:val="32"/>
          <w:szCs w:val="32"/>
          <w:highlight w:val="none"/>
        </w:rPr>
      </w:pPr>
      <w:r>
        <w:rPr>
          <w:rFonts w:hint="eastAsia" w:ascii="宋体" w:hAnsi="宋体" w:eastAsia="宋体" w:cs="宋体"/>
          <w:b/>
          <w:color w:val="auto"/>
          <w:spacing w:val="106"/>
          <w:sz w:val="32"/>
          <w:szCs w:val="32"/>
          <w:highlight w:val="none"/>
        </w:rPr>
        <w:t>项目编</w:t>
      </w:r>
      <w:r>
        <w:rPr>
          <w:rFonts w:hint="eastAsia" w:ascii="宋体" w:hAnsi="宋体" w:eastAsia="宋体" w:cs="宋体"/>
          <w:b/>
          <w:color w:val="auto"/>
          <w:spacing w:val="2"/>
          <w:sz w:val="32"/>
          <w:szCs w:val="32"/>
          <w:highlight w:val="none"/>
        </w:rPr>
        <w:t>号</w:t>
      </w:r>
      <w:r>
        <w:rPr>
          <w:rFonts w:hint="eastAsia" w:ascii="宋体" w:hAnsi="宋体" w:eastAsia="宋体" w:cs="宋体"/>
          <w:b/>
          <w:color w:val="auto"/>
          <w:sz w:val="32"/>
          <w:szCs w:val="32"/>
          <w:highlight w:val="none"/>
        </w:rPr>
        <w:t>：</w:t>
      </w:r>
    </w:p>
    <w:p>
      <w:pPr>
        <w:pStyle w:val="11"/>
        <w:shd w:val="clear"/>
        <w:ind w:left="0"/>
        <w:rPr>
          <w:rFonts w:hint="eastAsia" w:ascii="宋体" w:hAnsi="宋体" w:eastAsia="宋体" w:cs="宋体"/>
          <w:b/>
          <w:color w:val="auto"/>
          <w:spacing w:val="106"/>
          <w:sz w:val="32"/>
          <w:szCs w:val="32"/>
          <w:highlight w:val="none"/>
          <w:lang w:val="en-US" w:bidi="ar-SA"/>
        </w:rPr>
      </w:pPr>
      <w:r>
        <w:rPr>
          <w:rFonts w:hint="eastAsia" w:ascii="宋体" w:hAnsi="宋体" w:eastAsia="宋体" w:cs="宋体"/>
          <w:b/>
          <w:color w:val="auto"/>
          <w:spacing w:val="106"/>
          <w:sz w:val="32"/>
          <w:szCs w:val="32"/>
          <w:highlight w:val="none"/>
          <w:lang w:val="en-US" w:bidi="ar-SA"/>
        </w:rPr>
        <w:t>包组号（如有）：</w:t>
      </w:r>
    </w:p>
    <w:p>
      <w:pPr>
        <w:shd w:val="clea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投标人名称：</w:t>
      </w:r>
    </w:p>
    <w:p>
      <w:pPr>
        <w:shd w:val="clear"/>
        <w:rPr>
          <w:rFonts w:hint="eastAsia" w:ascii="宋体" w:hAnsi="宋体" w:eastAsia="宋体" w:cs="宋体"/>
          <w:b/>
          <w:color w:val="auto"/>
          <w:sz w:val="32"/>
          <w:szCs w:val="32"/>
          <w:highlight w:val="none"/>
        </w:rPr>
      </w:pPr>
      <w:r>
        <w:rPr>
          <w:rFonts w:hint="eastAsia" w:ascii="宋体" w:hAnsi="宋体" w:eastAsia="宋体" w:cs="宋体"/>
          <w:b/>
          <w:color w:val="auto"/>
          <w:spacing w:val="64"/>
          <w:sz w:val="32"/>
          <w:szCs w:val="32"/>
          <w:highlight w:val="none"/>
        </w:rPr>
        <w:t xml:space="preserve">日   </w:t>
      </w:r>
      <w:r>
        <w:rPr>
          <w:rFonts w:hint="eastAsia" w:ascii="宋体" w:hAnsi="宋体" w:eastAsia="宋体" w:cs="宋体"/>
          <w:b/>
          <w:color w:val="auto"/>
          <w:sz w:val="32"/>
          <w:szCs w:val="32"/>
          <w:highlight w:val="none"/>
        </w:rPr>
        <w:t>期：</w:t>
      </w:r>
    </w:p>
    <w:p>
      <w:pPr>
        <w:shd w:val="clear"/>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bookmarkEnd w:id="214"/>
    <w:p>
      <w:pPr>
        <w:pStyle w:val="5"/>
        <w:numPr>
          <w:ilvl w:val="255"/>
          <w:numId w:val="0"/>
        </w:numPr>
        <w:shd w:val="clear"/>
        <w:tabs>
          <w:tab w:val="left" w:pos="720"/>
          <w:tab w:val="left" w:pos="3840"/>
        </w:tabs>
        <w:ind w:left="283"/>
        <w:jc w:val="both"/>
        <w:outlineLvl w:val="3"/>
        <w:rPr>
          <w:rFonts w:hint="eastAsia" w:ascii="宋体" w:hAnsi="宋体" w:eastAsia="宋体" w:cs="宋体"/>
          <w:color w:val="auto"/>
          <w:sz w:val="21"/>
          <w:szCs w:val="21"/>
          <w:highlight w:val="none"/>
        </w:rPr>
      </w:pPr>
      <w:bookmarkStart w:id="216" w:name="_Toc14996"/>
      <w:r>
        <w:rPr>
          <w:rFonts w:hint="eastAsia" w:ascii="宋体" w:hAnsi="宋体" w:eastAsia="宋体" w:cs="宋体"/>
          <w:color w:val="auto"/>
          <w:sz w:val="21"/>
          <w:szCs w:val="21"/>
          <w:highlight w:val="none"/>
        </w:rPr>
        <w:t>附件2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.唱标信封内装（内容务必与投标文件正本一致）</w:t>
      </w:r>
      <w:bookmarkEnd w:id="216"/>
    </w:p>
    <w:p>
      <w:pPr>
        <w:numPr>
          <w:ilvl w:val="0"/>
          <w:numId w:val="16"/>
        </w:numPr>
        <w:shd w:val="clea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开标一览表加盖公章；</w:t>
      </w:r>
    </w:p>
    <w:p>
      <w:pPr>
        <w:numPr>
          <w:ilvl w:val="0"/>
          <w:numId w:val="16"/>
        </w:numPr>
        <w:shd w:val="clea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法定代表人证明书加盖公章；</w:t>
      </w:r>
    </w:p>
    <w:p>
      <w:pPr>
        <w:numPr>
          <w:ilvl w:val="0"/>
          <w:numId w:val="16"/>
        </w:numPr>
        <w:shd w:val="clea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法定代表人授权委托书加盖公章（法定代表人投标的除外）；</w:t>
      </w:r>
    </w:p>
    <w:p>
      <w:pPr>
        <w:numPr>
          <w:ilvl w:val="0"/>
          <w:numId w:val="16"/>
        </w:numPr>
        <w:shd w:val="clea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投标保证金汇入情况说明（含银行汇款凭证）或投标保函加盖公章；</w:t>
      </w:r>
    </w:p>
    <w:p>
      <w:pPr>
        <w:numPr>
          <w:ilvl w:val="0"/>
          <w:numId w:val="16"/>
        </w:numPr>
        <w:shd w:val="clear"/>
        <w:ind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投标文件电子文件（U盘，须含盖章版PDF投标文件和WORD版投标文件各一版，文字采用WORD文档，计算表格采用 EXCEL文档。）</w:t>
      </w:r>
    </w:p>
    <w:p>
      <w:pPr>
        <w:shd w:val="clear"/>
        <w:rPr>
          <w:rFonts w:hint="eastAsia" w:ascii="宋体" w:hAnsi="宋体" w:eastAsia="宋体" w:cs="宋体"/>
          <w:color w:val="auto"/>
          <w:szCs w:val="21"/>
          <w:highlight w:val="none"/>
        </w:rPr>
      </w:pPr>
    </w:p>
    <w:p>
      <w:pPr>
        <w:pStyle w:val="11"/>
        <w:shd w:val="clear"/>
        <w:rPr>
          <w:rFonts w:hint="eastAsia" w:ascii="宋体" w:hAnsi="宋体" w:eastAsia="宋体" w:cs="宋体"/>
          <w:color w:val="auto"/>
          <w:highlight w:val="none"/>
        </w:rPr>
      </w:pPr>
    </w:p>
    <w:sectPr>
      <w:pgSz w:w="11906" w:h="16838"/>
      <w:pgMar w:top="1440" w:right="1800" w:bottom="1440" w:left="1800" w:header="708" w:footer="708" w:gutter="0"/>
      <w:pgNumType w:fmt="decimal"/>
      <w:cols w:space="708" w:num="1"/>
      <w:titlePg/>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方正书宋简体">
    <w:altName w:val="宋体"/>
    <w:panose1 w:val="02000000000000000000"/>
    <w:charset w:val="86"/>
    <w:family w:val="auto"/>
    <w:pitch w:val="default"/>
    <w:sig w:usb0="00000000" w:usb1="00000000"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小标宋">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7FFAEFF" w:usb1="F9DFFFFF" w:usb2="0000007F" w:usb3="00000000" w:csb0="203F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23"/>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2</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90</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23"/>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2</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90</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1</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90</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3F45UV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I3F45UVAgAAFQQAAA4AAAAAAAAA&#10;AQAgAAAAHwEAAGRycy9lMm9Eb2MueG1sUEsFBgAAAAAGAAYAWQEAAKYFAAAAAA==&#10;">
              <v:fill on="f" focussize="0,0"/>
              <v:stroke on="f" weight="0.5pt"/>
              <v:imagedata o:title=""/>
              <o:lock v:ext="edit" aspectratio="f"/>
              <v:textbox inset="0mm,0mm,0mm,0mm" style="mso-fit-shape-to-text:t;">
                <w:txbxContent>
                  <w:p>
                    <w:pPr>
                      <w:pStyle w:val="23"/>
                      <w:rPr>
                        <w:rFonts w:hint="eastAsia" w:ascii="宋体" w:hAnsi="宋体" w:eastAsia="宋体" w:cs="宋体"/>
                        <w:lang w:eastAsia="zh-CN"/>
                      </w:rPr>
                    </w:pPr>
                    <w:r>
                      <w:rPr>
                        <w:rFonts w:hint="eastAsia" w:ascii="宋体" w:hAnsi="宋体" w:eastAsia="宋体" w:cs="宋体"/>
                        <w:lang w:eastAsia="zh-CN"/>
                      </w:rPr>
                      <w:t xml:space="preserve">第 </w:t>
                    </w:r>
                    <w:r>
                      <w:rPr>
                        <w:rFonts w:hint="eastAsia" w:ascii="宋体" w:hAnsi="宋体" w:eastAsia="宋体" w:cs="宋体"/>
                        <w:lang w:eastAsia="zh-CN"/>
                      </w:rPr>
                      <w:fldChar w:fldCharType="begin"/>
                    </w:r>
                    <w:r>
                      <w:rPr>
                        <w:rFonts w:hint="eastAsia" w:ascii="宋体" w:hAnsi="宋体" w:eastAsia="宋体" w:cs="宋体"/>
                        <w:lang w:eastAsia="zh-CN"/>
                      </w:rPr>
                      <w:instrText xml:space="preserve"> PAGE  \* MERGEFORMAT </w:instrText>
                    </w:r>
                    <w:r>
                      <w:rPr>
                        <w:rFonts w:hint="eastAsia" w:ascii="宋体" w:hAnsi="宋体" w:eastAsia="宋体" w:cs="宋体"/>
                        <w:lang w:eastAsia="zh-CN"/>
                      </w:rPr>
                      <w:fldChar w:fldCharType="separate"/>
                    </w:r>
                    <w:r>
                      <w:rPr>
                        <w:rFonts w:hint="eastAsia" w:ascii="宋体" w:hAnsi="宋体" w:eastAsia="宋体" w:cs="宋体"/>
                        <w:lang w:eastAsia="zh-CN"/>
                      </w:rPr>
                      <w:t>1</w:t>
                    </w:r>
                    <w:r>
                      <w:rPr>
                        <w:rFonts w:hint="eastAsia" w:ascii="宋体" w:hAnsi="宋体" w:eastAsia="宋体" w:cs="宋体"/>
                        <w:lang w:eastAsia="zh-CN"/>
                      </w:rPr>
                      <w:fldChar w:fldCharType="end"/>
                    </w:r>
                    <w:r>
                      <w:rPr>
                        <w:rFonts w:hint="eastAsia" w:ascii="宋体" w:hAnsi="宋体" w:eastAsia="宋体" w:cs="宋体"/>
                        <w:lang w:eastAsia="zh-CN"/>
                      </w:rPr>
                      <w:t xml:space="preserve"> 页 共 </w:t>
                    </w:r>
                    <w:r>
                      <w:rPr>
                        <w:rFonts w:hint="eastAsia" w:ascii="宋体" w:hAnsi="宋体" w:eastAsia="宋体" w:cs="宋体"/>
                        <w:lang w:eastAsia="zh-CN"/>
                      </w:rPr>
                      <w:fldChar w:fldCharType="begin"/>
                    </w:r>
                    <w:r>
                      <w:rPr>
                        <w:rFonts w:hint="eastAsia" w:ascii="宋体" w:hAnsi="宋体" w:eastAsia="宋体" w:cs="宋体"/>
                        <w:lang w:eastAsia="zh-CN"/>
                      </w:rPr>
                      <w:instrText xml:space="preserve"> NUMPAGES  \* MERGEFORMAT </w:instrText>
                    </w:r>
                    <w:r>
                      <w:rPr>
                        <w:rFonts w:hint="eastAsia" w:ascii="宋体" w:hAnsi="宋体" w:eastAsia="宋体" w:cs="宋体"/>
                        <w:lang w:eastAsia="zh-CN"/>
                      </w:rPr>
                      <w:fldChar w:fldCharType="separate"/>
                    </w:r>
                    <w:r>
                      <w:rPr>
                        <w:rFonts w:hint="eastAsia" w:ascii="宋体" w:hAnsi="宋体" w:eastAsia="宋体" w:cs="宋体"/>
                        <w:lang w:eastAsia="zh-CN"/>
                      </w:rPr>
                      <w:t>90</w:t>
                    </w:r>
                    <w:r>
                      <w:rPr>
                        <w:rFonts w:hint="eastAsia" w:ascii="宋体" w:hAnsi="宋体" w:eastAsia="宋体" w:cs="宋体"/>
                        <w:lang w:eastAsia="zh-CN"/>
                      </w:rPr>
                      <w:fldChar w:fldCharType="end"/>
                    </w:r>
                    <w:r>
                      <w:rPr>
                        <w:rFonts w:hint="eastAsia" w:ascii="宋体" w:hAnsi="宋体" w:eastAsia="宋体" w:cs="宋体"/>
                        <w:lang w:eastAsia="zh-CN"/>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9tdHoS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M9tdHoSAgAAFQQAAA4AAAAAAAAAAQAg&#10;AAAAHwEAAGRycy9lMm9Eb2MueG1sUEsFBgAAAAAGAAYAWQEAAKMFA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42</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90</w:t>
                    </w:r>
                    <w:r>
                      <w:rPr>
                        <w:rFonts w:hint="eastAsia"/>
                        <w:lang w:eastAsia="zh-CN"/>
                      </w:rPr>
                      <w:fldChar w:fldCharType="end"/>
                    </w:r>
                    <w:r>
                      <w:rPr>
                        <w:rFonts w:hint="eastAsia"/>
                        <w:lang w:eastAsia="zh-CN"/>
                      </w:rPr>
                      <w:t xml:space="preserve"> 页</w:t>
                    </w:r>
                  </w:p>
                </w:txbxContent>
              </v:textbox>
            </v:shape>
          </w:pict>
        </mc:Fallback>
      </mc:AlternateContent>
    </w:r>
  </w:p>
  <w:p>
    <w:pPr>
      <w:pStyle w:val="2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TvZE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BIk72REwIAABUEAAAOAAAAAAAAAAEA&#10;IAAAAB8BAABkcnMvZTJvRG9jLnhtbFBLBQYAAAAABgAGAFkBAACkBQ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44</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90</w:t>
                    </w:r>
                    <w:r>
                      <w:rPr>
                        <w:rFonts w:hint="eastAsia"/>
                        <w:lang w:eastAsia="zh-CN"/>
                      </w:rPr>
                      <w:fldChar w:fldCharType="end"/>
                    </w:r>
                    <w:r>
                      <w:rPr>
                        <w:rFonts w:hint="eastAsia"/>
                        <w:lang w:eastAsia="zh-CN"/>
                      </w:rP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90</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2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43</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90</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9555E15"/>
    <w:multiLevelType w:val="singleLevel"/>
    <w:tmpl w:val="C9555E15"/>
    <w:lvl w:ilvl="0" w:tentative="0">
      <w:start w:val="1"/>
      <w:numFmt w:val="decimal"/>
      <w:lvlText w:val="(%1)"/>
      <w:lvlJc w:val="left"/>
      <w:pPr>
        <w:ind w:left="425" w:hanging="425"/>
      </w:pPr>
      <w:rPr>
        <w:rFonts w:hint="default"/>
      </w:rPr>
    </w:lvl>
  </w:abstractNum>
  <w:abstractNum w:abstractNumId="1">
    <w:nsid w:val="CFF174A5"/>
    <w:multiLevelType w:val="singleLevel"/>
    <w:tmpl w:val="CFF174A5"/>
    <w:lvl w:ilvl="0" w:tentative="0">
      <w:start w:val="1"/>
      <w:numFmt w:val="decimal"/>
      <w:suff w:val="nothing"/>
      <w:lvlText w:val="%1、"/>
      <w:lvlJc w:val="left"/>
    </w:lvl>
  </w:abstractNum>
  <w:abstractNum w:abstractNumId="2">
    <w:nsid w:val="D0047B7E"/>
    <w:multiLevelType w:val="singleLevel"/>
    <w:tmpl w:val="D0047B7E"/>
    <w:lvl w:ilvl="0" w:tentative="0">
      <w:start w:val="1"/>
      <w:numFmt w:val="decimal"/>
      <w:suff w:val="nothing"/>
      <w:lvlText w:val="%1、"/>
      <w:lvlJc w:val="left"/>
    </w:lvl>
  </w:abstractNum>
  <w:abstractNum w:abstractNumId="3">
    <w:nsid w:val="D3BA59E6"/>
    <w:multiLevelType w:val="singleLevel"/>
    <w:tmpl w:val="D3BA59E6"/>
    <w:lvl w:ilvl="0" w:tentative="0">
      <w:start w:val="1"/>
      <w:numFmt w:val="decimal"/>
      <w:lvlText w:val="%1."/>
      <w:lvlJc w:val="left"/>
      <w:pPr>
        <w:tabs>
          <w:tab w:val="left" w:pos="312"/>
        </w:tabs>
      </w:pPr>
    </w:lvl>
  </w:abstractNum>
  <w:abstractNum w:abstractNumId="4">
    <w:nsid w:val="00000005"/>
    <w:multiLevelType w:val="multilevel"/>
    <w:tmpl w:val="00000005"/>
    <w:lvl w:ilvl="0" w:tentative="0">
      <w:start w:val="1"/>
      <w:numFmt w:val="decimal"/>
      <w:lvlText w:val="%1."/>
      <w:lvlJc w:val="left"/>
      <w:pPr>
        <w:tabs>
          <w:tab w:val="left" w:pos="0"/>
        </w:tabs>
        <w:ind w:left="0" w:firstLine="420"/>
      </w:pPr>
      <w:rPr>
        <w:rFonts w:hint="default"/>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25"/>
    <w:multiLevelType w:val="multilevel"/>
    <w:tmpl w:val="00000025"/>
    <w:lvl w:ilvl="0" w:tentative="0">
      <w:start w:val="1"/>
      <w:numFmt w:val="decimal"/>
      <w:lvlText w:val="%1"/>
      <w:lvlJc w:val="left"/>
      <w:pPr>
        <w:tabs>
          <w:tab w:val="left" w:pos="420"/>
        </w:tabs>
        <w:ind w:left="420" w:hanging="420"/>
      </w:pPr>
      <w:rPr>
        <w:rFonts w:hint="default"/>
        <w:u w:val="none"/>
      </w:rPr>
    </w:lvl>
    <w:lvl w:ilvl="1" w:tentative="0">
      <w:start w:val="1"/>
      <w:numFmt w:val="lowerLetter"/>
      <w:lvlText w:val="%2)"/>
      <w:lvlJc w:val="left"/>
      <w:pPr>
        <w:tabs>
          <w:tab w:val="left" w:pos="840"/>
        </w:tabs>
        <w:ind w:left="840" w:hanging="420"/>
      </w:pPr>
      <w:rPr>
        <w:rFonts w:hint="default"/>
        <w:u w:val="none"/>
      </w:rPr>
    </w:lvl>
    <w:lvl w:ilvl="2" w:tentative="0">
      <w:start w:val="1"/>
      <w:numFmt w:val="lowerRoman"/>
      <w:lvlText w:val="%3."/>
      <w:lvlJc w:val="right"/>
      <w:pPr>
        <w:tabs>
          <w:tab w:val="left" w:pos="1260"/>
        </w:tabs>
        <w:ind w:left="1260" w:hanging="420"/>
      </w:pPr>
      <w:rPr>
        <w:rFonts w:hint="default"/>
        <w:u w:val="none"/>
      </w:rPr>
    </w:lvl>
    <w:lvl w:ilvl="3" w:tentative="0">
      <w:start w:val="1"/>
      <w:numFmt w:val="decimal"/>
      <w:lvlText w:val="%4."/>
      <w:lvlJc w:val="left"/>
      <w:pPr>
        <w:tabs>
          <w:tab w:val="left" w:pos="1680"/>
        </w:tabs>
        <w:ind w:left="1680" w:hanging="420"/>
      </w:pPr>
      <w:rPr>
        <w:rFonts w:hint="default"/>
        <w:u w:val="none"/>
      </w:rPr>
    </w:lvl>
    <w:lvl w:ilvl="4" w:tentative="0">
      <w:start w:val="1"/>
      <w:numFmt w:val="lowerLetter"/>
      <w:lvlText w:val="%5)"/>
      <w:lvlJc w:val="left"/>
      <w:pPr>
        <w:tabs>
          <w:tab w:val="left" w:pos="2100"/>
        </w:tabs>
        <w:ind w:left="2100" w:hanging="420"/>
      </w:pPr>
      <w:rPr>
        <w:rFonts w:hint="default"/>
        <w:u w:val="none"/>
      </w:rPr>
    </w:lvl>
    <w:lvl w:ilvl="5" w:tentative="0">
      <w:start w:val="1"/>
      <w:numFmt w:val="lowerRoman"/>
      <w:lvlText w:val="%6."/>
      <w:lvlJc w:val="right"/>
      <w:pPr>
        <w:tabs>
          <w:tab w:val="left" w:pos="2520"/>
        </w:tabs>
        <w:ind w:left="2520" w:hanging="420"/>
      </w:pPr>
      <w:rPr>
        <w:rFonts w:hint="default"/>
        <w:u w:val="none"/>
      </w:rPr>
    </w:lvl>
    <w:lvl w:ilvl="6" w:tentative="0">
      <w:start w:val="1"/>
      <w:numFmt w:val="decimal"/>
      <w:lvlText w:val="%7."/>
      <w:lvlJc w:val="left"/>
      <w:pPr>
        <w:tabs>
          <w:tab w:val="left" w:pos="2940"/>
        </w:tabs>
        <w:ind w:left="2940" w:hanging="420"/>
      </w:pPr>
      <w:rPr>
        <w:rFonts w:hint="default"/>
        <w:u w:val="none"/>
      </w:rPr>
    </w:lvl>
    <w:lvl w:ilvl="7" w:tentative="0">
      <w:start w:val="1"/>
      <w:numFmt w:val="lowerLetter"/>
      <w:lvlText w:val="%8)"/>
      <w:lvlJc w:val="left"/>
      <w:pPr>
        <w:tabs>
          <w:tab w:val="left" w:pos="3360"/>
        </w:tabs>
        <w:ind w:left="3360" w:hanging="420"/>
      </w:pPr>
      <w:rPr>
        <w:rFonts w:hint="default"/>
        <w:u w:val="none"/>
      </w:rPr>
    </w:lvl>
    <w:lvl w:ilvl="8" w:tentative="0">
      <w:start w:val="1"/>
      <w:numFmt w:val="lowerRoman"/>
      <w:lvlText w:val="%9."/>
      <w:lvlJc w:val="right"/>
      <w:pPr>
        <w:tabs>
          <w:tab w:val="left" w:pos="3780"/>
        </w:tabs>
        <w:ind w:left="3780" w:hanging="420"/>
      </w:pPr>
      <w:rPr>
        <w:rFonts w:hint="default"/>
        <w:u w:val="none"/>
      </w:rPr>
    </w:lvl>
  </w:abstractNum>
  <w:abstractNum w:abstractNumId="6">
    <w:nsid w:val="067FA574"/>
    <w:multiLevelType w:val="singleLevel"/>
    <w:tmpl w:val="067FA574"/>
    <w:lvl w:ilvl="0" w:tentative="0">
      <w:start w:val="1"/>
      <w:numFmt w:val="decimal"/>
      <w:suff w:val="nothing"/>
      <w:lvlText w:val="%1、"/>
      <w:lvlJc w:val="left"/>
    </w:lvl>
  </w:abstractNum>
  <w:abstractNum w:abstractNumId="7">
    <w:nsid w:val="13387DFE"/>
    <w:multiLevelType w:val="multilevel"/>
    <w:tmpl w:val="13387DFE"/>
    <w:lvl w:ilvl="0" w:tentative="0">
      <w:start w:val="1"/>
      <w:numFmt w:val="decimal"/>
      <w:lvlText w:val="%1."/>
      <w:lvlJc w:val="left"/>
      <w:pPr>
        <w:tabs>
          <w:tab w:val="left" w:pos="425"/>
        </w:tabs>
        <w:ind w:left="425" w:hanging="425"/>
      </w:pPr>
      <w:rPr>
        <w:rFonts w:hint="eastAsia" w:ascii="宋体" w:hAnsi="宋体" w:eastAsia="宋体"/>
      </w:rPr>
    </w:lvl>
    <w:lvl w:ilvl="1" w:tentative="0">
      <w:start w:val="1"/>
      <w:numFmt w:val="decimal"/>
      <w:lvlText w:val="%1.%2."/>
      <w:lvlJc w:val="left"/>
      <w:pPr>
        <w:tabs>
          <w:tab w:val="left" w:pos="567"/>
        </w:tabs>
        <w:ind w:left="567" w:hanging="567"/>
      </w:pPr>
      <w:rPr>
        <w:rFonts w:hint="eastAsia" w:ascii="宋体" w:hAnsi="宋体" w:eastAsia="宋体"/>
        <w:color w:val="auto"/>
      </w:rPr>
    </w:lvl>
    <w:lvl w:ilvl="2" w:tentative="0">
      <w:start w:val="1"/>
      <w:numFmt w:val="decimal"/>
      <w:lvlText w:val="%1.%2.%3."/>
      <w:lvlJc w:val="left"/>
      <w:pPr>
        <w:tabs>
          <w:tab w:val="left" w:pos="794"/>
        </w:tabs>
        <w:ind w:left="794" w:hanging="794"/>
      </w:pPr>
      <w:rPr>
        <w:rFonts w:hint="eastAsia" w:ascii="宋体" w:hAnsi="宋体" w:eastAsia="宋体"/>
      </w:rPr>
    </w:lvl>
    <w:lvl w:ilvl="3" w:tentative="0">
      <w:start w:val="1"/>
      <w:numFmt w:val="decimal"/>
      <w:lvlText w:val="%1.%2.%3.%4."/>
      <w:lvlJc w:val="left"/>
      <w:pPr>
        <w:tabs>
          <w:tab w:val="left" w:pos="454"/>
        </w:tabs>
        <w:ind w:left="1021" w:hanging="1021"/>
      </w:pPr>
      <w:rPr>
        <w:rFonts w:hint="eastAsia" w:ascii="宋体" w:hAnsi="宋体" w:eastAsia="宋体"/>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20D2348B"/>
    <w:multiLevelType w:val="singleLevel"/>
    <w:tmpl w:val="20D2348B"/>
    <w:lvl w:ilvl="0" w:tentative="0">
      <w:start w:val="1"/>
      <w:numFmt w:val="chineseCounting"/>
      <w:suff w:val="nothing"/>
      <w:lvlText w:val="（%1）"/>
      <w:lvlJc w:val="left"/>
      <w:rPr>
        <w:rFonts w:hint="eastAsia"/>
      </w:rPr>
    </w:lvl>
  </w:abstractNum>
  <w:abstractNum w:abstractNumId="9">
    <w:nsid w:val="27F49B4B"/>
    <w:multiLevelType w:val="multilevel"/>
    <w:tmpl w:val="27F49B4B"/>
    <w:lvl w:ilvl="0" w:tentative="0">
      <w:start w:val="1"/>
      <w:numFmt w:val="decimal"/>
      <w:lvlText w:val="%1."/>
      <w:lvlJc w:val="left"/>
      <w:pPr>
        <w:ind w:left="425" w:hanging="425"/>
      </w:pPr>
      <w:rPr>
        <w:rFonts w:hint="default"/>
      </w:rPr>
    </w:lvl>
    <w:lvl w:ilvl="1" w:tentative="0">
      <w:start w:val="1"/>
      <w:numFmt w:val="decimal"/>
      <w:lvlText w:val="%1.%2."/>
      <w:lvlJc w:val="left"/>
      <w:pPr>
        <w:ind w:left="567" w:hanging="567"/>
      </w:pPr>
      <w:rPr>
        <w:rFonts w:hint="default"/>
      </w:rPr>
    </w:lvl>
    <w:lvl w:ilvl="2" w:tentative="0">
      <w:start w:val="1"/>
      <w:numFmt w:val="decimal"/>
      <w:lvlText w:val="%1.%2.%3."/>
      <w:lvlJc w:val="left"/>
      <w:pPr>
        <w:ind w:left="566" w:hanging="566"/>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0">
    <w:nsid w:val="3F88662E"/>
    <w:multiLevelType w:val="singleLevel"/>
    <w:tmpl w:val="3F88662E"/>
    <w:lvl w:ilvl="0" w:tentative="0">
      <w:start w:val="1"/>
      <w:numFmt w:val="decimal"/>
      <w:suff w:val="space"/>
      <w:lvlText w:val="%1)"/>
      <w:lvlJc w:val="left"/>
    </w:lvl>
  </w:abstractNum>
  <w:abstractNum w:abstractNumId="11">
    <w:nsid w:val="580745EB"/>
    <w:multiLevelType w:val="multilevel"/>
    <w:tmpl w:val="580745EB"/>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9475170"/>
    <w:multiLevelType w:val="singleLevel"/>
    <w:tmpl w:val="59475170"/>
    <w:lvl w:ilvl="0" w:tentative="0">
      <w:start w:val="1"/>
      <w:numFmt w:val="decimal"/>
      <w:suff w:val="space"/>
      <w:lvlText w:val="（%1）"/>
      <w:lvlJc w:val="left"/>
    </w:lvl>
  </w:abstractNum>
  <w:abstractNum w:abstractNumId="13">
    <w:nsid w:val="59C5D728"/>
    <w:multiLevelType w:val="singleLevel"/>
    <w:tmpl w:val="59C5D728"/>
    <w:lvl w:ilvl="0" w:tentative="0">
      <w:start w:val="1"/>
      <w:numFmt w:val="chineseCounting"/>
      <w:suff w:val="nothing"/>
      <w:lvlText w:val="%1、"/>
      <w:lvlJc w:val="left"/>
      <w:pPr>
        <w:ind w:left="0" w:firstLine="420"/>
      </w:pPr>
      <w:rPr>
        <w:rFonts w:hint="eastAsia"/>
      </w:rPr>
    </w:lvl>
  </w:abstractNum>
  <w:abstractNum w:abstractNumId="14">
    <w:nsid w:val="5C183DB0"/>
    <w:multiLevelType w:val="multilevel"/>
    <w:tmpl w:val="5C183DB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D1539A1"/>
    <w:multiLevelType w:val="multilevel"/>
    <w:tmpl w:val="5D1539A1"/>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12"/>
  </w:num>
  <w:num w:numId="2">
    <w:abstractNumId w:val="3"/>
  </w:num>
  <w:num w:numId="3">
    <w:abstractNumId w:val="11"/>
  </w:num>
  <w:num w:numId="4">
    <w:abstractNumId w:val="9"/>
  </w:num>
  <w:num w:numId="5">
    <w:abstractNumId w:val="15"/>
  </w:num>
  <w:num w:numId="6">
    <w:abstractNumId w:val="10"/>
  </w:num>
  <w:num w:numId="7">
    <w:abstractNumId w:val="5"/>
  </w:num>
  <w:num w:numId="8">
    <w:abstractNumId w:val="0"/>
  </w:num>
  <w:num w:numId="9">
    <w:abstractNumId w:val="7"/>
  </w:num>
  <w:num w:numId="10">
    <w:abstractNumId w:val="1"/>
  </w:num>
  <w:num w:numId="11">
    <w:abstractNumId w:val="6"/>
  </w:num>
  <w:num w:numId="12">
    <w:abstractNumId w:val="4"/>
  </w:num>
  <w:num w:numId="13">
    <w:abstractNumId w:val="8"/>
  </w:num>
  <w:num w:numId="14">
    <w:abstractNumId w:val="2"/>
  </w:num>
  <w:num w:numId="15">
    <w:abstractNumId w:val="14"/>
  </w:num>
  <w:num w:numId="16">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yb">
    <w15:presenceInfo w15:providerId="None" w15:userId=" wy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hideSpellingErrors/>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NhNjQ0YWRiMWY4M2NiNWY5YjQ4YWI3NzFjMzFlNTIifQ=="/>
  </w:docVars>
  <w:rsids>
    <w:rsidRoot w:val="00172A27"/>
    <w:rsid w:val="00005A66"/>
    <w:rsid w:val="00006462"/>
    <w:rsid w:val="000300E4"/>
    <w:rsid w:val="0003307E"/>
    <w:rsid w:val="000336BA"/>
    <w:rsid w:val="000359A1"/>
    <w:rsid w:val="0005185D"/>
    <w:rsid w:val="0007500F"/>
    <w:rsid w:val="0008282E"/>
    <w:rsid w:val="00084F6D"/>
    <w:rsid w:val="00093A13"/>
    <w:rsid w:val="000A363F"/>
    <w:rsid w:val="000A42A8"/>
    <w:rsid w:val="000A5063"/>
    <w:rsid w:val="000A5DBD"/>
    <w:rsid w:val="000C4524"/>
    <w:rsid w:val="000D44A6"/>
    <w:rsid w:val="000E2CB7"/>
    <w:rsid w:val="000E50BF"/>
    <w:rsid w:val="000F0E98"/>
    <w:rsid w:val="000F1444"/>
    <w:rsid w:val="001049A5"/>
    <w:rsid w:val="001120E0"/>
    <w:rsid w:val="00121ADA"/>
    <w:rsid w:val="001242F3"/>
    <w:rsid w:val="001332BB"/>
    <w:rsid w:val="00134CAD"/>
    <w:rsid w:val="001368B7"/>
    <w:rsid w:val="0013730B"/>
    <w:rsid w:val="00137853"/>
    <w:rsid w:val="00137E1C"/>
    <w:rsid w:val="00147012"/>
    <w:rsid w:val="00172A27"/>
    <w:rsid w:val="00173126"/>
    <w:rsid w:val="00173905"/>
    <w:rsid w:val="00173E04"/>
    <w:rsid w:val="00175D29"/>
    <w:rsid w:val="001833A1"/>
    <w:rsid w:val="001844F4"/>
    <w:rsid w:val="00185039"/>
    <w:rsid w:val="001852D7"/>
    <w:rsid w:val="001A06D8"/>
    <w:rsid w:val="001A2D42"/>
    <w:rsid w:val="001A2EF7"/>
    <w:rsid w:val="001B1F14"/>
    <w:rsid w:val="001B41CF"/>
    <w:rsid w:val="001B5860"/>
    <w:rsid w:val="001C1135"/>
    <w:rsid w:val="001C15AE"/>
    <w:rsid w:val="001C4661"/>
    <w:rsid w:val="001C5689"/>
    <w:rsid w:val="001C6E4B"/>
    <w:rsid w:val="001F0070"/>
    <w:rsid w:val="001F4B02"/>
    <w:rsid w:val="001F6BC7"/>
    <w:rsid w:val="002065A7"/>
    <w:rsid w:val="0021149E"/>
    <w:rsid w:val="00213021"/>
    <w:rsid w:val="00216BE9"/>
    <w:rsid w:val="00221E7A"/>
    <w:rsid w:val="0022503E"/>
    <w:rsid w:val="00225BB4"/>
    <w:rsid w:val="00226313"/>
    <w:rsid w:val="002373BB"/>
    <w:rsid w:val="00240F5F"/>
    <w:rsid w:val="00247224"/>
    <w:rsid w:val="00247AE0"/>
    <w:rsid w:val="00260AC1"/>
    <w:rsid w:val="0026312D"/>
    <w:rsid w:val="0027078E"/>
    <w:rsid w:val="0028395F"/>
    <w:rsid w:val="00284156"/>
    <w:rsid w:val="00285643"/>
    <w:rsid w:val="002867A1"/>
    <w:rsid w:val="002901F8"/>
    <w:rsid w:val="002920A4"/>
    <w:rsid w:val="002B4087"/>
    <w:rsid w:val="002B5F6C"/>
    <w:rsid w:val="002C6C78"/>
    <w:rsid w:val="002D1594"/>
    <w:rsid w:val="002D3F9C"/>
    <w:rsid w:val="002D503C"/>
    <w:rsid w:val="002D7E27"/>
    <w:rsid w:val="002E17E5"/>
    <w:rsid w:val="002E6B7E"/>
    <w:rsid w:val="002F0FC9"/>
    <w:rsid w:val="0030669E"/>
    <w:rsid w:val="003101A3"/>
    <w:rsid w:val="00320CEA"/>
    <w:rsid w:val="00323B43"/>
    <w:rsid w:val="00326831"/>
    <w:rsid w:val="003274CE"/>
    <w:rsid w:val="003361E9"/>
    <w:rsid w:val="003430F6"/>
    <w:rsid w:val="00353842"/>
    <w:rsid w:val="0035595E"/>
    <w:rsid w:val="00381C26"/>
    <w:rsid w:val="0038564C"/>
    <w:rsid w:val="00387CE4"/>
    <w:rsid w:val="00393B1D"/>
    <w:rsid w:val="003A1D97"/>
    <w:rsid w:val="003C18EB"/>
    <w:rsid w:val="003C1E4E"/>
    <w:rsid w:val="003C32D3"/>
    <w:rsid w:val="003C3B19"/>
    <w:rsid w:val="003C412B"/>
    <w:rsid w:val="003C415C"/>
    <w:rsid w:val="003D36FB"/>
    <w:rsid w:val="003D37D8"/>
    <w:rsid w:val="003E0802"/>
    <w:rsid w:val="003E18E7"/>
    <w:rsid w:val="003E2B8C"/>
    <w:rsid w:val="003F46B4"/>
    <w:rsid w:val="003F4822"/>
    <w:rsid w:val="00401C64"/>
    <w:rsid w:val="00401CC0"/>
    <w:rsid w:val="00410AB5"/>
    <w:rsid w:val="00410F11"/>
    <w:rsid w:val="00411067"/>
    <w:rsid w:val="004203B9"/>
    <w:rsid w:val="004322A2"/>
    <w:rsid w:val="004358AB"/>
    <w:rsid w:val="00451EB4"/>
    <w:rsid w:val="00460B31"/>
    <w:rsid w:val="00462105"/>
    <w:rsid w:val="00475A80"/>
    <w:rsid w:val="00475BB4"/>
    <w:rsid w:val="00490B9E"/>
    <w:rsid w:val="00497577"/>
    <w:rsid w:val="004A05D7"/>
    <w:rsid w:val="004A2B28"/>
    <w:rsid w:val="004A69F1"/>
    <w:rsid w:val="004B3550"/>
    <w:rsid w:val="004B3F06"/>
    <w:rsid w:val="004C7FD6"/>
    <w:rsid w:val="004D08C0"/>
    <w:rsid w:val="004D1669"/>
    <w:rsid w:val="004D1736"/>
    <w:rsid w:val="004D51A2"/>
    <w:rsid w:val="004D5AFB"/>
    <w:rsid w:val="004E04FD"/>
    <w:rsid w:val="004F1BB7"/>
    <w:rsid w:val="0050759C"/>
    <w:rsid w:val="00510827"/>
    <w:rsid w:val="005267F1"/>
    <w:rsid w:val="005269A9"/>
    <w:rsid w:val="00532034"/>
    <w:rsid w:val="00545D9A"/>
    <w:rsid w:val="00546A42"/>
    <w:rsid w:val="0055408D"/>
    <w:rsid w:val="0057492D"/>
    <w:rsid w:val="0058523E"/>
    <w:rsid w:val="00590819"/>
    <w:rsid w:val="00593D68"/>
    <w:rsid w:val="005A208B"/>
    <w:rsid w:val="005A555E"/>
    <w:rsid w:val="005A7612"/>
    <w:rsid w:val="005B58A6"/>
    <w:rsid w:val="005C57E1"/>
    <w:rsid w:val="005C702E"/>
    <w:rsid w:val="005D01B8"/>
    <w:rsid w:val="005D066B"/>
    <w:rsid w:val="005D2D85"/>
    <w:rsid w:val="005D52E7"/>
    <w:rsid w:val="005F021D"/>
    <w:rsid w:val="005F20A4"/>
    <w:rsid w:val="005F4EAE"/>
    <w:rsid w:val="005F573A"/>
    <w:rsid w:val="005F660B"/>
    <w:rsid w:val="005F7EB1"/>
    <w:rsid w:val="00604B81"/>
    <w:rsid w:val="0061246F"/>
    <w:rsid w:val="00613417"/>
    <w:rsid w:val="00613B25"/>
    <w:rsid w:val="0061545F"/>
    <w:rsid w:val="006175DE"/>
    <w:rsid w:val="006215AC"/>
    <w:rsid w:val="00621821"/>
    <w:rsid w:val="00622362"/>
    <w:rsid w:val="00622497"/>
    <w:rsid w:val="006276AD"/>
    <w:rsid w:val="006347A6"/>
    <w:rsid w:val="006378D4"/>
    <w:rsid w:val="00641E8C"/>
    <w:rsid w:val="0064416A"/>
    <w:rsid w:val="006476E3"/>
    <w:rsid w:val="00650DDC"/>
    <w:rsid w:val="00652983"/>
    <w:rsid w:val="0065365D"/>
    <w:rsid w:val="006546D0"/>
    <w:rsid w:val="006576FD"/>
    <w:rsid w:val="00664F6B"/>
    <w:rsid w:val="006731D2"/>
    <w:rsid w:val="00680EB0"/>
    <w:rsid w:val="00682986"/>
    <w:rsid w:val="00691701"/>
    <w:rsid w:val="00691AE0"/>
    <w:rsid w:val="0069491E"/>
    <w:rsid w:val="006B004E"/>
    <w:rsid w:val="006B3E6C"/>
    <w:rsid w:val="006B4832"/>
    <w:rsid w:val="006B7878"/>
    <w:rsid w:val="006C14BD"/>
    <w:rsid w:val="006C28E5"/>
    <w:rsid w:val="006C67A9"/>
    <w:rsid w:val="006D393E"/>
    <w:rsid w:val="006D43C5"/>
    <w:rsid w:val="006D4AD8"/>
    <w:rsid w:val="006E0B58"/>
    <w:rsid w:val="006E0C4B"/>
    <w:rsid w:val="00704F7B"/>
    <w:rsid w:val="007110BA"/>
    <w:rsid w:val="00711465"/>
    <w:rsid w:val="00716E96"/>
    <w:rsid w:val="00723B11"/>
    <w:rsid w:val="007343A7"/>
    <w:rsid w:val="00734BB2"/>
    <w:rsid w:val="00737823"/>
    <w:rsid w:val="0075028E"/>
    <w:rsid w:val="007528A6"/>
    <w:rsid w:val="007608B9"/>
    <w:rsid w:val="007724B4"/>
    <w:rsid w:val="0077462B"/>
    <w:rsid w:val="007902ED"/>
    <w:rsid w:val="007916E7"/>
    <w:rsid w:val="00797C5D"/>
    <w:rsid w:val="00797D2F"/>
    <w:rsid w:val="007A34B9"/>
    <w:rsid w:val="007A3EF1"/>
    <w:rsid w:val="007A4DB3"/>
    <w:rsid w:val="007A6F47"/>
    <w:rsid w:val="007A7779"/>
    <w:rsid w:val="007C4F46"/>
    <w:rsid w:val="007C7297"/>
    <w:rsid w:val="007D1B4F"/>
    <w:rsid w:val="007D2F9E"/>
    <w:rsid w:val="007D3175"/>
    <w:rsid w:val="007D48BF"/>
    <w:rsid w:val="007D5C45"/>
    <w:rsid w:val="007E2543"/>
    <w:rsid w:val="007E4A26"/>
    <w:rsid w:val="007E7A17"/>
    <w:rsid w:val="007F01B0"/>
    <w:rsid w:val="007F259D"/>
    <w:rsid w:val="007F2CD8"/>
    <w:rsid w:val="007F4DC5"/>
    <w:rsid w:val="00806380"/>
    <w:rsid w:val="0081104F"/>
    <w:rsid w:val="0081319A"/>
    <w:rsid w:val="00822299"/>
    <w:rsid w:val="0083486A"/>
    <w:rsid w:val="00837E35"/>
    <w:rsid w:val="00841378"/>
    <w:rsid w:val="00842B87"/>
    <w:rsid w:val="00845BEB"/>
    <w:rsid w:val="008472E6"/>
    <w:rsid w:val="008518B4"/>
    <w:rsid w:val="00853463"/>
    <w:rsid w:val="008548BD"/>
    <w:rsid w:val="0086026F"/>
    <w:rsid w:val="008640F5"/>
    <w:rsid w:val="0087704E"/>
    <w:rsid w:val="008907DA"/>
    <w:rsid w:val="008A0587"/>
    <w:rsid w:val="008A7273"/>
    <w:rsid w:val="008B55B9"/>
    <w:rsid w:val="008B7726"/>
    <w:rsid w:val="008C05BA"/>
    <w:rsid w:val="008D429E"/>
    <w:rsid w:val="008D5A10"/>
    <w:rsid w:val="008E319F"/>
    <w:rsid w:val="008E619C"/>
    <w:rsid w:val="008F6E0E"/>
    <w:rsid w:val="00906F49"/>
    <w:rsid w:val="00907417"/>
    <w:rsid w:val="00914604"/>
    <w:rsid w:val="00916A34"/>
    <w:rsid w:val="0092092D"/>
    <w:rsid w:val="00923533"/>
    <w:rsid w:val="00930A38"/>
    <w:rsid w:val="00934170"/>
    <w:rsid w:val="00942948"/>
    <w:rsid w:val="009474B5"/>
    <w:rsid w:val="00953E98"/>
    <w:rsid w:val="00960F22"/>
    <w:rsid w:val="00970969"/>
    <w:rsid w:val="00972D86"/>
    <w:rsid w:val="009736BF"/>
    <w:rsid w:val="0097392B"/>
    <w:rsid w:val="00976066"/>
    <w:rsid w:val="00980A66"/>
    <w:rsid w:val="009904F7"/>
    <w:rsid w:val="009910F6"/>
    <w:rsid w:val="009A07B1"/>
    <w:rsid w:val="009A6B4A"/>
    <w:rsid w:val="009A7058"/>
    <w:rsid w:val="009C19DE"/>
    <w:rsid w:val="009C23A6"/>
    <w:rsid w:val="009C5206"/>
    <w:rsid w:val="009C6AD9"/>
    <w:rsid w:val="009E398C"/>
    <w:rsid w:val="009E6F05"/>
    <w:rsid w:val="009F644E"/>
    <w:rsid w:val="009F6A05"/>
    <w:rsid w:val="00A01BE2"/>
    <w:rsid w:val="00A10906"/>
    <w:rsid w:val="00A12E66"/>
    <w:rsid w:val="00A13E78"/>
    <w:rsid w:val="00A14EEF"/>
    <w:rsid w:val="00A23304"/>
    <w:rsid w:val="00A275C2"/>
    <w:rsid w:val="00A3295D"/>
    <w:rsid w:val="00A4012F"/>
    <w:rsid w:val="00A4190E"/>
    <w:rsid w:val="00A42E91"/>
    <w:rsid w:val="00A50383"/>
    <w:rsid w:val="00A61230"/>
    <w:rsid w:val="00A668C8"/>
    <w:rsid w:val="00A74ED3"/>
    <w:rsid w:val="00A813C5"/>
    <w:rsid w:val="00A824E6"/>
    <w:rsid w:val="00A832CD"/>
    <w:rsid w:val="00A858DC"/>
    <w:rsid w:val="00A94D14"/>
    <w:rsid w:val="00AA0EAD"/>
    <w:rsid w:val="00AB19CE"/>
    <w:rsid w:val="00AB2133"/>
    <w:rsid w:val="00AB3969"/>
    <w:rsid w:val="00AC0E7A"/>
    <w:rsid w:val="00AC187B"/>
    <w:rsid w:val="00AE310E"/>
    <w:rsid w:val="00AE4FC5"/>
    <w:rsid w:val="00AF1B1B"/>
    <w:rsid w:val="00AF5F1F"/>
    <w:rsid w:val="00B027A4"/>
    <w:rsid w:val="00B04202"/>
    <w:rsid w:val="00B236B3"/>
    <w:rsid w:val="00B26806"/>
    <w:rsid w:val="00B31B24"/>
    <w:rsid w:val="00B4287F"/>
    <w:rsid w:val="00B4315F"/>
    <w:rsid w:val="00B43306"/>
    <w:rsid w:val="00B60DAB"/>
    <w:rsid w:val="00B61CB1"/>
    <w:rsid w:val="00B63189"/>
    <w:rsid w:val="00B67B5C"/>
    <w:rsid w:val="00B7194E"/>
    <w:rsid w:val="00B73575"/>
    <w:rsid w:val="00B7380A"/>
    <w:rsid w:val="00B763B0"/>
    <w:rsid w:val="00B91005"/>
    <w:rsid w:val="00B92951"/>
    <w:rsid w:val="00B93045"/>
    <w:rsid w:val="00B93169"/>
    <w:rsid w:val="00B950B6"/>
    <w:rsid w:val="00BA4130"/>
    <w:rsid w:val="00BB2CAF"/>
    <w:rsid w:val="00BB79B5"/>
    <w:rsid w:val="00BC3E74"/>
    <w:rsid w:val="00BD630F"/>
    <w:rsid w:val="00BD7C1B"/>
    <w:rsid w:val="00BE0825"/>
    <w:rsid w:val="00BE2EE6"/>
    <w:rsid w:val="00BF17FD"/>
    <w:rsid w:val="00BF2820"/>
    <w:rsid w:val="00BF41D4"/>
    <w:rsid w:val="00BF5AFB"/>
    <w:rsid w:val="00C16734"/>
    <w:rsid w:val="00C17B47"/>
    <w:rsid w:val="00C25C77"/>
    <w:rsid w:val="00C303E7"/>
    <w:rsid w:val="00C319C2"/>
    <w:rsid w:val="00C53CE5"/>
    <w:rsid w:val="00C612F8"/>
    <w:rsid w:val="00C62E44"/>
    <w:rsid w:val="00C63BD8"/>
    <w:rsid w:val="00C65954"/>
    <w:rsid w:val="00C7126B"/>
    <w:rsid w:val="00C72C24"/>
    <w:rsid w:val="00C73468"/>
    <w:rsid w:val="00C74986"/>
    <w:rsid w:val="00C80EC4"/>
    <w:rsid w:val="00C8568E"/>
    <w:rsid w:val="00CA32B5"/>
    <w:rsid w:val="00CB57AD"/>
    <w:rsid w:val="00CC009D"/>
    <w:rsid w:val="00CC584A"/>
    <w:rsid w:val="00CC5E4E"/>
    <w:rsid w:val="00CD0EAB"/>
    <w:rsid w:val="00CE2AF3"/>
    <w:rsid w:val="00CE621D"/>
    <w:rsid w:val="00CE66E8"/>
    <w:rsid w:val="00D05388"/>
    <w:rsid w:val="00D114CD"/>
    <w:rsid w:val="00D14476"/>
    <w:rsid w:val="00D232FF"/>
    <w:rsid w:val="00D279AA"/>
    <w:rsid w:val="00D31215"/>
    <w:rsid w:val="00D34544"/>
    <w:rsid w:val="00D34841"/>
    <w:rsid w:val="00D4444E"/>
    <w:rsid w:val="00D44A97"/>
    <w:rsid w:val="00D45C0C"/>
    <w:rsid w:val="00D508A5"/>
    <w:rsid w:val="00D5104B"/>
    <w:rsid w:val="00D555D8"/>
    <w:rsid w:val="00D60778"/>
    <w:rsid w:val="00D63EB2"/>
    <w:rsid w:val="00D64D28"/>
    <w:rsid w:val="00D6604D"/>
    <w:rsid w:val="00D677F1"/>
    <w:rsid w:val="00D74601"/>
    <w:rsid w:val="00D83E46"/>
    <w:rsid w:val="00D847B6"/>
    <w:rsid w:val="00D93958"/>
    <w:rsid w:val="00D951D3"/>
    <w:rsid w:val="00DA1DB9"/>
    <w:rsid w:val="00DA6169"/>
    <w:rsid w:val="00DA7B28"/>
    <w:rsid w:val="00DB5480"/>
    <w:rsid w:val="00DB6317"/>
    <w:rsid w:val="00DC2FC5"/>
    <w:rsid w:val="00DC5AD9"/>
    <w:rsid w:val="00DC691F"/>
    <w:rsid w:val="00DD02DE"/>
    <w:rsid w:val="00DD07B7"/>
    <w:rsid w:val="00DD113C"/>
    <w:rsid w:val="00DD324C"/>
    <w:rsid w:val="00DE0BEB"/>
    <w:rsid w:val="00DE4856"/>
    <w:rsid w:val="00DF485B"/>
    <w:rsid w:val="00E0295D"/>
    <w:rsid w:val="00E042BC"/>
    <w:rsid w:val="00E132FE"/>
    <w:rsid w:val="00E21B77"/>
    <w:rsid w:val="00E23352"/>
    <w:rsid w:val="00E40CAD"/>
    <w:rsid w:val="00E40DC7"/>
    <w:rsid w:val="00E4215F"/>
    <w:rsid w:val="00E61D2E"/>
    <w:rsid w:val="00E62B7F"/>
    <w:rsid w:val="00E7066D"/>
    <w:rsid w:val="00E726BC"/>
    <w:rsid w:val="00E72821"/>
    <w:rsid w:val="00E75C82"/>
    <w:rsid w:val="00E81DDC"/>
    <w:rsid w:val="00E81F67"/>
    <w:rsid w:val="00E83650"/>
    <w:rsid w:val="00E83A31"/>
    <w:rsid w:val="00E93BF5"/>
    <w:rsid w:val="00E97CC0"/>
    <w:rsid w:val="00EA22B8"/>
    <w:rsid w:val="00EA2524"/>
    <w:rsid w:val="00EA33E7"/>
    <w:rsid w:val="00EC092D"/>
    <w:rsid w:val="00EC0DF8"/>
    <w:rsid w:val="00EC7F91"/>
    <w:rsid w:val="00ED378B"/>
    <w:rsid w:val="00EE08F9"/>
    <w:rsid w:val="00EE70B3"/>
    <w:rsid w:val="00EF24AA"/>
    <w:rsid w:val="00EF728A"/>
    <w:rsid w:val="00EF7D0D"/>
    <w:rsid w:val="00F00FF7"/>
    <w:rsid w:val="00F02093"/>
    <w:rsid w:val="00F068E3"/>
    <w:rsid w:val="00F10B5F"/>
    <w:rsid w:val="00F218C1"/>
    <w:rsid w:val="00F321EB"/>
    <w:rsid w:val="00F32B00"/>
    <w:rsid w:val="00F346CF"/>
    <w:rsid w:val="00F3610C"/>
    <w:rsid w:val="00F36839"/>
    <w:rsid w:val="00F52A5F"/>
    <w:rsid w:val="00F55954"/>
    <w:rsid w:val="00F57308"/>
    <w:rsid w:val="00F61962"/>
    <w:rsid w:val="00F62865"/>
    <w:rsid w:val="00F64022"/>
    <w:rsid w:val="00F64660"/>
    <w:rsid w:val="00F74FF3"/>
    <w:rsid w:val="00F97062"/>
    <w:rsid w:val="00F9745D"/>
    <w:rsid w:val="00FA07A9"/>
    <w:rsid w:val="00FA54B2"/>
    <w:rsid w:val="00FC0FCB"/>
    <w:rsid w:val="00FC529F"/>
    <w:rsid w:val="00FC66E1"/>
    <w:rsid w:val="00FC7B53"/>
    <w:rsid w:val="00FD48CC"/>
    <w:rsid w:val="00FE62D1"/>
    <w:rsid w:val="00FE7B94"/>
    <w:rsid w:val="00FF0736"/>
    <w:rsid w:val="00FF2515"/>
    <w:rsid w:val="00FF26BF"/>
    <w:rsid w:val="013C51B0"/>
    <w:rsid w:val="01651C23"/>
    <w:rsid w:val="018023CE"/>
    <w:rsid w:val="01881AD6"/>
    <w:rsid w:val="019127B6"/>
    <w:rsid w:val="01B71A01"/>
    <w:rsid w:val="01DC03CE"/>
    <w:rsid w:val="01E36F4E"/>
    <w:rsid w:val="0208150E"/>
    <w:rsid w:val="02287D63"/>
    <w:rsid w:val="024179E7"/>
    <w:rsid w:val="0246437B"/>
    <w:rsid w:val="02985CD5"/>
    <w:rsid w:val="02A741FD"/>
    <w:rsid w:val="02C16E5D"/>
    <w:rsid w:val="02D964CF"/>
    <w:rsid w:val="02DE5ECF"/>
    <w:rsid w:val="02E625F3"/>
    <w:rsid w:val="032E6AB8"/>
    <w:rsid w:val="03535343"/>
    <w:rsid w:val="03707410"/>
    <w:rsid w:val="039170C0"/>
    <w:rsid w:val="039240A3"/>
    <w:rsid w:val="03A0770F"/>
    <w:rsid w:val="03A27726"/>
    <w:rsid w:val="03A448B8"/>
    <w:rsid w:val="03A76D5D"/>
    <w:rsid w:val="03B347FE"/>
    <w:rsid w:val="03B34A78"/>
    <w:rsid w:val="03C01631"/>
    <w:rsid w:val="03C656A9"/>
    <w:rsid w:val="03D35138"/>
    <w:rsid w:val="03F33148"/>
    <w:rsid w:val="041A2460"/>
    <w:rsid w:val="042F3419"/>
    <w:rsid w:val="04491596"/>
    <w:rsid w:val="047B4012"/>
    <w:rsid w:val="04822497"/>
    <w:rsid w:val="04974587"/>
    <w:rsid w:val="049A0C65"/>
    <w:rsid w:val="04A07C4B"/>
    <w:rsid w:val="04D71C92"/>
    <w:rsid w:val="04DF1036"/>
    <w:rsid w:val="04E24985"/>
    <w:rsid w:val="050C01DF"/>
    <w:rsid w:val="05316537"/>
    <w:rsid w:val="053A5A77"/>
    <w:rsid w:val="0599183C"/>
    <w:rsid w:val="05A97DEC"/>
    <w:rsid w:val="05B23978"/>
    <w:rsid w:val="05C81981"/>
    <w:rsid w:val="05FC20B9"/>
    <w:rsid w:val="060043AE"/>
    <w:rsid w:val="06085010"/>
    <w:rsid w:val="06087D26"/>
    <w:rsid w:val="060C3203"/>
    <w:rsid w:val="06281344"/>
    <w:rsid w:val="062D4EC8"/>
    <w:rsid w:val="06620BC5"/>
    <w:rsid w:val="06716EE2"/>
    <w:rsid w:val="069B4E4A"/>
    <w:rsid w:val="06A26008"/>
    <w:rsid w:val="06BC41F2"/>
    <w:rsid w:val="06F415CC"/>
    <w:rsid w:val="070E26CD"/>
    <w:rsid w:val="07197D08"/>
    <w:rsid w:val="071E5C55"/>
    <w:rsid w:val="074E0CC2"/>
    <w:rsid w:val="075C1FE5"/>
    <w:rsid w:val="077005AB"/>
    <w:rsid w:val="078F4581"/>
    <w:rsid w:val="07A715F3"/>
    <w:rsid w:val="07BF027F"/>
    <w:rsid w:val="07F06C60"/>
    <w:rsid w:val="08031A31"/>
    <w:rsid w:val="080E2872"/>
    <w:rsid w:val="084147A1"/>
    <w:rsid w:val="08420CAE"/>
    <w:rsid w:val="08841AFB"/>
    <w:rsid w:val="08853D29"/>
    <w:rsid w:val="089A5AE8"/>
    <w:rsid w:val="08A76701"/>
    <w:rsid w:val="08DD5BA8"/>
    <w:rsid w:val="08FF352B"/>
    <w:rsid w:val="09061A75"/>
    <w:rsid w:val="09182241"/>
    <w:rsid w:val="09325D4D"/>
    <w:rsid w:val="095F1030"/>
    <w:rsid w:val="09855177"/>
    <w:rsid w:val="09A17D47"/>
    <w:rsid w:val="09A74114"/>
    <w:rsid w:val="09BD01D8"/>
    <w:rsid w:val="09EE5125"/>
    <w:rsid w:val="0A3D7585"/>
    <w:rsid w:val="0A462748"/>
    <w:rsid w:val="0A4D0C81"/>
    <w:rsid w:val="0A5D0B89"/>
    <w:rsid w:val="0A723E95"/>
    <w:rsid w:val="0A733243"/>
    <w:rsid w:val="0AA534D5"/>
    <w:rsid w:val="0AA650EB"/>
    <w:rsid w:val="0AA7129C"/>
    <w:rsid w:val="0AB25700"/>
    <w:rsid w:val="0AF47339"/>
    <w:rsid w:val="0B121934"/>
    <w:rsid w:val="0B1F4D52"/>
    <w:rsid w:val="0B22594B"/>
    <w:rsid w:val="0B27506F"/>
    <w:rsid w:val="0B3061AD"/>
    <w:rsid w:val="0B9610F4"/>
    <w:rsid w:val="0BBF77A4"/>
    <w:rsid w:val="0BD16C8D"/>
    <w:rsid w:val="0BDF26F7"/>
    <w:rsid w:val="0C027DB2"/>
    <w:rsid w:val="0C2B4952"/>
    <w:rsid w:val="0C3F2C04"/>
    <w:rsid w:val="0C516C55"/>
    <w:rsid w:val="0C5D161C"/>
    <w:rsid w:val="0C7B2220"/>
    <w:rsid w:val="0CB67D83"/>
    <w:rsid w:val="0CCF79BE"/>
    <w:rsid w:val="0CD20599"/>
    <w:rsid w:val="0CE53018"/>
    <w:rsid w:val="0D0B5B12"/>
    <w:rsid w:val="0D133046"/>
    <w:rsid w:val="0D153F28"/>
    <w:rsid w:val="0D305390"/>
    <w:rsid w:val="0D3A0F98"/>
    <w:rsid w:val="0D5D37FD"/>
    <w:rsid w:val="0D6A4502"/>
    <w:rsid w:val="0D7415CA"/>
    <w:rsid w:val="0D84650C"/>
    <w:rsid w:val="0D890E47"/>
    <w:rsid w:val="0D8D654B"/>
    <w:rsid w:val="0DB24F74"/>
    <w:rsid w:val="0DC64A00"/>
    <w:rsid w:val="0DCF786E"/>
    <w:rsid w:val="0DEB5FFA"/>
    <w:rsid w:val="0DF75C46"/>
    <w:rsid w:val="0DFC60BA"/>
    <w:rsid w:val="0E045D30"/>
    <w:rsid w:val="0E1C06B2"/>
    <w:rsid w:val="0E35000C"/>
    <w:rsid w:val="0E6854FC"/>
    <w:rsid w:val="0E69691B"/>
    <w:rsid w:val="0E7900C2"/>
    <w:rsid w:val="0EBB5484"/>
    <w:rsid w:val="0EBC4442"/>
    <w:rsid w:val="0EBD5AA3"/>
    <w:rsid w:val="0F085784"/>
    <w:rsid w:val="0F293D6D"/>
    <w:rsid w:val="0F5723EF"/>
    <w:rsid w:val="0F7C5FF6"/>
    <w:rsid w:val="0FC63FBD"/>
    <w:rsid w:val="0FDD003F"/>
    <w:rsid w:val="0FF42F8A"/>
    <w:rsid w:val="0FF63282"/>
    <w:rsid w:val="0FF87EA4"/>
    <w:rsid w:val="0FFF7484"/>
    <w:rsid w:val="10007DD4"/>
    <w:rsid w:val="100B77ED"/>
    <w:rsid w:val="10305890"/>
    <w:rsid w:val="103D5A1A"/>
    <w:rsid w:val="10517A40"/>
    <w:rsid w:val="106C564D"/>
    <w:rsid w:val="10767478"/>
    <w:rsid w:val="107B7B8F"/>
    <w:rsid w:val="107C67CE"/>
    <w:rsid w:val="10880229"/>
    <w:rsid w:val="10912D03"/>
    <w:rsid w:val="109D68CB"/>
    <w:rsid w:val="10A949B8"/>
    <w:rsid w:val="10CB4D26"/>
    <w:rsid w:val="11144AFE"/>
    <w:rsid w:val="11170B4A"/>
    <w:rsid w:val="11200D07"/>
    <w:rsid w:val="114143B5"/>
    <w:rsid w:val="116A3F32"/>
    <w:rsid w:val="11786AB5"/>
    <w:rsid w:val="118049D4"/>
    <w:rsid w:val="118561F8"/>
    <w:rsid w:val="11914FAF"/>
    <w:rsid w:val="11A8021A"/>
    <w:rsid w:val="11B21219"/>
    <w:rsid w:val="11B4024C"/>
    <w:rsid w:val="11DA73AF"/>
    <w:rsid w:val="11E9122B"/>
    <w:rsid w:val="11FC1ECD"/>
    <w:rsid w:val="11FE0065"/>
    <w:rsid w:val="12392A54"/>
    <w:rsid w:val="12457C5E"/>
    <w:rsid w:val="124D097B"/>
    <w:rsid w:val="12511265"/>
    <w:rsid w:val="126561B4"/>
    <w:rsid w:val="126821F4"/>
    <w:rsid w:val="127A3FFC"/>
    <w:rsid w:val="127D0E25"/>
    <w:rsid w:val="127E0B34"/>
    <w:rsid w:val="1283614B"/>
    <w:rsid w:val="12856FF3"/>
    <w:rsid w:val="128F3387"/>
    <w:rsid w:val="129671FB"/>
    <w:rsid w:val="12A06045"/>
    <w:rsid w:val="12A576FF"/>
    <w:rsid w:val="12C60D80"/>
    <w:rsid w:val="12CE5C2D"/>
    <w:rsid w:val="12E276C0"/>
    <w:rsid w:val="130523B3"/>
    <w:rsid w:val="13097496"/>
    <w:rsid w:val="13154AD2"/>
    <w:rsid w:val="131F7A3A"/>
    <w:rsid w:val="1325428F"/>
    <w:rsid w:val="132645D0"/>
    <w:rsid w:val="134312FF"/>
    <w:rsid w:val="13455ABC"/>
    <w:rsid w:val="1370322B"/>
    <w:rsid w:val="139B1D74"/>
    <w:rsid w:val="13BA0460"/>
    <w:rsid w:val="13BB41AE"/>
    <w:rsid w:val="13C24F9B"/>
    <w:rsid w:val="13C45A18"/>
    <w:rsid w:val="13C9247B"/>
    <w:rsid w:val="13C92A4D"/>
    <w:rsid w:val="13CD79D7"/>
    <w:rsid w:val="13DE55D1"/>
    <w:rsid w:val="13E0285C"/>
    <w:rsid w:val="143B2E0B"/>
    <w:rsid w:val="147C1943"/>
    <w:rsid w:val="147F1C66"/>
    <w:rsid w:val="148054E9"/>
    <w:rsid w:val="14892735"/>
    <w:rsid w:val="14906D6C"/>
    <w:rsid w:val="14CC769D"/>
    <w:rsid w:val="14D764D5"/>
    <w:rsid w:val="14F43330"/>
    <w:rsid w:val="15094D78"/>
    <w:rsid w:val="150A5E7D"/>
    <w:rsid w:val="152509D7"/>
    <w:rsid w:val="15436F05"/>
    <w:rsid w:val="155541C5"/>
    <w:rsid w:val="15574892"/>
    <w:rsid w:val="15691FE3"/>
    <w:rsid w:val="158B5DDD"/>
    <w:rsid w:val="15A41986"/>
    <w:rsid w:val="15B11221"/>
    <w:rsid w:val="15BD50E3"/>
    <w:rsid w:val="15C16EB3"/>
    <w:rsid w:val="15CB76C9"/>
    <w:rsid w:val="15D359D7"/>
    <w:rsid w:val="15DE5D55"/>
    <w:rsid w:val="160E7A2C"/>
    <w:rsid w:val="16111028"/>
    <w:rsid w:val="161F7731"/>
    <w:rsid w:val="163C77BE"/>
    <w:rsid w:val="16573587"/>
    <w:rsid w:val="1679588C"/>
    <w:rsid w:val="168C2855"/>
    <w:rsid w:val="16903443"/>
    <w:rsid w:val="16994962"/>
    <w:rsid w:val="16A233CF"/>
    <w:rsid w:val="16A71041"/>
    <w:rsid w:val="16AA24BF"/>
    <w:rsid w:val="171D3FE1"/>
    <w:rsid w:val="1742794A"/>
    <w:rsid w:val="17680CAB"/>
    <w:rsid w:val="176E4128"/>
    <w:rsid w:val="1783371F"/>
    <w:rsid w:val="178D7563"/>
    <w:rsid w:val="17B61794"/>
    <w:rsid w:val="17C52CBF"/>
    <w:rsid w:val="17C93012"/>
    <w:rsid w:val="17E62B67"/>
    <w:rsid w:val="180F4499"/>
    <w:rsid w:val="182201B4"/>
    <w:rsid w:val="18221ECE"/>
    <w:rsid w:val="18303840"/>
    <w:rsid w:val="183C3D90"/>
    <w:rsid w:val="1850329E"/>
    <w:rsid w:val="18504A07"/>
    <w:rsid w:val="1859036F"/>
    <w:rsid w:val="18681814"/>
    <w:rsid w:val="18B0649B"/>
    <w:rsid w:val="18C8297B"/>
    <w:rsid w:val="18D418FC"/>
    <w:rsid w:val="18DB1E9B"/>
    <w:rsid w:val="18F90F15"/>
    <w:rsid w:val="18FC7745"/>
    <w:rsid w:val="19027053"/>
    <w:rsid w:val="191677A6"/>
    <w:rsid w:val="19342A8F"/>
    <w:rsid w:val="19353F17"/>
    <w:rsid w:val="19630350"/>
    <w:rsid w:val="19D766B6"/>
    <w:rsid w:val="19DB7B6F"/>
    <w:rsid w:val="19DD405E"/>
    <w:rsid w:val="1A2E69C3"/>
    <w:rsid w:val="1A460CF5"/>
    <w:rsid w:val="1A7A6BB4"/>
    <w:rsid w:val="1A7F297D"/>
    <w:rsid w:val="1A9B268C"/>
    <w:rsid w:val="1A9D6244"/>
    <w:rsid w:val="1AAF6004"/>
    <w:rsid w:val="1AB16AC1"/>
    <w:rsid w:val="1ABF1CEA"/>
    <w:rsid w:val="1AD97D3F"/>
    <w:rsid w:val="1B014DDE"/>
    <w:rsid w:val="1B020362"/>
    <w:rsid w:val="1B0320FB"/>
    <w:rsid w:val="1B034A52"/>
    <w:rsid w:val="1B1D3633"/>
    <w:rsid w:val="1B45344E"/>
    <w:rsid w:val="1B591D2B"/>
    <w:rsid w:val="1B5D76FB"/>
    <w:rsid w:val="1B683578"/>
    <w:rsid w:val="1B8C0040"/>
    <w:rsid w:val="1BBA4E52"/>
    <w:rsid w:val="1BD9519A"/>
    <w:rsid w:val="1BDE2F66"/>
    <w:rsid w:val="1C0D22D9"/>
    <w:rsid w:val="1C2A22B3"/>
    <w:rsid w:val="1C750ECE"/>
    <w:rsid w:val="1CA56AF4"/>
    <w:rsid w:val="1CE1575A"/>
    <w:rsid w:val="1D196139"/>
    <w:rsid w:val="1D2E2708"/>
    <w:rsid w:val="1D5E02D1"/>
    <w:rsid w:val="1D7B74A7"/>
    <w:rsid w:val="1D7F0ED0"/>
    <w:rsid w:val="1DA31EB7"/>
    <w:rsid w:val="1DA55D97"/>
    <w:rsid w:val="1DBB6100"/>
    <w:rsid w:val="1DBE6816"/>
    <w:rsid w:val="1DC67725"/>
    <w:rsid w:val="1DCB4FF1"/>
    <w:rsid w:val="1DDC11E4"/>
    <w:rsid w:val="1DF5452A"/>
    <w:rsid w:val="1E010AF7"/>
    <w:rsid w:val="1E1C405A"/>
    <w:rsid w:val="1E2E29E0"/>
    <w:rsid w:val="1E301173"/>
    <w:rsid w:val="1E53405C"/>
    <w:rsid w:val="1E642FB5"/>
    <w:rsid w:val="1E884D18"/>
    <w:rsid w:val="1ED8781E"/>
    <w:rsid w:val="1EDD3235"/>
    <w:rsid w:val="1EE7283A"/>
    <w:rsid w:val="1EEE4FED"/>
    <w:rsid w:val="1F1102B0"/>
    <w:rsid w:val="1F2F1047"/>
    <w:rsid w:val="1F43381C"/>
    <w:rsid w:val="1F7D6A3D"/>
    <w:rsid w:val="1F8A219B"/>
    <w:rsid w:val="1FA4148D"/>
    <w:rsid w:val="1FC10FAB"/>
    <w:rsid w:val="1FC65577"/>
    <w:rsid w:val="1FD82385"/>
    <w:rsid w:val="20121621"/>
    <w:rsid w:val="201636E2"/>
    <w:rsid w:val="201D2736"/>
    <w:rsid w:val="202E3F6D"/>
    <w:rsid w:val="2032134B"/>
    <w:rsid w:val="20325F7E"/>
    <w:rsid w:val="204778E7"/>
    <w:rsid w:val="204E554F"/>
    <w:rsid w:val="20546774"/>
    <w:rsid w:val="20590035"/>
    <w:rsid w:val="20851B47"/>
    <w:rsid w:val="209A2C3D"/>
    <w:rsid w:val="20CA3C0D"/>
    <w:rsid w:val="20E5011E"/>
    <w:rsid w:val="20FC799E"/>
    <w:rsid w:val="210B6E37"/>
    <w:rsid w:val="21286DA7"/>
    <w:rsid w:val="2134683B"/>
    <w:rsid w:val="21C82E72"/>
    <w:rsid w:val="21CB5981"/>
    <w:rsid w:val="21DE0801"/>
    <w:rsid w:val="21DE339D"/>
    <w:rsid w:val="22154DDD"/>
    <w:rsid w:val="221D4DB5"/>
    <w:rsid w:val="22336873"/>
    <w:rsid w:val="22396826"/>
    <w:rsid w:val="225471A3"/>
    <w:rsid w:val="225E34DC"/>
    <w:rsid w:val="227D1295"/>
    <w:rsid w:val="22826E5E"/>
    <w:rsid w:val="229B678A"/>
    <w:rsid w:val="22AB3B7D"/>
    <w:rsid w:val="22AF3A08"/>
    <w:rsid w:val="22F92F75"/>
    <w:rsid w:val="2303231E"/>
    <w:rsid w:val="239634D6"/>
    <w:rsid w:val="23BB4E7D"/>
    <w:rsid w:val="23C172D6"/>
    <w:rsid w:val="23C9435D"/>
    <w:rsid w:val="23CB1286"/>
    <w:rsid w:val="23D77537"/>
    <w:rsid w:val="23E6195D"/>
    <w:rsid w:val="23F04F64"/>
    <w:rsid w:val="242654AA"/>
    <w:rsid w:val="24814CBE"/>
    <w:rsid w:val="24AC168B"/>
    <w:rsid w:val="24BB6664"/>
    <w:rsid w:val="24EC64CB"/>
    <w:rsid w:val="250E1318"/>
    <w:rsid w:val="25103738"/>
    <w:rsid w:val="253F46D8"/>
    <w:rsid w:val="2541317C"/>
    <w:rsid w:val="254D0389"/>
    <w:rsid w:val="25884C5D"/>
    <w:rsid w:val="258C3BEC"/>
    <w:rsid w:val="25A03144"/>
    <w:rsid w:val="25B2479F"/>
    <w:rsid w:val="25C05655"/>
    <w:rsid w:val="25C15C5D"/>
    <w:rsid w:val="25D329B9"/>
    <w:rsid w:val="25E5427A"/>
    <w:rsid w:val="26276A31"/>
    <w:rsid w:val="26366F9D"/>
    <w:rsid w:val="263B1230"/>
    <w:rsid w:val="2642752B"/>
    <w:rsid w:val="26485508"/>
    <w:rsid w:val="26554808"/>
    <w:rsid w:val="265E685B"/>
    <w:rsid w:val="26607D95"/>
    <w:rsid w:val="26700955"/>
    <w:rsid w:val="26A16AE9"/>
    <w:rsid w:val="26A605D9"/>
    <w:rsid w:val="26AD0500"/>
    <w:rsid w:val="26B121A3"/>
    <w:rsid w:val="26BC5A42"/>
    <w:rsid w:val="26E464C3"/>
    <w:rsid w:val="272E3097"/>
    <w:rsid w:val="272E6F74"/>
    <w:rsid w:val="273B7A3B"/>
    <w:rsid w:val="277E6655"/>
    <w:rsid w:val="2780046C"/>
    <w:rsid w:val="27933DEA"/>
    <w:rsid w:val="27B36A67"/>
    <w:rsid w:val="27BA3ACB"/>
    <w:rsid w:val="27D9633F"/>
    <w:rsid w:val="280B2E27"/>
    <w:rsid w:val="281E404F"/>
    <w:rsid w:val="28302479"/>
    <w:rsid w:val="283F1A26"/>
    <w:rsid w:val="2846581F"/>
    <w:rsid w:val="284A5CA4"/>
    <w:rsid w:val="286550ED"/>
    <w:rsid w:val="286602C8"/>
    <w:rsid w:val="28665C95"/>
    <w:rsid w:val="28736F5F"/>
    <w:rsid w:val="28A4093D"/>
    <w:rsid w:val="28B01D1E"/>
    <w:rsid w:val="28C2628C"/>
    <w:rsid w:val="28CC3373"/>
    <w:rsid w:val="28F47F99"/>
    <w:rsid w:val="28F579BA"/>
    <w:rsid w:val="290B3EB9"/>
    <w:rsid w:val="292728C1"/>
    <w:rsid w:val="293314A5"/>
    <w:rsid w:val="294E392A"/>
    <w:rsid w:val="2950768C"/>
    <w:rsid w:val="297A5FC4"/>
    <w:rsid w:val="29B51252"/>
    <w:rsid w:val="29D53CC4"/>
    <w:rsid w:val="29E14657"/>
    <w:rsid w:val="29E474B8"/>
    <w:rsid w:val="29ED574B"/>
    <w:rsid w:val="29FA2D3E"/>
    <w:rsid w:val="29FE5CE6"/>
    <w:rsid w:val="2A743AE8"/>
    <w:rsid w:val="2A8D4F8F"/>
    <w:rsid w:val="2A917B34"/>
    <w:rsid w:val="2A9308A8"/>
    <w:rsid w:val="2A9F5AB8"/>
    <w:rsid w:val="2AB10C99"/>
    <w:rsid w:val="2AB94444"/>
    <w:rsid w:val="2AD74E8C"/>
    <w:rsid w:val="2AE3766F"/>
    <w:rsid w:val="2AEC612E"/>
    <w:rsid w:val="2AF46A36"/>
    <w:rsid w:val="2AFC0DFE"/>
    <w:rsid w:val="2B0268A7"/>
    <w:rsid w:val="2B060F9E"/>
    <w:rsid w:val="2B0E56AB"/>
    <w:rsid w:val="2B51141C"/>
    <w:rsid w:val="2B590601"/>
    <w:rsid w:val="2B710DB7"/>
    <w:rsid w:val="2B7408CF"/>
    <w:rsid w:val="2B7E4054"/>
    <w:rsid w:val="2B822C5E"/>
    <w:rsid w:val="2BBA6A76"/>
    <w:rsid w:val="2BCC03D1"/>
    <w:rsid w:val="2BDF1FBA"/>
    <w:rsid w:val="2BEA0C73"/>
    <w:rsid w:val="2BED09EB"/>
    <w:rsid w:val="2BEF2187"/>
    <w:rsid w:val="2BF51991"/>
    <w:rsid w:val="2C0C6D59"/>
    <w:rsid w:val="2C251ADF"/>
    <w:rsid w:val="2C5B0D4B"/>
    <w:rsid w:val="2C8903AA"/>
    <w:rsid w:val="2C987C56"/>
    <w:rsid w:val="2C995591"/>
    <w:rsid w:val="2CA156F3"/>
    <w:rsid w:val="2CC11460"/>
    <w:rsid w:val="2CC15BAA"/>
    <w:rsid w:val="2CC438E4"/>
    <w:rsid w:val="2CC72A61"/>
    <w:rsid w:val="2CDC3153"/>
    <w:rsid w:val="2CDF621C"/>
    <w:rsid w:val="2CE136D7"/>
    <w:rsid w:val="2CFE7A11"/>
    <w:rsid w:val="2CFF149A"/>
    <w:rsid w:val="2D201865"/>
    <w:rsid w:val="2D241CF8"/>
    <w:rsid w:val="2D2B6EDE"/>
    <w:rsid w:val="2D4B5CEA"/>
    <w:rsid w:val="2D4C5B4C"/>
    <w:rsid w:val="2D542188"/>
    <w:rsid w:val="2D652658"/>
    <w:rsid w:val="2D964A56"/>
    <w:rsid w:val="2DC16E0A"/>
    <w:rsid w:val="2DC17476"/>
    <w:rsid w:val="2DC80C49"/>
    <w:rsid w:val="2DCA6355"/>
    <w:rsid w:val="2DFE657B"/>
    <w:rsid w:val="2E030E17"/>
    <w:rsid w:val="2E166748"/>
    <w:rsid w:val="2E2054A0"/>
    <w:rsid w:val="2E482374"/>
    <w:rsid w:val="2E491580"/>
    <w:rsid w:val="2E556F01"/>
    <w:rsid w:val="2E8345A7"/>
    <w:rsid w:val="2E8E20B4"/>
    <w:rsid w:val="2EAA7BAE"/>
    <w:rsid w:val="2EC1207D"/>
    <w:rsid w:val="2ED06066"/>
    <w:rsid w:val="2ED1223D"/>
    <w:rsid w:val="2F000139"/>
    <w:rsid w:val="2F1B303D"/>
    <w:rsid w:val="2F3F11F4"/>
    <w:rsid w:val="2F5E0754"/>
    <w:rsid w:val="2F9F42DC"/>
    <w:rsid w:val="2FA16083"/>
    <w:rsid w:val="2FBB4121"/>
    <w:rsid w:val="2FBC2844"/>
    <w:rsid w:val="2FBE3786"/>
    <w:rsid w:val="2FBF54B1"/>
    <w:rsid w:val="2FC32F68"/>
    <w:rsid w:val="2FCA3ECB"/>
    <w:rsid w:val="2FD6418B"/>
    <w:rsid w:val="2FF37AB3"/>
    <w:rsid w:val="30210B8A"/>
    <w:rsid w:val="30224DC7"/>
    <w:rsid w:val="303B4C3F"/>
    <w:rsid w:val="3073310C"/>
    <w:rsid w:val="309D6BE6"/>
    <w:rsid w:val="30AA1790"/>
    <w:rsid w:val="30EE385E"/>
    <w:rsid w:val="30F3371F"/>
    <w:rsid w:val="30F85AFE"/>
    <w:rsid w:val="31031402"/>
    <w:rsid w:val="31170995"/>
    <w:rsid w:val="31264A30"/>
    <w:rsid w:val="312651F8"/>
    <w:rsid w:val="31742D19"/>
    <w:rsid w:val="31862EE3"/>
    <w:rsid w:val="31884E67"/>
    <w:rsid w:val="31973BF6"/>
    <w:rsid w:val="31A0275E"/>
    <w:rsid w:val="31A67308"/>
    <w:rsid w:val="31B91526"/>
    <w:rsid w:val="31BA7402"/>
    <w:rsid w:val="31DC2D11"/>
    <w:rsid w:val="31EF0041"/>
    <w:rsid w:val="31FA04CE"/>
    <w:rsid w:val="31FB0952"/>
    <w:rsid w:val="320107F5"/>
    <w:rsid w:val="320609F4"/>
    <w:rsid w:val="321C7797"/>
    <w:rsid w:val="324175CB"/>
    <w:rsid w:val="32484DE7"/>
    <w:rsid w:val="326A0524"/>
    <w:rsid w:val="327B7EDF"/>
    <w:rsid w:val="32AB70C5"/>
    <w:rsid w:val="32EF2122"/>
    <w:rsid w:val="32F17F41"/>
    <w:rsid w:val="332038B4"/>
    <w:rsid w:val="33247607"/>
    <w:rsid w:val="333014B0"/>
    <w:rsid w:val="335D0AF5"/>
    <w:rsid w:val="336917EF"/>
    <w:rsid w:val="336B2EA4"/>
    <w:rsid w:val="336B3E67"/>
    <w:rsid w:val="3370088C"/>
    <w:rsid w:val="33872039"/>
    <w:rsid w:val="339A687B"/>
    <w:rsid w:val="33DC2F78"/>
    <w:rsid w:val="3428227C"/>
    <w:rsid w:val="3431496E"/>
    <w:rsid w:val="343230D5"/>
    <w:rsid w:val="3439428E"/>
    <w:rsid w:val="34571EF7"/>
    <w:rsid w:val="347918A5"/>
    <w:rsid w:val="347C4294"/>
    <w:rsid w:val="34802E4C"/>
    <w:rsid w:val="349D37D5"/>
    <w:rsid w:val="349F54A1"/>
    <w:rsid w:val="34A61BDE"/>
    <w:rsid w:val="34BB7B5F"/>
    <w:rsid w:val="350453AB"/>
    <w:rsid w:val="352208BF"/>
    <w:rsid w:val="3522586C"/>
    <w:rsid w:val="35572473"/>
    <w:rsid w:val="35602226"/>
    <w:rsid w:val="356B72E7"/>
    <w:rsid w:val="356D2AC8"/>
    <w:rsid w:val="3572424F"/>
    <w:rsid w:val="35734CF3"/>
    <w:rsid w:val="35866014"/>
    <w:rsid w:val="359E5CE0"/>
    <w:rsid w:val="35D03C84"/>
    <w:rsid w:val="35D275C3"/>
    <w:rsid w:val="35E50FBB"/>
    <w:rsid w:val="36137757"/>
    <w:rsid w:val="361B6BBE"/>
    <w:rsid w:val="362B215D"/>
    <w:rsid w:val="365C3775"/>
    <w:rsid w:val="366666CA"/>
    <w:rsid w:val="367070F4"/>
    <w:rsid w:val="367801A9"/>
    <w:rsid w:val="36807FCC"/>
    <w:rsid w:val="36882267"/>
    <w:rsid w:val="36AD519D"/>
    <w:rsid w:val="36B57705"/>
    <w:rsid w:val="36B93E53"/>
    <w:rsid w:val="36DC1DD3"/>
    <w:rsid w:val="36F3711D"/>
    <w:rsid w:val="36FC25DD"/>
    <w:rsid w:val="37090CD6"/>
    <w:rsid w:val="37122320"/>
    <w:rsid w:val="3754697A"/>
    <w:rsid w:val="37636A21"/>
    <w:rsid w:val="377C03A4"/>
    <w:rsid w:val="37A103ED"/>
    <w:rsid w:val="37A367C3"/>
    <w:rsid w:val="37AC5772"/>
    <w:rsid w:val="37BD33EE"/>
    <w:rsid w:val="37CC3B24"/>
    <w:rsid w:val="37E02B23"/>
    <w:rsid w:val="37E345A6"/>
    <w:rsid w:val="37EA5E6E"/>
    <w:rsid w:val="37EC6A58"/>
    <w:rsid w:val="37FB2268"/>
    <w:rsid w:val="37FF016F"/>
    <w:rsid w:val="382A6E2D"/>
    <w:rsid w:val="38647A08"/>
    <w:rsid w:val="386E4145"/>
    <w:rsid w:val="387C5ABE"/>
    <w:rsid w:val="38B66D0C"/>
    <w:rsid w:val="38D21033"/>
    <w:rsid w:val="38D41643"/>
    <w:rsid w:val="38EB6119"/>
    <w:rsid w:val="39044996"/>
    <w:rsid w:val="392C6D9B"/>
    <w:rsid w:val="393B020C"/>
    <w:rsid w:val="39506E15"/>
    <w:rsid w:val="396678D9"/>
    <w:rsid w:val="39790BE6"/>
    <w:rsid w:val="397A0ADB"/>
    <w:rsid w:val="39844799"/>
    <w:rsid w:val="39954B2B"/>
    <w:rsid w:val="39D864CC"/>
    <w:rsid w:val="39DA2245"/>
    <w:rsid w:val="39E66E3B"/>
    <w:rsid w:val="39FD4CC2"/>
    <w:rsid w:val="3A51228C"/>
    <w:rsid w:val="3A545E48"/>
    <w:rsid w:val="3A552E60"/>
    <w:rsid w:val="3A5D642F"/>
    <w:rsid w:val="3A744447"/>
    <w:rsid w:val="3A78219D"/>
    <w:rsid w:val="3A786E6C"/>
    <w:rsid w:val="3A995C5C"/>
    <w:rsid w:val="3AB210FC"/>
    <w:rsid w:val="3ADB7381"/>
    <w:rsid w:val="3AF04A37"/>
    <w:rsid w:val="3B043A1D"/>
    <w:rsid w:val="3B1E01C3"/>
    <w:rsid w:val="3B3E5B8A"/>
    <w:rsid w:val="3B793A48"/>
    <w:rsid w:val="3B7E3699"/>
    <w:rsid w:val="3B85393E"/>
    <w:rsid w:val="3BCA4B8A"/>
    <w:rsid w:val="3BCD72F7"/>
    <w:rsid w:val="3BFC2F5F"/>
    <w:rsid w:val="3C37146A"/>
    <w:rsid w:val="3C3D3625"/>
    <w:rsid w:val="3C414142"/>
    <w:rsid w:val="3C5B725E"/>
    <w:rsid w:val="3C84047F"/>
    <w:rsid w:val="3C88055A"/>
    <w:rsid w:val="3C9E57AB"/>
    <w:rsid w:val="3CAF79B9"/>
    <w:rsid w:val="3CB35097"/>
    <w:rsid w:val="3CF737A2"/>
    <w:rsid w:val="3D10295A"/>
    <w:rsid w:val="3D184041"/>
    <w:rsid w:val="3D370C2A"/>
    <w:rsid w:val="3D414FC0"/>
    <w:rsid w:val="3D4F12A7"/>
    <w:rsid w:val="3D7B5F78"/>
    <w:rsid w:val="3D7D049C"/>
    <w:rsid w:val="3DE20EAE"/>
    <w:rsid w:val="3DEF3701"/>
    <w:rsid w:val="3E0572FD"/>
    <w:rsid w:val="3E0720FE"/>
    <w:rsid w:val="3E1A47F3"/>
    <w:rsid w:val="3E2616EC"/>
    <w:rsid w:val="3E2819F6"/>
    <w:rsid w:val="3E287A22"/>
    <w:rsid w:val="3E5A7FE7"/>
    <w:rsid w:val="3E7D40EF"/>
    <w:rsid w:val="3E955A6A"/>
    <w:rsid w:val="3E964D81"/>
    <w:rsid w:val="3EB15A22"/>
    <w:rsid w:val="3EF66B2E"/>
    <w:rsid w:val="3F217914"/>
    <w:rsid w:val="3F9163C9"/>
    <w:rsid w:val="3FD10810"/>
    <w:rsid w:val="3FD70BB0"/>
    <w:rsid w:val="3FFB55AC"/>
    <w:rsid w:val="40017152"/>
    <w:rsid w:val="401C5F9D"/>
    <w:rsid w:val="401C690C"/>
    <w:rsid w:val="401D7195"/>
    <w:rsid w:val="405C1C05"/>
    <w:rsid w:val="407A652F"/>
    <w:rsid w:val="40825D97"/>
    <w:rsid w:val="40836C36"/>
    <w:rsid w:val="40870EA3"/>
    <w:rsid w:val="409928E7"/>
    <w:rsid w:val="40997CFE"/>
    <w:rsid w:val="40B43C21"/>
    <w:rsid w:val="40C34607"/>
    <w:rsid w:val="40CE3DC0"/>
    <w:rsid w:val="40D7455A"/>
    <w:rsid w:val="40E743E5"/>
    <w:rsid w:val="40EB4012"/>
    <w:rsid w:val="41075C9E"/>
    <w:rsid w:val="410A1661"/>
    <w:rsid w:val="412D5EA0"/>
    <w:rsid w:val="4139423D"/>
    <w:rsid w:val="415A62F5"/>
    <w:rsid w:val="416D78C7"/>
    <w:rsid w:val="41734CBA"/>
    <w:rsid w:val="417F4E1A"/>
    <w:rsid w:val="418B0C8A"/>
    <w:rsid w:val="419E79C0"/>
    <w:rsid w:val="41A82190"/>
    <w:rsid w:val="41C10AED"/>
    <w:rsid w:val="41DE5999"/>
    <w:rsid w:val="41E1181A"/>
    <w:rsid w:val="41E32A20"/>
    <w:rsid w:val="41FA3241"/>
    <w:rsid w:val="420F7A65"/>
    <w:rsid w:val="4216611A"/>
    <w:rsid w:val="42321B6A"/>
    <w:rsid w:val="423E300F"/>
    <w:rsid w:val="424A2EA9"/>
    <w:rsid w:val="425656C8"/>
    <w:rsid w:val="4257273C"/>
    <w:rsid w:val="42687ACE"/>
    <w:rsid w:val="4270145E"/>
    <w:rsid w:val="429E6041"/>
    <w:rsid w:val="42BF4B02"/>
    <w:rsid w:val="42C84EE3"/>
    <w:rsid w:val="42FD694D"/>
    <w:rsid w:val="43034DFA"/>
    <w:rsid w:val="437D6687"/>
    <w:rsid w:val="438351F5"/>
    <w:rsid w:val="438D35EA"/>
    <w:rsid w:val="43BC1E57"/>
    <w:rsid w:val="43D23F8D"/>
    <w:rsid w:val="43D43F1D"/>
    <w:rsid w:val="43FA5777"/>
    <w:rsid w:val="44023422"/>
    <w:rsid w:val="44184A2D"/>
    <w:rsid w:val="441C1611"/>
    <w:rsid w:val="443C440B"/>
    <w:rsid w:val="44514F52"/>
    <w:rsid w:val="446F24E0"/>
    <w:rsid w:val="44761C8F"/>
    <w:rsid w:val="44955E02"/>
    <w:rsid w:val="449722E3"/>
    <w:rsid w:val="449D7B09"/>
    <w:rsid w:val="44AE3FD4"/>
    <w:rsid w:val="44D0586F"/>
    <w:rsid w:val="44FA2D53"/>
    <w:rsid w:val="451527AB"/>
    <w:rsid w:val="45370047"/>
    <w:rsid w:val="453C4912"/>
    <w:rsid w:val="45632D6F"/>
    <w:rsid w:val="45687813"/>
    <w:rsid w:val="4571374F"/>
    <w:rsid w:val="458B1BB0"/>
    <w:rsid w:val="45A41560"/>
    <w:rsid w:val="45AD31D6"/>
    <w:rsid w:val="45B93426"/>
    <w:rsid w:val="45CF1361"/>
    <w:rsid w:val="464C6420"/>
    <w:rsid w:val="46552F9B"/>
    <w:rsid w:val="46791921"/>
    <w:rsid w:val="467A0297"/>
    <w:rsid w:val="467E52DA"/>
    <w:rsid w:val="46815809"/>
    <w:rsid w:val="468B7125"/>
    <w:rsid w:val="46B506EF"/>
    <w:rsid w:val="46C4691F"/>
    <w:rsid w:val="46CB53EF"/>
    <w:rsid w:val="46D700D9"/>
    <w:rsid w:val="46EE513F"/>
    <w:rsid w:val="470C69D0"/>
    <w:rsid w:val="470F5A71"/>
    <w:rsid w:val="471B4DBB"/>
    <w:rsid w:val="47264051"/>
    <w:rsid w:val="473154FF"/>
    <w:rsid w:val="47685427"/>
    <w:rsid w:val="476C4065"/>
    <w:rsid w:val="4779499C"/>
    <w:rsid w:val="477B6530"/>
    <w:rsid w:val="47801172"/>
    <w:rsid w:val="479D1D34"/>
    <w:rsid w:val="47B609C0"/>
    <w:rsid w:val="47C76CC6"/>
    <w:rsid w:val="47EC3B04"/>
    <w:rsid w:val="47EC6277"/>
    <w:rsid w:val="48021483"/>
    <w:rsid w:val="481A219B"/>
    <w:rsid w:val="482D31EA"/>
    <w:rsid w:val="48447D02"/>
    <w:rsid w:val="484C0AF3"/>
    <w:rsid w:val="485970A0"/>
    <w:rsid w:val="486A6E89"/>
    <w:rsid w:val="48823516"/>
    <w:rsid w:val="48877686"/>
    <w:rsid w:val="488B498B"/>
    <w:rsid w:val="48B176C2"/>
    <w:rsid w:val="48B65C71"/>
    <w:rsid w:val="48C453C8"/>
    <w:rsid w:val="48D550F0"/>
    <w:rsid w:val="48FB1909"/>
    <w:rsid w:val="491F266E"/>
    <w:rsid w:val="492E6A57"/>
    <w:rsid w:val="493651C9"/>
    <w:rsid w:val="495839AA"/>
    <w:rsid w:val="49700A6F"/>
    <w:rsid w:val="49771AFE"/>
    <w:rsid w:val="49802948"/>
    <w:rsid w:val="4986089F"/>
    <w:rsid w:val="498B5309"/>
    <w:rsid w:val="499F0AAB"/>
    <w:rsid w:val="49C154CE"/>
    <w:rsid w:val="49C33FF5"/>
    <w:rsid w:val="49DB11EC"/>
    <w:rsid w:val="49E31DD1"/>
    <w:rsid w:val="4A0030EE"/>
    <w:rsid w:val="4A0568D6"/>
    <w:rsid w:val="4A0C4F3C"/>
    <w:rsid w:val="4A162478"/>
    <w:rsid w:val="4A171EC9"/>
    <w:rsid w:val="4A1A1689"/>
    <w:rsid w:val="4A484D41"/>
    <w:rsid w:val="4A6D15F8"/>
    <w:rsid w:val="4A7617B6"/>
    <w:rsid w:val="4A8C4FB8"/>
    <w:rsid w:val="4A9A25BD"/>
    <w:rsid w:val="4A9E0551"/>
    <w:rsid w:val="4AB542AE"/>
    <w:rsid w:val="4AB645AE"/>
    <w:rsid w:val="4AF72FEA"/>
    <w:rsid w:val="4B1477B3"/>
    <w:rsid w:val="4B1F062C"/>
    <w:rsid w:val="4B243D9D"/>
    <w:rsid w:val="4B281425"/>
    <w:rsid w:val="4B6F66A1"/>
    <w:rsid w:val="4B85213F"/>
    <w:rsid w:val="4B893E65"/>
    <w:rsid w:val="4B8C2DEB"/>
    <w:rsid w:val="4BFA3C9F"/>
    <w:rsid w:val="4BFA7F6C"/>
    <w:rsid w:val="4C107F48"/>
    <w:rsid w:val="4C3117D0"/>
    <w:rsid w:val="4C313A81"/>
    <w:rsid w:val="4C3277BC"/>
    <w:rsid w:val="4C5C442D"/>
    <w:rsid w:val="4C6D42A9"/>
    <w:rsid w:val="4C716A38"/>
    <w:rsid w:val="4CC0351C"/>
    <w:rsid w:val="4CC353EB"/>
    <w:rsid w:val="4CE26439"/>
    <w:rsid w:val="4CE64E14"/>
    <w:rsid w:val="4CE95EE5"/>
    <w:rsid w:val="4CF36F3C"/>
    <w:rsid w:val="4D007BC8"/>
    <w:rsid w:val="4D0602E5"/>
    <w:rsid w:val="4D1470BD"/>
    <w:rsid w:val="4D154882"/>
    <w:rsid w:val="4D1C3C50"/>
    <w:rsid w:val="4D29313A"/>
    <w:rsid w:val="4D603399"/>
    <w:rsid w:val="4D6A7284"/>
    <w:rsid w:val="4D6E30E1"/>
    <w:rsid w:val="4D867EE1"/>
    <w:rsid w:val="4DBC4C65"/>
    <w:rsid w:val="4DC9105D"/>
    <w:rsid w:val="4DE2009B"/>
    <w:rsid w:val="4DF86974"/>
    <w:rsid w:val="4E0F235E"/>
    <w:rsid w:val="4E157689"/>
    <w:rsid w:val="4E471216"/>
    <w:rsid w:val="4E533FA5"/>
    <w:rsid w:val="4E550010"/>
    <w:rsid w:val="4E5F14CB"/>
    <w:rsid w:val="4E6808B0"/>
    <w:rsid w:val="4E752A0A"/>
    <w:rsid w:val="4E780BC4"/>
    <w:rsid w:val="4EBA42F2"/>
    <w:rsid w:val="4EBC7F20"/>
    <w:rsid w:val="4EC00DDD"/>
    <w:rsid w:val="4ED908C5"/>
    <w:rsid w:val="4EF265BE"/>
    <w:rsid w:val="4EFB1C45"/>
    <w:rsid w:val="4F0C2A48"/>
    <w:rsid w:val="4F26273B"/>
    <w:rsid w:val="4F2D3A8A"/>
    <w:rsid w:val="4F32478A"/>
    <w:rsid w:val="4F3705F8"/>
    <w:rsid w:val="4F3D28F0"/>
    <w:rsid w:val="4F913A9A"/>
    <w:rsid w:val="4F9714A0"/>
    <w:rsid w:val="4FAA3F91"/>
    <w:rsid w:val="4FAC3540"/>
    <w:rsid w:val="4FCF1583"/>
    <w:rsid w:val="4FD23E66"/>
    <w:rsid w:val="4FD44D1B"/>
    <w:rsid w:val="4FDC066D"/>
    <w:rsid w:val="4FFA7625"/>
    <w:rsid w:val="50453E7E"/>
    <w:rsid w:val="504F7091"/>
    <w:rsid w:val="50594CF7"/>
    <w:rsid w:val="505C05D0"/>
    <w:rsid w:val="507D2599"/>
    <w:rsid w:val="5096229D"/>
    <w:rsid w:val="509E157D"/>
    <w:rsid w:val="50A6165E"/>
    <w:rsid w:val="50D9354E"/>
    <w:rsid w:val="50DC4184"/>
    <w:rsid w:val="50FB6146"/>
    <w:rsid w:val="51036F52"/>
    <w:rsid w:val="5121757D"/>
    <w:rsid w:val="512F4CA0"/>
    <w:rsid w:val="51361FFF"/>
    <w:rsid w:val="513D4C38"/>
    <w:rsid w:val="514C3EA7"/>
    <w:rsid w:val="51AC4D00"/>
    <w:rsid w:val="51D84FE2"/>
    <w:rsid w:val="51FE1F08"/>
    <w:rsid w:val="51FF3C99"/>
    <w:rsid w:val="522A20E4"/>
    <w:rsid w:val="52363D4D"/>
    <w:rsid w:val="524A2AC9"/>
    <w:rsid w:val="52521A20"/>
    <w:rsid w:val="528604EC"/>
    <w:rsid w:val="529E2C3A"/>
    <w:rsid w:val="52AC4ABC"/>
    <w:rsid w:val="52C201B9"/>
    <w:rsid w:val="52E57A12"/>
    <w:rsid w:val="52F20B62"/>
    <w:rsid w:val="531C4FCC"/>
    <w:rsid w:val="53685CC3"/>
    <w:rsid w:val="53827E49"/>
    <w:rsid w:val="538A6BB9"/>
    <w:rsid w:val="539964FD"/>
    <w:rsid w:val="539C1B81"/>
    <w:rsid w:val="539D7755"/>
    <w:rsid w:val="53A447B1"/>
    <w:rsid w:val="53AE750F"/>
    <w:rsid w:val="53D224B3"/>
    <w:rsid w:val="53F81D96"/>
    <w:rsid w:val="541723D6"/>
    <w:rsid w:val="541D5DE8"/>
    <w:rsid w:val="541F57C4"/>
    <w:rsid w:val="5432769E"/>
    <w:rsid w:val="544B5214"/>
    <w:rsid w:val="546F523C"/>
    <w:rsid w:val="547478A9"/>
    <w:rsid w:val="54782FBD"/>
    <w:rsid w:val="5483138F"/>
    <w:rsid w:val="5488523A"/>
    <w:rsid w:val="549A6BFA"/>
    <w:rsid w:val="54AB6341"/>
    <w:rsid w:val="54C341E7"/>
    <w:rsid w:val="54D933CD"/>
    <w:rsid w:val="54DE7FD8"/>
    <w:rsid w:val="551751CF"/>
    <w:rsid w:val="5522558F"/>
    <w:rsid w:val="55244D7F"/>
    <w:rsid w:val="55305397"/>
    <w:rsid w:val="55362287"/>
    <w:rsid w:val="55432F3C"/>
    <w:rsid w:val="55A37FFD"/>
    <w:rsid w:val="55AE22F1"/>
    <w:rsid w:val="55C3227E"/>
    <w:rsid w:val="55CE1AA9"/>
    <w:rsid w:val="55F6381F"/>
    <w:rsid w:val="55FA2961"/>
    <w:rsid w:val="5602250F"/>
    <w:rsid w:val="564220BA"/>
    <w:rsid w:val="565E7F4F"/>
    <w:rsid w:val="565F3DA6"/>
    <w:rsid w:val="56914056"/>
    <w:rsid w:val="56B61E36"/>
    <w:rsid w:val="56C36589"/>
    <w:rsid w:val="56FE23DF"/>
    <w:rsid w:val="570D55B0"/>
    <w:rsid w:val="571F7F61"/>
    <w:rsid w:val="57293C95"/>
    <w:rsid w:val="572A6381"/>
    <w:rsid w:val="572B41B4"/>
    <w:rsid w:val="57365868"/>
    <w:rsid w:val="573C1959"/>
    <w:rsid w:val="5747618B"/>
    <w:rsid w:val="57554571"/>
    <w:rsid w:val="57F65317"/>
    <w:rsid w:val="57FC2169"/>
    <w:rsid w:val="58024015"/>
    <w:rsid w:val="58096275"/>
    <w:rsid w:val="5819544F"/>
    <w:rsid w:val="582D6D32"/>
    <w:rsid w:val="582E6EF7"/>
    <w:rsid w:val="584E30E6"/>
    <w:rsid w:val="58546EFD"/>
    <w:rsid w:val="5881703E"/>
    <w:rsid w:val="588467C2"/>
    <w:rsid w:val="58E26731"/>
    <w:rsid w:val="58EB1371"/>
    <w:rsid w:val="59091D98"/>
    <w:rsid w:val="590E4A97"/>
    <w:rsid w:val="591250FF"/>
    <w:rsid w:val="5920012C"/>
    <w:rsid w:val="593700E7"/>
    <w:rsid w:val="59552192"/>
    <w:rsid w:val="595578DE"/>
    <w:rsid w:val="597B384D"/>
    <w:rsid w:val="59996DA8"/>
    <w:rsid w:val="59BB475C"/>
    <w:rsid w:val="59C30F1B"/>
    <w:rsid w:val="59CE4759"/>
    <w:rsid w:val="59D90B78"/>
    <w:rsid w:val="5A814766"/>
    <w:rsid w:val="5A8C20D0"/>
    <w:rsid w:val="5ABC29E4"/>
    <w:rsid w:val="5AC7121C"/>
    <w:rsid w:val="5AD90B8D"/>
    <w:rsid w:val="5AE12927"/>
    <w:rsid w:val="5AE35472"/>
    <w:rsid w:val="5AF41CF3"/>
    <w:rsid w:val="5AF87CC9"/>
    <w:rsid w:val="5B07329F"/>
    <w:rsid w:val="5B4E1A44"/>
    <w:rsid w:val="5B873201"/>
    <w:rsid w:val="5B9076CA"/>
    <w:rsid w:val="5B967767"/>
    <w:rsid w:val="5B9D1624"/>
    <w:rsid w:val="5BBF0C66"/>
    <w:rsid w:val="5BBF73E2"/>
    <w:rsid w:val="5BEE5378"/>
    <w:rsid w:val="5C0C2FF6"/>
    <w:rsid w:val="5C1241CC"/>
    <w:rsid w:val="5C286807"/>
    <w:rsid w:val="5C34339E"/>
    <w:rsid w:val="5C355656"/>
    <w:rsid w:val="5C370E72"/>
    <w:rsid w:val="5C446BC8"/>
    <w:rsid w:val="5C4B56E1"/>
    <w:rsid w:val="5C5C51C2"/>
    <w:rsid w:val="5C7146B1"/>
    <w:rsid w:val="5C7C2768"/>
    <w:rsid w:val="5CAD3BC1"/>
    <w:rsid w:val="5CAE62DC"/>
    <w:rsid w:val="5CB23AE6"/>
    <w:rsid w:val="5CB412C7"/>
    <w:rsid w:val="5CED5863"/>
    <w:rsid w:val="5D0D6DF5"/>
    <w:rsid w:val="5D1E0517"/>
    <w:rsid w:val="5D4A5E05"/>
    <w:rsid w:val="5D580A8A"/>
    <w:rsid w:val="5D7E6D71"/>
    <w:rsid w:val="5D893B14"/>
    <w:rsid w:val="5DB42C29"/>
    <w:rsid w:val="5E1219F7"/>
    <w:rsid w:val="5E18541D"/>
    <w:rsid w:val="5E291636"/>
    <w:rsid w:val="5E48511F"/>
    <w:rsid w:val="5E655B72"/>
    <w:rsid w:val="5E8B0770"/>
    <w:rsid w:val="5EA06921"/>
    <w:rsid w:val="5EBA259F"/>
    <w:rsid w:val="5EE1082B"/>
    <w:rsid w:val="5EE97BB4"/>
    <w:rsid w:val="5EF55BC9"/>
    <w:rsid w:val="5F085DDA"/>
    <w:rsid w:val="5F2E2D52"/>
    <w:rsid w:val="5F3523CE"/>
    <w:rsid w:val="5F54198B"/>
    <w:rsid w:val="5F6C74C2"/>
    <w:rsid w:val="5F9D1350"/>
    <w:rsid w:val="5FA44AD1"/>
    <w:rsid w:val="5FBE370A"/>
    <w:rsid w:val="5FC61F2E"/>
    <w:rsid w:val="5FC83407"/>
    <w:rsid w:val="5FD56E87"/>
    <w:rsid w:val="5FF0558C"/>
    <w:rsid w:val="60015A45"/>
    <w:rsid w:val="601A27F4"/>
    <w:rsid w:val="60292845"/>
    <w:rsid w:val="60485461"/>
    <w:rsid w:val="606F2632"/>
    <w:rsid w:val="6071543B"/>
    <w:rsid w:val="607921FE"/>
    <w:rsid w:val="607E12CC"/>
    <w:rsid w:val="608F62AE"/>
    <w:rsid w:val="60B9251B"/>
    <w:rsid w:val="60D3558F"/>
    <w:rsid w:val="60E236C1"/>
    <w:rsid w:val="60E37983"/>
    <w:rsid w:val="61260B6B"/>
    <w:rsid w:val="612B3ABB"/>
    <w:rsid w:val="612E1A5D"/>
    <w:rsid w:val="614E5D7E"/>
    <w:rsid w:val="61816046"/>
    <w:rsid w:val="61BD04E4"/>
    <w:rsid w:val="61C81AB1"/>
    <w:rsid w:val="620B0059"/>
    <w:rsid w:val="622320E5"/>
    <w:rsid w:val="62370EC6"/>
    <w:rsid w:val="62391564"/>
    <w:rsid w:val="624A22BE"/>
    <w:rsid w:val="6263230B"/>
    <w:rsid w:val="626E235A"/>
    <w:rsid w:val="626F60D5"/>
    <w:rsid w:val="62816669"/>
    <w:rsid w:val="6282086D"/>
    <w:rsid w:val="629007F7"/>
    <w:rsid w:val="62AB4D99"/>
    <w:rsid w:val="62B03AD4"/>
    <w:rsid w:val="62B36CD7"/>
    <w:rsid w:val="62BA0953"/>
    <w:rsid w:val="62D03A7C"/>
    <w:rsid w:val="62F42FAE"/>
    <w:rsid w:val="62F648FE"/>
    <w:rsid w:val="63167A4F"/>
    <w:rsid w:val="631D2BD6"/>
    <w:rsid w:val="635356F3"/>
    <w:rsid w:val="637D5B70"/>
    <w:rsid w:val="63825E77"/>
    <w:rsid w:val="63A10995"/>
    <w:rsid w:val="63C23EFA"/>
    <w:rsid w:val="63D255DA"/>
    <w:rsid w:val="63D74011"/>
    <w:rsid w:val="63EB2168"/>
    <w:rsid w:val="63F854C1"/>
    <w:rsid w:val="63FB5857"/>
    <w:rsid w:val="64033728"/>
    <w:rsid w:val="64076B79"/>
    <w:rsid w:val="640B7654"/>
    <w:rsid w:val="64116D46"/>
    <w:rsid w:val="643A070A"/>
    <w:rsid w:val="643F1325"/>
    <w:rsid w:val="64410A96"/>
    <w:rsid w:val="644C573D"/>
    <w:rsid w:val="64507EFB"/>
    <w:rsid w:val="64F15CBB"/>
    <w:rsid w:val="65032F85"/>
    <w:rsid w:val="651304A7"/>
    <w:rsid w:val="65136B50"/>
    <w:rsid w:val="6531690D"/>
    <w:rsid w:val="65320485"/>
    <w:rsid w:val="655A12F3"/>
    <w:rsid w:val="657E2A35"/>
    <w:rsid w:val="65843C95"/>
    <w:rsid w:val="65A94E9D"/>
    <w:rsid w:val="65B96B3F"/>
    <w:rsid w:val="65BE1071"/>
    <w:rsid w:val="65C60A92"/>
    <w:rsid w:val="65DB19DF"/>
    <w:rsid w:val="660451CE"/>
    <w:rsid w:val="664B3BEB"/>
    <w:rsid w:val="665346B7"/>
    <w:rsid w:val="667C7CCE"/>
    <w:rsid w:val="66A12460"/>
    <w:rsid w:val="66BE2423"/>
    <w:rsid w:val="66DD6702"/>
    <w:rsid w:val="66E856F1"/>
    <w:rsid w:val="66FB0BAD"/>
    <w:rsid w:val="671771FC"/>
    <w:rsid w:val="671B1623"/>
    <w:rsid w:val="671E6EBA"/>
    <w:rsid w:val="6731269C"/>
    <w:rsid w:val="675352AA"/>
    <w:rsid w:val="6759400B"/>
    <w:rsid w:val="675E528D"/>
    <w:rsid w:val="676C598C"/>
    <w:rsid w:val="67966EFB"/>
    <w:rsid w:val="679E7FA1"/>
    <w:rsid w:val="67A0416D"/>
    <w:rsid w:val="67A32389"/>
    <w:rsid w:val="67B768D0"/>
    <w:rsid w:val="67C779FD"/>
    <w:rsid w:val="67C85DAF"/>
    <w:rsid w:val="67FB5F5E"/>
    <w:rsid w:val="68281CFE"/>
    <w:rsid w:val="682A2352"/>
    <w:rsid w:val="682A2630"/>
    <w:rsid w:val="682E4A5B"/>
    <w:rsid w:val="682E7AFD"/>
    <w:rsid w:val="68707071"/>
    <w:rsid w:val="687A4379"/>
    <w:rsid w:val="687B015C"/>
    <w:rsid w:val="687E3889"/>
    <w:rsid w:val="6884222C"/>
    <w:rsid w:val="689853A7"/>
    <w:rsid w:val="68A957C8"/>
    <w:rsid w:val="68AD17BB"/>
    <w:rsid w:val="68D6620B"/>
    <w:rsid w:val="68D94D22"/>
    <w:rsid w:val="68F06F2B"/>
    <w:rsid w:val="69011241"/>
    <w:rsid w:val="692B2E4A"/>
    <w:rsid w:val="696A0B34"/>
    <w:rsid w:val="697B17EA"/>
    <w:rsid w:val="69821807"/>
    <w:rsid w:val="698D6A17"/>
    <w:rsid w:val="699026E3"/>
    <w:rsid w:val="699E0BED"/>
    <w:rsid w:val="699F0522"/>
    <w:rsid w:val="69D37590"/>
    <w:rsid w:val="69F951FA"/>
    <w:rsid w:val="69F954C1"/>
    <w:rsid w:val="6A1E1E73"/>
    <w:rsid w:val="6A2031B6"/>
    <w:rsid w:val="6A2F57D7"/>
    <w:rsid w:val="6A3924BB"/>
    <w:rsid w:val="6A3C1D40"/>
    <w:rsid w:val="6A543B0B"/>
    <w:rsid w:val="6A6432E1"/>
    <w:rsid w:val="6AA23DFF"/>
    <w:rsid w:val="6AAA6F38"/>
    <w:rsid w:val="6AC61F6F"/>
    <w:rsid w:val="6AD34E53"/>
    <w:rsid w:val="6AD83EA1"/>
    <w:rsid w:val="6ADE74F0"/>
    <w:rsid w:val="6B1D62E8"/>
    <w:rsid w:val="6B411C5F"/>
    <w:rsid w:val="6B723594"/>
    <w:rsid w:val="6B805156"/>
    <w:rsid w:val="6B945E48"/>
    <w:rsid w:val="6B974A7B"/>
    <w:rsid w:val="6BD50977"/>
    <w:rsid w:val="6BE147F5"/>
    <w:rsid w:val="6BE450D3"/>
    <w:rsid w:val="6BE60C84"/>
    <w:rsid w:val="6C437022"/>
    <w:rsid w:val="6C4F0900"/>
    <w:rsid w:val="6C5715D6"/>
    <w:rsid w:val="6C686C5B"/>
    <w:rsid w:val="6C6C32E1"/>
    <w:rsid w:val="6C6E3E15"/>
    <w:rsid w:val="6C8B1F5D"/>
    <w:rsid w:val="6C9D515B"/>
    <w:rsid w:val="6CA85D3A"/>
    <w:rsid w:val="6CAA3931"/>
    <w:rsid w:val="6CE2512E"/>
    <w:rsid w:val="6CEA06D7"/>
    <w:rsid w:val="6CF47434"/>
    <w:rsid w:val="6CF70607"/>
    <w:rsid w:val="6D176735"/>
    <w:rsid w:val="6D325918"/>
    <w:rsid w:val="6D3933CA"/>
    <w:rsid w:val="6D401810"/>
    <w:rsid w:val="6D6261FE"/>
    <w:rsid w:val="6D7B222A"/>
    <w:rsid w:val="6D7B61EC"/>
    <w:rsid w:val="6D817112"/>
    <w:rsid w:val="6D8C29C6"/>
    <w:rsid w:val="6D8E03AA"/>
    <w:rsid w:val="6DBB089F"/>
    <w:rsid w:val="6DC63038"/>
    <w:rsid w:val="6DDC5608"/>
    <w:rsid w:val="6DE30DE0"/>
    <w:rsid w:val="6DE6130A"/>
    <w:rsid w:val="6E09491E"/>
    <w:rsid w:val="6E0D3655"/>
    <w:rsid w:val="6E1A437E"/>
    <w:rsid w:val="6E3A144E"/>
    <w:rsid w:val="6E5606D3"/>
    <w:rsid w:val="6E5F4465"/>
    <w:rsid w:val="6E8B1663"/>
    <w:rsid w:val="6E8C54DA"/>
    <w:rsid w:val="6EAC089F"/>
    <w:rsid w:val="6EB15202"/>
    <w:rsid w:val="6EB752BD"/>
    <w:rsid w:val="6ECB30D1"/>
    <w:rsid w:val="6EF11E03"/>
    <w:rsid w:val="6EF1241D"/>
    <w:rsid w:val="6EF82916"/>
    <w:rsid w:val="6F0B2DE7"/>
    <w:rsid w:val="6F111C62"/>
    <w:rsid w:val="6F2176E5"/>
    <w:rsid w:val="6F3A2A5F"/>
    <w:rsid w:val="6F47057C"/>
    <w:rsid w:val="6F4F7F03"/>
    <w:rsid w:val="6F501373"/>
    <w:rsid w:val="6F5523A2"/>
    <w:rsid w:val="6F592303"/>
    <w:rsid w:val="6F5F5B74"/>
    <w:rsid w:val="6F682400"/>
    <w:rsid w:val="6F9600A4"/>
    <w:rsid w:val="6F98032D"/>
    <w:rsid w:val="6F9B1C65"/>
    <w:rsid w:val="6FA44937"/>
    <w:rsid w:val="6FAD3FB9"/>
    <w:rsid w:val="6FE82C9C"/>
    <w:rsid w:val="6FFB146E"/>
    <w:rsid w:val="70160742"/>
    <w:rsid w:val="702C7A97"/>
    <w:rsid w:val="7030610F"/>
    <w:rsid w:val="70612DB4"/>
    <w:rsid w:val="706516C3"/>
    <w:rsid w:val="70660714"/>
    <w:rsid w:val="70896E68"/>
    <w:rsid w:val="708A4844"/>
    <w:rsid w:val="70C94DCA"/>
    <w:rsid w:val="70DE02C1"/>
    <w:rsid w:val="70E05E9D"/>
    <w:rsid w:val="70EB6DAC"/>
    <w:rsid w:val="71073061"/>
    <w:rsid w:val="711A201F"/>
    <w:rsid w:val="71215AE9"/>
    <w:rsid w:val="712864E5"/>
    <w:rsid w:val="71396ACC"/>
    <w:rsid w:val="715A08DA"/>
    <w:rsid w:val="715B60E9"/>
    <w:rsid w:val="716F0EE9"/>
    <w:rsid w:val="7196674D"/>
    <w:rsid w:val="719E245E"/>
    <w:rsid w:val="71BA3FE5"/>
    <w:rsid w:val="71DB1B63"/>
    <w:rsid w:val="71EA1FED"/>
    <w:rsid w:val="72165C6B"/>
    <w:rsid w:val="722021E3"/>
    <w:rsid w:val="72290340"/>
    <w:rsid w:val="722C6DDA"/>
    <w:rsid w:val="72515945"/>
    <w:rsid w:val="725F5A5E"/>
    <w:rsid w:val="727434B8"/>
    <w:rsid w:val="729243CB"/>
    <w:rsid w:val="72987FAB"/>
    <w:rsid w:val="72E661B1"/>
    <w:rsid w:val="730313F6"/>
    <w:rsid w:val="730E4732"/>
    <w:rsid w:val="73370D24"/>
    <w:rsid w:val="73397FB3"/>
    <w:rsid w:val="7347046E"/>
    <w:rsid w:val="73472C84"/>
    <w:rsid w:val="7359268C"/>
    <w:rsid w:val="735F327A"/>
    <w:rsid w:val="7366631C"/>
    <w:rsid w:val="736C263C"/>
    <w:rsid w:val="73723640"/>
    <w:rsid w:val="737311F5"/>
    <w:rsid w:val="739503EB"/>
    <w:rsid w:val="73A05B28"/>
    <w:rsid w:val="73C07D69"/>
    <w:rsid w:val="73C979D4"/>
    <w:rsid w:val="73DC335B"/>
    <w:rsid w:val="740B60EC"/>
    <w:rsid w:val="745E7D35"/>
    <w:rsid w:val="7465362D"/>
    <w:rsid w:val="7475188D"/>
    <w:rsid w:val="749E16A8"/>
    <w:rsid w:val="74B42AE4"/>
    <w:rsid w:val="74C54993"/>
    <w:rsid w:val="74EA32C4"/>
    <w:rsid w:val="74EB68F6"/>
    <w:rsid w:val="750A429D"/>
    <w:rsid w:val="752739E7"/>
    <w:rsid w:val="75474B47"/>
    <w:rsid w:val="75533AB0"/>
    <w:rsid w:val="75614792"/>
    <w:rsid w:val="75761866"/>
    <w:rsid w:val="75784473"/>
    <w:rsid w:val="75B10995"/>
    <w:rsid w:val="75B161B3"/>
    <w:rsid w:val="75DC6C44"/>
    <w:rsid w:val="75F05CC0"/>
    <w:rsid w:val="75FB0196"/>
    <w:rsid w:val="762F6A19"/>
    <w:rsid w:val="76341B33"/>
    <w:rsid w:val="76736B32"/>
    <w:rsid w:val="76807C04"/>
    <w:rsid w:val="76AF35EE"/>
    <w:rsid w:val="76C27A74"/>
    <w:rsid w:val="76C726A5"/>
    <w:rsid w:val="76E3765E"/>
    <w:rsid w:val="76FC2AFA"/>
    <w:rsid w:val="77500F76"/>
    <w:rsid w:val="77527424"/>
    <w:rsid w:val="77653671"/>
    <w:rsid w:val="77707007"/>
    <w:rsid w:val="778546CC"/>
    <w:rsid w:val="778B6B46"/>
    <w:rsid w:val="77A337B9"/>
    <w:rsid w:val="77B551B3"/>
    <w:rsid w:val="77B56730"/>
    <w:rsid w:val="77B92EBE"/>
    <w:rsid w:val="77C04A8B"/>
    <w:rsid w:val="77D85DB3"/>
    <w:rsid w:val="77EB1B74"/>
    <w:rsid w:val="7800326E"/>
    <w:rsid w:val="782A3EA3"/>
    <w:rsid w:val="78490703"/>
    <w:rsid w:val="78A50513"/>
    <w:rsid w:val="78C43087"/>
    <w:rsid w:val="78D37FAF"/>
    <w:rsid w:val="78EF7AB5"/>
    <w:rsid w:val="790C64EF"/>
    <w:rsid w:val="790D6849"/>
    <w:rsid w:val="79335925"/>
    <w:rsid w:val="795767E3"/>
    <w:rsid w:val="79586707"/>
    <w:rsid w:val="796518DD"/>
    <w:rsid w:val="79724BEF"/>
    <w:rsid w:val="797264AC"/>
    <w:rsid w:val="799EA2D9"/>
    <w:rsid w:val="79AA0532"/>
    <w:rsid w:val="79FA22BC"/>
    <w:rsid w:val="79FE1DDD"/>
    <w:rsid w:val="7A075767"/>
    <w:rsid w:val="7A0C15B3"/>
    <w:rsid w:val="7A212062"/>
    <w:rsid w:val="7A2522C9"/>
    <w:rsid w:val="7A282A11"/>
    <w:rsid w:val="7A361A9D"/>
    <w:rsid w:val="7A3A59B8"/>
    <w:rsid w:val="7A5D0F75"/>
    <w:rsid w:val="7A636E1D"/>
    <w:rsid w:val="7A715CD2"/>
    <w:rsid w:val="7A921E9A"/>
    <w:rsid w:val="7A9E53BF"/>
    <w:rsid w:val="7AA914B9"/>
    <w:rsid w:val="7ABF2475"/>
    <w:rsid w:val="7AC21562"/>
    <w:rsid w:val="7AD474A4"/>
    <w:rsid w:val="7AFC38DE"/>
    <w:rsid w:val="7B303E8C"/>
    <w:rsid w:val="7B697555"/>
    <w:rsid w:val="7B7D6B6D"/>
    <w:rsid w:val="7B865D50"/>
    <w:rsid w:val="7B8D34C3"/>
    <w:rsid w:val="7B927DCC"/>
    <w:rsid w:val="7B971D84"/>
    <w:rsid w:val="7BAB0CB7"/>
    <w:rsid w:val="7BB4028F"/>
    <w:rsid w:val="7BC1107E"/>
    <w:rsid w:val="7BEC1E11"/>
    <w:rsid w:val="7BF32F03"/>
    <w:rsid w:val="7BF50D2C"/>
    <w:rsid w:val="7C066F4E"/>
    <w:rsid w:val="7C0B0C1C"/>
    <w:rsid w:val="7C1724A5"/>
    <w:rsid w:val="7C7C7E92"/>
    <w:rsid w:val="7C8561DF"/>
    <w:rsid w:val="7C930571"/>
    <w:rsid w:val="7CA54112"/>
    <w:rsid w:val="7CA553D9"/>
    <w:rsid w:val="7CAB27F5"/>
    <w:rsid w:val="7CAF438A"/>
    <w:rsid w:val="7CCE726D"/>
    <w:rsid w:val="7CD71EA3"/>
    <w:rsid w:val="7CE50CE4"/>
    <w:rsid w:val="7CE94EE1"/>
    <w:rsid w:val="7CF877E9"/>
    <w:rsid w:val="7D134762"/>
    <w:rsid w:val="7D244CB3"/>
    <w:rsid w:val="7D2E5ABF"/>
    <w:rsid w:val="7D4A45B8"/>
    <w:rsid w:val="7D535AC7"/>
    <w:rsid w:val="7D964A74"/>
    <w:rsid w:val="7DA866E0"/>
    <w:rsid w:val="7DFB43EA"/>
    <w:rsid w:val="7E007625"/>
    <w:rsid w:val="7E0737C8"/>
    <w:rsid w:val="7E131C51"/>
    <w:rsid w:val="7E176B90"/>
    <w:rsid w:val="7E2142A2"/>
    <w:rsid w:val="7E240411"/>
    <w:rsid w:val="7E48335A"/>
    <w:rsid w:val="7E797DE5"/>
    <w:rsid w:val="7E7B0BF2"/>
    <w:rsid w:val="7E8D75B6"/>
    <w:rsid w:val="7E8E672B"/>
    <w:rsid w:val="7EA27DDF"/>
    <w:rsid w:val="7EC67BB0"/>
    <w:rsid w:val="7ED809AD"/>
    <w:rsid w:val="7EF72BE7"/>
    <w:rsid w:val="7EF760EE"/>
    <w:rsid w:val="7F2536B5"/>
    <w:rsid w:val="7F2C3CE7"/>
    <w:rsid w:val="7F2D320B"/>
    <w:rsid w:val="7F3B7507"/>
    <w:rsid w:val="7F5A01CA"/>
    <w:rsid w:val="7F636B2B"/>
    <w:rsid w:val="7F75661B"/>
    <w:rsid w:val="7FB17429"/>
    <w:rsid w:val="7FC237CA"/>
    <w:rsid w:val="7FF1276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nhideWhenUsed="0"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line="360" w:lineRule="auto"/>
    </w:pPr>
    <w:rPr>
      <w:rFonts w:ascii="Tahoma" w:hAnsi="Tahoma" w:eastAsia="宋体" w:cstheme="minorBidi"/>
      <w:sz w:val="21"/>
      <w:szCs w:val="22"/>
      <w:lang w:val="en-US" w:eastAsia="zh-CN" w:bidi="ar-SA"/>
    </w:rPr>
  </w:style>
  <w:style w:type="paragraph" w:styleId="3">
    <w:name w:val="heading 1"/>
    <w:basedOn w:val="1"/>
    <w:next w:val="1"/>
    <w:link w:val="82"/>
    <w:qFormat/>
    <w:uiPriority w:val="9"/>
    <w:pPr>
      <w:keepNext/>
      <w:keepLines/>
      <w:spacing w:before="340" w:after="330" w:line="576" w:lineRule="auto"/>
      <w:outlineLvl w:val="0"/>
    </w:pPr>
    <w:rPr>
      <w:b/>
      <w:kern w:val="44"/>
      <w:sz w:val="44"/>
    </w:rPr>
  </w:style>
  <w:style w:type="paragraph" w:styleId="2">
    <w:name w:val="heading 2"/>
    <w:basedOn w:val="1"/>
    <w:next w:val="1"/>
    <w:link w:val="4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5"/>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51"/>
    <w:unhideWhenUsed/>
    <w:qFormat/>
    <w:uiPriority w:val="9"/>
    <w:pPr>
      <w:keepNext/>
      <w:keepLines/>
      <w:outlineLvl w:val="3"/>
    </w:pPr>
    <w:rPr>
      <w:rFonts w:asciiTheme="majorHAnsi" w:hAnsiTheme="majorHAnsi" w:cstheme="majorBidi"/>
      <w:b/>
      <w:bCs/>
      <w:sz w:val="24"/>
      <w:szCs w:val="28"/>
    </w:rPr>
  </w:style>
  <w:style w:type="paragraph" w:styleId="6">
    <w:name w:val="heading 5"/>
    <w:basedOn w:val="1"/>
    <w:next w:val="1"/>
    <w:link w:val="81"/>
    <w:semiHidden/>
    <w:unhideWhenUsed/>
    <w:qFormat/>
    <w:uiPriority w:val="9"/>
    <w:pPr>
      <w:keepNext/>
      <w:keepLines/>
      <w:spacing w:before="280" w:after="290" w:line="372" w:lineRule="auto"/>
      <w:outlineLvl w:val="4"/>
    </w:pPr>
    <w:rPr>
      <w:b/>
      <w:sz w:val="28"/>
    </w:rPr>
  </w:style>
  <w:style w:type="character" w:default="1" w:styleId="36">
    <w:name w:val="Default Paragraph Font"/>
    <w:semiHidden/>
    <w:unhideWhenUsed/>
    <w:qFormat/>
    <w:uiPriority w:val="1"/>
  </w:style>
  <w:style w:type="table" w:default="1" w:styleId="43">
    <w:name w:val="Normal Table"/>
    <w:semiHidden/>
    <w:unhideWhenUsed/>
    <w:qFormat/>
    <w:uiPriority w:val="99"/>
    <w:tblPr>
      <w:tblLayout w:type="fixed"/>
      <w:tblCellMar>
        <w:top w:w="0" w:type="dxa"/>
        <w:left w:w="108" w:type="dxa"/>
        <w:bottom w:w="0" w:type="dxa"/>
        <w:right w:w="108" w:type="dxa"/>
      </w:tblCellMar>
    </w:tblPr>
  </w:style>
  <w:style w:type="paragraph" w:styleId="7">
    <w:name w:val="annotation subject"/>
    <w:basedOn w:val="8"/>
    <w:next w:val="8"/>
    <w:link w:val="71"/>
    <w:semiHidden/>
    <w:unhideWhenUsed/>
    <w:qFormat/>
    <w:uiPriority w:val="99"/>
    <w:rPr>
      <w:b/>
      <w:bCs/>
    </w:rPr>
  </w:style>
  <w:style w:type="paragraph" w:styleId="8">
    <w:name w:val="annotation text"/>
    <w:basedOn w:val="1"/>
    <w:link w:val="70"/>
    <w:unhideWhenUsed/>
    <w:qFormat/>
    <w:uiPriority w:val="99"/>
  </w:style>
  <w:style w:type="paragraph" w:styleId="9">
    <w:name w:val="toc 7"/>
    <w:basedOn w:val="1"/>
    <w:next w:val="1"/>
    <w:unhideWhenUsed/>
    <w:qFormat/>
    <w:uiPriority w:val="39"/>
    <w:pPr>
      <w:widowControl w:val="0"/>
      <w:adjustRightInd/>
      <w:snapToGrid/>
      <w:spacing w:line="240" w:lineRule="auto"/>
      <w:ind w:left="2520" w:leftChars="1200"/>
      <w:jc w:val="both"/>
    </w:pPr>
    <w:rPr>
      <w:rFonts w:asciiTheme="minorHAnsi" w:hAnsiTheme="minorHAnsi" w:eastAsiaTheme="minorEastAsia"/>
      <w:kern w:val="2"/>
    </w:rPr>
  </w:style>
  <w:style w:type="paragraph" w:styleId="10">
    <w:name w:val="Body Text First Indent"/>
    <w:basedOn w:val="11"/>
    <w:next w:val="12"/>
    <w:qFormat/>
    <w:uiPriority w:val="0"/>
    <w:pPr>
      <w:spacing w:after="120"/>
      <w:ind w:firstLine="420" w:firstLineChars="100"/>
    </w:pPr>
    <w:rPr>
      <w:bCs/>
      <w:szCs w:val="21"/>
    </w:rPr>
  </w:style>
  <w:style w:type="paragraph" w:styleId="11">
    <w:name w:val="Body Text"/>
    <w:basedOn w:val="1"/>
    <w:next w:val="10"/>
    <w:link w:val="73"/>
    <w:qFormat/>
    <w:uiPriority w:val="1"/>
    <w:pPr>
      <w:spacing w:before="161"/>
      <w:ind w:left="120"/>
    </w:pPr>
    <w:rPr>
      <w:rFonts w:ascii="宋体" w:hAnsi="宋体" w:cs="宋体"/>
      <w:sz w:val="24"/>
      <w:lang w:val="zh-CN" w:bidi="zh-CN"/>
    </w:rPr>
  </w:style>
  <w:style w:type="paragraph" w:customStyle="1" w:styleId="12">
    <w:name w:val="样式 正文首行缩进 + 首行缩进:  1 字符"/>
    <w:basedOn w:val="1"/>
    <w:next w:val="1"/>
    <w:qFormat/>
    <w:uiPriority w:val="0"/>
    <w:pPr>
      <w:ind w:firstLine="200" w:firstLineChars="200"/>
    </w:pPr>
    <w:rPr>
      <w:rFonts w:cs="宋体"/>
      <w:szCs w:val="20"/>
    </w:rPr>
  </w:style>
  <w:style w:type="paragraph" w:styleId="13">
    <w:name w:val="Normal Indent"/>
    <w:basedOn w:val="1"/>
    <w:qFormat/>
    <w:uiPriority w:val="0"/>
    <w:pPr>
      <w:ind w:firstLine="420"/>
    </w:pPr>
    <w:rPr>
      <w:szCs w:val="20"/>
    </w:rPr>
  </w:style>
  <w:style w:type="paragraph" w:styleId="14">
    <w:name w:val="index 5"/>
    <w:basedOn w:val="1"/>
    <w:next w:val="1"/>
    <w:qFormat/>
    <w:uiPriority w:val="0"/>
    <w:pPr>
      <w:ind w:left="800" w:leftChars="800"/>
    </w:pPr>
  </w:style>
  <w:style w:type="paragraph" w:styleId="15">
    <w:name w:val="Body Text Indent"/>
    <w:basedOn w:val="1"/>
    <w:next w:val="16"/>
    <w:qFormat/>
    <w:uiPriority w:val="0"/>
    <w:pPr>
      <w:ind w:left="359" w:leftChars="171" w:firstLine="179" w:firstLineChars="85"/>
    </w:pPr>
    <w:rPr>
      <w:rFonts w:ascii="宋体" w:hAnsi="宋体"/>
      <w:b/>
      <w:bCs/>
      <w:szCs w:val="26"/>
    </w:rPr>
  </w:style>
  <w:style w:type="paragraph" w:styleId="16">
    <w:name w:val="envelope return"/>
    <w:basedOn w:val="1"/>
    <w:qFormat/>
    <w:uiPriority w:val="0"/>
    <w:pPr>
      <w:widowControl w:val="0"/>
      <w:jc w:val="both"/>
    </w:pPr>
    <w:rPr>
      <w:rFonts w:ascii="Calibri" w:hAnsi="Calibri" w:cs="Times New Roman"/>
      <w:kern w:val="2"/>
      <w:szCs w:val="24"/>
    </w:rPr>
  </w:style>
  <w:style w:type="paragraph" w:styleId="17">
    <w:name w:val="Block Text"/>
    <w:basedOn w:val="1"/>
    <w:qFormat/>
    <w:uiPriority w:val="0"/>
    <w:pPr>
      <w:spacing w:after="120"/>
      <w:ind w:left="1440" w:leftChars="700" w:right="700" w:rightChars="700"/>
      <w:jc w:val="center"/>
    </w:pPr>
    <w:rPr>
      <w:rFonts w:ascii="Calibri" w:hAnsi="Calibri"/>
    </w:rPr>
  </w:style>
  <w:style w:type="paragraph" w:styleId="18">
    <w:name w:val="toc 5"/>
    <w:basedOn w:val="1"/>
    <w:next w:val="1"/>
    <w:unhideWhenUsed/>
    <w:qFormat/>
    <w:uiPriority w:val="39"/>
    <w:pPr>
      <w:widowControl w:val="0"/>
      <w:adjustRightInd/>
      <w:snapToGrid/>
      <w:spacing w:line="240" w:lineRule="auto"/>
      <w:ind w:left="1680" w:leftChars="800"/>
      <w:jc w:val="both"/>
    </w:pPr>
    <w:rPr>
      <w:rFonts w:asciiTheme="minorHAnsi" w:hAnsiTheme="minorHAnsi" w:eastAsiaTheme="minorEastAsia"/>
      <w:kern w:val="2"/>
    </w:rPr>
  </w:style>
  <w:style w:type="paragraph" w:styleId="19">
    <w:name w:val="toc 3"/>
    <w:basedOn w:val="1"/>
    <w:next w:val="1"/>
    <w:unhideWhenUsed/>
    <w:qFormat/>
    <w:uiPriority w:val="39"/>
    <w:pPr>
      <w:tabs>
        <w:tab w:val="right" w:leader="dot" w:pos="8296"/>
      </w:tabs>
      <w:ind w:left="838" w:leftChars="381"/>
    </w:pPr>
    <w:rPr>
      <w:szCs w:val="21"/>
    </w:rPr>
  </w:style>
  <w:style w:type="paragraph" w:styleId="20">
    <w:name w:val="Plain Text"/>
    <w:basedOn w:val="1"/>
    <w:link w:val="62"/>
    <w:qFormat/>
    <w:uiPriority w:val="0"/>
    <w:pPr>
      <w:widowControl w:val="0"/>
      <w:adjustRightInd/>
      <w:snapToGrid/>
      <w:jc w:val="both"/>
    </w:pPr>
    <w:rPr>
      <w:rFonts w:ascii="宋体" w:hAnsi="Courier New" w:cs="Times New Roman"/>
      <w:b/>
      <w:kern w:val="2"/>
      <w:szCs w:val="20"/>
    </w:rPr>
  </w:style>
  <w:style w:type="paragraph" w:styleId="21">
    <w:name w:val="toc 8"/>
    <w:basedOn w:val="1"/>
    <w:next w:val="1"/>
    <w:unhideWhenUsed/>
    <w:qFormat/>
    <w:uiPriority w:val="39"/>
    <w:pPr>
      <w:widowControl w:val="0"/>
      <w:adjustRightInd/>
      <w:snapToGrid/>
      <w:spacing w:line="240" w:lineRule="auto"/>
      <w:ind w:left="2940" w:leftChars="1400"/>
      <w:jc w:val="both"/>
    </w:pPr>
    <w:rPr>
      <w:rFonts w:asciiTheme="minorHAnsi" w:hAnsiTheme="minorHAnsi" w:eastAsiaTheme="minorEastAsia"/>
      <w:kern w:val="2"/>
    </w:rPr>
  </w:style>
  <w:style w:type="paragraph" w:styleId="22">
    <w:name w:val="Balloon Text"/>
    <w:basedOn w:val="1"/>
    <w:link w:val="65"/>
    <w:semiHidden/>
    <w:unhideWhenUsed/>
    <w:qFormat/>
    <w:uiPriority w:val="99"/>
    <w:rPr>
      <w:sz w:val="18"/>
      <w:szCs w:val="18"/>
    </w:rPr>
  </w:style>
  <w:style w:type="paragraph" w:styleId="23">
    <w:name w:val="footer"/>
    <w:basedOn w:val="1"/>
    <w:link w:val="64"/>
    <w:unhideWhenUsed/>
    <w:qFormat/>
    <w:uiPriority w:val="99"/>
    <w:pPr>
      <w:tabs>
        <w:tab w:val="center" w:pos="4153"/>
        <w:tab w:val="right" w:pos="8306"/>
      </w:tabs>
    </w:pPr>
    <w:rPr>
      <w:sz w:val="18"/>
      <w:szCs w:val="18"/>
    </w:rPr>
  </w:style>
  <w:style w:type="paragraph" w:styleId="24">
    <w:name w:val="Body Text First Indent 2"/>
    <w:basedOn w:val="15"/>
    <w:next w:val="17"/>
    <w:qFormat/>
    <w:uiPriority w:val="0"/>
    <w:pPr>
      <w:ind w:left="0" w:leftChars="0" w:firstLine="420" w:firstLineChars="200"/>
    </w:pPr>
    <w:rPr>
      <w:rFonts w:ascii="Tahoma" w:hAnsi="Tahoma"/>
      <w:sz w:val="28"/>
    </w:rPr>
  </w:style>
  <w:style w:type="paragraph" w:styleId="25">
    <w:name w:val="header"/>
    <w:basedOn w:val="1"/>
    <w:link w:val="63"/>
    <w:unhideWhenUsed/>
    <w:qFormat/>
    <w:uiPriority w:val="99"/>
    <w:pPr>
      <w:pBdr>
        <w:bottom w:val="single" w:color="auto" w:sz="6" w:space="1"/>
      </w:pBdr>
      <w:tabs>
        <w:tab w:val="center" w:pos="4153"/>
        <w:tab w:val="right" w:pos="8306"/>
      </w:tabs>
      <w:jc w:val="center"/>
    </w:pPr>
    <w:rPr>
      <w:sz w:val="18"/>
      <w:szCs w:val="18"/>
    </w:rPr>
  </w:style>
  <w:style w:type="paragraph" w:styleId="26">
    <w:name w:val="toc 1"/>
    <w:basedOn w:val="1"/>
    <w:next w:val="1"/>
    <w:unhideWhenUsed/>
    <w:qFormat/>
    <w:uiPriority w:val="39"/>
  </w:style>
  <w:style w:type="paragraph" w:styleId="27">
    <w:name w:val="toc 4"/>
    <w:basedOn w:val="1"/>
    <w:next w:val="1"/>
    <w:unhideWhenUsed/>
    <w:qFormat/>
    <w:uiPriority w:val="39"/>
    <w:pPr>
      <w:tabs>
        <w:tab w:val="right" w:leader="dot" w:pos="8296"/>
      </w:tabs>
      <w:spacing w:after="120"/>
      <w:ind w:left="1320" w:leftChars="600"/>
    </w:pPr>
  </w:style>
  <w:style w:type="paragraph" w:styleId="28">
    <w:name w:val="footnote text"/>
    <w:basedOn w:val="1"/>
    <w:semiHidden/>
    <w:unhideWhenUsed/>
    <w:qFormat/>
    <w:uiPriority w:val="99"/>
    <w:rPr>
      <w:sz w:val="18"/>
    </w:rPr>
  </w:style>
  <w:style w:type="paragraph" w:styleId="29">
    <w:name w:val="toc 6"/>
    <w:basedOn w:val="1"/>
    <w:next w:val="1"/>
    <w:qFormat/>
    <w:uiPriority w:val="39"/>
    <w:pPr>
      <w:ind w:left="1200"/>
    </w:pPr>
    <w:rPr>
      <w:rFonts w:ascii="Calibri" w:cs="Calibri"/>
      <w:sz w:val="18"/>
      <w:szCs w:val="18"/>
    </w:rPr>
  </w:style>
  <w:style w:type="paragraph" w:styleId="30">
    <w:name w:val="toc 2"/>
    <w:basedOn w:val="1"/>
    <w:next w:val="1"/>
    <w:unhideWhenUsed/>
    <w:qFormat/>
    <w:uiPriority w:val="39"/>
    <w:pPr>
      <w:tabs>
        <w:tab w:val="right" w:leader="dot" w:pos="8296"/>
      </w:tabs>
      <w:ind w:left="440" w:leftChars="200"/>
      <w:jc w:val="center"/>
    </w:pPr>
    <w:rPr>
      <w:rFonts w:ascii="宋体" w:hAnsi="宋体"/>
      <w:sz w:val="30"/>
      <w:szCs w:val="30"/>
    </w:rPr>
  </w:style>
  <w:style w:type="paragraph" w:styleId="31">
    <w:name w:val="toc 9"/>
    <w:basedOn w:val="1"/>
    <w:next w:val="1"/>
    <w:unhideWhenUsed/>
    <w:qFormat/>
    <w:uiPriority w:val="39"/>
    <w:pPr>
      <w:widowControl w:val="0"/>
      <w:adjustRightInd/>
      <w:snapToGrid/>
      <w:spacing w:line="240" w:lineRule="auto"/>
      <w:ind w:left="3360" w:leftChars="1600"/>
      <w:jc w:val="both"/>
    </w:pPr>
    <w:rPr>
      <w:rFonts w:asciiTheme="minorHAnsi" w:hAnsiTheme="minorHAnsi" w:eastAsiaTheme="minorEastAsia"/>
      <w:kern w:val="2"/>
    </w:rPr>
  </w:style>
  <w:style w:type="paragraph" w:styleId="32">
    <w:name w:val="Body Text 2"/>
    <w:basedOn w:val="1"/>
    <w:qFormat/>
    <w:uiPriority w:val="0"/>
    <w:pPr>
      <w:spacing w:line="360" w:lineRule="auto"/>
    </w:pPr>
    <w:rPr>
      <w:sz w:val="24"/>
    </w:rPr>
  </w:style>
  <w:style w:type="paragraph" w:styleId="3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34">
    <w:name w:val="Normal (Web)"/>
    <w:basedOn w:val="1"/>
    <w:link w:val="67"/>
    <w:qFormat/>
    <w:uiPriority w:val="0"/>
    <w:pPr>
      <w:widowControl w:val="0"/>
      <w:adjustRightInd/>
      <w:snapToGrid/>
      <w:jc w:val="both"/>
    </w:pPr>
    <w:rPr>
      <w:rFonts w:asciiTheme="minorHAnsi" w:hAnsiTheme="minorHAnsi"/>
      <w:kern w:val="2"/>
      <w:sz w:val="24"/>
      <w:szCs w:val="24"/>
    </w:rPr>
  </w:style>
  <w:style w:type="paragraph" w:styleId="35">
    <w:name w:val="Title"/>
    <w:basedOn w:val="1"/>
    <w:qFormat/>
    <w:uiPriority w:val="0"/>
    <w:pPr>
      <w:spacing w:before="240" w:after="60" w:line="420" w:lineRule="atLeast"/>
      <w:jc w:val="center"/>
      <w:outlineLvl w:val="0"/>
    </w:pPr>
    <w:rPr>
      <w:rFonts w:ascii="Arial" w:hAnsi="Arial"/>
      <w:b/>
      <w:kern w:val="0"/>
      <w:sz w:val="32"/>
      <w:szCs w:val="20"/>
    </w:rPr>
  </w:style>
  <w:style w:type="character" w:styleId="37">
    <w:name w:val="Strong"/>
    <w:basedOn w:val="36"/>
    <w:qFormat/>
    <w:uiPriority w:val="22"/>
    <w:rPr>
      <w:b/>
    </w:rPr>
  </w:style>
  <w:style w:type="character" w:styleId="38">
    <w:name w:val="page number"/>
    <w:basedOn w:val="36"/>
    <w:qFormat/>
    <w:uiPriority w:val="0"/>
  </w:style>
  <w:style w:type="character" w:styleId="39">
    <w:name w:val="Emphasis"/>
    <w:basedOn w:val="36"/>
    <w:qFormat/>
    <w:uiPriority w:val="20"/>
    <w:rPr>
      <w:i/>
      <w:iCs/>
    </w:rPr>
  </w:style>
  <w:style w:type="character" w:styleId="40">
    <w:name w:val="Hyperlink"/>
    <w:qFormat/>
    <w:uiPriority w:val="99"/>
    <w:rPr>
      <w:rFonts w:hint="eastAsia" w:ascii="宋体" w:hAnsi="宋体" w:eastAsia="宋体" w:cs="宋体"/>
      <w:b/>
      <w:color w:val="0031C1"/>
      <w:kern w:val="0"/>
      <w:sz w:val="18"/>
      <w:szCs w:val="18"/>
      <w:u w:val="none"/>
      <w:lang w:eastAsia="en-US"/>
    </w:rPr>
  </w:style>
  <w:style w:type="character" w:styleId="41">
    <w:name w:val="annotation reference"/>
    <w:basedOn w:val="36"/>
    <w:semiHidden/>
    <w:unhideWhenUsed/>
    <w:qFormat/>
    <w:uiPriority w:val="99"/>
    <w:rPr>
      <w:sz w:val="21"/>
      <w:szCs w:val="21"/>
    </w:rPr>
  </w:style>
  <w:style w:type="character" w:styleId="42">
    <w:name w:val="footnote reference"/>
    <w:basedOn w:val="36"/>
    <w:semiHidden/>
    <w:unhideWhenUsed/>
    <w:qFormat/>
    <w:uiPriority w:val="99"/>
    <w:rPr>
      <w:vertAlign w:val="superscript"/>
    </w:rPr>
  </w:style>
  <w:style w:type="table" w:styleId="44">
    <w:name w:val="Table Grid"/>
    <w:basedOn w:val="4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45">
    <w:name w:val="标题 3 字符"/>
    <w:basedOn w:val="36"/>
    <w:link w:val="4"/>
    <w:qFormat/>
    <w:uiPriority w:val="9"/>
    <w:rPr>
      <w:rFonts w:ascii="Tahoma" w:hAnsi="Tahoma"/>
      <w:b/>
      <w:bCs/>
      <w:sz w:val="32"/>
      <w:szCs w:val="32"/>
    </w:rPr>
  </w:style>
  <w:style w:type="paragraph" w:customStyle="1" w:styleId="46">
    <w:name w:val="Normal_7_0"/>
    <w:qFormat/>
    <w:uiPriority w:val="0"/>
    <w:pPr>
      <w:widowControl w:val="0"/>
      <w:jc w:val="both"/>
    </w:pPr>
    <w:rPr>
      <w:rFonts w:ascii="宋体" w:hAnsi="宋体" w:eastAsia="宋体" w:cs="宋体"/>
      <w:lang w:val="en-US" w:eastAsia="zh-CN" w:bidi="ar-SA"/>
    </w:rPr>
  </w:style>
  <w:style w:type="paragraph" w:customStyle="1" w:styleId="47">
    <w:name w:val="表格文字"/>
    <w:basedOn w:val="1"/>
    <w:qFormat/>
    <w:uiPriority w:val="0"/>
    <w:pPr>
      <w:adjustRightInd/>
      <w:spacing w:before="25" w:after="25"/>
    </w:pPr>
    <w:rPr>
      <w:rFonts w:ascii="Times New Roman"/>
      <w:bCs/>
      <w:spacing w:val="10"/>
      <w:szCs w:val="20"/>
    </w:rPr>
  </w:style>
  <w:style w:type="paragraph" w:customStyle="1" w:styleId="48">
    <w:name w:val="首行缩进"/>
    <w:basedOn w:val="1"/>
    <w:qFormat/>
    <w:uiPriority w:val="0"/>
    <w:pPr>
      <w:adjustRightInd/>
      <w:spacing w:line="300" w:lineRule="auto"/>
      <w:ind w:firstLine="420" w:firstLineChars="200"/>
      <w:jc w:val="both"/>
    </w:pPr>
    <w:rPr>
      <w:rFonts w:ascii="Calibri" w:hAnsi="Calibri" w:eastAsia="方正书宋简体" w:cs="Times New Roman"/>
      <w:sz w:val="20"/>
    </w:rPr>
  </w:style>
  <w:style w:type="character" w:customStyle="1" w:styleId="49">
    <w:name w:val="标题 2 字符"/>
    <w:basedOn w:val="36"/>
    <w:link w:val="2"/>
    <w:qFormat/>
    <w:uiPriority w:val="9"/>
    <w:rPr>
      <w:rFonts w:asciiTheme="majorHAnsi" w:hAnsiTheme="majorHAnsi" w:eastAsiaTheme="majorEastAsia" w:cstheme="majorBidi"/>
      <w:b/>
      <w:bCs/>
      <w:sz w:val="32"/>
      <w:szCs w:val="32"/>
    </w:rPr>
  </w:style>
  <w:style w:type="paragraph" w:styleId="50">
    <w:name w:val="List Paragraph"/>
    <w:basedOn w:val="1"/>
    <w:link w:val="72"/>
    <w:qFormat/>
    <w:uiPriority w:val="0"/>
    <w:pPr>
      <w:ind w:firstLine="420" w:firstLineChars="200"/>
    </w:pPr>
  </w:style>
  <w:style w:type="character" w:customStyle="1" w:styleId="51">
    <w:name w:val="标题 4 字符"/>
    <w:basedOn w:val="36"/>
    <w:link w:val="5"/>
    <w:qFormat/>
    <w:uiPriority w:val="9"/>
    <w:rPr>
      <w:rFonts w:eastAsia="宋体" w:asciiTheme="majorHAnsi" w:hAnsiTheme="majorHAnsi" w:cstheme="majorBidi"/>
      <w:b/>
      <w:bCs/>
      <w:sz w:val="24"/>
      <w:szCs w:val="28"/>
    </w:rPr>
  </w:style>
  <w:style w:type="character" w:customStyle="1" w:styleId="52">
    <w:name w:val="正文缩进2格 Char"/>
    <w:link w:val="53"/>
    <w:qFormat/>
    <w:uiPriority w:val="0"/>
    <w:rPr>
      <w:rFonts w:ascii="仿宋_GB2312" w:hAnsi="宋体" w:eastAsia="仿宋_GB2312"/>
      <w:kern w:val="2"/>
      <w:sz w:val="31"/>
    </w:rPr>
  </w:style>
  <w:style w:type="paragraph" w:customStyle="1" w:styleId="53">
    <w:name w:val="正文缩进2格"/>
    <w:basedOn w:val="1"/>
    <w:next w:val="1"/>
    <w:link w:val="52"/>
    <w:qFormat/>
    <w:uiPriority w:val="0"/>
    <w:pPr>
      <w:widowControl w:val="0"/>
      <w:adjustRightInd/>
      <w:snapToGrid/>
      <w:spacing w:line="600" w:lineRule="exact"/>
      <w:ind w:firstLine="639" w:firstLineChars="206"/>
      <w:jc w:val="both"/>
    </w:pPr>
    <w:rPr>
      <w:rFonts w:ascii="仿宋_GB2312" w:hAnsi="宋体" w:eastAsia="仿宋_GB2312"/>
      <w:kern w:val="2"/>
      <w:sz w:val="31"/>
    </w:rPr>
  </w:style>
  <w:style w:type="paragraph" w:customStyle="1" w:styleId="54">
    <w:name w:val="正文缩进4格"/>
    <w:basedOn w:val="53"/>
    <w:qFormat/>
    <w:uiPriority w:val="0"/>
    <w:pPr>
      <w:ind w:left="2" w:firstLine="538" w:firstLineChars="192"/>
    </w:pPr>
    <w:rPr>
      <w:color w:val="0000FF"/>
      <w:sz w:val="28"/>
    </w:rPr>
  </w:style>
  <w:style w:type="character" w:customStyle="1" w:styleId="55">
    <w:name w:val="正文缩进2格 Char Char"/>
    <w:qFormat/>
    <w:uiPriority w:val="0"/>
    <w:rPr>
      <w:rFonts w:ascii="仿宋_GB2312" w:hAnsi="宋体" w:eastAsia="仿宋_GB2312" w:cs="Times New Roman"/>
      <w:b/>
      <w:kern w:val="2"/>
      <w:sz w:val="31"/>
      <w:szCs w:val="28"/>
      <w:lang w:val="en-US" w:eastAsia="zh-CN" w:bidi="ar-SA"/>
    </w:rPr>
  </w:style>
  <w:style w:type="paragraph" w:customStyle="1" w:styleId="56">
    <w:name w:val="_Style 3"/>
    <w:basedOn w:val="1"/>
    <w:qFormat/>
    <w:uiPriority w:val="0"/>
    <w:pPr>
      <w:widowControl w:val="0"/>
      <w:adjustRightInd/>
      <w:snapToGrid/>
      <w:ind w:firstLine="420" w:firstLineChars="200"/>
      <w:jc w:val="both"/>
    </w:pPr>
    <w:rPr>
      <w:rFonts w:ascii="Times New Roman" w:hAnsi="Times New Roman" w:cs="Times New Roman"/>
      <w:kern w:val="2"/>
      <w:szCs w:val="24"/>
    </w:rPr>
  </w:style>
  <w:style w:type="character" w:customStyle="1" w:styleId="57">
    <w:name w:val="标题1"/>
    <w:qFormat/>
    <w:uiPriority w:val="0"/>
    <w:rPr>
      <w:rFonts w:ascii="Times New Roman" w:hAnsi="Times New Roman" w:eastAsia="宋体" w:cs="Times New Roman"/>
      <w:b/>
      <w:kern w:val="0"/>
      <w:sz w:val="24"/>
      <w:szCs w:val="20"/>
      <w:lang w:eastAsia="en-US"/>
    </w:rPr>
  </w:style>
  <w:style w:type="character" w:customStyle="1" w:styleId="58">
    <w:name w:val="标题 3.1 Char"/>
    <w:link w:val="59"/>
    <w:qFormat/>
    <w:uiPriority w:val="0"/>
    <w:rPr>
      <w:rFonts w:ascii="宋体" w:hAnsi="宋体" w:eastAsia="宋体"/>
      <w:b/>
      <w:color w:val="FF0000"/>
      <w:kern w:val="2"/>
      <w:sz w:val="32"/>
    </w:rPr>
  </w:style>
  <w:style w:type="paragraph" w:customStyle="1" w:styleId="59">
    <w:name w:val="标题 3.1"/>
    <w:basedOn w:val="4"/>
    <w:link w:val="58"/>
    <w:qFormat/>
    <w:uiPriority w:val="0"/>
    <w:pPr>
      <w:widowControl w:val="0"/>
      <w:tabs>
        <w:tab w:val="left" w:pos="1440"/>
        <w:tab w:val="left" w:pos="1620"/>
      </w:tabs>
      <w:adjustRightInd/>
      <w:snapToGrid/>
      <w:spacing w:line="600" w:lineRule="exact"/>
      <w:jc w:val="both"/>
    </w:pPr>
    <w:rPr>
      <w:rFonts w:ascii="宋体" w:hAnsi="宋体"/>
      <w:bCs w:val="0"/>
      <w:color w:val="FF0000"/>
      <w:kern w:val="2"/>
      <w:szCs w:val="22"/>
    </w:rPr>
  </w:style>
  <w:style w:type="character" w:customStyle="1" w:styleId="60">
    <w:name w:val="样式 楷体_GB2312 小四"/>
    <w:qFormat/>
    <w:uiPriority w:val="0"/>
    <w:rPr>
      <w:rFonts w:ascii="楷体_GB2312" w:hAnsi="楷体_GB2312" w:eastAsia="仿宋_GB2312"/>
      <w:sz w:val="24"/>
    </w:rPr>
  </w:style>
  <w:style w:type="character" w:customStyle="1" w:styleId="61">
    <w:name w:val="纯文本 Char"/>
    <w:qFormat/>
    <w:uiPriority w:val="0"/>
    <w:rPr>
      <w:rFonts w:ascii="宋体" w:hAnsi="Courier New" w:eastAsia="宋体" w:cs="Times New Roman"/>
      <w:b/>
      <w:kern w:val="2"/>
      <w:sz w:val="21"/>
      <w:szCs w:val="20"/>
    </w:rPr>
  </w:style>
  <w:style w:type="character" w:customStyle="1" w:styleId="62">
    <w:name w:val="纯文本 字符"/>
    <w:basedOn w:val="36"/>
    <w:link w:val="20"/>
    <w:semiHidden/>
    <w:qFormat/>
    <w:uiPriority w:val="99"/>
    <w:rPr>
      <w:rFonts w:ascii="宋体" w:hAnsi="Courier New" w:eastAsia="宋体" w:cs="Courier New"/>
      <w:sz w:val="21"/>
      <w:szCs w:val="21"/>
    </w:rPr>
  </w:style>
  <w:style w:type="character" w:customStyle="1" w:styleId="63">
    <w:name w:val="页眉 字符"/>
    <w:basedOn w:val="36"/>
    <w:link w:val="25"/>
    <w:qFormat/>
    <w:uiPriority w:val="99"/>
    <w:rPr>
      <w:rFonts w:ascii="Tahoma" w:hAnsi="Tahoma"/>
      <w:sz w:val="18"/>
      <w:szCs w:val="18"/>
    </w:rPr>
  </w:style>
  <w:style w:type="character" w:customStyle="1" w:styleId="64">
    <w:name w:val="页脚 字符"/>
    <w:basedOn w:val="36"/>
    <w:link w:val="23"/>
    <w:qFormat/>
    <w:uiPriority w:val="99"/>
    <w:rPr>
      <w:rFonts w:ascii="Tahoma" w:hAnsi="Tahoma"/>
      <w:sz w:val="18"/>
      <w:szCs w:val="18"/>
    </w:rPr>
  </w:style>
  <w:style w:type="character" w:customStyle="1" w:styleId="65">
    <w:name w:val="批注框文本 字符"/>
    <w:basedOn w:val="36"/>
    <w:link w:val="22"/>
    <w:semiHidden/>
    <w:qFormat/>
    <w:uiPriority w:val="99"/>
    <w:rPr>
      <w:rFonts w:ascii="Tahoma" w:hAnsi="Tahoma"/>
      <w:sz w:val="18"/>
      <w:szCs w:val="18"/>
    </w:rPr>
  </w:style>
  <w:style w:type="paragraph" w:customStyle="1" w:styleId="66">
    <w:name w:val="Char Char2 Char"/>
    <w:basedOn w:val="1"/>
    <w:qFormat/>
    <w:uiPriority w:val="0"/>
    <w:pPr>
      <w:widowControl w:val="0"/>
      <w:adjustRightInd/>
      <w:snapToGrid/>
      <w:jc w:val="both"/>
    </w:pPr>
    <w:rPr>
      <w:rFonts w:ascii="宋体" w:hAnsi="宋体" w:cs="Times New Roman"/>
      <w:b/>
      <w:kern w:val="2"/>
      <w:sz w:val="28"/>
      <w:szCs w:val="28"/>
    </w:rPr>
  </w:style>
  <w:style w:type="character" w:customStyle="1" w:styleId="67">
    <w:name w:val="普通(网站) 字符"/>
    <w:link w:val="34"/>
    <w:qFormat/>
    <w:uiPriority w:val="0"/>
    <w:rPr>
      <w:rFonts w:eastAsia="宋体"/>
      <w:kern w:val="2"/>
      <w:sz w:val="24"/>
      <w:szCs w:val="24"/>
    </w:rPr>
  </w:style>
  <w:style w:type="paragraph" w:customStyle="1" w:styleId="68">
    <w:name w:val="列出段落1"/>
    <w:basedOn w:val="1"/>
    <w:qFormat/>
    <w:uiPriority w:val="99"/>
    <w:pPr>
      <w:widowControl w:val="0"/>
      <w:adjustRightInd/>
      <w:snapToGrid/>
      <w:ind w:firstLine="420" w:firstLineChars="200"/>
      <w:jc w:val="both"/>
    </w:pPr>
    <w:rPr>
      <w:rFonts w:ascii="Times New Roman" w:hAnsi="Times New Roman" w:cs="Times New Roman"/>
      <w:kern w:val="2"/>
      <w:sz w:val="24"/>
      <w:szCs w:val="24"/>
    </w:rPr>
  </w:style>
  <w:style w:type="character" w:customStyle="1" w:styleId="69">
    <w:name w:val="p141"/>
    <w:qFormat/>
    <w:uiPriority w:val="0"/>
    <w:rPr>
      <w:sz w:val="21"/>
      <w:szCs w:val="21"/>
    </w:rPr>
  </w:style>
  <w:style w:type="character" w:customStyle="1" w:styleId="70">
    <w:name w:val="批注文字 字符"/>
    <w:basedOn w:val="36"/>
    <w:link w:val="8"/>
    <w:qFormat/>
    <w:uiPriority w:val="99"/>
    <w:rPr>
      <w:rFonts w:ascii="Tahoma" w:hAnsi="Tahoma" w:eastAsia="微软雅黑" w:cstheme="minorBidi"/>
      <w:sz w:val="22"/>
      <w:szCs w:val="22"/>
    </w:rPr>
  </w:style>
  <w:style w:type="character" w:customStyle="1" w:styleId="71">
    <w:name w:val="批注主题 字符"/>
    <w:basedOn w:val="70"/>
    <w:link w:val="7"/>
    <w:semiHidden/>
    <w:qFormat/>
    <w:uiPriority w:val="99"/>
    <w:rPr>
      <w:rFonts w:ascii="Tahoma" w:hAnsi="Tahoma" w:eastAsia="微软雅黑" w:cstheme="minorBidi"/>
      <w:b/>
      <w:bCs/>
      <w:sz w:val="22"/>
      <w:szCs w:val="22"/>
    </w:rPr>
  </w:style>
  <w:style w:type="character" w:customStyle="1" w:styleId="72">
    <w:name w:val="列表段落 字符"/>
    <w:link w:val="50"/>
    <w:qFormat/>
    <w:uiPriority w:val="0"/>
    <w:rPr>
      <w:rFonts w:ascii="Tahoma" w:hAnsi="Tahoma" w:eastAsia="微软雅黑" w:cstheme="minorBidi"/>
      <w:sz w:val="22"/>
      <w:szCs w:val="22"/>
    </w:rPr>
  </w:style>
  <w:style w:type="character" w:customStyle="1" w:styleId="73">
    <w:name w:val="正文文本 字符"/>
    <w:basedOn w:val="36"/>
    <w:link w:val="11"/>
    <w:qFormat/>
    <w:uiPriority w:val="1"/>
    <w:rPr>
      <w:rFonts w:ascii="宋体" w:hAnsi="宋体" w:cs="宋体"/>
      <w:sz w:val="24"/>
      <w:szCs w:val="22"/>
      <w:lang w:val="zh-CN" w:bidi="zh-CN"/>
    </w:rPr>
  </w:style>
  <w:style w:type="paragraph" w:customStyle="1" w:styleId="74">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5">
    <w:name w:val="_Style 1"/>
    <w:basedOn w:val="1"/>
    <w:qFormat/>
    <w:uiPriority w:val="0"/>
    <w:pPr>
      <w:ind w:firstLine="420" w:firstLineChars="200"/>
    </w:pPr>
  </w:style>
  <w:style w:type="paragraph" w:customStyle="1" w:styleId="76">
    <w:name w:val="列出段落2"/>
    <w:basedOn w:val="1"/>
    <w:qFormat/>
    <w:uiPriority w:val="0"/>
    <w:pPr>
      <w:ind w:firstLine="420" w:firstLineChars="200"/>
    </w:pPr>
  </w:style>
  <w:style w:type="paragraph" w:customStyle="1" w:styleId="77">
    <w:name w:val="p0"/>
    <w:basedOn w:val="1"/>
    <w:qFormat/>
    <w:uiPriority w:val="0"/>
    <w:rPr>
      <w:szCs w:val="21"/>
    </w:rPr>
  </w:style>
  <w:style w:type="paragraph" w:customStyle="1" w:styleId="78">
    <w:name w:val="正文文本缩进 21"/>
    <w:basedOn w:val="1"/>
    <w:qFormat/>
    <w:uiPriority w:val="0"/>
    <w:pPr>
      <w:spacing w:line="480" w:lineRule="auto"/>
      <w:ind w:firstLine="540"/>
    </w:pPr>
    <w:rPr>
      <w:rFonts w:ascii="Calibri" w:hAnsi="Calibri"/>
      <w:sz w:val="20"/>
      <w:szCs w:val="20"/>
    </w:rPr>
  </w:style>
  <w:style w:type="paragraph" w:customStyle="1" w:styleId="79">
    <w:name w:val="_Style 2"/>
    <w:basedOn w:val="1"/>
    <w:qFormat/>
    <w:uiPriority w:val="0"/>
    <w:pPr>
      <w:ind w:firstLine="420" w:firstLineChars="200"/>
    </w:pPr>
  </w:style>
  <w:style w:type="paragraph" w:customStyle="1" w:styleId="80">
    <w:name w:val="msolistparagraph"/>
    <w:basedOn w:val="1"/>
    <w:qFormat/>
    <w:uiPriority w:val="0"/>
    <w:pPr>
      <w:ind w:firstLine="420" w:firstLineChars="200"/>
    </w:pPr>
    <w:rPr>
      <w:rFonts w:hint="eastAsia" w:hAnsi="宋体"/>
    </w:rPr>
  </w:style>
  <w:style w:type="character" w:customStyle="1" w:styleId="81">
    <w:name w:val="标题 5 字符"/>
    <w:link w:val="6"/>
    <w:qFormat/>
    <w:uiPriority w:val="0"/>
    <w:rPr>
      <w:b/>
      <w:sz w:val="28"/>
    </w:rPr>
  </w:style>
  <w:style w:type="character" w:customStyle="1" w:styleId="82">
    <w:name w:val="标题 1 字符"/>
    <w:link w:val="3"/>
    <w:qFormat/>
    <w:uiPriority w:val="9"/>
    <w:rPr>
      <w:b/>
      <w:kern w:val="44"/>
      <w:sz w:val="44"/>
    </w:rPr>
  </w:style>
  <w:style w:type="paragraph" w:customStyle="1" w:styleId="83">
    <w:name w:val="修订1"/>
    <w:hidden/>
    <w:semiHidden/>
    <w:qFormat/>
    <w:uiPriority w:val="99"/>
    <w:rPr>
      <w:rFonts w:ascii="Tahoma" w:hAnsi="Tahoma" w:eastAsia="宋体" w:cstheme="minorBidi"/>
      <w:sz w:val="21"/>
      <w:szCs w:val="22"/>
      <w:lang w:val="en-US" w:eastAsia="zh-CN" w:bidi="ar-SA"/>
    </w:rPr>
  </w:style>
  <w:style w:type="paragraph" w:customStyle="1" w:styleId="84">
    <w:name w:val="纯文本1"/>
    <w:basedOn w:val="85"/>
    <w:qFormat/>
    <w:uiPriority w:val="0"/>
    <w:rPr>
      <w:rFonts w:ascii="宋体" w:hAnsi="Courier New"/>
      <w:szCs w:val="20"/>
    </w:rPr>
  </w:style>
  <w:style w:type="paragraph" w:customStyle="1" w:styleId="85">
    <w:name w:val="正文 New"/>
    <w:qFormat/>
    <w:uiPriority w:val="99"/>
    <w:pPr>
      <w:widowControl w:val="0"/>
      <w:spacing w:line="360" w:lineRule="auto"/>
      <w:jc w:val="both"/>
    </w:pPr>
    <w:rPr>
      <w:rFonts w:ascii="Times New Roman" w:hAnsi="Times New Roman" w:eastAsia="宋体" w:cs="黑体"/>
      <w:kern w:val="2"/>
      <w:sz w:val="21"/>
      <w:szCs w:val="22"/>
      <w:lang w:val="en-US" w:eastAsia="zh-CN" w:bidi="ar-SA"/>
    </w:rPr>
  </w:style>
  <w:style w:type="paragraph" w:customStyle="1" w:styleId="86">
    <w:name w:val="正文2"/>
    <w:qFormat/>
    <w:uiPriority w:val="0"/>
    <w:pPr>
      <w:jc w:val="both"/>
    </w:pPr>
    <w:rPr>
      <w:rFonts w:ascii="Times New Roman" w:hAnsi="Times New Roman" w:eastAsia="宋体" w:cs="Times New Roman"/>
      <w:kern w:val="2"/>
      <w:sz w:val="21"/>
      <w:szCs w:val="21"/>
      <w:lang w:val="en-US" w:eastAsia="zh-CN" w:bidi="ar-SA"/>
    </w:rPr>
  </w:style>
  <w:style w:type="table" w:customStyle="1" w:styleId="87">
    <w:name w:val="Table Normal"/>
    <w:semiHidden/>
    <w:unhideWhenUsed/>
    <w:qFormat/>
    <w:uiPriority w:val="2"/>
    <w:tblPr>
      <w:tblLayout w:type="fixed"/>
      <w:tblCellMar>
        <w:top w:w="0" w:type="dxa"/>
        <w:left w:w="0" w:type="dxa"/>
        <w:bottom w:w="0" w:type="dxa"/>
        <w:right w:w="0" w:type="dxa"/>
      </w:tblCellMar>
    </w:tblPr>
  </w:style>
  <w:style w:type="paragraph" w:customStyle="1" w:styleId="88">
    <w:name w:val="Table Paragraph"/>
    <w:basedOn w:val="1"/>
    <w:qFormat/>
    <w:uiPriority w:val="1"/>
  </w:style>
  <w:style w:type="paragraph" w:customStyle="1" w:styleId="89">
    <w:name w:val="正文文本缩进1"/>
    <w:basedOn w:val="85"/>
    <w:qFormat/>
    <w:uiPriority w:val="0"/>
    <w:pPr>
      <w:spacing w:after="120"/>
      <w:ind w:left="420" w:leftChars="200"/>
    </w:pPr>
  </w:style>
  <w:style w:type="paragraph" w:customStyle="1" w:styleId="90">
    <w:name w:val="正文 New New"/>
    <w:qFormat/>
    <w:uiPriority w:val="0"/>
    <w:pPr>
      <w:widowControl w:val="0"/>
      <w:jc w:val="both"/>
    </w:pPr>
    <w:rPr>
      <w:rFonts w:ascii="Times New Roman" w:hAnsi="Times New Roman" w:eastAsia="宋体" w:cs="Times New Roman"/>
      <w:szCs w:val="24"/>
      <w:lang w:val="en-US" w:eastAsia="zh-CN" w:bidi="ar-SA"/>
    </w:rPr>
  </w:style>
  <w:style w:type="paragraph" w:customStyle="1" w:styleId="91">
    <w:name w:val="纯文本2"/>
    <w:basedOn w:val="85"/>
    <w:qFormat/>
    <w:uiPriority w:val="0"/>
    <w:rPr>
      <w:rFonts w:ascii="宋体" w:hAnsi="Courier New"/>
      <w:szCs w:val="20"/>
    </w:rPr>
  </w:style>
  <w:style w:type="character" w:customStyle="1" w:styleId="92">
    <w:name w:val="font141"/>
    <w:qFormat/>
    <w:uiPriority w:val="0"/>
    <w:rPr>
      <w:rFonts w:hint="default" w:ascii="Times New Roman" w:hAnsi="Times New Roman" w:cs="Times New Roman"/>
      <w:color w:val="000000"/>
      <w:sz w:val="18"/>
      <w:szCs w:val="18"/>
      <w:u w:val="none"/>
    </w:rPr>
  </w:style>
  <w:style w:type="character" w:customStyle="1" w:styleId="93">
    <w:name w:val="font71"/>
    <w:qFormat/>
    <w:uiPriority w:val="0"/>
    <w:rPr>
      <w:rFonts w:hint="eastAsia" w:ascii="宋体" w:hAnsi="宋体" w:eastAsia="宋体" w:cs="宋体"/>
      <w:color w:val="000000"/>
      <w:sz w:val="18"/>
      <w:szCs w:val="18"/>
      <w:u w:val="none"/>
    </w:rPr>
  </w:style>
  <w:style w:type="character" w:customStyle="1" w:styleId="94">
    <w:name w:val="font21"/>
    <w:basedOn w:val="36"/>
    <w:qFormat/>
    <w:uiPriority w:val="0"/>
    <w:rPr>
      <w:rFonts w:hint="eastAsia" w:ascii="宋体" w:hAnsi="宋体" w:eastAsia="宋体" w:cs="宋体"/>
      <w:color w:val="000000"/>
      <w:sz w:val="20"/>
      <w:szCs w:val="20"/>
      <w:u w:val="none"/>
    </w:rPr>
  </w:style>
  <w:style w:type="character" w:customStyle="1" w:styleId="95">
    <w:name w:val="font01"/>
    <w:basedOn w:val="36"/>
    <w:qFormat/>
    <w:uiPriority w:val="0"/>
    <w:rPr>
      <w:rFonts w:ascii="Arial" w:hAnsi="Arial" w:cs="Arial"/>
      <w:color w:val="000000"/>
      <w:sz w:val="20"/>
      <w:szCs w:val="20"/>
      <w:u w:val="none"/>
    </w:rPr>
  </w:style>
  <w:style w:type="character" w:customStyle="1" w:styleId="96">
    <w:name w:val="font61"/>
    <w:basedOn w:val="36"/>
    <w:qFormat/>
    <w:uiPriority w:val="0"/>
    <w:rPr>
      <w:rFonts w:hint="eastAsia" w:ascii="宋体" w:hAnsi="宋体" w:eastAsia="宋体" w:cs="宋体"/>
      <w:color w:val="000000"/>
      <w:sz w:val="20"/>
      <w:szCs w:val="20"/>
      <w:u w:val="none"/>
    </w:rPr>
  </w:style>
  <w:style w:type="character" w:customStyle="1" w:styleId="97">
    <w:name w:val="font51"/>
    <w:basedOn w:val="36"/>
    <w:qFormat/>
    <w:uiPriority w:val="0"/>
    <w:rPr>
      <w:rFonts w:hint="eastAsia" w:ascii="宋体" w:hAnsi="宋体" w:eastAsia="宋体" w:cs="宋体"/>
      <w:color w:val="000000"/>
      <w:sz w:val="20"/>
      <w:szCs w:val="20"/>
      <w:u w:val="none"/>
    </w:rPr>
  </w:style>
  <w:style w:type="character" w:customStyle="1" w:styleId="98">
    <w:name w:val="font11"/>
    <w:basedOn w:val="36"/>
    <w:qFormat/>
    <w:uiPriority w:val="0"/>
    <w:rPr>
      <w:rFonts w:hint="eastAsia" w:ascii="宋体" w:hAnsi="宋体" w:eastAsia="宋体" w:cs="宋体"/>
      <w:color w:val="000000"/>
      <w:sz w:val="20"/>
      <w:szCs w:val="20"/>
      <w:u w:val="none"/>
    </w:rPr>
  </w:style>
  <w:style w:type="paragraph" w:customStyle="1" w:styleId="9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88</Pages>
  <Words>6918</Words>
  <Characters>7619</Characters>
  <Lines>66</Lines>
  <Paragraphs>65</Paragraphs>
  <TotalTime>0</TotalTime>
  <ScaleCrop>false</ScaleCrop>
  <LinksUpToDate>false</LinksUpToDate>
  <CharactersWithSpaces>7879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2022-10-28T17:19:00Z</dcterms:created>
  <dc:creator>MyPC</dc:creator>
  <cp:lastModifiedBy>张晓彬</cp:lastModifiedBy>
  <cp:lastPrinted>2022-12-01T14:09:00Z</cp:lastPrinted>
  <dcterms:modified xsi:type="dcterms:W3CDTF">2026-06-16T02:33:01Z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D7F4D14E737546588F06CB8C5EC5EFB5_13</vt:lpwstr>
  </property>
  <property fmtid="{D5CDD505-2E9C-101B-9397-08002B2CF9AE}" pid="4" name="KSOTemplateDocerSaveRecord">
    <vt:lpwstr>eyJoZGlkIjoiNzg0OGM4Y2I0YTVmZTBkZWRlMjA0YTcwNDAyNTg3YjYiLCJ1c2VySWQiOiI0Mzc0NDE1OTIifQ==</vt:lpwstr>
  </property>
</Properties>
</file>