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86630">
      <w:pPr>
        <w:spacing w:line="360" w:lineRule="auto"/>
        <w:ind w:firstLine="560"/>
        <w:rPr>
          <w:rFonts w:hint="eastAsia" w:ascii="宋体" w:hAnsi="宋体" w:cs="宋体"/>
          <w:color w:val="auto"/>
          <w:sz w:val="28"/>
          <w:szCs w:val="28"/>
          <w:highlight w:val="none"/>
        </w:rPr>
      </w:pPr>
    </w:p>
    <w:p w14:paraId="0DA1D1A5">
      <w:pPr>
        <w:spacing w:line="360" w:lineRule="auto"/>
        <w:ind w:firstLine="560"/>
        <w:rPr>
          <w:rFonts w:ascii="宋体" w:hAnsi="宋体" w:cs="宋体"/>
          <w:color w:val="auto"/>
          <w:sz w:val="28"/>
          <w:szCs w:val="28"/>
          <w:highlight w:val="none"/>
        </w:rPr>
      </w:pPr>
    </w:p>
    <w:p w14:paraId="3FEF0C28">
      <w:pPr>
        <w:spacing w:line="360" w:lineRule="auto"/>
        <w:ind w:firstLine="560"/>
        <w:rPr>
          <w:rFonts w:ascii="宋体" w:hAnsi="宋体" w:cs="宋体"/>
          <w:color w:val="auto"/>
          <w:sz w:val="28"/>
          <w:szCs w:val="28"/>
          <w:highlight w:val="none"/>
        </w:rPr>
      </w:pPr>
    </w:p>
    <w:p w14:paraId="01358F9F">
      <w:pPr>
        <w:spacing w:line="360" w:lineRule="auto"/>
        <w:ind w:firstLine="560"/>
        <w:jc w:val="left"/>
        <w:rPr>
          <w:rFonts w:ascii="宋体" w:hAnsi="宋体" w:cs="宋体"/>
          <w:color w:val="auto"/>
          <w:sz w:val="36"/>
          <w:szCs w:val="36"/>
          <w:highlight w:val="none"/>
        </w:rPr>
      </w:pPr>
    </w:p>
    <w:p w14:paraId="3A84AB86">
      <w:pPr>
        <w:jc w:val="center"/>
        <w:rPr>
          <w:rFonts w:hint="eastAsia" w:ascii="黑体" w:eastAsia="黑体"/>
          <w:color w:val="auto"/>
          <w:sz w:val="28"/>
          <w:szCs w:val="28"/>
          <w:highlight w:val="none"/>
          <w:lang w:eastAsia="zh-CN"/>
        </w:rPr>
      </w:pPr>
      <w:r>
        <w:rPr>
          <w:rFonts w:hint="eastAsia" w:ascii="黑体" w:eastAsia="黑体"/>
          <w:color w:val="auto"/>
          <w:sz w:val="36"/>
          <w:szCs w:val="36"/>
          <w:highlight w:val="none"/>
          <w:u w:val="single"/>
        </w:rPr>
        <w:t xml:space="preserve"> </w:t>
      </w:r>
      <w:r>
        <w:rPr>
          <w:rFonts w:hint="eastAsia" w:ascii="黑体" w:eastAsia="黑体"/>
          <w:color w:val="auto"/>
          <w:sz w:val="36"/>
          <w:szCs w:val="36"/>
          <w:highlight w:val="none"/>
          <w:u w:val="single"/>
          <w:lang w:eastAsia="zh-CN"/>
        </w:rPr>
        <w:t>织金高原泉水务有限公司35%股权、债权资产包整体转让中介服务采购项目</w:t>
      </w:r>
    </w:p>
    <w:p w14:paraId="6BDAE409">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项目编号：</w:t>
      </w:r>
      <w:r>
        <w:rPr>
          <w:rFonts w:hint="eastAsia" w:ascii="黑体" w:eastAsia="黑体"/>
          <w:color w:val="auto"/>
          <w:sz w:val="28"/>
          <w:szCs w:val="28"/>
          <w:highlight w:val="none"/>
          <w:lang w:eastAsia="zh-CN"/>
        </w:rPr>
        <w:t>GDXW-ZJ-03-001-001（2026）</w:t>
      </w:r>
    </w:p>
    <w:p w14:paraId="39C044A5">
      <w:pPr>
        <w:rPr>
          <w:color w:val="auto"/>
          <w:sz w:val="28"/>
          <w:szCs w:val="28"/>
          <w:highlight w:val="none"/>
        </w:rPr>
      </w:pPr>
    </w:p>
    <w:p w14:paraId="409B0394">
      <w:pPr>
        <w:rPr>
          <w:color w:val="auto"/>
          <w:sz w:val="28"/>
          <w:szCs w:val="28"/>
          <w:highlight w:val="none"/>
        </w:rPr>
      </w:pPr>
    </w:p>
    <w:p w14:paraId="0D5FCA47">
      <w:pPr>
        <w:jc w:val="center"/>
        <w:rPr>
          <w:rFonts w:ascii="黑体" w:eastAsia="黑体"/>
          <w:color w:val="auto"/>
          <w:sz w:val="44"/>
          <w:szCs w:val="44"/>
          <w:highlight w:val="none"/>
        </w:rPr>
      </w:pPr>
      <w:r>
        <w:rPr>
          <w:rFonts w:hint="eastAsia" w:ascii="黑体" w:eastAsia="黑体"/>
          <w:color w:val="auto"/>
          <w:sz w:val="44"/>
          <w:szCs w:val="44"/>
          <w:highlight w:val="none"/>
        </w:rPr>
        <w:t>竞争性谈判文件</w:t>
      </w:r>
    </w:p>
    <w:p w14:paraId="05250774">
      <w:pPr>
        <w:spacing w:line="400" w:lineRule="exact"/>
        <w:rPr>
          <w:color w:val="auto"/>
          <w:highlight w:val="none"/>
        </w:rPr>
      </w:pPr>
    </w:p>
    <w:p w14:paraId="4CE5265B">
      <w:pPr>
        <w:spacing w:line="400" w:lineRule="exact"/>
        <w:rPr>
          <w:color w:val="auto"/>
          <w:highlight w:val="none"/>
        </w:rPr>
      </w:pPr>
    </w:p>
    <w:p w14:paraId="1AA64A10">
      <w:pPr>
        <w:spacing w:line="400" w:lineRule="exact"/>
        <w:rPr>
          <w:color w:val="auto"/>
          <w:highlight w:val="none"/>
        </w:rPr>
      </w:pPr>
    </w:p>
    <w:p w14:paraId="7C80EC9E">
      <w:pPr>
        <w:spacing w:line="400" w:lineRule="exact"/>
        <w:rPr>
          <w:color w:val="auto"/>
          <w:highlight w:val="none"/>
        </w:rPr>
      </w:pPr>
    </w:p>
    <w:p w14:paraId="3BDB5A93">
      <w:pPr>
        <w:spacing w:line="400" w:lineRule="exact"/>
        <w:rPr>
          <w:color w:val="auto"/>
          <w:highlight w:val="none"/>
        </w:rPr>
      </w:pPr>
    </w:p>
    <w:p w14:paraId="2D61E4E6">
      <w:pPr>
        <w:spacing w:line="400" w:lineRule="exact"/>
        <w:rPr>
          <w:color w:val="auto"/>
          <w:highlight w:val="none"/>
        </w:rPr>
      </w:pPr>
    </w:p>
    <w:p w14:paraId="483638E9">
      <w:pPr>
        <w:spacing w:line="400" w:lineRule="exact"/>
        <w:rPr>
          <w:color w:val="auto"/>
          <w:highlight w:val="none"/>
        </w:rPr>
      </w:pPr>
    </w:p>
    <w:p w14:paraId="0A3774DB">
      <w:pPr>
        <w:spacing w:line="400" w:lineRule="exact"/>
        <w:rPr>
          <w:color w:val="auto"/>
          <w:highlight w:val="none"/>
        </w:rPr>
      </w:pPr>
    </w:p>
    <w:p w14:paraId="6233CF8C">
      <w:pPr>
        <w:spacing w:line="400" w:lineRule="exact"/>
        <w:rPr>
          <w:color w:val="auto"/>
          <w:highlight w:val="none"/>
        </w:rPr>
      </w:pPr>
    </w:p>
    <w:p w14:paraId="4C0D5A2C">
      <w:pPr>
        <w:jc w:val="center"/>
        <w:rPr>
          <w:rFonts w:ascii="黑体" w:eastAsia="黑体"/>
          <w:color w:val="auto"/>
          <w:sz w:val="28"/>
          <w:szCs w:val="28"/>
          <w:highlight w:val="none"/>
        </w:rPr>
      </w:pPr>
      <w:r>
        <w:rPr>
          <w:rFonts w:hint="eastAsia" w:ascii="黑体" w:eastAsia="黑体"/>
          <w:color w:val="auto"/>
          <w:sz w:val="28"/>
          <w:szCs w:val="28"/>
          <w:highlight w:val="none"/>
        </w:rPr>
        <w:t>采购人：</w:t>
      </w:r>
      <w:r>
        <w:rPr>
          <w:rFonts w:hint="eastAsia" w:ascii="黑体" w:eastAsia="黑体"/>
          <w:color w:val="auto"/>
          <w:sz w:val="28"/>
          <w:szCs w:val="28"/>
          <w:highlight w:val="none"/>
          <w:u w:val="single"/>
        </w:rPr>
        <w:t xml:space="preserve"> 广东新网工程技术有限公司 </w:t>
      </w:r>
      <w:r>
        <w:rPr>
          <w:rFonts w:hint="eastAsia" w:ascii="黑体" w:eastAsia="黑体"/>
          <w:color w:val="auto"/>
          <w:sz w:val="28"/>
          <w:szCs w:val="28"/>
          <w:highlight w:val="none"/>
        </w:rPr>
        <w:t>（盖单位章）</w:t>
      </w:r>
    </w:p>
    <w:p w14:paraId="4273A7F2">
      <w:pPr>
        <w:jc w:val="center"/>
        <w:rPr>
          <w:rFonts w:ascii="黑体" w:eastAsia="黑体"/>
          <w:color w:val="auto"/>
          <w:sz w:val="28"/>
          <w:szCs w:val="28"/>
          <w:highlight w:val="none"/>
        </w:rPr>
      </w:pPr>
      <w:r>
        <w:rPr>
          <w:rFonts w:hint="eastAsia" w:ascii="黑体" w:eastAsia="黑体"/>
          <w:color w:val="auto"/>
          <w:sz w:val="28"/>
          <w:szCs w:val="28"/>
          <w:highlight w:val="none"/>
        </w:rPr>
        <w:t>采购代理机构：</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eastAsia="zh-CN"/>
        </w:rPr>
        <w:t>广东政通招标有限公司</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33BAB64A">
      <w:pPr>
        <w:jc w:val="center"/>
        <w:rPr>
          <w:rFonts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2026</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06</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p>
    <w:p w14:paraId="2B0F759C">
      <w:pPr>
        <w:jc w:val="center"/>
        <w:rPr>
          <w:rFonts w:ascii="黑体" w:eastAsia="黑体"/>
          <w:color w:val="auto"/>
          <w:sz w:val="28"/>
          <w:szCs w:val="28"/>
          <w:highlight w:val="none"/>
        </w:rPr>
      </w:pPr>
      <w:r>
        <w:rPr>
          <w:rFonts w:eastAsia="华文隶书"/>
          <w:color w:val="auto"/>
          <w:sz w:val="44"/>
          <w:szCs w:val="44"/>
          <w:highlight w:val="none"/>
        </w:rPr>
        <w:br w:type="page"/>
      </w:r>
      <w:r>
        <w:rPr>
          <w:rFonts w:hint="eastAsia" w:ascii="黑体" w:eastAsia="黑体"/>
          <w:color w:val="auto"/>
          <w:sz w:val="28"/>
          <w:szCs w:val="28"/>
          <w:highlight w:val="none"/>
        </w:rPr>
        <w:t>目 录</w:t>
      </w:r>
    </w:p>
    <w:p w14:paraId="77A19123">
      <w:pPr>
        <w:pStyle w:val="28"/>
        <w:tabs>
          <w:tab w:val="right" w:leader="dot" w:pos="8306"/>
        </w:tabs>
        <w:spacing w:line="360" w:lineRule="auto"/>
        <w:rPr>
          <w:color w:val="auto"/>
          <w:sz w:val="21"/>
          <w:szCs w:val="21"/>
          <w:highlight w:val="none"/>
        </w:rPr>
      </w:pPr>
      <w:r>
        <w:rPr>
          <w:rFonts w:ascii="黑体" w:eastAsia="黑体"/>
          <w:color w:val="auto"/>
          <w:sz w:val="32"/>
          <w:szCs w:val="32"/>
          <w:highlight w:val="none"/>
        </w:rPr>
        <w:fldChar w:fldCharType="begin" w:fldLock="1"/>
      </w:r>
      <w:r>
        <w:rPr>
          <w:rFonts w:ascii="黑体" w:eastAsia="黑体"/>
          <w:color w:val="auto"/>
          <w:sz w:val="32"/>
          <w:szCs w:val="32"/>
          <w:highlight w:val="none"/>
        </w:rPr>
        <w:instrText xml:space="preserve"> </w:instrText>
      </w:r>
      <w:r>
        <w:rPr>
          <w:rFonts w:hint="eastAsia" w:ascii="黑体" w:eastAsia="黑体"/>
          <w:color w:val="auto"/>
          <w:sz w:val="32"/>
          <w:szCs w:val="32"/>
          <w:highlight w:val="none"/>
        </w:rPr>
        <w:instrText xml:space="preserve">TOC \o "1-3" \h \z \u</w:instrText>
      </w:r>
      <w:r>
        <w:rPr>
          <w:rFonts w:ascii="黑体" w:eastAsia="黑体"/>
          <w:color w:val="auto"/>
          <w:sz w:val="32"/>
          <w:szCs w:val="32"/>
          <w:highlight w:val="none"/>
        </w:rPr>
        <w:instrText xml:space="preserve"> </w:instrText>
      </w:r>
      <w:r>
        <w:rPr>
          <w:rFonts w:ascii="黑体" w:eastAsia="黑体"/>
          <w:color w:val="auto"/>
          <w:sz w:val="32"/>
          <w:szCs w:val="32"/>
          <w:highlight w:val="none"/>
        </w:rPr>
        <w:fldChar w:fldCharType="separate"/>
      </w: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_Toc8202 </w:instrText>
      </w:r>
      <w:r>
        <w:rPr>
          <w:rFonts w:ascii="黑体" w:eastAsia="黑体"/>
          <w:color w:val="auto"/>
          <w:sz w:val="21"/>
          <w:szCs w:val="32"/>
          <w:highlight w:val="none"/>
        </w:rPr>
        <w:fldChar w:fldCharType="separate"/>
      </w:r>
      <w:r>
        <w:rPr>
          <w:rFonts w:hint="eastAsia" w:ascii="宋体" w:hAnsi="宋体" w:eastAsia="宋体" w:cs="宋体"/>
          <w:color w:val="auto"/>
          <w:kern w:val="0"/>
          <w:sz w:val="21"/>
          <w:szCs w:val="32"/>
          <w:highlight w:val="none"/>
        </w:rPr>
        <w:t>第</w:t>
      </w:r>
      <w:r>
        <w:rPr>
          <w:rFonts w:ascii="宋体" w:hAnsi="宋体" w:eastAsia="宋体" w:cs="宋体"/>
          <w:color w:val="auto"/>
          <w:kern w:val="0"/>
          <w:sz w:val="21"/>
          <w:szCs w:val="32"/>
          <w:highlight w:val="none"/>
        </w:rPr>
        <w:t>一章  竞争性谈判公告</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_Toc8202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rFonts w:ascii="黑体" w:eastAsia="黑体"/>
          <w:color w:val="auto"/>
          <w:sz w:val="21"/>
          <w:szCs w:val="32"/>
          <w:highlight w:val="none"/>
        </w:rPr>
        <w:fldChar w:fldCharType="end"/>
      </w:r>
    </w:p>
    <w:p w14:paraId="3EDBBEAA">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_Toc29650 </w:instrText>
      </w:r>
      <w:r>
        <w:rPr>
          <w:rFonts w:ascii="黑体" w:eastAsia="黑体"/>
          <w:color w:val="auto"/>
          <w:sz w:val="21"/>
          <w:szCs w:val="32"/>
          <w:highlight w:val="none"/>
        </w:rPr>
        <w:fldChar w:fldCharType="separate"/>
      </w:r>
      <w:r>
        <w:rPr>
          <w:rFonts w:hint="eastAsia" w:ascii="宋体" w:hAnsi="宋体" w:eastAsia="宋体" w:cs="宋体"/>
          <w:color w:val="auto"/>
          <w:kern w:val="0"/>
          <w:sz w:val="21"/>
          <w:szCs w:val="32"/>
          <w:highlight w:val="none"/>
        </w:rPr>
        <w:t>第二章 竞争性谈判响应须知</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_Toc29650 \h </w:instrText>
      </w:r>
      <w:r>
        <w:rPr>
          <w:color w:val="auto"/>
          <w:sz w:val="21"/>
          <w:szCs w:val="21"/>
          <w:highlight w:val="none"/>
        </w:rPr>
        <w:fldChar w:fldCharType="separate"/>
      </w:r>
      <w:r>
        <w:rPr>
          <w:color w:val="auto"/>
          <w:sz w:val="21"/>
          <w:szCs w:val="21"/>
          <w:highlight w:val="none"/>
        </w:rPr>
        <w:t>7</w:t>
      </w:r>
      <w:r>
        <w:rPr>
          <w:color w:val="auto"/>
          <w:sz w:val="21"/>
          <w:szCs w:val="21"/>
          <w:highlight w:val="none"/>
        </w:rPr>
        <w:fldChar w:fldCharType="end"/>
      </w:r>
      <w:r>
        <w:rPr>
          <w:rFonts w:ascii="黑体" w:eastAsia="黑体"/>
          <w:color w:val="auto"/>
          <w:sz w:val="21"/>
          <w:szCs w:val="32"/>
          <w:highlight w:val="none"/>
        </w:rPr>
        <w:fldChar w:fldCharType="end"/>
      </w:r>
    </w:p>
    <w:p w14:paraId="5DD1B3D4">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_Toc5931 </w:instrText>
      </w:r>
      <w:r>
        <w:rPr>
          <w:rFonts w:ascii="黑体" w:eastAsia="黑体"/>
          <w:color w:val="auto"/>
          <w:sz w:val="21"/>
          <w:szCs w:val="32"/>
          <w:highlight w:val="none"/>
        </w:rPr>
        <w:fldChar w:fldCharType="separate"/>
      </w:r>
      <w:r>
        <w:rPr>
          <w:rFonts w:hint="eastAsia"/>
          <w:color w:val="auto"/>
          <w:sz w:val="21"/>
          <w:szCs w:val="32"/>
          <w:highlight w:val="none"/>
        </w:rPr>
        <w:t>竞争性谈判响应须知前附表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_Toc5931 \h </w:instrText>
      </w:r>
      <w:r>
        <w:rPr>
          <w:color w:val="auto"/>
          <w:sz w:val="21"/>
          <w:szCs w:val="21"/>
          <w:highlight w:val="none"/>
        </w:rPr>
        <w:fldChar w:fldCharType="separate"/>
      </w:r>
      <w:r>
        <w:rPr>
          <w:color w:val="auto"/>
          <w:sz w:val="21"/>
          <w:szCs w:val="21"/>
          <w:highlight w:val="none"/>
        </w:rPr>
        <w:t>7</w:t>
      </w:r>
      <w:r>
        <w:rPr>
          <w:color w:val="auto"/>
          <w:sz w:val="21"/>
          <w:szCs w:val="21"/>
          <w:highlight w:val="none"/>
        </w:rPr>
        <w:fldChar w:fldCharType="end"/>
      </w:r>
      <w:r>
        <w:rPr>
          <w:rFonts w:ascii="黑体" w:eastAsia="黑体"/>
          <w:color w:val="auto"/>
          <w:sz w:val="21"/>
          <w:szCs w:val="32"/>
          <w:highlight w:val="none"/>
        </w:rPr>
        <w:fldChar w:fldCharType="end"/>
      </w:r>
    </w:p>
    <w:p w14:paraId="4F251A2B">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_Toc15744 </w:instrText>
      </w:r>
      <w:r>
        <w:rPr>
          <w:rFonts w:ascii="黑体" w:eastAsia="黑体"/>
          <w:color w:val="auto"/>
          <w:sz w:val="21"/>
          <w:szCs w:val="32"/>
          <w:highlight w:val="none"/>
        </w:rPr>
        <w:fldChar w:fldCharType="separate"/>
      </w:r>
      <w:r>
        <w:rPr>
          <w:rFonts w:hint="eastAsia" w:ascii="黑体" w:hAnsi="黑体"/>
          <w:color w:val="auto"/>
          <w:sz w:val="21"/>
          <w:szCs w:val="21"/>
          <w:highlight w:val="none"/>
        </w:rPr>
        <w:t>1. 总则</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_Toc15744 \h </w:instrText>
      </w:r>
      <w:r>
        <w:rPr>
          <w:color w:val="auto"/>
          <w:sz w:val="21"/>
          <w:szCs w:val="21"/>
          <w:highlight w:val="none"/>
        </w:rPr>
        <w:fldChar w:fldCharType="separate"/>
      </w:r>
      <w:r>
        <w:rPr>
          <w:color w:val="auto"/>
          <w:sz w:val="21"/>
          <w:szCs w:val="21"/>
          <w:highlight w:val="none"/>
        </w:rPr>
        <w:t>11</w:t>
      </w:r>
      <w:r>
        <w:rPr>
          <w:color w:val="auto"/>
          <w:sz w:val="21"/>
          <w:szCs w:val="21"/>
          <w:highlight w:val="none"/>
        </w:rPr>
        <w:fldChar w:fldCharType="end"/>
      </w:r>
      <w:r>
        <w:rPr>
          <w:rFonts w:ascii="黑体" w:eastAsia="黑体"/>
          <w:color w:val="auto"/>
          <w:sz w:val="21"/>
          <w:szCs w:val="32"/>
          <w:highlight w:val="none"/>
        </w:rPr>
        <w:fldChar w:fldCharType="end"/>
      </w:r>
    </w:p>
    <w:p w14:paraId="2925EEBA">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_Toc5141 </w:instrText>
      </w:r>
      <w:r>
        <w:rPr>
          <w:rFonts w:ascii="黑体" w:eastAsia="黑体"/>
          <w:color w:val="auto"/>
          <w:sz w:val="21"/>
          <w:szCs w:val="32"/>
          <w:highlight w:val="none"/>
        </w:rPr>
        <w:fldChar w:fldCharType="separate"/>
      </w:r>
      <w:r>
        <w:rPr>
          <w:rFonts w:hint="eastAsia" w:ascii="黑体" w:hAnsi="黑体"/>
          <w:color w:val="auto"/>
          <w:sz w:val="21"/>
          <w:szCs w:val="21"/>
          <w:highlight w:val="none"/>
        </w:rPr>
        <w:t>2. 竞争性谈判文件</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_Toc5141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rFonts w:ascii="黑体" w:eastAsia="黑体"/>
          <w:color w:val="auto"/>
          <w:sz w:val="21"/>
          <w:szCs w:val="32"/>
          <w:highlight w:val="none"/>
        </w:rPr>
        <w:fldChar w:fldCharType="end"/>
      </w:r>
    </w:p>
    <w:p w14:paraId="49AAD73F">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_Toc906 </w:instrText>
      </w:r>
      <w:r>
        <w:rPr>
          <w:rFonts w:ascii="黑体" w:eastAsia="黑体"/>
          <w:color w:val="auto"/>
          <w:sz w:val="21"/>
          <w:szCs w:val="32"/>
          <w:highlight w:val="none"/>
        </w:rPr>
        <w:fldChar w:fldCharType="separate"/>
      </w:r>
      <w:r>
        <w:rPr>
          <w:rFonts w:hint="eastAsia" w:ascii="黑体" w:hAnsi="黑体"/>
          <w:color w:val="auto"/>
          <w:sz w:val="21"/>
          <w:szCs w:val="21"/>
          <w:highlight w:val="none"/>
        </w:rPr>
        <w:t>3. 响应文件</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_Toc906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rFonts w:ascii="黑体" w:eastAsia="黑体"/>
          <w:color w:val="auto"/>
          <w:sz w:val="21"/>
          <w:szCs w:val="32"/>
          <w:highlight w:val="none"/>
        </w:rPr>
        <w:fldChar w:fldCharType="end"/>
      </w:r>
    </w:p>
    <w:p w14:paraId="2200FE6E">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_Toc11193 </w:instrText>
      </w:r>
      <w:r>
        <w:rPr>
          <w:rFonts w:ascii="黑体" w:eastAsia="黑体"/>
          <w:color w:val="auto"/>
          <w:sz w:val="21"/>
          <w:szCs w:val="32"/>
          <w:highlight w:val="none"/>
        </w:rPr>
        <w:fldChar w:fldCharType="separate"/>
      </w:r>
      <w:r>
        <w:rPr>
          <w:rFonts w:hint="eastAsia" w:ascii="黑体" w:hAnsi="黑体"/>
          <w:color w:val="auto"/>
          <w:sz w:val="21"/>
          <w:szCs w:val="21"/>
          <w:highlight w:val="none"/>
        </w:rPr>
        <w:t>4. 竞争性谈判</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_Toc11193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rFonts w:ascii="黑体" w:eastAsia="黑体"/>
          <w:color w:val="auto"/>
          <w:sz w:val="21"/>
          <w:szCs w:val="32"/>
          <w:highlight w:val="none"/>
        </w:rPr>
        <w:fldChar w:fldCharType="end"/>
      </w:r>
    </w:p>
    <w:p w14:paraId="0B3B4952">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_Toc7925 </w:instrText>
      </w:r>
      <w:r>
        <w:rPr>
          <w:rFonts w:ascii="黑体" w:eastAsia="黑体"/>
          <w:color w:val="auto"/>
          <w:sz w:val="21"/>
          <w:szCs w:val="32"/>
          <w:highlight w:val="none"/>
        </w:rPr>
        <w:fldChar w:fldCharType="separate"/>
      </w:r>
      <w:r>
        <w:rPr>
          <w:rFonts w:hint="eastAsia"/>
          <w:color w:val="auto"/>
          <w:sz w:val="21"/>
          <w:szCs w:val="21"/>
          <w:highlight w:val="none"/>
        </w:rPr>
        <w:t>5. 公开唱标</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_Toc7925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rFonts w:ascii="黑体" w:eastAsia="黑体"/>
          <w:color w:val="auto"/>
          <w:sz w:val="21"/>
          <w:szCs w:val="32"/>
          <w:highlight w:val="none"/>
        </w:rPr>
        <w:fldChar w:fldCharType="end"/>
      </w:r>
    </w:p>
    <w:p w14:paraId="204D38A2">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_Toc21401 </w:instrText>
      </w:r>
      <w:r>
        <w:rPr>
          <w:rFonts w:ascii="黑体" w:eastAsia="黑体"/>
          <w:color w:val="auto"/>
          <w:sz w:val="21"/>
          <w:szCs w:val="32"/>
          <w:highlight w:val="none"/>
        </w:rPr>
        <w:fldChar w:fldCharType="separate"/>
      </w:r>
      <w:r>
        <w:rPr>
          <w:rFonts w:hint="eastAsia"/>
          <w:color w:val="auto"/>
          <w:sz w:val="21"/>
          <w:szCs w:val="21"/>
          <w:highlight w:val="none"/>
        </w:rPr>
        <w:t>6. 评审</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_Toc21401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rFonts w:ascii="黑体" w:eastAsia="黑体"/>
          <w:color w:val="auto"/>
          <w:sz w:val="21"/>
          <w:szCs w:val="32"/>
          <w:highlight w:val="none"/>
        </w:rPr>
        <w:fldChar w:fldCharType="end"/>
      </w:r>
    </w:p>
    <w:p w14:paraId="086057E4">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_Toc21914 </w:instrText>
      </w:r>
      <w:r>
        <w:rPr>
          <w:rFonts w:ascii="黑体" w:eastAsia="黑体"/>
          <w:color w:val="auto"/>
          <w:sz w:val="21"/>
          <w:szCs w:val="32"/>
          <w:highlight w:val="none"/>
        </w:rPr>
        <w:fldChar w:fldCharType="separate"/>
      </w:r>
      <w:r>
        <w:rPr>
          <w:rFonts w:hint="eastAsia"/>
          <w:color w:val="auto"/>
          <w:sz w:val="21"/>
          <w:szCs w:val="21"/>
          <w:highlight w:val="none"/>
        </w:rPr>
        <w:t>7. 成交</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_Toc21914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rFonts w:ascii="黑体" w:eastAsia="黑体"/>
          <w:color w:val="auto"/>
          <w:sz w:val="21"/>
          <w:szCs w:val="32"/>
          <w:highlight w:val="none"/>
        </w:rPr>
        <w:fldChar w:fldCharType="end"/>
      </w:r>
    </w:p>
    <w:p w14:paraId="528AF02D">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_Toc20220 </w:instrText>
      </w:r>
      <w:r>
        <w:rPr>
          <w:rFonts w:ascii="黑体" w:eastAsia="黑体"/>
          <w:color w:val="auto"/>
          <w:sz w:val="21"/>
          <w:szCs w:val="32"/>
          <w:highlight w:val="none"/>
        </w:rPr>
        <w:fldChar w:fldCharType="separate"/>
      </w:r>
      <w:r>
        <w:rPr>
          <w:rFonts w:hint="eastAsia"/>
          <w:color w:val="auto"/>
          <w:sz w:val="21"/>
          <w:szCs w:val="21"/>
          <w:highlight w:val="none"/>
        </w:rPr>
        <w:t>8.合同签订</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_Toc20220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rFonts w:ascii="黑体" w:eastAsia="黑体"/>
          <w:color w:val="auto"/>
          <w:sz w:val="21"/>
          <w:szCs w:val="32"/>
          <w:highlight w:val="none"/>
        </w:rPr>
        <w:fldChar w:fldCharType="end"/>
      </w:r>
    </w:p>
    <w:p w14:paraId="1F3601E1">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_Toc1814 </w:instrText>
      </w:r>
      <w:r>
        <w:rPr>
          <w:rFonts w:ascii="黑体" w:eastAsia="黑体"/>
          <w:color w:val="auto"/>
          <w:sz w:val="21"/>
          <w:szCs w:val="32"/>
          <w:highlight w:val="none"/>
        </w:rPr>
        <w:fldChar w:fldCharType="separate"/>
      </w:r>
      <w:r>
        <w:rPr>
          <w:rFonts w:hint="eastAsia"/>
          <w:color w:val="auto"/>
          <w:sz w:val="21"/>
          <w:szCs w:val="21"/>
          <w:highlight w:val="none"/>
        </w:rPr>
        <w:t>9.采购代理服务费</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_Toc1814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rFonts w:ascii="黑体" w:eastAsia="黑体"/>
          <w:color w:val="auto"/>
          <w:sz w:val="21"/>
          <w:szCs w:val="32"/>
          <w:highlight w:val="none"/>
        </w:rPr>
        <w:fldChar w:fldCharType="end"/>
      </w:r>
    </w:p>
    <w:p w14:paraId="0BD4BDE7">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_Toc19131 </w:instrText>
      </w:r>
      <w:r>
        <w:rPr>
          <w:rFonts w:ascii="黑体" w:eastAsia="黑体"/>
          <w:color w:val="auto"/>
          <w:sz w:val="21"/>
          <w:szCs w:val="32"/>
          <w:highlight w:val="none"/>
        </w:rPr>
        <w:fldChar w:fldCharType="separate"/>
      </w:r>
      <w:r>
        <w:rPr>
          <w:rFonts w:hint="eastAsia"/>
          <w:color w:val="auto"/>
          <w:sz w:val="21"/>
          <w:szCs w:val="21"/>
          <w:highlight w:val="none"/>
        </w:rPr>
        <w:t>10. 纪律和监督</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_Toc19131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rFonts w:ascii="黑体" w:eastAsia="黑体"/>
          <w:color w:val="auto"/>
          <w:sz w:val="21"/>
          <w:szCs w:val="32"/>
          <w:highlight w:val="none"/>
        </w:rPr>
        <w:fldChar w:fldCharType="end"/>
      </w:r>
    </w:p>
    <w:p w14:paraId="5B655C92">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_Toc29150 </w:instrText>
      </w:r>
      <w:r>
        <w:rPr>
          <w:rFonts w:ascii="黑体" w:eastAsia="黑体"/>
          <w:color w:val="auto"/>
          <w:sz w:val="21"/>
          <w:szCs w:val="32"/>
          <w:highlight w:val="none"/>
        </w:rPr>
        <w:fldChar w:fldCharType="separate"/>
      </w:r>
      <w:r>
        <w:rPr>
          <w:rFonts w:hint="eastAsia"/>
          <w:color w:val="auto"/>
          <w:sz w:val="21"/>
          <w:szCs w:val="21"/>
          <w:highlight w:val="none"/>
        </w:rPr>
        <w:t>11. 需要补充的其他内容</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_Toc29150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rFonts w:ascii="黑体" w:eastAsia="黑体"/>
          <w:color w:val="auto"/>
          <w:sz w:val="21"/>
          <w:szCs w:val="32"/>
          <w:highlight w:val="none"/>
        </w:rPr>
        <w:fldChar w:fldCharType="end"/>
      </w:r>
    </w:p>
    <w:p w14:paraId="4F523C14">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_Toc17519 </w:instrText>
      </w:r>
      <w:r>
        <w:rPr>
          <w:rFonts w:ascii="黑体" w:eastAsia="黑体"/>
          <w:color w:val="auto"/>
          <w:sz w:val="21"/>
          <w:szCs w:val="32"/>
          <w:highlight w:val="none"/>
        </w:rPr>
        <w:fldChar w:fldCharType="separate"/>
      </w:r>
      <w:r>
        <w:rPr>
          <w:rFonts w:hint="eastAsia" w:ascii="宋体" w:hAnsi="宋体"/>
          <w:color w:val="auto"/>
          <w:sz w:val="21"/>
          <w:szCs w:val="32"/>
          <w:highlight w:val="none"/>
        </w:rPr>
        <w:t>第三章 评审办法</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_Toc17519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rFonts w:ascii="黑体" w:eastAsia="黑体"/>
          <w:color w:val="auto"/>
          <w:sz w:val="21"/>
          <w:szCs w:val="32"/>
          <w:highlight w:val="none"/>
        </w:rPr>
        <w:fldChar w:fldCharType="end"/>
      </w:r>
    </w:p>
    <w:p w14:paraId="3F15113B">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_Toc5985 </w:instrText>
      </w:r>
      <w:r>
        <w:rPr>
          <w:rFonts w:ascii="黑体" w:eastAsia="黑体"/>
          <w:color w:val="auto"/>
          <w:sz w:val="21"/>
          <w:szCs w:val="32"/>
          <w:highlight w:val="none"/>
        </w:rPr>
        <w:fldChar w:fldCharType="separate"/>
      </w:r>
      <w:r>
        <w:rPr>
          <w:rFonts w:hint="eastAsia" w:ascii="宋体" w:hAnsi="宋体"/>
          <w:color w:val="auto"/>
          <w:sz w:val="21"/>
          <w:szCs w:val="32"/>
          <w:highlight w:val="none"/>
        </w:rPr>
        <w:t>第四章 用户需求书/技术规范书</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_Toc5985 \h </w:instrText>
      </w:r>
      <w:r>
        <w:rPr>
          <w:color w:val="auto"/>
          <w:sz w:val="21"/>
          <w:szCs w:val="21"/>
          <w:highlight w:val="none"/>
        </w:rPr>
        <w:fldChar w:fldCharType="separate"/>
      </w:r>
      <w:r>
        <w:rPr>
          <w:color w:val="auto"/>
          <w:sz w:val="21"/>
          <w:szCs w:val="21"/>
          <w:highlight w:val="none"/>
        </w:rPr>
        <w:t>26</w:t>
      </w:r>
      <w:r>
        <w:rPr>
          <w:color w:val="auto"/>
          <w:sz w:val="21"/>
          <w:szCs w:val="21"/>
          <w:highlight w:val="none"/>
        </w:rPr>
        <w:fldChar w:fldCharType="end"/>
      </w:r>
      <w:r>
        <w:rPr>
          <w:rFonts w:ascii="黑体" w:eastAsia="黑体"/>
          <w:color w:val="auto"/>
          <w:sz w:val="21"/>
          <w:szCs w:val="32"/>
          <w:highlight w:val="none"/>
        </w:rPr>
        <w:fldChar w:fldCharType="end"/>
      </w:r>
    </w:p>
    <w:p w14:paraId="1F99B2C1">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_Toc18199 </w:instrText>
      </w:r>
      <w:r>
        <w:rPr>
          <w:rFonts w:ascii="黑体" w:eastAsia="黑体"/>
          <w:color w:val="auto"/>
          <w:sz w:val="21"/>
          <w:szCs w:val="32"/>
          <w:highlight w:val="none"/>
        </w:rPr>
        <w:fldChar w:fldCharType="separate"/>
      </w:r>
      <w:r>
        <w:rPr>
          <w:rFonts w:hint="eastAsia"/>
          <w:color w:val="auto"/>
          <w:sz w:val="21"/>
          <w:szCs w:val="32"/>
          <w:highlight w:val="none"/>
        </w:rPr>
        <w:t>第五章 合同条款格式</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_Toc18199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rFonts w:ascii="黑体" w:eastAsia="黑体"/>
          <w:color w:val="auto"/>
          <w:sz w:val="21"/>
          <w:szCs w:val="32"/>
          <w:highlight w:val="none"/>
        </w:rPr>
        <w:fldChar w:fldCharType="end"/>
      </w:r>
    </w:p>
    <w:p w14:paraId="2E86E5E3">
      <w:pPr>
        <w:pStyle w:val="28"/>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_Toc4498 </w:instrText>
      </w:r>
      <w:r>
        <w:rPr>
          <w:rFonts w:ascii="黑体" w:eastAsia="黑体"/>
          <w:color w:val="auto"/>
          <w:sz w:val="21"/>
          <w:szCs w:val="32"/>
          <w:highlight w:val="none"/>
        </w:rPr>
        <w:fldChar w:fldCharType="separate"/>
      </w:r>
      <w:r>
        <w:rPr>
          <w:rFonts w:hint="eastAsia" w:ascii="宋体" w:hAnsi="宋体"/>
          <w:color w:val="auto"/>
          <w:sz w:val="21"/>
          <w:szCs w:val="32"/>
          <w:highlight w:val="none"/>
        </w:rPr>
        <w:t>第六章 响应文件格式</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_Toc4498 \h </w:instrText>
      </w:r>
      <w:r>
        <w:rPr>
          <w:color w:val="auto"/>
          <w:sz w:val="21"/>
          <w:szCs w:val="21"/>
          <w:highlight w:val="none"/>
        </w:rPr>
        <w:fldChar w:fldCharType="separate"/>
      </w:r>
      <w:r>
        <w:rPr>
          <w:color w:val="auto"/>
          <w:sz w:val="21"/>
          <w:szCs w:val="21"/>
          <w:highlight w:val="none"/>
        </w:rPr>
        <w:t>40</w:t>
      </w:r>
      <w:r>
        <w:rPr>
          <w:color w:val="auto"/>
          <w:sz w:val="21"/>
          <w:szCs w:val="21"/>
          <w:highlight w:val="none"/>
        </w:rPr>
        <w:fldChar w:fldCharType="end"/>
      </w:r>
      <w:r>
        <w:rPr>
          <w:rFonts w:ascii="黑体" w:eastAsia="黑体"/>
          <w:color w:val="auto"/>
          <w:sz w:val="21"/>
          <w:szCs w:val="32"/>
          <w:highlight w:val="none"/>
        </w:rPr>
        <w:fldChar w:fldCharType="end"/>
      </w:r>
    </w:p>
    <w:p w14:paraId="6289F12B">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_Toc20859 </w:instrText>
      </w:r>
      <w:r>
        <w:rPr>
          <w:rFonts w:ascii="黑体" w:eastAsia="黑体"/>
          <w:color w:val="auto"/>
          <w:sz w:val="21"/>
          <w:szCs w:val="32"/>
          <w:highlight w:val="none"/>
        </w:rPr>
        <w:fldChar w:fldCharType="separate"/>
      </w:r>
      <w:r>
        <w:rPr>
          <w:rFonts w:hint="eastAsia" w:ascii="黑体" w:hAnsi="宋体"/>
          <w:color w:val="auto"/>
          <w:sz w:val="21"/>
          <w:szCs w:val="32"/>
          <w:highlight w:val="none"/>
        </w:rPr>
        <w:t>目    录</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_Toc20859 \h </w:instrText>
      </w:r>
      <w:r>
        <w:rPr>
          <w:color w:val="auto"/>
          <w:sz w:val="21"/>
          <w:szCs w:val="21"/>
          <w:highlight w:val="none"/>
        </w:rPr>
        <w:fldChar w:fldCharType="separate"/>
      </w:r>
      <w:r>
        <w:rPr>
          <w:color w:val="auto"/>
          <w:sz w:val="21"/>
          <w:szCs w:val="21"/>
          <w:highlight w:val="none"/>
        </w:rPr>
        <w:t>49</w:t>
      </w:r>
      <w:r>
        <w:rPr>
          <w:color w:val="auto"/>
          <w:sz w:val="21"/>
          <w:szCs w:val="21"/>
          <w:highlight w:val="none"/>
        </w:rPr>
        <w:fldChar w:fldCharType="end"/>
      </w:r>
      <w:r>
        <w:rPr>
          <w:rFonts w:ascii="黑体" w:eastAsia="黑体"/>
          <w:color w:val="auto"/>
          <w:sz w:val="21"/>
          <w:szCs w:val="32"/>
          <w:highlight w:val="none"/>
        </w:rPr>
        <w:fldChar w:fldCharType="end"/>
      </w:r>
    </w:p>
    <w:p w14:paraId="69279DBB">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_Toc28455 </w:instrText>
      </w:r>
      <w:r>
        <w:rPr>
          <w:rFonts w:ascii="黑体" w:eastAsia="黑体"/>
          <w:color w:val="auto"/>
          <w:sz w:val="21"/>
          <w:szCs w:val="32"/>
          <w:highlight w:val="none"/>
        </w:rPr>
        <w:fldChar w:fldCharType="separate"/>
      </w:r>
      <w:r>
        <w:rPr>
          <w:rFonts w:hint="eastAsia"/>
          <w:color w:val="auto"/>
          <w:sz w:val="21"/>
          <w:szCs w:val="21"/>
          <w:highlight w:val="none"/>
        </w:rPr>
        <w:t>第一部分</w:t>
      </w:r>
      <w:r>
        <w:rPr>
          <w:color w:val="auto"/>
          <w:sz w:val="21"/>
          <w:szCs w:val="21"/>
          <w:highlight w:val="none"/>
        </w:rPr>
        <w:t xml:space="preserve">  </w:t>
      </w:r>
      <w:r>
        <w:rPr>
          <w:rFonts w:hint="eastAsia"/>
          <w:color w:val="auto"/>
          <w:sz w:val="21"/>
          <w:szCs w:val="21"/>
          <w:highlight w:val="none"/>
        </w:rPr>
        <w:t>技术商务部分</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_Toc28455 \h </w:instrText>
      </w:r>
      <w:r>
        <w:rPr>
          <w:color w:val="auto"/>
          <w:sz w:val="21"/>
          <w:szCs w:val="21"/>
          <w:highlight w:val="none"/>
        </w:rPr>
        <w:fldChar w:fldCharType="separate"/>
      </w:r>
      <w:r>
        <w:rPr>
          <w:color w:val="auto"/>
          <w:sz w:val="21"/>
          <w:szCs w:val="21"/>
          <w:highlight w:val="none"/>
        </w:rPr>
        <w:t>50</w:t>
      </w:r>
      <w:r>
        <w:rPr>
          <w:color w:val="auto"/>
          <w:sz w:val="21"/>
          <w:szCs w:val="21"/>
          <w:highlight w:val="none"/>
        </w:rPr>
        <w:fldChar w:fldCharType="end"/>
      </w:r>
      <w:r>
        <w:rPr>
          <w:rFonts w:ascii="黑体" w:eastAsia="黑体"/>
          <w:color w:val="auto"/>
          <w:sz w:val="21"/>
          <w:szCs w:val="32"/>
          <w:highlight w:val="none"/>
        </w:rPr>
        <w:fldChar w:fldCharType="end"/>
      </w:r>
    </w:p>
    <w:p w14:paraId="0B8B9590">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_Toc2970 </w:instrText>
      </w:r>
      <w:r>
        <w:rPr>
          <w:rFonts w:ascii="黑体" w:eastAsia="黑体"/>
          <w:color w:val="auto"/>
          <w:sz w:val="21"/>
          <w:szCs w:val="32"/>
          <w:highlight w:val="none"/>
        </w:rPr>
        <w:fldChar w:fldCharType="separate"/>
      </w:r>
      <w:r>
        <w:rPr>
          <w:rFonts w:hint="eastAsia"/>
          <w:color w:val="auto"/>
          <w:sz w:val="21"/>
          <w:szCs w:val="21"/>
          <w:highlight w:val="none"/>
        </w:rPr>
        <w:t>一、</w:t>
      </w:r>
      <w:r>
        <w:rPr>
          <w:rFonts w:hint="eastAsia" w:ascii="黑体" w:hAnsi="宋体"/>
          <w:color w:val="auto"/>
          <w:sz w:val="21"/>
          <w:szCs w:val="32"/>
          <w:highlight w:val="none"/>
        </w:rPr>
        <w:t>评审索引表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_Toc2970 \h </w:instrText>
      </w:r>
      <w:r>
        <w:rPr>
          <w:color w:val="auto"/>
          <w:sz w:val="21"/>
          <w:szCs w:val="21"/>
          <w:highlight w:val="none"/>
        </w:rPr>
        <w:fldChar w:fldCharType="separate"/>
      </w:r>
      <w:r>
        <w:rPr>
          <w:color w:val="auto"/>
          <w:sz w:val="21"/>
          <w:szCs w:val="21"/>
          <w:highlight w:val="none"/>
        </w:rPr>
        <w:t>50</w:t>
      </w:r>
      <w:r>
        <w:rPr>
          <w:color w:val="auto"/>
          <w:sz w:val="21"/>
          <w:szCs w:val="21"/>
          <w:highlight w:val="none"/>
        </w:rPr>
        <w:fldChar w:fldCharType="end"/>
      </w:r>
      <w:r>
        <w:rPr>
          <w:rFonts w:ascii="黑体" w:eastAsia="黑体"/>
          <w:color w:val="auto"/>
          <w:sz w:val="21"/>
          <w:szCs w:val="32"/>
          <w:highlight w:val="none"/>
        </w:rPr>
        <w:fldChar w:fldCharType="end"/>
      </w:r>
    </w:p>
    <w:p w14:paraId="74AFE671">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_Toc27847 </w:instrText>
      </w:r>
      <w:r>
        <w:rPr>
          <w:rFonts w:ascii="黑体" w:eastAsia="黑体"/>
          <w:color w:val="auto"/>
          <w:sz w:val="21"/>
          <w:szCs w:val="32"/>
          <w:highlight w:val="none"/>
        </w:rPr>
        <w:fldChar w:fldCharType="separate"/>
      </w:r>
      <w:r>
        <w:rPr>
          <w:rFonts w:hint="eastAsia"/>
          <w:color w:val="auto"/>
          <w:sz w:val="21"/>
          <w:szCs w:val="21"/>
          <w:highlight w:val="none"/>
        </w:rPr>
        <w:t>二</w:t>
      </w:r>
      <w:r>
        <w:rPr>
          <w:color w:val="auto"/>
          <w:sz w:val="21"/>
          <w:szCs w:val="21"/>
          <w:highlight w:val="none"/>
        </w:rPr>
        <w:t>、竞争性谈判</w:t>
      </w:r>
      <w:r>
        <w:rPr>
          <w:rFonts w:hint="eastAsia"/>
          <w:color w:val="auto"/>
          <w:sz w:val="21"/>
          <w:szCs w:val="21"/>
          <w:highlight w:val="none"/>
        </w:rPr>
        <w:t>响应</w:t>
      </w:r>
      <w:r>
        <w:rPr>
          <w:color w:val="auto"/>
          <w:sz w:val="21"/>
          <w:szCs w:val="21"/>
          <w:highlight w:val="none"/>
        </w:rPr>
        <w:t>函</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_Toc27847 \h </w:instrText>
      </w:r>
      <w:r>
        <w:rPr>
          <w:color w:val="auto"/>
          <w:sz w:val="21"/>
          <w:szCs w:val="21"/>
          <w:highlight w:val="none"/>
        </w:rPr>
        <w:fldChar w:fldCharType="separate"/>
      </w:r>
      <w:r>
        <w:rPr>
          <w:color w:val="auto"/>
          <w:sz w:val="21"/>
          <w:szCs w:val="21"/>
          <w:highlight w:val="none"/>
        </w:rPr>
        <w:t>51</w:t>
      </w:r>
      <w:r>
        <w:rPr>
          <w:color w:val="auto"/>
          <w:sz w:val="21"/>
          <w:szCs w:val="21"/>
          <w:highlight w:val="none"/>
        </w:rPr>
        <w:fldChar w:fldCharType="end"/>
      </w:r>
      <w:r>
        <w:rPr>
          <w:rFonts w:ascii="黑体" w:eastAsia="黑体"/>
          <w:color w:val="auto"/>
          <w:sz w:val="21"/>
          <w:szCs w:val="32"/>
          <w:highlight w:val="none"/>
        </w:rPr>
        <w:fldChar w:fldCharType="end"/>
      </w:r>
    </w:p>
    <w:p w14:paraId="7EC6EB71">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_Toc8418 </w:instrText>
      </w:r>
      <w:r>
        <w:rPr>
          <w:rFonts w:ascii="黑体" w:eastAsia="黑体"/>
          <w:color w:val="auto"/>
          <w:sz w:val="21"/>
          <w:szCs w:val="32"/>
          <w:highlight w:val="none"/>
        </w:rPr>
        <w:fldChar w:fldCharType="separate"/>
      </w:r>
      <w:r>
        <w:rPr>
          <w:rFonts w:hint="eastAsia" w:ascii="黑体"/>
          <w:color w:val="auto"/>
          <w:sz w:val="21"/>
          <w:szCs w:val="21"/>
          <w:highlight w:val="none"/>
        </w:rPr>
        <w:t>三、联合体协议书（如有）</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_Toc8418 \h </w:instrText>
      </w:r>
      <w:r>
        <w:rPr>
          <w:color w:val="auto"/>
          <w:sz w:val="21"/>
          <w:szCs w:val="21"/>
          <w:highlight w:val="none"/>
        </w:rPr>
        <w:fldChar w:fldCharType="separate"/>
      </w:r>
      <w:r>
        <w:rPr>
          <w:color w:val="auto"/>
          <w:sz w:val="21"/>
          <w:szCs w:val="21"/>
          <w:highlight w:val="none"/>
        </w:rPr>
        <w:t>52</w:t>
      </w:r>
      <w:r>
        <w:rPr>
          <w:color w:val="auto"/>
          <w:sz w:val="21"/>
          <w:szCs w:val="21"/>
          <w:highlight w:val="none"/>
        </w:rPr>
        <w:fldChar w:fldCharType="end"/>
      </w:r>
      <w:r>
        <w:rPr>
          <w:rFonts w:ascii="黑体" w:eastAsia="黑体"/>
          <w:color w:val="auto"/>
          <w:sz w:val="21"/>
          <w:szCs w:val="32"/>
          <w:highlight w:val="none"/>
        </w:rPr>
        <w:fldChar w:fldCharType="end"/>
      </w:r>
    </w:p>
    <w:p w14:paraId="68B40106">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_Toc19484 </w:instrText>
      </w:r>
      <w:r>
        <w:rPr>
          <w:rFonts w:ascii="黑体" w:eastAsia="黑体"/>
          <w:color w:val="auto"/>
          <w:sz w:val="21"/>
          <w:szCs w:val="32"/>
          <w:highlight w:val="none"/>
        </w:rPr>
        <w:fldChar w:fldCharType="separate"/>
      </w:r>
      <w:r>
        <w:rPr>
          <w:rFonts w:hint="eastAsia"/>
          <w:color w:val="auto"/>
          <w:sz w:val="21"/>
          <w:szCs w:val="21"/>
          <w:highlight w:val="none"/>
        </w:rPr>
        <w:t>四、法定代表人身份证明</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_Toc19484 \h </w:instrText>
      </w:r>
      <w:r>
        <w:rPr>
          <w:color w:val="auto"/>
          <w:sz w:val="21"/>
          <w:szCs w:val="21"/>
          <w:highlight w:val="none"/>
        </w:rPr>
        <w:fldChar w:fldCharType="separate"/>
      </w:r>
      <w:r>
        <w:rPr>
          <w:color w:val="auto"/>
          <w:sz w:val="21"/>
          <w:szCs w:val="21"/>
          <w:highlight w:val="none"/>
        </w:rPr>
        <w:t>53</w:t>
      </w:r>
      <w:r>
        <w:rPr>
          <w:color w:val="auto"/>
          <w:sz w:val="21"/>
          <w:szCs w:val="21"/>
          <w:highlight w:val="none"/>
        </w:rPr>
        <w:fldChar w:fldCharType="end"/>
      </w:r>
      <w:r>
        <w:rPr>
          <w:rFonts w:ascii="黑体" w:eastAsia="黑体"/>
          <w:color w:val="auto"/>
          <w:sz w:val="21"/>
          <w:szCs w:val="32"/>
          <w:highlight w:val="none"/>
        </w:rPr>
        <w:fldChar w:fldCharType="end"/>
      </w:r>
    </w:p>
    <w:p w14:paraId="5A633AD5">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_Toc18550 </w:instrText>
      </w:r>
      <w:r>
        <w:rPr>
          <w:rFonts w:ascii="黑体" w:eastAsia="黑体"/>
          <w:color w:val="auto"/>
          <w:sz w:val="21"/>
          <w:szCs w:val="32"/>
          <w:highlight w:val="none"/>
        </w:rPr>
        <w:fldChar w:fldCharType="separate"/>
      </w:r>
      <w:r>
        <w:rPr>
          <w:rFonts w:hint="eastAsia"/>
          <w:color w:val="auto"/>
          <w:sz w:val="21"/>
          <w:szCs w:val="21"/>
          <w:highlight w:val="none"/>
        </w:rPr>
        <w:t>五、法定代表人</w:t>
      </w:r>
      <w:r>
        <w:rPr>
          <w:color w:val="auto"/>
          <w:sz w:val="21"/>
          <w:szCs w:val="21"/>
          <w:highlight w:val="none"/>
        </w:rPr>
        <w:t>授权委托书</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_Toc18550 \h </w:instrText>
      </w:r>
      <w:r>
        <w:rPr>
          <w:color w:val="auto"/>
          <w:sz w:val="21"/>
          <w:szCs w:val="21"/>
          <w:highlight w:val="none"/>
        </w:rPr>
        <w:fldChar w:fldCharType="separate"/>
      </w:r>
      <w:r>
        <w:rPr>
          <w:color w:val="auto"/>
          <w:sz w:val="21"/>
          <w:szCs w:val="21"/>
          <w:highlight w:val="none"/>
        </w:rPr>
        <w:t>54</w:t>
      </w:r>
      <w:r>
        <w:rPr>
          <w:color w:val="auto"/>
          <w:sz w:val="21"/>
          <w:szCs w:val="21"/>
          <w:highlight w:val="none"/>
        </w:rPr>
        <w:fldChar w:fldCharType="end"/>
      </w:r>
      <w:r>
        <w:rPr>
          <w:rFonts w:ascii="黑体" w:eastAsia="黑体"/>
          <w:color w:val="auto"/>
          <w:sz w:val="21"/>
          <w:szCs w:val="32"/>
          <w:highlight w:val="none"/>
        </w:rPr>
        <w:fldChar w:fldCharType="end"/>
      </w:r>
    </w:p>
    <w:p w14:paraId="4D9684F6">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_Toc6978 </w:instrText>
      </w:r>
      <w:r>
        <w:rPr>
          <w:rFonts w:ascii="黑体" w:eastAsia="黑体"/>
          <w:color w:val="auto"/>
          <w:sz w:val="21"/>
          <w:szCs w:val="32"/>
          <w:highlight w:val="none"/>
        </w:rPr>
        <w:fldChar w:fldCharType="separate"/>
      </w:r>
      <w:r>
        <w:rPr>
          <w:rFonts w:hint="eastAsia"/>
          <w:color w:val="auto"/>
          <w:sz w:val="21"/>
          <w:szCs w:val="21"/>
          <w:highlight w:val="none"/>
        </w:rPr>
        <w:t>六</w:t>
      </w:r>
      <w:r>
        <w:rPr>
          <w:color w:val="auto"/>
          <w:sz w:val="21"/>
          <w:szCs w:val="21"/>
          <w:highlight w:val="none"/>
        </w:rPr>
        <w:t>、</w:t>
      </w:r>
      <w:r>
        <w:rPr>
          <w:rFonts w:hint="eastAsia"/>
          <w:color w:val="auto"/>
          <w:sz w:val="21"/>
          <w:szCs w:val="21"/>
          <w:highlight w:val="none"/>
        </w:rPr>
        <w:t>项目实施</w:t>
      </w:r>
      <w:r>
        <w:rPr>
          <w:color w:val="auto"/>
          <w:sz w:val="21"/>
          <w:szCs w:val="21"/>
          <w:highlight w:val="none"/>
        </w:rPr>
        <w:t>方案</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_Toc6978 \h </w:instrText>
      </w:r>
      <w:r>
        <w:rPr>
          <w:color w:val="auto"/>
          <w:sz w:val="21"/>
          <w:szCs w:val="21"/>
          <w:highlight w:val="none"/>
        </w:rPr>
        <w:fldChar w:fldCharType="separate"/>
      </w:r>
      <w:r>
        <w:rPr>
          <w:color w:val="auto"/>
          <w:sz w:val="21"/>
          <w:szCs w:val="21"/>
          <w:highlight w:val="none"/>
        </w:rPr>
        <w:t>55</w:t>
      </w:r>
      <w:r>
        <w:rPr>
          <w:color w:val="auto"/>
          <w:sz w:val="21"/>
          <w:szCs w:val="21"/>
          <w:highlight w:val="none"/>
        </w:rPr>
        <w:fldChar w:fldCharType="end"/>
      </w:r>
      <w:r>
        <w:rPr>
          <w:rFonts w:ascii="黑体" w:eastAsia="黑体"/>
          <w:color w:val="auto"/>
          <w:sz w:val="21"/>
          <w:szCs w:val="32"/>
          <w:highlight w:val="none"/>
        </w:rPr>
        <w:fldChar w:fldCharType="end"/>
      </w:r>
    </w:p>
    <w:p w14:paraId="474DED54">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_Toc17796 </w:instrText>
      </w:r>
      <w:r>
        <w:rPr>
          <w:rFonts w:ascii="黑体" w:eastAsia="黑体"/>
          <w:color w:val="auto"/>
          <w:sz w:val="21"/>
          <w:szCs w:val="32"/>
          <w:highlight w:val="none"/>
        </w:rPr>
        <w:fldChar w:fldCharType="separate"/>
      </w:r>
      <w:r>
        <w:rPr>
          <w:rFonts w:hint="eastAsia"/>
          <w:color w:val="auto"/>
          <w:sz w:val="21"/>
          <w:szCs w:val="21"/>
          <w:highlight w:val="none"/>
        </w:rPr>
        <w:t>七</w:t>
      </w:r>
      <w:r>
        <w:rPr>
          <w:color w:val="auto"/>
          <w:sz w:val="21"/>
          <w:szCs w:val="21"/>
          <w:highlight w:val="none"/>
        </w:rPr>
        <w:t>、项目管理机构</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_Toc17796 \h </w:instrText>
      </w:r>
      <w:r>
        <w:rPr>
          <w:color w:val="auto"/>
          <w:sz w:val="21"/>
          <w:szCs w:val="21"/>
          <w:highlight w:val="none"/>
        </w:rPr>
        <w:fldChar w:fldCharType="separate"/>
      </w:r>
      <w:r>
        <w:rPr>
          <w:color w:val="auto"/>
          <w:sz w:val="21"/>
          <w:szCs w:val="21"/>
          <w:highlight w:val="none"/>
        </w:rPr>
        <w:t>56</w:t>
      </w:r>
      <w:r>
        <w:rPr>
          <w:color w:val="auto"/>
          <w:sz w:val="21"/>
          <w:szCs w:val="21"/>
          <w:highlight w:val="none"/>
        </w:rPr>
        <w:fldChar w:fldCharType="end"/>
      </w:r>
      <w:r>
        <w:rPr>
          <w:rFonts w:ascii="黑体" w:eastAsia="黑体"/>
          <w:color w:val="auto"/>
          <w:sz w:val="21"/>
          <w:szCs w:val="32"/>
          <w:highlight w:val="none"/>
        </w:rPr>
        <w:fldChar w:fldCharType="end"/>
      </w:r>
    </w:p>
    <w:p w14:paraId="134C6A93">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_Toc12349 </w:instrText>
      </w:r>
      <w:r>
        <w:rPr>
          <w:rFonts w:ascii="黑体" w:eastAsia="黑体"/>
          <w:color w:val="auto"/>
          <w:sz w:val="21"/>
          <w:szCs w:val="32"/>
          <w:highlight w:val="none"/>
        </w:rPr>
        <w:fldChar w:fldCharType="separate"/>
      </w:r>
      <w:r>
        <w:rPr>
          <w:rFonts w:hint="eastAsia" w:ascii="黑体"/>
          <w:color w:val="auto"/>
          <w:sz w:val="21"/>
          <w:szCs w:val="21"/>
          <w:highlight w:val="none"/>
        </w:rPr>
        <w:t>八、实质性条款偏离表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_Toc12349 \h </w:instrText>
      </w:r>
      <w:r>
        <w:rPr>
          <w:color w:val="auto"/>
          <w:sz w:val="21"/>
          <w:szCs w:val="21"/>
          <w:highlight w:val="none"/>
        </w:rPr>
        <w:fldChar w:fldCharType="separate"/>
      </w:r>
      <w:r>
        <w:rPr>
          <w:color w:val="auto"/>
          <w:sz w:val="21"/>
          <w:szCs w:val="21"/>
          <w:highlight w:val="none"/>
        </w:rPr>
        <w:t>58</w:t>
      </w:r>
      <w:r>
        <w:rPr>
          <w:color w:val="auto"/>
          <w:sz w:val="21"/>
          <w:szCs w:val="21"/>
          <w:highlight w:val="none"/>
        </w:rPr>
        <w:fldChar w:fldCharType="end"/>
      </w:r>
      <w:r>
        <w:rPr>
          <w:rFonts w:ascii="黑体" w:eastAsia="黑体"/>
          <w:color w:val="auto"/>
          <w:sz w:val="21"/>
          <w:szCs w:val="32"/>
          <w:highlight w:val="none"/>
        </w:rPr>
        <w:fldChar w:fldCharType="end"/>
      </w:r>
    </w:p>
    <w:p w14:paraId="01F1C973">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_Toc32581 </w:instrText>
      </w:r>
      <w:r>
        <w:rPr>
          <w:rFonts w:ascii="黑体" w:eastAsia="黑体"/>
          <w:color w:val="auto"/>
          <w:sz w:val="21"/>
          <w:szCs w:val="32"/>
          <w:highlight w:val="none"/>
        </w:rPr>
        <w:fldChar w:fldCharType="separate"/>
      </w:r>
      <w:r>
        <w:rPr>
          <w:rFonts w:hint="eastAsia" w:ascii="黑体"/>
          <w:color w:val="auto"/>
          <w:sz w:val="21"/>
          <w:szCs w:val="21"/>
          <w:highlight w:val="none"/>
        </w:rPr>
        <w:t>九、技术条款偏离表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_Toc32581 \h </w:instrText>
      </w:r>
      <w:r>
        <w:rPr>
          <w:color w:val="auto"/>
          <w:sz w:val="21"/>
          <w:szCs w:val="21"/>
          <w:highlight w:val="none"/>
        </w:rPr>
        <w:fldChar w:fldCharType="separate"/>
      </w:r>
      <w:r>
        <w:rPr>
          <w:color w:val="auto"/>
          <w:sz w:val="21"/>
          <w:szCs w:val="21"/>
          <w:highlight w:val="none"/>
        </w:rPr>
        <w:t>59</w:t>
      </w:r>
      <w:r>
        <w:rPr>
          <w:color w:val="auto"/>
          <w:sz w:val="21"/>
          <w:szCs w:val="21"/>
          <w:highlight w:val="none"/>
        </w:rPr>
        <w:fldChar w:fldCharType="end"/>
      </w:r>
      <w:r>
        <w:rPr>
          <w:rFonts w:ascii="黑体" w:eastAsia="黑体"/>
          <w:color w:val="auto"/>
          <w:sz w:val="21"/>
          <w:szCs w:val="32"/>
          <w:highlight w:val="none"/>
        </w:rPr>
        <w:fldChar w:fldCharType="end"/>
      </w:r>
    </w:p>
    <w:p w14:paraId="7431AA8B">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_Toc16773 </w:instrText>
      </w:r>
      <w:r>
        <w:rPr>
          <w:rFonts w:ascii="黑体" w:eastAsia="黑体"/>
          <w:color w:val="auto"/>
          <w:sz w:val="21"/>
          <w:szCs w:val="32"/>
          <w:highlight w:val="none"/>
        </w:rPr>
        <w:fldChar w:fldCharType="separate"/>
      </w:r>
      <w:r>
        <w:rPr>
          <w:rFonts w:hint="eastAsia"/>
          <w:color w:val="auto"/>
          <w:sz w:val="21"/>
          <w:szCs w:val="21"/>
          <w:highlight w:val="none"/>
        </w:rPr>
        <w:t>十</w:t>
      </w:r>
      <w:r>
        <w:rPr>
          <w:color w:val="auto"/>
          <w:sz w:val="21"/>
          <w:szCs w:val="21"/>
          <w:highlight w:val="none"/>
        </w:rPr>
        <w:t>、资格审查资料</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_Toc16773 \h </w:instrText>
      </w:r>
      <w:r>
        <w:rPr>
          <w:color w:val="auto"/>
          <w:sz w:val="21"/>
          <w:szCs w:val="21"/>
          <w:highlight w:val="none"/>
        </w:rPr>
        <w:fldChar w:fldCharType="separate"/>
      </w:r>
      <w:r>
        <w:rPr>
          <w:color w:val="auto"/>
          <w:sz w:val="21"/>
          <w:szCs w:val="21"/>
          <w:highlight w:val="none"/>
        </w:rPr>
        <w:t>60</w:t>
      </w:r>
      <w:r>
        <w:rPr>
          <w:color w:val="auto"/>
          <w:sz w:val="21"/>
          <w:szCs w:val="21"/>
          <w:highlight w:val="none"/>
        </w:rPr>
        <w:fldChar w:fldCharType="end"/>
      </w:r>
      <w:r>
        <w:rPr>
          <w:rFonts w:ascii="黑体" w:eastAsia="黑体"/>
          <w:color w:val="auto"/>
          <w:sz w:val="21"/>
          <w:szCs w:val="32"/>
          <w:highlight w:val="none"/>
        </w:rPr>
        <w:fldChar w:fldCharType="end"/>
      </w:r>
    </w:p>
    <w:p w14:paraId="6CD4A1E7">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_Toc5610 </w:instrText>
      </w:r>
      <w:r>
        <w:rPr>
          <w:rFonts w:ascii="黑体" w:eastAsia="黑体"/>
          <w:color w:val="auto"/>
          <w:sz w:val="21"/>
          <w:szCs w:val="32"/>
          <w:highlight w:val="none"/>
        </w:rPr>
        <w:fldChar w:fldCharType="separate"/>
      </w:r>
      <w:r>
        <w:rPr>
          <w:rFonts w:hint="eastAsia"/>
          <w:color w:val="auto"/>
          <w:sz w:val="21"/>
          <w:szCs w:val="21"/>
          <w:highlight w:val="none"/>
          <w:lang w:val="en-US" w:eastAsia="zh-CN"/>
        </w:rPr>
        <w:t>十一、不可撤销履约保函</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_Toc5610 \h </w:instrText>
      </w:r>
      <w:r>
        <w:rPr>
          <w:color w:val="auto"/>
          <w:sz w:val="21"/>
          <w:szCs w:val="21"/>
          <w:highlight w:val="none"/>
        </w:rPr>
        <w:fldChar w:fldCharType="separate"/>
      </w:r>
      <w:r>
        <w:rPr>
          <w:color w:val="auto"/>
          <w:sz w:val="21"/>
          <w:szCs w:val="21"/>
          <w:highlight w:val="none"/>
        </w:rPr>
        <w:t>61</w:t>
      </w:r>
      <w:r>
        <w:rPr>
          <w:color w:val="auto"/>
          <w:sz w:val="21"/>
          <w:szCs w:val="21"/>
          <w:highlight w:val="none"/>
        </w:rPr>
        <w:fldChar w:fldCharType="end"/>
      </w:r>
      <w:r>
        <w:rPr>
          <w:rFonts w:ascii="黑体" w:eastAsia="黑体"/>
          <w:color w:val="auto"/>
          <w:sz w:val="21"/>
          <w:szCs w:val="32"/>
          <w:highlight w:val="none"/>
        </w:rPr>
        <w:fldChar w:fldCharType="end"/>
      </w:r>
    </w:p>
    <w:p w14:paraId="459D0937">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_Toc3001 </w:instrText>
      </w:r>
      <w:r>
        <w:rPr>
          <w:rFonts w:ascii="黑体" w:eastAsia="黑体"/>
          <w:color w:val="auto"/>
          <w:sz w:val="21"/>
          <w:szCs w:val="32"/>
          <w:highlight w:val="none"/>
        </w:rPr>
        <w:fldChar w:fldCharType="separate"/>
      </w:r>
      <w:r>
        <w:rPr>
          <w:rFonts w:hint="eastAsia"/>
          <w:color w:val="auto"/>
          <w:sz w:val="21"/>
          <w:szCs w:val="21"/>
          <w:highlight w:val="none"/>
        </w:rPr>
        <w:t>十</w:t>
      </w:r>
      <w:r>
        <w:rPr>
          <w:rFonts w:hint="eastAsia"/>
          <w:color w:val="auto"/>
          <w:sz w:val="21"/>
          <w:szCs w:val="21"/>
          <w:highlight w:val="none"/>
          <w:lang w:val="en-US" w:eastAsia="zh-CN"/>
        </w:rPr>
        <w:t>二</w:t>
      </w:r>
      <w:r>
        <w:rPr>
          <w:color w:val="auto"/>
          <w:sz w:val="21"/>
          <w:szCs w:val="21"/>
          <w:highlight w:val="none"/>
        </w:rPr>
        <w:t>、</w:t>
      </w:r>
      <w:r>
        <w:rPr>
          <w:rFonts w:hint="eastAsia"/>
          <w:color w:val="auto"/>
          <w:sz w:val="21"/>
          <w:szCs w:val="21"/>
          <w:highlight w:val="none"/>
        </w:rPr>
        <w:t>其他需要补充的</w:t>
      </w:r>
      <w:r>
        <w:rPr>
          <w:color w:val="auto"/>
          <w:sz w:val="21"/>
          <w:szCs w:val="21"/>
          <w:highlight w:val="none"/>
        </w:rPr>
        <w:t>资料</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_Toc3001 \h </w:instrText>
      </w:r>
      <w:r>
        <w:rPr>
          <w:color w:val="auto"/>
          <w:sz w:val="21"/>
          <w:szCs w:val="21"/>
          <w:highlight w:val="none"/>
        </w:rPr>
        <w:fldChar w:fldCharType="separate"/>
      </w:r>
      <w:r>
        <w:rPr>
          <w:color w:val="auto"/>
          <w:sz w:val="21"/>
          <w:szCs w:val="21"/>
          <w:highlight w:val="none"/>
        </w:rPr>
        <w:t>62</w:t>
      </w:r>
      <w:r>
        <w:rPr>
          <w:color w:val="auto"/>
          <w:sz w:val="21"/>
          <w:szCs w:val="21"/>
          <w:highlight w:val="none"/>
        </w:rPr>
        <w:fldChar w:fldCharType="end"/>
      </w:r>
      <w:r>
        <w:rPr>
          <w:rFonts w:ascii="黑体" w:eastAsia="黑体"/>
          <w:color w:val="auto"/>
          <w:sz w:val="21"/>
          <w:szCs w:val="32"/>
          <w:highlight w:val="none"/>
        </w:rPr>
        <w:fldChar w:fldCharType="end"/>
      </w:r>
    </w:p>
    <w:p w14:paraId="193EB7EF">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_Toc17415 </w:instrText>
      </w:r>
      <w:r>
        <w:rPr>
          <w:rFonts w:ascii="黑体" w:eastAsia="黑体"/>
          <w:color w:val="auto"/>
          <w:sz w:val="21"/>
          <w:szCs w:val="32"/>
          <w:highlight w:val="none"/>
        </w:rPr>
        <w:fldChar w:fldCharType="separate"/>
      </w:r>
      <w:r>
        <w:rPr>
          <w:rFonts w:hint="eastAsia"/>
          <w:color w:val="auto"/>
          <w:sz w:val="21"/>
          <w:szCs w:val="21"/>
          <w:highlight w:val="none"/>
        </w:rPr>
        <w:t>第二部分</w:t>
      </w:r>
      <w:r>
        <w:rPr>
          <w:color w:val="auto"/>
          <w:sz w:val="21"/>
          <w:szCs w:val="21"/>
          <w:highlight w:val="none"/>
        </w:rPr>
        <w:t xml:space="preserve">  </w:t>
      </w:r>
      <w:r>
        <w:rPr>
          <w:rFonts w:hint="eastAsia"/>
          <w:color w:val="auto"/>
          <w:sz w:val="21"/>
          <w:szCs w:val="21"/>
          <w:highlight w:val="none"/>
        </w:rPr>
        <w:t>经济部分</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_Toc17415 \h </w:instrText>
      </w:r>
      <w:r>
        <w:rPr>
          <w:color w:val="auto"/>
          <w:sz w:val="21"/>
          <w:szCs w:val="21"/>
          <w:highlight w:val="none"/>
        </w:rPr>
        <w:fldChar w:fldCharType="separate"/>
      </w:r>
      <w:r>
        <w:rPr>
          <w:color w:val="auto"/>
          <w:sz w:val="21"/>
          <w:szCs w:val="21"/>
          <w:highlight w:val="none"/>
        </w:rPr>
        <w:t>63</w:t>
      </w:r>
      <w:r>
        <w:rPr>
          <w:color w:val="auto"/>
          <w:sz w:val="21"/>
          <w:szCs w:val="21"/>
          <w:highlight w:val="none"/>
        </w:rPr>
        <w:fldChar w:fldCharType="end"/>
      </w:r>
      <w:r>
        <w:rPr>
          <w:rFonts w:ascii="黑体" w:eastAsia="黑体"/>
          <w:color w:val="auto"/>
          <w:sz w:val="21"/>
          <w:szCs w:val="32"/>
          <w:highlight w:val="none"/>
        </w:rPr>
        <w:fldChar w:fldCharType="end"/>
      </w:r>
    </w:p>
    <w:p w14:paraId="408F571B">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_Toc13792 </w:instrText>
      </w:r>
      <w:r>
        <w:rPr>
          <w:rFonts w:ascii="黑体" w:eastAsia="黑体"/>
          <w:color w:val="auto"/>
          <w:sz w:val="21"/>
          <w:szCs w:val="32"/>
          <w:highlight w:val="none"/>
        </w:rPr>
        <w:fldChar w:fldCharType="separate"/>
      </w:r>
      <w:r>
        <w:rPr>
          <w:rFonts w:hint="eastAsia" w:ascii="黑体" w:hAnsi="Times New Roman"/>
          <w:bCs w:val="0"/>
          <w:color w:val="auto"/>
          <w:sz w:val="21"/>
          <w:szCs w:val="32"/>
          <w:highlight w:val="none"/>
        </w:rPr>
        <w:t>一、报价一览表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_Toc13792 \h </w:instrText>
      </w:r>
      <w:r>
        <w:rPr>
          <w:color w:val="auto"/>
          <w:sz w:val="21"/>
          <w:szCs w:val="21"/>
          <w:highlight w:val="none"/>
        </w:rPr>
        <w:fldChar w:fldCharType="separate"/>
      </w:r>
      <w:r>
        <w:rPr>
          <w:color w:val="auto"/>
          <w:sz w:val="21"/>
          <w:szCs w:val="21"/>
          <w:highlight w:val="none"/>
        </w:rPr>
        <w:t>63</w:t>
      </w:r>
      <w:r>
        <w:rPr>
          <w:color w:val="auto"/>
          <w:sz w:val="21"/>
          <w:szCs w:val="21"/>
          <w:highlight w:val="none"/>
        </w:rPr>
        <w:fldChar w:fldCharType="end"/>
      </w:r>
      <w:r>
        <w:rPr>
          <w:rFonts w:ascii="黑体" w:eastAsia="黑体"/>
          <w:color w:val="auto"/>
          <w:sz w:val="21"/>
          <w:szCs w:val="32"/>
          <w:highlight w:val="none"/>
        </w:rPr>
        <w:fldChar w:fldCharType="end"/>
      </w:r>
    </w:p>
    <w:p w14:paraId="404ADDA9">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_Toc6200 </w:instrText>
      </w:r>
      <w:r>
        <w:rPr>
          <w:rFonts w:ascii="黑体" w:eastAsia="黑体"/>
          <w:color w:val="auto"/>
          <w:sz w:val="21"/>
          <w:szCs w:val="32"/>
          <w:highlight w:val="none"/>
        </w:rPr>
        <w:fldChar w:fldCharType="separate"/>
      </w:r>
      <w:r>
        <w:rPr>
          <w:rFonts w:hint="eastAsia" w:ascii="黑体" w:hAnsi="Times New Roman"/>
          <w:bCs w:val="0"/>
          <w:color w:val="auto"/>
          <w:sz w:val="21"/>
          <w:szCs w:val="32"/>
          <w:highlight w:val="none"/>
        </w:rPr>
        <w:t>二、分项报价表</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_Toc6200 \h </w:instrText>
      </w:r>
      <w:r>
        <w:rPr>
          <w:color w:val="auto"/>
          <w:sz w:val="21"/>
          <w:szCs w:val="21"/>
          <w:highlight w:val="none"/>
        </w:rPr>
        <w:fldChar w:fldCharType="separate"/>
      </w:r>
      <w:r>
        <w:rPr>
          <w:color w:val="auto"/>
          <w:sz w:val="21"/>
          <w:szCs w:val="21"/>
          <w:highlight w:val="none"/>
        </w:rPr>
        <w:t>64</w:t>
      </w:r>
      <w:r>
        <w:rPr>
          <w:color w:val="auto"/>
          <w:sz w:val="21"/>
          <w:szCs w:val="21"/>
          <w:highlight w:val="none"/>
        </w:rPr>
        <w:fldChar w:fldCharType="end"/>
      </w:r>
      <w:r>
        <w:rPr>
          <w:rFonts w:ascii="黑体" w:eastAsia="黑体"/>
          <w:color w:val="auto"/>
          <w:sz w:val="21"/>
          <w:szCs w:val="32"/>
          <w:highlight w:val="none"/>
        </w:rPr>
        <w:fldChar w:fldCharType="end"/>
      </w:r>
    </w:p>
    <w:p w14:paraId="385B3040">
      <w:pPr>
        <w:pStyle w:val="34"/>
        <w:tabs>
          <w:tab w:val="right" w:leader="dot" w:pos="8306"/>
        </w:tabs>
        <w:spacing w:line="360" w:lineRule="auto"/>
        <w:rPr>
          <w:color w:val="auto"/>
          <w:sz w:val="21"/>
          <w:szCs w:val="21"/>
          <w:highlight w:val="none"/>
        </w:rPr>
      </w:pPr>
      <w:r>
        <w:rPr>
          <w:rFonts w:ascii="黑体" w:eastAsia="黑体"/>
          <w:color w:val="auto"/>
          <w:sz w:val="21"/>
          <w:szCs w:val="32"/>
          <w:highlight w:val="none"/>
        </w:rPr>
        <w:fldChar w:fldCharType="begin" w:fldLock="1"/>
      </w:r>
      <w:r>
        <w:rPr>
          <w:rFonts w:ascii="黑体" w:eastAsia="黑体"/>
          <w:color w:val="auto"/>
          <w:sz w:val="21"/>
          <w:szCs w:val="32"/>
          <w:highlight w:val="none"/>
        </w:rPr>
        <w:instrText xml:space="preserve"> HYPERLINK \l _Toc28919 </w:instrText>
      </w:r>
      <w:r>
        <w:rPr>
          <w:rFonts w:ascii="黑体" w:eastAsia="黑体"/>
          <w:color w:val="auto"/>
          <w:sz w:val="21"/>
          <w:szCs w:val="32"/>
          <w:highlight w:val="none"/>
        </w:rPr>
        <w:fldChar w:fldCharType="separate"/>
      </w:r>
      <w:r>
        <w:rPr>
          <w:rFonts w:hint="eastAsia"/>
          <w:color w:val="auto"/>
          <w:sz w:val="21"/>
          <w:szCs w:val="21"/>
          <w:highlight w:val="none"/>
        </w:rPr>
        <w:t>第三部分</w:t>
      </w:r>
      <w:r>
        <w:rPr>
          <w:color w:val="auto"/>
          <w:sz w:val="21"/>
          <w:szCs w:val="21"/>
          <w:highlight w:val="none"/>
        </w:rPr>
        <w:t xml:space="preserve">  </w:t>
      </w:r>
      <w:r>
        <w:rPr>
          <w:rFonts w:hint="eastAsia"/>
          <w:color w:val="auto"/>
          <w:sz w:val="21"/>
          <w:szCs w:val="21"/>
          <w:highlight w:val="none"/>
        </w:rPr>
        <w:t>唱标信封（单独密封）</w:t>
      </w:r>
      <w:r>
        <w:rPr>
          <w:color w:val="auto"/>
          <w:sz w:val="21"/>
          <w:szCs w:val="21"/>
          <w:highlight w:val="none"/>
        </w:rPr>
        <w:tab/>
      </w:r>
      <w:r>
        <w:rPr>
          <w:color w:val="auto"/>
          <w:sz w:val="21"/>
          <w:szCs w:val="21"/>
          <w:highlight w:val="none"/>
        </w:rPr>
        <w:fldChar w:fldCharType="begin" w:fldLock="1"/>
      </w:r>
      <w:r>
        <w:rPr>
          <w:color w:val="auto"/>
          <w:sz w:val="21"/>
          <w:szCs w:val="21"/>
          <w:highlight w:val="none"/>
        </w:rPr>
        <w:instrText xml:space="preserve"> PAGEREF _Toc28919 \h </w:instrText>
      </w:r>
      <w:r>
        <w:rPr>
          <w:color w:val="auto"/>
          <w:sz w:val="21"/>
          <w:szCs w:val="21"/>
          <w:highlight w:val="none"/>
        </w:rPr>
        <w:fldChar w:fldCharType="separate"/>
      </w:r>
      <w:r>
        <w:rPr>
          <w:color w:val="auto"/>
          <w:sz w:val="21"/>
          <w:szCs w:val="21"/>
          <w:highlight w:val="none"/>
        </w:rPr>
        <w:t>65</w:t>
      </w:r>
      <w:r>
        <w:rPr>
          <w:color w:val="auto"/>
          <w:sz w:val="21"/>
          <w:szCs w:val="21"/>
          <w:highlight w:val="none"/>
        </w:rPr>
        <w:fldChar w:fldCharType="end"/>
      </w:r>
      <w:r>
        <w:rPr>
          <w:rFonts w:ascii="黑体" w:eastAsia="黑体"/>
          <w:color w:val="auto"/>
          <w:sz w:val="21"/>
          <w:szCs w:val="32"/>
          <w:highlight w:val="none"/>
        </w:rPr>
        <w:fldChar w:fldCharType="end"/>
      </w:r>
    </w:p>
    <w:p w14:paraId="07D9D72C">
      <w:pPr>
        <w:spacing w:line="360" w:lineRule="auto"/>
        <w:rPr>
          <w:rFonts w:ascii="黑体" w:eastAsia="黑体"/>
          <w:color w:val="auto"/>
          <w:sz w:val="28"/>
          <w:szCs w:val="28"/>
          <w:highlight w:val="none"/>
        </w:rPr>
      </w:pPr>
      <w:r>
        <w:rPr>
          <w:rFonts w:ascii="黑体" w:eastAsia="黑体"/>
          <w:color w:val="auto"/>
          <w:sz w:val="22"/>
          <w:szCs w:val="32"/>
          <w:highlight w:val="none"/>
        </w:rPr>
        <w:fldChar w:fldCharType="end"/>
      </w:r>
    </w:p>
    <w:p w14:paraId="446A14E7">
      <w:pPr>
        <w:jc w:val="center"/>
        <w:rPr>
          <w:rFonts w:ascii="黑体" w:eastAsia="黑体"/>
          <w:color w:val="auto"/>
          <w:sz w:val="28"/>
          <w:szCs w:val="28"/>
          <w:highlight w:val="none"/>
        </w:rPr>
      </w:pPr>
    </w:p>
    <w:p w14:paraId="3D2C6A0F">
      <w:pPr>
        <w:jc w:val="center"/>
        <w:rPr>
          <w:rFonts w:ascii="黑体" w:eastAsia="黑体"/>
          <w:color w:val="auto"/>
          <w:sz w:val="28"/>
          <w:szCs w:val="28"/>
          <w:highlight w:val="none"/>
        </w:rPr>
      </w:pPr>
    </w:p>
    <w:p w14:paraId="5DC1999D">
      <w:pPr>
        <w:rPr>
          <w:rFonts w:ascii="黑体" w:eastAsia="黑体"/>
          <w:color w:val="auto"/>
          <w:sz w:val="28"/>
          <w:szCs w:val="28"/>
          <w:highlight w:val="none"/>
        </w:rPr>
      </w:pPr>
    </w:p>
    <w:p w14:paraId="1B3AAC9C">
      <w:pPr>
        <w:pStyle w:val="71"/>
        <w:rPr>
          <w:rFonts w:ascii="宋体" w:hAnsi="宋体" w:eastAsia="宋体" w:cs="宋体"/>
          <w:b/>
          <w:color w:val="auto"/>
          <w:kern w:val="0"/>
          <w:sz w:val="28"/>
          <w:szCs w:val="28"/>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456551871"/>
      <w:bookmarkStart w:id="1" w:name="_Toc227057880"/>
    </w:p>
    <w:p w14:paraId="3CB49753">
      <w:pPr>
        <w:pStyle w:val="71"/>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cs="宋体"/>
          <w:b/>
          <w:color w:val="auto"/>
          <w:kern w:val="0"/>
          <w:sz w:val="28"/>
          <w:szCs w:val="28"/>
          <w:highlight w:val="none"/>
        </w:rPr>
      </w:pPr>
      <w:bookmarkStart w:id="2" w:name="_Toc8202"/>
      <w:bookmarkStart w:id="224" w:name="_GoBack"/>
      <w:bookmarkEnd w:id="224"/>
      <w:r>
        <w:rPr>
          <w:rFonts w:hint="eastAsia" w:ascii="宋体" w:hAnsi="宋体" w:eastAsia="宋体" w:cs="宋体"/>
          <w:b/>
          <w:color w:val="auto"/>
          <w:kern w:val="0"/>
          <w:sz w:val="28"/>
          <w:szCs w:val="28"/>
          <w:highlight w:val="none"/>
        </w:rPr>
        <w:t>第</w:t>
      </w:r>
      <w:r>
        <w:rPr>
          <w:rFonts w:ascii="宋体" w:hAnsi="宋体" w:eastAsia="宋体" w:cs="宋体"/>
          <w:b/>
          <w:color w:val="auto"/>
          <w:kern w:val="0"/>
          <w:sz w:val="28"/>
          <w:szCs w:val="28"/>
          <w:highlight w:val="none"/>
        </w:rPr>
        <w:t>一章  竞争性谈判公告</w:t>
      </w:r>
      <w:bookmarkEnd w:id="2"/>
    </w:p>
    <w:p w14:paraId="2BF2B4F9">
      <w:pPr>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宋体"/>
          <w:color w:val="auto"/>
          <w:sz w:val="28"/>
          <w:szCs w:val="28"/>
          <w:highlight w:val="none"/>
        </w:rPr>
      </w:pPr>
      <w:r>
        <w:rPr>
          <w:rFonts w:ascii="黑体" w:hAnsi="黑体" w:eastAsia="黑体" w:cs="宋体"/>
          <w:color w:val="auto"/>
          <w:sz w:val="28"/>
          <w:szCs w:val="28"/>
          <w:highlight w:val="none"/>
        </w:rPr>
        <w:t xml:space="preserve"> [</w:t>
      </w:r>
      <w:r>
        <w:rPr>
          <w:rFonts w:hint="eastAsia" w:ascii="黑体" w:eastAsia="黑体"/>
          <w:color w:val="auto"/>
          <w:sz w:val="28"/>
          <w:szCs w:val="28"/>
          <w:highlight w:val="none"/>
          <w:u w:val="single"/>
          <w:lang w:eastAsia="zh-CN"/>
        </w:rPr>
        <w:t>织金高原泉水务有限公司35%股权、债权资产包整体转让中介服务采购项目</w:t>
      </w:r>
      <w:r>
        <w:rPr>
          <w:rFonts w:ascii="黑体" w:hAnsi="黑体" w:eastAsia="黑体" w:cs="宋体"/>
          <w:color w:val="auto"/>
          <w:sz w:val="28"/>
          <w:szCs w:val="28"/>
          <w:highlight w:val="none"/>
        </w:rPr>
        <w:t xml:space="preserve">]竞争性谈判公告 </w:t>
      </w:r>
    </w:p>
    <w:p w14:paraId="24531CD3">
      <w:pPr>
        <w:spacing w:line="440" w:lineRule="exact"/>
        <w:jc w:val="center"/>
        <w:rPr>
          <w:rFonts w:ascii="黑体" w:hAnsi="黑体" w:eastAsia="黑体" w:cs="宋体"/>
          <w:color w:val="auto"/>
          <w:sz w:val="28"/>
          <w:szCs w:val="28"/>
          <w:highlight w:val="none"/>
        </w:rPr>
      </w:pPr>
    </w:p>
    <w:p w14:paraId="2E9DAC36">
      <w:pPr>
        <w:spacing w:after="1" w:line="360" w:lineRule="auto"/>
        <w:ind w:left="-14" w:right="162" w:firstLine="630"/>
        <w:rPr>
          <w:color w:val="auto"/>
          <w:highlight w:val="none"/>
        </w:rPr>
      </w:pPr>
      <w:r>
        <w:rPr>
          <w:color w:val="auto"/>
          <w:highlight w:val="none"/>
          <w:u w:val="single"/>
        </w:rPr>
        <w:t xml:space="preserve"> </w:t>
      </w:r>
      <w:r>
        <w:rPr>
          <w:rFonts w:hint="eastAsia"/>
          <w:color w:val="auto"/>
          <w:highlight w:val="none"/>
          <w:u w:val="single"/>
          <w:lang w:eastAsia="zh-CN"/>
        </w:rPr>
        <w:t>织金高原泉水务有限公司35%股权、债权资产包整体转让中介服务采购项目</w:t>
      </w:r>
      <w:r>
        <w:rPr>
          <w:color w:val="auto"/>
          <w:highlight w:val="none"/>
          <w:u w:val="single"/>
        </w:rPr>
        <w:t xml:space="preserve"> </w:t>
      </w:r>
      <w:r>
        <w:rPr>
          <w:color w:val="auto"/>
          <w:highlight w:val="none"/>
        </w:rPr>
        <w:t>采购人为</w:t>
      </w:r>
      <w:r>
        <w:rPr>
          <w:color w:val="auto"/>
          <w:highlight w:val="none"/>
          <w:u w:val="single"/>
        </w:rPr>
        <w:t xml:space="preserve">  </w:t>
      </w:r>
      <w:r>
        <w:rPr>
          <w:rFonts w:hint="eastAsia"/>
          <w:color w:val="auto"/>
          <w:highlight w:val="none"/>
          <w:u w:val="single"/>
        </w:rPr>
        <w:t>广东新网工程技术有限公司</w:t>
      </w:r>
      <w:r>
        <w:rPr>
          <w:color w:val="auto"/>
          <w:highlight w:val="none"/>
          <w:u w:val="single"/>
        </w:rPr>
        <w:t xml:space="preserve"> </w:t>
      </w:r>
      <w:r>
        <w:rPr>
          <w:color w:val="auto"/>
          <w:highlight w:val="none"/>
        </w:rPr>
        <w:t>，采购代理机构为</w:t>
      </w:r>
      <w:r>
        <w:rPr>
          <w:color w:val="auto"/>
          <w:highlight w:val="none"/>
          <w:u w:val="single"/>
        </w:rPr>
        <w:t xml:space="preserve">  </w:t>
      </w:r>
      <w:r>
        <w:rPr>
          <w:rFonts w:hint="eastAsia"/>
          <w:color w:val="auto"/>
          <w:highlight w:val="none"/>
          <w:u w:val="single"/>
          <w:lang w:eastAsia="zh-CN"/>
        </w:rPr>
        <w:t>广东政通招标有限公司</w:t>
      </w:r>
      <w:r>
        <w:rPr>
          <w:color w:val="auto"/>
          <w:highlight w:val="none"/>
          <w:u w:val="single"/>
        </w:rPr>
        <w:t xml:space="preserve"> </w:t>
      </w:r>
      <w:r>
        <w:rPr>
          <w:rFonts w:hint="eastAsia"/>
          <w:color w:val="auto"/>
          <w:highlight w:val="none"/>
        </w:rPr>
        <w:t>，</w:t>
      </w:r>
      <w:r>
        <w:rPr>
          <w:color w:val="auto"/>
          <w:highlight w:val="none"/>
        </w:rPr>
        <w:t>已具备竞争性谈判条件，现进行公开竞争性谈判。</w:t>
      </w:r>
    </w:p>
    <w:p w14:paraId="4341A05C">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一、 </w:t>
      </w:r>
      <w:r>
        <w:rPr>
          <w:rFonts w:hint="eastAsia" w:ascii="黑体" w:eastAsia="黑体"/>
          <w:b/>
          <w:color w:val="auto"/>
          <w:sz w:val="28"/>
          <w:szCs w:val="28"/>
          <w:highlight w:val="none"/>
        </w:rPr>
        <w:t>项目名称及</w:t>
      </w:r>
      <w:r>
        <w:rPr>
          <w:rFonts w:ascii="黑体" w:eastAsia="黑体"/>
          <w:b/>
          <w:color w:val="auto"/>
          <w:sz w:val="28"/>
          <w:szCs w:val="28"/>
          <w:highlight w:val="none"/>
        </w:rPr>
        <w:t xml:space="preserve">采购内容 </w:t>
      </w:r>
    </w:p>
    <w:p w14:paraId="4270F1AF">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color w:val="auto"/>
          <w:highlight w:val="none"/>
          <w:u w:val="single"/>
          <w:lang w:eastAsia="zh-CN"/>
        </w:rPr>
        <w:t>织金高原泉水务有限公司35%股权、债权资产包整体转让中介服务采购项目</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50032A">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采购范围：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标包1：股权价值评估； 标包2：清产核资审计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B1A190F">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项目地点：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采购人指定地点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E47057">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服务时间（供货时间/工期）：</w:t>
      </w:r>
      <w:r>
        <w:rPr>
          <w:rFonts w:hint="eastAsia" w:ascii="宋体" w:hAnsi="宋体"/>
          <w:color w:val="auto"/>
          <w:szCs w:val="21"/>
          <w:highlight w:val="none"/>
          <w:u w:val="single"/>
        </w:rPr>
        <w:t xml:space="preserve"> 项目合同签订之日起至项目相关报告提交采购人并由采购人确认无误时止 </w:t>
      </w:r>
      <w:r>
        <w:rPr>
          <w:rFonts w:hint="eastAsia" w:ascii="宋体" w:hAnsi="宋体"/>
          <w:color w:val="auto"/>
          <w:szCs w:val="21"/>
          <w:highlight w:val="none"/>
        </w:rPr>
        <w:t>；</w:t>
      </w:r>
    </w:p>
    <w:p w14:paraId="7B16B76F">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 60,000.00元； 标包2: 30,000.00元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908560">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 60,000.00元； 标包2: 30,000.00元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34EFEA">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标包划分：</w:t>
      </w:r>
      <w:r>
        <w:rPr>
          <w:rStyle w:val="45"/>
          <w:rFonts w:hint="eastAsia"/>
          <w:color w:val="auto"/>
          <w:highlight w:val="none"/>
        </w:rPr>
        <w:t>本项目</w:t>
      </w:r>
      <w:r>
        <w:rPr>
          <w:rStyle w:val="45"/>
          <w:rFonts w:hint="eastAsia"/>
          <w:color w:val="auto"/>
          <w:highlight w:val="none"/>
          <w:u w:val="single"/>
        </w:rPr>
        <w:t>划分</w:t>
      </w:r>
      <w:r>
        <w:rPr>
          <w:rStyle w:val="45"/>
          <w:rFonts w:hint="eastAsia"/>
          <w:color w:val="auto"/>
          <w:highlight w:val="none"/>
          <w:u w:val="single"/>
          <w:lang w:val="en-US" w:eastAsia="zh-CN"/>
        </w:rPr>
        <w:t xml:space="preserve"> 2 </w:t>
      </w:r>
      <w:r>
        <w:rPr>
          <w:rStyle w:val="45"/>
          <w:rFonts w:hint="eastAsia"/>
          <w:color w:val="auto"/>
          <w:highlight w:val="none"/>
        </w:rPr>
        <w:t>标包</w:t>
      </w:r>
      <w:r>
        <w:rPr>
          <w:rFonts w:hint="eastAsia" w:ascii="宋体" w:hAnsi="宋体"/>
          <w:color w:val="auto"/>
          <w:spacing w:val="2"/>
          <w:szCs w:val="21"/>
          <w:highlight w:val="none"/>
        </w:rPr>
        <w:t>。</w:t>
      </w:r>
    </w:p>
    <w:p w14:paraId="49D6C6B5">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二、 </w:t>
      </w:r>
      <w:r>
        <w:rPr>
          <w:rFonts w:hint="eastAsia" w:ascii="黑体" w:eastAsia="黑体"/>
          <w:b/>
          <w:color w:val="auto"/>
          <w:sz w:val="28"/>
          <w:szCs w:val="28"/>
          <w:highlight w:val="none"/>
        </w:rPr>
        <w:t>响应人</w:t>
      </w:r>
      <w:r>
        <w:rPr>
          <w:rFonts w:ascii="黑体" w:eastAsia="黑体"/>
          <w:b/>
          <w:color w:val="auto"/>
          <w:sz w:val="28"/>
          <w:szCs w:val="28"/>
          <w:highlight w:val="none"/>
        </w:rPr>
        <w:t>资格</w:t>
      </w:r>
      <w:r>
        <w:rPr>
          <w:rFonts w:hint="eastAsia" w:ascii="黑体" w:eastAsia="黑体"/>
          <w:b/>
          <w:color w:val="auto"/>
          <w:sz w:val="28"/>
          <w:szCs w:val="28"/>
          <w:highlight w:val="none"/>
        </w:rPr>
        <w:t>要求</w:t>
      </w:r>
    </w:p>
    <w:p w14:paraId="02ECC2D2">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响应人须为在中华人民共和国境内登记注册的具有独立承担民事责任能力的法人或其他组织。【提供《营业执照》复印件（加盖公章）或《事业单位法人证书》复印件（加盖公章）或其他主体证书复印件（加盖公章）】</w:t>
      </w:r>
    </w:p>
    <w:p w14:paraId="45C33BD9">
      <w:pPr>
        <w:numPr>
          <w:ilvl w:val="1"/>
          <w:numId w:val="3"/>
        </w:numPr>
        <w:spacing w:line="360" w:lineRule="auto"/>
        <w:ind w:left="851" w:hanging="425"/>
        <w:rPr>
          <w:rFonts w:ascii="宋体"/>
          <w:color w:val="auto"/>
          <w:szCs w:val="21"/>
          <w:highlight w:val="none"/>
          <w:u w:val="single"/>
        </w:rPr>
      </w:pPr>
      <w:r>
        <w:rPr>
          <w:rFonts w:hint="eastAsia" w:ascii="宋体" w:hAnsi="宋体"/>
          <w:color w:val="auto"/>
          <w:szCs w:val="21"/>
          <w:highlight w:val="none"/>
        </w:rPr>
        <w:t>资质要求：</w:t>
      </w:r>
    </w:p>
    <w:p w14:paraId="3AA89509">
      <w:pPr>
        <w:numPr>
          <w:ilvl w:val="0"/>
          <w:numId w:val="0"/>
        </w:numPr>
        <w:spacing w:line="360" w:lineRule="auto"/>
        <w:ind w:left="826" w:leftChars="0" w:firstLine="18" w:firstLineChars="9"/>
        <w:rPr>
          <w:rFonts w:ascii="宋体"/>
          <w:color w:val="auto"/>
          <w:szCs w:val="21"/>
          <w:highlight w:val="none"/>
          <w:u w:val="single"/>
        </w:rPr>
      </w:pPr>
      <w:r>
        <w:rPr>
          <w:rFonts w:hint="eastAsia" w:ascii="宋体" w:hAnsi="宋体"/>
          <w:color w:val="auto"/>
          <w:szCs w:val="21"/>
          <w:highlight w:val="none"/>
          <w:u w:val="single"/>
          <w:lang w:val="en-US" w:eastAsia="zh-CN"/>
        </w:rPr>
        <w:t>标包1：</w:t>
      </w:r>
      <w:r>
        <w:rPr>
          <w:rFonts w:hint="eastAsia" w:ascii="宋体" w:hAnsi="宋体"/>
          <w:color w:val="auto"/>
          <w:szCs w:val="21"/>
          <w:highlight w:val="none"/>
          <w:u w:val="single"/>
        </w:rPr>
        <w:t>响应人须具备</w:t>
      </w:r>
      <w:r>
        <w:rPr>
          <w:rFonts w:hint="eastAsia" w:ascii="宋体" w:hAnsi="宋体"/>
          <w:color w:val="auto"/>
          <w:szCs w:val="21"/>
          <w:highlight w:val="none"/>
          <w:u w:val="single"/>
          <w:lang w:val="en-US" w:eastAsia="zh-CN"/>
        </w:rPr>
        <w:t>财政部门出具的资产评估机构备案登记证明【提供相关证明材料复印件并加盖公章）】</w:t>
      </w:r>
      <w:r>
        <w:rPr>
          <w:rFonts w:hint="eastAsia" w:ascii="宋体" w:hAnsi="宋体"/>
          <w:color w:val="auto"/>
          <w:szCs w:val="21"/>
          <w:highlight w:val="none"/>
          <w:u w:val="single"/>
          <w:lang w:val="en-US" w:eastAsia="zh-CN"/>
        </w:rPr>
        <w:br w:type="textWrapping"/>
      </w:r>
      <w:r>
        <w:rPr>
          <w:rFonts w:hint="eastAsia" w:ascii="宋体" w:hAnsi="宋体"/>
          <w:color w:val="auto"/>
          <w:szCs w:val="21"/>
          <w:highlight w:val="none"/>
          <w:u w:val="single"/>
          <w:lang w:val="en-US" w:eastAsia="zh-CN"/>
        </w:rPr>
        <w:t>标包2：</w:t>
      </w:r>
      <w:r>
        <w:rPr>
          <w:rFonts w:hint="eastAsia" w:ascii="宋体" w:hAnsi="宋体"/>
          <w:color w:val="auto"/>
          <w:szCs w:val="21"/>
          <w:highlight w:val="none"/>
          <w:u w:val="single"/>
        </w:rPr>
        <w:t>响应人须具备</w:t>
      </w:r>
      <w:bookmarkStart w:id="3" w:name="_Hlk75792846"/>
      <w:r>
        <w:rPr>
          <w:rFonts w:hint="eastAsia" w:ascii="宋体" w:hAnsi="宋体"/>
          <w:color w:val="auto"/>
          <w:szCs w:val="21"/>
          <w:highlight w:val="none"/>
          <w:u w:val="single"/>
          <w:lang w:val="en-US" w:eastAsia="zh-CN"/>
        </w:rPr>
        <w:t>有效期内的会计师事务所执业证书【提供会计师事务所执业证书复印件并加盖公章</w:t>
      </w:r>
      <w:bookmarkEnd w:id="3"/>
      <w:r>
        <w:rPr>
          <w:rFonts w:hint="eastAsia" w:ascii="宋体" w:hAnsi="宋体"/>
          <w:color w:val="auto"/>
          <w:szCs w:val="21"/>
          <w:highlight w:val="none"/>
          <w:u w:val="single"/>
          <w:lang w:val="en-US" w:eastAsia="zh-CN"/>
        </w:rPr>
        <w:t>】</w:t>
      </w:r>
    </w:p>
    <w:p w14:paraId="534C4305">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业绩要求：</w:t>
      </w:r>
    </w:p>
    <w:p w14:paraId="1FF224D4">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eastAsia="宋体" w:cs="Times New Roman"/>
          <w:color w:val="auto"/>
          <w:szCs w:val="21"/>
          <w:highlight w:val="none"/>
          <w:u w:val="single"/>
          <w:lang w:val="en-US" w:eastAsia="zh-CN"/>
        </w:rPr>
        <w:t>标包1：具备</w:t>
      </w:r>
      <w:r>
        <w:rPr>
          <w:color w:val="auto"/>
          <w:szCs w:val="21"/>
          <w:highlight w:val="none"/>
          <w:u w:val="single"/>
        </w:rPr>
        <w:t xml:space="preserve"> </w:t>
      </w:r>
      <w:r>
        <w:rPr>
          <w:rFonts w:hint="eastAsia"/>
          <w:color w:val="auto"/>
          <w:szCs w:val="21"/>
          <w:highlight w:val="none"/>
          <w:u w:val="single"/>
          <w:lang w:val="en-US" w:eastAsia="zh-CN"/>
        </w:rPr>
        <w:t>股权价值评估类</w:t>
      </w:r>
      <w:r>
        <w:rPr>
          <w:color w:val="auto"/>
          <w:szCs w:val="21"/>
          <w:highlight w:val="none"/>
          <w:u w:val="single"/>
        </w:rPr>
        <w:t xml:space="preserve"> </w:t>
      </w:r>
      <w:r>
        <w:rPr>
          <w:rFonts w:hint="eastAsia"/>
          <w:color w:val="auto"/>
          <w:szCs w:val="21"/>
          <w:highlight w:val="none"/>
        </w:rPr>
        <w:t>项目经验，要求</w:t>
      </w:r>
      <w:r>
        <w:rPr>
          <w:color w:val="auto"/>
          <w:szCs w:val="21"/>
          <w:highlight w:val="none"/>
          <w:u w:val="single"/>
        </w:rPr>
        <w:t xml:space="preserve"> </w:t>
      </w:r>
      <w:r>
        <w:rPr>
          <w:rFonts w:hint="eastAsia"/>
          <w:color w:val="auto"/>
          <w:szCs w:val="21"/>
          <w:highlight w:val="none"/>
          <w:u w:val="single"/>
          <w:lang w:val="en-US" w:eastAsia="zh-CN"/>
        </w:rPr>
        <w:t>2024</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日起至</w:t>
      </w:r>
      <w:r>
        <w:rPr>
          <w:rFonts w:hint="eastAsia"/>
          <w:color w:val="auto"/>
          <w:szCs w:val="21"/>
          <w:highlight w:val="none"/>
          <w:u w:val="none"/>
          <w:lang w:val="en-US" w:eastAsia="zh-CN"/>
        </w:rPr>
        <w:t>今</w:t>
      </w:r>
      <w:r>
        <w:rPr>
          <w:rFonts w:hint="eastAsia"/>
          <w:color w:val="auto"/>
          <w:szCs w:val="21"/>
          <w:highlight w:val="none"/>
        </w:rPr>
        <w:t>，完成至少</w:t>
      </w:r>
      <w:r>
        <w:rPr>
          <w:rFonts w:hint="eastAsia"/>
          <w:color w:val="auto"/>
          <w:szCs w:val="21"/>
          <w:highlight w:val="none"/>
          <w:lang w:val="en-US" w:eastAsia="zh-CN"/>
        </w:rPr>
        <w:t>2</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lang w:val="en-US" w:eastAsia="zh-CN"/>
        </w:rPr>
        <w:t>资产评估类项目</w:t>
      </w:r>
      <w:r>
        <w:rPr>
          <w:color w:val="auto"/>
          <w:szCs w:val="21"/>
          <w:highlight w:val="none"/>
          <w:u w:val="single"/>
        </w:rPr>
        <w:t xml:space="preserve"> </w:t>
      </w:r>
      <w:r>
        <w:rPr>
          <w:rFonts w:hint="eastAsia"/>
          <w:color w:val="auto"/>
          <w:szCs w:val="21"/>
          <w:highlight w:val="none"/>
        </w:rPr>
        <w:t>业绩。</w:t>
      </w:r>
      <w:r>
        <w:rPr>
          <w:rFonts w:hint="eastAsia" w:ascii="宋体" w:hAnsi="宋体"/>
          <w:color w:val="auto"/>
          <w:szCs w:val="21"/>
          <w:highlight w:val="none"/>
        </w:rPr>
        <w:t>【按合同签订时间为准，须提供合同关键页复印件（包含但不限于合同首页、合同金额页、合同签字页等）、该合同期内任意一期发票复印件，并加盖公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14:paraId="589B3AF4">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eastAsia="宋体" w:cs="Times New Roman"/>
          <w:color w:val="auto"/>
          <w:szCs w:val="21"/>
          <w:highlight w:val="none"/>
          <w:u w:val="single"/>
          <w:lang w:val="en-US" w:eastAsia="zh-CN"/>
        </w:rPr>
        <w:t>标包2：具备</w:t>
      </w:r>
      <w:r>
        <w:rPr>
          <w:color w:val="auto"/>
          <w:szCs w:val="21"/>
          <w:highlight w:val="none"/>
          <w:u w:val="single"/>
        </w:rPr>
        <w:t xml:space="preserve"> </w:t>
      </w:r>
      <w:r>
        <w:rPr>
          <w:rFonts w:hint="eastAsia"/>
          <w:color w:val="auto"/>
          <w:szCs w:val="21"/>
          <w:highlight w:val="none"/>
          <w:u w:val="single"/>
          <w:lang w:val="en-US" w:eastAsia="zh-CN"/>
        </w:rPr>
        <w:t>财务审计类</w:t>
      </w:r>
      <w:r>
        <w:rPr>
          <w:color w:val="auto"/>
          <w:szCs w:val="21"/>
          <w:highlight w:val="none"/>
          <w:u w:val="single"/>
        </w:rPr>
        <w:t xml:space="preserve"> </w:t>
      </w:r>
      <w:r>
        <w:rPr>
          <w:rFonts w:hint="eastAsia"/>
          <w:color w:val="auto"/>
          <w:szCs w:val="21"/>
          <w:highlight w:val="none"/>
        </w:rPr>
        <w:t>项目经验，要求</w:t>
      </w:r>
      <w:r>
        <w:rPr>
          <w:color w:val="auto"/>
          <w:szCs w:val="21"/>
          <w:highlight w:val="none"/>
          <w:u w:val="single"/>
        </w:rPr>
        <w:t xml:space="preserve"> </w:t>
      </w:r>
      <w:r>
        <w:rPr>
          <w:rFonts w:hint="eastAsia"/>
          <w:color w:val="auto"/>
          <w:szCs w:val="21"/>
          <w:highlight w:val="none"/>
          <w:u w:val="single"/>
          <w:lang w:val="en-US" w:eastAsia="zh-CN"/>
        </w:rPr>
        <w:t>2024</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日起至</w:t>
      </w:r>
      <w:r>
        <w:rPr>
          <w:rFonts w:hint="eastAsia"/>
          <w:color w:val="auto"/>
          <w:szCs w:val="21"/>
          <w:highlight w:val="none"/>
          <w:u w:val="none"/>
          <w:lang w:val="en-US" w:eastAsia="zh-CN"/>
        </w:rPr>
        <w:t>今</w:t>
      </w:r>
      <w:r>
        <w:rPr>
          <w:rFonts w:hint="eastAsia"/>
          <w:color w:val="auto"/>
          <w:szCs w:val="21"/>
          <w:highlight w:val="none"/>
        </w:rPr>
        <w:t>，完成至少</w:t>
      </w:r>
      <w:r>
        <w:rPr>
          <w:rFonts w:hint="eastAsia"/>
          <w:color w:val="auto"/>
          <w:szCs w:val="21"/>
          <w:highlight w:val="none"/>
          <w:lang w:val="en-US" w:eastAsia="zh-CN"/>
        </w:rPr>
        <w:t>2</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清产核资审计</w:t>
      </w:r>
      <w:r>
        <w:rPr>
          <w:rFonts w:hint="eastAsia"/>
          <w:color w:val="auto"/>
          <w:szCs w:val="21"/>
          <w:highlight w:val="none"/>
          <w:u w:val="single"/>
          <w:lang w:val="en-US" w:eastAsia="zh-CN"/>
        </w:rPr>
        <w:t>类项目</w:t>
      </w:r>
      <w:r>
        <w:rPr>
          <w:color w:val="auto"/>
          <w:szCs w:val="21"/>
          <w:highlight w:val="none"/>
          <w:u w:val="single"/>
        </w:rPr>
        <w:t xml:space="preserve"> </w:t>
      </w:r>
      <w:r>
        <w:rPr>
          <w:rFonts w:hint="eastAsia"/>
          <w:color w:val="auto"/>
          <w:szCs w:val="21"/>
          <w:highlight w:val="none"/>
        </w:rPr>
        <w:t>业绩。</w:t>
      </w:r>
      <w:r>
        <w:rPr>
          <w:rFonts w:hint="eastAsia" w:ascii="宋体" w:hAnsi="宋体"/>
          <w:color w:val="auto"/>
          <w:szCs w:val="21"/>
          <w:highlight w:val="none"/>
        </w:rPr>
        <w:t>【按合同签订时间为准，须提供合同关键页复印件（包含但不限于合同首页、合同金额页、合同签字页等）、该合同期内任意一期发票复印件，并加盖公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14:paraId="5F6E46FB">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人员要求：</w:t>
      </w:r>
    </w:p>
    <w:p w14:paraId="21876AED">
      <w:pPr>
        <w:numPr>
          <w:ilvl w:val="0"/>
          <w:numId w:val="0"/>
        </w:numPr>
        <w:spacing w:line="360" w:lineRule="auto"/>
        <w:ind w:left="826" w:leftChars="0" w:firstLine="18" w:firstLineChars="9"/>
        <w:rPr>
          <w:color w:val="auto"/>
          <w:highlight w:val="none"/>
        </w:rPr>
      </w:pPr>
      <w:r>
        <w:rPr>
          <w:rFonts w:hint="eastAsia" w:ascii="宋体" w:hAnsi="宋体"/>
          <w:color w:val="auto"/>
          <w:szCs w:val="21"/>
          <w:highlight w:val="none"/>
          <w:lang w:val="en-US" w:eastAsia="zh-CN"/>
        </w:rPr>
        <w:t>标包1：</w:t>
      </w:r>
      <w:r>
        <w:rPr>
          <w:rFonts w:hint="eastAsia" w:ascii="宋体" w:hAnsi="宋体"/>
          <w:color w:val="auto"/>
          <w:szCs w:val="21"/>
          <w:highlight w:val="none"/>
        </w:rPr>
        <w:t>响应人拟派项目负责人须具备</w:t>
      </w:r>
      <w:r>
        <w:rPr>
          <w:rFonts w:ascii="宋体" w:hAnsi="宋体"/>
          <w:color w:val="auto"/>
          <w:szCs w:val="21"/>
          <w:highlight w:val="none"/>
          <w:u w:val="single"/>
        </w:rPr>
        <w:t xml:space="preserve"> </w:t>
      </w:r>
      <w:r>
        <w:rPr>
          <w:rFonts w:hint="eastAsia" w:ascii="宋体" w:hAnsi="宋体"/>
          <w:color w:val="auto"/>
          <w:szCs w:val="21"/>
          <w:highlight w:val="none"/>
          <w:u w:val="single"/>
        </w:rPr>
        <w:t>资产评估师证书</w:t>
      </w:r>
      <w:r>
        <w:rPr>
          <w:rFonts w:ascii="宋体" w:hAnsi="宋体"/>
          <w:color w:val="auto"/>
          <w:szCs w:val="21"/>
          <w:highlight w:val="none"/>
          <w:u w:val="single"/>
        </w:rPr>
        <w:t xml:space="preserve"> </w:t>
      </w:r>
      <w:r>
        <w:rPr>
          <w:rFonts w:hint="eastAsia" w:ascii="宋体" w:hAnsi="宋体"/>
          <w:color w:val="auto"/>
          <w:szCs w:val="21"/>
          <w:highlight w:val="none"/>
        </w:rPr>
        <w:t>。【提供</w:t>
      </w:r>
      <w:r>
        <w:rPr>
          <w:rFonts w:hint="eastAsia" w:ascii="宋体" w:hAnsi="宋体" w:eastAsia="宋体" w:cs="宋体"/>
          <w:b w:val="0"/>
          <w:bCs w:val="0"/>
          <w:color w:val="auto"/>
          <w:sz w:val="21"/>
          <w:szCs w:val="21"/>
          <w:highlight w:val="none"/>
          <w:u w:val="single"/>
        </w:rPr>
        <w:t>有效的相关</w:t>
      </w:r>
      <w:r>
        <w:rPr>
          <w:rFonts w:hint="eastAsia" w:ascii="宋体" w:hAnsi="宋体"/>
          <w:color w:val="auto"/>
          <w:szCs w:val="21"/>
          <w:highlight w:val="none"/>
        </w:rPr>
        <w:t>证书复印件</w:t>
      </w:r>
      <w:r>
        <w:rPr>
          <w:rFonts w:hint="eastAsia" w:ascii="宋体" w:hAnsi="宋体" w:eastAsia="宋体" w:cs="Times New Roman"/>
          <w:color w:val="auto"/>
          <w:szCs w:val="21"/>
          <w:highlight w:val="none"/>
        </w:rPr>
        <w:t>并提供社保部门出具的</w:t>
      </w:r>
      <w:r>
        <w:rPr>
          <w:rFonts w:hint="eastAsia" w:ascii="宋体" w:hAnsi="宋体" w:eastAsia="宋体" w:cs="Times New Roman"/>
          <w:color w:val="auto"/>
          <w:szCs w:val="21"/>
          <w:highlight w:val="none"/>
          <w:lang w:val="en-US" w:eastAsia="zh-CN"/>
        </w:rPr>
        <w:t>响应人</w:t>
      </w:r>
      <w:r>
        <w:rPr>
          <w:rFonts w:hint="eastAsia" w:ascii="宋体" w:hAnsi="宋体" w:eastAsia="宋体" w:cs="Times New Roman"/>
          <w:color w:val="auto"/>
          <w:szCs w:val="21"/>
          <w:highlight w:val="none"/>
        </w:rPr>
        <w:t>为其购买的</w:t>
      </w:r>
      <w:r>
        <w:rPr>
          <w:rFonts w:hint="eastAsia" w:ascii="宋体" w:hAnsi="宋体" w:eastAsia="宋体" w:cs="Times New Roman"/>
          <w:color w:val="auto"/>
          <w:szCs w:val="21"/>
          <w:highlight w:val="none"/>
          <w:lang w:val="en-US" w:eastAsia="zh-CN"/>
        </w:rPr>
        <w:t>投标截止前</w:t>
      </w:r>
      <w:r>
        <w:rPr>
          <w:rFonts w:hint="eastAsia" w:ascii="宋体" w:hAnsi="宋体" w:eastAsia="宋体" w:cs="Times New Roman"/>
          <w:color w:val="auto"/>
          <w:szCs w:val="21"/>
          <w:highlight w:val="none"/>
        </w:rPr>
        <w:t>近六个月内任意一个月的社会保险证明材料</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w:t>
      </w:r>
      <w:r>
        <w:rPr>
          <w:rFonts w:hint="eastAsia" w:ascii="宋体" w:hAnsi="宋体"/>
          <w:color w:val="auto"/>
          <w:szCs w:val="21"/>
          <w:highlight w:val="none"/>
        </w:rPr>
        <w:t>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14:paraId="38848D56">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color w:val="auto"/>
          <w:szCs w:val="21"/>
          <w:highlight w:val="none"/>
          <w:lang w:val="en-US" w:eastAsia="zh-CN"/>
        </w:rPr>
        <w:t>标包2：</w:t>
      </w:r>
      <w:r>
        <w:rPr>
          <w:rFonts w:hint="eastAsia" w:ascii="宋体" w:hAnsi="宋体"/>
          <w:color w:val="auto"/>
          <w:szCs w:val="21"/>
          <w:highlight w:val="none"/>
        </w:rPr>
        <w:t>响应人拟派项目负责人须具备</w:t>
      </w:r>
      <w:r>
        <w:rPr>
          <w:rFonts w:ascii="宋体" w:hAnsi="宋体"/>
          <w:color w:val="auto"/>
          <w:szCs w:val="21"/>
          <w:highlight w:val="none"/>
          <w:u w:val="single"/>
        </w:rPr>
        <w:t xml:space="preserve"> </w:t>
      </w:r>
      <w:r>
        <w:rPr>
          <w:rFonts w:hint="eastAsia" w:ascii="宋体" w:hAnsi="宋体"/>
          <w:color w:val="auto"/>
          <w:szCs w:val="21"/>
          <w:highlight w:val="none"/>
          <w:u w:val="single"/>
        </w:rPr>
        <w:t>注册会计师证书</w:t>
      </w:r>
      <w:r>
        <w:rPr>
          <w:rFonts w:ascii="宋体" w:hAnsi="宋体"/>
          <w:color w:val="auto"/>
          <w:szCs w:val="21"/>
          <w:highlight w:val="none"/>
          <w:u w:val="single"/>
        </w:rPr>
        <w:t xml:space="preserve"> </w:t>
      </w:r>
      <w:r>
        <w:rPr>
          <w:rFonts w:hint="eastAsia" w:ascii="宋体" w:hAnsi="宋体"/>
          <w:color w:val="auto"/>
          <w:szCs w:val="21"/>
          <w:highlight w:val="none"/>
        </w:rPr>
        <w:t>。【提供</w:t>
      </w:r>
      <w:r>
        <w:rPr>
          <w:rFonts w:hint="eastAsia" w:ascii="宋体" w:hAnsi="宋体" w:eastAsia="宋体" w:cs="宋体"/>
          <w:b w:val="0"/>
          <w:bCs w:val="0"/>
          <w:color w:val="auto"/>
          <w:sz w:val="21"/>
          <w:szCs w:val="21"/>
          <w:highlight w:val="none"/>
          <w:u w:val="single"/>
        </w:rPr>
        <w:t>有效的相关</w:t>
      </w:r>
      <w:r>
        <w:rPr>
          <w:rFonts w:hint="eastAsia" w:ascii="宋体" w:hAnsi="宋体"/>
          <w:color w:val="auto"/>
          <w:szCs w:val="21"/>
          <w:highlight w:val="none"/>
        </w:rPr>
        <w:t>证书复印件</w:t>
      </w:r>
      <w:r>
        <w:rPr>
          <w:rFonts w:hint="eastAsia" w:ascii="宋体" w:hAnsi="宋体" w:eastAsia="宋体" w:cs="Times New Roman"/>
          <w:color w:val="auto"/>
          <w:szCs w:val="21"/>
          <w:highlight w:val="none"/>
        </w:rPr>
        <w:t>并提供社保部门出具的</w:t>
      </w:r>
      <w:r>
        <w:rPr>
          <w:rFonts w:hint="eastAsia" w:ascii="宋体" w:hAnsi="宋体" w:eastAsia="宋体" w:cs="Times New Roman"/>
          <w:color w:val="auto"/>
          <w:szCs w:val="21"/>
          <w:highlight w:val="none"/>
          <w:lang w:val="en-US" w:eastAsia="zh-CN"/>
        </w:rPr>
        <w:t>响应人</w:t>
      </w:r>
      <w:r>
        <w:rPr>
          <w:rFonts w:hint="eastAsia" w:ascii="宋体" w:hAnsi="宋体" w:eastAsia="宋体" w:cs="Times New Roman"/>
          <w:color w:val="auto"/>
          <w:szCs w:val="21"/>
          <w:highlight w:val="none"/>
        </w:rPr>
        <w:t>为其购买的</w:t>
      </w:r>
      <w:r>
        <w:rPr>
          <w:rFonts w:hint="eastAsia" w:ascii="宋体" w:hAnsi="宋体" w:eastAsia="宋体" w:cs="Times New Roman"/>
          <w:color w:val="auto"/>
          <w:szCs w:val="21"/>
          <w:highlight w:val="none"/>
          <w:lang w:val="en-US" w:eastAsia="zh-CN"/>
        </w:rPr>
        <w:t>投标截止前</w:t>
      </w:r>
      <w:r>
        <w:rPr>
          <w:rFonts w:hint="eastAsia" w:ascii="宋体" w:hAnsi="宋体" w:eastAsia="宋体" w:cs="Times New Roman"/>
          <w:color w:val="auto"/>
          <w:szCs w:val="21"/>
          <w:highlight w:val="none"/>
        </w:rPr>
        <w:t>近六个月内任意一个月的社会保险证明材料</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w:t>
      </w:r>
      <w:r>
        <w:rPr>
          <w:rFonts w:hint="eastAsia" w:ascii="宋体" w:hAnsi="宋体"/>
          <w:color w:val="auto"/>
          <w:szCs w:val="21"/>
          <w:highlight w:val="none"/>
        </w:rPr>
        <w:t>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14:paraId="28186D74">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响应人的单位负责人为同一人或者存在直接控股、管理关系的不同响应人，不得参加同一合同项下的采购活动。</w:t>
      </w:r>
    </w:p>
    <w:p w14:paraId="5944215D">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响应人参加采购活动前三年内，在经营活动中没有重大违法记录。【提供书面声明】</w:t>
      </w:r>
    </w:p>
    <w:p w14:paraId="67D10EB2">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响应人未被列入“信用中国”网站(www.creditchina.gov.cn)“记录失信被执行人或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或政府采购严重违法失信行为”记录名单。【以响应截止日当天在“信用中国”网站（www.creditchina.gov.cn）查询结果为准，如相关失信记录已失效，响应人需提供相关证明资料】</w:t>
      </w:r>
    </w:p>
    <w:p w14:paraId="5695D324">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未被列入东实集团及下属企业</w:t>
      </w:r>
      <w:r>
        <w:rPr>
          <w:rFonts w:hint="eastAsia" w:ascii="宋体" w:hAnsi="宋体"/>
          <w:color w:val="auto"/>
          <w:szCs w:val="21"/>
          <w:highlight w:val="none"/>
          <w:lang w:val="en-US" w:eastAsia="zh-CN"/>
        </w:rPr>
        <w:t>相关</w:t>
      </w:r>
      <w:r>
        <w:rPr>
          <w:rFonts w:hint="eastAsia" w:ascii="宋体" w:hAnsi="宋体"/>
          <w:color w:val="auto"/>
          <w:szCs w:val="21"/>
          <w:highlight w:val="none"/>
        </w:rPr>
        <w:t>领域黑名单。【以东莞实业投资控股集团有限公司发文（东实通〔2021〕44号）、（东实通〔2021〕98号）</w:t>
      </w:r>
      <w:r>
        <w:rPr>
          <w:rFonts w:hint="eastAsia" w:ascii="宋体" w:hAnsi="宋体"/>
          <w:color w:val="auto"/>
          <w:szCs w:val="21"/>
          <w:highlight w:val="none"/>
          <w:lang w:eastAsia="zh-CN"/>
        </w:rPr>
        <w:t>、</w:t>
      </w:r>
      <w:r>
        <w:rPr>
          <w:rFonts w:hint="default" w:ascii="宋体" w:hAnsi="宋体"/>
          <w:color w:val="auto"/>
          <w:szCs w:val="21"/>
          <w:highlight w:val="none"/>
          <w:lang w:eastAsia="zh-CN"/>
        </w:rPr>
        <w:t>（东实通〔2022〕75号）</w:t>
      </w:r>
      <w:r>
        <w:rPr>
          <w:rFonts w:hint="eastAsia" w:ascii="宋体" w:hAnsi="宋体"/>
          <w:color w:val="auto"/>
          <w:szCs w:val="21"/>
          <w:highlight w:val="none"/>
          <w:lang w:eastAsia="zh-CN"/>
        </w:rPr>
        <w:t>、</w:t>
      </w:r>
      <w:r>
        <w:rPr>
          <w:rFonts w:hint="default" w:ascii="宋体" w:hAnsi="宋体"/>
          <w:color w:val="auto"/>
          <w:szCs w:val="21"/>
          <w:highlight w:val="none"/>
          <w:lang w:eastAsia="zh-CN"/>
        </w:rPr>
        <w:t>（东实通〔2023〕37号）</w:t>
      </w:r>
      <w:r>
        <w:rPr>
          <w:rFonts w:hint="eastAsia" w:ascii="宋体" w:hAnsi="宋体"/>
          <w:color w:val="auto"/>
          <w:szCs w:val="21"/>
          <w:highlight w:val="none"/>
        </w:rPr>
        <w:t>为准</w:t>
      </w:r>
      <w:r>
        <w:rPr>
          <w:rFonts w:hint="default" w:ascii="宋体" w:hAnsi="宋体"/>
          <w:color w:val="auto"/>
          <w:szCs w:val="21"/>
          <w:highlight w:val="none"/>
          <w:lang w:eastAsia="zh-CN"/>
        </w:rPr>
        <w:t>，</w:t>
      </w:r>
      <w:r>
        <w:rPr>
          <w:rFonts w:hint="default" w:ascii="宋体" w:hAnsi="宋体"/>
          <w:color w:val="auto"/>
          <w:szCs w:val="21"/>
          <w:highlight w:val="none"/>
          <w:lang w:val="en-US" w:eastAsia="zh-CN"/>
        </w:rPr>
        <w:t>如有最新发文通知，按最新文件执行</w:t>
      </w:r>
      <w:r>
        <w:rPr>
          <w:rFonts w:hint="eastAsia" w:ascii="宋体" w:hAnsi="宋体"/>
          <w:color w:val="auto"/>
          <w:szCs w:val="21"/>
          <w:highlight w:val="none"/>
        </w:rPr>
        <w:t>】</w:t>
      </w:r>
    </w:p>
    <w:p w14:paraId="6CC138D0">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联合体响应。联合体响应的，应满足下列要求：</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E12E62">
      <w:pPr>
        <w:spacing w:line="360" w:lineRule="auto"/>
        <w:rPr>
          <w:rFonts w:ascii="黑体" w:eastAsia="黑体"/>
          <w:b/>
          <w:color w:val="auto"/>
          <w:sz w:val="28"/>
          <w:szCs w:val="28"/>
          <w:highlight w:val="none"/>
        </w:rPr>
      </w:pPr>
      <w:r>
        <w:rPr>
          <w:rFonts w:ascii="黑体" w:eastAsia="黑体"/>
          <w:b/>
          <w:color w:val="auto"/>
          <w:sz w:val="28"/>
          <w:szCs w:val="28"/>
          <w:highlight w:val="none"/>
        </w:rPr>
        <w:t>三、 竞争性谈判文件的获取</w:t>
      </w:r>
    </w:p>
    <w:p w14:paraId="3C57BDF7">
      <w:pPr>
        <w:pStyle w:val="107"/>
        <w:spacing w:line="360" w:lineRule="auto"/>
        <w:ind w:left="850" w:leftChars="208" w:hanging="413" w:hangingChars="197"/>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竞争性谈判文件获取时间：</w:t>
      </w:r>
      <w:r>
        <w:rPr>
          <w:rFonts w:hint="eastAsia"/>
          <w:color w:val="auto"/>
          <w:highlight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4</w:t>
      </w:r>
      <w:r>
        <w:rPr>
          <w:color w:val="auto"/>
          <w:highlight w:val="none"/>
          <w:u w:val="none"/>
        </w:rPr>
        <w:t>日至</w:t>
      </w:r>
      <w:r>
        <w:rPr>
          <w:rFonts w:hint="eastAsia"/>
          <w:color w:val="auto"/>
          <w:highlight w:val="none"/>
          <w:u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9</w:t>
      </w:r>
      <w:r>
        <w:rPr>
          <w:color w:val="auto"/>
          <w:highlight w:val="none"/>
          <w:u w:val="none"/>
        </w:rPr>
        <w:t>日。</w:t>
      </w:r>
    </w:p>
    <w:p w14:paraId="2816DF77">
      <w:pPr>
        <w:pStyle w:val="107"/>
        <w:spacing w:line="360" w:lineRule="auto"/>
        <w:ind w:left="850" w:leftChars="208" w:hanging="413" w:hangingChars="197"/>
        <w:rPr>
          <w:color w:val="auto"/>
          <w:highlight w:val="none"/>
        </w:rPr>
      </w:pPr>
      <w:r>
        <w:rPr>
          <w:rFonts w:hint="eastAsia" w:ascii="宋体" w:hAnsi="宋体"/>
          <w:color w:val="auto"/>
          <w:szCs w:val="21"/>
          <w:highlight w:val="none"/>
        </w:rPr>
        <w:t>3.2</w:t>
      </w:r>
      <w:r>
        <w:rPr>
          <w:color w:val="auto"/>
          <w:highlight w:val="none"/>
        </w:rPr>
        <w:t>竞争性谈判文件获取</w:t>
      </w:r>
      <w:r>
        <w:rPr>
          <w:rFonts w:hint="eastAsia"/>
          <w:color w:val="auto"/>
          <w:highlight w:val="none"/>
        </w:rPr>
        <w:t>地点</w:t>
      </w:r>
      <w:r>
        <w:rPr>
          <w:color w:val="auto"/>
          <w:highlight w:val="none"/>
        </w:rPr>
        <w:t>：</w:t>
      </w:r>
      <w:r>
        <w:rPr>
          <w:rFonts w:hint="eastAsia"/>
          <w:color w:val="auto"/>
          <w:highlight w:val="none"/>
          <w:u w:val="single"/>
        </w:rPr>
        <w:t>/</w:t>
      </w:r>
      <w:r>
        <w:rPr>
          <w:color w:val="auto"/>
          <w:highlight w:val="none"/>
        </w:rPr>
        <w:t>。</w:t>
      </w:r>
    </w:p>
    <w:p w14:paraId="635EAFB6">
      <w:pPr>
        <w:pStyle w:val="107"/>
        <w:spacing w:line="360" w:lineRule="auto"/>
        <w:ind w:left="850" w:leftChars="208" w:hanging="413" w:hangingChars="197"/>
        <w:rPr>
          <w:color w:val="auto"/>
          <w:highlight w:val="none"/>
        </w:rPr>
      </w:pPr>
      <w:r>
        <w:rPr>
          <w:rFonts w:hint="eastAsia" w:ascii="宋体" w:hAnsi="宋体"/>
          <w:color w:val="auto"/>
          <w:szCs w:val="21"/>
          <w:highlight w:val="none"/>
        </w:rPr>
        <w:t>3.3</w:t>
      </w:r>
      <w:r>
        <w:rPr>
          <w:rFonts w:ascii="宋体" w:hAnsi="宋体"/>
          <w:color w:val="auto"/>
          <w:szCs w:val="21"/>
          <w:highlight w:val="none"/>
        </w:rPr>
        <w:t>竞争性谈判文件</w:t>
      </w:r>
      <w:r>
        <w:rPr>
          <w:color w:val="auto"/>
          <w:highlight w:val="none"/>
        </w:rPr>
        <w:t>获取方式：</w:t>
      </w:r>
      <w:r>
        <w:rPr>
          <w:rFonts w:hint="eastAsia"/>
          <w:color w:val="auto"/>
          <w:highlight w:val="none"/>
          <w:u w:val="single"/>
        </w:rPr>
        <w:t>东莞实业投资控股集团有限公司网站（http://www.dgsy.com.cn/）—招标采购栏目</w:t>
      </w:r>
      <w:r>
        <w:rPr>
          <w:rFonts w:hint="eastAsia"/>
          <w:color w:val="auto"/>
          <w:highlight w:val="none"/>
        </w:rPr>
        <w:t>不记名免费下载</w:t>
      </w:r>
      <w:r>
        <w:rPr>
          <w:color w:val="auto"/>
          <w:highlight w:val="none"/>
        </w:rPr>
        <w:t>。</w:t>
      </w:r>
    </w:p>
    <w:p w14:paraId="096D6270">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四、 响应文件的递交 </w:t>
      </w:r>
    </w:p>
    <w:p w14:paraId="16A1F9B2">
      <w:pPr>
        <w:pStyle w:val="107"/>
        <w:spacing w:line="360" w:lineRule="auto"/>
        <w:ind w:left="850" w:leftChars="208" w:hanging="413" w:hangingChars="197"/>
        <w:rPr>
          <w:color w:val="auto"/>
          <w:highlight w:val="none"/>
        </w:rPr>
      </w:pPr>
      <w:r>
        <w:rPr>
          <w:rFonts w:hint="eastAsia" w:ascii="宋体" w:hAnsi="宋体"/>
          <w:color w:val="auto"/>
          <w:szCs w:val="21"/>
          <w:highlight w:val="none"/>
        </w:rPr>
        <w:t>4.1</w:t>
      </w:r>
      <w:r>
        <w:rPr>
          <w:color w:val="auto"/>
          <w:highlight w:val="none"/>
        </w:rPr>
        <w:t>响应文件递交的截止时间</w:t>
      </w:r>
      <w:r>
        <w:rPr>
          <w:color w:val="auto"/>
          <w:highlight w:val="none"/>
          <w:u w:val="none"/>
        </w:rPr>
        <w:t>为</w:t>
      </w:r>
      <w:r>
        <w:rPr>
          <w:rFonts w:hint="eastAsia"/>
          <w:color w:val="auto"/>
          <w:highlight w:val="none"/>
          <w:u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10</w:t>
      </w:r>
      <w:r>
        <w:rPr>
          <w:color w:val="auto"/>
          <w:highlight w:val="none"/>
          <w:u w:val="none"/>
        </w:rPr>
        <w:t>日</w:t>
      </w:r>
      <w:r>
        <w:rPr>
          <w:rFonts w:hint="eastAsia"/>
          <w:color w:val="auto"/>
          <w:highlight w:val="none"/>
          <w:u w:val="none"/>
          <w:lang w:val="en-US" w:eastAsia="zh-CN"/>
        </w:rPr>
        <w:t>09</w:t>
      </w:r>
      <w:r>
        <w:rPr>
          <w:color w:val="auto"/>
          <w:highlight w:val="none"/>
          <w:u w:val="none"/>
        </w:rPr>
        <w:t>时</w:t>
      </w:r>
      <w:r>
        <w:rPr>
          <w:rFonts w:hint="eastAsia"/>
          <w:color w:val="auto"/>
          <w:highlight w:val="none"/>
          <w:u w:val="none"/>
          <w:lang w:val="en-US" w:eastAsia="zh-CN"/>
        </w:rPr>
        <w:t>30</w:t>
      </w:r>
      <w:r>
        <w:rPr>
          <w:color w:val="auto"/>
          <w:highlight w:val="none"/>
          <w:u w:val="none"/>
        </w:rPr>
        <w:t>分</w:t>
      </w:r>
      <w:r>
        <w:rPr>
          <w:color w:val="auto"/>
          <w:highlight w:val="none"/>
        </w:rPr>
        <w:t>，递交地点为</w:t>
      </w:r>
      <w:r>
        <w:rPr>
          <w:color w:val="auto"/>
          <w:highlight w:val="none"/>
          <w:u w:val="single"/>
        </w:rPr>
        <w:t xml:space="preserve"> </w:t>
      </w:r>
      <w:r>
        <w:rPr>
          <w:rFonts w:hint="eastAsia"/>
          <w:color w:val="auto"/>
          <w:highlight w:val="none"/>
          <w:u w:val="single"/>
          <w:lang w:eastAsia="zh-CN"/>
        </w:rPr>
        <w:t>东莞市南城街道鸿福路199号（市民服务中心）411室</w:t>
      </w:r>
      <w:r>
        <w:rPr>
          <w:color w:val="auto"/>
          <w:highlight w:val="none"/>
          <w:u w:val="single"/>
        </w:rPr>
        <w:t xml:space="preserve"> </w:t>
      </w:r>
      <w:r>
        <w:rPr>
          <w:color w:val="auto"/>
          <w:highlight w:val="none"/>
        </w:rPr>
        <w:t>。</w:t>
      </w:r>
    </w:p>
    <w:p w14:paraId="111C5CDC">
      <w:pPr>
        <w:pStyle w:val="107"/>
        <w:spacing w:line="360" w:lineRule="auto"/>
        <w:ind w:left="850" w:leftChars="208" w:hanging="413" w:hangingChars="197"/>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出现以下情形时，采购人/采购代理机构不予接收响应文件：</w:t>
      </w:r>
    </w:p>
    <w:p w14:paraId="7242D2A8">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4.</w:t>
      </w:r>
      <w:r>
        <w:rPr>
          <w:rFonts w:ascii="宋体" w:hAnsi="宋体"/>
          <w:color w:val="auto"/>
          <w:highlight w:val="none"/>
        </w:rPr>
        <w:t>2</w:t>
      </w:r>
      <w:r>
        <w:rPr>
          <w:rFonts w:hint="eastAsia" w:ascii="宋体" w:hAnsi="宋体"/>
          <w:color w:val="auto"/>
          <w:highlight w:val="none"/>
        </w:rPr>
        <w:t>.1逾期送达或者未送达指定地点的；</w:t>
      </w:r>
    </w:p>
    <w:p w14:paraId="41BA1723">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4.</w:t>
      </w:r>
      <w:r>
        <w:rPr>
          <w:rFonts w:ascii="宋体" w:hAnsi="宋体"/>
          <w:color w:val="auto"/>
          <w:highlight w:val="none"/>
        </w:rPr>
        <w:t>2</w:t>
      </w:r>
      <w:r>
        <w:rPr>
          <w:rFonts w:hint="eastAsia" w:ascii="宋体" w:hAnsi="宋体"/>
          <w:color w:val="auto"/>
          <w:highlight w:val="none"/>
        </w:rPr>
        <w:t>.2未按竞争性谈判文件要求密封的。</w:t>
      </w:r>
    </w:p>
    <w:p w14:paraId="22A3A7D0">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五、 发布公告的媒介 </w:t>
      </w:r>
    </w:p>
    <w:p w14:paraId="60D1BE0A">
      <w:pPr>
        <w:spacing w:line="360" w:lineRule="auto"/>
        <w:ind w:left="-14" w:firstLine="640"/>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1.1</w:t>
      </w:r>
      <w:r>
        <w:rPr>
          <w:rFonts w:hint="eastAsia"/>
          <w:color w:val="auto"/>
          <w:highlight w:val="none"/>
          <w:lang w:val="en-US" w:eastAsia="zh-CN"/>
        </w:rPr>
        <w:t>竞争性谈判公告发布媒介：</w:t>
      </w:r>
      <w:r>
        <w:rPr>
          <w:rFonts w:hint="eastAsia"/>
          <w:color w:val="auto"/>
          <w:highlight w:val="none"/>
        </w:rPr>
        <w:t>东莞实业投资控股集团有限公司网站</w:t>
      </w:r>
      <w:r>
        <w:rPr>
          <w:color w:val="auto"/>
          <w:highlight w:val="none"/>
        </w:rPr>
        <w:t>（</w:t>
      </w:r>
      <w:r>
        <w:rPr>
          <w:rFonts w:hint="eastAsia"/>
          <w:color w:val="auto"/>
          <w:highlight w:val="none"/>
        </w:rPr>
        <w:t>网址：http://www.dgsy.com.cn/</w:t>
      </w:r>
      <w:r>
        <w:rPr>
          <w:color w:val="auto"/>
          <w:highlight w:val="none"/>
        </w:rPr>
        <w:t>）</w:t>
      </w:r>
      <w:r>
        <w:rPr>
          <w:rFonts w:hint="eastAsia" w:ascii="宋体" w:hAnsi="宋体"/>
          <w:color w:val="auto"/>
          <w:szCs w:val="21"/>
          <w:highlight w:val="none"/>
        </w:rPr>
        <w:t>、</w:t>
      </w:r>
      <w:r>
        <w:rPr>
          <w:color w:val="auto"/>
          <w:highlight w:val="none"/>
          <w:u w:val="single"/>
        </w:rPr>
        <w:t xml:space="preserve"> </w:t>
      </w:r>
      <w:r>
        <w:rPr>
          <w:rFonts w:hint="eastAsia"/>
          <w:color w:val="auto"/>
          <w:highlight w:val="none"/>
          <w:u w:val="single"/>
          <w:lang w:eastAsia="zh-CN"/>
        </w:rPr>
        <w:t>广东政通招标有限公司</w:t>
      </w:r>
      <w:r>
        <w:rPr>
          <w:rFonts w:hint="eastAsia"/>
          <w:color w:val="auto"/>
          <w:highlight w:val="none"/>
          <w:u w:val="single"/>
        </w:rPr>
        <w:t>网</w:t>
      </w:r>
      <w:r>
        <w:rPr>
          <w:rFonts w:hint="eastAsia"/>
          <w:color w:val="auto"/>
          <w:highlight w:val="none"/>
          <w:u w:val="single"/>
          <w:lang w:val="en-US" w:eastAsia="zh-CN"/>
        </w:rPr>
        <w:t xml:space="preserve"> </w:t>
      </w:r>
      <w:r>
        <w:rPr>
          <w:rFonts w:hint="eastAsia" w:ascii="宋体" w:hAnsi="宋体"/>
          <w:color w:val="auto"/>
          <w:szCs w:val="21"/>
          <w:highlight w:val="none"/>
        </w:rPr>
        <w:t>（网址：</w:t>
      </w:r>
      <w:r>
        <w:rPr>
          <w:color w:val="auto"/>
          <w:highlight w:val="none"/>
          <w:u w:val="single"/>
        </w:rPr>
        <w:t xml:space="preserve"> </w:t>
      </w:r>
      <w:r>
        <w:rPr>
          <w:rFonts w:hint="eastAsia"/>
          <w:color w:val="auto"/>
          <w:highlight w:val="none"/>
          <w:u w:val="single"/>
          <w:lang w:eastAsia="zh-CN"/>
        </w:rPr>
        <w:t>http://www.zttendering.com/</w:t>
      </w:r>
      <w:r>
        <w:rPr>
          <w:rFonts w:hint="eastAsia" w:ascii="宋体" w:hAnsi="宋体"/>
          <w:color w:val="auto"/>
          <w:szCs w:val="21"/>
          <w:highlight w:val="none"/>
        </w:rPr>
        <w:t>）</w:t>
      </w:r>
      <w:r>
        <w:rPr>
          <w:rFonts w:hint="eastAsia"/>
          <w:color w:val="auto"/>
          <w:highlight w:val="none"/>
        </w:rPr>
        <w:t>。</w:t>
      </w:r>
    </w:p>
    <w:p w14:paraId="6119B04E">
      <w:pPr>
        <w:spacing w:line="360" w:lineRule="auto"/>
        <w:ind w:left="-14" w:firstLine="640"/>
        <w:rPr>
          <w:rFonts w:hint="eastAsia" w:eastAsia="宋体"/>
          <w:color w:val="auto"/>
          <w:highlight w:val="none"/>
          <w:lang w:val="en-US" w:eastAsia="zh-CN"/>
        </w:rPr>
      </w:pPr>
      <w:r>
        <w:rPr>
          <w:rFonts w:hint="eastAsia" w:ascii="宋体" w:hAnsi="宋体"/>
          <w:color w:val="auto"/>
          <w:szCs w:val="21"/>
          <w:highlight w:val="none"/>
          <w:lang w:val="en-US" w:eastAsia="zh-CN"/>
        </w:rPr>
        <w:t xml:space="preserve">1.2 </w:t>
      </w:r>
      <w:r>
        <w:rPr>
          <w:rFonts w:hint="eastAsia"/>
          <w:color w:val="auto"/>
          <w:highlight w:val="none"/>
        </w:rPr>
        <w:t>成交候选人公示发布</w:t>
      </w:r>
      <w:r>
        <w:rPr>
          <w:rFonts w:hint="eastAsia"/>
          <w:color w:val="auto"/>
          <w:highlight w:val="none"/>
          <w:lang w:val="en-US" w:eastAsia="zh-CN"/>
        </w:rPr>
        <w:t>媒介：</w:t>
      </w:r>
      <w:r>
        <w:rPr>
          <w:rFonts w:hint="eastAsia"/>
          <w:color w:val="auto"/>
          <w:highlight w:val="none"/>
          <w:u w:val="single"/>
          <w:lang w:val="en-US" w:eastAsia="zh-CN"/>
        </w:rPr>
        <w:t>东莞实业投资控股集团有限公司-招标采购栏目（http://www.dgsy.com.cn/）</w:t>
      </w:r>
      <w:r>
        <w:rPr>
          <w:rFonts w:hint="eastAsia"/>
          <w:color w:val="auto"/>
          <w:highlight w:val="none"/>
          <w:lang w:val="en-US" w:eastAsia="zh-CN"/>
        </w:rPr>
        <w:t>。</w:t>
      </w:r>
    </w:p>
    <w:p w14:paraId="480F86C8">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六、 </w:t>
      </w:r>
      <w:r>
        <w:rPr>
          <w:rFonts w:hint="eastAsia" w:ascii="黑体" w:eastAsia="黑体"/>
          <w:b/>
          <w:color w:val="auto"/>
          <w:sz w:val="28"/>
          <w:szCs w:val="28"/>
          <w:highlight w:val="none"/>
        </w:rPr>
        <w:t>竞争性谈判保证金</w:t>
      </w:r>
      <w:r>
        <w:rPr>
          <w:rFonts w:ascii="黑体" w:eastAsia="黑体"/>
          <w:b/>
          <w:color w:val="auto"/>
          <w:sz w:val="28"/>
          <w:szCs w:val="28"/>
          <w:highlight w:val="none"/>
        </w:rPr>
        <w:t xml:space="preserve"> </w:t>
      </w:r>
    </w:p>
    <w:p w14:paraId="3C9DF934">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6.1.</w:t>
      </w:r>
      <w:r>
        <w:rPr>
          <w:rFonts w:ascii="宋体" w:hAnsi="宋体"/>
          <w:color w:val="auto"/>
          <w:highlight w:val="none"/>
        </w:rPr>
        <w:t>竞争性谈判</w:t>
      </w:r>
      <w:r>
        <w:rPr>
          <w:rFonts w:hint="eastAsia" w:ascii="宋体" w:hAnsi="宋体"/>
          <w:color w:val="auto"/>
          <w:highlight w:val="none"/>
        </w:rPr>
        <w:t>保证金金额：</w:t>
      </w:r>
      <w:r>
        <w:rPr>
          <w:rFonts w:hint="eastAsia" w:ascii="宋体" w:hAnsi="宋体"/>
          <w:color w:val="auto"/>
          <w:szCs w:val="21"/>
          <w:highlight w:val="none"/>
          <w:u w:val="single"/>
          <w:lang w:val="en-US" w:eastAsia="zh-CN"/>
        </w:rPr>
        <w:t>标包1: 1,200.00元； 标包2: 600.00元</w:t>
      </w:r>
      <w:r>
        <w:rPr>
          <w:rFonts w:ascii="宋体" w:hAnsi="宋体"/>
          <w:color w:val="auto"/>
          <w:highlight w:val="none"/>
        </w:rPr>
        <w:t>。</w:t>
      </w:r>
    </w:p>
    <w:p w14:paraId="50499CCC">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6.2.竞争性谈判保证金缴纳方式：银行转账或电汇。</w:t>
      </w:r>
    </w:p>
    <w:p w14:paraId="5ABB86E6">
      <w:pPr>
        <w:spacing w:line="360" w:lineRule="auto"/>
        <w:rPr>
          <w:rFonts w:ascii="黑体" w:eastAsia="黑体"/>
          <w:b/>
          <w:color w:val="auto"/>
          <w:sz w:val="28"/>
          <w:szCs w:val="28"/>
          <w:highlight w:val="none"/>
        </w:rPr>
      </w:pPr>
      <w:r>
        <w:rPr>
          <w:rFonts w:hint="eastAsia" w:ascii="黑体" w:eastAsia="黑体"/>
          <w:b/>
          <w:color w:val="auto"/>
          <w:sz w:val="28"/>
          <w:szCs w:val="28"/>
          <w:highlight w:val="none"/>
        </w:rPr>
        <w:t>七</w:t>
      </w:r>
      <w:r>
        <w:rPr>
          <w:rFonts w:ascii="黑体" w:eastAsia="黑体"/>
          <w:b/>
          <w:color w:val="auto"/>
          <w:sz w:val="28"/>
          <w:szCs w:val="28"/>
          <w:highlight w:val="none"/>
        </w:rPr>
        <w:t xml:space="preserve">、 联系方式 </w:t>
      </w:r>
    </w:p>
    <w:p w14:paraId="4732FD19">
      <w:pPr>
        <w:tabs>
          <w:tab w:val="left" w:pos="900"/>
          <w:tab w:val="left" w:pos="1262"/>
        </w:tabs>
        <w:spacing w:line="360" w:lineRule="auto"/>
        <w:ind w:left="142" w:firstLine="424" w:firstLineChars="202"/>
        <w:rPr>
          <w:rFonts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名称：</w:t>
      </w:r>
      <w:r>
        <w:rPr>
          <w:rFonts w:hint="eastAsia" w:ascii="宋体" w:hAnsi="宋体"/>
          <w:color w:val="auto"/>
          <w:szCs w:val="21"/>
          <w:highlight w:val="none"/>
        </w:rPr>
        <w:t>广东新网工程技术有限公司</w:t>
      </w:r>
    </w:p>
    <w:p w14:paraId="43CDDB60">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采购</w:t>
      </w:r>
      <w:r>
        <w:rPr>
          <w:rFonts w:hint="eastAsia" w:ascii="宋体" w:hAnsi="宋体"/>
          <w:color w:val="auto"/>
          <w:szCs w:val="21"/>
          <w:highlight w:val="none"/>
        </w:rPr>
        <w:t>人</w:t>
      </w:r>
      <w:r>
        <w:rPr>
          <w:rFonts w:ascii="宋体" w:hAnsi="宋体"/>
          <w:color w:val="auto"/>
          <w:szCs w:val="21"/>
          <w:highlight w:val="none"/>
        </w:rPr>
        <w:t>地址：</w:t>
      </w:r>
      <w:r>
        <w:rPr>
          <w:rFonts w:hint="eastAsia" w:ascii="宋体" w:hAnsi="宋体"/>
          <w:color w:val="auto"/>
          <w:szCs w:val="21"/>
          <w:highlight w:val="none"/>
        </w:rPr>
        <w:t>广东省东莞市南城街道中天商业街28号4栋5楼</w:t>
      </w:r>
    </w:p>
    <w:p w14:paraId="2D3BACA6">
      <w:pPr>
        <w:tabs>
          <w:tab w:val="left" w:pos="900"/>
          <w:tab w:val="left" w:pos="1262"/>
        </w:tabs>
        <w:spacing w:line="360" w:lineRule="auto"/>
        <w:ind w:left="142" w:firstLine="424" w:firstLineChars="202"/>
        <w:rPr>
          <w:rFonts w:hint="eastAsia" w:ascii="宋体" w:hAnsi="宋体" w:eastAsia="宋体"/>
          <w:color w:val="auto"/>
          <w:szCs w:val="21"/>
          <w:highlight w:val="none"/>
          <w:lang w:val="en-US" w:eastAsia="zh-CN"/>
        </w:rPr>
      </w:pPr>
      <w:r>
        <w:rPr>
          <w:rFonts w:ascii="宋体" w:hAnsi="宋体"/>
          <w:color w:val="auto"/>
          <w:szCs w:val="21"/>
          <w:highlight w:val="none"/>
        </w:rPr>
        <w:t>联系人：</w:t>
      </w:r>
      <w:r>
        <w:rPr>
          <w:rFonts w:hint="eastAsia" w:ascii="宋体" w:hAnsi="宋体"/>
          <w:color w:val="auto"/>
          <w:szCs w:val="21"/>
          <w:highlight w:val="none"/>
        </w:rPr>
        <w:t>周</w:t>
      </w:r>
      <w:r>
        <w:rPr>
          <w:rFonts w:hint="eastAsia" w:ascii="宋体" w:hAnsi="宋体"/>
          <w:color w:val="auto"/>
          <w:szCs w:val="21"/>
          <w:highlight w:val="none"/>
          <w:lang w:val="en-US" w:eastAsia="zh-CN"/>
        </w:rPr>
        <w:t>先生</w:t>
      </w:r>
    </w:p>
    <w:p w14:paraId="2EB8130C">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13416813494</w:t>
      </w:r>
    </w:p>
    <w:p w14:paraId="0525E8FE">
      <w:pPr>
        <w:tabs>
          <w:tab w:val="left" w:pos="900"/>
          <w:tab w:val="left" w:pos="1262"/>
        </w:tabs>
        <w:spacing w:line="360" w:lineRule="auto"/>
        <w:ind w:left="142" w:firstLine="424" w:firstLineChars="202"/>
        <w:rPr>
          <w:rFonts w:ascii="宋体" w:hAnsi="宋体"/>
          <w:color w:val="auto"/>
          <w:szCs w:val="21"/>
          <w:highlight w:val="none"/>
        </w:rPr>
      </w:pPr>
    </w:p>
    <w:p w14:paraId="5FFA9612">
      <w:pPr>
        <w:tabs>
          <w:tab w:val="left" w:pos="900"/>
          <w:tab w:val="left" w:pos="1262"/>
        </w:tabs>
        <w:spacing w:line="360" w:lineRule="auto"/>
        <w:ind w:left="142" w:firstLine="424" w:firstLineChars="202"/>
        <w:rPr>
          <w:rFonts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采购代理机构名称：</w:t>
      </w:r>
      <w:r>
        <w:rPr>
          <w:rFonts w:hint="eastAsia" w:ascii="宋体" w:hAnsi="宋体"/>
          <w:color w:val="auto"/>
          <w:szCs w:val="21"/>
          <w:highlight w:val="none"/>
          <w:lang w:eastAsia="zh-CN"/>
        </w:rPr>
        <w:t>广东政通招标有限公司</w:t>
      </w:r>
    </w:p>
    <w:p w14:paraId="5A40BB1A">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采购代理机构地址：</w:t>
      </w:r>
      <w:r>
        <w:rPr>
          <w:rFonts w:hint="eastAsia" w:ascii="宋体" w:hAnsi="宋体"/>
          <w:color w:val="auto"/>
          <w:szCs w:val="21"/>
          <w:highlight w:val="none"/>
          <w:lang w:eastAsia="zh-CN"/>
        </w:rPr>
        <w:t>东莞市南城街道鸿福路199号（市民服务中心）411室</w:t>
      </w:r>
      <w:r>
        <w:rPr>
          <w:rFonts w:ascii="宋体" w:hAnsi="宋体"/>
          <w:color w:val="auto"/>
          <w:szCs w:val="21"/>
          <w:highlight w:val="none"/>
        </w:rPr>
        <w:t xml:space="preserve">  </w:t>
      </w:r>
    </w:p>
    <w:p w14:paraId="1B4D1DDB">
      <w:pPr>
        <w:tabs>
          <w:tab w:val="left" w:pos="900"/>
          <w:tab w:val="left" w:pos="1262"/>
        </w:tabs>
        <w:spacing w:line="360" w:lineRule="auto"/>
        <w:ind w:left="142" w:firstLine="424" w:firstLineChars="202"/>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eastAsia="zh-CN"/>
        </w:rPr>
        <w:t>杨先生</w:t>
      </w:r>
    </w:p>
    <w:p w14:paraId="1BB0325F">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lang w:eastAsia="zh-CN"/>
        </w:rPr>
        <w:t>0769-22881803</w:t>
      </w:r>
      <w:r>
        <w:rPr>
          <w:rFonts w:ascii="宋体" w:hAnsi="宋体"/>
          <w:color w:val="auto"/>
          <w:szCs w:val="21"/>
          <w:highlight w:val="none"/>
        </w:rPr>
        <w:t xml:space="preserve">  </w:t>
      </w:r>
    </w:p>
    <w:p w14:paraId="44AA10F2">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电子邮件：</w:t>
      </w:r>
      <w:r>
        <w:rPr>
          <w:rFonts w:hint="eastAsia" w:ascii="宋体" w:hAnsi="宋体"/>
          <w:color w:val="auto"/>
          <w:szCs w:val="21"/>
          <w:highlight w:val="none"/>
          <w:lang w:eastAsia="zh-CN"/>
        </w:rPr>
        <w:t>471539976@qq.com</w:t>
      </w:r>
      <w:r>
        <w:rPr>
          <w:rFonts w:ascii="宋体" w:hAnsi="宋体"/>
          <w:color w:val="auto"/>
          <w:szCs w:val="21"/>
          <w:highlight w:val="none"/>
        </w:rPr>
        <w:t xml:space="preserve">  </w:t>
      </w:r>
    </w:p>
    <w:p w14:paraId="40500822">
      <w:pPr>
        <w:tabs>
          <w:tab w:val="left" w:pos="900"/>
          <w:tab w:val="left" w:pos="1262"/>
        </w:tabs>
        <w:spacing w:line="360" w:lineRule="auto"/>
        <w:jc w:val="right"/>
        <w:rPr>
          <w:rFonts w:hint="eastAsia"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广东新网工程技术有限公司</w:t>
      </w:r>
    </w:p>
    <w:p w14:paraId="734977DE">
      <w:pPr>
        <w:tabs>
          <w:tab w:val="left" w:pos="900"/>
          <w:tab w:val="left" w:pos="1262"/>
        </w:tabs>
        <w:spacing w:line="360" w:lineRule="auto"/>
        <w:jc w:val="right"/>
        <w:rPr>
          <w:rFonts w:hint="eastAsia" w:ascii="宋体" w:hAnsi="宋体" w:eastAsia="宋体"/>
          <w:color w:val="auto"/>
          <w:szCs w:val="21"/>
          <w:highlight w:val="none"/>
          <w:lang w:eastAsia="zh-CN"/>
        </w:rPr>
      </w:pPr>
      <w:r>
        <w:rPr>
          <w:rFonts w:ascii="宋体" w:hAnsi="宋体"/>
          <w:color w:val="auto"/>
          <w:szCs w:val="21"/>
          <w:highlight w:val="none"/>
        </w:rPr>
        <w:t>采购代理机构：</w:t>
      </w:r>
      <w:r>
        <w:rPr>
          <w:rFonts w:hint="eastAsia" w:ascii="宋体" w:hAnsi="宋体"/>
          <w:color w:val="auto"/>
          <w:szCs w:val="21"/>
          <w:highlight w:val="none"/>
          <w:lang w:eastAsia="zh-CN"/>
        </w:rPr>
        <w:t>广东政通招标有限公司</w:t>
      </w:r>
    </w:p>
    <w:p w14:paraId="24AB9513">
      <w:pPr>
        <w:tabs>
          <w:tab w:val="left" w:pos="900"/>
          <w:tab w:val="left" w:pos="1262"/>
        </w:tabs>
        <w:wordWrap w:val="0"/>
        <w:spacing w:line="360" w:lineRule="auto"/>
        <w:ind w:left="142" w:firstLine="424" w:firstLineChars="202"/>
        <w:jc w:val="right"/>
        <w:rPr>
          <w:rFonts w:ascii="黑体" w:eastAsia="黑体"/>
          <w:b/>
          <w:color w:val="auto"/>
          <w:sz w:val="28"/>
          <w:szCs w:val="28"/>
          <w:highlight w:val="none"/>
        </w:rPr>
      </w:pPr>
      <w:r>
        <w:rPr>
          <w:rFonts w:hint="eastAsia" w:ascii="宋体" w:hAnsi="宋体"/>
          <w:color w:val="auto"/>
          <w:szCs w:val="21"/>
          <w:highlight w:val="none"/>
        </w:rPr>
        <w:t xml:space="preserve">                                 </w:t>
      </w:r>
      <w:r>
        <w:rPr>
          <w:rFonts w:ascii="宋体" w:hAnsi="宋体"/>
          <w:color w:val="auto"/>
          <w:szCs w:val="21"/>
          <w:highlight w:val="none"/>
          <w:u w:val="none"/>
        </w:rPr>
        <w:t>日期：</w:t>
      </w:r>
      <w:r>
        <w:rPr>
          <w:rFonts w:hint="eastAsia" w:ascii="宋体" w:hAnsi="宋体"/>
          <w:color w:val="auto"/>
          <w:szCs w:val="21"/>
          <w:highlight w:val="none"/>
          <w:u w:val="none"/>
          <w:lang w:val="en-US" w:eastAsia="zh-CN"/>
        </w:rPr>
        <w:t>2026</w:t>
      </w:r>
      <w:r>
        <w:rPr>
          <w:rFonts w:ascii="宋体" w:hAnsi="宋体"/>
          <w:color w:val="auto"/>
          <w:szCs w:val="21"/>
          <w:highlight w:val="none"/>
          <w:u w:val="none"/>
        </w:rPr>
        <w:t>年</w:t>
      </w:r>
      <w:r>
        <w:rPr>
          <w:rFonts w:hint="eastAsia" w:ascii="宋体" w:hAnsi="宋体"/>
          <w:color w:val="auto"/>
          <w:szCs w:val="21"/>
          <w:highlight w:val="none"/>
          <w:u w:val="none"/>
          <w:lang w:val="en-US" w:eastAsia="zh-CN"/>
        </w:rPr>
        <w:t>6</w:t>
      </w:r>
      <w:r>
        <w:rPr>
          <w:rFonts w:ascii="宋体" w:hAnsi="宋体"/>
          <w:color w:val="auto"/>
          <w:szCs w:val="21"/>
          <w:highlight w:val="none"/>
          <w:u w:val="none"/>
        </w:rPr>
        <w:t>月</w:t>
      </w:r>
      <w:r>
        <w:rPr>
          <w:rFonts w:hint="eastAsia" w:ascii="宋体" w:hAnsi="宋体"/>
          <w:color w:val="auto"/>
          <w:szCs w:val="21"/>
          <w:highlight w:val="none"/>
          <w:u w:val="none"/>
          <w:lang w:val="en-US" w:eastAsia="zh-CN"/>
        </w:rPr>
        <w:t>4</w:t>
      </w:r>
      <w:r>
        <w:rPr>
          <w:rFonts w:ascii="宋体" w:hAnsi="宋体"/>
          <w:color w:val="auto"/>
          <w:szCs w:val="21"/>
          <w:highlight w:val="none"/>
          <w:u w:val="none"/>
        </w:rPr>
        <w:t>日</w:t>
      </w:r>
    </w:p>
    <w:bookmarkEnd w:id="0"/>
    <w:bookmarkEnd w:id="1"/>
    <w:p w14:paraId="76E3F9C0">
      <w:pPr>
        <w:rPr>
          <w:rFonts w:hint="eastAsia" w:ascii="宋体" w:hAnsi="宋体" w:eastAsia="宋体" w:cs="宋体"/>
          <w:b/>
          <w:color w:val="auto"/>
          <w:kern w:val="0"/>
          <w:sz w:val="28"/>
          <w:szCs w:val="28"/>
          <w:highlight w:val="none"/>
        </w:rPr>
      </w:pPr>
      <w:bookmarkStart w:id="4" w:name="_Toc29650"/>
      <w:bookmarkStart w:id="5" w:name="_Toc456551874"/>
      <w:r>
        <w:rPr>
          <w:rFonts w:hint="eastAsia" w:ascii="宋体" w:hAnsi="宋体" w:eastAsia="宋体" w:cs="宋体"/>
          <w:b/>
          <w:color w:val="auto"/>
          <w:kern w:val="0"/>
          <w:sz w:val="28"/>
          <w:szCs w:val="28"/>
          <w:highlight w:val="none"/>
        </w:rPr>
        <w:br w:type="page"/>
      </w:r>
    </w:p>
    <w:p w14:paraId="275BF33F">
      <w:pPr>
        <w:pStyle w:val="7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第二章 竞争性谈判响应须知</w:t>
      </w:r>
      <w:bookmarkEnd w:id="4"/>
      <w:bookmarkEnd w:id="5"/>
    </w:p>
    <w:p w14:paraId="019D4D7A">
      <w:pPr>
        <w:pStyle w:val="5"/>
        <w:spacing w:line="240" w:lineRule="auto"/>
        <w:jc w:val="left"/>
        <w:rPr>
          <w:color w:val="auto"/>
          <w:sz w:val="28"/>
          <w:szCs w:val="28"/>
          <w:highlight w:val="none"/>
        </w:rPr>
      </w:pPr>
      <w:bookmarkStart w:id="6" w:name="_Toc456551875"/>
      <w:bookmarkStart w:id="7" w:name="_Toc5931"/>
      <w:r>
        <w:rPr>
          <w:rFonts w:hint="eastAsia"/>
          <w:color w:val="auto"/>
          <w:sz w:val="28"/>
          <w:szCs w:val="28"/>
          <w:highlight w:val="none"/>
        </w:rPr>
        <w:t>竞争性谈判响应须知前附表</w:t>
      </w:r>
      <w:bookmarkEnd w:id="6"/>
      <w:bookmarkEnd w:id="7"/>
    </w:p>
    <w:p w14:paraId="3D0EF7E5">
      <w:pPr>
        <w:spacing w:line="440" w:lineRule="exact"/>
        <w:ind w:right="-340" w:rightChars="-162"/>
        <w:jc w:val="left"/>
        <w:rPr>
          <w:color w:val="auto"/>
          <w:szCs w:val="21"/>
          <w:highlight w:val="none"/>
        </w:rPr>
      </w:pPr>
      <w:r>
        <w:rPr>
          <w:rFonts w:hint="eastAsia"/>
          <w:color w:val="auto"/>
          <w:szCs w:val="21"/>
          <w:highlight w:val="none"/>
        </w:rPr>
        <w:t>本竞争性谈判响应须知前附表是对竞争性谈判响应须知正文的具体补充和修改，如有矛盾，以本前附表为准。</w:t>
      </w:r>
    </w:p>
    <w:tbl>
      <w:tblPr>
        <w:tblStyle w:val="38"/>
        <w:tblW w:w="8931" w:type="dxa"/>
        <w:tblInd w:w="-176" w:type="dxa"/>
        <w:tblLayout w:type="fixed"/>
        <w:tblCellMar>
          <w:top w:w="0" w:type="dxa"/>
          <w:left w:w="108" w:type="dxa"/>
          <w:bottom w:w="0" w:type="dxa"/>
          <w:right w:w="108" w:type="dxa"/>
        </w:tblCellMar>
      </w:tblPr>
      <w:tblGrid>
        <w:gridCol w:w="993"/>
        <w:gridCol w:w="1843"/>
        <w:gridCol w:w="6095"/>
      </w:tblGrid>
      <w:tr w14:paraId="03A8D2D7">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927D339">
            <w:pPr>
              <w:jc w:val="center"/>
              <w:rPr>
                <w:b/>
                <w:color w:val="auto"/>
                <w:szCs w:val="21"/>
                <w:highlight w:val="none"/>
              </w:rPr>
            </w:pPr>
            <w:r>
              <w:rPr>
                <w:b/>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032BBB80">
            <w:pPr>
              <w:jc w:val="center"/>
              <w:rPr>
                <w:b/>
                <w:color w:val="auto"/>
                <w:szCs w:val="21"/>
                <w:highlight w:val="none"/>
              </w:rPr>
            </w:pPr>
            <w:r>
              <w:rPr>
                <w:b/>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14:paraId="2BB35947">
            <w:pPr>
              <w:jc w:val="center"/>
              <w:rPr>
                <w:b/>
                <w:color w:val="auto"/>
                <w:szCs w:val="21"/>
                <w:highlight w:val="none"/>
              </w:rPr>
            </w:pPr>
            <w:r>
              <w:rPr>
                <w:b/>
                <w:color w:val="auto"/>
                <w:szCs w:val="21"/>
                <w:highlight w:val="none"/>
              </w:rPr>
              <w:t>编  列  内  容</w:t>
            </w:r>
          </w:p>
        </w:tc>
      </w:tr>
      <w:tr w14:paraId="35B5CE22">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736B9D7">
            <w:pPr>
              <w:jc w:val="center"/>
              <w:rPr>
                <w:color w:val="auto"/>
                <w:szCs w:val="21"/>
                <w:highlight w:val="none"/>
              </w:rPr>
            </w:pPr>
            <w:r>
              <w:rPr>
                <w:rFonts w:hint="eastAsia"/>
                <w:color w:val="auto"/>
                <w:szCs w:val="21"/>
                <w:highlight w:val="none"/>
              </w:rPr>
              <w:t>1.1.5</w:t>
            </w:r>
          </w:p>
        </w:tc>
        <w:tc>
          <w:tcPr>
            <w:tcW w:w="1843" w:type="dxa"/>
            <w:tcBorders>
              <w:top w:val="single" w:color="auto" w:sz="4" w:space="0"/>
              <w:left w:val="single" w:color="auto" w:sz="4" w:space="0"/>
              <w:bottom w:val="single" w:color="auto" w:sz="4" w:space="0"/>
              <w:right w:val="single" w:color="auto" w:sz="4" w:space="0"/>
            </w:tcBorders>
            <w:vAlign w:val="center"/>
          </w:tcPr>
          <w:p w14:paraId="5CF66432">
            <w:pPr>
              <w:jc w:val="left"/>
              <w:rPr>
                <w:color w:val="auto"/>
                <w:szCs w:val="21"/>
                <w:highlight w:val="none"/>
              </w:rPr>
            </w:pPr>
            <w:r>
              <w:rPr>
                <w:rFonts w:hint="eastAsia"/>
                <w:color w:val="auto"/>
                <w:highlight w:val="none"/>
              </w:rPr>
              <w:t>项目承包方式</w:t>
            </w:r>
          </w:p>
        </w:tc>
        <w:tc>
          <w:tcPr>
            <w:tcW w:w="6095" w:type="dxa"/>
            <w:tcBorders>
              <w:top w:val="single" w:color="auto" w:sz="4" w:space="0"/>
              <w:left w:val="single" w:color="auto" w:sz="4" w:space="0"/>
              <w:bottom w:val="single" w:color="auto" w:sz="4" w:space="0"/>
              <w:right w:val="single" w:color="auto" w:sz="4" w:space="0"/>
            </w:tcBorders>
            <w:vAlign w:val="center"/>
          </w:tcPr>
          <w:p w14:paraId="77C7907E">
            <w:pPr>
              <w:autoSpaceDE w:val="0"/>
              <w:autoSpaceDN w:val="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固定总价包干</w:t>
            </w:r>
          </w:p>
          <w:p w14:paraId="511B2AF3">
            <w:pPr>
              <w:autoSpaceDE w:val="0"/>
              <w:autoSpaceDN w:val="0"/>
              <w:rPr>
                <w:rFonts w:ascii="宋体" w:hAnsi="宋体"/>
                <w:color w:val="auto"/>
                <w:szCs w:val="21"/>
                <w:highlight w:val="none"/>
              </w:rPr>
            </w:pPr>
            <w:r>
              <w:rPr>
                <w:rFonts w:hint="eastAsia" w:ascii="宋体" w:hAnsi="宋体"/>
                <w:color w:val="auto"/>
                <w:szCs w:val="21"/>
                <w:highlight w:val="none"/>
              </w:rPr>
              <w:t>□固定单价暂定总价包干</w:t>
            </w:r>
          </w:p>
          <w:p w14:paraId="245B0E19">
            <w:pPr>
              <w:autoSpaceDE w:val="0"/>
              <w:autoSpaceDN w:val="0"/>
              <w:rPr>
                <w:rFonts w:ascii="宋体" w:hAnsi="宋体"/>
                <w:color w:val="auto"/>
                <w:szCs w:val="21"/>
                <w:highlight w:val="none"/>
              </w:rPr>
            </w:pPr>
            <w:r>
              <w:rPr>
                <w:rFonts w:hint="eastAsia" w:ascii="宋体" w:hAnsi="宋体"/>
                <w:color w:val="auto"/>
                <w:szCs w:val="21"/>
                <w:highlight w:val="none"/>
              </w:rPr>
              <w:t>□其他，</w:t>
            </w:r>
            <w:r>
              <w:rPr>
                <w:rFonts w:hint="eastAsia" w:ascii="宋体" w:hAnsi="宋体"/>
                <w:color w:val="auto"/>
                <w:szCs w:val="21"/>
                <w:highlight w:val="none"/>
                <w:u w:val="single"/>
              </w:rPr>
              <w:t xml:space="preserve">             </w:t>
            </w:r>
          </w:p>
        </w:tc>
      </w:tr>
      <w:tr w14:paraId="1F5827E2">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3599420C">
            <w:pPr>
              <w:jc w:val="center"/>
              <w:rPr>
                <w:color w:val="auto"/>
                <w:szCs w:val="21"/>
                <w:highlight w:val="none"/>
              </w:rPr>
            </w:pPr>
            <w:r>
              <w:rPr>
                <w:color w:val="auto"/>
                <w:szCs w:val="21"/>
                <w:highlight w:val="none"/>
              </w:rPr>
              <w:t>1.2</w:t>
            </w:r>
          </w:p>
        </w:tc>
        <w:tc>
          <w:tcPr>
            <w:tcW w:w="1843" w:type="dxa"/>
            <w:tcBorders>
              <w:top w:val="single" w:color="auto" w:sz="4" w:space="0"/>
              <w:left w:val="single" w:color="auto" w:sz="4" w:space="0"/>
              <w:bottom w:val="single" w:color="auto" w:sz="4" w:space="0"/>
              <w:right w:val="single" w:color="auto" w:sz="4" w:space="0"/>
            </w:tcBorders>
            <w:vAlign w:val="center"/>
          </w:tcPr>
          <w:p w14:paraId="57E20A86">
            <w:pPr>
              <w:jc w:val="left"/>
              <w:rPr>
                <w:color w:val="auto"/>
                <w:szCs w:val="21"/>
                <w:highlight w:val="none"/>
              </w:rPr>
            </w:pPr>
            <w:r>
              <w:rPr>
                <w:color w:val="auto"/>
                <w:szCs w:val="21"/>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14:paraId="2228C8CA">
            <w:pPr>
              <w:autoSpaceDE w:val="0"/>
              <w:autoSpaceDN w:val="0"/>
              <w:rPr>
                <w:rFonts w:ascii="宋体" w:hAnsi="宋体" w:cs="宋体"/>
                <w:color w:val="auto"/>
                <w:szCs w:val="21"/>
                <w:highlight w:val="none"/>
              </w:rPr>
            </w:pPr>
            <w:r>
              <w:rPr>
                <w:rFonts w:hint="eastAsia" w:ascii="宋体" w:hAnsi="宋体" w:cs="宋体"/>
                <w:color w:val="auto"/>
                <w:szCs w:val="21"/>
                <w:highlight w:val="none"/>
              </w:rPr>
              <w:t>企业自筹</w:t>
            </w:r>
          </w:p>
        </w:tc>
      </w:tr>
      <w:tr w14:paraId="5919B1F7">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54537BA3">
            <w:pPr>
              <w:jc w:val="center"/>
              <w:rPr>
                <w:color w:val="auto"/>
                <w:szCs w:val="21"/>
                <w:highlight w:val="none"/>
              </w:rPr>
            </w:pPr>
            <w:r>
              <w:rPr>
                <w:rFonts w:hint="eastAsia"/>
                <w:color w:val="auto"/>
                <w:szCs w:val="21"/>
                <w:highlight w:val="none"/>
              </w:rPr>
              <w:t>1.3.5</w:t>
            </w:r>
          </w:p>
        </w:tc>
        <w:tc>
          <w:tcPr>
            <w:tcW w:w="1843" w:type="dxa"/>
            <w:tcBorders>
              <w:top w:val="single" w:color="auto" w:sz="4" w:space="0"/>
              <w:left w:val="single" w:color="auto" w:sz="4" w:space="0"/>
              <w:bottom w:val="single" w:color="auto" w:sz="4" w:space="0"/>
              <w:right w:val="single" w:color="auto" w:sz="4" w:space="0"/>
            </w:tcBorders>
            <w:vAlign w:val="center"/>
          </w:tcPr>
          <w:p w14:paraId="72BCB530">
            <w:pPr>
              <w:jc w:val="left"/>
              <w:rPr>
                <w:color w:val="auto"/>
                <w:szCs w:val="21"/>
                <w:highlight w:val="none"/>
              </w:rPr>
            </w:pPr>
            <w:r>
              <w:rPr>
                <w:rFonts w:hint="eastAsia"/>
                <w:color w:val="auto"/>
                <w:szCs w:val="21"/>
                <w:highlight w:val="none"/>
              </w:rPr>
              <w:t>质量要求</w:t>
            </w:r>
          </w:p>
        </w:tc>
        <w:tc>
          <w:tcPr>
            <w:tcW w:w="6095" w:type="dxa"/>
            <w:tcBorders>
              <w:top w:val="single" w:color="auto" w:sz="4" w:space="0"/>
              <w:left w:val="single" w:color="auto" w:sz="4" w:space="0"/>
              <w:bottom w:val="single" w:color="auto" w:sz="4" w:space="0"/>
              <w:right w:val="single" w:color="auto" w:sz="4" w:space="0"/>
            </w:tcBorders>
            <w:vAlign w:val="center"/>
          </w:tcPr>
          <w:p w14:paraId="3F81048A">
            <w:pPr>
              <w:autoSpaceDE w:val="0"/>
              <w:autoSpaceDN w:val="0"/>
              <w:rPr>
                <w:rFonts w:ascii="宋体" w:hAnsi="宋体" w:cs="宋体"/>
                <w:color w:val="auto"/>
                <w:szCs w:val="21"/>
                <w:highlight w:val="none"/>
              </w:rPr>
            </w:pPr>
            <w:r>
              <w:rPr>
                <w:rFonts w:hint="eastAsia" w:ascii="宋体" w:hAnsi="宋体" w:cs="宋体"/>
                <w:color w:val="auto"/>
                <w:szCs w:val="21"/>
                <w:highlight w:val="none"/>
              </w:rPr>
              <w:t>达到国家或行业质量检验评定的合格标准</w:t>
            </w:r>
          </w:p>
        </w:tc>
      </w:tr>
      <w:tr w14:paraId="6E7453AB">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24AE9E6">
            <w:pPr>
              <w:jc w:val="center"/>
              <w:rPr>
                <w:color w:val="auto"/>
                <w:szCs w:val="21"/>
                <w:highlight w:val="none"/>
              </w:rPr>
            </w:pPr>
            <w:r>
              <w:rPr>
                <w:rFonts w:hint="eastAsia"/>
                <w:color w:val="auto"/>
                <w:szCs w:val="21"/>
                <w:highlight w:val="none"/>
              </w:rPr>
              <w:t>1.6.3</w:t>
            </w:r>
          </w:p>
        </w:tc>
        <w:tc>
          <w:tcPr>
            <w:tcW w:w="1843" w:type="dxa"/>
            <w:tcBorders>
              <w:top w:val="single" w:color="auto" w:sz="4" w:space="0"/>
              <w:left w:val="single" w:color="auto" w:sz="4" w:space="0"/>
              <w:bottom w:val="single" w:color="auto" w:sz="4" w:space="0"/>
              <w:right w:val="single" w:color="auto" w:sz="4" w:space="0"/>
            </w:tcBorders>
            <w:vAlign w:val="center"/>
          </w:tcPr>
          <w:p w14:paraId="790C9B01">
            <w:pPr>
              <w:jc w:val="left"/>
              <w:rPr>
                <w:color w:val="auto"/>
                <w:szCs w:val="21"/>
                <w:highlight w:val="none"/>
              </w:rPr>
            </w:pPr>
            <w:r>
              <w:rPr>
                <w:rFonts w:hint="eastAsia"/>
                <w:color w:val="auto"/>
                <w:szCs w:val="21"/>
                <w:highlight w:val="none"/>
              </w:rPr>
              <w:t>联合体响应</w:t>
            </w:r>
          </w:p>
        </w:tc>
        <w:tc>
          <w:tcPr>
            <w:tcW w:w="6095" w:type="dxa"/>
            <w:tcBorders>
              <w:top w:val="single" w:color="auto" w:sz="4" w:space="0"/>
              <w:left w:val="single" w:color="auto" w:sz="4" w:space="0"/>
              <w:bottom w:val="single" w:color="auto" w:sz="4" w:space="0"/>
              <w:right w:val="single" w:color="auto" w:sz="4" w:space="0"/>
            </w:tcBorders>
            <w:vAlign w:val="center"/>
          </w:tcPr>
          <w:p w14:paraId="5805043E">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不接受</w:t>
            </w:r>
          </w:p>
          <w:p w14:paraId="29A50F31">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接受，</w:t>
            </w:r>
            <w:r>
              <w:rPr>
                <w:rFonts w:hint="eastAsia" w:ascii="宋体" w:hAnsi="宋体"/>
                <w:color w:val="auto"/>
                <w:szCs w:val="21"/>
                <w:highlight w:val="none"/>
              </w:rPr>
              <w:t>联合体响应的，应满足下列要求：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21185387">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9F0748C">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843" w:type="dxa"/>
            <w:tcBorders>
              <w:top w:val="single" w:color="auto" w:sz="4" w:space="0"/>
              <w:left w:val="single" w:color="auto" w:sz="4" w:space="0"/>
              <w:bottom w:val="single" w:color="auto" w:sz="4" w:space="0"/>
              <w:right w:val="single" w:color="auto" w:sz="4" w:space="0"/>
            </w:tcBorders>
            <w:vAlign w:val="center"/>
          </w:tcPr>
          <w:p w14:paraId="718F0BCB">
            <w:pPr>
              <w:jc w:val="left"/>
              <w:rPr>
                <w:rFonts w:ascii="宋体" w:hAnsi="宋体" w:cs="宋体"/>
                <w:color w:val="auto"/>
                <w:szCs w:val="21"/>
                <w:highlight w:val="none"/>
              </w:rPr>
            </w:pPr>
            <w:r>
              <w:rPr>
                <w:rFonts w:hint="eastAsia" w:ascii="宋体" w:hAnsi="宋体" w:cs="宋体"/>
                <w:color w:val="auto"/>
                <w:szCs w:val="21"/>
                <w:highlight w:val="none"/>
              </w:rPr>
              <w:t>踏勘现场</w:t>
            </w:r>
          </w:p>
        </w:tc>
        <w:tc>
          <w:tcPr>
            <w:tcW w:w="6095" w:type="dxa"/>
            <w:tcBorders>
              <w:top w:val="single" w:color="auto" w:sz="4" w:space="0"/>
              <w:left w:val="single" w:color="auto" w:sz="4" w:space="0"/>
              <w:bottom w:val="single" w:color="auto" w:sz="4" w:space="0"/>
              <w:right w:val="single" w:color="auto" w:sz="4" w:space="0"/>
            </w:tcBorders>
            <w:vAlign w:val="center"/>
          </w:tcPr>
          <w:p w14:paraId="0123E6F1">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不组织</w:t>
            </w:r>
          </w:p>
          <w:p w14:paraId="178F26FC">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组织，踏勘现场时间、地点：</w:t>
            </w:r>
            <w:r>
              <w:rPr>
                <w:rFonts w:hint="eastAsia" w:ascii="宋体" w:hAnsi="宋体" w:cs="宋体"/>
                <w:color w:val="auto"/>
                <w:szCs w:val="21"/>
                <w:highlight w:val="none"/>
                <w:u w:val="single"/>
              </w:rPr>
              <w:t xml:space="preserve">                         </w:t>
            </w:r>
          </w:p>
        </w:tc>
      </w:tr>
      <w:tr w14:paraId="3A0E6D34">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14E8D475">
            <w:pPr>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843" w:type="dxa"/>
            <w:tcBorders>
              <w:top w:val="single" w:color="auto" w:sz="4" w:space="0"/>
              <w:left w:val="single" w:color="auto" w:sz="4" w:space="0"/>
              <w:bottom w:val="single" w:color="auto" w:sz="4" w:space="0"/>
              <w:right w:val="single" w:color="auto" w:sz="4" w:space="0"/>
            </w:tcBorders>
            <w:vAlign w:val="center"/>
          </w:tcPr>
          <w:p w14:paraId="54E7A784">
            <w:pPr>
              <w:jc w:val="left"/>
              <w:rPr>
                <w:rFonts w:ascii="宋体" w:hAnsi="宋体" w:cs="宋体"/>
                <w:color w:val="auto"/>
                <w:szCs w:val="21"/>
                <w:highlight w:val="none"/>
              </w:rPr>
            </w:pPr>
            <w:r>
              <w:rPr>
                <w:rFonts w:hint="eastAsia" w:ascii="宋体" w:hAnsi="宋体" w:cs="宋体"/>
                <w:color w:val="auto"/>
                <w:szCs w:val="21"/>
                <w:highlight w:val="none"/>
              </w:rPr>
              <w:t>实质性要求</w:t>
            </w:r>
          </w:p>
        </w:tc>
        <w:tc>
          <w:tcPr>
            <w:tcW w:w="6095" w:type="dxa"/>
            <w:tcBorders>
              <w:top w:val="single" w:color="auto" w:sz="4" w:space="0"/>
              <w:left w:val="single" w:color="auto" w:sz="4" w:space="0"/>
              <w:bottom w:val="single" w:color="auto" w:sz="4" w:space="0"/>
              <w:right w:val="single" w:color="auto" w:sz="4" w:space="0"/>
            </w:tcBorders>
            <w:vAlign w:val="center"/>
          </w:tcPr>
          <w:p w14:paraId="1A5E919D">
            <w:pPr>
              <w:autoSpaceDE w:val="0"/>
              <w:autoSpaceDN w:val="0"/>
              <w:jc w:val="left"/>
              <w:rPr>
                <w:rFonts w:ascii="宋体" w:hAnsi="宋体" w:cs="宋体"/>
                <w:color w:val="auto"/>
                <w:szCs w:val="21"/>
                <w:highlight w:val="none"/>
              </w:rPr>
            </w:pPr>
            <w:r>
              <w:rPr>
                <w:rFonts w:hint="eastAsia" w:ascii="宋体" w:hAnsi="宋体" w:cs="宋体"/>
                <w:color w:val="auto"/>
                <w:szCs w:val="21"/>
                <w:highlight w:val="none"/>
              </w:rPr>
              <w:t>竞争性谈判文件中标识“</w:t>
            </w:r>
            <w:r>
              <w:rPr>
                <w:rFonts w:eastAsia="黑体"/>
                <w:color w:val="auto"/>
                <w:sz w:val="32"/>
                <w:szCs w:val="32"/>
                <w:highlight w:val="none"/>
              </w:rPr>
              <w:sym w:font="Wingdings" w:char="00AB"/>
            </w:r>
            <w:r>
              <w:rPr>
                <w:rFonts w:hint="eastAsia" w:ascii="宋体" w:hAnsi="宋体" w:cs="宋体"/>
                <w:color w:val="auto"/>
                <w:szCs w:val="21"/>
                <w:highlight w:val="none"/>
              </w:rPr>
              <w:t>”的条款，均为实质性条款，任何不满足实质性条款的谈判响应将被否决。</w:t>
            </w:r>
          </w:p>
        </w:tc>
      </w:tr>
      <w:tr w14:paraId="20C4A9E3">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92F60AC">
            <w:pPr>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843" w:type="dxa"/>
            <w:tcBorders>
              <w:top w:val="single" w:color="auto" w:sz="4" w:space="0"/>
              <w:left w:val="single" w:color="auto" w:sz="4" w:space="0"/>
              <w:bottom w:val="single" w:color="auto" w:sz="4" w:space="0"/>
              <w:right w:val="single" w:color="auto" w:sz="4" w:space="0"/>
            </w:tcBorders>
            <w:vAlign w:val="center"/>
          </w:tcPr>
          <w:p w14:paraId="761AB080">
            <w:pPr>
              <w:jc w:val="left"/>
              <w:rPr>
                <w:rFonts w:ascii="宋体" w:hAnsi="宋体" w:cs="宋体"/>
                <w:color w:val="auto"/>
                <w:szCs w:val="21"/>
                <w:highlight w:val="none"/>
              </w:rPr>
            </w:pPr>
            <w:r>
              <w:rPr>
                <w:rFonts w:hint="eastAsia" w:ascii="宋体" w:hAnsi="宋体" w:cs="宋体"/>
                <w:color w:val="auto"/>
                <w:szCs w:val="21"/>
                <w:highlight w:val="none"/>
              </w:rPr>
              <w:t>响应人提出澄清要求的截止时间和方式</w:t>
            </w:r>
          </w:p>
        </w:tc>
        <w:tc>
          <w:tcPr>
            <w:tcW w:w="6095" w:type="dxa"/>
            <w:tcBorders>
              <w:top w:val="single" w:color="auto" w:sz="4" w:space="0"/>
              <w:left w:val="single" w:color="auto" w:sz="4" w:space="0"/>
              <w:bottom w:val="single" w:color="auto" w:sz="4" w:space="0"/>
              <w:right w:val="single" w:color="auto" w:sz="4" w:space="0"/>
            </w:tcBorders>
            <w:vAlign w:val="center"/>
          </w:tcPr>
          <w:p w14:paraId="71A0E35B">
            <w:pPr>
              <w:autoSpaceDE w:val="0"/>
              <w:autoSpaceDN w:val="0"/>
              <w:rPr>
                <w:rFonts w:ascii="宋体" w:hAnsi="宋体" w:cs="宋体"/>
                <w:color w:val="auto"/>
                <w:szCs w:val="21"/>
                <w:highlight w:val="none"/>
              </w:rPr>
            </w:pPr>
            <w:r>
              <w:rPr>
                <w:rFonts w:hint="eastAsia" w:ascii="宋体" w:hAnsi="宋体" w:cs="宋体"/>
                <w:color w:val="auto"/>
                <w:szCs w:val="21"/>
                <w:highlight w:val="none"/>
              </w:rPr>
              <w:t>响应人应当在提交响应文件截止时间至少2日前提出澄清要求。</w:t>
            </w:r>
          </w:p>
          <w:p w14:paraId="44AC878C">
            <w:pPr>
              <w:autoSpaceDE w:val="0"/>
              <w:autoSpaceDN w:val="0"/>
              <w:rPr>
                <w:rFonts w:ascii="宋体" w:hAnsi="宋体" w:cs="宋体"/>
                <w:color w:val="auto"/>
                <w:szCs w:val="21"/>
                <w:highlight w:val="none"/>
              </w:rPr>
            </w:pPr>
            <w:r>
              <w:rPr>
                <w:rFonts w:hint="eastAsia" w:ascii="宋体" w:hAnsi="宋体" w:cs="宋体"/>
                <w:color w:val="auto"/>
                <w:szCs w:val="21"/>
                <w:highlight w:val="none"/>
              </w:rPr>
              <w:t>提出澄清要求的方式：书面方式</w:t>
            </w:r>
          </w:p>
        </w:tc>
      </w:tr>
      <w:tr w14:paraId="5F3DF658">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467EB187">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843" w:type="dxa"/>
            <w:tcBorders>
              <w:top w:val="single" w:color="auto" w:sz="4" w:space="0"/>
              <w:left w:val="single" w:color="auto" w:sz="4" w:space="0"/>
              <w:bottom w:val="single" w:color="auto" w:sz="4" w:space="0"/>
              <w:right w:val="single" w:color="auto" w:sz="4" w:space="0"/>
            </w:tcBorders>
            <w:vAlign w:val="center"/>
          </w:tcPr>
          <w:p w14:paraId="24928E59">
            <w:pPr>
              <w:jc w:val="left"/>
              <w:rPr>
                <w:rFonts w:ascii="宋体" w:hAnsi="宋体" w:cs="宋体"/>
                <w:color w:val="auto"/>
                <w:szCs w:val="21"/>
                <w:highlight w:val="none"/>
              </w:rPr>
            </w:pPr>
            <w:r>
              <w:rPr>
                <w:rFonts w:hint="eastAsia" w:ascii="宋体" w:hAnsi="宋体" w:cs="宋体"/>
                <w:color w:val="auto"/>
                <w:szCs w:val="21"/>
                <w:highlight w:val="none"/>
              </w:rPr>
              <w:t>采购人澄清或修改发布方式</w:t>
            </w:r>
          </w:p>
        </w:tc>
        <w:tc>
          <w:tcPr>
            <w:tcW w:w="6095" w:type="dxa"/>
            <w:tcBorders>
              <w:top w:val="single" w:color="auto" w:sz="4" w:space="0"/>
              <w:left w:val="single" w:color="auto" w:sz="4" w:space="0"/>
              <w:bottom w:val="single" w:color="auto" w:sz="4" w:space="0"/>
              <w:right w:val="single" w:color="auto" w:sz="4" w:space="0"/>
            </w:tcBorders>
            <w:vAlign w:val="center"/>
          </w:tcPr>
          <w:p w14:paraId="7EB1C933">
            <w:pPr>
              <w:autoSpaceDE w:val="0"/>
              <w:autoSpaceDN w:val="0"/>
              <w:rPr>
                <w:color w:val="auto"/>
                <w:highlight w:val="none"/>
              </w:rPr>
            </w:pPr>
            <w:r>
              <w:rPr>
                <w:rFonts w:hint="eastAsia" w:ascii="宋体" w:hAnsi="宋体" w:cs="宋体"/>
                <w:color w:val="auto"/>
                <w:szCs w:val="21"/>
                <w:highlight w:val="none"/>
              </w:rPr>
              <w:t>采购人发出的澄清或修改内容统一以补充通知文件形式发布在</w:t>
            </w:r>
            <w:r>
              <w:rPr>
                <w:rFonts w:hint="eastAsia"/>
                <w:color w:val="auto"/>
                <w:highlight w:val="none"/>
                <w:u w:val="single"/>
              </w:rPr>
              <w:t>东莞实业投资控股集团有限公司网站</w:t>
            </w:r>
            <w:r>
              <w:rPr>
                <w:color w:val="auto"/>
                <w:highlight w:val="none"/>
                <w:u w:val="single"/>
              </w:rPr>
              <w:t>（</w:t>
            </w:r>
            <w:r>
              <w:rPr>
                <w:rFonts w:hint="eastAsia"/>
                <w:color w:val="auto"/>
                <w:highlight w:val="none"/>
                <w:u w:val="single"/>
              </w:rPr>
              <w:t>网址：http://www.dgsy.com.cn/</w:t>
            </w:r>
            <w:r>
              <w:rPr>
                <w:color w:val="auto"/>
                <w:highlight w:val="none"/>
                <w:u w:val="single"/>
              </w:rPr>
              <w:t>）</w:t>
            </w:r>
            <w:r>
              <w:rPr>
                <w:rFonts w:hint="eastAsia" w:ascii="宋体" w:hAnsi="宋体"/>
                <w:color w:val="auto"/>
                <w:szCs w:val="21"/>
                <w:highlight w:val="none"/>
                <w:u w:val="single"/>
              </w:rPr>
              <w:t>、</w:t>
            </w:r>
            <w:r>
              <w:rPr>
                <w:color w:val="auto"/>
                <w:highlight w:val="none"/>
                <w:u w:val="single"/>
              </w:rPr>
              <w:t xml:space="preserve"> </w:t>
            </w:r>
            <w:r>
              <w:rPr>
                <w:rFonts w:hint="eastAsia"/>
                <w:color w:val="auto"/>
                <w:highlight w:val="none"/>
                <w:u w:val="single"/>
                <w:lang w:eastAsia="zh-CN"/>
              </w:rPr>
              <w:t>广东政通招标有限公司</w:t>
            </w:r>
            <w:r>
              <w:rPr>
                <w:rFonts w:hint="eastAsia"/>
                <w:color w:val="auto"/>
                <w:highlight w:val="none"/>
                <w:u w:val="single"/>
              </w:rPr>
              <w:t>网</w:t>
            </w:r>
            <w:r>
              <w:rPr>
                <w:rFonts w:hint="eastAsia"/>
                <w:color w:val="auto"/>
                <w:highlight w:val="none"/>
                <w:u w:val="single"/>
                <w:lang w:val="en-US" w:eastAsia="zh-CN"/>
              </w:rPr>
              <w:t xml:space="preserve"> </w:t>
            </w:r>
            <w:r>
              <w:rPr>
                <w:rFonts w:hint="eastAsia" w:ascii="宋体" w:hAnsi="宋体"/>
                <w:color w:val="auto"/>
                <w:szCs w:val="21"/>
                <w:highlight w:val="none"/>
              </w:rPr>
              <w:t>（网址：</w:t>
            </w:r>
            <w:r>
              <w:rPr>
                <w:color w:val="auto"/>
                <w:highlight w:val="none"/>
                <w:u w:val="single"/>
              </w:rPr>
              <w:t xml:space="preserve"> </w:t>
            </w:r>
            <w:r>
              <w:rPr>
                <w:rFonts w:hint="eastAsia"/>
                <w:color w:val="auto"/>
                <w:highlight w:val="none"/>
                <w:u w:val="single"/>
                <w:lang w:eastAsia="zh-CN"/>
              </w:rPr>
              <w:t>http://www.zttendering.com/</w:t>
            </w:r>
            <w:r>
              <w:rPr>
                <w:rFonts w:hint="eastAsia" w:ascii="宋体" w:hAnsi="宋体"/>
                <w:color w:val="auto"/>
                <w:szCs w:val="21"/>
                <w:highlight w:val="none"/>
              </w:rPr>
              <w:t>）</w:t>
            </w:r>
            <w:r>
              <w:rPr>
                <w:rFonts w:hint="eastAsia"/>
                <w:color w:val="auto"/>
                <w:highlight w:val="none"/>
              </w:rPr>
              <w:t>，视为潜在竞争性谈判响应人已获取相关文件。</w:t>
            </w:r>
          </w:p>
          <w:p w14:paraId="3D73C570">
            <w:pPr>
              <w:autoSpaceDE w:val="0"/>
              <w:autoSpaceDN w:val="0"/>
              <w:rPr>
                <w:rFonts w:ascii="宋体" w:hAnsi="宋体" w:cs="宋体"/>
                <w:color w:val="auto"/>
                <w:szCs w:val="21"/>
                <w:highlight w:val="none"/>
              </w:rPr>
            </w:pPr>
            <w:r>
              <w:rPr>
                <w:rFonts w:hint="eastAsia"/>
                <w:color w:val="auto"/>
                <w:highlight w:val="none"/>
              </w:rPr>
              <w:t>若潜在竞争性谈判响应人未留意或未及时获取</w:t>
            </w:r>
            <w:r>
              <w:rPr>
                <w:rFonts w:hint="eastAsia" w:ascii="宋体" w:hAnsi="宋体" w:cs="宋体"/>
                <w:color w:val="auto"/>
                <w:szCs w:val="21"/>
                <w:highlight w:val="none"/>
              </w:rPr>
              <w:t>补充通知文件</w:t>
            </w:r>
            <w:r>
              <w:rPr>
                <w:rFonts w:hint="eastAsia"/>
                <w:color w:val="auto"/>
                <w:highlight w:val="none"/>
              </w:rPr>
              <w:t>，一切后果由竞争性谈判响应人自行承担。</w:t>
            </w:r>
          </w:p>
        </w:tc>
      </w:tr>
      <w:tr w14:paraId="0EEDFCC6">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709DC3C">
            <w:pPr>
              <w:jc w:val="center"/>
              <w:rPr>
                <w:color w:val="auto"/>
                <w:szCs w:val="21"/>
                <w:highlight w:val="none"/>
              </w:rPr>
            </w:pPr>
            <w:r>
              <w:rPr>
                <w:rFonts w:hint="eastAsia"/>
                <w:color w:val="auto"/>
                <w:szCs w:val="21"/>
                <w:highlight w:val="none"/>
              </w:rPr>
              <w:t>3.2.2</w:t>
            </w:r>
          </w:p>
        </w:tc>
        <w:tc>
          <w:tcPr>
            <w:tcW w:w="1843" w:type="dxa"/>
            <w:tcBorders>
              <w:top w:val="single" w:color="auto" w:sz="4" w:space="0"/>
              <w:left w:val="single" w:color="auto" w:sz="4" w:space="0"/>
              <w:bottom w:val="single" w:color="auto" w:sz="4" w:space="0"/>
              <w:right w:val="single" w:color="auto" w:sz="4" w:space="0"/>
            </w:tcBorders>
            <w:vAlign w:val="center"/>
          </w:tcPr>
          <w:p w14:paraId="4349B2CD">
            <w:pPr>
              <w:jc w:val="left"/>
              <w:rPr>
                <w:color w:val="auto"/>
                <w:szCs w:val="21"/>
                <w:highlight w:val="none"/>
              </w:rPr>
            </w:pPr>
            <w:r>
              <w:rPr>
                <w:rFonts w:hint="eastAsia" w:ascii="宋体" w:hAnsi="宋体" w:cs="宋体"/>
                <w:color w:val="auto"/>
                <w:szCs w:val="21"/>
                <w:highlight w:val="none"/>
              </w:rPr>
              <w:t>响应文件响应和编写</w:t>
            </w:r>
          </w:p>
        </w:tc>
        <w:tc>
          <w:tcPr>
            <w:tcW w:w="6095" w:type="dxa"/>
            <w:tcBorders>
              <w:top w:val="single" w:color="auto" w:sz="4" w:space="0"/>
              <w:left w:val="single" w:color="auto" w:sz="4" w:space="0"/>
              <w:bottom w:val="single" w:color="auto" w:sz="4" w:space="0"/>
              <w:right w:val="single" w:color="auto" w:sz="4" w:space="0"/>
            </w:tcBorders>
            <w:vAlign w:val="center"/>
          </w:tcPr>
          <w:p w14:paraId="1A8B5A0C">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14:paraId="46BA2990">
            <w:pPr>
              <w:numPr>
                <w:ilvl w:val="0"/>
                <w:numId w:val="4"/>
              </w:numPr>
              <w:tabs>
                <w:tab w:val="left" w:pos="318"/>
              </w:tabs>
              <w:rPr>
                <w:rFonts w:ascii="宋体" w:hAnsi="宋体"/>
                <w:color w:val="auto"/>
                <w:szCs w:val="21"/>
                <w:highlight w:val="none"/>
              </w:rPr>
            </w:pPr>
            <w:r>
              <w:rPr>
                <w:rFonts w:hint="eastAsia" w:ascii="宋体" w:hAnsi="宋体"/>
                <w:color w:val="auto"/>
                <w:szCs w:val="21"/>
                <w:highlight w:val="none"/>
              </w:rPr>
              <w:t>响应人应</w:t>
            </w:r>
            <w:r>
              <w:rPr>
                <w:rFonts w:ascii="宋体" w:hAnsi="宋体"/>
                <w:color w:val="auto"/>
                <w:szCs w:val="21"/>
                <w:highlight w:val="none"/>
              </w:rPr>
              <w:t>对竞争性谈判文件中的</w:t>
            </w:r>
            <w:r>
              <w:rPr>
                <w:rFonts w:hint="eastAsia" w:ascii="宋体" w:hAnsi="宋体"/>
                <w:color w:val="auto"/>
                <w:szCs w:val="21"/>
                <w:highlight w:val="none"/>
              </w:rPr>
              <w:t>《</w:t>
            </w:r>
            <w:r>
              <w:rPr>
                <w:rFonts w:hint="eastAsia" w:ascii="宋体" w:hAnsi="宋体" w:cs="宋体"/>
                <w:color w:val="auto"/>
                <w:szCs w:val="21"/>
                <w:highlight w:val="none"/>
              </w:rPr>
              <w:t>“</w:t>
            </w:r>
            <w:r>
              <w:rPr>
                <w:rFonts w:eastAsia="黑体"/>
                <w:b/>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szCs w:val="21"/>
                <w:highlight w:val="none"/>
              </w:rPr>
              <w:t>号条款响应表》填写实质性条款响应情况。</w:t>
            </w:r>
            <w:r>
              <w:rPr>
                <w:rFonts w:hint="eastAsia" w:hAnsi="宋体"/>
                <w:b/>
                <w:color w:val="auto"/>
                <w:szCs w:val="21"/>
                <w:highlight w:val="none"/>
              </w:rPr>
              <w:t>响应人若有一项带“★”的条款未响应或不满足，将按无效响应处理。</w:t>
            </w:r>
          </w:p>
          <w:p w14:paraId="11D79AA5">
            <w:pPr>
              <w:numPr>
                <w:ilvl w:val="0"/>
                <w:numId w:val="4"/>
              </w:numPr>
              <w:tabs>
                <w:tab w:val="left" w:pos="318"/>
              </w:tabs>
              <w:rPr>
                <w:color w:val="auto"/>
                <w:szCs w:val="21"/>
                <w:highlight w:val="none"/>
              </w:rPr>
            </w:pPr>
            <w:r>
              <w:rPr>
                <w:rFonts w:hint="eastAsia" w:ascii="宋体" w:hAnsi="宋体" w:cs="宋体"/>
                <w:bCs/>
                <w:color w:val="auto"/>
                <w:szCs w:val="21"/>
                <w:highlight w:val="none"/>
              </w:rPr>
              <w:t>响应人对竞争性谈判文件中</w:t>
            </w:r>
            <w:r>
              <w:rPr>
                <w:rFonts w:ascii="宋体" w:hAnsi="宋体"/>
                <w:color w:val="auto"/>
                <w:szCs w:val="21"/>
                <w:highlight w:val="none"/>
              </w:rPr>
              <w:t>“合同条款”</w:t>
            </w:r>
            <w:r>
              <w:rPr>
                <w:rFonts w:hint="eastAsia" w:ascii="宋体" w:hAnsi="宋体"/>
                <w:color w:val="auto"/>
                <w:szCs w:val="21"/>
                <w:highlight w:val="none"/>
              </w:rPr>
              <w:t>、“用户需求书/技术规范书”</w:t>
            </w:r>
            <w:r>
              <w:rPr>
                <w:rFonts w:hint="eastAsia" w:ascii="宋体" w:hAnsi="宋体" w:cs="宋体"/>
                <w:bCs/>
                <w:color w:val="auto"/>
                <w:szCs w:val="21"/>
                <w:highlight w:val="none"/>
              </w:rPr>
              <w:t>作出的负偏离，采购人如不接受，可要求响应人以竞争性谈判文件中的要求为准，如响应人拒绝的，采购人有权取消其成交资格或取消合同，采购人不作任何补偿。</w:t>
            </w:r>
          </w:p>
        </w:tc>
      </w:tr>
      <w:tr w14:paraId="2F3E204E">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62B5D30">
            <w:pPr>
              <w:jc w:val="center"/>
              <w:rPr>
                <w:color w:val="auto"/>
                <w:szCs w:val="21"/>
                <w:highlight w:val="none"/>
              </w:rPr>
            </w:pPr>
            <w:r>
              <w:rPr>
                <w:rFonts w:hint="eastAsia"/>
                <w:color w:val="auto"/>
                <w:szCs w:val="21"/>
                <w:highlight w:val="none"/>
              </w:rPr>
              <w:t>3.2.4</w:t>
            </w:r>
          </w:p>
        </w:tc>
        <w:tc>
          <w:tcPr>
            <w:tcW w:w="1843" w:type="dxa"/>
            <w:tcBorders>
              <w:top w:val="single" w:color="auto" w:sz="4" w:space="0"/>
              <w:left w:val="single" w:color="auto" w:sz="4" w:space="0"/>
              <w:bottom w:val="single" w:color="auto" w:sz="4" w:space="0"/>
              <w:right w:val="single" w:color="auto" w:sz="4" w:space="0"/>
            </w:tcBorders>
            <w:vAlign w:val="center"/>
          </w:tcPr>
          <w:p w14:paraId="0615809B">
            <w:pPr>
              <w:jc w:val="left"/>
              <w:rPr>
                <w:color w:val="auto"/>
                <w:szCs w:val="21"/>
                <w:highlight w:val="none"/>
              </w:rPr>
            </w:pPr>
            <w:r>
              <w:rPr>
                <w:rFonts w:hint="eastAsia" w:ascii="宋体" w:hAnsi="宋体" w:cs="宋体"/>
                <w:color w:val="auto"/>
                <w:szCs w:val="21"/>
                <w:highlight w:val="none"/>
              </w:rPr>
              <w:t>响应文件的盖章</w:t>
            </w:r>
          </w:p>
        </w:tc>
        <w:tc>
          <w:tcPr>
            <w:tcW w:w="6095" w:type="dxa"/>
            <w:tcBorders>
              <w:top w:val="single" w:color="auto" w:sz="4" w:space="0"/>
              <w:left w:val="single" w:color="auto" w:sz="4" w:space="0"/>
              <w:bottom w:val="single" w:color="auto" w:sz="4" w:space="0"/>
              <w:right w:val="single" w:color="auto" w:sz="4" w:space="0"/>
            </w:tcBorders>
            <w:vAlign w:val="center"/>
          </w:tcPr>
          <w:p w14:paraId="2061EC08">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14:paraId="3C769A8B">
            <w:pPr>
              <w:numPr>
                <w:ilvl w:val="0"/>
                <w:numId w:val="5"/>
              </w:numPr>
              <w:rPr>
                <w:rFonts w:ascii="宋体" w:hAnsi="宋体"/>
                <w:b/>
                <w:color w:val="auto"/>
                <w:szCs w:val="21"/>
                <w:highlight w:val="none"/>
              </w:rPr>
            </w:pPr>
            <w:r>
              <w:rPr>
                <w:rFonts w:hint="eastAsia" w:ascii="宋体" w:hAnsi="宋体"/>
                <w:b/>
                <w:color w:val="auto"/>
                <w:szCs w:val="21"/>
                <w:highlight w:val="none"/>
              </w:rPr>
              <w:t>响应文件中凡出现响应人单位落款的地方应盖单位公章，如使用依照国家行政部门要求已备案的投标专用章、业务专用章的，应提供所使用印章的合法备案证明（复印件需加盖公章）。</w:t>
            </w:r>
          </w:p>
          <w:p w14:paraId="06774CDE">
            <w:pPr>
              <w:numPr>
                <w:ilvl w:val="0"/>
                <w:numId w:val="5"/>
              </w:numPr>
              <w:rPr>
                <w:rFonts w:ascii="宋体" w:hAnsi="宋体"/>
                <w:color w:val="auto"/>
                <w:szCs w:val="21"/>
                <w:highlight w:val="none"/>
              </w:rPr>
            </w:pPr>
            <w:r>
              <w:rPr>
                <w:rFonts w:hint="eastAsia" w:ascii="宋体" w:hAnsi="宋体"/>
                <w:color w:val="auto"/>
                <w:szCs w:val="21"/>
                <w:highlight w:val="none"/>
              </w:rPr>
              <w:t>同时响应文件盖章必须符合以下其中一种：</w:t>
            </w:r>
          </w:p>
          <w:p w14:paraId="1FB8B5EC">
            <w:pPr>
              <w:numPr>
                <w:ilvl w:val="0"/>
                <w:numId w:val="6"/>
              </w:numPr>
              <w:ind w:left="381" w:hanging="381"/>
              <w:rPr>
                <w:rFonts w:ascii="宋体" w:hAnsi="宋体"/>
                <w:color w:val="auto"/>
                <w:szCs w:val="21"/>
                <w:highlight w:val="none"/>
              </w:rPr>
            </w:pPr>
            <w:r>
              <w:rPr>
                <w:rFonts w:hint="eastAsia" w:ascii="宋体" w:hAnsi="宋体"/>
                <w:color w:val="auto"/>
                <w:szCs w:val="21"/>
                <w:highlight w:val="none"/>
              </w:rPr>
              <w:t>加盖响应人单位骑缝章；</w:t>
            </w:r>
          </w:p>
          <w:p w14:paraId="71E035B3">
            <w:pPr>
              <w:numPr>
                <w:ilvl w:val="0"/>
                <w:numId w:val="6"/>
              </w:numPr>
              <w:ind w:left="381" w:hanging="381"/>
              <w:rPr>
                <w:rFonts w:ascii="宋体" w:hAnsi="宋体"/>
                <w:color w:val="auto"/>
                <w:szCs w:val="21"/>
                <w:highlight w:val="none"/>
              </w:rPr>
            </w:pPr>
            <w:r>
              <w:rPr>
                <w:rFonts w:hint="eastAsia" w:ascii="宋体" w:hAnsi="宋体"/>
                <w:color w:val="auto"/>
                <w:szCs w:val="21"/>
                <w:highlight w:val="none"/>
              </w:rPr>
              <w:t xml:space="preserve">逐页加盖响应人单位印章。 </w:t>
            </w:r>
          </w:p>
          <w:p w14:paraId="6C513EB3">
            <w:pPr>
              <w:pStyle w:val="70"/>
              <w:ind w:firstLine="0" w:firstLineChars="0"/>
              <w:rPr>
                <w:color w:val="auto"/>
                <w:szCs w:val="21"/>
                <w:highlight w:val="none"/>
              </w:rPr>
            </w:pPr>
            <w:r>
              <w:rPr>
                <w:rFonts w:hint="eastAsia" w:ascii="宋体" w:hAnsi="宋体"/>
                <w:b/>
                <w:color w:val="auto"/>
                <w:szCs w:val="21"/>
                <w:highlight w:val="none"/>
              </w:rPr>
              <w:t>请按上述要求制作响应文件，否则其谈判响应将被否决。</w:t>
            </w:r>
          </w:p>
        </w:tc>
      </w:tr>
      <w:tr w14:paraId="040A79A6">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36488D81">
            <w:pPr>
              <w:jc w:val="center"/>
              <w:rPr>
                <w:color w:val="auto"/>
                <w:szCs w:val="21"/>
                <w:highlight w:val="none"/>
              </w:rPr>
            </w:pPr>
            <w:r>
              <w:rPr>
                <w:rFonts w:hint="eastAsia"/>
                <w:color w:val="auto"/>
                <w:szCs w:val="21"/>
                <w:highlight w:val="none"/>
              </w:rPr>
              <w:t>3.3</w:t>
            </w:r>
          </w:p>
        </w:tc>
        <w:tc>
          <w:tcPr>
            <w:tcW w:w="1843" w:type="dxa"/>
            <w:tcBorders>
              <w:top w:val="single" w:color="auto" w:sz="4" w:space="0"/>
              <w:left w:val="single" w:color="auto" w:sz="4" w:space="0"/>
              <w:bottom w:val="single" w:color="auto" w:sz="4" w:space="0"/>
              <w:right w:val="single" w:color="auto" w:sz="4" w:space="0"/>
            </w:tcBorders>
            <w:vAlign w:val="center"/>
          </w:tcPr>
          <w:p w14:paraId="2EFC234E">
            <w:pPr>
              <w:jc w:val="center"/>
              <w:rPr>
                <w:rFonts w:ascii="宋体" w:hAnsi="宋体"/>
                <w:color w:val="auto"/>
                <w:szCs w:val="21"/>
                <w:highlight w:val="none"/>
              </w:rPr>
            </w:pPr>
            <w:r>
              <w:rPr>
                <w:rFonts w:hint="eastAsia" w:ascii="宋体" w:hAnsi="宋体"/>
                <w:color w:val="auto"/>
                <w:szCs w:val="21"/>
                <w:highlight w:val="none"/>
              </w:rPr>
              <w:t>报价方式及具体要求</w:t>
            </w:r>
          </w:p>
        </w:tc>
        <w:tc>
          <w:tcPr>
            <w:tcW w:w="6095" w:type="dxa"/>
            <w:tcBorders>
              <w:top w:val="single" w:color="auto" w:sz="4" w:space="0"/>
              <w:left w:val="single" w:color="auto" w:sz="4" w:space="0"/>
              <w:bottom w:val="single" w:color="auto" w:sz="4" w:space="0"/>
              <w:right w:val="single" w:color="auto" w:sz="4" w:space="0"/>
            </w:tcBorders>
            <w:vAlign w:val="center"/>
          </w:tcPr>
          <w:p w14:paraId="3AEC0AF0">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14:paraId="49B460C6">
            <w:pPr>
              <w:numPr>
                <w:ilvl w:val="0"/>
                <w:numId w:val="7"/>
              </w:numPr>
              <w:rPr>
                <w:rFonts w:ascii="宋体" w:hAnsi="宋体"/>
                <w:color w:val="auto"/>
                <w:szCs w:val="21"/>
                <w:highlight w:val="none"/>
              </w:rPr>
            </w:pPr>
            <w:r>
              <w:rPr>
                <w:rFonts w:hint="eastAsia" w:ascii="宋体" w:hAnsi="宋体"/>
                <w:color w:val="auto"/>
                <w:szCs w:val="21"/>
                <w:highlight w:val="none"/>
              </w:rPr>
              <w:t>本项目采用价税分离的报价方式。</w:t>
            </w:r>
          </w:p>
          <w:p w14:paraId="395FC3E9">
            <w:pPr>
              <w:numPr>
                <w:ilvl w:val="0"/>
                <w:numId w:val="7"/>
              </w:numPr>
              <w:rPr>
                <w:rFonts w:ascii="宋体" w:hAnsi="宋体"/>
                <w:color w:val="auto"/>
                <w:szCs w:val="21"/>
                <w:highlight w:val="none"/>
              </w:rPr>
            </w:pPr>
            <w:r>
              <w:rPr>
                <w:rFonts w:hint="eastAsia" w:ascii="宋体" w:hAnsi="宋体"/>
                <w:b/>
                <w:color w:val="auto"/>
                <w:szCs w:val="21"/>
                <w:highlight w:val="none"/>
              </w:rPr>
              <w:t>本项目谈判报价(含税）不得超过最高限价。</w:t>
            </w:r>
            <w:r>
              <w:rPr>
                <w:rFonts w:hint="eastAsia" w:ascii="宋体" w:hAnsi="宋体"/>
                <w:color w:val="auto"/>
                <w:szCs w:val="21"/>
                <w:highlight w:val="none"/>
              </w:rPr>
              <w:t>若谈判报价(含税）超过谈判最高限价的，或谈判小组按竞争性谈判文件的要求对谈判报价(含税）进行修正后的修正价格超过谈判最高限价的，将作否决谈判处理。</w:t>
            </w:r>
          </w:p>
          <w:p w14:paraId="1EA8E385">
            <w:pPr>
              <w:numPr>
                <w:ilvl w:val="0"/>
                <w:numId w:val="7"/>
              </w:numPr>
              <w:rPr>
                <w:rFonts w:ascii="宋体" w:hAnsi="宋体"/>
                <w:color w:val="auto"/>
                <w:szCs w:val="21"/>
                <w:highlight w:val="none"/>
              </w:rPr>
            </w:pPr>
            <w:r>
              <w:rPr>
                <w:rFonts w:hint="eastAsia" w:ascii="宋体" w:hAnsi="宋体"/>
                <w:color w:val="auto"/>
                <w:szCs w:val="21"/>
                <w:highlight w:val="none"/>
              </w:rPr>
              <w:t>谈判报价应包括所有材料、人工、利润及相关税费等所有费用。</w:t>
            </w:r>
          </w:p>
        </w:tc>
      </w:tr>
      <w:tr w14:paraId="64BB3090">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C91A58B">
            <w:pPr>
              <w:jc w:val="center"/>
              <w:rPr>
                <w:color w:val="auto"/>
                <w:szCs w:val="21"/>
                <w:highlight w:val="none"/>
              </w:rPr>
            </w:pPr>
            <w:r>
              <w:rPr>
                <w:color w:val="auto"/>
                <w:szCs w:val="21"/>
                <w:highlight w:val="none"/>
              </w:rPr>
              <w:t>3.</w:t>
            </w:r>
            <w:r>
              <w:rPr>
                <w:rFonts w:hint="eastAsia"/>
                <w:color w:val="auto"/>
                <w:szCs w:val="21"/>
                <w:highlight w:val="none"/>
              </w:rPr>
              <w:t>4.1</w:t>
            </w:r>
          </w:p>
        </w:tc>
        <w:tc>
          <w:tcPr>
            <w:tcW w:w="1843" w:type="dxa"/>
            <w:tcBorders>
              <w:top w:val="single" w:color="auto" w:sz="4" w:space="0"/>
              <w:left w:val="single" w:color="auto" w:sz="4" w:space="0"/>
              <w:bottom w:val="single" w:color="auto" w:sz="4" w:space="0"/>
              <w:right w:val="single" w:color="auto" w:sz="4" w:space="0"/>
            </w:tcBorders>
            <w:vAlign w:val="center"/>
          </w:tcPr>
          <w:p w14:paraId="501D7A55">
            <w:pPr>
              <w:jc w:val="left"/>
              <w:rPr>
                <w:color w:val="auto"/>
                <w:szCs w:val="21"/>
                <w:highlight w:val="none"/>
              </w:rPr>
            </w:pPr>
            <w:r>
              <w:rPr>
                <w:rFonts w:hint="eastAsia" w:ascii="宋体" w:hAnsi="宋体" w:cs="宋体"/>
                <w:color w:val="auto"/>
                <w:szCs w:val="21"/>
                <w:highlight w:val="none"/>
              </w:rPr>
              <w:t>谈判</w:t>
            </w:r>
            <w:r>
              <w:rPr>
                <w:color w:val="auto"/>
                <w:szCs w:val="21"/>
                <w:highlight w:val="none"/>
              </w:rPr>
              <w:t>有效期</w:t>
            </w:r>
          </w:p>
        </w:tc>
        <w:tc>
          <w:tcPr>
            <w:tcW w:w="6095" w:type="dxa"/>
            <w:tcBorders>
              <w:top w:val="single" w:color="auto" w:sz="4" w:space="0"/>
              <w:left w:val="single" w:color="auto" w:sz="4" w:space="0"/>
              <w:bottom w:val="single" w:color="auto" w:sz="4" w:space="0"/>
              <w:right w:val="single" w:color="auto" w:sz="4" w:space="0"/>
            </w:tcBorders>
            <w:vAlign w:val="center"/>
          </w:tcPr>
          <w:p w14:paraId="4EE4C9A8">
            <w:pPr>
              <w:rPr>
                <w:color w:val="auto"/>
                <w:szCs w:val="21"/>
                <w:highlight w:val="none"/>
              </w:rPr>
            </w:pPr>
            <w:r>
              <w:rPr>
                <w:rFonts w:hint="eastAsia" w:ascii="宋体" w:hAnsi="宋体" w:cs="宋体"/>
                <w:color w:val="auto"/>
                <w:szCs w:val="21"/>
                <w:highlight w:val="none"/>
              </w:rPr>
              <w:t>谈判有效期：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ascii="宋体" w:hAnsi="宋体" w:cs="宋体"/>
                <w:color w:val="auto"/>
                <w:szCs w:val="21"/>
                <w:highlight w:val="none"/>
                <w:u w:val="single"/>
              </w:rPr>
              <w:t xml:space="preserve">  </w:t>
            </w:r>
            <w:r>
              <w:rPr>
                <w:rFonts w:hint="eastAsia" w:ascii="宋体" w:hAnsi="宋体" w:cs="宋体"/>
                <w:color w:val="auto"/>
                <w:szCs w:val="21"/>
                <w:highlight w:val="none"/>
              </w:rPr>
              <w:t>天。</w:t>
            </w:r>
          </w:p>
        </w:tc>
      </w:tr>
      <w:tr w14:paraId="4E5D841A">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BD422E9">
            <w:pPr>
              <w:jc w:val="center"/>
              <w:rPr>
                <w:color w:val="auto"/>
                <w:szCs w:val="21"/>
                <w:highlight w:val="none"/>
              </w:rPr>
            </w:pPr>
            <w:r>
              <w:rPr>
                <w:color w:val="auto"/>
                <w:szCs w:val="21"/>
                <w:highlight w:val="none"/>
              </w:rPr>
              <w:t>3.</w:t>
            </w:r>
            <w:r>
              <w:rPr>
                <w:rFonts w:hint="eastAsia"/>
                <w:color w:val="auto"/>
                <w:szCs w:val="21"/>
                <w:highlight w:val="none"/>
              </w:rPr>
              <w:t>5</w:t>
            </w:r>
            <w:r>
              <w:rPr>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11A0409C">
            <w:pPr>
              <w:jc w:val="left"/>
              <w:rPr>
                <w:color w:val="auto"/>
                <w:szCs w:val="21"/>
                <w:highlight w:val="none"/>
              </w:rPr>
            </w:pPr>
            <w:r>
              <w:rPr>
                <w:color w:val="auto"/>
                <w:szCs w:val="21"/>
                <w:highlight w:val="none"/>
              </w:rPr>
              <w:t>谈判保证金</w:t>
            </w:r>
            <w:r>
              <w:rPr>
                <w:rFonts w:hint="eastAsia"/>
                <w:color w:val="auto"/>
                <w:szCs w:val="21"/>
                <w:highlight w:val="none"/>
              </w:rPr>
              <w:t>金额</w:t>
            </w:r>
          </w:p>
        </w:tc>
        <w:tc>
          <w:tcPr>
            <w:tcW w:w="6095" w:type="dxa"/>
            <w:tcBorders>
              <w:top w:val="single" w:color="auto" w:sz="4" w:space="0"/>
              <w:left w:val="single" w:color="auto" w:sz="4" w:space="0"/>
              <w:bottom w:val="single" w:color="auto" w:sz="4" w:space="0"/>
              <w:right w:val="single" w:color="auto" w:sz="4" w:space="0"/>
            </w:tcBorders>
            <w:vAlign w:val="center"/>
          </w:tcPr>
          <w:p w14:paraId="6B29A2FB">
            <w:pPr>
              <w:rPr>
                <w:color w:val="auto"/>
                <w:szCs w:val="21"/>
                <w:highlight w:val="none"/>
              </w:rPr>
            </w:pPr>
            <w:r>
              <w:rPr>
                <w:rFonts w:hint="eastAsia" w:ascii="宋体" w:hAnsi="宋体" w:cs="宋体"/>
                <w:color w:val="auto"/>
                <w:szCs w:val="21"/>
                <w:highlight w:val="none"/>
              </w:rPr>
              <w:t>谈判保证金金额：</w:t>
            </w:r>
            <w:r>
              <w:rPr>
                <w:rFonts w:hint="eastAsia" w:ascii="宋体" w:hAnsi="宋体"/>
                <w:color w:val="auto"/>
                <w:szCs w:val="21"/>
                <w:highlight w:val="none"/>
                <w:u w:val="single"/>
                <w:lang w:val="en-US" w:eastAsia="zh-CN"/>
              </w:rPr>
              <w:t>标包1: 1,200.00元； 标包2: 600.00元</w:t>
            </w:r>
          </w:p>
        </w:tc>
      </w:tr>
      <w:tr w14:paraId="762A00F6">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5CD0CADC">
            <w:pPr>
              <w:jc w:val="center"/>
              <w:rPr>
                <w:color w:val="auto"/>
                <w:szCs w:val="21"/>
                <w:highlight w:val="none"/>
              </w:rPr>
            </w:pPr>
            <w:r>
              <w:rPr>
                <w:rFonts w:hint="eastAsia"/>
                <w:color w:val="auto"/>
                <w:szCs w:val="21"/>
                <w:highlight w:val="none"/>
              </w:rPr>
              <w:t>3.5.2</w:t>
            </w:r>
          </w:p>
        </w:tc>
        <w:tc>
          <w:tcPr>
            <w:tcW w:w="1843" w:type="dxa"/>
            <w:tcBorders>
              <w:top w:val="single" w:color="auto" w:sz="4" w:space="0"/>
              <w:left w:val="single" w:color="auto" w:sz="4" w:space="0"/>
              <w:bottom w:val="single" w:color="auto" w:sz="4" w:space="0"/>
              <w:right w:val="single" w:color="auto" w:sz="4" w:space="0"/>
            </w:tcBorders>
            <w:vAlign w:val="center"/>
          </w:tcPr>
          <w:p w14:paraId="2962E644">
            <w:pPr>
              <w:jc w:val="left"/>
              <w:rPr>
                <w:color w:val="auto"/>
                <w:szCs w:val="21"/>
                <w:highlight w:val="none"/>
              </w:rPr>
            </w:pPr>
            <w:r>
              <w:rPr>
                <w:rFonts w:hint="eastAsia"/>
                <w:color w:val="auto"/>
                <w:szCs w:val="21"/>
                <w:highlight w:val="none"/>
              </w:rPr>
              <w:t>谈判保证金形式</w:t>
            </w:r>
          </w:p>
        </w:tc>
        <w:tc>
          <w:tcPr>
            <w:tcW w:w="6095" w:type="dxa"/>
            <w:tcBorders>
              <w:top w:val="single" w:color="auto" w:sz="4" w:space="0"/>
              <w:left w:val="single" w:color="auto" w:sz="4" w:space="0"/>
              <w:bottom w:val="single" w:color="auto" w:sz="4" w:space="0"/>
              <w:right w:val="single" w:color="auto" w:sz="4" w:space="0"/>
            </w:tcBorders>
            <w:vAlign w:val="center"/>
          </w:tcPr>
          <w:p w14:paraId="358C7B5B">
            <w:pPr>
              <w:rPr>
                <w:color w:val="auto"/>
                <w:szCs w:val="21"/>
                <w:highlight w:val="none"/>
              </w:rPr>
            </w:pPr>
            <w:r>
              <w:rPr>
                <w:color w:val="auto"/>
                <w:szCs w:val="21"/>
                <w:highlight w:val="none"/>
              </w:rPr>
              <w:t>1</w:t>
            </w:r>
            <w:r>
              <w:rPr>
                <w:rFonts w:hint="eastAsia"/>
                <w:color w:val="auto"/>
                <w:szCs w:val="21"/>
                <w:highlight w:val="none"/>
              </w:rPr>
              <w:t>.谈判保证金的形式：银行转账或电汇。</w:t>
            </w:r>
          </w:p>
          <w:p w14:paraId="01536200">
            <w:pPr>
              <w:rPr>
                <w:color w:val="auto"/>
                <w:szCs w:val="21"/>
                <w:highlight w:val="none"/>
              </w:rPr>
            </w:pPr>
            <w:r>
              <w:rPr>
                <w:color w:val="auto"/>
                <w:szCs w:val="21"/>
                <w:highlight w:val="none"/>
              </w:rPr>
              <w:t>2</w:t>
            </w:r>
            <w:r>
              <w:rPr>
                <w:rFonts w:hint="eastAsia"/>
                <w:color w:val="auto"/>
                <w:szCs w:val="21"/>
                <w:highlight w:val="none"/>
              </w:rPr>
              <w:t>.响应文件中须提供谈判保证金缴纳凭证复印件。唱标同时将公开展示谈判保证金凭证。</w:t>
            </w:r>
          </w:p>
          <w:p w14:paraId="55F18E9C">
            <w:pPr>
              <w:rPr>
                <w:color w:val="auto"/>
                <w:szCs w:val="21"/>
                <w:highlight w:val="none"/>
              </w:rPr>
            </w:pPr>
            <w:r>
              <w:rPr>
                <w:rFonts w:hint="eastAsia"/>
                <w:color w:val="auto"/>
                <w:szCs w:val="21"/>
                <w:highlight w:val="none"/>
              </w:rPr>
              <w:t>3.谈判保证金有效期与谈判有效期一致。</w:t>
            </w:r>
          </w:p>
          <w:p w14:paraId="59CA757F">
            <w:pPr>
              <w:rPr>
                <w:color w:val="auto"/>
                <w:szCs w:val="21"/>
                <w:highlight w:val="none"/>
              </w:rPr>
            </w:pPr>
            <w:r>
              <w:rPr>
                <w:rFonts w:hint="eastAsia"/>
                <w:color w:val="auto"/>
                <w:szCs w:val="21"/>
                <w:highlight w:val="none"/>
              </w:rPr>
              <w:t>4.提交谈判保证金</w:t>
            </w:r>
            <w:r>
              <w:rPr>
                <w:rFonts w:hint="eastAsia"/>
                <w:color w:val="auto"/>
                <w:szCs w:val="21"/>
                <w:highlight w:val="none"/>
                <w:lang w:eastAsia="zh-CN"/>
              </w:rPr>
              <w:t>账</w:t>
            </w:r>
            <w:r>
              <w:rPr>
                <w:rFonts w:hint="eastAsia"/>
                <w:color w:val="auto"/>
                <w:szCs w:val="21"/>
                <w:highlight w:val="none"/>
              </w:rPr>
              <w:t>户信息：</w:t>
            </w:r>
          </w:p>
          <w:p w14:paraId="26178EE5">
            <w:pPr>
              <w:rPr>
                <w:rFonts w:hint="eastAsia" w:eastAsia="宋体"/>
                <w:color w:val="auto"/>
                <w:szCs w:val="21"/>
                <w:highlight w:val="none"/>
                <w:lang w:val="en-US" w:eastAsia="zh-CN"/>
              </w:rPr>
            </w:pPr>
            <w:r>
              <w:rPr>
                <w:rFonts w:hint="eastAsia"/>
                <w:color w:val="auto"/>
                <w:szCs w:val="21"/>
                <w:highlight w:val="none"/>
              </w:rPr>
              <w:t>开户名：</w:t>
            </w:r>
            <w:r>
              <w:rPr>
                <w:rFonts w:hint="eastAsia" w:hAnsi="宋体" w:cs="宋体"/>
                <w:color w:val="auto"/>
                <w:kern w:val="2"/>
                <w:szCs w:val="21"/>
                <w:highlight w:val="none"/>
                <w:u w:val="single"/>
                <w:lang w:val="zh-CN"/>
              </w:rPr>
              <w:t>广东政通招标有限公司</w:t>
            </w:r>
          </w:p>
          <w:p w14:paraId="542D82BB">
            <w:pPr>
              <w:rPr>
                <w:rFonts w:hint="eastAsia" w:eastAsia="宋体"/>
                <w:color w:val="auto"/>
                <w:szCs w:val="21"/>
                <w:highlight w:val="none"/>
                <w:lang w:val="en-US" w:eastAsia="zh-CN"/>
              </w:rPr>
            </w:pPr>
            <w:r>
              <w:rPr>
                <w:rFonts w:hint="eastAsia"/>
                <w:color w:val="auto"/>
                <w:szCs w:val="21"/>
                <w:highlight w:val="none"/>
              </w:rPr>
              <w:t>开户银行：</w:t>
            </w:r>
            <w:r>
              <w:rPr>
                <w:rFonts w:hint="eastAsia" w:hAnsi="宋体" w:cs="宋体"/>
                <w:color w:val="auto"/>
                <w:kern w:val="2"/>
                <w:sz w:val="21"/>
                <w:szCs w:val="21"/>
                <w:highlight w:val="none"/>
                <w:u w:val="single"/>
                <w:lang w:eastAsia="zh-CN"/>
              </w:rPr>
              <w:t>广发银行股份有限公司东莞众利路支行</w:t>
            </w:r>
          </w:p>
          <w:p w14:paraId="02B417DD">
            <w:pPr>
              <w:rPr>
                <w:rFonts w:hint="default" w:eastAsia="宋体"/>
                <w:color w:val="auto"/>
                <w:szCs w:val="21"/>
                <w:highlight w:val="none"/>
                <w:lang w:val="en-US" w:eastAsia="zh-CN"/>
              </w:rPr>
            </w:pPr>
            <w:r>
              <w:rPr>
                <w:rFonts w:hint="eastAsia"/>
                <w:color w:val="auto"/>
                <w:szCs w:val="21"/>
                <w:highlight w:val="none"/>
              </w:rPr>
              <w:t>账号：</w:t>
            </w:r>
            <w:r>
              <w:rPr>
                <w:rFonts w:hint="eastAsia"/>
                <w:color w:val="auto"/>
                <w:szCs w:val="21"/>
                <w:highlight w:val="none"/>
                <w:u w:val="single"/>
              </w:rPr>
              <w:t>6232590699051523668</w:t>
            </w:r>
          </w:p>
        </w:tc>
      </w:tr>
      <w:tr w14:paraId="60D290DF">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1ABDB1F4">
            <w:pPr>
              <w:jc w:val="center"/>
              <w:rPr>
                <w:color w:val="auto"/>
                <w:szCs w:val="21"/>
                <w:highlight w:val="none"/>
              </w:rPr>
            </w:pPr>
            <w:r>
              <w:rPr>
                <w:color w:val="auto"/>
                <w:szCs w:val="21"/>
                <w:highlight w:val="none"/>
              </w:rPr>
              <w:t>3.</w:t>
            </w:r>
            <w:r>
              <w:rPr>
                <w:rFonts w:hint="eastAsia"/>
                <w:color w:val="auto"/>
                <w:szCs w:val="21"/>
                <w:highlight w:val="none"/>
              </w:rPr>
              <w:t>6</w:t>
            </w:r>
            <w:r>
              <w:rPr>
                <w:color w:val="auto"/>
                <w:szCs w:val="21"/>
                <w:highlight w:val="none"/>
              </w:rPr>
              <w:t>.</w:t>
            </w:r>
            <w:r>
              <w:rPr>
                <w:rFonts w:hint="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67037361">
            <w:pPr>
              <w:jc w:val="left"/>
              <w:rPr>
                <w:color w:val="auto"/>
                <w:szCs w:val="21"/>
                <w:highlight w:val="none"/>
              </w:rPr>
            </w:pPr>
            <w:r>
              <w:rPr>
                <w:color w:val="auto"/>
                <w:szCs w:val="21"/>
                <w:highlight w:val="none"/>
              </w:rPr>
              <w:t>响应文件份数</w:t>
            </w:r>
          </w:p>
        </w:tc>
        <w:tc>
          <w:tcPr>
            <w:tcW w:w="6095" w:type="dxa"/>
            <w:tcBorders>
              <w:top w:val="single" w:color="auto" w:sz="4" w:space="0"/>
              <w:left w:val="single" w:color="auto" w:sz="4" w:space="0"/>
              <w:bottom w:val="single" w:color="auto" w:sz="4" w:space="0"/>
              <w:right w:val="single" w:color="auto" w:sz="4" w:space="0"/>
            </w:tcBorders>
            <w:vAlign w:val="center"/>
          </w:tcPr>
          <w:p w14:paraId="52B1A54A">
            <w:pPr>
              <w:rPr>
                <w:rFonts w:hAnsi="宋体" w:cs="宋体"/>
                <w:b/>
                <w:color w:val="auto"/>
                <w:szCs w:val="21"/>
                <w:highlight w:val="none"/>
              </w:rPr>
            </w:pPr>
            <w:r>
              <w:rPr>
                <w:rFonts w:hint="eastAsia" w:hAnsi="宋体" w:cs="宋体"/>
                <w:b/>
                <w:color w:val="auto"/>
                <w:szCs w:val="21"/>
                <w:highlight w:val="none"/>
              </w:rPr>
              <w:t>正本</w:t>
            </w:r>
            <w:r>
              <w:rPr>
                <w:rFonts w:hint="eastAsia" w:hAnsi="宋体" w:cs="宋体"/>
                <w:b/>
                <w:color w:val="auto"/>
                <w:szCs w:val="21"/>
                <w:highlight w:val="none"/>
                <w:u w:val="single"/>
              </w:rPr>
              <w:t>1</w:t>
            </w:r>
            <w:r>
              <w:rPr>
                <w:rFonts w:hint="eastAsia" w:hAnsi="宋体" w:cs="宋体"/>
                <w:b/>
                <w:color w:val="auto"/>
                <w:szCs w:val="21"/>
                <w:highlight w:val="none"/>
              </w:rPr>
              <w:t>份、副本</w:t>
            </w:r>
            <w:r>
              <w:rPr>
                <w:rFonts w:hint="eastAsia" w:hAnsi="宋体" w:cs="宋体"/>
                <w:b/>
                <w:color w:val="auto"/>
                <w:szCs w:val="21"/>
                <w:highlight w:val="none"/>
                <w:u w:val="single"/>
              </w:rPr>
              <w:t>2</w:t>
            </w:r>
            <w:r>
              <w:rPr>
                <w:rFonts w:hint="eastAsia" w:hAnsi="宋体" w:cs="宋体"/>
                <w:b/>
                <w:color w:val="auto"/>
                <w:szCs w:val="21"/>
                <w:highlight w:val="none"/>
              </w:rPr>
              <w:t>份，唱标信封</w:t>
            </w:r>
            <w:r>
              <w:rPr>
                <w:rFonts w:hint="eastAsia" w:hAnsi="宋体" w:cs="宋体"/>
                <w:b/>
                <w:color w:val="auto"/>
                <w:szCs w:val="21"/>
                <w:highlight w:val="none"/>
                <w:u w:val="single"/>
              </w:rPr>
              <w:t>1</w:t>
            </w:r>
            <w:r>
              <w:rPr>
                <w:rFonts w:hint="eastAsia" w:hAnsi="宋体" w:cs="宋体"/>
                <w:b/>
                <w:color w:val="auto"/>
                <w:szCs w:val="21"/>
                <w:highlight w:val="none"/>
              </w:rPr>
              <w:t>份。</w:t>
            </w:r>
            <w:r>
              <w:rPr>
                <w:rFonts w:hint="eastAsia" w:hAnsi="宋体" w:cs="宋体"/>
                <w:b/>
                <w:color w:val="auto"/>
                <w:szCs w:val="21"/>
                <w:highlight w:val="none"/>
              </w:rPr>
              <w:br w:type="textWrapping"/>
            </w:r>
            <w:r>
              <w:rPr>
                <w:rFonts w:hint="eastAsia" w:ascii="宋体" w:hAnsi="宋体" w:eastAsia="宋体" w:cs="宋体"/>
                <w:b/>
                <w:color w:val="auto"/>
                <w:szCs w:val="21"/>
                <w:highlight w:val="none"/>
              </w:rPr>
              <w:t>供应商参与多个</w:t>
            </w:r>
            <w:r>
              <w:rPr>
                <w:rFonts w:hint="eastAsia" w:ascii="宋体" w:hAnsi="宋体" w:cs="宋体"/>
                <w:b/>
                <w:color w:val="auto"/>
                <w:szCs w:val="21"/>
                <w:highlight w:val="none"/>
                <w:lang w:val="en-US" w:eastAsia="zh-CN"/>
              </w:rPr>
              <w:t>标包</w:t>
            </w:r>
            <w:r>
              <w:rPr>
                <w:rFonts w:hint="eastAsia" w:ascii="宋体" w:hAnsi="宋体" w:eastAsia="宋体" w:cs="宋体"/>
                <w:b/>
                <w:color w:val="auto"/>
                <w:szCs w:val="21"/>
                <w:highlight w:val="none"/>
              </w:rPr>
              <w:t>响应的，须按</w:t>
            </w:r>
            <w:r>
              <w:rPr>
                <w:rFonts w:hint="eastAsia" w:ascii="宋体" w:hAnsi="宋体" w:cs="宋体"/>
                <w:b/>
                <w:color w:val="auto"/>
                <w:szCs w:val="21"/>
                <w:highlight w:val="none"/>
                <w:lang w:val="en-US" w:eastAsia="zh-CN"/>
              </w:rPr>
              <w:t>标包</w:t>
            </w:r>
            <w:r>
              <w:rPr>
                <w:rFonts w:hint="eastAsia" w:ascii="宋体" w:hAnsi="宋体" w:eastAsia="宋体" w:cs="宋体"/>
                <w:b/>
                <w:color w:val="auto"/>
                <w:szCs w:val="21"/>
                <w:highlight w:val="none"/>
              </w:rPr>
              <w:t>号分别提交</w:t>
            </w:r>
            <w:r>
              <w:rPr>
                <w:rFonts w:hint="eastAsia" w:ascii="宋体" w:hAnsi="宋体" w:cs="宋体"/>
                <w:b/>
                <w:color w:val="auto"/>
                <w:szCs w:val="21"/>
                <w:highlight w:val="none"/>
                <w:lang w:val="en-US" w:eastAsia="zh-CN"/>
              </w:rPr>
              <w:t>响应文件</w:t>
            </w:r>
            <w:r>
              <w:rPr>
                <w:rFonts w:hint="eastAsia" w:ascii="宋体" w:hAnsi="宋体" w:eastAsia="宋体" w:cs="宋体"/>
                <w:b/>
                <w:color w:val="auto"/>
                <w:szCs w:val="21"/>
                <w:highlight w:val="none"/>
              </w:rPr>
              <w:t>。</w:t>
            </w:r>
          </w:p>
        </w:tc>
      </w:tr>
      <w:tr w14:paraId="746CBFE0">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9B44086">
            <w:pPr>
              <w:jc w:val="center"/>
              <w:rPr>
                <w:color w:val="auto"/>
                <w:szCs w:val="21"/>
                <w:highlight w:val="none"/>
              </w:rPr>
            </w:pPr>
            <w:r>
              <w:rPr>
                <w:color w:val="auto"/>
                <w:szCs w:val="21"/>
                <w:highlight w:val="none"/>
              </w:rPr>
              <w:t>3.</w:t>
            </w:r>
            <w:r>
              <w:rPr>
                <w:rFonts w:hint="eastAsia"/>
                <w:color w:val="auto"/>
                <w:szCs w:val="21"/>
                <w:highlight w:val="none"/>
              </w:rPr>
              <w:t>6</w:t>
            </w:r>
            <w:r>
              <w:rPr>
                <w:color w:val="auto"/>
                <w:szCs w:val="21"/>
                <w:highlight w:val="none"/>
              </w:rPr>
              <w:t>.</w:t>
            </w:r>
            <w:r>
              <w:rPr>
                <w:rFonts w:hint="eastAsia"/>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14:paraId="5FFBF2CF">
            <w:pPr>
              <w:jc w:val="left"/>
              <w:rPr>
                <w:rFonts w:ascii="宋体" w:hAnsi="宋体" w:cs="宋体"/>
                <w:color w:val="auto"/>
                <w:szCs w:val="21"/>
                <w:highlight w:val="none"/>
              </w:rPr>
            </w:pPr>
            <w:r>
              <w:rPr>
                <w:rFonts w:hint="eastAsia" w:ascii="宋体" w:hAnsi="宋体" w:cs="宋体"/>
                <w:color w:val="auto"/>
                <w:szCs w:val="21"/>
                <w:highlight w:val="none"/>
              </w:rPr>
              <w:t>响应文件的密封和标记要求</w:t>
            </w:r>
          </w:p>
        </w:tc>
        <w:tc>
          <w:tcPr>
            <w:tcW w:w="6095" w:type="dxa"/>
            <w:tcBorders>
              <w:top w:val="single" w:color="auto" w:sz="4" w:space="0"/>
              <w:left w:val="single" w:color="auto" w:sz="4" w:space="0"/>
              <w:bottom w:val="single" w:color="auto" w:sz="4" w:space="0"/>
              <w:right w:val="single" w:color="auto" w:sz="4" w:space="0"/>
            </w:tcBorders>
            <w:vAlign w:val="center"/>
          </w:tcPr>
          <w:p w14:paraId="3B9D1FCD">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14:paraId="585705F5">
            <w:pPr>
              <w:rPr>
                <w:rFonts w:ascii="宋体" w:hAnsi="宋体" w:cs="宋体"/>
                <w:color w:val="auto"/>
                <w:szCs w:val="21"/>
                <w:highlight w:val="none"/>
              </w:rPr>
            </w:pPr>
            <w:r>
              <w:rPr>
                <w:rFonts w:hint="eastAsia" w:ascii="宋体" w:hAnsi="宋体" w:cs="宋体"/>
                <w:color w:val="auto"/>
                <w:szCs w:val="21"/>
                <w:highlight w:val="none"/>
              </w:rPr>
              <w:t>1）商务技术响应文件、经济响应文件应分别装订，密封后，加贴封条，在封口处加盖骑缝章</w:t>
            </w:r>
            <w:r>
              <w:rPr>
                <w:rFonts w:hint="eastAsia"/>
                <w:color w:val="auto"/>
                <w:szCs w:val="21"/>
                <w:highlight w:val="none"/>
              </w:rPr>
              <w:t>或者由响应人的法定代表人或其委托代理人签字</w:t>
            </w:r>
            <w:r>
              <w:rPr>
                <w:rFonts w:hint="eastAsia" w:ascii="宋体" w:hAnsi="宋体" w:cs="宋体"/>
                <w:color w:val="auto"/>
                <w:szCs w:val="21"/>
                <w:highlight w:val="none"/>
              </w:rPr>
              <w:t>。</w:t>
            </w:r>
          </w:p>
          <w:p w14:paraId="4B2BC20F">
            <w:pPr>
              <w:rPr>
                <w:rFonts w:ascii="宋体" w:hAnsi="宋体" w:cs="宋体"/>
                <w:color w:val="auto"/>
                <w:szCs w:val="21"/>
                <w:highlight w:val="none"/>
              </w:rPr>
            </w:pPr>
            <w:r>
              <w:rPr>
                <w:rFonts w:hint="eastAsia" w:ascii="宋体" w:hAnsi="宋体" w:cs="宋体"/>
                <w:color w:val="auto"/>
                <w:szCs w:val="21"/>
                <w:highlight w:val="none"/>
              </w:rPr>
              <w:t>2）商务技术竞争性谈判响应文件里不能含有任何有关谈判报价信息。</w:t>
            </w:r>
          </w:p>
          <w:p w14:paraId="2D69B272">
            <w:pPr>
              <w:rPr>
                <w:rFonts w:ascii="宋体" w:hAnsi="宋体" w:cs="宋体"/>
                <w:color w:val="auto"/>
                <w:szCs w:val="21"/>
                <w:highlight w:val="none"/>
              </w:rPr>
            </w:pPr>
            <w:r>
              <w:rPr>
                <w:rFonts w:hint="eastAsia" w:ascii="宋体" w:hAnsi="宋体" w:cs="宋体"/>
                <w:color w:val="auto"/>
                <w:szCs w:val="21"/>
                <w:highlight w:val="none"/>
              </w:rPr>
              <w:t>3）响应文件</w:t>
            </w:r>
            <w:r>
              <w:rPr>
                <w:rFonts w:hint="eastAsia"/>
                <w:color w:val="auto"/>
                <w:szCs w:val="21"/>
                <w:highlight w:val="none"/>
              </w:rPr>
              <w:t>外层包封</w:t>
            </w:r>
            <w:r>
              <w:rPr>
                <w:rFonts w:hint="eastAsia" w:ascii="宋体" w:hAnsi="宋体" w:cs="宋体"/>
                <w:color w:val="auto"/>
                <w:szCs w:val="21"/>
                <w:highlight w:val="none"/>
              </w:rPr>
              <w:t>上应写明的内容如下：</w:t>
            </w:r>
          </w:p>
          <w:p w14:paraId="1B369E33">
            <w:pPr>
              <w:rPr>
                <w:rFonts w:ascii="宋体" w:hAnsi="宋体"/>
                <w:b/>
                <w:color w:val="auto"/>
                <w:szCs w:val="21"/>
                <w:highlight w:val="none"/>
              </w:rPr>
            </w:pPr>
            <w:r>
              <w:rPr>
                <w:rFonts w:hint="eastAsia" w:ascii="宋体" w:hAnsi="宋体"/>
                <w:b/>
                <w:color w:val="auto"/>
                <w:szCs w:val="21"/>
                <w:highlight w:val="none"/>
              </w:rPr>
              <w:t xml:space="preserve">采购人名称： </w:t>
            </w:r>
          </w:p>
          <w:p w14:paraId="64F0059D">
            <w:pPr>
              <w:rPr>
                <w:rFonts w:ascii="宋体" w:hAnsi="宋体"/>
                <w:b/>
                <w:color w:val="auto"/>
                <w:szCs w:val="21"/>
                <w:highlight w:val="none"/>
              </w:rPr>
            </w:pPr>
            <w:r>
              <w:rPr>
                <w:rFonts w:hint="eastAsia" w:ascii="宋体" w:hAnsi="宋体"/>
                <w:b/>
                <w:color w:val="auto"/>
                <w:szCs w:val="21"/>
                <w:highlight w:val="none"/>
              </w:rPr>
              <w:t>采购代理机构名称：</w:t>
            </w:r>
          </w:p>
          <w:p w14:paraId="453B766C">
            <w:pPr>
              <w:rPr>
                <w:rFonts w:ascii="宋体" w:hAnsi="宋体"/>
                <w:b/>
                <w:color w:val="auto"/>
                <w:szCs w:val="21"/>
                <w:highlight w:val="none"/>
              </w:rPr>
            </w:pPr>
            <w:r>
              <w:rPr>
                <w:rFonts w:hint="eastAsia" w:ascii="宋体" w:hAnsi="宋体"/>
                <w:b/>
                <w:color w:val="auto"/>
                <w:szCs w:val="21"/>
                <w:highlight w:val="none"/>
              </w:rPr>
              <w:t>递交响应文件地址：</w:t>
            </w:r>
          </w:p>
          <w:p w14:paraId="26FB7971">
            <w:pPr>
              <w:rPr>
                <w:rFonts w:ascii="宋体" w:hAnsi="宋体"/>
                <w:b/>
                <w:color w:val="auto"/>
                <w:szCs w:val="21"/>
                <w:highlight w:val="none"/>
              </w:rPr>
            </w:pPr>
            <w:r>
              <w:rPr>
                <w:rFonts w:hint="eastAsia" w:ascii="宋体" w:hAnsi="宋体"/>
                <w:b/>
                <w:color w:val="auto"/>
                <w:szCs w:val="21"/>
                <w:highlight w:val="none"/>
                <w:u w:val="single"/>
              </w:rPr>
              <w:t xml:space="preserve">            </w:t>
            </w:r>
            <w:r>
              <w:rPr>
                <w:rFonts w:hint="eastAsia" w:ascii="宋体" w:hAnsi="宋体"/>
                <w:b/>
                <w:color w:val="auto"/>
                <w:szCs w:val="21"/>
                <w:highlight w:val="none"/>
              </w:rPr>
              <w:t>（项目名称）响应文件</w:t>
            </w:r>
          </w:p>
          <w:p w14:paraId="30DFB89D">
            <w:pP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标包：</w:t>
            </w:r>
          </w:p>
          <w:p w14:paraId="51293359">
            <w:pPr>
              <w:rPr>
                <w:rFonts w:ascii="宋体" w:hAnsi="宋体"/>
                <w:b/>
                <w:color w:val="auto"/>
                <w:szCs w:val="21"/>
                <w:highlight w:val="none"/>
              </w:rPr>
            </w:pPr>
            <w:r>
              <w:rPr>
                <w:rFonts w:hint="eastAsia" w:ascii="宋体" w:hAnsi="宋体"/>
                <w:b/>
                <w:color w:val="auto"/>
                <w:szCs w:val="21"/>
                <w:highlight w:val="none"/>
              </w:rPr>
              <w:t>响应人名称：</w:t>
            </w:r>
          </w:p>
          <w:p w14:paraId="507CDBE8">
            <w:pPr>
              <w:rPr>
                <w:rFonts w:ascii="宋体" w:hAnsi="宋体"/>
                <w:b/>
                <w:color w:val="auto"/>
                <w:szCs w:val="21"/>
                <w:highlight w:val="none"/>
              </w:rPr>
            </w:pPr>
            <w:r>
              <w:rPr>
                <w:rFonts w:hint="eastAsia" w:ascii="宋体" w:hAnsi="宋体"/>
                <w:b/>
                <w:color w:val="auto"/>
                <w:szCs w:val="21"/>
                <w:highlight w:val="none"/>
              </w:rPr>
              <w:t>联系人：</w:t>
            </w:r>
          </w:p>
          <w:p w14:paraId="6589E39A">
            <w:pPr>
              <w:rPr>
                <w:rFonts w:ascii="宋体" w:hAnsi="宋体"/>
                <w:b/>
                <w:color w:val="auto"/>
                <w:szCs w:val="21"/>
                <w:highlight w:val="none"/>
              </w:rPr>
            </w:pPr>
            <w:r>
              <w:rPr>
                <w:rFonts w:hint="eastAsia" w:ascii="宋体" w:hAnsi="宋体"/>
                <w:b/>
                <w:color w:val="auto"/>
                <w:szCs w:val="21"/>
                <w:highlight w:val="none"/>
              </w:rPr>
              <w:t>联系方式：</w:t>
            </w:r>
          </w:p>
          <w:p w14:paraId="66646663">
            <w:pPr>
              <w:rPr>
                <w:color w:val="auto"/>
                <w:szCs w:val="21"/>
                <w:highlight w:val="none"/>
              </w:rPr>
            </w:pPr>
            <w:r>
              <w:rPr>
                <w:rFonts w:hint="eastAsia" w:ascii="宋体" w:hAnsi="宋体"/>
                <w:b/>
                <w:color w:val="auto"/>
                <w:szCs w:val="21"/>
                <w:highlight w:val="none"/>
              </w:rPr>
              <w:t>在</w:t>
            </w:r>
            <w:r>
              <w:rPr>
                <w:rFonts w:hint="eastAsia" w:ascii="宋体" w:hAnsi="宋体"/>
                <w:b/>
                <w:color w:val="auto"/>
                <w:szCs w:val="21"/>
                <w:highlight w:val="none"/>
                <w:u w:val="single"/>
              </w:rPr>
              <w:t xml:space="preserve">  </w:t>
            </w:r>
            <w:r>
              <w:rPr>
                <w:rFonts w:hint="eastAsia" w:ascii="宋体" w:hAnsi="宋体"/>
                <w:b/>
                <w:color w:val="auto"/>
                <w:szCs w:val="21"/>
                <w:highlight w:val="none"/>
              </w:rPr>
              <w:t>年</w:t>
            </w:r>
            <w:r>
              <w:rPr>
                <w:rFonts w:hint="eastAsia" w:ascii="宋体" w:hAnsi="宋体"/>
                <w:b/>
                <w:color w:val="auto"/>
                <w:szCs w:val="21"/>
                <w:highlight w:val="none"/>
                <w:u w:val="single"/>
              </w:rPr>
              <w:t xml:space="preserve">  </w:t>
            </w:r>
            <w:r>
              <w:rPr>
                <w:rFonts w:hint="eastAsia" w:ascii="宋体" w:hAnsi="宋体"/>
                <w:b/>
                <w:color w:val="auto"/>
                <w:szCs w:val="21"/>
                <w:highlight w:val="none"/>
              </w:rPr>
              <w:t>月</w:t>
            </w:r>
            <w:r>
              <w:rPr>
                <w:rFonts w:hint="eastAsia" w:ascii="宋体" w:hAnsi="宋体"/>
                <w:b/>
                <w:color w:val="auto"/>
                <w:szCs w:val="21"/>
                <w:highlight w:val="none"/>
                <w:u w:val="single"/>
              </w:rPr>
              <w:t xml:space="preserve">  </w:t>
            </w:r>
            <w:r>
              <w:rPr>
                <w:rFonts w:hint="eastAsia" w:ascii="宋体" w:hAnsi="宋体"/>
                <w:b/>
                <w:color w:val="auto"/>
                <w:szCs w:val="21"/>
                <w:highlight w:val="none"/>
              </w:rPr>
              <w:t>日</w:t>
            </w:r>
            <w:r>
              <w:rPr>
                <w:rFonts w:hint="eastAsia" w:ascii="宋体" w:hAnsi="宋体"/>
                <w:b/>
                <w:color w:val="auto"/>
                <w:szCs w:val="21"/>
                <w:highlight w:val="none"/>
                <w:u w:val="single"/>
              </w:rPr>
              <w:t xml:space="preserve">  </w:t>
            </w:r>
            <w:r>
              <w:rPr>
                <w:rFonts w:hint="eastAsia" w:ascii="宋体" w:hAnsi="宋体"/>
                <w:b/>
                <w:color w:val="auto"/>
                <w:szCs w:val="21"/>
                <w:highlight w:val="none"/>
              </w:rPr>
              <w:t>时</w:t>
            </w:r>
            <w:r>
              <w:rPr>
                <w:rFonts w:hint="eastAsia" w:ascii="宋体" w:hAnsi="宋体"/>
                <w:b/>
                <w:color w:val="auto"/>
                <w:szCs w:val="21"/>
                <w:highlight w:val="none"/>
                <w:u w:val="single"/>
              </w:rPr>
              <w:t xml:space="preserve">  </w:t>
            </w:r>
            <w:r>
              <w:rPr>
                <w:rFonts w:hint="eastAsia" w:ascii="宋体" w:hAnsi="宋体"/>
                <w:b/>
                <w:color w:val="auto"/>
                <w:szCs w:val="21"/>
                <w:highlight w:val="none"/>
              </w:rPr>
              <w:t>分前不得开启</w:t>
            </w:r>
          </w:p>
        </w:tc>
      </w:tr>
      <w:tr w14:paraId="2BC7A539">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B006EAF">
            <w:pPr>
              <w:jc w:val="center"/>
              <w:rPr>
                <w:color w:val="auto"/>
                <w:szCs w:val="21"/>
                <w:highlight w:val="none"/>
              </w:rPr>
            </w:pPr>
            <w:r>
              <w:rPr>
                <w:rFonts w:hint="eastAsia"/>
                <w:color w:val="auto"/>
                <w:szCs w:val="21"/>
                <w:highlight w:val="none"/>
              </w:rPr>
              <w:t>4.1.1</w:t>
            </w:r>
          </w:p>
        </w:tc>
        <w:tc>
          <w:tcPr>
            <w:tcW w:w="1843" w:type="dxa"/>
            <w:tcBorders>
              <w:top w:val="single" w:color="auto" w:sz="4" w:space="0"/>
              <w:left w:val="single" w:color="auto" w:sz="4" w:space="0"/>
              <w:bottom w:val="single" w:color="auto" w:sz="4" w:space="0"/>
              <w:right w:val="single" w:color="auto" w:sz="4" w:space="0"/>
            </w:tcBorders>
            <w:vAlign w:val="center"/>
          </w:tcPr>
          <w:p w14:paraId="339E6C44">
            <w:pPr>
              <w:jc w:val="left"/>
              <w:rPr>
                <w:color w:val="auto"/>
                <w:szCs w:val="21"/>
                <w:highlight w:val="none"/>
              </w:rPr>
            </w:pPr>
            <w:r>
              <w:rPr>
                <w:rFonts w:hint="eastAsia" w:hAnsi="宋体"/>
                <w:color w:val="auto"/>
                <w:szCs w:val="21"/>
                <w:highlight w:val="none"/>
              </w:rPr>
              <w:t>响应文件递交截止时间</w:t>
            </w:r>
          </w:p>
        </w:tc>
        <w:tc>
          <w:tcPr>
            <w:tcW w:w="6095" w:type="dxa"/>
            <w:tcBorders>
              <w:top w:val="single" w:color="auto" w:sz="4" w:space="0"/>
              <w:left w:val="single" w:color="auto" w:sz="4" w:space="0"/>
              <w:bottom w:val="single" w:color="auto" w:sz="4" w:space="0"/>
              <w:right w:val="single" w:color="auto" w:sz="4" w:space="0"/>
            </w:tcBorders>
            <w:vAlign w:val="center"/>
          </w:tcPr>
          <w:p w14:paraId="029C0AEE">
            <w:pPr>
              <w:pStyle w:val="70"/>
              <w:ind w:firstLine="0" w:firstLineChars="0"/>
              <w:rPr>
                <w:rFonts w:hAnsi="宋体"/>
                <w:color w:val="auto"/>
                <w:szCs w:val="21"/>
                <w:highlight w:val="none"/>
              </w:rPr>
            </w:pPr>
            <w:r>
              <w:rPr>
                <w:rFonts w:hint="eastAsia" w:ascii="宋体" w:hAnsi="宋体" w:cs="宋体"/>
                <w:color w:val="auto"/>
                <w:szCs w:val="21"/>
                <w:highlight w:val="none"/>
              </w:rPr>
              <w:t>详见竞争性谈判公告</w:t>
            </w:r>
          </w:p>
        </w:tc>
      </w:tr>
      <w:tr w14:paraId="429B33E3">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1AB0C870">
            <w:pPr>
              <w:jc w:val="center"/>
              <w:rPr>
                <w:color w:val="auto"/>
                <w:szCs w:val="21"/>
                <w:highlight w:val="none"/>
              </w:rPr>
            </w:pPr>
            <w:r>
              <w:rPr>
                <w:rFonts w:hint="eastAsia"/>
                <w:color w:val="auto"/>
                <w:szCs w:val="21"/>
                <w:highlight w:val="none"/>
              </w:rPr>
              <w:t>4.1.2</w:t>
            </w:r>
          </w:p>
        </w:tc>
        <w:tc>
          <w:tcPr>
            <w:tcW w:w="1843" w:type="dxa"/>
            <w:tcBorders>
              <w:top w:val="single" w:color="auto" w:sz="4" w:space="0"/>
              <w:left w:val="single" w:color="auto" w:sz="4" w:space="0"/>
              <w:bottom w:val="single" w:color="auto" w:sz="4" w:space="0"/>
              <w:right w:val="single" w:color="auto" w:sz="4" w:space="0"/>
            </w:tcBorders>
            <w:vAlign w:val="center"/>
          </w:tcPr>
          <w:p w14:paraId="5CB90D49">
            <w:pPr>
              <w:jc w:val="left"/>
              <w:rPr>
                <w:rFonts w:hAnsi="宋体"/>
                <w:color w:val="auto"/>
                <w:szCs w:val="21"/>
                <w:highlight w:val="none"/>
              </w:rPr>
            </w:pPr>
            <w:r>
              <w:rPr>
                <w:rFonts w:hint="eastAsia" w:hAnsi="宋体"/>
                <w:color w:val="auto"/>
                <w:szCs w:val="21"/>
                <w:highlight w:val="none"/>
              </w:rPr>
              <w:t>响应文件递交地点</w:t>
            </w:r>
          </w:p>
        </w:tc>
        <w:tc>
          <w:tcPr>
            <w:tcW w:w="6095" w:type="dxa"/>
            <w:tcBorders>
              <w:top w:val="single" w:color="auto" w:sz="4" w:space="0"/>
              <w:left w:val="single" w:color="auto" w:sz="4" w:space="0"/>
              <w:bottom w:val="single" w:color="auto" w:sz="4" w:space="0"/>
              <w:right w:val="single" w:color="auto" w:sz="4" w:space="0"/>
            </w:tcBorders>
            <w:vAlign w:val="center"/>
          </w:tcPr>
          <w:p w14:paraId="241769F1">
            <w:pPr>
              <w:pStyle w:val="70"/>
              <w:ind w:firstLine="0" w:firstLineChars="0"/>
              <w:rPr>
                <w:rFonts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14:paraId="0F40B8E6">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56063EE">
            <w:pPr>
              <w:jc w:val="center"/>
              <w:rPr>
                <w:color w:val="auto"/>
                <w:szCs w:val="21"/>
                <w:highlight w:val="none"/>
              </w:rPr>
            </w:pPr>
            <w:r>
              <w:rPr>
                <w:rFonts w:hint="eastAsia"/>
                <w:color w:val="auto"/>
                <w:szCs w:val="21"/>
                <w:highlight w:val="none"/>
              </w:rPr>
              <w:t>4.1.4</w:t>
            </w:r>
          </w:p>
        </w:tc>
        <w:tc>
          <w:tcPr>
            <w:tcW w:w="1843" w:type="dxa"/>
            <w:tcBorders>
              <w:top w:val="single" w:color="auto" w:sz="4" w:space="0"/>
              <w:left w:val="single" w:color="auto" w:sz="4" w:space="0"/>
              <w:bottom w:val="single" w:color="auto" w:sz="4" w:space="0"/>
              <w:right w:val="single" w:color="auto" w:sz="4" w:space="0"/>
            </w:tcBorders>
            <w:vAlign w:val="center"/>
          </w:tcPr>
          <w:p w14:paraId="3E31D1E1">
            <w:pPr>
              <w:jc w:val="left"/>
              <w:rPr>
                <w:rFonts w:hAnsi="宋体"/>
                <w:color w:val="auto"/>
                <w:szCs w:val="21"/>
                <w:highlight w:val="none"/>
              </w:rPr>
            </w:pPr>
            <w:r>
              <w:rPr>
                <w:rFonts w:hint="eastAsia" w:hAnsi="宋体"/>
                <w:color w:val="auto"/>
                <w:szCs w:val="21"/>
                <w:highlight w:val="none"/>
              </w:rPr>
              <w:t>响应文件退还</w:t>
            </w:r>
          </w:p>
        </w:tc>
        <w:tc>
          <w:tcPr>
            <w:tcW w:w="6095" w:type="dxa"/>
            <w:tcBorders>
              <w:top w:val="single" w:color="auto" w:sz="4" w:space="0"/>
              <w:left w:val="single" w:color="auto" w:sz="4" w:space="0"/>
              <w:bottom w:val="single" w:color="auto" w:sz="4" w:space="0"/>
              <w:right w:val="single" w:color="auto" w:sz="4" w:space="0"/>
            </w:tcBorders>
            <w:vAlign w:val="center"/>
          </w:tcPr>
          <w:p w14:paraId="73AD58A3">
            <w:pPr>
              <w:autoSpaceDE w:val="0"/>
              <w:autoSpaceDN w:val="0"/>
              <w:rPr>
                <w:rFonts w:ascii="宋体" w:hAnsi="宋体" w:cs="宋体"/>
                <w:color w:val="auto"/>
                <w:szCs w:val="21"/>
                <w:highlight w:val="none"/>
                <w:u w:val="single"/>
              </w:rPr>
            </w:pPr>
            <w:r>
              <w:rPr>
                <w:rFonts w:hint="eastAsia" w:ascii="宋体" w:hAnsi="宋体" w:cs="宋体"/>
                <w:color w:val="auto"/>
                <w:szCs w:val="21"/>
                <w:highlight w:val="none"/>
              </w:rPr>
              <w:t>不退还</w:t>
            </w:r>
          </w:p>
        </w:tc>
      </w:tr>
      <w:tr w14:paraId="6F3C4431">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14:paraId="09A880B6">
            <w:pPr>
              <w:jc w:val="center"/>
              <w:rPr>
                <w:color w:val="auto"/>
                <w:szCs w:val="21"/>
                <w:highlight w:val="none"/>
              </w:rPr>
            </w:pPr>
            <w:r>
              <w:rPr>
                <w:color w:val="auto"/>
                <w:szCs w:val="21"/>
                <w:highlight w:val="none"/>
              </w:rPr>
              <w:t>5.1</w:t>
            </w:r>
          </w:p>
        </w:tc>
        <w:tc>
          <w:tcPr>
            <w:tcW w:w="1843" w:type="dxa"/>
            <w:tcBorders>
              <w:top w:val="single" w:color="auto" w:sz="4" w:space="0"/>
              <w:left w:val="single" w:color="auto" w:sz="4" w:space="0"/>
              <w:right w:val="single" w:color="auto" w:sz="4" w:space="0"/>
            </w:tcBorders>
            <w:vAlign w:val="center"/>
          </w:tcPr>
          <w:p w14:paraId="5F61D10E">
            <w:pPr>
              <w:jc w:val="left"/>
              <w:rPr>
                <w:color w:val="auto"/>
                <w:szCs w:val="21"/>
                <w:highlight w:val="none"/>
              </w:rPr>
            </w:pPr>
            <w:r>
              <w:rPr>
                <w:rFonts w:hint="eastAsia"/>
                <w:color w:val="auto"/>
                <w:szCs w:val="21"/>
                <w:highlight w:val="none"/>
              </w:rPr>
              <w:t>唱标时间和地点</w:t>
            </w:r>
          </w:p>
        </w:tc>
        <w:tc>
          <w:tcPr>
            <w:tcW w:w="6095" w:type="dxa"/>
            <w:tcBorders>
              <w:top w:val="single" w:color="auto" w:sz="4" w:space="0"/>
              <w:left w:val="single" w:color="auto" w:sz="4" w:space="0"/>
              <w:right w:val="single" w:color="auto" w:sz="4" w:space="0"/>
            </w:tcBorders>
            <w:vAlign w:val="center"/>
          </w:tcPr>
          <w:p w14:paraId="74CC8A17">
            <w:pPr>
              <w:rPr>
                <w:color w:val="auto"/>
                <w:szCs w:val="21"/>
                <w:highlight w:val="none"/>
              </w:rPr>
            </w:pPr>
            <w:r>
              <w:rPr>
                <w:rFonts w:hint="eastAsia" w:ascii="宋体" w:hAnsi="宋体" w:cs="宋体"/>
                <w:color w:val="auto"/>
                <w:szCs w:val="21"/>
                <w:highlight w:val="none"/>
              </w:rPr>
              <w:t>同响应文件递交截止时间和地点</w:t>
            </w:r>
          </w:p>
        </w:tc>
      </w:tr>
      <w:tr w14:paraId="73D5C259">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14:paraId="4FDD877D">
            <w:pPr>
              <w:jc w:val="center"/>
              <w:rPr>
                <w:color w:val="auto"/>
                <w:szCs w:val="21"/>
                <w:highlight w:val="none"/>
              </w:rPr>
            </w:pPr>
            <w:r>
              <w:rPr>
                <w:rFonts w:hint="eastAsia"/>
                <w:color w:val="auto"/>
                <w:szCs w:val="21"/>
                <w:highlight w:val="none"/>
              </w:rPr>
              <w:t>6.1.1</w:t>
            </w:r>
          </w:p>
        </w:tc>
        <w:tc>
          <w:tcPr>
            <w:tcW w:w="1843" w:type="dxa"/>
            <w:tcBorders>
              <w:top w:val="single" w:color="auto" w:sz="4" w:space="0"/>
              <w:left w:val="single" w:color="auto" w:sz="4" w:space="0"/>
              <w:right w:val="single" w:color="auto" w:sz="4" w:space="0"/>
            </w:tcBorders>
            <w:vAlign w:val="center"/>
          </w:tcPr>
          <w:p w14:paraId="7006D045">
            <w:pPr>
              <w:jc w:val="left"/>
              <w:rPr>
                <w:color w:val="auto"/>
                <w:szCs w:val="21"/>
                <w:highlight w:val="none"/>
              </w:rPr>
            </w:pPr>
            <w:r>
              <w:rPr>
                <w:rFonts w:hint="eastAsia"/>
                <w:color w:val="auto"/>
                <w:szCs w:val="21"/>
                <w:highlight w:val="none"/>
              </w:rPr>
              <w:t>谈判小组组成人数</w:t>
            </w:r>
          </w:p>
        </w:tc>
        <w:tc>
          <w:tcPr>
            <w:tcW w:w="6095" w:type="dxa"/>
            <w:tcBorders>
              <w:top w:val="single" w:color="auto" w:sz="4" w:space="0"/>
              <w:left w:val="single" w:color="auto" w:sz="4" w:space="0"/>
              <w:right w:val="single" w:color="auto" w:sz="4" w:space="0"/>
            </w:tcBorders>
            <w:vAlign w:val="center"/>
          </w:tcPr>
          <w:p w14:paraId="33B1885A">
            <w:pPr>
              <w:rPr>
                <w:color w:val="auto"/>
                <w:szCs w:val="21"/>
                <w:highlight w:val="none"/>
              </w:rPr>
            </w:pPr>
            <w:r>
              <w:rPr>
                <w:rFonts w:hint="eastAsia" w:ascii="宋体" w:hAnsi="宋体" w:cs="宋体"/>
                <w:color w:val="auto"/>
                <w:szCs w:val="21"/>
                <w:highlight w:val="none"/>
              </w:rPr>
              <w:t>3人以上单数</w:t>
            </w:r>
          </w:p>
        </w:tc>
      </w:tr>
      <w:tr w14:paraId="2EB55CB4">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14:paraId="1EA37C9E">
            <w:pPr>
              <w:jc w:val="center"/>
              <w:rPr>
                <w:color w:val="auto"/>
                <w:szCs w:val="21"/>
                <w:highlight w:val="none"/>
              </w:rPr>
            </w:pPr>
            <w:r>
              <w:rPr>
                <w:rFonts w:hint="eastAsia"/>
                <w:color w:val="auto"/>
                <w:szCs w:val="21"/>
                <w:highlight w:val="none"/>
              </w:rPr>
              <w:t>6.3</w:t>
            </w:r>
          </w:p>
        </w:tc>
        <w:tc>
          <w:tcPr>
            <w:tcW w:w="1843" w:type="dxa"/>
            <w:tcBorders>
              <w:top w:val="single" w:color="auto" w:sz="4" w:space="0"/>
              <w:left w:val="single" w:color="auto" w:sz="4" w:space="0"/>
              <w:right w:val="single" w:color="auto" w:sz="4" w:space="0"/>
            </w:tcBorders>
            <w:vAlign w:val="center"/>
          </w:tcPr>
          <w:p w14:paraId="3EA73ABF">
            <w:pPr>
              <w:jc w:val="left"/>
              <w:rPr>
                <w:color w:val="auto"/>
                <w:szCs w:val="21"/>
                <w:highlight w:val="none"/>
              </w:rPr>
            </w:pPr>
            <w:r>
              <w:rPr>
                <w:rFonts w:hint="eastAsia"/>
                <w:color w:val="auto"/>
                <w:szCs w:val="21"/>
                <w:highlight w:val="none"/>
              </w:rPr>
              <w:t>评审方法</w:t>
            </w:r>
          </w:p>
        </w:tc>
        <w:tc>
          <w:tcPr>
            <w:tcW w:w="6095" w:type="dxa"/>
            <w:tcBorders>
              <w:top w:val="single" w:color="auto" w:sz="4" w:space="0"/>
              <w:left w:val="single" w:color="auto" w:sz="4" w:space="0"/>
              <w:right w:val="single" w:color="auto" w:sz="4" w:space="0"/>
            </w:tcBorders>
            <w:vAlign w:val="center"/>
          </w:tcPr>
          <w:p w14:paraId="51034B82">
            <w:pPr>
              <w:rPr>
                <w:rFonts w:ascii="宋体" w:hAnsi="宋体" w:cs="宋体"/>
                <w:color w:val="auto"/>
                <w:szCs w:val="21"/>
                <w:highlight w:val="none"/>
              </w:rPr>
            </w:pPr>
            <w:r>
              <w:rPr>
                <w:rFonts w:hint="eastAsia" w:ascii="宋体" w:hAnsi="宋体"/>
                <w:color w:val="auto"/>
                <w:szCs w:val="21"/>
                <w:highlight w:val="none"/>
              </w:rPr>
              <w:t>最低评标价法</w:t>
            </w:r>
          </w:p>
        </w:tc>
      </w:tr>
      <w:tr w14:paraId="5D52B3CF">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14:paraId="642FCFEE">
            <w:pPr>
              <w:jc w:val="center"/>
              <w:rPr>
                <w:color w:val="auto"/>
                <w:szCs w:val="21"/>
                <w:highlight w:val="none"/>
              </w:rPr>
            </w:pPr>
            <w:r>
              <w:rPr>
                <w:rFonts w:hint="eastAsia"/>
                <w:color w:val="auto"/>
                <w:szCs w:val="21"/>
                <w:highlight w:val="none"/>
              </w:rPr>
              <w:t>6.4</w:t>
            </w:r>
          </w:p>
        </w:tc>
        <w:tc>
          <w:tcPr>
            <w:tcW w:w="1843" w:type="dxa"/>
            <w:tcBorders>
              <w:top w:val="single" w:color="auto" w:sz="4" w:space="0"/>
              <w:left w:val="single" w:color="auto" w:sz="4" w:space="0"/>
              <w:right w:val="single" w:color="auto" w:sz="4" w:space="0"/>
            </w:tcBorders>
            <w:vAlign w:val="center"/>
          </w:tcPr>
          <w:p w14:paraId="71037CEF">
            <w:pPr>
              <w:jc w:val="left"/>
              <w:rPr>
                <w:rFonts w:ascii="宋体" w:hAnsi="宋体" w:cs="宋体"/>
                <w:color w:val="auto"/>
                <w:szCs w:val="21"/>
                <w:highlight w:val="none"/>
              </w:rPr>
            </w:pPr>
            <w:r>
              <w:rPr>
                <w:rFonts w:hint="eastAsia" w:ascii="宋体" w:hAnsi="宋体" w:cs="宋体"/>
                <w:color w:val="auto"/>
                <w:szCs w:val="21"/>
                <w:highlight w:val="none"/>
              </w:rPr>
              <w:t>推荐成交候选人原则</w:t>
            </w:r>
          </w:p>
        </w:tc>
        <w:tc>
          <w:tcPr>
            <w:tcW w:w="6095" w:type="dxa"/>
            <w:tcBorders>
              <w:top w:val="single" w:color="auto" w:sz="4" w:space="0"/>
              <w:left w:val="single" w:color="auto" w:sz="4" w:space="0"/>
              <w:right w:val="single" w:color="auto" w:sz="4" w:space="0"/>
            </w:tcBorders>
            <w:vAlign w:val="center"/>
          </w:tcPr>
          <w:p w14:paraId="540C273E">
            <w:pPr>
              <w:autoSpaceDE w:val="0"/>
              <w:autoSpaceDN w:val="0"/>
              <w:rPr>
                <w:rFonts w:ascii="宋体" w:hAnsi="宋体" w:cs="宋体"/>
                <w:color w:val="auto"/>
                <w:szCs w:val="21"/>
                <w:highlight w:val="none"/>
              </w:rPr>
            </w:pPr>
            <w:r>
              <w:rPr>
                <w:rFonts w:hint="eastAsia" w:ascii="宋体" w:hAnsi="宋体" w:cs="宋体"/>
                <w:color w:val="auto"/>
                <w:kern w:val="0"/>
                <w:highlight w:val="none"/>
              </w:rPr>
              <w:t>本项目</w:t>
            </w:r>
            <w:r>
              <w:rPr>
                <w:rFonts w:hint="eastAsia" w:ascii="宋体" w:hAnsi="宋体" w:cs="宋体"/>
                <w:color w:val="auto"/>
                <w:kern w:val="0"/>
                <w:highlight w:val="none"/>
                <w:lang w:val="en-US" w:eastAsia="zh-CN"/>
              </w:rPr>
              <w:t>每标包各</w:t>
            </w:r>
            <w:r>
              <w:rPr>
                <w:rFonts w:hint="eastAsia" w:ascii="宋体" w:hAnsi="宋体" w:cs="宋体"/>
                <w:color w:val="auto"/>
                <w:kern w:val="0"/>
                <w:highlight w:val="none"/>
              </w:rPr>
              <w:t>推荐</w:t>
            </w:r>
            <w:r>
              <w:rPr>
                <w:rFonts w:hint="eastAsia" w:ascii="宋体" w:hAnsi="宋体" w:cs="宋体"/>
                <w:color w:val="auto"/>
                <w:kern w:val="0"/>
                <w:highlight w:val="none"/>
                <w:lang w:val="en-US" w:eastAsia="zh-CN"/>
              </w:rPr>
              <w:t>一</w:t>
            </w:r>
            <w:r>
              <w:rPr>
                <w:rFonts w:hint="eastAsia" w:ascii="宋体" w:hAnsi="宋体" w:cs="宋体"/>
                <w:color w:val="auto"/>
                <w:kern w:val="0"/>
                <w:highlight w:val="none"/>
              </w:rPr>
              <w:t>名</w:t>
            </w:r>
            <w:r>
              <w:rPr>
                <w:rFonts w:hint="eastAsia" w:ascii="宋体" w:hAnsi="宋体" w:cs="宋体"/>
                <w:color w:val="auto"/>
                <w:kern w:val="0"/>
                <w:highlight w:val="none"/>
                <w:lang w:val="en-US" w:eastAsia="zh-CN"/>
              </w:rPr>
              <w:t>或以上</w:t>
            </w:r>
            <w:r>
              <w:rPr>
                <w:rFonts w:hint="eastAsia" w:ascii="宋体" w:hAnsi="宋体" w:cs="宋体"/>
                <w:color w:val="auto"/>
                <w:kern w:val="0"/>
                <w:highlight w:val="none"/>
              </w:rPr>
              <w:t>成交候选单位。</w:t>
            </w:r>
            <w:r>
              <w:rPr>
                <w:rFonts w:hint="eastAsia"/>
                <w:color w:val="auto"/>
                <w:szCs w:val="21"/>
                <w:highlight w:val="none"/>
              </w:rPr>
              <w:t>根据符合采购需求、质量和服务且报价最低的原则按顺序排列推荐成交</w:t>
            </w:r>
            <w:r>
              <w:rPr>
                <w:rFonts w:hint="eastAsia"/>
                <w:color w:val="auto"/>
                <w:szCs w:val="21"/>
                <w:highlight w:val="none"/>
                <w:lang w:eastAsia="zh-CN"/>
              </w:rPr>
              <w:t>候选人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tc>
      </w:tr>
      <w:tr w14:paraId="6D68AD4C">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14:paraId="27D69622">
            <w:pPr>
              <w:jc w:val="center"/>
              <w:rPr>
                <w:color w:val="auto"/>
                <w:szCs w:val="21"/>
                <w:highlight w:val="none"/>
              </w:rPr>
            </w:pPr>
            <w:r>
              <w:rPr>
                <w:rFonts w:hint="eastAsia"/>
                <w:color w:val="auto"/>
                <w:szCs w:val="21"/>
                <w:highlight w:val="none"/>
              </w:rPr>
              <w:t>7.1</w:t>
            </w:r>
          </w:p>
        </w:tc>
        <w:tc>
          <w:tcPr>
            <w:tcW w:w="1843" w:type="dxa"/>
            <w:tcBorders>
              <w:top w:val="single" w:color="auto" w:sz="4" w:space="0"/>
              <w:left w:val="single" w:color="auto" w:sz="4" w:space="0"/>
              <w:right w:val="single" w:color="auto" w:sz="4" w:space="0"/>
            </w:tcBorders>
            <w:vAlign w:val="center"/>
          </w:tcPr>
          <w:p w14:paraId="5037314D">
            <w:pPr>
              <w:jc w:val="left"/>
              <w:rPr>
                <w:rFonts w:ascii="宋体" w:hAnsi="宋体" w:cs="宋体"/>
                <w:color w:val="auto"/>
                <w:szCs w:val="21"/>
                <w:highlight w:val="none"/>
              </w:rPr>
            </w:pPr>
            <w:r>
              <w:rPr>
                <w:rStyle w:val="83"/>
                <w:rFonts w:hint="eastAsia"/>
                <w:color w:val="auto"/>
                <w:szCs w:val="21"/>
                <w:highlight w:val="none"/>
              </w:rPr>
              <w:t>成交候选人公示媒介</w:t>
            </w:r>
          </w:p>
        </w:tc>
        <w:tc>
          <w:tcPr>
            <w:tcW w:w="6095" w:type="dxa"/>
            <w:tcBorders>
              <w:top w:val="single" w:color="auto" w:sz="4" w:space="0"/>
              <w:left w:val="single" w:color="auto" w:sz="4" w:space="0"/>
              <w:right w:val="single" w:color="auto" w:sz="4" w:space="0"/>
            </w:tcBorders>
            <w:vAlign w:val="center"/>
          </w:tcPr>
          <w:p w14:paraId="22DD79B7">
            <w:pPr>
              <w:autoSpaceDE w:val="0"/>
              <w:autoSpaceDN w:val="0"/>
              <w:rPr>
                <w:rFonts w:ascii="宋体" w:hAnsi="宋体" w:cs="宋体"/>
                <w:color w:val="auto"/>
                <w:kern w:val="0"/>
                <w:highlight w:val="none"/>
              </w:rPr>
            </w:pPr>
            <w:r>
              <w:rPr>
                <w:rFonts w:hint="eastAsia"/>
                <w:color w:val="auto"/>
                <w:highlight w:val="none"/>
                <w:u w:val="single"/>
              </w:rPr>
              <w:t>东莞实业投资控股集团有限公司网站</w:t>
            </w:r>
            <w:r>
              <w:rPr>
                <w:color w:val="auto"/>
                <w:highlight w:val="none"/>
                <w:u w:val="single"/>
              </w:rPr>
              <w:t>（</w:t>
            </w:r>
            <w:r>
              <w:rPr>
                <w:rFonts w:hint="eastAsia"/>
                <w:color w:val="auto"/>
                <w:highlight w:val="none"/>
                <w:u w:val="single"/>
              </w:rPr>
              <w:t>网址：http://www.dgsy.com.cn/</w:t>
            </w:r>
            <w:r>
              <w:rPr>
                <w:color w:val="auto"/>
                <w:highlight w:val="none"/>
                <w:u w:val="single"/>
              </w:rPr>
              <w:t>）</w:t>
            </w:r>
          </w:p>
        </w:tc>
      </w:tr>
      <w:tr w14:paraId="2FA10CF0">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14:paraId="6B0113E5">
            <w:pPr>
              <w:jc w:val="center"/>
              <w:rPr>
                <w:color w:val="auto"/>
                <w:szCs w:val="21"/>
                <w:highlight w:val="none"/>
              </w:rPr>
            </w:pPr>
            <w:r>
              <w:rPr>
                <w:rFonts w:hint="eastAsia"/>
                <w:color w:val="auto"/>
                <w:szCs w:val="21"/>
                <w:highlight w:val="none"/>
              </w:rPr>
              <w:t>7.3.1</w:t>
            </w:r>
          </w:p>
        </w:tc>
        <w:tc>
          <w:tcPr>
            <w:tcW w:w="1843" w:type="dxa"/>
            <w:tcBorders>
              <w:top w:val="single" w:color="auto" w:sz="4" w:space="0"/>
              <w:left w:val="single" w:color="auto" w:sz="4" w:space="0"/>
              <w:right w:val="single" w:color="auto" w:sz="4" w:space="0"/>
            </w:tcBorders>
            <w:vAlign w:val="center"/>
          </w:tcPr>
          <w:p w14:paraId="3A361383">
            <w:pPr>
              <w:jc w:val="left"/>
              <w:rPr>
                <w:rFonts w:ascii="宋体" w:hAnsi="宋体" w:cs="宋体"/>
                <w:color w:val="auto"/>
                <w:szCs w:val="21"/>
                <w:highlight w:val="none"/>
              </w:rPr>
            </w:pPr>
            <w:r>
              <w:rPr>
                <w:rFonts w:hint="eastAsia" w:ascii="宋体" w:hAnsi="宋体" w:cs="宋体"/>
                <w:color w:val="auto"/>
                <w:szCs w:val="21"/>
                <w:highlight w:val="none"/>
              </w:rPr>
              <w:t>成交人确定</w:t>
            </w:r>
          </w:p>
        </w:tc>
        <w:tc>
          <w:tcPr>
            <w:tcW w:w="6095" w:type="dxa"/>
            <w:tcBorders>
              <w:top w:val="single" w:color="auto" w:sz="4" w:space="0"/>
              <w:left w:val="single" w:color="auto" w:sz="4" w:space="0"/>
              <w:right w:val="single" w:color="auto" w:sz="4" w:space="0"/>
            </w:tcBorders>
            <w:vAlign w:val="center"/>
          </w:tcPr>
          <w:p w14:paraId="62F08000">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谈判小组直接确定成交人</w:t>
            </w:r>
            <w:r>
              <w:rPr>
                <w:rFonts w:hint="eastAsia" w:ascii="宋体" w:hAnsi="宋体" w:cs="宋体"/>
                <w:color w:val="auto"/>
                <w:szCs w:val="21"/>
                <w:highlight w:val="none"/>
              </w:rPr>
              <w:t>，</w:t>
            </w:r>
            <w:r>
              <w:rPr>
                <w:rFonts w:hint="eastAsia" w:hAnsi="宋体"/>
                <w:color w:val="auto"/>
                <w:szCs w:val="21"/>
                <w:highlight w:val="none"/>
              </w:rPr>
              <w:t>成交人数量：</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p w14:paraId="05BA6CFD">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采购人确定成交人，</w:t>
            </w:r>
            <w:r>
              <w:rPr>
                <w:rFonts w:hint="eastAsia" w:hAnsi="宋体"/>
                <w:color w:val="auto"/>
                <w:szCs w:val="21"/>
                <w:highlight w:val="none"/>
              </w:rPr>
              <w:t>成交人数量：</w:t>
            </w:r>
            <w:r>
              <w:rPr>
                <w:rFonts w:hint="eastAsia" w:ascii="宋体" w:hAnsi="宋体" w:cs="宋体"/>
                <w:color w:val="auto"/>
                <w:kern w:val="0"/>
                <w:highlight w:val="none"/>
                <w:lang w:val="en-US" w:eastAsia="zh-CN"/>
              </w:rPr>
              <w:t>每标包</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1F200455">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14:paraId="1B8BFBA0">
            <w:pPr>
              <w:jc w:val="center"/>
              <w:rPr>
                <w:color w:val="auto"/>
                <w:szCs w:val="21"/>
                <w:highlight w:val="none"/>
              </w:rPr>
            </w:pPr>
            <w:r>
              <w:rPr>
                <w:rFonts w:hint="eastAsia"/>
                <w:color w:val="auto"/>
                <w:szCs w:val="21"/>
                <w:highlight w:val="none"/>
              </w:rPr>
              <w:t>7.3.2</w:t>
            </w:r>
          </w:p>
        </w:tc>
        <w:tc>
          <w:tcPr>
            <w:tcW w:w="1843" w:type="dxa"/>
            <w:tcBorders>
              <w:top w:val="single" w:color="auto" w:sz="4" w:space="0"/>
              <w:left w:val="single" w:color="auto" w:sz="4" w:space="0"/>
              <w:right w:val="single" w:color="auto" w:sz="4" w:space="0"/>
            </w:tcBorders>
            <w:vAlign w:val="center"/>
          </w:tcPr>
          <w:p w14:paraId="1F6EEA7D">
            <w:pPr>
              <w:jc w:val="left"/>
              <w:rPr>
                <w:rFonts w:ascii="宋体" w:hAnsi="宋体" w:cs="宋体"/>
                <w:color w:val="auto"/>
                <w:szCs w:val="21"/>
                <w:highlight w:val="none"/>
              </w:rPr>
            </w:pPr>
            <w:r>
              <w:rPr>
                <w:rFonts w:hint="eastAsia" w:ascii="宋体" w:hAnsi="宋体" w:cs="宋体"/>
                <w:color w:val="auto"/>
                <w:szCs w:val="21"/>
                <w:highlight w:val="none"/>
              </w:rPr>
              <w:t>成交原则</w:t>
            </w:r>
          </w:p>
        </w:tc>
        <w:tc>
          <w:tcPr>
            <w:tcW w:w="6095" w:type="dxa"/>
            <w:tcBorders>
              <w:top w:val="single" w:color="auto" w:sz="4" w:space="0"/>
              <w:left w:val="single" w:color="auto" w:sz="4" w:space="0"/>
              <w:right w:val="single" w:color="auto" w:sz="4" w:space="0"/>
            </w:tcBorders>
            <w:vAlign w:val="center"/>
          </w:tcPr>
          <w:p w14:paraId="6BE8FB26">
            <w:pPr>
              <w:autoSpaceDE w:val="0"/>
              <w:autoSpaceDN w:val="0"/>
              <w:rPr>
                <w:rFonts w:ascii="宋体" w:hAnsi="宋体" w:cs="宋体"/>
                <w:color w:val="auto"/>
                <w:szCs w:val="21"/>
                <w:highlight w:val="none"/>
              </w:rPr>
            </w:pPr>
            <w:r>
              <w:rPr>
                <w:color w:val="auto"/>
                <w:szCs w:val="21"/>
                <w:highlight w:val="none"/>
              </w:rPr>
              <w:t>采购人</w:t>
            </w:r>
            <w:r>
              <w:rPr>
                <w:rFonts w:hint="eastAsia"/>
                <w:color w:val="auto"/>
                <w:szCs w:val="21"/>
                <w:highlight w:val="none"/>
              </w:rPr>
              <w:t>根据谈判小组推荐的</w:t>
            </w:r>
            <w:r>
              <w:rPr>
                <w:color w:val="auto"/>
                <w:szCs w:val="21"/>
                <w:highlight w:val="none"/>
              </w:rPr>
              <w:t>成交候选人</w:t>
            </w:r>
            <w:r>
              <w:rPr>
                <w:rFonts w:hint="eastAsia"/>
                <w:color w:val="auto"/>
                <w:szCs w:val="21"/>
                <w:highlight w:val="none"/>
              </w:rPr>
              <w:t>名单排序</w:t>
            </w:r>
            <w:r>
              <w:rPr>
                <w:color w:val="auto"/>
                <w:szCs w:val="21"/>
                <w:highlight w:val="none"/>
              </w:rPr>
              <w:t>依次确定</w:t>
            </w:r>
            <w:r>
              <w:rPr>
                <w:rFonts w:hint="eastAsia"/>
                <w:color w:val="auto"/>
                <w:szCs w:val="21"/>
                <w:highlight w:val="none"/>
                <w:lang w:val="en-US" w:eastAsia="zh-CN"/>
              </w:rPr>
              <w:t>各</w:t>
            </w:r>
            <w:r>
              <w:rPr>
                <w:rFonts w:hint="eastAsia" w:ascii="宋体" w:hAnsi="宋体" w:cs="宋体"/>
                <w:color w:val="auto"/>
                <w:kern w:val="0"/>
                <w:highlight w:val="none"/>
                <w:lang w:val="en-US" w:eastAsia="zh-CN"/>
              </w:rPr>
              <w:t>标包</w:t>
            </w:r>
            <w:r>
              <w:rPr>
                <w:color w:val="auto"/>
                <w:szCs w:val="21"/>
                <w:highlight w:val="none"/>
              </w:rPr>
              <w:t>成交人</w:t>
            </w:r>
            <w:r>
              <w:rPr>
                <w:rFonts w:hint="eastAsia"/>
                <w:color w:val="auto"/>
                <w:szCs w:val="21"/>
                <w:highlight w:val="none"/>
              </w:rPr>
              <w:t>。</w:t>
            </w:r>
          </w:p>
        </w:tc>
      </w:tr>
      <w:tr w14:paraId="7A5CF47F">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02F6021">
            <w:pPr>
              <w:jc w:val="center"/>
              <w:rPr>
                <w:color w:val="auto"/>
                <w:szCs w:val="21"/>
                <w:highlight w:val="none"/>
              </w:rPr>
            </w:pPr>
            <w:r>
              <w:rPr>
                <w:rFonts w:hint="eastAsia"/>
                <w:color w:val="auto"/>
                <w:szCs w:val="21"/>
                <w:highlight w:val="none"/>
              </w:rPr>
              <w:t>8.1.1</w:t>
            </w:r>
          </w:p>
        </w:tc>
        <w:tc>
          <w:tcPr>
            <w:tcW w:w="1843" w:type="dxa"/>
            <w:tcBorders>
              <w:top w:val="single" w:color="auto" w:sz="4" w:space="0"/>
              <w:left w:val="single" w:color="auto" w:sz="4" w:space="0"/>
              <w:bottom w:val="single" w:color="auto" w:sz="4" w:space="0"/>
              <w:right w:val="single" w:color="auto" w:sz="4" w:space="0"/>
            </w:tcBorders>
            <w:vAlign w:val="center"/>
          </w:tcPr>
          <w:p w14:paraId="59FC93C9">
            <w:pPr>
              <w:jc w:val="left"/>
              <w:rPr>
                <w:color w:val="auto"/>
                <w:szCs w:val="21"/>
                <w:highlight w:val="none"/>
              </w:rPr>
            </w:pPr>
            <w:r>
              <w:rPr>
                <w:rFonts w:hint="eastAsia" w:ascii="宋体" w:hAnsi="宋体" w:cs="宋体"/>
                <w:color w:val="auto"/>
                <w:szCs w:val="21"/>
                <w:highlight w:val="none"/>
              </w:rPr>
              <w:t>履约担保金额、缴纳方式及要求</w:t>
            </w:r>
          </w:p>
        </w:tc>
        <w:tc>
          <w:tcPr>
            <w:tcW w:w="6095" w:type="dxa"/>
            <w:tcBorders>
              <w:top w:val="single" w:color="auto" w:sz="4" w:space="0"/>
              <w:left w:val="single" w:color="auto" w:sz="4" w:space="0"/>
              <w:bottom w:val="single" w:color="auto" w:sz="4" w:space="0"/>
              <w:right w:val="single" w:color="auto" w:sz="4" w:space="0"/>
            </w:tcBorders>
            <w:vAlign w:val="center"/>
          </w:tcPr>
          <w:p w14:paraId="6D624574">
            <w:pPr>
              <w:autoSpaceDE w:val="0"/>
              <w:autoSpaceDN w:val="0"/>
              <w:jc w:val="left"/>
              <w:rPr>
                <w:rFonts w:ascii="宋体" w:hAnsi="宋体" w:cs="宋体"/>
                <w:color w:val="auto"/>
                <w:szCs w:val="21"/>
                <w:highlight w:val="none"/>
              </w:rPr>
            </w:pPr>
            <w:r>
              <w:rPr>
                <w:rFonts w:hint="eastAsia" w:ascii="宋体" w:hAnsi="宋体" w:cs="宋体"/>
                <w:color w:val="auto"/>
                <w:szCs w:val="21"/>
                <w:highlight w:val="none"/>
              </w:rPr>
              <w:t>1.履约担保金额：合同金额的</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0.00</w:t>
            </w:r>
            <w:r>
              <w:rPr>
                <w:rFonts w:ascii="宋体" w:hAnsi="宋体" w:cs="宋体"/>
                <w:color w:val="auto"/>
                <w:szCs w:val="21"/>
                <w:highlight w:val="none"/>
                <w:u w:val="single"/>
              </w:rPr>
              <w:t xml:space="preserve">  </w:t>
            </w:r>
            <w:r>
              <w:rPr>
                <w:rFonts w:ascii="宋体" w:hAnsi="宋体" w:cs="宋体"/>
                <w:color w:val="auto"/>
                <w:szCs w:val="21"/>
                <w:highlight w:val="none"/>
              </w:rPr>
              <w:t>%</w:t>
            </w:r>
          </w:p>
          <w:p w14:paraId="69F28B3E">
            <w:pPr>
              <w:rPr>
                <w:rFonts w:ascii="宋体" w:hAnsi="宋体" w:cs="宋体"/>
                <w:color w:val="auto"/>
                <w:szCs w:val="21"/>
                <w:highlight w:val="none"/>
                <w:u w:val="single"/>
              </w:rPr>
            </w:pPr>
            <w:r>
              <w:rPr>
                <w:rFonts w:hint="eastAsia" w:ascii="宋体" w:hAnsi="宋体" w:cs="宋体"/>
                <w:color w:val="auto"/>
                <w:szCs w:val="21"/>
                <w:highlight w:val="none"/>
              </w:rPr>
              <w:t>2.履约担保方式：</w:t>
            </w:r>
            <w:r>
              <w:rPr>
                <w:rFonts w:hint="eastAsia" w:ascii="宋体" w:hAnsi="宋体" w:cs="宋体"/>
                <w:color w:val="auto"/>
                <w:szCs w:val="21"/>
                <w:highlight w:val="none"/>
                <w:u w:val="single"/>
              </w:rPr>
              <w:t>（现金/银行汇票/银行支票/银行保函）</w:t>
            </w:r>
          </w:p>
          <w:p w14:paraId="5F4DF44F">
            <w:pPr>
              <w:rPr>
                <w:rFonts w:hAnsi="宋体"/>
                <w:color w:val="auto"/>
                <w:szCs w:val="21"/>
                <w:highlight w:val="none"/>
                <w:lang w:val="zh-CN"/>
              </w:rPr>
            </w:pPr>
            <w:r>
              <w:rPr>
                <w:rFonts w:hint="eastAsia" w:hAnsi="宋体"/>
                <w:color w:val="auto"/>
                <w:szCs w:val="21"/>
                <w:highlight w:val="none"/>
                <w:lang w:val="zh-CN"/>
              </w:rPr>
              <w:t>3.响应人在合同签订前提交履约担保，履约担保金额不超过成交合同金额的10%，如果成交人提交的履约保函的有效期先于合同要求的履约保函有效期到达，成交人应在原提交的履约保函有效期满前15天，无条件办理保函延期手续。否则，视为成交人违约，采购人可在保函到期前将保函金额转为现金存入履约保证金账户。</w:t>
            </w:r>
          </w:p>
          <w:p w14:paraId="7CB12016">
            <w:pPr>
              <w:rPr>
                <w:rFonts w:hAnsi="宋体"/>
                <w:color w:val="auto"/>
                <w:szCs w:val="21"/>
                <w:highlight w:val="none"/>
                <w:lang w:val="zh-CN"/>
              </w:rPr>
            </w:pPr>
            <w:r>
              <w:rPr>
                <w:rFonts w:hint="eastAsia" w:hAnsi="宋体"/>
                <w:color w:val="auto"/>
                <w:szCs w:val="21"/>
                <w:highlight w:val="none"/>
                <w:lang w:val="zh-CN"/>
              </w:rPr>
              <w:t>4.履约担保期限</w:t>
            </w:r>
            <w:r>
              <w:rPr>
                <w:rFonts w:hint="eastAsia" w:hAnsi="宋体"/>
                <w:color w:val="auto"/>
                <w:szCs w:val="21"/>
                <w:highlight w:val="none"/>
                <w:u w:val="single"/>
                <w:lang w:val="zh-CN"/>
              </w:rPr>
              <w:t>从合同签订之日起至项目完工验收合格并结算完毕后，经双方签字7天内保持有效</w:t>
            </w:r>
            <w:r>
              <w:rPr>
                <w:rFonts w:hint="eastAsia" w:hAnsi="宋体"/>
                <w:color w:val="auto"/>
                <w:szCs w:val="21"/>
                <w:highlight w:val="none"/>
                <w:lang w:val="zh-CN"/>
              </w:rPr>
              <w:t>。</w:t>
            </w:r>
          </w:p>
          <w:p w14:paraId="6CCDA716">
            <w:pPr>
              <w:rPr>
                <w:rFonts w:hAnsi="宋体"/>
                <w:color w:val="auto"/>
                <w:szCs w:val="21"/>
                <w:highlight w:val="none"/>
                <w:lang w:val="zh-CN"/>
              </w:rPr>
            </w:pPr>
            <w:r>
              <w:rPr>
                <w:rFonts w:hint="eastAsia" w:hAnsi="宋体"/>
                <w:color w:val="auto"/>
                <w:szCs w:val="21"/>
                <w:highlight w:val="none"/>
                <w:lang w:val="zh-CN"/>
              </w:rPr>
              <w:t>5.履约担保要求：</w:t>
            </w:r>
          </w:p>
          <w:p w14:paraId="09AEBB41">
            <w:pPr>
              <w:rPr>
                <w:rFonts w:hAnsi="宋体"/>
                <w:color w:val="auto"/>
                <w:szCs w:val="21"/>
                <w:highlight w:val="none"/>
                <w:lang w:val="zh-CN"/>
              </w:rPr>
            </w:pPr>
            <w:r>
              <w:rPr>
                <w:rFonts w:hint="eastAsia" w:hAnsi="宋体"/>
                <w:color w:val="auto"/>
                <w:szCs w:val="21"/>
                <w:highlight w:val="none"/>
                <w:lang w:val="zh-CN"/>
              </w:rPr>
              <w:t>（1）履约保函。如果响应人的履约担保是以银行保函形式提供的，则该银行保函应：</w:t>
            </w:r>
          </w:p>
          <w:p w14:paraId="10B84506">
            <w:pPr>
              <w:rPr>
                <w:rFonts w:hAnsi="宋体"/>
                <w:color w:val="auto"/>
                <w:szCs w:val="21"/>
                <w:highlight w:val="none"/>
                <w:lang w:val="zh-CN"/>
              </w:rPr>
            </w:pPr>
            <w:r>
              <w:rPr>
                <w:rFonts w:hint="eastAsia" w:hAnsi="宋体"/>
                <w:color w:val="auto"/>
                <w:szCs w:val="21"/>
                <w:highlight w:val="none"/>
                <w:lang w:val="zh-CN"/>
              </w:rPr>
              <w:t>①保函应由银行支行或以上银行机构开具，非东莞市行政区内的银行开具的保函要由银行所在地公证部门出具的公证书。</w:t>
            </w:r>
          </w:p>
          <w:p w14:paraId="10A1B4D6">
            <w:pPr>
              <w:rPr>
                <w:rFonts w:hAnsi="宋体"/>
                <w:color w:val="auto"/>
                <w:szCs w:val="21"/>
                <w:highlight w:val="none"/>
                <w:lang w:val="zh-CN"/>
              </w:rPr>
            </w:pPr>
            <w:r>
              <w:rPr>
                <w:rFonts w:hint="eastAsia" w:hAnsi="宋体"/>
                <w:color w:val="auto"/>
                <w:szCs w:val="21"/>
                <w:highlight w:val="none"/>
                <w:lang w:val="zh-CN"/>
              </w:rPr>
              <w:t>②保函的格式参考竞争性谈判文件中提供的无条件不可撤销履约保函格式，保函担保期内若项目未能按期竣工，保函必须延期，办理延期手续时在银行方面所产生费用由报价人负责。</w:t>
            </w:r>
          </w:p>
          <w:p w14:paraId="3EC13A90">
            <w:pPr>
              <w:rPr>
                <w:rFonts w:hAnsi="宋体"/>
                <w:color w:val="auto"/>
                <w:szCs w:val="21"/>
                <w:highlight w:val="none"/>
                <w:lang w:val="zh-CN"/>
              </w:rPr>
            </w:pPr>
            <w:r>
              <w:rPr>
                <w:rFonts w:hint="eastAsia" w:hAnsi="宋体"/>
                <w:color w:val="auto"/>
                <w:szCs w:val="21"/>
                <w:highlight w:val="none"/>
                <w:lang w:val="zh-CN"/>
              </w:rPr>
              <w:t>③履约保函必须打印，手写、涂改无效。</w:t>
            </w:r>
          </w:p>
          <w:p w14:paraId="18F46008">
            <w:pPr>
              <w:rPr>
                <w:rFonts w:hAnsi="宋体"/>
                <w:color w:val="auto"/>
                <w:szCs w:val="21"/>
                <w:highlight w:val="none"/>
                <w:lang w:val="zh-CN"/>
              </w:rPr>
            </w:pPr>
            <w:r>
              <w:rPr>
                <w:rFonts w:hint="eastAsia" w:hAnsi="宋体"/>
                <w:color w:val="auto"/>
                <w:szCs w:val="21"/>
                <w:highlight w:val="none"/>
                <w:lang w:val="zh-CN"/>
              </w:rPr>
              <w:t>（2）履约保证金。可采用电汇、银行汇票等银行转账方式提交，但不可以采用现金方式提交。响应人必须保证履约保证金以响应人名称在</w:t>
            </w:r>
            <w:r>
              <w:rPr>
                <w:rFonts w:hint="eastAsia" w:hAnsi="宋体"/>
                <w:color w:val="auto"/>
                <w:szCs w:val="21"/>
                <w:highlight w:val="none"/>
                <w:u w:val="single"/>
                <w:lang w:val="zh-CN"/>
              </w:rPr>
              <w:t>签订合同</w:t>
            </w:r>
            <w:r>
              <w:rPr>
                <w:rFonts w:hint="eastAsia" w:hAnsi="宋体"/>
                <w:color w:val="auto"/>
                <w:szCs w:val="21"/>
                <w:highlight w:val="none"/>
                <w:lang w:val="zh-CN"/>
              </w:rPr>
              <w:t>前提交至采购人指定账户。</w:t>
            </w:r>
          </w:p>
          <w:p w14:paraId="4D57540D">
            <w:pPr>
              <w:rPr>
                <w:rFonts w:hAnsi="宋体"/>
                <w:color w:val="auto"/>
                <w:szCs w:val="21"/>
                <w:highlight w:val="none"/>
                <w:lang w:val="zh-CN"/>
              </w:rPr>
            </w:pPr>
            <w:r>
              <w:rPr>
                <w:rFonts w:hint="eastAsia" w:hAnsi="宋体"/>
                <w:color w:val="auto"/>
                <w:szCs w:val="21"/>
                <w:highlight w:val="none"/>
                <w:lang w:val="zh-CN"/>
              </w:rPr>
              <w:t>（3）若成交人不能按本竞争性谈判文件的规定提交履约保证金的，采购人将有权取消成交人的成交资格（采购人可以按照谈判小组提出的成交候选人名单排序依次确定其他成交候选人为成交人，也可以重新采购），谈判保证金不予退还，给采购人造成的损失如果超过谈判保证金数额的，还应当对超过部分予以赔偿。</w:t>
            </w:r>
          </w:p>
          <w:p w14:paraId="7371251C">
            <w:pPr>
              <w:rPr>
                <w:rFonts w:hAnsi="宋体"/>
                <w:color w:val="auto"/>
                <w:szCs w:val="21"/>
                <w:highlight w:val="none"/>
                <w:lang w:val="zh-CN"/>
              </w:rPr>
            </w:pPr>
            <w:r>
              <w:rPr>
                <w:rFonts w:hint="eastAsia" w:hAnsi="宋体"/>
                <w:color w:val="auto"/>
                <w:szCs w:val="21"/>
                <w:highlight w:val="none"/>
                <w:lang w:val="zh-CN"/>
              </w:rPr>
              <w:t>（4）为取得履约担保所需的费用，由成交人承担；若工期延误，履约担保时间延长，延长费用由成交人承担。</w:t>
            </w:r>
          </w:p>
          <w:p w14:paraId="283F0AE4">
            <w:pPr>
              <w:rPr>
                <w:rFonts w:hAnsi="宋体"/>
                <w:color w:val="auto"/>
                <w:szCs w:val="21"/>
                <w:highlight w:val="none"/>
                <w:lang w:val="zh-CN"/>
              </w:rPr>
            </w:pPr>
            <w:r>
              <w:rPr>
                <w:rFonts w:hint="eastAsia" w:hAnsi="宋体"/>
                <w:color w:val="auto"/>
                <w:szCs w:val="21"/>
                <w:highlight w:val="none"/>
                <w:lang w:val="zh-CN"/>
              </w:rPr>
              <w:t>（5）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14:paraId="1DDC7D82">
            <w:pPr>
              <w:rPr>
                <w:rFonts w:hAnsi="宋体"/>
                <w:color w:val="auto"/>
                <w:szCs w:val="21"/>
                <w:highlight w:val="none"/>
                <w:lang w:val="zh-CN"/>
              </w:rPr>
            </w:pPr>
            <w:r>
              <w:rPr>
                <w:rFonts w:hint="eastAsia" w:hAnsi="宋体"/>
                <w:color w:val="auto"/>
                <w:szCs w:val="21"/>
                <w:highlight w:val="none"/>
                <w:lang w:val="zh-CN"/>
              </w:rPr>
              <w:t>（6）下列任何情况发生时，采购人有权行使享有的担保权利：</w:t>
            </w:r>
          </w:p>
          <w:p w14:paraId="5273A597">
            <w:pPr>
              <w:rPr>
                <w:rFonts w:hAnsi="宋体"/>
                <w:color w:val="auto"/>
                <w:szCs w:val="21"/>
                <w:highlight w:val="none"/>
                <w:lang w:val="zh-CN"/>
              </w:rPr>
            </w:pPr>
            <w:r>
              <w:rPr>
                <w:rFonts w:hint="eastAsia" w:hAnsi="宋体"/>
                <w:color w:val="auto"/>
                <w:szCs w:val="21"/>
                <w:highlight w:val="none"/>
                <w:lang w:val="zh-CN"/>
              </w:rPr>
              <w:t>①成交人将本项目转让给他人，或者在报价文件中未说明，且未经采购人同意，将成交项目分包给他人的；</w:t>
            </w:r>
          </w:p>
          <w:p w14:paraId="6638730F">
            <w:pPr>
              <w:rPr>
                <w:rFonts w:hAnsi="宋体"/>
                <w:color w:val="auto"/>
                <w:szCs w:val="21"/>
                <w:highlight w:val="none"/>
                <w:lang w:val="zh-CN"/>
              </w:rPr>
            </w:pPr>
            <w:r>
              <w:rPr>
                <w:rFonts w:hint="eastAsia" w:hAnsi="宋体"/>
                <w:color w:val="auto"/>
                <w:szCs w:val="21"/>
                <w:highlight w:val="none"/>
                <w:lang w:val="zh-CN"/>
              </w:rPr>
              <w:t>②成交人在履行采购合同期间，违反有关法律法规的规定及合同约定的条款，损害了采购人的利益。</w:t>
            </w:r>
          </w:p>
          <w:p w14:paraId="60DF0C9B">
            <w:pPr>
              <w:rPr>
                <w:color w:val="auto"/>
                <w:szCs w:val="21"/>
                <w:highlight w:val="none"/>
              </w:rPr>
            </w:pPr>
            <w:r>
              <w:rPr>
                <w:rFonts w:hint="eastAsia" w:hAnsi="宋体"/>
                <w:color w:val="auto"/>
                <w:szCs w:val="21"/>
                <w:highlight w:val="none"/>
                <w:lang w:val="zh-CN"/>
              </w:rPr>
              <w:t>（7）在整个项目验收合格后，成交人向采购人提交退回履约担保的申请，采购人办理履约担保退还手续。</w:t>
            </w:r>
          </w:p>
        </w:tc>
      </w:tr>
      <w:tr w14:paraId="103FAD25">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096C7DB1">
            <w:pPr>
              <w:jc w:val="center"/>
              <w:rPr>
                <w:color w:val="auto"/>
                <w:szCs w:val="21"/>
                <w:highlight w:val="none"/>
              </w:rPr>
            </w:pPr>
            <w:r>
              <w:rPr>
                <w:rFonts w:hint="eastAsia"/>
                <w:color w:val="auto"/>
                <w:szCs w:val="21"/>
                <w:highlight w:val="none"/>
              </w:rPr>
              <w:t>9</w:t>
            </w:r>
          </w:p>
        </w:tc>
        <w:tc>
          <w:tcPr>
            <w:tcW w:w="1843" w:type="dxa"/>
            <w:tcBorders>
              <w:top w:val="single" w:color="auto" w:sz="4" w:space="0"/>
              <w:left w:val="single" w:color="auto" w:sz="4" w:space="0"/>
              <w:bottom w:val="single" w:color="auto" w:sz="4" w:space="0"/>
              <w:right w:val="single" w:color="auto" w:sz="4" w:space="0"/>
            </w:tcBorders>
            <w:vAlign w:val="center"/>
          </w:tcPr>
          <w:p w14:paraId="684ABEE2">
            <w:pPr>
              <w:jc w:val="left"/>
              <w:rPr>
                <w:color w:val="auto"/>
                <w:szCs w:val="21"/>
                <w:highlight w:val="none"/>
              </w:rPr>
            </w:pPr>
            <w:r>
              <w:rPr>
                <w:rFonts w:hint="eastAsia" w:ascii="宋体" w:hAnsi="宋体" w:cs="宋体"/>
                <w:color w:val="auto"/>
                <w:szCs w:val="21"/>
                <w:highlight w:val="none"/>
              </w:rPr>
              <w:t>采购代理服务费金额、交纳方式和时限</w:t>
            </w:r>
          </w:p>
        </w:tc>
        <w:tc>
          <w:tcPr>
            <w:tcW w:w="6095" w:type="dxa"/>
            <w:tcBorders>
              <w:top w:val="single" w:color="auto" w:sz="4" w:space="0"/>
              <w:left w:val="single" w:color="auto" w:sz="4" w:space="0"/>
              <w:bottom w:val="single" w:color="auto" w:sz="4" w:space="0"/>
              <w:right w:val="single" w:color="auto" w:sz="4" w:space="0"/>
            </w:tcBorders>
            <w:vAlign w:val="center"/>
          </w:tcPr>
          <w:p w14:paraId="31B883F6">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由采购人支付</w:t>
            </w:r>
          </w:p>
          <w:p w14:paraId="2A772256">
            <w:pPr>
              <w:autoSpaceDE w:val="0"/>
              <w:autoSpaceDN w:val="0"/>
              <w:rPr>
                <w:rFonts w:ascii="宋体" w:hAnsi="宋体"/>
                <w:color w:val="auto"/>
                <w:szCs w:val="21"/>
                <w:highlight w:val="none"/>
              </w:rPr>
            </w:pPr>
            <w:r>
              <w:rPr>
                <w:rFonts w:hint="eastAsia"/>
                <w:color w:val="auto"/>
                <w:szCs w:val="21"/>
                <w:highlight w:val="none"/>
              </w:rPr>
              <w:t>■由成交人支付，具体如下：</w:t>
            </w:r>
          </w:p>
          <w:p w14:paraId="598D70BD">
            <w:pPr>
              <w:autoSpaceDE w:val="0"/>
              <w:autoSpaceDN w:val="0"/>
              <w:rPr>
                <w:rFonts w:ascii="宋体" w:hAnsi="宋体" w:cs="宋体"/>
                <w:color w:val="auto"/>
                <w:szCs w:val="21"/>
                <w:highlight w:val="none"/>
              </w:rPr>
            </w:pPr>
            <w:r>
              <w:rPr>
                <w:rFonts w:hint="eastAsia" w:ascii="宋体" w:hAnsi="宋体"/>
                <w:b/>
                <w:color w:val="auto"/>
                <w:szCs w:val="21"/>
                <w:highlight w:val="none"/>
              </w:rPr>
              <w:t>采购代理服务费的金额：</w:t>
            </w:r>
            <w:r>
              <w:rPr>
                <w:rFonts w:hint="eastAsia" w:ascii="宋体" w:hAnsi="宋体"/>
                <w:b/>
                <w:color w:val="auto"/>
                <w:szCs w:val="21"/>
                <w:highlight w:val="none"/>
                <w:u w:val="single"/>
              </w:rPr>
              <w:t xml:space="preserve">人民币 </w:t>
            </w:r>
            <w:r>
              <w:rPr>
                <w:rFonts w:hint="eastAsia" w:ascii="宋体" w:hAnsi="宋体"/>
                <w:b/>
                <w:color w:val="auto"/>
                <w:szCs w:val="21"/>
                <w:highlight w:val="none"/>
                <w:u w:val="single"/>
                <w:lang w:val="en-US" w:eastAsia="zh-CN"/>
              </w:rPr>
              <w:t>1,500.00</w:t>
            </w:r>
            <w:r>
              <w:rPr>
                <w:rFonts w:hint="eastAsia" w:ascii="宋体" w:hAnsi="宋体"/>
                <w:b/>
                <w:color w:val="auto"/>
                <w:szCs w:val="21"/>
                <w:highlight w:val="none"/>
                <w:u w:val="single"/>
              </w:rPr>
              <w:t>元</w:t>
            </w:r>
            <w:r>
              <w:rPr>
                <w:rFonts w:hint="eastAsia" w:ascii="宋体" w:hAnsi="宋体"/>
                <w:b/>
                <w:color w:val="auto"/>
                <w:szCs w:val="21"/>
                <w:highlight w:val="none"/>
                <w:u w:val="single"/>
                <w:lang w:val="en-US" w:eastAsia="zh-CN"/>
              </w:rPr>
              <w:t xml:space="preserve"> / 标包</w:t>
            </w:r>
            <w:r>
              <w:rPr>
                <w:rFonts w:hint="eastAsia" w:ascii="宋体" w:hAnsi="宋体"/>
                <w:b/>
                <w:color w:val="auto"/>
                <w:szCs w:val="21"/>
                <w:highlight w:val="none"/>
              </w:rPr>
              <w:t>。</w:t>
            </w:r>
          </w:p>
          <w:p w14:paraId="6198BEFD">
            <w:pPr>
              <w:autoSpaceDE w:val="0"/>
              <w:autoSpaceDN w:val="0"/>
              <w:rPr>
                <w:rFonts w:ascii="宋体" w:hAnsi="宋体" w:cs="宋体"/>
                <w:color w:val="auto"/>
                <w:szCs w:val="21"/>
                <w:highlight w:val="none"/>
              </w:rPr>
            </w:pPr>
            <w:r>
              <w:rPr>
                <w:rFonts w:hint="eastAsia" w:ascii="宋体" w:hAnsi="宋体" w:cs="宋体"/>
                <w:color w:val="auto"/>
                <w:szCs w:val="21"/>
                <w:highlight w:val="none"/>
              </w:rPr>
              <w:t>交纳方式：</w:t>
            </w:r>
            <w:r>
              <w:rPr>
                <w:rFonts w:hint="eastAsia" w:ascii="宋体" w:hAnsi="宋体" w:cs="宋体"/>
                <w:color w:val="auto"/>
                <w:szCs w:val="21"/>
                <w:highlight w:val="none"/>
                <w:u w:val="single"/>
              </w:rPr>
              <w:t>详见第六章响应文件格式</w:t>
            </w:r>
          </w:p>
          <w:p w14:paraId="24B3C13D">
            <w:pPr>
              <w:autoSpaceDE w:val="0"/>
              <w:autoSpaceDN w:val="0"/>
              <w:rPr>
                <w:rFonts w:ascii="宋体" w:hAnsi="宋体"/>
                <w:color w:val="auto"/>
                <w:szCs w:val="21"/>
                <w:highlight w:val="none"/>
              </w:rPr>
            </w:pPr>
            <w:r>
              <w:rPr>
                <w:rFonts w:hint="eastAsia" w:ascii="宋体" w:hAnsi="宋体" w:cs="宋体"/>
                <w:color w:val="auto"/>
                <w:szCs w:val="21"/>
                <w:highlight w:val="none"/>
              </w:rPr>
              <w:t>交纳时限：</w:t>
            </w:r>
            <w:r>
              <w:rPr>
                <w:rFonts w:hint="eastAsia" w:ascii="宋体" w:hAnsi="宋体" w:cs="宋体"/>
                <w:color w:val="auto"/>
                <w:szCs w:val="21"/>
                <w:highlight w:val="none"/>
                <w:u w:val="single"/>
              </w:rPr>
              <w:t>详见第六章响应文件格式</w:t>
            </w:r>
          </w:p>
        </w:tc>
      </w:tr>
    </w:tbl>
    <w:p w14:paraId="5922CCB2">
      <w:pPr>
        <w:widowControl/>
        <w:jc w:val="left"/>
        <w:rPr>
          <w:b/>
          <w:color w:val="auto"/>
          <w:highlight w:val="none"/>
        </w:rPr>
      </w:pPr>
    </w:p>
    <w:p w14:paraId="4DEF0AD0">
      <w:pPr>
        <w:widowControl/>
        <w:jc w:val="left"/>
        <w:rPr>
          <w:b/>
          <w:color w:val="auto"/>
          <w:highlight w:val="none"/>
        </w:rPr>
      </w:pPr>
      <w:r>
        <w:rPr>
          <w:b/>
          <w:color w:val="auto"/>
          <w:highlight w:val="none"/>
        </w:rPr>
        <w:br w:type="page"/>
      </w:r>
    </w:p>
    <w:p w14:paraId="4DDFC244">
      <w:pPr>
        <w:pStyle w:val="6"/>
        <w:rPr>
          <w:rFonts w:ascii="黑体" w:hAnsi="黑体"/>
          <w:color w:val="auto"/>
          <w:highlight w:val="none"/>
        </w:rPr>
      </w:pPr>
      <w:bookmarkStart w:id="8" w:name="_Toc456551876"/>
      <w:bookmarkStart w:id="9" w:name="_Toc15744"/>
      <w:r>
        <w:rPr>
          <w:rFonts w:hint="eastAsia" w:ascii="黑体" w:hAnsi="黑体"/>
          <w:color w:val="auto"/>
          <w:highlight w:val="none"/>
        </w:rPr>
        <w:t>1. 总则</w:t>
      </w:r>
      <w:bookmarkEnd w:id="8"/>
      <w:bookmarkEnd w:id="9"/>
    </w:p>
    <w:p w14:paraId="593C614C">
      <w:pPr>
        <w:spacing w:line="400" w:lineRule="exact"/>
        <w:rPr>
          <w:rFonts w:ascii="宋体" w:hAnsi="宋体"/>
          <w:b/>
          <w:color w:val="auto"/>
          <w:sz w:val="32"/>
          <w:szCs w:val="32"/>
          <w:highlight w:val="none"/>
        </w:rPr>
      </w:pPr>
      <w:bookmarkStart w:id="10" w:name="_Toc456551877"/>
      <w:bookmarkStart w:id="11" w:name="_Toc475552123"/>
      <w:r>
        <w:rPr>
          <w:rFonts w:hint="eastAsia" w:ascii="宋体" w:hAnsi="宋体"/>
          <w:b/>
          <w:color w:val="auto"/>
          <w:sz w:val="32"/>
          <w:szCs w:val="32"/>
          <w:highlight w:val="none"/>
        </w:rPr>
        <w:t>1.1 项目概况</w:t>
      </w:r>
      <w:bookmarkEnd w:id="10"/>
      <w:bookmarkEnd w:id="11"/>
    </w:p>
    <w:p w14:paraId="6342F193">
      <w:pPr>
        <w:spacing w:line="400" w:lineRule="exact"/>
        <w:ind w:firstLine="420" w:firstLineChars="200"/>
        <w:rPr>
          <w:color w:val="auto"/>
          <w:highlight w:val="none"/>
        </w:rPr>
      </w:pPr>
      <w:r>
        <w:rPr>
          <w:rFonts w:hint="eastAsia"/>
          <w:color w:val="auto"/>
          <w:highlight w:val="none"/>
        </w:rPr>
        <w:t>1.1.1本项目根据东实集团及采购人相关招标采购管理规定执行，本项目已具备竞争性谈判条件，现对本项目进行竞争性谈判。</w:t>
      </w:r>
    </w:p>
    <w:p w14:paraId="7F4F2B94">
      <w:pPr>
        <w:spacing w:line="400" w:lineRule="exact"/>
        <w:ind w:firstLine="420" w:firstLineChars="200"/>
        <w:rPr>
          <w:color w:val="auto"/>
          <w:highlight w:val="none"/>
        </w:rPr>
      </w:pPr>
      <w:r>
        <w:rPr>
          <w:rFonts w:hint="eastAsia"/>
          <w:color w:val="auto"/>
          <w:highlight w:val="none"/>
        </w:rPr>
        <w:t>1.1.2 本项目采购人：见竞争性谈判公告或竞争性谈判响应须知前附表。</w:t>
      </w:r>
    </w:p>
    <w:p w14:paraId="574448B0">
      <w:pPr>
        <w:spacing w:line="400" w:lineRule="exact"/>
        <w:ind w:firstLine="420" w:firstLineChars="200"/>
        <w:rPr>
          <w:color w:val="auto"/>
          <w:highlight w:val="none"/>
        </w:rPr>
      </w:pPr>
      <w:r>
        <w:rPr>
          <w:rFonts w:hint="eastAsia"/>
          <w:color w:val="auto"/>
          <w:highlight w:val="none"/>
        </w:rPr>
        <w:t>1.1.3 本项目名称：见竞争性谈判公告或竞争性谈判响应须知前附表。</w:t>
      </w:r>
    </w:p>
    <w:p w14:paraId="3E14B789">
      <w:pPr>
        <w:spacing w:line="400" w:lineRule="exact"/>
        <w:ind w:firstLine="420" w:firstLineChars="200"/>
        <w:rPr>
          <w:color w:val="auto"/>
          <w:highlight w:val="none"/>
        </w:rPr>
      </w:pPr>
      <w:r>
        <w:rPr>
          <w:rFonts w:hint="eastAsia"/>
          <w:color w:val="auto"/>
          <w:highlight w:val="none"/>
        </w:rPr>
        <w:t>1.1.4 本项目地点：见竞争性谈判公告或竞争性谈判响应须知前附表。</w:t>
      </w:r>
    </w:p>
    <w:p w14:paraId="63F2ADE7">
      <w:pPr>
        <w:spacing w:line="400" w:lineRule="exact"/>
        <w:ind w:firstLine="420" w:firstLineChars="200"/>
        <w:rPr>
          <w:color w:val="auto"/>
          <w:highlight w:val="none"/>
        </w:rPr>
      </w:pPr>
      <w:r>
        <w:rPr>
          <w:rFonts w:hint="eastAsia"/>
          <w:color w:val="auto"/>
          <w:highlight w:val="none"/>
        </w:rPr>
        <w:t>1.1.5本项目承包方式：见竞争性谈判公告或竞争性谈判响应须知前附表。</w:t>
      </w:r>
    </w:p>
    <w:p w14:paraId="23764EB6">
      <w:pPr>
        <w:spacing w:line="400" w:lineRule="exact"/>
        <w:rPr>
          <w:rFonts w:ascii="宋体" w:hAnsi="宋体"/>
          <w:b/>
          <w:color w:val="auto"/>
          <w:sz w:val="32"/>
          <w:szCs w:val="32"/>
          <w:highlight w:val="none"/>
        </w:rPr>
      </w:pPr>
      <w:bookmarkStart w:id="12" w:name="_Toc475552124"/>
      <w:bookmarkStart w:id="13" w:name="_Toc456551878"/>
      <w:r>
        <w:rPr>
          <w:rFonts w:hint="eastAsia" w:ascii="宋体" w:hAnsi="宋体"/>
          <w:b/>
          <w:color w:val="auto"/>
          <w:sz w:val="32"/>
          <w:szCs w:val="32"/>
          <w:highlight w:val="none"/>
        </w:rPr>
        <w:t>1.2 资金来源和落实情况</w:t>
      </w:r>
      <w:bookmarkEnd w:id="12"/>
      <w:bookmarkEnd w:id="13"/>
    </w:p>
    <w:p w14:paraId="0BEA7216">
      <w:pPr>
        <w:spacing w:line="400" w:lineRule="exact"/>
        <w:ind w:firstLine="420" w:firstLineChars="200"/>
        <w:rPr>
          <w:color w:val="auto"/>
          <w:highlight w:val="none"/>
        </w:rPr>
      </w:pPr>
      <w:r>
        <w:rPr>
          <w:rFonts w:hint="eastAsia"/>
          <w:color w:val="auto"/>
          <w:highlight w:val="none"/>
        </w:rPr>
        <w:t>本项目资金已落实，资金来源见竞争性谈判公告或竞争性谈判响应须知前附表。</w:t>
      </w:r>
    </w:p>
    <w:p w14:paraId="7E664284">
      <w:pPr>
        <w:spacing w:line="400" w:lineRule="exact"/>
        <w:rPr>
          <w:rFonts w:ascii="宋体" w:hAnsi="宋体"/>
          <w:b/>
          <w:color w:val="auto"/>
          <w:sz w:val="32"/>
          <w:szCs w:val="32"/>
          <w:highlight w:val="none"/>
        </w:rPr>
      </w:pPr>
      <w:bookmarkStart w:id="14" w:name="_Toc475552125"/>
      <w:bookmarkStart w:id="15" w:name="_Toc456551879"/>
      <w:r>
        <w:rPr>
          <w:rFonts w:hint="eastAsia" w:ascii="宋体" w:hAnsi="宋体"/>
          <w:b/>
          <w:color w:val="auto"/>
          <w:sz w:val="32"/>
          <w:szCs w:val="32"/>
          <w:highlight w:val="none"/>
        </w:rPr>
        <w:t>1.3 竞争性谈判范围、服务时间和质量要求</w:t>
      </w:r>
      <w:bookmarkEnd w:id="14"/>
      <w:bookmarkEnd w:id="15"/>
    </w:p>
    <w:p w14:paraId="62D6B720">
      <w:pPr>
        <w:spacing w:line="400" w:lineRule="exact"/>
        <w:ind w:firstLine="420" w:firstLineChars="200"/>
        <w:rPr>
          <w:color w:val="auto"/>
          <w:highlight w:val="none"/>
        </w:rPr>
      </w:pPr>
      <w:r>
        <w:rPr>
          <w:rFonts w:hint="eastAsia"/>
          <w:color w:val="auto"/>
          <w:highlight w:val="none"/>
        </w:rPr>
        <w:t>1.3.1 本次竞争性谈判范围：见竞争性谈判公告或竞争性谈判响应须知前附表。</w:t>
      </w:r>
    </w:p>
    <w:p w14:paraId="4D73DB69">
      <w:pPr>
        <w:spacing w:line="400" w:lineRule="exact"/>
        <w:ind w:firstLine="420" w:firstLineChars="200"/>
        <w:rPr>
          <w:color w:val="auto"/>
          <w:highlight w:val="none"/>
        </w:rPr>
      </w:pPr>
      <w:r>
        <w:rPr>
          <w:rFonts w:hint="eastAsia"/>
          <w:color w:val="auto"/>
          <w:highlight w:val="none"/>
        </w:rPr>
        <w:t>1.3.2 本项目的服务时间：见竞争性谈判公告或竞争性谈判响应须知前附表。</w:t>
      </w:r>
    </w:p>
    <w:p w14:paraId="42FC9EB9">
      <w:pPr>
        <w:spacing w:line="400" w:lineRule="exact"/>
        <w:ind w:firstLine="420" w:firstLineChars="200"/>
        <w:rPr>
          <w:color w:val="auto"/>
          <w:highlight w:val="none"/>
        </w:rPr>
      </w:pPr>
      <w:r>
        <w:rPr>
          <w:rFonts w:hint="eastAsia"/>
          <w:color w:val="auto"/>
          <w:highlight w:val="none"/>
        </w:rPr>
        <w:t>1.3.4 本项目的标包划分情况：见竞争性谈判公告或竞争性谈判响应须知前附表。</w:t>
      </w:r>
    </w:p>
    <w:p w14:paraId="7B080137">
      <w:pPr>
        <w:spacing w:line="400" w:lineRule="exact"/>
        <w:ind w:firstLine="420" w:firstLineChars="200"/>
        <w:rPr>
          <w:color w:val="auto"/>
          <w:highlight w:val="none"/>
        </w:rPr>
      </w:pPr>
      <w:r>
        <w:rPr>
          <w:rFonts w:hint="eastAsia"/>
          <w:color w:val="auto"/>
          <w:highlight w:val="none"/>
        </w:rPr>
        <w:t>1.3.5本项目的质量要求：见竞争性谈判公告或竞争性谈判响应须知前附表。</w:t>
      </w:r>
    </w:p>
    <w:p w14:paraId="06BAE62D">
      <w:pPr>
        <w:spacing w:line="400" w:lineRule="exact"/>
        <w:rPr>
          <w:rFonts w:ascii="宋体" w:hAnsi="宋体"/>
          <w:b/>
          <w:color w:val="auto"/>
          <w:sz w:val="32"/>
          <w:szCs w:val="32"/>
          <w:highlight w:val="none"/>
        </w:rPr>
      </w:pPr>
      <w:bookmarkStart w:id="16" w:name="_Toc475552126"/>
      <w:bookmarkStart w:id="17" w:name="_Toc456551880"/>
      <w:r>
        <w:rPr>
          <w:rFonts w:hint="eastAsia" w:ascii="宋体" w:hAnsi="宋体"/>
          <w:b/>
          <w:color w:val="auto"/>
          <w:sz w:val="32"/>
          <w:szCs w:val="32"/>
          <w:highlight w:val="none"/>
        </w:rPr>
        <w:t>1.4 竞争性谈判方式</w:t>
      </w:r>
      <w:bookmarkEnd w:id="16"/>
      <w:bookmarkEnd w:id="17"/>
    </w:p>
    <w:p w14:paraId="1FAAFC27">
      <w:pPr>
        <w:adjustRightInd w:val="0"/>
        <w:snapToGrid w:val="0"/>
        <w:spacing w:line="440" w:lineRule="exact"/>
        <w:ind w:firstLine="420" w:firstLineChars="200"/>
        <w:rPr>
          <w:color w:val="auto"/>
          <w:highlight w:val="none"/>
        </w:rPr>
      </w:pPr>
      <w:r>
        <w:rPr>
          <w:rFonts w:hint="eastAsia"/>
          <w:color w:val="auto"/>
          <w:highlight w:val="none"/>
        </w:rPr>
        <w:t>公开竞争性谈判：</w:t>
      </w:r>
      <w:r>
        <w:rPr>
          <w:rFonts w:ascii="Arial" w:hAnsi="Arial" w:cs="Arial"/>
          <w:color w:val="auto"/>
          <w:szCs w:val="21"/>
          <w:highlight w:val="none"/>
        </w:rPr>
        <w:t>是指采购人以竞争性谈判公告的方式邀请不特定的法人或者其他组织竞争性谈判。</w:t>
      </w:r>
    </w:p>
    <w:p w14:paraId="42B7E149">
      <w:pPr>
        <w:spacing w:line="400" w:lineRule="exact"/>
        <w:rPr>
          <w:rFonts w:ascii="宋体" w:hAnsi="宋体"/>
          <w:b/>
          <w:color w:val="auto"/>
          <w:sz w:val="32"/>
          <w:szCs w:val="32"/>
          <w:highlight w:val="none"/>
        </w:rPr>
      </w:pPr>
      <w:bookmarkStart w:id="18" w:name="_Toc475552127"/>
      <w:bookmarkStart w:id="19" w:name="_Toc456551881"/>
      <w:r>
        <w:rPr>
          <w:rFonts w:hint="eastAsia" w:ascii="宋体" w:hAnsi="宋体"/>
          <w:b/>
          <w:color w:val="auto"/>
          <w:sz w:val="32"/>
          <w:szCs w:val="32"/>
          <w:highlight w:val="none"/>
        </w:rPr>
        <w:t>1.5 竞争性谈判组织形式</w:t>
      </w:r>
      <w:bookmarkEnd w:id="18"/>
      <w:bookmarkEnd w:id="19"/>
    </w:p>
    <w:p w14:paraId="2DEFB9B2">
      <w:pPr>
        <w:adjustRightInd w:val="0"/>
        <w:snapToGrid w:val="0"/>
        <w:spacing w:line="440" w:lineRule="exact"/>
        <w:ind w:firstLine="420" w:firstLineChars="200"/>
        <w:rPr>
          <w:color w:val="auto"/>
          <w:highlight w:val="none"/>
        </w:rPr>
      </w:pPr>
      <w:r>
        <w:rPr>
          <w:rFonts w:hint="eastAsia"/>
          <w:color w:val="auto"/>
          <w:highlight w:val="none"/>
        </w:rPr>
        <w:t>本次竞争性谈判由采购人自行组织或委托采购代理机构的方式进行，竞争性谈判组织形式、代理机构名称及联系方式见</w:t>
      </w:r>
      <w:r>
        <w:rPr>
          <w:rFonts w:hint="eastAsia"/>
          <w:bCs/>
          <w:color w:val="auto"/>
          <w:highlight w:val="none"/>
        </w:rPr>
        <w:t>第一章 “竞争性谈判公告”</w:t>
      </w:r>
      <w:r>
        <w:rPr>
          <w:rFonts w:hint="eastAsia"/>
          <w:color w:val="auto"/>
          <w:highlight w:val="none"/>
        </w:rPr>
        <w:t>。</w:t>
      </w:r>
    </w:p>
    <w:p w14:paraId="7C210EBC">
      <w:pPr>
        <w:spacing w:line="400" w:lineRule="exact"/>
        <w:rPr>
          <w:rFonts w:ascii="宋体" w:hAnsi="宋体"/>
          <w:b/>
          <w:color w:val="auto"/>
          <w:sz w:val="32"/>
          <w:szCs w:val="32"/>
          <w:highlight w:val="none"/>
        </w:rPr>
      </w:pPr>
      <w:bookmarkStart w:id="20" w:name="_Toc475552128"/>
      <w:bookmarkStart w:id="21" w:name="_Toc456551882"/>
      <w:r>
        <w:rPr>
          <w:rFonts w:hint="eastAsia" w:ascii="宋体" w:hAnsi="宋体"/>
          <w:b/>
          <w:color w:val="auto"/>
          <w:sz w:val="32"/>
          <w:szCs w:val="32"/>
          <w:highlight w:val="none"/>
        </w:rPr>
        <w:t>1.6</w:t>
      </w:r>
      <w:bookmarkEnd w:id="20"/>
      <w:bookmarkEnd w:id="21"/>
      <w:r>
        <w:rPr>
          <w:rFonts w:hint="eastAsia" w:ascii="宋体" w:hAnsi="宋体"/>
          <w:b/>
          <w:color w:val="auto"/>
          <w:sz w:val="32"/>
          <w:szCs w:val="32"/>
          <w:highlight w:val="none"/>
        </w:rPr>
        <w:t>响应人资格要求</w:t>
      </w:r>
    </w:p>
    <w:p w14:paraId="0F9DAAD7">
      <w:pPr>
        <w:spacing w:line="400" w:lineRule="exact"/>
        <w:ind w:firstLine="359" w:firstLineChars="171"/>
        <w:rPr>
          <w:color w:val="auto"/>
          <w:highlight w:val="none"/>
        </w:rPr>
      </w:pPr>
      <w:r>
        <w:rPr>
          <w:rFonts w:hint="eastAsia"/>
          <w:color w:val="auto"/>
          <w:highlight w:val="none"/>
        </w:rPr>
        <w:t>1.6.1</w:t>
      </w:r>
      <w:r>
        <w:rPr>
          <w:rFonts w:hint="eastAsia" w:ascii="宋体" w:hAnsi="宋体" w:cs="宋体"/>
          <w:color w:val="auto"/>
          <w:szCs w:val="21"/>
          <w:highlight w:val="none"/>
        </w:rPr>
        <w:t>响应人应具备承担本项目服务的资格要求：</w:t>
      </w:r>
      <w:r>
        <w:rPr>
          <w:rFonts w:hint="eastAsia"/>
          <w:color w:val="auto"/>
          <w:highlight w:val="none"/>
        </w:rPr>
        <w:t>见竞争性谈判公告或竞争性谈判响应须知前附表。</w:t>
      </w:r>
    </w:p>
    <w:p w14:paraId="77B67E00">
      <w:pPr>
        <w:spacing w:line="400" w:lineRule="exact"/>
        <w:ind w:firstLine="359" w:firstLineChars="171"/>
        <w:rPr>
          <w:color w:val="auto"/>
          <w:highlight w:val="none"/>
        </w:rPr>
      </w:pPr>
      <w:r>
        <w:rPr>
          <w:rFonts w:hint="eastAsia"/>
          <w:color w:val="auto"/>
          <w:highlight w:val="none"/>
        </w:rPr>
        <w:t>1.6.2</w:t>
      </w:r>
      <w:r>
        <w:rPr>
          <w:rFonts w:hint="eastAsia" w:ascii="宋体" w:hAnsi="宋体" w:cs="宋体"/>
          <w:color w:val="auto"/>
          <w:szCs w:val="21"/>
          <w:highlight w:val="none"/>
        </w:rPr>
        <w:t>本项目采用资格后审的审查方式</w:t>
      </w:r>
      <w:r>
        <w:rPr>
          <w:rFonts w:hint="eastAsia"/>
          <w:color w:val="auto"/>
          <w:highlight w:val="none"/>
        </w:rPr>
        <w:t>。</w:t>
      </w:r>
    </w:p>
    <w:p w14:paraId="6F82ACEB">
      <w:pPr>
        <w:spacing w:line="400" w:lineRule="exact"/>
        <w:ind w:firstLine="359" w:firstLineChars="171"/>
        <w:rPr>
          <w:color w:val="auto"/>
          <w:highlight w:val="none"/>
        </w:rPr>
      </w:pPr>
      <w:r>
        <w:rPr>
          <w:rFonts w:hint="eastAsia"/>
          <w:color w:val="auto"/>
          <w:highlight w:val="none"/>
        </w:rPr>
        <w:t>1.6.3本须知前附表规定接受联合体响应的，除本须知前附表的要求外，还应遵守以下规定：</w:t>
      </w:r>
    </w:p>
    <w:p w14:paraId="0720D92E">
      <w:pPr>
        <w:spacing w:line="400" w:lineRule="exact"/>
        <w:ind w:firstLine="359" w:firstLineChars="171"/>
        <w:rPr>
          <w:color w:val="auto"/>
          <w:highlight w:val="none"/>
        </w:rPr>
      </w:pPr>
      <w:r>
        <w:rPr>
          <w:rFonts w:hint="eastAsia"/>
          <w:color w:val="auto"/>
          <w:highlight w:val="none"/>
        </w:rPr>
        <w:t>（1）联合体各方应按竞争性谈判文件提供的格式签订联合体协议书，明确联合体牵头人和各方权利义务；</w:t>
      </w:r>
    </w:p>
    <w:p w14:paraId="320DC5D9">
      <w:pPr>
        <w:spacing w:line="400" w:lineRule="exact"/>
        <w:ind w:firstLine="359" w:firstLineChars="171"/>
        <w:rPr>
          <w:color w:val="auto"/>
          <w:highlight w:val="none"/>
        </w:rPr>
      </w:pPr>
      <w:r>
        <w:rPr>
          <w:rFonts w:hint="eastAsia"/>
          <w:color w:val="auto"/>
          <w:highlight w:val="none"/>
        </w:rPr>
        <w:t>（2）联合体各方不得再以自己名义单独或参加其他联合体在同一标包中响应；</w:t>
      </w:r>
    </w:p>
    <w:p w14:paraId="05E5C388">
      <w:pPr>
        <w:spacing w:line="400" w:lineRule="exact"/>
        <w:ind w:firstLine="359" w:firstLineChars="171"/>
        <w:rPr>
          <w:color w:val="auto"/>
          <w:highlight w:val="none"/>
        </w:rPr>
      </w:pPr>
      <w:r>
        <w:rPr>
          <w:rFonts w:hint="eastAsia"/>
          <w:color w:val="auto"/>
          <w:highlight w:val="none"/>
        </w:rPr>
        <w:t>（3）联合体牵头人须在响应文件上按要求加盖公司法人公章及法定代表人签名（或盖私章），无需联合体共同加盖公司法人公章及法定代表人签名（或盖私章）；</w:t>
      </w:r>
    </w:p>
    <w:p w14:paraId="5A50A0C0">
      <w:pPr>
        <w:spacing w:line="400" w:lineRule="exact"/>
        <w:ind w:firstLine="359" w:firstLineChars="171"/>
        <w:rPr>
          <w:rFonts w:hAnsi="宋体"/>
          <w:color w:val="auto"/>
          <w:highlight w:val="none"/>
        </w:rPr>
      </w:pPr>
      <w:r>
        <w:rPr>
          <w:rFonts w:hint="eastAsia"/>
          <w:color w:val="auto"/>
          <w:highlight w:val="none"/>
        </w:rPr>
        <w:t>（4）本须知前附表规定的其他要求。</w:t>
      </w:r>
    </w:p>
    <w:p w14:paraId="4AF41DB4">
      <w:pPr>
        <w:spacing w:line="400" w:lineRule="exact"/>
        <w:rPr>
          <w:rFonts w:ascii="宋体" w:hAnsi="宋体"/>
          <w:b/>
          <w:color w:val="auto"/>
          <w:sz w:val="32"/>
          <w:szCs w:val="32"/>
          <w:highlight w:val="none"/>
        </w:rPr>
      </w:pPr>
      <w:bookmarkStart w:id="22" w:name="_Toc475552129"/>
      <w:bookmarkStart w:id="23" w:name="_Toc456551883"/>
      <w:r>
        <w:rPr>
          <w:rFonts w:hint="eastAsia" w:ascii="宋体" w:hAnsi="宋体"/>
          <w:b/>
          <w:color w:val="auto"/>
          <w:sz w:val="32"/>
          <w:szCs w:val="32"/>
          <w:highlight w:val="none"/>
        </w:rPr>
        <w:t>1.</w:t>
      </w:r>
      <w:r>
        <w:rPr>
          <w:rFonts w:ascii="宋体" w:hAnsi="宋体"/>
          <w:b/>
          <w:color w:val="auto"/>
          <w:sz w:val="32"/>
          <w:szCs w:val="32"/>
          <w:highlight w:val="none"/>
        </w:rPr>
        <w:t>7</w:t>
      </w:r>
      <w:r>
        <w:rPr>
          <w:rFonts w:hint="eastAsia" w:ascii="宋体" w:hAnsi="宋体"/>
          <w:b/>
          <w:color w:val="auto"/>
          <w:sz w:val="32"/>
          <w:szCs w:val="32"/>
          <w:highlight w:val="none"/>
        </w:rPr>
        <w:t xml:space="preserve"> 响应人不得存在的情形</w:t>
      </w:r>
      <w:bookmarkEnd w:id="22"/>
      <w:bookmarkEnd w:id="23"/>
    </w:p>
    <w:p w14:paraId="5C2D4308">
      <w:pPr>
        <w:spacing w:line="400" w:lineRule="exact"/>
        <w:ind w:firstLine="359" w:firstLineChars="171"/>
        <w:rPr>
          <w:color w:val="auto"/>
          <w:highlight w:val="none"/>
        </w:rPr>
      </w:pPr>
      <w:r>
        <w:rPr>
          <w:rFonts w:hint="eastAsia"/>
          <w:color w:val="auto"/>
          <w:highlight w:val="none"/>
        </w:rPr>
        <w:t>1.</w:t>
      </w:r>
      <w:r>
        <w:rPr>
          <w:color w:val="auto"/>
          <w:highlight w:val="none"/>
        </w:rPr>
        <w:t>7</w:t>
      </w:r>
      <w:r>
        <w:rPr>
          <w:rFonts w:hint="eastAsia"/>
          <w:color w:val="auto"/>
          <w:highlight w:val="none"/>
        </w:rPr>
        <w:t>.1 响应人不得存在下列情形之一，否则采购人有权取消其参与响应资格或成交资格：</w:t>
      </w:r>
    </w:p>
    <w:p w14:paraId="4780B75F">
      <w:pPr>
        <w:spacing w:line="400" w:lineRule="exact"/>
        <w:ind w:firstLine="359" w:firstLineChars="171"/>
        <w:rPr>
          <w:color w:val="auto"/>
          <w:highlight w:val="none"/>
        </w:rPr>
      </w:pPr>
      <w:r>
        <w:rPr>
          <w:rFonts w:hint="eastAsia"/>
          <w:color w:val="auto"/>
          <w:highlight w:val="none"/>
        </w:rPr>
        <w:t>（1）为采购人不具有独立法人资格的附属机构（单位）；</w:t>
      </w:r>
    </w:p>
    <w:p w14:paraId="3925F736">
      <w:pPr>
        <w:spacing w:line="400" w:lineRule="exact"/>
        <w:ind w:firstLine="359" w:firstLineChars="171"/>
        <w:rPr>
          <w:color w:val="auto"/>
          <w:highlight w:val="none"/>
        </w:rPr>
      </w:pPr>
      <w:r>
        <w:rPr>
          <w:rFonts w:hint="eastAsia"/>
          <w:color w:val="auto"/>
          <w:highlight w:val="none"/>
        </w:rPr>
        <w:t>（</w:t>
      </w:r>
      <w:r>
        <w:rPr>
          <w:color w:val="auto"/>
          <w:highlight w:val="none"/>
        </w:rPr>
        <w:t>2</w:t>
      </w:r>
      <w:r>
        <w:rPr>
          <w:rFonts w:hint="eastAsia"/>
          <w:color w:val="auto"/>
          <w:highlight w:val="none"/>
        </w:rPr>
        <w:t xml:space="preserve">）被责令停业的； </w:t>
      </w:r>
    </w:p>
    <w:p w14:paraId="4219E8E4">
      <w:pPr>
        <w:spacing w:line="400" w:lineRule="exact"/>
        <w:ind w:firstLine="359" w:firstLineChars="171"/>
        <w:rPr>
          <w:color w:val="auto"/>
          <w:highlight w:val="none"/>
        </w:rPr>
      </w:pPr>
      <w:r>
        <w:rPr>
          <w:rFonts w:hint="eastAsia"/>
          <w:color w:val="auto"/>
          <w:highlight w:val="none"/>
        </w:rPr>
        <w:t>（</w:t>
      </w:r>
      <w:r>
        <w:rPr>
          <w:color w:val="auto"/>
          <w:highlight w:val="none"/>
        </w:rPr>
        <w:t>3</w:t>
      </w:r>
      <w:r>
        <w:rPr>
          <w:rFonts w:hint="eastAsia"/>
          <w:color w:val="auto"/>
          <w:highlight w:val="none"/>
        </w:rPr>
        <w:t xml:space="preserve">）被暂停或取消投标资格的； </w:t>
      </w:r>
    </w:p>
    <w:p w14:paraId="3179033F">
      <w:pPr>
        <w:spacing w:line="40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）财产被接管或冻结的；</w:t>
      </w:r>
    </w:p>
    <w:p w14:paraId="2E694933">
      <w:pPr>
        <w:spacing w:line="40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）在最近三年内有骗取中标、严重违约、重大质量或安全问题的；</w:t>
      </w:r>
    </w:p>
    <w:p w14:paraId="604088B8">
      <w:pPr>
        <w:spacing w:line="40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）法律法规规定的其他情形；</w:t>
      </w:r>
    </w:p>
    <w:p w14:paraId="228E85EE">
      <w:pPr>
        <w:spacing w:line="40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）竞争性谈判文件规定的其他情形：见竞争性谈判公告或竞争性谈判响应须知前附表。</w:t>
      </w:r>
    </w:p>
    <w:p w14:paraId="33A9129A">
      <w:pPr>
        <w:spacing w:line="400" w:lineRule="exact"/>
        <w:ind w:firstLine="359" w:firstLineChars="171"/>
        <w:rPr>
          <w:rFonts w:hAnsi="宋体"/>
          <w:color w:val="auto"/>
          <w:szCs w:val="21"/>
          <w:highlight w:val="none"/>
        </w:rPr>
      </w:pPr>
      <w:r>
        <w:rPr>
          <w:rFonts w:hint="eastAsia"/>
          <w:color w:val="auto"/>
          <w:highlight w:val="none"/>
        </w:rPr>
        <w:t>1.</w:t>
      </w:r>
      <w:r>
        <w:rPr>
          <w:color w:val="auto"/>
          <w:highlight w:val="none"/>
        </w:rPr>
        <w:t>7</w:t>
      </w:r>
      <w:r>
        <w:rPr>
          <w:rFonts w:hint="eastAsia"/>
          <w:color w:val="auto"/>
          <w:highlight w:val="none"/>
        </w:rPr>
        <w:t>.</w:t>
      </w:r>
      <w:r>
        <w:rPr>
          <w:color w:val="auto"/>
          <w:highlight w:val="none"/>
        </w:rPr>
        <w:t>2</w:t>
      </w:r>
      <w:r>
        <w:rPr>
          <w:rFonts w:hint="eastAsia"/>
          <w:color w:val="auto"/>
          <w:highlight w:val="none"/>
        </w:rPr>
        <w:t xml:space="preserve"> </w:t>
      </w:r>
      <w:r>
        <w:rPr>
          <w:rFonts w:hint="eastAsia" w:hAnsi="宋体"/>
          <w:color w:val="auto"/>
          <w:szCs w:val="21"/>
          <w:highlight w:val="none"/>
        </w:rPr>
        <w:t>响应人在竞争性谈判活动中有下列行为之一的，应视情节轻重，暂停或取消其参与采购人及东实集团旗下采购项目的资格：</w:t>
      </w:r>
    </w:p>
    <w:p w14:paraId="3FF2FBCE">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（1）响应人之间相互串通、或与采购人、代理机构、谈判小组成员串通谈判，损害采购人或者其他响应人的合法权益的； </w:t>
      </w:r>
    </w:p>
    <w:p w14:paraId="0EDAFFFD">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（2）向采购人、代理机构、评审委会成员或其他相关工作人员行贿的； </w:t>
      </w:r>
    </w:p>
    <w:p w14:paraId="3A6C584C">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（3）以他人名义谈判或以其他方式弄虚作假，骗取成交的； </w:t>
      </w:r>
    </w:p>
    <w:p w14:paraId="121295AE">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（4）成交人私自将成交项目转让给他人的，将成交项目肢解后分别转让给他人的； </w:t>
      </w:r>
    </w:p>
    <w:p w14:paraId="442BEFEE">
      <w:pPr>
        <w:spacing w:line="400" w:lineRule="exact"/>
        <w:ind w:left="426"/>
        <w:rPr>
          <w:rFonts w:ascii="宋体" w:hAnsi="宋体"/>
          <w:color w:val="auto"/>
          <w:szCs w:val="21"/>
          <w:highlight w:val="none"/>
        </w:rPr>
      </w:pPr>
      <w:r>
        <w:rPr>
          <w:rFonts w:hint="eastAsia" w:ascii="宋体" w:hAnsi="宋体"/>
          <w:color w:val="auto"/>
          <w:szCs w:val="21"/>
          <w:highlight w:val="none"/>
        </w:rPr>
        <w:t>（5）成交人无正当理由不与采购人订立合同，在签订合同时向采购人提出附加条件，或者不按照竞争性谈判文件要求提交履约担保的；</w:t>
      </w:r>
    </w:p>
    <w:p w14:paraId="00EC9606">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（6）响应人捏造事实、伪造材料或者以非法手段取得证明材料进行投诉，给他人造成损失的； </w:t>
      </w:r>
    </w:p>
    <w:p w14:paraId="6949E994">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（7）相关工作人员应当回避而不回避的； </w:t>
      </w:r>
    </w:p>
    <w:p w14:paraId="2CB8F559">
      <w:pPr>
        <w:spacing w:line="400" w:lineRule="exact"/>
        <w:ind w:left="426"/>
        <w:rPr>
          <w:rFonts w:ascii="宋体" w:hAnsi="宋体"/>
          <w:color w:val="auto"/>
          <w:szCs w:val="21"/>
          <w:highlight w:val="none"/>
        </w:rPr>
      </w:pPr>
      <w:r>
        <w:rPr>
          <w:rFonts w:hint="eastAsia" w:ascii="宋体" w:hAnsi="宋体"/>
          <w:color w:val="auto"/>
          <w:szCs w:val="21"/>
          <w:highlight w:val="none"/>
        </w:rPr>
        <w:t>（8）其他违法违规的行为。</w:t>
      </w:r>
    </w:p>
    <w:p w14:paraId="6A0CA27A">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3</w:t>
      </w:r>
      <w:r>
        <w:rPr>
          <w:rFonts w:hint="eastAsia" w:ascii="宋体" w:hAnsi="宋体"/>
          <w:color w:val="auto"/>
          <w:szCs w:val="21"/>
          <w:highlight w:val="none"/>
        </w:rPr>
        <w:t>有下列情形之一的，视为响应人串通谈判，其响应无效：</w:t>
      </w:r>
    </w:p>
    <w:p w14:paraId="3298DBA2">
      <w:pPr>
        <w:spacing w:line="400" w:lineRule="exact"/>
        <w:ind w:left="426"/>
        <w:rPr>
          <w:rFonts w:ascii="宋体" w:hAnsi="宋体"/>
          <w:color w:val="auto"/>
          <w:szCs w:val="21"/>
          <w:highlight w:val="none"/>
        </w:rPr>
      </w:pPr>
      <w:r>
        <w:rPr>
          <w:rFonts w:hint="eastAsia" w:ascii="宋体" w:hAnsi="宋体"/>
          <w:color w:val="auto"/>
          <w:szCs w:val="21"/>
          <w:highlight w:val="none"/>
        </w:rPr>
        <w:t>（1）不同响应人的响应文件由同一单位或者个人编制；</w:t>
      </w:r>
    </w:p>
    <w:p w14:paraId="2DBFA394">
      <w:pPr>
        <w:spacing w:line="400" w:lineRule="exact"/>
        <w:ind w:left="426"/>
        <w:rPr>
          <w:rFonts w:ascii="宋体" w:hAnsi="宋体"/>
          <w:color w:val="auto"/>
          <w:szCs w:val="21"/>
          <w:highlight w:val="none"/>
        </w:rPr>
      </w:pPr>
      <w:r>
        <w:rPr>
          <w:rFonts w:hint="eastAsia" w:ascii="宋体" w:hAnsi="宋体"/>
          <w:color w:val="auto"/>
          <w:szCs w:val="21"/>
          <w:highlight w:val="none"/>
        </w:rPr>
        <w:t>（2）不同响应人委托同一单位或者个人办理响应事宜；</w:t>
      </w:r>
    </w:p>
    <w:p w14:paraId="2568C583">
      <w:pPr>
        <w:spacing w:line="400" w:lineRule="exact"/>
        <w:ind w:left="426"/>
        <w:rPr>
          <w:rFonts w:ascii="宋体" w:hAnsi="宋体"/>
          <w:color w:val="auto"/>
          <w:szCs w:val="21"/>
          <w:highlight w:val="none"/>
        </w:rPr>
      </w:pPr>
      <w:r>
        <w:rPr>
          <w:rFonts w:hint="eastAsia" w:ascii="宋体" w:hAnsi="宋体"/>
          <w:color w:val="auto"/>
          <w:szCs w:val="21"/>
          <w:highlight w:val="none"/>
        </w:rPr>
        <w:t>（3）不同响应人的响应文件载明的项目管理成员或者联系人员为同一人；</w:t>
      </w:r>
    </w:p>
    <w:p w14:paraId="5860A05F">
      <w:pPr>
        <w:spacing w:line="400" w:lineRule="exact"/>
        <w:ind w:left="426"/>
        <w:rPr>
          <w:rFonts w:ascii="宋体" w:hAnsi="宋体"/>
          <w:color w:val="auto"/>
          <w:szCs w:val="21"/>
          <w:highlight w:val="none"/>
        </w:rPr>
      </w:pPr>
      <w:r>
        <w:rPr>
          <w:rFonts w:hint="eastAsia" w:ascii="宋体" w:hAnsi="宋体"/>
          <w:color w:val="auto"/>
          <w:szCs w:val="21"/>
          <w:highlight w:val="none"/>
        </w:rPr>
        <w:t>（4）不同响应人的响应文件异常一致或者响应报价呈规律性差异；</w:t>
      </w:r>
    </w:p>
    <w:p w14:paraId="34BCA9CC">
      <w:pPr>
        <w:spacing w:line="400" w:lineRule="exact"/>
        <w:ind w:left="426"/>
        <w:rPr>
          <w:rFonts w:ascii="宋体" w:hAnsi="宋体"/>
          <w:color w:val="auto"/>
          <w:szCs w:val="21"/>
          <w:highlight w:val="none"/>
        </w:rPr>
      </w:pPr>
      <w:r>
        <w:rPr>
          <w:rFonts w:hint="eastAsia" w:ascii="宋体" w:hAnsi="宋体"/>
          <w:color w:val="auto"/>
          <w:szCs w:val="21"/>
          <w:highlight w:val="none"/>
        </w:rPr>
        <w:t>（5）不同响应人的响应文件相互混装；</w:t>
      </w:r>
    </w:p>
    <w:p w14:paraId="725DCC93">
      <w:pPr>
        <w:spacing w:line="400" w:lineRule="exact"/>
        <w:ind w:left="426"/>
        <w:rPr>
          <w:rFonts w:ascii="宋体" w:hAnsi="宋体"/>
          <w:color w:val="auto"/>
          <w:szCs w:val="21"/>
          <w:highlight w:val="none"/>
        </w:rPr>
      </w:pPr>
      <w:r>
        <w:rPr>
          <w:rFonts w:hint="eastAsia" w:ascii="宋体" w:hAnsi="宋体"/>
          <w:color w:val="auto"/>
          <w:szCs w:val="21"/>
          <w:highlight w:val="none"/>
        </w:rPr>
        <w:t>（6）不同响应人的响应保证金从同一单位或者个人的账户转出。</w:t>
      </w:r>
    </w:p>
    <w:p w14:paraId="28609D7B">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4</w:t>
      </w:r>
      <w:r>
        <w:rPr>
          <w:rFonts w:hint="eastAsia" w:ascii="宋体" w:hAnsi="宋体"/>
          <w:color w:val="auto"/>
          <w:szCs w:val="21"/>
          <w:highlight w:val="none"/>
        </w:rPr>
        <w:t>使用通过受让或者租借等方式获取的资格、资质证书响应的，属于以他人名义谈判，其响应无效：</w:t>
      </w:r>
    </w:p>
    <w:p w14:paraId="58B502DD">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5</w:t>
      </w:r>
      <w:r>
        <w:rPr>
          <w:rFonts w:hint="eastAsia" w:ascii="宋体" w:hAnsi="宋体"/>
          <w:color w:val="auto"/>
          <w:szCs w:val="21"/>
          <w:highlight w:val="none"/>
        </w:rPr>
        <w:t>有下列情形之一的，属于以其他方式弄虚作假的行为，其响应无效：</w:t>
      </w:r>
    </w:p>
    <w:p w14:paraId="5A39F415">
      <w:pPr>
        <w:spacing w:line="400" w:lineRule="exact"/>
        <w:ind w:left="426"/>
        <w:rPr>
          <w:rFonts w:ascii="宋体" w:hAnsi="宋体"/>
          <w:color w:val="auto"/>
          <w:szCs w:val="21"/>
          <w:highlight w:val="none"/>
        </w:rPr>
      </w:pPr>
      <w:r>
        <w:rPr>
          <w:rFonts w:hint="eastAsia" w:ascii="宋体" w:hAnsi="宋体"/>
          <w:color w:val="auto"/>
          <w:szCs w:val="21"/>
          <w:highlight w:val="none"/>
        </w:rPr>
        <w:t>（1）使用伪造、变造的许可证件；</w:t>
      </w:r>
    </w:p>
    <w:p w14:paraId="00DB17C7">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（2）提供虚假的财务状况或者业绩； </w:t>
      </w:r>
    </w:p>
    <w:p w14:paraId="108CD51F">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（3）提供虚假的项目负责人或者主要技术人员简历、劳动关系证明； </w:t>
      </w:r>
    </w:p>
    <w:p w14:paraId="43591844">
      <w:pPr>
        <w:spacing w:line="400" w:lineRule="exact"/>
        <w:ind w:left="426"/>
        <w:rPr>
          <w:rFonts w:ascii="宋体" w:hAnsi="宋体"/>
          <w:color w:val="auto"/>
          <w:szCs w:val="21"/>
          <w:highlight w:val="none"/>
        </w:rPr>
      </w:pPr>
      <w:r>
        <w:rPr>
          <w:rFonts w:hint="eastAsia" w:ascii="宋体" w:hAnsi="宋体"/>
          <w:color w:val="auto"/>
          <w:szCs w:val="21"/>
          <w:highlight w:val="none"/>
        </w:rPr>
        <w:t>（4）提供虚假的信用状况；</w:t>
      </w:r>
    </w:p>
    <w:p w14:paraId="3EB37796">
      <w:pPr>
        <w:spacing w:line="400" w:lineRule="exact"/>
        <w:ind w:left="426"/>
        <w:rPr>
          <w:rFonts w:ascii="宋体" w:hAnsi="宋体"/>
          <w:color w:val="auto"/>
          <w:szCs w:val="21"/>
          <w:highlight w:val="none"/>
        </w:rPr>
      </w:pPr>
      <w:r>
        <w:rPr>
          <w:rFonts w:hint="eastAsia" w:ascii="宋体" w:hAnsi="宋体"/>
          <w:color w:val="auto"/>
          <w:szCs w:val="21"/>
          <w:highlight w:val="none"/>
        </w:rPr>
        <w:t>（5）其他弄虚作假的行为。</w:t>
      </w:r>
    </w:p>
    <w:p w14:paraId="6442D705">
      <w:pPr>
        <w:spacing w:line="400" w:lineRule="exact"/>
        <w:ind w:firstLine="359" w:firstLineChars="171"/>
        <w:rPr>
          <w:bCs/>
          <w:color w:val="auto"/>
          <w:highlight w:val="none"/>
        </w:rPr>
      </w:pPr>
      <w:r>
        <w:rPr>
          <w:bCs/>
          <w:color w:val="auto"/>
          <w:highlight w:val="none"/>
        </w:rPr>
        <w:t>1.7.</w:t>
      </w:r>
      <w:r>
        <w:rPr>
          <w:rFonts w:hint="eastAsia"/>
          <w:bCs/>
          <w:color w:val="auto"/>
          <w:highlight w:val="none"/>
        </w:rPr>
        <w:t xml:space="preserve">6响应人相关工作人员与采购人或采购代理机构有以下利害关系之一的，应当回避： </w:t>
      </w:r>
    </w:p>
    <w:p w14:paraId="06032651">
      <w:pPr>
        <w:spacing w:line="400" w:lineRule="exact"/>
        <w:ind w:firstLine="359" w:firstLineChars="171"/>
        <w:rPr>
          <w:bCs/>
          <w:color w:val="auto"/>
          <w:highlight w:val="none"/>
        </w:rPr>
      </w:pPr>
      <w:r>
        <w:rPr>
          <w:rFonts w:hint="eastAsia"/>
          <w:bCs/>
          <w:color w:val="auto"/>
          <w:highlight w:val="none"/>
        </w:rPr>
        <w:t>（一）是其主要负责人的近亲属的；</w:t>
      </w:r>
    </w:p>
    <w:p w14:paraId="53293B99">
      <w:pPr>
        <w:spacing w:line="400" w:lineRule="exact"/>
        <w:ind w:firstLine="359" w:firstLineChars="171"/>
        <w:rPr>
          <w:bCs/>
          <w:color w:val="auto"/>
          <w:highlight w:val="none"/>
        </w:rPr>
      </w:pPr>
      <w:r>
        <w:rPr>
          <w:rFonts w:hint="eastAsia"/>
          <w:bCs/>
          <w:color w:val="auto"/>
          <w:highlight w:val="none"/>
        </w:rPr>
        <w:t>（二）竞争性谈判活动前3年内与其存在劳动关系，担任其董事、监事，是其控股股东或实际控制人，或存在其他经济利益关系，可能影响竞争性谈判活动公平公正的；</w:t>
      </w:r>
    </w:p>
    <w:p w14:paraId="17A2F7E1">
      <w:pPr>
        <w:spacing w:line="400" w:lineRule="exact"/>
        <w:ind w:firstLine="359" w:firstLineChars="171"/>
        <w:rPr>
          <w:bCs/>
          <w:color w:val="auto"/>
          <w:highlight w:val="none"/>
        </w:rPr>
      </w:pPr>
      <w:r>
        <w:rPr>
          <w:rFonts w:hint="eastAsia"/>
          <w:bCs/>
          <w:color w:val="auto"/>
          <w:highlight w:val="none"/>
        </w:rPr>
        <w:t>（三）其他可能影响竞争性谈判活动公平、公正进行的关系。</w:t>
      </w:r>
    </w:p>
    <w:p w14:paraId="63341D68">
      <w:pPr>
        <w:spacing w:line="400" w:lineRule="exact"/>
        <w:rPr>
          <w:rFonts w:ascii="宋体" w:hAnsi="宋体"/>
          <w:b/>
          <w:color w:val="auto"/>
          <w:sz w:val="32"/>
          <w:szCs w:val="32"/>
          <w:highlight w:val="none"/>
        </w:rPr>
      </w:pPr>
      <w:bookmarkStart w:id="24" w:name="_Toc456551884"/>
      <w:bookmarkStart w:id="25" w:name="_Toc475552130"/>
      <w:r>
        <w:rPr>
          <w:rFonts w:hint="eastAsia" w:ascii="宋体" w:hAnsi="宋体"/>
          <w:b/>
          <w:color w:val="auto"/>
          <w:sz w:val="32"/>
          <w:szCs w:val="32"/>
          <w:highlight w:val="none"/>
        </w:rPr>
        <w:t>1.</w:t>
      </w:r>
      <w:r>
        <w:rPr>
          <w:rFonts w:ascii="宋体" w:hAnsi="宋体"/>
          <w:b/>
          <w:color w:val="auto"/>
          <w:sz w:val="32"/>
          <w:szCs w:val="32"/>
          <w:highlight w:val="none"/>
        </w:rPr>
        <w:t>8</w:t>
      </w:r>
      <w:r>
        <w:rPr>
          <w:rFonts w:hint="eastAsia" w:ascii="宋体" w:hAnsi="宋体"/>
          <w:b/>
          <w:color w:val="auto"/>
          <w:sz w:val="32"/>
          <w:szCs w:val="32"/>
          <w:highlight w:val="none"/>
        </w:rPr>
        <w:t xml:space="preserve"> 费用承担</w:t>
      </w:r>
      <w:bookmarkEnd w:id="24"/>
      <w:bookmarkEnd w:id="25"/>
    </w:p>
    <w:p w14:paraId="4E09FD67">
      <w:pPr>
        <w:spacing w:line="400" w:lineRule="exact"/>
        <w:ind w:firstLine="420" w:firstLineChars="200"/>
        <w:rPr>
          <w:color w:val="auto"/>
          <w:highlight w:val="none"/>
        </w:rPr>
      </w:pPr>
      <w:r>
        <w:rPr>
          <w:rFonts w:hint="eastAsia" w:ascii="宋体" w:hAnsi="宋体" w:cs="宋体"/>
          <w:color w:val="auto"/>
          <w:szCs w:val="21"/>
          <w:highlight w:val="none"/>
        </w:rPr>
        <w:t>响应人准备和参加竞争性谈判活动发生的费用自理</w:t>
      </w:r>
      <w:r>
        <w:rPr>
          <w:rFonts w:hint="eastAsia"/>
          <w:color w:val="auto"/>
          <w:highlight w:val="none"/>
        </w:rPr>
        <w:t>。</w:t>
      </w:r>
    </w:p>
    <w:p w14:paraId="5B72C36B">
      <w:pPr>
        <w:spacing w:line="400" w:lineRule="exact"/>
        <w:rPr>
          <w:rFonts w:ascii="宋体" w:hAnsi="宋体"/>
          <w:b/>
          <w:color w:val="auto"/>
          <w:sz w:val="32"/>
          <w:szCs w:val="32"/>
          <w:highlight w:val="none"/>
        </w:rPr>
      </w:pPr>
      <w:bookmarkStart w:id="26" w:name="_Toc475552131"/>
      <w:bookmarkStart w:id="27" w:name="_Toc456551885"/>
      <w:r>
        <w:rPr>
          <w:rFonts w:hint="eastAsia" w:ascii="宋体" w:hAnsi="宋体"/>
          <w:b/>
          <w:color w:val="auto"/>
          <w:sz w:val="32"/>
          <w:szCs w:val="32"/>
          <w:highlight w:val="none"/>
        </w:rPr>
        <w:t>1.</w:t>
      </w:r>
      <w:r>
        <w:rPr>
          <w:rFonts w:ascii="宋体" w:hAnsi="宋体"/>
          <w:b/>
          <w:color w:val="auto"/>
          <w:sz w:val="32"/>
          <w:szCs w:val="32"/>
          <w:highlight w:val="none"/>
        </w:rPr>
        <w:t>9</w:t>
      </w:r>
      <w:r>
        <w:rPr>
          <w:rFonts w:hint="eastAsia" w:ascii="宋体" w:hAnsi="宋体"/>
          <w:b/>
          <w:color w:val="auto"/>
          <w:sz w:val="32"/>
          <w:szCs w:val="32"/>
          <w:highlight w:val="none"/>
        </w:rPr>
        <w:t xml:space="preserve"> 保密</w:t>
      </w:r>
      <w:bookmarkEnd w:id="26"/>
      <w:bookmarkEnd w:id="27"/>
    </w:p>
    <w:p w14:paraId="0454232E">
      <w:pPr>
        <w:spacing w:line="400" w:lineRule="exact"/>
        <w:ind w:firstLine="420" w:firstLineChars="200"/>
        <w:rPr>
          <w:color w:val="auto"/>
          <w:highlight w:val="none"/>
        </w:rPr>
      </w:pPr>
      <w:r>
        <w:rPr>
          <w:rFonts w:hint="eastAsia"/>
          <w:color w:val="auto"/>
          <w:highlight w:val="none"/>
        </w:rPr>
        <w:t xml:space="preserve">参与竞争性谈判活动的各方应对竞争性谈判文件和响应文件中的商业和技术等秘密保密，违者应对由此造成的后果承担法律责任。 </w:t>
      </w:r>
    </w:p>
    <w:p w14:paraId="2FBA561D">
      <w:pPr>
        <w:spacing w:line="400" w:lineRule="exact"/>
        <w:rPr>
          <w:rFonts w:ascii="宋体" w:hAnsi="宋体"/>
          <w:b/>
          <w:color w:val="auto"/>
          <w:sz w:val="32"/>
          <w:szCs w:val="32"/>
          <w:highlight w:val="none"/>
        </w:rPr>
      </w:pPr>
      <w:bookmarkStart w:id="28" w:name="_Toc475552133"/>
      <w:bookmarkStart w:id="29" w:name="_Toc456551887"/>
      <w:bookmarkStart w:id="30" w:name="_Toc475552132"/>
      <w:bookmarkStart w:id="31" w:name="_Toc456551886"/>
      <w:r>
        <w:rPr>
          <w:rFonts w:hint="eastAsia" w:ascii="宋体" w:hAnsi="宋体"/>
          <w:b/>
          <w:color w:val="auto"/>
          <w:sz w:val="32"/>
          <w:szCs w:val="32"/>
          <w:highlight w:val="none"/>
        </w:rPr>
        <w:t>1.10 语言文字</w:t>
      </w:r>
      <w:bookmarkEnd w:id="28"/>
      <w:bookmarkEnd w:id="29"/>
    </w:p>
    <w:p w14:paraId="1B14FF4C">
      <w:pPr>
        <w:spacing w:line="400" w:lineRule="exact"/>
        <w:ind w:firstLine="420" w:firstLineChars="200"/>
        <w:rPr>
          <w:color w:val="auto"/>
          <w:highlight w:val="none"/>
        </w:rPr>
      </w:pPr>
      <w:r>
        <w:rPr>
          <w:rFonts w:hint="eastAsia" w:ascii="宋体" w:hAnsi="宋体" w:cs="宋体"/>
          <w:color w:val="auto"/>
          <w:szCs w:val="21"/>
          <w:highlight w:val="none"/>
        </w:rPr>
        <w:t>除专用术语外，与竞争性谈判有关的语言均使用简体中文。必要时专用术语应附有中文注释。</w:t>
      </w:r>
    </w:p>
    <w:p w14:paraId="06C21131">
      <w:pPr>
        <w:spacing w:line="400" w:lineRule="exact"/>
        <w:rPr>
          <w:rFonts w:ascii="宋体" w:hAnsi="宋体"/>
          <w:b/>
          <w:color w:val="auto"/>
          <w:sz w:val="32"/>
          <w:szCs w:val="32"/>
          <w:highlight w:val="none"/>
        </w:rPr>
      </w:pPr>
      <w:r>
        <w:rPr>
          <w:rFonts w:hint="eastAsia" w:ascii="宋体" w:hAnsi="宋体"/>
          <w:b/>
          <w:color w:val="auto"/>
          <w:sz w:val="32"/>
          <w:szCs w:val="32"/>
          <w:highlight w:val="none"/>
        </w:rPr>
        <w:t>1.11 计量单位</w:t>
      </w:r>
      <w:bookmarkEnd w:id="30"/>
      <w:bookmarkEnd w:id="31"/>
    </w:p>
    <w:p w14:paraId="2EBB07DB">
      <w:pPr>
        <w:spacing w:line="400" w:lineRule="exact"/>
        <w:ind w:firstLine="420" w:firstLineChars="200"/>
        <w:rPr>
          <w:color w:val="auto"/>
          <w:highlight w:val="none"/>
        </w:rPr>
      </w:pPr>
      <w:r>
        <w:rPr>
          <w:rFonts w:hint="eastAsia"/>
          <w:color w:val="auto"/>
          <w:highlight w:val="none"/>
        </w:rPr>
        <w:t>所有计量均采用中华人民共和国法定计量单位。</w:t>
      </w:r>
    </w:p>
    <w:p w14:paraId="61357DC0">
      <w:pPr>
        <w:spacing w:line="400" w:lineRule="exact"/>
        <w:rPr>
          <w:rFonts w:ascii="宋体" w:hAnsi="宋体"/>
          <w:b/>
          <w:color w:val="auto"/>
          <w:sz w:val="32"/>
          <w:szCs w:val="32"/>
          <w:highlight w:val="none"/>
        </w:rPr>
      </w:pPr>
      <w:bookmarkStart w:id="32" w:name="_Toc456551892"/>
      <w:bookmarkStart w:id="33" w:name="_Toc475552136"/>
      <w:r>
        <w:rPr>
          <w:rFonts w:hint="eastAsia" w:ascii="宋体" w:hAnsi="宋体"/>
          <w:b/>
          <w:color w:val="auto"/>
          <w:sz w:val="32"/>
          <w:szCs w:val="32"/>
          <w:highlight w:val="none"/>
        </w:rPr>
        <w:t>1.12 踏勘现场</w:t>
      </w:r>
      <w:bookmarkEnd w:id="32"/>
      <w:bookmarkEnd w:id="33"/>
    </w:p>
    <w:p w14:paraId="78606EAF">
      <w:pPr>
        <w:spacing w:line="400" w:lineRule="exact"/>
        <w:ind w:firstLine="420" w:firstLineChars="200"/>
        <w:rPr>
          <w:color w:val="auto"/>
          <w:highlight w:val="none"/>
        </w:rPr>
      </w:pPr>
      <w:r>
        <w:rPr>
          <w:rFonts w:hint="eastAsia"/>
          <w:color w:val="auto"/>
          <w:highlight w:val="none"/>
        </w:rPr>
        <w:t>1.12.1 竞争性谈判响应须知前附表规定组织踏勘现场的，采购人按竞争性谈判响应须知前附表规定的时间、地点组织响应人踏勘项目现场。</w:t>
      </w:r>
    </w:p>
    <w:p w14:paraId="17685EA7">
      <w:pPr>
        <w:spacing w:line="400" w:lineRule="exact"/>
        <w:ind w:firstLine="420" w:firstLineChars="200"/>
        <w:rPr>
          <w:color w:val="auto"/>
          <w:highlight w:val="none"/>
        </w:rPr>
      </w:pPr>
      <w:r>
        <w:rPr>
          <w:rFonts w:hint="eastAsia"/>
          <w:color w:val="auto"/>
          <w:highlight w:val="none"/>
        </w:rPr>
        <w:t>1.12.2 响应人踏勘现场发生的费用自理。</w:t>
      </w:r>
    </w:p>
    <w:p w14:paraId="3BA7EBD6">
      <w:pPr>
        <w:spacing w:line="400" w:lineRule="exact"/>
        <w:ind w:firstLine="420" w:firstLineChars="200"/>
        <w:rPr>
          <w:color w:val="auto"/>
          <w:highlight w:val="none"/>
        </w:rPr>
      </w:pPr>
      <w:r>
        <w:rPr>
          <w:rFonts w:hint="eastAsia"/>
          <w:color w:val="auto"/>
          <w:highlight w:val="none"/>
        </w:rPr>
        <w:t>1.12.3 除采购人的原因外，响应人自行负责在踏勘现场中所发生的人员伤亡和财产损失。</w:t>
      </w:r>
    </w:p>
    <w:p w14:paraId="52ADF7B4">
      <w:pPr>
        <w:spacing w:line="400" w:lineRule="exact"/>
        <w:ind w:firstLine="420" w:firstLineChars="200"/>
        <w:rPr>
          <w:color w:val="auto"/>
          <w:highlight w:val="none"/>
        </w:rPr>
      </w:pPr>
      <w:r>
        <w:rPr>
          <w:rFonts w:hint="eastAsia"/>
          <w:color w:val="auto"/>
          <w:highlight w:val="none"/>
        </w:rPr>
        <w:t>1.12.4 采购人在踏勘现场中介绍的实施地点和相关的周边环境情况，供响应人在编制响应文件时参考，采购人不对响应人据此作出的判断和决策负责。</w:t>
      </w:r>
    </w:p>
    <w:p w14:paraId="7AA0038E">
      <w:pPr>
        <w:spacing w:line="400" w:lineRule="exact"/>
        <w:rPr>
          <w:color w:val="auto"/>
          <w:highlight w:val="none"/>
        </w:rPr>
      </w:pPr>
    </w:p>
    <w:p w14:paraId="1D42C492">
      <w:pPr>
        <w:pStyle w:val="6"/>
        <w:rPr>
          <w:rFonts w:ascii="黑体" w:hAnsi="黑体"/>
          <w:color w:val="auto"/>
          <w:highlight w:val="none"/>
        </w:rPr>
      </w:pPr>
      <w:bookmarkStart w:id="34" w:name="_Toc5141"/>
      <w:bookmarkStart w:id="35" w:name="_Toc456551890"/>
      <w:r>
        <w:rPr>
          <w:rFonts w:hint="eastAsia" w:ascii="黑体" w:hAnsi="黑体"/>
          <w:color w:val="auto"/>
          <w:highlight w:val="none"/>
        </w:rPr>
        <w:t>2. 竞争性谈判文件</w:t>
      </w:r>
      <w:bookmarkEnd w:id="34"/>
      <w:bookmarkEnd w:id="35"/>
    </w:p>
    <w:p w14:paraId="1377D6AB">
      <w:pPr>
        <w:spacing w:line="400" w:lineRule="exact"/>
        <w:rPr>
          <w:rFonts w:ascii="宋体" w:hAnsi="宋体"/>
          <w:b/>
          <w:color w:val="auto"/>
          <w:sz w:val="32"/>
          <w:szCs w:val="32"/>
          <w:highlight w:val="none"/>
        </w:rPr>
      </w:pPr>
      <w:bookmarkStart w:id="36" w:name="_Toc475552135"/>
      <w:bookmarkStart w:id="37" w:name="_Toc456551891"/>
      <w:r>
        <w:rPr>
          <w:rFonts w:hint="eastAsia" w:ascii="宋体" w:hAnsi="宋体"/>
          <w:b/>
          <w:color w:val="auto"/>
          <w:sz w:val="32"/>
          <w:szCs w:val="32"/>
          <w:highlight w:val="none"/>
        </w:rPr>
        <w:t>2.1 竞争性谈判文件的组成</w:t>
      </w:r>
      <w:bookmarkEnd w:id="36"/>
      <w:bookmarkEnd w:id="37"/>
    </w:p>
    <w:p w14:paraId="62A48D7E">
      <w:pPr>
        <w:spacing w:line="400" w:lineRule="exact"/>
        <w:rPr>
          <w:color w:val="auto"/>
          <w:highlight w:val="none"/>
        </w:rPr>
      </w:pPr>
      <w:r>
        <w:rPr>
          <w:rFonts w:hint="eastAsia"/>
          <w:color w:val="auto"/>
          <w:highlight w:val="none"/>
        </w:rPr>
        <w:t>　　2.1.1 本竞争性谈判文件一般由以下部分组成：</w:t>
      </w:r>
    </w:p>
    <w:p w14:paraId="4A618FDB">
      <w:pPr>
        <w:spacing w:line="400" w:lineRule="exact"/>
        <w:ind w:firstLine="567" w:firstLineChars="270"/>
        <w:rPr>
          <w:color w:val="auto"/>
          <w:highlight w:val="none"/>
        </w:rPr>
      </w:pPr>
      <w:r>
        <w:rPr>
          <w:rFonts w:hint="eastAsia"/>
          <w:color w:val="auto"/>
          <w:highlight w:val="none"/>
        </w:rPr>
        <w:t>第一章 竞争性谈判公告</w:t>
      </w:r>
    </w:p>
    <w:p w14:paraId="3E4CFE52">
      <w:pPr>
        <w:spacing w:line="400" w:lineRule="exact"/>
        <w:ind w:firstLine="567" w:firstLineChars="270"/>
        <w:rPr>
          <w:color w:val="auto"/>
          <w:highlight w:val="none"/>
        </w:rPr>
      </w:pPr>
      <w:r>
        <w:rPr>
          <w:rFonts w:hint="eastAsia"/>
          <w:color w:val="auto"/>
          <w:highlight w:val="none"/>
        </w:rPr>
        <w:t>第二章 竞争性谈判响应须知</w:t>
      </w:r>
    </w:p>
    <w:p w14:paraId="7E6CFAA3">
      <w:pPr>
        <w:spacing w:line="400" w:lineRule="exact"/>
        <w:ind w:firstLine="567" w:firstLineChars="270"/>
        <w:rPr>
          <w:color w:val="auto"/>
          <w:highlight w:val="none"/>
        </w:rPr>
      </w:pPr>
      <w:r>
        <w:rPr>
          <w:rFonts w:hint="eastAsia"/>
          <w:color w:val="auto"/>
          <w:highlight w:val="none"/>
        </w:rPr>
        <w:t>第三章 评审办法</w:t>
      </w:r>
    </w:p>
    <w:p w14:paraId="1A376FA9">
      <w:pPr>
        <w:spacing w:line="400" w:lineRule="exact"/>
        <w:ind w:firstLine="567" w:firstLineChars="270"/>
        <w:rPr>
          <w:color w:val="auto"/>
          <w:highlight w:val="none"/>
        </w:rPr>
      </w:pPr>
      <w:r>
        <w:rPr>
          <w:rFonts w:hint="eastAsia"/>
          <w:color w:val="auto"/>
          <w:highlight w:val="none"/>
        </w:rPr>
        <w:t>第四章 用户需求书(服务类/货物类)；技术规范书、工程量清单、图纸（施工类）；</w:t>
      </w:r>
    </w:p>
    <w:p w14:paraId="50E93591">
      <w:pPr>
        <w:spacing w:line="400" w:lineRule="exact"/>
        <w:ind w:firstLine="567" w:firstLineChars="270"/>
        <w:rPr>
          <w:color w:val="auto"/>
          <w:highlight w:val="none"/>
        </w:rPr>
      </w:pPr>
      <w:r>
        <w:rPr>
          <w:rFonts w:hint="eastAsia"/>
          <w:color w:val="auto"/>
          <w:highlight w:val="none"/>
        </w:rPr>
        <w:t>第五章 合同模板</w:t>
      </w:r>
    </w:p>
    <w:p w14:paraId="5695AED4">
      <w:pPr>
        <w:spacing w:line="400" w:lineRule="exact"/>
        <w:ind w:firstLine="567" w:firstLineChars="270"/>
        <w:rPr>
          <w:color w:val="auto"/>
          <w:highlight w:val="none"/>
        </w:rPr>
      </w:pPr>
      <w:r>
        <w:rPr>
          <w:rFonts w:hint="eastAsia"/>
          <w:color w:val="auto"/>
          <w:highlight w:val="none"/>
        </w:rPr>
        <w:t>第六章 响应文件格式</w:t>
      </w:r>
    </w:p>
    <w:p w14:paraId="13CBC660">
      <w:pPr>
        <w:spacing w:line="400" w:lineRule="exact"/>
        <w:ind w:firstLine="567" w:firstLineChars="270"/>
        <w:rPr>
          <w:color w:val="auto"/>
          <w:highlight w:val="none"/>
        </w:rPr>
      </w:pPr>
      <w:r>
        <w:rPr>
          <w:rFonts w:hint="eastAsia"/>
          <w:color w:val="auto"/>
          <w:highlight w:val="none"/>
        </w:rPr>
        <w:t>采购人另有要求的，见竞争性谈判响应须知前附表。</w:t>
      </w:r>
    </w:p>
    <w:p w14:paraId="25CC8BC7">
      <w:pPr>
        <w:spacing w:line="400" w:lineRule="exact"/>
        <w:ind w:firstLine="567" w:firstLineChars="270"/>
        <w:rPr>
          <w:color w:val="auto"/>
          <w:highlight w:val="none"/>
        </w:rPr>
      </w:pPr>
      <w:r>
        <w:rPr>
          <w:rFonts w:hint="eastAsia" w:ascii="宋体" w:hAnsi="宋体" w:cs="宋体"/>
          <w:color w:val="auto"/>
          <w:szCs w:val="21"/>
          <w:highlight w:val="none"/>
        </w:rPr>
        <w:t>根据本章第2.2款对竞争性谈判文件所作的澄清、修改，构成竞争性谈判文件的组成部分。</w:t>
      </w:r>
    </w:p>
    <w:p w14:paraId="2FB94595">
      <w:pPr>
        <w:spacing w:line="400" w:lineRule="exact"/>
        <w:ind w:firstLine="420" w:firstLineChars="200"/>
        <w:rPr>
          <w:color w:val="auto"/>
          <w:highlight w:val="none"/>
        </w:rPr>
      </w:pPr>
      <w:r>
        <w:rPr>
          <w:rFonts w:hint="eastAsia"/>
          <w:color w:val="auto"/>
          <w:highlight w:val="none"/>
        </w:rPr>
        <w:t>2.1.2竞争性谈判文件对同一内容的表述应当一致。第一章 “竞争性谈判公告”与竞争性谈判文件在同一内容的表述上有矛盾或冲突时，以第一章 “竞争性谈判公告”为准；竞争性谈判响应须知前附表与正文在同一内容的表述上有矛盾或冲突时，以竞争性谈判响应须知前附表为准。</w:t>
      </w:r>
    </w:p>
    <w:p w14:paraId="012A5632">
      <w:pPr>
        <w:spacing w:line="400" w:lineRule="exact"/>
        <w:ind w:firstLine="420" w:firstLineChars="200"/>
        <w:rPr>
          <w:color w:val="auto"/>
          <w:highlight w:val="none"/>
        </w:rPr>
      </w:pPr>
      <w:r>
        <w:rPr>
          <w:rFonts w:hint="eastAsia"/>
          <w:color w:val="auto"/>
          <w:highlight w:val="none"/>
        </w:rPr>
        <w:t>2.1.3</w:t>
      </w:r>
      <w:r>
        <w:rPr>
          <w:rFonts w:hint="eastAsia" w:ascii="宋体" w:hAnsi="宋体" w:cs="宋体"/>
          <w:b/>
          <w:color w:val="auto"/>
          <w:szCs w:val="21"/>
          <w:highlight w:val="none"/>
        </w:rPr>
        <w:t>竞争性谈判文件中标识“</w:t>
      </w:r>
      <w:r>
        <w:rPr>
          <w:rFonts w:eastAsia="黑体"/>
          <w:b/>
          <w:color w:val="auto"/>
          <w:sz w:val="32"/>
          <w:szCs w:val="32"/>
          <w:highlight w:val="none"/>
        </w:rPr>
        <w:sym w:font="Wingdings" w:char="00AB"/>
      </w:r>
      <w:r>
        <w:rPr>
          <w:rFonts w:hint="eastAsia" w:ascii="宋体" w:hAnsi="宋体" w:cs="宋体"/>
          <w:b/>
          <w:color w:val="auto"/>
          <w:szCs w:val="21"/>
          <w:highlight w:val="none"/>
        </w:rPr>
        <w:t>”的条款，均为实质性条款，任何不满足实质性条款的谈判将被否决</w:t>
      </w:r>
      <w:r>
        <w:rPr>
          <w:rFonts w:hint="eastAsia"/>
          <w:b/>
          <w:color w:val="auto"/>
          <w:highlight w:val="none"/>
        </w:rPr>
        <w:t>；</w:t>
      </w:r>
      <w:r>
        <w:rPr>
          <w:rFonts w:hint="eastAsia"/>
          <w:color w:val="auto"/>
          <w:highlight w:val="none"/>
        </w:rPr>
        <w:t>对于非实质性要求和条件，</w:t>
      </w:r>
      <w:r>
        <w:rPr>
          <w:rFonts w:hint="eastAsia" w:ascii="宋体" w:hAnsi="宋体" w:cs="宋体"/>
          <w:color w:val="auto"/>
          <w:szCs w:val="21"/>
          <w:highlight w:val="none"/>
        </w:rPr>
        <w:t>偏离应当符合采购文件规定的偏离范围和幅度</w:t>
      </w:r>
      <w:r>
        <w:rPr>
          <w:rFonts w:hint="eastAsia"/>
          <w:color w:val="auto"/>
          <w:highlight w:val="none"/>
        </w:rPr>
        <w:t>。</w:t>
      </w:r>
    </w:p>
    <w:p w14:paraId="7E365BE8">
      <w:pPr>
        <w:spacing w:line="400" w:lineRule="exact"/>
        <w:rPr>
          <w:rFonts w:ascii="宋体" w:hAnsi="宋体"/>
          <w:b/>
          <w:color w:val="auto"/>
          <w:sz w:val="32"/>
          <w:szCs w:val="32"/>
          <w:highlight w:val="none"/>
        </w:rPr>
      </w:pPr>
      <w:bookmarkStart w:id="38" w:name="_Toc456551894"/>
      <w:bookmarkStart w:id="39" w:name="_Toc475552138"/>
      <w:r>
        <w:rPr>
          <w:rFonts w:hint="eastAsia" w:ascii="宋体" w:hAnsi="宋体"/>
          <w:b/>
          <w:color w:val="auto"/>
          <w:sz w:val="32"/>
          <w:szCs w:val="32"/>
          <w:highlight w:val="none"/>
        </w:rPr>
        <w:t>2.2 竞争性谈判文件的澄清和修改</w:t>
      </w:r>
      <w:bookmarkEnd w:id="38"/>
      <w:bookmarkEnd w:id="39"/>
    </w:p>
    <w:p w14:paraId="58176756">
      <w:pPr>
        <w:spacing w:line="400" w:lineRule="exact"/>
        <w:ind w:firstLine="420" w:firstLineChars="200"/>
        <w:rPr>
          <w:color w:val="auto"/>
          <w:highlight w:val="none"/>
        </w:rPr>
      </w:pPr>
      <w:r>
        <w:rPr>
          <w:rFonts w:hint="eastAsia"/>
          <w:color w:val="auto"/>
          <w:highlight w:val="none"/>
        </w:rPr>
        <w:t>2.2.1响应人对竞争性谈判文件有任何疑问的，应当按照竞争性谈判响应须知前附表规定的时间和方式，向采购人提出澄清要求。</w:t>
      </w:r>
    </w:p>
    <w:p w14:paraId="377D650A">
      <w:pPr>
        <w:spacing w:line="400" w:lineRule="exact"/>
        <w:ind w:firstLine="420" w:firstLineChars="200"/>
        <w:rPr>
          <w:color w:val="auto"/>
          <w:highlight w:val="none"/>
        </w:rPr>
      </w:pPr>
      <w:r>
        <w:rPr>
          <w:rFonts w:hint="eastAsia"/>
          <w:color w:val="auto"/>
          <w:highlight w:val="none"/>
        </w:rPr>
        <w:t>2.2.2</w:t>
      </w:r>
      <w:r>
        <w:rPr>
          <w:rFonts w:hint="eastAsia" w:ascii="宋体" w:hAnsi="宋体" w:cs="宋体"/>
          <w:color w:val="auto"/>
          <w:szCs w:val="21"/>
          <w:highlight w:val="none"/>
        </w:rPr>
        <w:t>无论是采购人根据需要主动对竞争性谈判文件进行必要的澄清，或是根据响应人的要求对竞争性谈判文件做出澄清，</w:t>
      </w:r>
      <w:r>
        <w:rPr>
          <w:rFonts w:hint="eastAsia"/>
          <w:color w:val="auto"/>
          <w:highlight w:val="none"/>
        </w:rPr>
        <w:t>采购人都应当按照竞争性谈判响应须知前附表规定的时间和方式，将澄清或修改内容发给所有潜在竞争性谈判响应人，但不指明问题的来源。</w:t>
      </w:r>
    </w:p>
    <w:p w14:paraId="0BEC308D">
      <w:pPr>
        <w:spacing w:line="400" w:lineRule="exact"/>
        <w:ind w:firstLine="420" w:firstLineChars="200"/>
        <w:rPr>
          <w:color w:val="auto"/>
          <w:highlight w:val="none"/>
        </w:rPr>
      </w:pPr>
      <w:r>
        <w:rPr>
          <w:rFonts w:hint="eastAsia"/>
          <w:color w:val="auto"/>
          <w:highlight w:val="none"/>
        </w:rPr>
        <w:t>2.2.3如澄清或修改的内容可能影响响应文件编制的，应当在递交响应文件截止时间至少3日前发出，不足3日的，采购人应相应顺延递交响应文件的截止时间。</w:t>
      </w:r>
    </w:p>
    <w:p w14:paraId="01D15E3D">
      <w:pPr>
        <w:spacing w:line="400" w:lineRule="exact"/>
        <w:ind w:firstLine="420" w:firstLineChars="200"/>
        <w:rPr>
          <w:color w:val="auto"/>
          <w:highlight w:val="none"/>
        </w:rPr>
      </w:pPr>
      <w:r>
        <w:rPr>
          <w:rFonts w:hint="eastAsia"/>
          <w:color w:val="auto"/>
          <w:highlight w:val="none"/>
        </w:rPr>
        <w:t>2.2.4所有关于竞争性谈判文件的澄清和修改均作为竞争性谈判文件的补充部分。当竞争性谈判文件、竞争性谈判文件的澄清或修改等在同一内容的表述上不一致时，以最后发出的书面文件为准。</w:t>
      </w:r>
    </w:p>
    <w:p w14:paraId="7150998E">
      <w:pPr>
        <w:spacing w:line="400" w:lineRule="exact"/>
        <w:ind w:firstLine="420" w:firstLineChars="200"/>
        <w:rPr>
          <w:color w:val="auto"/>
          <w:highlight w:val="none"/>
        </w:rPr>
      </w:pPr>
      <w:r>
        <w:rPr>
          <w:rFonts w:hint="eastAsia"/>
          <w:color w:val="auto"/>
          <w:highlight w:val="none"/>
        </w:rPr>
        <w:t>2.2.5</w:t>
      </w:r>
      <w:r>
        <w:rPr>
          <w:rFonts w:hint="eastAsia" w:ascii="宋体" w:hAnsi="宋体" w:cs="宋体"/>
          <w:color w:val="auto"/>
          <w:szCs w:val="21"/>
          <w:highlight w:val="none"/>
        </w:rPr>
        <w:t>响应人对采购人提供的竞争性谈判文件所作出的推论、解释和结论，采购人概不负责；响应人由于对竞争性谈判文件的任何推论和误解以及采购人对有关问题的口头解释所造成的后果，均由响应人自行负责。</w:t>
      </w:r>
    </w:p>
    <w:p w14:paraId="3C88D326">
      <w:pPr>
        <w:spacing w:line="400" w:lineRule="exact"/>
        <w:ind w:firstLine="420" w:firstLineChars="200"/>
        <w:rPr>
          <w:color w:val="auto"/>
          <w:highlight w:val="none"/>
        </w:rPr>
      </w:pPr>
    </w:p>
    <w:p w14:paraId="6537380D">
      <w:pPr>
        <w:pStyle w:val="6"/>
        <w:rPr>
          <w:rFonts w:ascii="黑体" w:hAnsi="黑体"/>
          <w:color w:val="auto"/>
          <w:highlight w:val="none"/>
        </w:rPr>
      </w:pPr>
      <w:bookmarkStart w:id="40" w:name="_Toc906"/>
      <w:bookmarkStart w:id="41" w:name="_Toc456551895"/>
      <w:r>
        <w:rPr>
          <w:rFonts w:hint="eastAsia" w:ascii="黑体" w:hAnsi="黑体"/>
          <w:color w:val="auto"/>
          <w:highlight w:val="none"/>
        </w:rPr>
        <w:t>3. 响应文件</w:t>
      </w:r>
      <w:bookmarkEnd w:id="40"/>
      <w:bookmarkEnd w:id="41"/>
    </w:p>
    <w:p w14:paraId="0278AE12">
      <w:pPr>
        <w:spacing w:line="400" w:lineRule="exact"/>
        <w:rPr>
          <w:rFonts w:ascii="宋体" w:hAnsi="宋体"/>
          <w:b/>
          <w:color w:val="auto"/>
          <w:sz w:val="32"/>
          <w:szCs w:val="32"/>
          <w:highlight w:val="none"/>
        </w:rPr>
      </w:pPr>
      <w:bookmarkStart w:id="42" w:name="_Toc475552140"/>
      <w:bookmarkStart w:id="43" w:name="_Toc456551896"/>
      <w:r>
        <w:rPr>
          <w:rFonts w:hint="eastAsia" w:ascii="宋体" w:hAnsi="宋体"/>
          <w:b/>
          <w:color w:val="auto"/>
          <w:sz w:val="32"/>
          <w:szCs w:val="32"/>
          <w:highlight w:val="none"/>
        </w:rPr>
        <w:t>3.1 响应文件的组成</w:t>
      </w:r>
      <w:bookmarkEnd w:id="42"/>
      <w:bookmarkEnd w:id="43"/>
    </w:p>
    <w:p w14:paraId="5ABBB6EE">
      <w:pPr>
        <w:spacing w:line="40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响应人应当按照竞争性谈判文件的要求编制并提交响应文件。</w:t>
      </w:r>
    </w:p>
    <w:p w14:paraId="2C785FBE">
      <w:pPr>
        <w:spacing w:line="400" w:lineRule="exact"/>
        <w:rPr>
          <w:rFonts w:ascii="宋体" w:hAnsi="宋体"/>
          <w:b/>
          <w:color w:val="auto"/>
          <w:sz w:val="32"/>
          <w:szCs w:val="32"/>
          <w:highlight w:val="none"/>
        </w:rPr>
      </w:pPr>
      <w:bookmarkStart w:id="44" w:name="_Toc456551897"/>
      <w:bookmarkStart w:id="45" w:name="_Toc475552141"/>
      <w:r>
        <w:rPr>
          <w:rFonts w:hint="eastAsia" w:ascii="宋体" w:hAnsi="宋体"/>
          <w:b/>
          <w:color w:val="auto"/>
          <w:sz w:val="32"/>
          <w:szCs w:val="32"/>
          <w:highlight w:val="none"/>
        </w:rPr>
        <w:t>3.2响应文件的编制</w:t>
      </w:r>
      <w:bookmarkEnd w:id="44"/>
      <w:bookmarkEnd w:id="45"/>
    </w:p>
    <w:p w14:paraId="1413C3B8">
      <w:pPr>
        <w:spacing w:line="400" w:lineRule="exact"/>
        <w:ind w:firstLine="420" w:firstLineChars="200"/>
        <w:rPr>
          <w:color w:val="auto"/>
          <w:szCs w:val="21"/>
          <w:highlight w:val="none"/>
        </w:rPr>
      </w:pPr>
      <w:r>
        <w:rPr>
          <w:rFonts w:hint="eastAsia"/>
          <w:color w:val="auto"/>
          <w:szCs w:val="21"/>
          <w:highlight w:val="none"/>
        </w:rPr>
        <w:t>3.2.1响应人应当按照竞争性谈判文件的要求编制响应文件，响应文件应当对竞争性谈判文件提出的实质性要求和条件作出响应。</w:t>
      </w:r>
      <w:r>
        <w:rPr>
          <w:color w:val="auto"/>
          <w:szCs w:val="21"/>
          <w:highlight w:val="none"/>
        </w:rPr>
        <w:t xml:space="preserve"> </w:t>
      </w:r>
    </w:p>
    <w:p w14:paraId="1F5697C2">
      <w:pPr>
        <w:spacing w:line="400" w:lineRule="exact"/>
        <w:ind w:firstLine="420" w:firstLineChars="200"/>
        <w:rPr>
          <w:color w:val="auto"/>
          <w:szCs w:val="21"/>
          <w:highlight w:val="none"/>
        </w:rPr>
      </w:pPr>
      <w:r>
        <w:rPr>
          <w:rFonts w:hint="eastAsia"/>
          <w:color w:val="auto"/>
          <w:szCs w:val="21"/>
          <w:highlight w:val="none"/>
        </w:rPr>
        <w:t>3.2.2</w:t>
      </w:r>
      <w:r>
        <w:rPr>
          <w:rFonts w:hint="eastAsia" w:ascii="宋体" w:hAnsi="宋体" w:cs="宋体"/>
          <w:color w:val="auto"/>
          <w:szCs w:val="21"/>
          <w:highlight w:val="none"/>
        </w:rPr>
        <w:t>响应人应认真阅读竞争性谈判文件中所有的事项、格式、条款和技术规范等。响应人没有按照竞争性谈判文件要求递交全部资料，或者响应人没有对竞争性谈判文件的所有实质性要求作出全面响应是采购人的风险，并可能导致其竞争性谈判被否决。响应文件响应和编写的具体要求见竞争性谈判响应须知前附表。</w:t>
      </w:r>
    </w:p>
    <w:p w14:paraId="795D32FF">
      <w:pPr>
        <w:spacing w:line="400" w:lineRule="exact"/>
        <w:ind w:firstLine="420" w:firstLineChars="200"/>
        <w:rPr>
          <w:color w:val="auto"/>
          <w:szCs w:val="21"/>
          <w:highlight w:val="none"/>
        </w:rPr>
      </w:pPr>
      <w:r>
        <w:rPr>
          <w:rFonts w:hint="eastAsia"/>
          <w:color w:val="auto"/>
          <w:szCs w:val="21"/>
          <w:highlight w:val="none"/>
        </w:rPr>
        <w:t>3.2.3响应人提交的响应文件以及响应人与采购人就有关竞争性谈判的所有往来函电均应使用中文。响应人提交的证明文件和印刷的文献如使用其他语言的，相应内容应译成中文，在解释响应文件时以中文译本为准。</w:t>
      </w:r>
    </w:p>
    <w:p w14:paraId="5A83188B">
      <w:pPr>
        <w:spacing w:line="400" w:lineRule="exact"/>
        <w:ind w:firstLine="420" w:firstLineChars="200"/>
        <w:rPr>
          <w:color w:val="auto"/>
          <w:szCs w:val="21"/>
          <w:highlight w:val="none"/>
        </w:rPr>
      </w:pPr>
      <w:r>
        <w:rPr>
          <w:rFonts w:hint="eastAsia"/>
          <w:color w:val="auto"/>
          <w:szCs w:val="21"/>
          <w:highlight w:val="none"/>
        </w:rPr>
        <w:t>3.2.4响应文件应当使用不褪色的材料书写或打印，并盖单位公章。委托代理人签字的，响应文件应附法定代表人签署的授权委托书。响应文件应尽量避免涂改、行间插字或删除。如果出现上述情况，改动之处应加盖单位公章或由响应人的法定代表人或其委托代理人签字确认。响应文件盖章或者签字另有要求的，见竞争性谈判响应须知前附表。</w:t>
      </w:r>
    </w:p>
    <w:p w14:paraId="49AA18E4">
      <w:pPr>
        <w:spacing w:line="400" w:lineRule="exact"/>
        <w:rPr>
          <w:rFonts w:ascii="宋体" w:hAnsi="宋体"/>
          <w:b/>
          <w:color w:val="auto"/>
          <w:sz w:val="32"/>
          <w:szCs w:val="32"/>
          <w:highlight w:val="none"/>
        </w:rPr>
      </w:pPr>
      <w:bookmarkStart w:id="46" w:name="_Toc456551898"/>
      <w:bookmarkStart w:id="47" w:name="_Toc475552142"/>
      <w:r>
        <w:rPr>
          <w:rFonts w:hint="eastAsia" w:ascii="宋体" w:hAnsi="宋体"/>
          <w:b/>
          <w:color w:val="auto"/>
          <w:sz w:val="32"/>
          <w:szCs w:val="32"/>
          <w:highlight w:val="none"/>
        </w:rPr>
        <w:t>3.3 竞争性谈判报价</w:t>
      </w:r>
      <w:bookmarkEnd w:id="46"/>
      <w:bookmarkEnd w:id="47"/>
    </w:p>
    <w:p w14:paraId="7A8D1FAC">
      <w:pPr>
        <w:spacing w:line="400" w:lineRule="exact"/>
        <w:ind w:firstLine="420" w:firstLineChars="200"/>
        <w:rPr>
          <w:color w:val="auto"/>
          <w:highlight w:val="none"/>
        </w:rPr>
      </w:pPr>
      <w:r>
        <w:rPr>
          <w:rFonts w:hint="eastAsia"/>
          <w:color w:val="auto"/>
          <w:highlight w:val="none"/>
        </w:rPr>
        <w:t>3.3.1</w:t>
      </w:r>
      <w:r>
        <w:rPr>
          <w:rFonts w:hint="eastAsia"/>
          <w:bCs/>
          <w:color w:val="auto"/>
          <w:highlight w:val="none"/>
        </w:rPr>
        <w:t>竞争性谈判报价的具体要求见竞争性谈判响应须知前附表</w:t>
      </w:r>
      <w:r>
        <w:rPr>
          <w:rFonts w:hint="eastAsia" w:ascii="宋体" w:hAnsi="宋体"/>
          <w:color w:val="auto"/>
          <w:szCs w:val="21"/>
          <w:highlight w:val="none"/>
        </w:rPr>
        <w:t>。</w:t>
      </w:r>
    </w:p>
    <w:p w14:paraId="6178D2EA">
      <w:pPr>
        <w:spacing w:line="400" w:lineRule="exact"/>
        <w:ind w:firstLine="420" w:firstLineChars="200"/>
        <w:rPr>
          <w:color w:val="auto"/>
          <w:highlight w:val="none"/>
        </w:rPr>
      </w:pPr>
      <w:r>
        <w:rPr>
          <w:rFonts w:hint="eastAsia"/>
          <w:color w:val="auto"/>
          <w:highlight w:val="none"/>
        </w:rPr>
        <w:t>3.3.2竞争性谈判货币：人民币</w:t>
      </w:r>
      <w:r>
        <w:rPr>
          <w:rFonts w:hint="eastAsia" w:ascii="宋体" w:hAnsi="宋体"/>
          <w:color w:val="auto"/>
          <w:szCs w:val="21"/>
          <w:highlight w:val="none"/>
        </w:rPr>
        <w:t>。响应文件中如出现其他币种，一律以唱标当天中国人民银行公布的汇率折算为人民币。</w:t>
      </w:r>
    </w:p>
    <w:p w14:paraId="1F4B2291">
      <w:pPr>
        <w:spacing w:line="400" w:lineRule="exact"/>
        <w:ind w:firstLine="420" w:firstLineChars="200"/>
        <w:rPr>
          <w:color w:val="auto"/>
          <w:highlight w:val="none"/>
        </w:rPr>
      </w:pPr>
      <w:r>
        <w:rPr>
          <w:rFonts w:hint="eastAsia"/>
          <w:color w:val="auto"/>
          <w:highlight w:val="none"/>
        </w:rPr>
        <w:t xml:space="preserve">3.3.3 </w:t>
      </w:r>
      <w:r>
        <w:rPr>
          <w:rFonts w:hint="eastAsia"/>
          <w:b/>
          <w:color w:val="auto"/>
          <w:highlight w:val="none"/>
        </w:rPr>
        <w:t>采购人设有最高谈判限价的，响应人的竞争性谈判报价不得超过最高限价，否则其谈判将被否决。</w:t>
      </w:r>
      <w:r>
        <w:rPr>
          <w:rFonts w:hint="eastAsia"/>
          <w:color w:val="auto"/>
          <w:highlight w:val="none"/>
        </w:rPr>
        <w:t>最高竞争性谈判限价或其计算方法见竞争性谈判响应须知前附表。</w:t>
      </w:r>
    </w:p>
    <w:p w14:paraId="0833EB10">
      <w:pPr>
        <w:spacing w:line="400" w:lineRule="exact"/>
        <w:ind w:firstLine="420" w:firstLineChars="200"/>
        <w:rPr>
          <w:color w:val="auto"/>
          <w:highlight w:val="none"/>
        </w:rPr>
      </w:pPr>
      <w:r>
        <w:rPr>
          <w:rFonts w:hint="eastAsia"/>
          <w:color w:val="auto"/>
          <w:highlight w:val="none"/>
        </w:rPr>
        <w:t>3.3.4 采购人不接受响应人的任何低于成本报价的不正当竞争方式。</w:t>
      </w:r>
    </w:p>
    <w:p w14:paraId="42DF8DAB">
      <w:pPr>
        <w:spacing w:line="400" w:lineRule="exact"/>
        <w:rPr>
          <w:rFonts w:ascii="宋体" w:hAnsi="宋体"/>
          <w:b/>
          <w:color w:val="auto"/>
          <w:sz w:val="32"/>
          <w:szCs w:val="32"/>
          <w:highlight w:val="none"/>
        </w:rPr>
      </w:pPr>
      <w:bookmarkStart w:id="48" w:name="_Toc456551899"/>
      <w:bookmarkStart w:id="49" w:name="_Toc475552143"/>
      <w:r>
        <w:rPr>
          <w:rFonts w:hint="eastAsia" w:ascii="宋体" w:hAnsi="宋体"/>
          <w:b/>
          <w:color w:val="auto"/>
          <w:sz w:val="32"/>
          <w:szCs w:val="32"/>
          <w:highlight w:val="none"/>
        </w:rPr>
        <w:t>3.4 竞争性谈判有效期</w:t>
      </w:r>
      <w:bookmarkEnd w:id="48"/>
      <w:bookmarkEnd w:id="49"/>
    </w:p>
    <w:p w14:paraId="2F8B08B5">
      <w:pPr>
        <w:spacing w:line="400" w:lineRule="exact"/>
        <w:ind w:firstLine="420" w:firstLineChars="200"/>
        <w:rPr>
          <w:color w:val="auto"/>
          <w:highlight w:val="none"/>
        </w:rPr>
      </w:pPr>
      <w:r>
        <w:rPr>
          <w:rFonts w:hint="eastAsia"/>
          <w:color w:val="auto"/>
          <w:highlight w:val="none"/>
        </w:rPr>
        <w:t>3.4.1谈判有效期从递交响应文件截止日起计算，竞争性谈判有效期的具体时间见竞争性谈判响应须知前附表，在此期间，响应人不得要求撤销或修改其响应文件。</w:t>
      </w:r>
      <w:r>
        <w:rPr>
          <w:rFonts w:hint="eastAsia"/>
          <w:b/>
          <w:color w:val="auto"/>
          <w:highlight w:val="none"/>
        </w:rPr>
        <w:t>谈判有效期不满足竞争性谈判文件要求的谈判将被否决。</w:t>
      </w:r>
    </w:p>
    <w:p w14:paraId="3CCA5E3C">
      <w:pPr>
        <w:spacing w:line="400" w:lineRule="exact"/>
        <w:ind w:firstLine="420" w:firstLineChars="200"/>
        <w:rPr>
          <w:color w:val="auto"/>
          <w:highlight w:val="none"/>
        </w:rPr>
      </w:pPr>
      <w:r>
        <w:rPr>
          <w:rFonts w:hint="eastAsia"/>
          <w:color w:val="auto"/>
          <w:highlight w:val="none"/>
        </w:rPr>
        <w:t>3.4.2</w:t>
      </w:r>
      <w:r>
        <w:rPr>
          <w:rFonts w:hint="eastAsia" w:ascii="宋体" w:hAnsi="宋体" w:cs="宋体"/>
          <w:color w:val="auto"/>
          <w:szCs w:val="21"/>
          <w:highlight w:val="none"/>
        </w:rPr>
        <w:t>出现特殊情况需要延长谈判有效期的，采购人以书面形式通知所有响应人延长竞争性谈判有效期。响应人同意延长的，应相应延长其竞争性谈判保证金的有效期，但不得要求或被允许修改或撤销其响应文件；响应人拒绝延长的，其响应失效，但响应人有权收回其响应保证金。</w:t>
      </w:r>
    </w:p>
    <w:p w14:paraId="2EE223D9">
      <w:pPr>
        <w:spacing w:line="400" w:lineRule="exact"/>
        <w:rPr>
          <w:rFonts w:ascii="宋体" w:hAnsi="宋体"/>
          <w:b/>
          <w:color w:val="auto"/>
          <w:sz w:val="32"/>
          <w:szCs w:val="32"/>
          <w:highlight w:val="none"/>
        </w:rPr>
      </w:pPr>
      <w:bookmarkStart w:id="50" w:name="_Toc475552144"/>
      <w:bookmarkStart w:id="51" w:name="_Toc456551900"/>
      <w:r>
        <w:rPr>
          <w:rFonts w:hint="eastAsia" w:ascii="宋体" w:hAnsi="宋体"/>
          <w:b/>
          <w:color w:val="auto"/>
          <w:sz w:val="32"/>
          <w:szCs w:val="32"/>
          <w:highlight w:val="none"/>
        </w:rPr>
        <w:t>3.5 竞争性谈判保证金</w:t>
      </w:r>
      <w:bookmarkEnd w:id="50"/>
      <w:bookmarkEnd w:id="51"/>
    </w:p>
    <w:p w14:paraId="78052E91">
      <w:pPr>
        <w:spacing w:line="400" w:lineRule="exact"/>
        <w:ind w:firstLine="420" w:firstLineChars="200"/>
        <w:rPr>
          <w:color w:val="auto"/>
          <w:highlight w:val="none"/>
        </w:rPr>
      </w:pPr>
      <w:r>
        <w:rPr>
          <w:rFonts w:hint="eastAsia"/>
          <w:color w:val="auto"/>
          <w:highlight w:val="none"/>
        </w:rPr>
        <w:t>3.5.1 采购人要求响应人提交竞争性谈判保证金的，响应人必须在提交响应文件的同时，按照竞争性谈判响应须知前附表的规定提交竞争性谈判保证金。</w:t>
      </w:r>
    </w:p>
    <w:p w14:paraId="5DA80EF6">
      <w:pPr>
        <w:spacing w:line="400" w:lineRule="exact"/>
        <w:ind w:firstLine="420" w:firstLineChars="200"/>
        <w:rPr>
          <w:color w:val="auto"/>
          <w:highlight w:val="none"/>
        </w:rPr>
      </w:pPr>
      <w:r>
        <w:rPr>
          <w:rFonts w:hint="eastAsia"/>
          <w:color w:val="auto"/>
          <w:highlight w:val="none"/>
        </w:rPr>
        <w:t>3.5.2 采购人可以规定竞争性谈判保证金是以现金、支票、银行汇票、中国注册的银行出具的银行保函等方式递交。竞争性谈判保证金的形式见竞争性谈判响应须知前附表。</w:t>
      </w:r>
    </w:p>
    <w:p w14:paraId="090F9696">
      <w:pPr>
        <w:spacing w:line="400" w:lineRule="exact"/>
        <w:ind w:firstLine="420" w:firstLineChars="200"/>
        <w:rPr>
          <w:color w:val="auto"/>
          <w:highlight w:val="none"/>
        </w:rPr>
      </w:pPr>
      <w:r>
        <w:rPr>
          <w:rFonts w:hint="eastAsia"/>
          <w:color w:val="auto"/>
          <w:highlight w:val="none"/>
        </w:rPr>
        <w:t>3.5.3 采购人应当在项目书面合同签订后5日内向成交人和未成交的响应人无息退还竞争性谈判保证金，退还至响应人原转出账户。</w:t>
      </w:r>
    </w:p>
    <w:p w14:paraId="4FF5D789">
      <w:pPr>
        <w:spacing w:line="400" w:lineRule="exact"/>
        <w:ind w:firstLine="420" w:firstLineChars="200"/>
        <w:rPr>
          <w:color w:val="auto"/>
          <w:highlight w:val="none"/>
        </w:rPr>
      </w:pPr>
      <w:r>
        <w:rPr>
          <w:rFonts w:hint="eastAsia"/>
          <w:color w:val="auto"/>
          <w:highlight w:val="none"/>
        </w:rPr>
        <w:t xml:space="preserve">3.5.4 有下列情形之一的，竞争性谈判保证金可不予退还： </w:t>
      </w:r>
    </w:p>
    <w:p w14:paraId="4FD90A75">
      <w:pPr>
        <w:spacing w:line="400" w:lineRule="exact"/>
        <w:ind w:firstLine="718" w:firstLineChars="342"/>
        <w:rPr>
          <w:color w:val="auto"/>
          <w:highlight w:val="none"/>
        </w:rPr>
      </w:pPr>
      <w:r>
        <w:rPr>
          <w:rFonts w:hint="eastAsia"/>
          <w:color w:val="auto"/>
          <w:highlight w:val="none"/>
        </w:rPr>
        <w:t>（1）</w:t>
      </w:r>
      <w:r>
        <w:rPr>
          <w:rFonts w:hint="eastAsia"/>
          <w:color w:val="auto"/>
          <w:szCs w:val="18"/>
          <w:highlight w:val="none"/>
        </w:rPr>
        <w:t>响应人在规定的竞争性谈判有效期内撤销或修改其响应文件的；</w:t>
      </w:r>
    </w:p>
    <w:p w14:paraId="3F75DDDC">
      <w:pPr>
        <w:spacing w:line="400" w:lineRule="exact"/>
        <w:ind w:firstLine="718" w:firstLineChars="342"/>
        <w:rPr>
          <w:color w:val="auto"/>
          <w:szCs w:val="18"/>
          <w:highlight w:val="none"/>
        </w:rPr>
      </w:pPr>
      <w:r>
        <w:rPr>
          <w:rFonts w:hint="eastAsia"/>
          <w:color w:val="auto"/>
          <w:szCs w:val="18"/>
          <w:highlight w:val="none"/>
        </w:rPr>
        <w:t>（2）成交人未能在规定期限内提交履约担保或签订合同协议的；</w:t>
      </w:r>
    </w:p>
    <w:p w14:paraId="25261CAD">
      <w:pPr>
        <w:spacing w:line="400" w:lineRule="exact"/>
        <w:ind w:firstLine="718" w:firstLineChars="342"/>
        <w:rPr>
          <w:color w:val="auto"/>
          <w:szCs w:val="18"/>
          <w:highlight w:val="none"/>
        </w:rPr>
      </w:pPr>
      <w:r>
        <w:rPr>
          <w:rFonts w:hint="eastAsia"/>
          <w:color w:val="auto"/>
          <w:szCs w:val="18"/>
          <w:highlight w:val="none"/>
        </w:rPr>
        <w:t>（3）响应人有串通竞争性谈判、弄虚作假等行为的；</w:t>
      </w:r>
    </w:p>
    <w:p w14:paraId="29714381">
      <w:pPr>
        <w:spacing w:line="400" w:lineRule="exact"/>
        <w:ind w:firstLine="718" w:firstLineChars="342"/>
        <w:rPr>
          <w:color w:val="auto"/>
          <w:szCs w:val="18"/>
          <w:highlight w:val="none"/>
        </w:rPr>
      </w:pPr>
      <w:r>
        <w:rPr>
          <w:rFonts w:hint="eastAsia"/>
          <w:color w:val="auto"/>
          <w:szCs w:val="18"/>
          <w:highlight w:val="none"/>
        </w:rPr>
        <w:t>（4）响应人以他人名义响应、与他人串通响应、以行贿手段谋取成交、弄虚作假等行为。</w:t>
      </w:r>
    </w:p>
    <w:p w14:paraId="33A70AF0">
      <w:pPr>
        <w:spacing w:line="400" w:lineRule="exact"/>
        <w:ind w:firstLine="718" w:firstLineChars="342"/>
        <w:rPr>
          <w:color w:val="auto"/>
          <w:szCs w:val="18"/>
          <w:highlight w:val="none"/>
        </w:rPr>
      </w:pPr>
      <w:r>
        <w:rPr>
          <w:rFonts w:hint="eastAsia"/>
          <w:color w:val="auto"/>
          <w:szCs w:val="18"/>
          <w:highlight w:val="none"/>
        </w:rPr>
        <w:t>（5）成交人提交虚假资料或无效资料成交，影响成交结果的。</w:t>
      </w:r>
    </w:p>
    <w:p w14:paraId="3FC6620D">
      <w:pPr>
        <w:spacing w:line="400" w:lineRule="exact"/>
        <w:ind w:firstLine="718" w:firstLineChars="342"/>
        <w:rPr>
          <w:color w:val="auto"/>
          <w:szCs w:val="18"/>
          <w:highlight w:val="none"/>
        </w:rPr>
      </w:pPr>
      <w:r>
        <w:rPr>
          <w:rFonts w:hint="eastAsia"/>
          <w:color w:val="auto"/>
          <w:szCs w:val="18"/>
          <w:highlight w:val="none"/>
        </w:rPr>
        <w:t>（7）成交人无正当理由拒绝提交相关证件原件核对的。</w:t>
      </w:r>
    </w:p>
    <w:p w14:paraId="2F2AC66F">
      <w:pPr>
        <w:spacing w:line="400" w:lineRule="exact"/>
        <w:ind w:firstLine="718" w:firstLineChars="342"/>
        <w:rPr>
          <w:color w:val="auto"/>
          <w:szCs w:val="18"/>
          <w:highlight w:val="none"/>
        </w:rPr>
      </w:pPr>
      <w:r>
        <w:rPr>
          <w:rFonts w:hint="eastAsia"/>
          <w:color w:val="auto"/>
          <w:szCs w:val="18"/>
          <w:highlight w:val="none"/>
        </w:rPr>
        <w:t>（8）成交人将本项目转让给他人，或者在响应文件中未说明，且未经采购人同意，将成交项目分包给他人的；</w:t>
      </w:r>
    </w:p>
    <w:p w14:paraId="57235E32">
      <w:pPr>
        <w:spacing w:line="400" w:lineRule="exact"/>
        <w:ind w:firstLine="718" w:firstLineChars="342"/>
        <w:rPr>
          <w:color w:val="auto"/>
          <w:szCs w:val="18"/>
          <w:highlight w:val="none"/>
        </w:rPr>
      </w:pPr>
      <w:r>
        <w:rPr>
          <w:rFonts w:hint="eastAsia"/>
          <w:color w:val="auto"/>
          <w:szCs w:val="18"/>
          <w:highlight w:val="none"/>
        </w:rPr>
        <w:t>（9）其他规定见竞争性谈判响应须知前附表。</w:t>
      </w:r>
    </w:p>
    <w:p w14:paraId="5A54CBAD">
      <w:pPr>
        <w:spacing w:line="400" w:lineRule="exact"/>
        <w:ind w:firstLine="422" w:firstLineChars="200"/>
        <w:rPr>
          <w:b/>
          <w:color w:val="auto"/>
          <w:highlight w:val="none"/>
        </w:rPr>
      </w:pPr>
      <w:r>
        <w:rPr>
          <w:rFonts w:hint="eastAsia"/>
          <w:b/>
          <w:color w:val="auto"/>
          <w:highlight w:val="none"/>
        </w:rPr>
        <w:t>3.5.5 未按要求提交竞争性谈判保证金或提交的竞争性谈判保证金不足的竞争性谈判将被否决。</w:t>
      </w:r>
    </w:p>
    <w:p w14:paraId="45D2F375">
      <w:pPr>
        <w:spacing w:line="400" w:lineRule="exact"/>
        <w:rPr>
          <w:rFonts w:ascii="宋体" w:hAnsi="宋体"/>
          <w:b/>
          <w:color w:val="auto"/>
          <w:sz w:val="32"/>
          <w:szCs w:val="32"/>
          <w:highlight w:val="none"/>
        </w:rPr>
      </w:pPr>
      <w:bookmarkStart w:id="52" w:name="_Toc227057904"/>
      <w:bookmarkStart w:id="53" w:name="_Toc226969298"/>
      <w:bookmarkStart w:id="54" w:name="_Toc456551902"/>
      <w:bookmarkStart w:id="55" w:name="_Toc475552146"/>
      <w:r>
        <w:rPr>
          <w:rFonts w:hint="eastAsia" w:ascii="宋体" w:hAnsi="宋体"/>
          <w:b/>
          <w:color w:val="auto"/>
          <w:sz w:val="32"/>
          <w:szCs w:val="32"/>
          <w:highlight w:val="none"/>
        </w:rPr>
        <w:t>3.6 响应文件的式样</w:t>
      </w:r>
      <w:bookmarkEnd w:id="52"/>
      <w:bookmarkEnd w:id="53"/>
      <w:r>
        <w:rPr>
          <w:rFonts w:hint="eastAsia" w:ascii="宋体" w:hAnsi="宋体"/>
          <w:b/>
          <w:color w:val="auto"/>
          <w:sz w:val="32"/>
          <w:szCs w:val="32"/>
          <w:highlight w:val="none"/>
        </w:rPr>
        <w:t>、密封和标记</w:t>
      </w:r>
      <w:bookmarkEnd w:id="54"/>
      <w:bookmarkEnd w:id="55"/>
    </w:p>
    <w:p w14:paraId="5BA91D74">
      <w:pPr>
        <w:spacing w:line="400" w:lineRule="exact"/>
        <w:ind w:firstLine="420" w:firstLineChars="200"/>
        <w:rPr>
          <w:color w:val="auto"/>
          <w:szCs w:val="21"/>
          <w:highlight w:val="none"/>
        </w:rPr>
      </w:pPr>
      <w:r>
        <w:rPr>
          <w:rFonts w:hint="eastAsia"/>
          <w:color w:val="auto"/>
          <w:szCs w:val="21"/>
          <w:highlight w:val="none"/>
        </w:rPr>
        <w:t>3.6.1响应人应当编制一份响应文件“正本”和竞争性谈判响应须知前附表所述份数的“副本”，副本为正本复印件。响应文件正本和副本如有不一致之处，以正本为准。</w:t>
      </w:r>
    </w:p>
    <w:p w14:paraId="4E2F3417">
      <w:pPr>
        <w:spacing w:line="400" w:lineRule="exact"/>
        <w:ind w:firstLine="420" w:firstLineChars="200"/>
        <w:rPr>
          <w:color w:val="auto"/>
          <w:szCs w:val="21"/>
          <w:highlight w:val="none"/>
        </w:rPr>
      </w:pPr>
      <w:r>
        <w:rPr>
          <w:rFonts w:hint="eastAsia"/>
          <w:color w:val="auto"/>
          <w:szCs w:val="21"/>
          <w:highlight w:val="none"/>
        </w:rPr>
        <w:t>3.6.2每份响应文件的正本、副本及唱标信封应当分别装订，并于封面上明确标明“正本”、“副本”和“唱标信封”字样。</w:t>
      </w:r>
      <w:r>
        <w:rPr>
          <w:rFonts w:hint="eastAsia" w:ascii="宋体" w:hAnsi="宋体"/>
          <w:color w:val="auto"/>
          <w:szCs w:val="21"/>
          <w:highlight w:val="none"/>
        </w:rPr>
        <w:t>正本或副本应按目录顺序要求排列并牢固装订成册。不能有脱页，不能使用活页夹装订。</w:t>
      </w:r>
    </w:p>
    <w:p w14:paraId="4231725B">
      <w:pPr>
        <w:spacing w:line="400" w:lineRule="exact"/>
        <w:ind w:firstLine="420" w:firstLineChars="200"/>
        <w:rPr>
          <w:color w:val="auto"/>
          <w:szCs w:val="21"/>
          <w:highlight w:val="none"/>
        </w:rPr>
      </w:pPr>
      <w:r>
        <w:rPr>
          <w:rFonts w:hint="eastAsia"/>
          <w:color w:val="auto"/>
          <w:szCs w:val="21"/>
          <w:highlight w:val="none"/>
        </w:rPr>
        <w:t>3.6.3响应文件应当按照竞争性谈判文件规定密封包装，并于封装封面上明确标明“正本”、“副本”和“唱标信封”字样。密封的所有粘接缝隙必须加盖单位章或者由响应人的法定代表人或其委托代理人签字。</w:t>
      </w:r>
    </w:p>
    <w:p w14:paraId="1887E78D">
      <w:pPr>
        <w:spacing w:line="400" w:lineRule="exact"/>
        <w:ind w:firstLine="420" w:firstLineChars="200"/>
        <w:rPr>
          <w:color w:val="auto"/>
          <w:szCs w:val="21"/>
          <w:highlight w:val="none"/>
        </w:rPr>
      </w:pPr>
      <w:r>
        <w:rPr>
          <w:rFonts w:hint="eastAsia"/>
          <w:color w:val="auto"/>
          <w:szCs w:val="21"/>
          <w:highlight w:val="none"/>
        </w:rPr>
        <w:t>3.6.4外层包封应当写明采购人名称和地址、项目名称、采购代理机构编号、并注明唱标时间以前不得开封。还应当写明响应人的名称与地址、联系方式，以便竞争性谈判出现逾期送达时能原封退回。</w:t>
      </w:r>
    </w:p>
    <w:p w14:paraId="7C3B4626">
      <w:pPr>
        <w:spacing w:line="400" w:lineRule="exact"/>
        <w:ind w:firstLine="420" w:firstLineChars="200"/>
        <w:rPr>
          <w:color w:val="auto"/>
          <w:szCs w:val="21"/>
          <w:highlight w:val="none"/>
        </w:rPr>
      </w:pPr>
      <w:r>
        <w:rPr>
          <w:rFonts w:hint="eastAsia"/>
          <w:color w:val="auto"/>
          <w:szCs w:val="21"/>
          <w:highlight w:val="none"/>
        </w:rPr>
        <w:t>3.6.5提交响应文件时，采购人应当对符合竞争性谈判文件规定密封和标记的响应文件进行签收。</w:t>
      </w:r>
    </w:p>
    <w:p w14:paraId="43795BAE">
      <w:pPr>
        <w:spacing w:line="400" w:lineRule="exact"/>
        <w:ind w:firstLine="420" w:firstLineChars="200"/>
        <w:rPr>
          <w:color w:val="auto"/>
          <w:szCs w:val="21"/>
          <w:highlight w:val="none"/>
        </w:rPr>
      </w:pPr>
      <w:r>
        <w:rPr>
          <w:rFonts w:hint="eastAsia"/>
          <w:color w:val="auto"/>
          <w:szCs w:val="21"/>
          <w:highlight w:val="none"/>
        </w:rPr>
        <w:t>3.6.6采购人对于响应文件密封、标记另有要求的，见竞争性谈判响应须知前附表。</w:t>
      </w:r>
    </w:p>
    <w:p w14:paraId="75A06A89">
      <w:pPr>
        <w:pStyle w:val="6"/>
        <w:rPr>
          <w:rFonts w:ascii="黑体" w:hAnsi="黑体"/>
          <w:color w:val="auto"/>
          <w:highlight w:val="none"/>
        </w:rPr>
      </w:pPr>
      <w:bookmarkStart w:id="56" w:name="_Toc456551904"/>
      <w:bookmarkStart w:id="57" w:name="_Toc11193"/>
      <w:r>
        <w:rPr>
          <w:rFonts w:hint="eastAsia" w:ascii="黑体" w:hAnsi="黑体"/>
          <w:color w:val="auto"/>
          <w:highlight w:val="none"/>
        </w:rPr>
        <w:t xml:space="preserve">4. </w:t>
      </w:r>
      <w:bookmarkEnd w:id="56"/>
      <w:r>
        <w:rPr>
          <w:rFonts w:hint="eastAsia" w:ascii="黑体" w:hAnsi="黑体"/>
          <w:color w:val="auto"/>
          <w:highlight w:val="none"/>
        </w:rPr>
        <w:t>竞争性谈判</w:t>
      </w:r>
      <w:bookmarkEnd w:id="57"/>
    </w:p>
    <w:p w14:paraId="6AF67FF9">
      <w:pPr>
        <w:spacing w:line="400" w:lineRule="exact"/>
        <w:rPr>
          <w:rFonts w:ascii="宋体" w:hAnsi="宋体"/>
          <w:b/>
          <w:color w:val="auto"/>
          <w:sz w:val="32"/>
          <w:szCs w:val="32"/>
          <w:highlight w:val="none"/>
        </w:rPr>
      </w:pPr>
      <w:bookmarkStart w:id="58" w:name="_Toc456551905"/>
      <w:bookmarkStart w:id="59" w:name="_Toc475552148"/>
      <w:r>
        <w:rPr>
          <w:rFonts w:hint="eastAsia" w:ascii="宋体" w:hAnsi="宋体"/>
          <w:b/>
          <w:color w:val="auto"/>
          <w:sz w:val="32"/>
          <w:szCs w:val="32"/>
          <w:highlight w:val="none"/>
        </w:rPr>
        <w:t>4.1 响应文件的递交</w:t>
      </w:r>
      <w:bookmarkEnd w:id="58"/>
      <w:bookmarkEnd w:id="59"/>
    </w:p>
    <w:p w14:paraId="045AC0F2">
      <w:pPr>
        <w:spacing w:line="400" w:lineRule="exact"/>
        <w:ind w:firstLine="420" w:firstLineChars="200"/>
        <w:rPr>
          <w:color w:val="auto"/>
          <w:highlight w:val="none"/>
        </w:rPr>
      </w:pPr>
      <w:r>
        <w:rPr>
          <w:rFonts w:hint="eastAsia"/>
          <w:color w:val="auto"/>
          <w:highlight w:val="none"/>
        </w:rPr>
        <w:t>4.1.1响应文件递交截止时间：见竞争性谈判响应须知前附表。</w:t>
      </w:r>
    </w:p>
    <w:p w14:paraId="37D0482D">
      <w:pPr>
        <w:spacing w:line="400" w:lineRule="exact"/>
        <w:ind w:firstLine="420" w:firstLineChars="200"/>
        <w:rPr>
          <w:color w:val="auto"/>
          <w:highlight w:val="none"/>
        </w:rPr>
      </w:pPr>
      <w:r>
        <w:rPr>
          <w:rFonts w:hint="eastAsia"/>
          <w:color w:val="auto"/>
          <w:highlight w:val="none"/>
        </w:rPr>
        <w:t>4.1.2 响应人递交响应文件的地点：见竞争性谈判响应须知前附表。</w:t>
      </w:r>
    </w:p>
    <w:p w14:paraId="7E4CEC95">
      <w:pPr>
        <w:spacing w:line="400" w:lineRule="exact"/>
        <w:ind w:firstLine="420" w:firstLineChars="200"/>
        <w:rPr>
          <w:color w:val="auto"/>
          <w:highlight w:val="none"/>
        </w:rPr>
      </w:pPr>
      <w:r>
        <w:rPr>
          <w:rFonts w:hint="eastAsia"/>
          <w:color w:val="auto"/>
          <w:highlight w:val="none"/>
        </w:rPr>
        <w:t>4.1.3采购人/采购代理机构收到响应文件后，向响应人分别进行签收（唱标前不得提前公开已签收的响应人信息）。</w:t>
      </w:r>
    </w:p>
    <w:p w14:paraId="4D97B248">
      <w:pPr>
        <w:spacing w:line="400" w:lineRule="exact"/>
        <w:ind w:firstLine="420" w:firstLineChars="200"/>
        <w:rPr>
          <w:color w:val="auto"/>
          <w:highlight w:val="none"/>
        </w:rPr>
      </w:pPr>
      <w:r>
        <w:rPr>
          <w:rFonts w:hint="eastAsia"/>
          <w:color w:val="auto"/>
          <w:highlight w:val="none"/>
        </w:rPr>
        <w:t>4.1.4除竞争性谈判响应须知前附表另有规定外，响应人所递交的响应文件不予退还。</w:t>
      </w:r>
    </w:p>
    <w:p w14:paraId="476CF41A">
      <w:pPr>
        <w:spacing w:line="400" w:lineRule="exact"/>
        <w:ind w:firstLine="420" w:firstLineChars="200"/>
        <w:rPr>
          <w:color w:val="auto"/>
          <w:highlight w:val="none"/>
        </w:rPr>
      </w:pPr>
      <w:r>
        <w:rPr>
          <w:rFonts w:hint="eastAsia"/>
          <w:color w:val="auto"/>
          <w:highlight w:val="none"/>
        </w:rPr>
        <w:t>4.1.5出现以下情形时，采购人不予接收响应文件：</w:t>
      </w:r>
    </w:p>
    <w:p w14:paraId="5D27D57A">
      <w:pPr>
        <w:spacing w:line="400" w:lineRule="exact"/>
        <w:ind w:firstLine="420" w:firstLineChars="200"/>
        <w:rPr>
          <w:color w:val="auto"/>
          <w:highlight w:val="none"/>
        </w:rPr>
      </w:pPr>
      <w:r>
        <w:rPr>
          <w:rFonts w:hint="eastAsia"/>
          <w:color w:val="auto"/>
          <w:highlight w:val="none"/>
        </w:rPr>
        <w:t>（1）逾期送达或者未送达指定地点的；</w:t>
      </w:r>
    </w:p>
    <w:p w14:paraId="167938A9">
      <w:pPr>
        <w:spacing w:line="400" w:lineRule="exact"/>
        <w:ind w:firstLine="420" w:firstLineChars="200"/>
        <w:rPr>
          <w:color w:val="auto"/>
          <w:highlight w:val="none"/>
        </w:rPr>
      </w:pPr>
      <w:r>
        <w:rPr>
          <w:rFonts w:hint="eastAsia"/>
          <w:color w:val="auto"/>
          <w:highlight w:val="none"/>
        </w:rPr>
        <w:t>（2）未按竞争性谈判文件要求密封的。</w:t>
      </w:r>
    </w:p>
    <w:p w14:paraId="6CA7C23F">
      <w:pPr>
        <w:spacing w:line="400" w:lineRule="exact"/>
        <w:rPr>
          <w:rFonts w:ascii="宋体" w:hAnsi="宋体"/>
          <w:b/>
          <w:color w:val="auto"/>
          <w:sz w:val="32"/>
          <w:szCs w:val="32"/>
          <w:highlight w:val="none"/>
        </w:rPr>
      </w:pPr>
      <w:bookmarkStart w:id="60" w:name="_Toc475552149"/>
      <w:bookmarkStart w:id="61" w:name="_Toc456551906"/>
      <w:r>
        <w:rPr>
          <w:rFonts w:hint="eastAsia" w:ascii="宋体" w:hAnsi="宋体"/>
          <w:b/>
          <w:color w:val="auto"/>
          <w:sz w:val="32"/>
          <w:szCs w:val="32"/>
          <w:highlight w:val="none"/>
        </w:rPr>
        <w:t>4.2 响应文件的修改、撤回和撤销</w:t>
      </w:r>
      <w:bookmarkEnd w:id="60"/>
      <w:bookmarkEnd w:id="61"/>
    </w:p>
    <w:p w14:paraId="2B6988D5">
      <w:pPr>
        <w:spacing w:line="400" w:lineRule="exact"/>
        <w:ind w:firstLine="420" w:firstLineChars="200"/>
        <w:rPr>
          <w:color w:val="auto"/>
          <w:highlight w:val="none"/>
        </w:rPr>
      </w:pPr>
      <w:r>
        <w:rPr>
          <w:rFonts w:hint="eastAsia"/>
          <w:color w:val="auto"/>
          <w:highlight w:val="none"/>
        </w:rPr>
        <w:t>4.2.1 在规定的竞争性谈判截止时间前，响应人可以修改或撤回已递交的响应文件。</w:t>
      </w:r>
    </w:p>
    <w:p w14:paraId="27DC4101">
      <w:pPr>
        <w:spacing w:line="400" w:lineRule="exact"/>
        <w:ind w:firstLine="420" w:firstLineChars="200"/>
        <w:rPr>
          <w:color w:val="auto"/>
          <w:highlight w:val="none"/>
        </w:rPr>
      </w:pPr>
      <w:r>
        <w:rPr>
          <w:rFonts w:hint="eastAsia"/>
          <w:color w:val="auto"/>
          <w:highlight w:val="none"/>
        </w:rPr>
        <w:t>4.2.2响应人修改后的响应文件，应当在规定的竞争性谈判截止时间前按竞争性谈判文件的规定编制、密封、标记、提交和送达。</w:t>
      </w:r>
    </w:p>
    <w:p w14:paraId="227182AE">
      <w:pPr>
        <w:spacing w:line="400" w:lineRule="exact"/>
        <w:ind w:firstLine="420" w:firstLineChars="200"/>
        <w:rPr>
          <w:color w:val="auto"/>
          <w:highlight w:val="none"/>
        </w:rPr>
      </w:pPr>
      <w:r>
        <w:rPr>
          <w:rFonts w:hint="eastAsia"/>
          <w:color w:val="auto"/>
          <w:highlight w:val="none"/>
        </w:rPr>
        <w:t>4.2.3 响应人撤回已递交的响应文件，应当书面通知采购人。采购人已收取竞争性谈判保证金的，应当自收到响应人书面撤回通知之日起5日内退还。</w:t>
      </w:r>
    </w:p>
    <w:p w14:paraId="6C3BA7A7">
      <w:pPr>
        <w:spacing w:line="400" w:lineRule="exact"/>
        <w:ind w:firstLine="420" w:firstLineChars="200"/>
        <w:rPr>
          <w:color w:val="auto"/>
          <w:highlight w:val="none"/>
        </w:rPr>
      </w:pPr>
      <w:r>
        <w:rPr>
          <w:rFonts w:hint="eastAsia"/>
          <w:color w:val="auto"/>
          <w:highlight w:val="none"/>
        </w:rPr>
        <w:t>4.2.4 响应人在规定的竞争性谈判截止时间后，不得在竞争性谈判有效期内撤销其竞争性谈判，否则采购人有权不退还其竞争性谈判保证金。</w:t>
      </w:r>
    </w:p>
    <w:p w14:paraId="131CCA6B">
      <w:pPr>
        <w:pStyle w:val="6"/>
        <w:rPr>
          <w:color w:val="auto"/>
          <w:highlight w:val="none"/>
        </w:rPr>
      </w:pPr>
      <w:bookmarkStart w:id="62" w:name="_Toc456551907"/>
      <w:bookmarkStart w:id="63" w:name="_Toc7925"/>
      <w:r>
        <w:rPr>
          <w:rFonts w:hint="eastAsia"/>
          <w:color w:val="auto"/>
          <w:highlight w:val="none"/>
        </w:rPr>
        <w:t xml:space="preserve">5. </w:t>
      </w:r>
      <w:bookmarkEnd w:id="62"/>
      <w:r>
        <w:rPr>
          <w:rFonts w:hint="eastAsia"/>
          <w:color w:val="auto"/>
          <w:highlight w:val="none"/>
        </w:rPr>
        <w:t>公开唱标</w:t>
      </w:r>
      <w:bookmarkEnd w:id="63"/>
    </w:p>
    <w:p w14:paraId="1F1D0E5D">
      <w:pPr>
        <w:spacing w:line="400" w:lineRule="exact"/>
        <w:rPr>
          <w:rFonts w:ascii="宋体" w:hAnsi="宋体"/>
          <w:b/>
          <w:color w:val="auto"/>
          <w:sz w:val="32"/>
          <w:szCs w:val="32"/>
          <w:highlight w:val="none"/>
        </w:rPr>
      </w:pPr>
      <w:bookmarkStart w:id="64" w:name="_Toc475552151"/>
      <w:bookmarkStart w:id="65" w:name="_Toc456551908"/>
      <w:r>
        <w:rPr>
          <w:rFonts w:hint="eastAsia" w:ascii="宋体" w:hAnsi="宋体"/>
          <w:b/>
          <w:color w:val="auto"/>
          <w:sz w:val="32"/>
          <w:szCs w:val="32"/>
          <w:highlight w:val="none"/>
        </w:rPr>
        <w:t>5.1 唱标时间和地点</w:t>
      </w:r>
      <w:bookmarkEnd w:id="64"/>
      <w:bookmarkEnd w:id="65"/>
    </w:p>
    <w:p w14:paraId="34192C46">
      <w:pPr>
        <w:spacing w:line="400" w:lineRule="exact"/>
        <w:ind w:firstLine="420" w:firstLineChars="200"/>
        <w:rPr>
          <w:color w:val="auto"/>
          <w:highlight w:val="none"/>
        </w:rPr>
      </w:pPr>
      <w:r>
        <w:rPr>
          <w:rFonts w:hint="eastAsia"/>
          <w:color w:val="auto"/>
          <w:highlight w:val="none"/>
        </w:rPr>
        <w:t>采购人将按照竞争性谈判响应须知前附表规定的时间和地点公开唱标，参加唱标的响应人代表应当签名报到，以证明其出席唱标。</w:t>
      </w:r>
    </w:p>
    <w:p w14:paraId="60B06BFA">
      <w:pPr>
        <w:spacing w:line="400" w:lineRule="exact"/>
        <w:rPr>
          <w:rFonts w:ascii="宋体" w:hAnsi="宋体"/>
          <w:b/>
          <w:color w:val="auto"/>
          <w:sz w:val="32"/>
          <w:szCs w:val="32"/>
          <w:highlight w:val="none"/>
        </w:rPr>
      </w:pPr>
      <w:bookmarkStart w:id="66" w:name="_Toc456551909"/>
      <w:bookmarkStart w:id="67" w:name="_Toc475552152"/>
      <w:r>
        <w:rPr>
          <w:rFonts w:hint="eastAsia" w:ascii="宋体" w:hAnsi="宋体"/>
          <w:b/>
          <w:color w:val="auto"/>
          <w:sz w:val="32"/>
          <w:szCs w:val="32"/>
          <w:highlight w:val="none"/>
        </w:rPr>
        <w:t>5.2 唱标程序</w:t>
      </w:r>
      <w:bookmarkEnd w:id="66"/>
      <w:bookmarkEnd w:id="67"/>
    </w:p>
    <w:p w14:paraId="0EF0EB82">
      <w:pPr>
        <w:spacing w:line="400" w:lineRule="exact"/>
        <w:ind w:firstLine="359" w:firstLineChars="171"/>
        <w:rPr>
          <w:color w:val="auto"/>
          <w:highlight w:val="none"/>
        </w:rPr>
      </w:pPr>
      <w:r>
        <w:rPr>
          <w:rFonts w:hint="eastAsia"/>
          <w:color w:val="auto"/>
          <w:highlight w:val="none"/>
        </w:rPr>
        <w:t>5.2.1唱标会议由采购人或其委托的采购代理机构组织并主持，响应人代表对响应文件密封性进行检查。</w:t>
      </w:r>
    </w:p>
    <w:p w14:paraId="53DCB5E9">
      <w:pPr>
        <w:spacing w:line="400" w:lineRule="exact"/>
        <w:ind w:firstLine="359" w:firstLineChars="171"/>
        <w:rPr>
          <w:color w:val="auto"/>
          <w:highlight w:val="none"/>
        </w:rPr>
      </w:pPr>
      <w:r>
        <w:rPr>
          <w:rFonts w:hint="eastAsia"/>
          <w:color w:val="auto"/>
          <w:highlight w:val="none"/>
        </w:rPr>
        <w:t>5.2.2 采购人在递交响应文件截止时间前收到的所有响应文件在唱标时都应当当众予以拆封宣读。</w:t>
      </w:r>
    </w:p>
    <w:p w14:paraId="6708D01D">
      <w:pPr>
        <w:spacing w:line="400" w:lineRule="exact"/>
        <w:ind w:firstLine="359" w:firstLineChars="171"/>
        <w:rPr>
          <w:color w:val="auto"/>
          <w:highlight w:val="none"/>
        </w:rPr>
      </w:pPr>
      <w:r>
        <w:rPr>
          <w:rFonts w:hint="eastAsia"/>
          <w:color w:val="auto"/>
          <w:highlight w:val="none"/>
        </w:rPr>
        <w:t>5.2.3 唱标时，采购人应当当众宣布参加本次竞争性谈判的响应人个数及响应文件的密封情况，并宣读有效竞争性谈判的“报价一览表”中的内容，“报价一览表”一般包括：唱标时间和地点、响应人名称、价格等唱标内容、唱标过程监督记录、响应人提出的异议以及竞争性谈判文件中规定的其他内容。</w:t>
      </w:r>
    </w:p>
    <w:p w14:paraId="5F80182D">
      <w:pPr>
        <w:spacing w:line="400" w:lineRule="exact"/>
        <w:ind w:firstLine="359" w:firstLineChars="171"/>
        <w:rPr>
          <w:color w:val="auto"/>
          <w:highlight w:val="none"/>
        </w:rPr>
      </w:pPr>
      <w:r>
        <w:rPr>
          <w:rFonts w:hint="eastAsia"/>
          <w:color w:val="auto"/>
          <w:highlight w:val="none"/>
        </w:rPr>
        <w:t>5.2.4唱标内容填写在“唱标记录表”中，由唱标人、记录人、采购人代表、监督人、响应人代表签字确认，存档备查。</w:t>
      </w:r>
    </w:p>
    <w:p w14:paraId="3AEA2721">
      <w:pPr>
        <w:spacing w:line="400" w:lineRule="exact"/>
        <w:rPr>
          <w:rFonts w:ascii="宋体" w:hAnsi="宋体"/>
          <w:b/>
          <w:color w:val="auto"/>
          <w:sz w:val="32"/>
          <w:szCs w:val="32"/>
          <w:highlight w:val="none"/>
        </w:rPr>
      </w:pPr>
      <w:bookmarkStart w:id="68" w:name="_Toc475552153"/>
      <w:bookmarkStart w:id="69" w:name="_Toc456551910"/>
      <w:r>
        <w:rPr>
          <w:rFonts w:hint="eastAsia" w:ascii="宋体" w:hAnsi="宋体"/>
          <w:b/>
          <w:color w:val="auto"/>
          <w:sz w:val="32"/>
          <w:szCs w:val="32"/>
          <w:highlight w:val="none"/>
        </w:rPr>
        <w:t>5.3 唱标异议</w:t>
      </w:r>
      <w:bookmarkEnd w:id="68"/>
      <w:bookmarkEnd w:id="69"/>
    </w:p>
    <w:p w14:paraId="2BB5D817">
      <w:pPr>
        <w:spacing w:line="400" w:lineRule="exact"/>
        <w:ind w:firstLine="359" w:firstLineChars="171"/>
        <w:rPr>
          <w:color w:val="auto"/>
          <w:highlight w:val="none"/>
        </w:rPr>
      </w:pPr>
      <w:r>
        <w:rPr>
          <w:rFonts w:hint="eastAsia"/>
          <w:color w:val="auto"/>
          <w:highlight w:val="none"/>
        </w:rPr>
        <w:t>响应人对唱标有异议的，应当在唱标现场提出，采购人应当当场作出答复，并制作记录。</w:t>
      </w:r>
    </w:p>
    <w:p w14:paraId="29DA56DD">
      <w:pPr>
        <w:pStyle w:val="6"/>
        <w:rPr>
          <w:color w:val="auto"/>
          <w:highlight w:val="none"/>
        </w:rPr>
      </w:pPr>
      <w:bookmarkStart w:id="70" w:name="_Toc456551912"/>
      <w:bookmarkStart w:id="71" w:name="_Toc21401"/>
      <w:r>
        <w:rPr>
          <w:rFonts w:hint="eastAsia"/>
          <w:color w:val="auto"/>
          <w:highlight w:val="none"/>
        </w:rPr>
        <w:t xml:space="preserve">6. </w:t>
      </w:r>
      <w:bookmarkEnd w:id="70"/>
      <w:r>
        <w:rPr>
          <w:rFonts w:hint="eastAsia"/>
          <w:color w:val="auto"/>
          <w:highlight w:val="none"/>
        </w:rPr>
        <w:t>评审</w:t>
      </w:r>
      <w:bookmarkEnd w:id="71"/>
    </w:p>
    <w:p w14:paraId="4C1AD818">
      <w:pPr>
        <w:spacing w:line="400" w:lineRule="exact"/>
        <w:rPr>
          <w:rFonts w:ascii="宋体" w:hAnsi="宋体"/>
          <w:b/>
          <w:color w:val="auto"/>
          <w:sz w:val="32"/>
          <w:szCs w:val="32"/>
          <w:highlight w:val="none"/>
        </w:rPr>
      </w:pPr>
      <w:bookmarkStart w:id="72" w:name="_Toc475552155"/>
      <w:bookmarkStart w:id="73" w:name="_Toc456551913"/>
      <w:r>
        <w:rPr>
          <w:rFonts w:hint="eastAsia" w:ascii="宋体" w:hAnsi="宋体"/>
          <w:b/>
          <w:color w:val="auto"/>
          <w:sz w:val="32"/>
          <w:szCs w:val="32"/>
          <w:highlight w:val="none"/>
        </w:rPr>
        <w:t xml:space="preserve">6.1 </w:t>
      </w:r>
      <w:bookmarkEnd w:id="72"/>
      <w:bookmarkEnd w:id="73"/>
      <w:r>
        <w:rPr>
          <w:rFonts w:hint="eastAsia" w:ascii="宋体" w:hAnsi="宋体"/>
          <w:b/>
          <w:color w:val="auto"/>
          <w:sz w:val="32"/>
          <w:szCs w:val="32"/>
          <w:highlight w:val="none"/>
        </w:rPr>
        <w:t>谈判小组</w:t>
      </w:r>
    </w:p>
    <w:p w14:paraId="4354FE08">
      <w:pPr>
        <w:spacing w:line="400" w:lineRule="exact"/>
        <w:ind w:firstLine="420" w:firstLineChars="200"/>
        <w:rPr>
          <w:color w:val="auto"/>
          <w:szCs w:val="21"/>
          <w:highlight w:val="none"/>
        </w:rPr>
      </w:pPr>
      <w:r>
        <w:rPr>
          <w:rFonts w:hint="eastAsia"/>
          <w:color w:val="auto"/>
          <w:szCs w:val="21"/>
          <w:highlight w:val="none"/>
        </w:rPr>
        <w:t>6.1.1评审由依法组建的谈判小组负责，具体人数见竞争性谈判响应须知前附表。</w:t>
      </w:r>
    </w:p>
    <w:p w14:paraId="1F002156">
      <w:pPr>
        <w:spacing w:line="400" w:lineRule="exact"/>
        <w:ind w:firstLine="420" w:firstLineChars="200"/>
        <w:rPr>
          <w:color w:val="auto"/>
          <w:szCs w:val="21"/>
          <w:highlight w:val="none"/>
        </w:rPr>
      </w:pPr>
      <w:r>
        <w:rPr>
          <w:rFonts w:hint="eastAsia"/>
          <w:color w:val="auto"/>
          <w:szCs w:val="21"/>
          <w:highlight w:val="none"/>
        </w:rPr>
        <w:t>6.1.2评审期间，任何单位和个人不得非法干预或者影响评审的过程和结果。</w:t>
      </w:r>
    </w:p>
    <w:p w14:paraId="129A0AB9">
      <w:pPr>
        <w:spacing w:line="400" w:lineRule="exact"/>
        <w:ind w:firstLine="420" w:firstLineChars="200"/>
        <w:rPr>
          <w:color w:val="auto"/>
          <w:szCs w:val="21"/>
          <w:highlight w:val="none"/>
        </w:rPr>
      </w:pPr>
      <w:r>
        <w:rPr>
          <w:rFonts w:hint="eastAsia"/>
          <w:color w:val="auto"/>
          <w:szCs w:val="21"/>
          <w:highlight w:val="none"/>
        </w:rPr>
        <w:t>6.1.3谈判小组成员名单在成交结果确定前保密。</w:t>
      </w:r>
    </w:p>
    <w:p w14:paraId="7AC33D4B">
      <w:pPr>
        <w:spacing w:line="400" w:lineRule="exact"/>
        <w:rPr>
          <w:rFonts w:ascii="宋体" w:hAnsi="宋体"/>
          <w:b/>
          <w:color w:val="auto"/>
          <w:sz w:val="32"/>
          <w:szCs w:val="32"/>
          <w:highlight w:val="none"/>
        </w:rPr>
      </w:pPr>
      <w:bookmarkStart w:id="74" w:name="_Toc456551914"/>
      <w:bookmarkStart w:id="75" w:name="_Toc475552156"/>
      <w:r>
        <w:rPr>
          <w:rFonts w:hint="eastAsia" w:ascii="宋体" w:hAnsi="宋体"/>
          <w:b/>
          <w:color w:val="auto"/>
          <w:sz w:val="32"/>
          <w:szCs w:val="32"/>
          <w:highlight w:val="none"/>
        </w:rPr>
        <w:t>6.2 评审原则</w:t>
      </w:r>
      <w:bookmarkEnd w:id="74"/>
      <w:bookmarkEnd w:id="75"/>
    </w:p>
    <w:p w14:paraId="4B258C16">
      <w:pPr>
        <w:spacing w:line="400" w:lineRule="exact"/>
        <w:ind w:firstLine="420" w:firstLineChars="200"/>
        <w:rPr>
          <w:color w:val="auto"/>
          <w:highlight w:val="none"/>
        </w:rPr>
      </w:pPr>
      <w:r>
        <w:rPr>
          <w:rFonts w:hint="eastAsia"/>
          <w:color w:val="auto"/>
          <w:highlight w:val="none"/>
        </w:rPr>
        <w:t>6.2.1评审活动遵循公平、公正、科学和择优的原则。</w:t>
      </w:r>
    </w:p>
    <w:p w14:paraId="7F1A9B9A">
      <w:pPr>
        <w:spacing w:line="400" w:lineRule="exact"/>
        <w:ind w:firstLine="420" w:firstLineChars="200"/>
        <w:rPr>
          <w:color w:val="auto"/>
          <w:highlight w:val="none"/>
        </w:rPr>
      </w:pPr>
      <w:r>
        <w:rPr>
          <w:rFonts w:hint="eastAsia"/>
          <w:color w:val="auto"/>
          <w:highlight w:val="none"/>
        </w:rPr>
        <w:t>6.2.2谈判小组按照第三章“评审办法”规定的方法、评审因素、标准和程序对响应文件进行评审。第三章“评审办法”没有规定的方法、评审因素和标准，不作为评审依据。</w:t>
      </w:r>
    </w:p>
    <w:p w14:paraId="0B3823E9">
      <w:pPr>
        <w:spacing w:line="400" w:lineRule="exact"/>
        <w:rPr>
          <w:rFonts w:ascii="宋体" w:hAnsi="宋体"/>
          <w:b/>
          <w:color w:val="auto"/>
          <w:sz w:val="32"/>
          <w:szCs w:val="32"/>
          <w:highlight w:val="none"/>
        </w:rPr>
      </w:pPr>
      <w:bookmarkStart w:id="76" w:name="_Toc475552157"/>
      <w:bookmarkStart w:id="77" w:name="_Toc456551915"/>
      <w:r>
        <w:rPr>
          <w:rFonts w:hint="eastAsia" w:ascii="宋体" w:hAnsi="宋体"/>
          <w:b/>
          <w:color w:val="auto"/>
          <w:sz w:val="32"/>
          <w:szCs w:val="32"/>
          <w:highlight w:val="none"/>
        </w:rPr>
        <w:t>6.3 评审方法</w:t>
      </w:r>
      <w:bookmarkEnd w:id="76"/>
      <w:bookmarkEnd w:id="77"/>
    </w:p>
    <w:p w14:paraId="60A369C3">
      <w:pPr>
        <w:spacing w:line="400" w:lineRule="exact"/>
        <w:ind w:firstLine="420" w:firstLineChars="200"/>
        <w:rPr>
          <w:color w:val="auto"/>
          <w:szCs w:val="21"/>
          <w:highlight w:val="none"/>
        </w:rPr>
      </w:pPr>
      <w:r>
        <w:rPr>
          <w:rFonts w:hint="eastAsia"/>
          <w:color w:val="auto"/>
          <w:szCs w:val="21"/>
          <w:highlight w:val="none"/>
        </w:rPr>
        <w:t>6.3.1 竞争性谈判文件中详细载明评审方法作为本次评审所采用的评审方法。评审方法见竞争性谈判响应须知前附表。</w:t>
      </w:r>
    </w:p>
    <w:p w14:paraId="4CAE4056">
      <w:pPr>
        <w:spacing w:line="400" w:lineRule="exact"/>
        <w:ind w:firstLine="420" w:firstLineChars="200"/>
        <w:rPr>
          <w:color w:val="auto"/>
          <w:szCs w:val="21"/>
          <w:highlight w:val="none"/>
        </w:rPr>
      </w:pPr>
      <w:r>
        <w:rPr>
          <w:rFonts w:hint="eastAsia"/>
          <w:color w:val="auto"/>
          <w:szCs w:val="21"/>
          <w:highlight w:val="none"/>
        </w:rPr>
        <w:t>6.3.2 法律、法规允许的其他评审方法。</w:t>
      </w:r>
    </w:p>
    <w:p w14:paraId="357F04ED">
      <w:pPr>
        <w:spacing w:line="400" w:lineRule="exact"/>
        <w:rPr>
          <w:rFonts w:ascii="宋体" w:hAnsi="宋体"/>
          <w:b/>
          <w:color w:val="auto"/>
          <w:sz w:val="32"/>
          <w:szCs w:val="32"/>
          <w:highlight w:val="none"/>
        </w:rPr>
      </w:pPr>
      <w:bookmarkStart w:id="78" w:name="_Toc475552158"/>
      <w:bookmarkStart w:id="79" w:name="_Toc456551916"/>
      <w:r>
        <w:rPr>
          <w:rFonts w:hint="eastAsia" w:ascii="宋体" w:hAnsi="宋体"/>
          <w:b/>
          <w:color w:val="auto"/>
          <w:sz w:val="32"/>
          <w:szCs w:val="32"/>
          <w:highlight w:val="none"/>
        </w:rPr>
        <w:t>6.4 推荐成交候选人原则</w:t>
      </w:r>
      <w:bookmarkEnd w:id="78"/>
      <w:bookmarkEnd w:id="79"/>
    </w:p>
    <w:p w14:paraId="72F52781">
      <w:pPr>
        <w:spacing w:line="400" w:lineRule="exact"/>
        <w:ind w:firstLine="420" w:firstLineChars="200"/>
        <w:rPr>
          <w:color w:val="auto"/>
          <w:szCs w:val="21"/>
          <w:highlight w:val="none"/>
        </w:rPr>
      </w:pPr>
      <w:r>
        <w:rPr>
          <w:rFonts w:hint="eastAsia"/>
          <w:color w:val="auto"/>
          <w:szCs w:val="21"/>
          <w:highlight w:val="none"/>
        </w:rPr>
        <w:t>谈判小组应当根据竞争性谈判文件的规定推荐成交候选人，具体推荐原则见竞争性谈判响应须知前附表。</w:t>
      </w:r>
    </w:p>
    <w:p w14:paraId="26EEBD48">
      <w:pPr>
        <w:spacing w:line="400" w:lineRule="exact"/>
        <w:rPr>
          <w:rFonts w:ascii="宋体" w:hAnsi="宋体"/>
          <w:b/>
          <w:color w:val="auto"/>
          <w:sz w:val="32"/>
          <w:szCs w:val="32"/>
          <w:highlight w:val="none"/>
        </w:rPr>
      </w:pPr>
      <w:bookmarkStart w:id="80" w:name="_Toc475552159"/>
      <w:bookmarkStart w:id="81" w:name="_Toc456551917"/>
      <w:r>
        <w:rPr>
          <w:rFonts w:hint="eastAsia" w:ascii="宋体" w:hAnsi="宋体"/>
          <w:b/>
          <w:color w:val="auto"/>
          <w:sz w:val="32"/>
          <w:szCs w:val="32"/>
          <w:highlight w:val="none"/>
        </w:rPr>
        <w:t>6.5 评审报告</w:t>
      </w:r>
      <w:bookmarkEnd w:id="80"/>
      <w:bookmarkEnd w:id="81"/>
    </w:p>
    <w:p w14:paraId="26ECD504">
      <w:pPr>
        <w:ind w:firstLine="420" w:firstLineChars="200"/>
        <w:rPr>
          <w:color w:val="auto"/>
          <w:highlight w:val="none"/>
        </w:rPr>
      </w:pPr>
      <w:r>
        <w:rPr>
          <w:rFonts w:hint="eastAsia"/>
          <w:bCs/>
          <w:color w:val="auto"/>
          <w:highlight w:val="none"/>
        </w:rPr>
        <w:t>评审完成后，谈判小组应当及时向采购人提交评审报告和成交候选人名单。</w:t>
      </w:r>
    </w:p>
    <w:p w14:paraId="3167F40F">
      <w:pPr>
        <w:pStyle w:val="6"/>
        <w:rPr>
          <w:color w:val="auto"/>
          <w:highlight w:val="none"/>
        </w:rPr>
      </w:pPr>
      <w:bookmarkStart w:id="82" w:name="_Toc456551918"/>
      <w:bookmarkStart w:id="83" w:name="_Toc21914"/>
      <w:r>
        <w:rPr>
          <w:rFonts w:hint="eastAsia"/>
          <w:color w:val="auto"/>
          <w:highlight w:val="none"/>
        </w:rPr>
        <w:t xml:space="preserve">7. </w:t>
      </w:r>
      <w:bookmarkEnd w:id="82"/>
      <w:r>
        <w:rPr>
          <w:rFonts w:hint="eastAsia"/>
          <w:color w:val="auto"/>
          <w:highlight w:val="none"/>
        </w:rPr>
        <w:t>成交</w:t>
      </w:r>
      <w:bookmarkEnd w:id="83"/>
    </w:p>
    <w:p w14:paraId="69B69533">
      <w:pPr>
        <w:spacing w:line="400" w:lineRule="exact"/>
        <w:rPr>
          <w:rFonts w:ascii="宋体" w:hAnsi="宋体"/>
          <w:b/>
          <w:color w:val="auto"/>
          <w:sz w:val="32"/>
          <w:szCs w:val="32"/>
          <w:highlight w:val="none"/>
        </w:rPr>
      </w:pPr>
      <w:bookmarkStart w:id="84" w:name="_Toc456551919"/>
      <w:bookmarkStart w:id="85" w:name="_Toc475552161"/>
      <w:r>
        <w:rPr>
          <w:rFonts w:hint="eastAsia" w:ascii="宋体" w:hAnsi="宋体"/>
          <w:b/>
          <w:color w:val="auto"/>
          <w:sz w:val="32"/>
          <w:szCs w:val="32"/>
          <w:highlight w:val="none"/>
        </w:rPr>
        <w:t>7.1 成交候选人公示</w:t>
      </w:r>
      <w:bookmarkEnd w:id="84"/>
      <w:bookmarkEnd w:id="85"/>
    </w:p>
    <w:p w14:paraId="67F6D91B">
      <w:pPr>
        <w:spacing w:line="400" w:lineRule="exact"/>
        <w:ind w:firstLine="420" w:firstLineChars="200"/>
        <w:rPr>
          <w:color w:val="auto"/>
          <w:szCs w:val="21"/>
          <w:highlight w:val="none"/>
        </w:rPr>
      </w:pPr>
      <w:bookmarkStart w:id="86" w:name="_Toc456551920"/>
      <w:bookmarkStart w:id="87" w:name="_Toc475552162"/>
      <w:r>
        <w:rPr>
          <w:color w:val="auto"/>
          <w:szCs w:val="21"/>
          <w:highlight w:val="none"/>
        </w:rPr>
        <w:t>7.1.1</w:t>
      </w:r>
      <w:r>
        <w:rPr>
          <w:rFonts w:hint="eastAsia"/>
          <w:color w:val="auto"/>
          <w:szCs w:val="21"/>
          <w:highlight w:val="none"/>
        </w:rPr>
        <w:t>进行公开竞争性谈判的项目，评审结果按照采购人内控管理规定确认后，在成交候选人公示发布的媒介公示全部成交候选人，公示期不得少于</w:t>
      </w:r>
      <w:r>
        <w:rPr>
          <w:color w:val="auto"/>
          <w:szCs w:val="21"/>
          <w:highlight w:val="none"/>
        </w:rPr>
        <w:t>3</w:t>
      </w:r>
      <w:r>
        <w:rPr>
          <w:rFonts w:hint="eastAsia"/>
          <w:color w:val="auto"/>
          <w:szCs w:val="21"/>
          <w:highlight w:val="none"/>
        </w:rPr>
        <w:t>日。</w:t>
      </w:r>
    </w:p>
    <w:p w14:paraId="08ADC101">
      <w:pPr>
        <w:spacing w:line="400" w:lineRule="exact"/>
        <w:ind w:firstLine="420" w:firstLineChars="200"/>
        <w:rPr>
          <w:color w:val="auto"/>
          <w:szCs w:val="21"/>
          <w:highlight w:val="none"/>
        </w:rPr>
      </w:pPr>
      <w:r>
        <w:rPr>
          <w:color w:val="auto"/>
          <w:szCs w:val="21"/>
          <w:highlight w:val="none"/>
        </w:rPr>
        <w:t>7.1.2</w:t>
      </w:r>
      <w:r>
        <w:rPr>
          <w:rFonts w:hint="eastAsia"/>
          <w:color w:val="auto"/>
          <w:szCs w:val="21"/>
          <w:highlight w:val="none"/>
        </w:rPr>
        <w:t>响应人或者其他利害关系人对项目的评审结果有异议的，应在成交候选人公示期间提出。</w:t>
      </w:r>
    </w:p>
    <w:p w14:paraId="50BC1055">
      <w:pPr>
        <w:spacing w:line="400" w:lineRule="exact"/>
        <w:rPr>
          <w:rFonts w:ascii="宋体" w:hAnsi="宋体"/>
          <w:b/>
          <w:color w:val="auto"/>
          <w:sz w:val="32"/>
          <w:szCs w:val="32"/>
          <w:highlight w:val="none"/>
        </w:rPr>
      </w:pPr>
      <w:r>
        <w:rPr>
          <w:rFonts w:hint="eastAsia" w:ascii="宋体" w:hAnsi="宋体"/>
          <w:b/>
          <w:color w:val="auto"/>
          <w:sz w:val="32"/>
          <w:szCs w:val="32"/>
          <w:highlight w:val="none"/>
        </w:rPr>
        <w:t>7.2资格后审（履约能力审查）</w:t>
      </w:r>
    </w:p>
    <w:p w14:paraId="615F7572">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.1采购人</w:t>
      </w:r>
      <w:r>
        <w:rPr>
          <w:rFonts w:hint="eastAsia"/>
          <w:color w:val="auto"/>
          <w:szCs w:val="21"/>
          <w:highlight w:val="none"/>
          <w:lang w:val="en-US" w:eastAsia="zh-CN"/>
        </w:rPr>
        <w:t>有权</w:t>
      </w:r>
      <w:r>
        <w:rPr>
          <w:rFonts w:hint="eastAsia"/>
          <w:color w:val="auto"/>
          <w:szCs w:val="21"/>
          <w:highlight w:val="none"/>
        </w:rPr>
        <w:t>根据竞争性谈判文件中的要求，对评委会推荐的成交候选人进行资格后审。</w:t>
      </w:r>
    </w:p>
    <w:p w14:paraId="1DA68AE3">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.2成交候选人须无条件配合资格后审，否则采购人有权取消中标资格，且谈判保证金可不予退还。</w:t>
      </w:r>
    </w:p>
    <w:p w14:paraId="7C1033DB">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3资格后审须提供包括但不限于营业执照、税务登记证和在响应文件中提供的资质证明文件、合同等重要证明文件的原件进行核对，综合考察成交人的履约能力。如采购人要求还须提供业绩证明的其他材料,成交候选人须配合提供。如授权其分支机构进行项目实施或提供售后服务的，亦应提供其与分支机构关系的法律证明材料。</w:t>
      </w:r>
    </w:p>
    <w:p w14:paraId="4683FC25">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.4如发现响应人以他人名义谈判或者以其他方式弄虚作假，骗取成交的，采购人有权取消其成交资格，且谈判保证金可不予退还；给采购人造成损失的，应依法承担赔偿责任。</w:t>
      </w:r>
    </w:p>
    <w:p w14:paraId="0388B349">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.5如果审查通过，采购人将把合同授予该成交人；如果审查没有通过，采购人有权取消其成交资格，且谈判保证金可不予退还，并依次审查下一名成交候选人是否具备履行合同的能力或重新采购。</w:t>
      </w:r>
    </w:p>
    <w:p w14:paraId="1CC528C1">
      <w:pPr>
        <w:spacing w:line="400" w:lineRule="exact"/>
        <w:rPr>
          <w:rFonts w:ascii="宋体" w:hAnsi="宋体"/>
          <w:b/>
          <w:color w:val="auto"/>
          <w:sz w:val="32"/>
          <w:szCs w:val="32"/>
          <w:highlight w:val="none"/>
        </w:rPr>
      </w:pPr>
      <w:r>
        <w:rPr>
          <w:rFonts w:hint="eastAsia" w:ascii="宋体" w:hAnsi="宋体"/>
          <w:b/>
          <w:color w:val="auto"/>
          <w:sz w:val="32"/>
          <w:szCs w:val="32"/>
          <w:highlight w:val="none"/>
        </w:rPr>
        <w:t>7.3确定成交人</w:t>
      </w:r>
      <w:bookmarkEnd w:id="86"/>
      <w:bookmarkEnd w:id="87"/>
    </w:p>
    <w:p w14:paraId="7A411E6E">
      <w:pPr>
        <w:spacing w:line="400" w:lineRule="exact"/>
        <w:ind w:firstLine="420" w:firstLineChars="200"/>
        <w:rPr>
          <w:color w:val="auto"/>
          <w:szCs w:val="21"/>
          <w:highlight w:val="none"/>
        </w:rPr>
      </w:pPr>
      <w:r>
        <w:rPr>
          <w:rFonts w:hint="eastAsia"/>
          <w:color w:val="auto"/>
          <w:szCs w:val="21"/>
          <w:highlight w:val="none"/>
        </w:rPr>
        <w:t>7.3.1除竞争性谈判响应须知前附表规定谈判小组直接确定成交人外，采购人依据谈判小组推荐的成交候选人确定成交人，成交人数量见竞争性谈判响应须知前附表。</w:t>
      </w:r>
    </w:p>
    <w:p w14:paraId="77917298">
      <w:pPr>
        <w:spacing w:line="400" w:lineRule="exact"/>
        <w:ind w:firstLine="420" w:firstLineChars="200"/>
        <w:rPr>
          <w:color w:val="auto"/>
          <w:szCs w:val="21"/>
          <w:highlight w:val="none"/>
        </w:rPr>
      </w:pPr>
      <w:r>
        <w:rPr>
          <w:rFonts w:hint="eastAsia"/>
          <w:color w:val="auto"/>
          <w:szCs w:val="21"/>
          <w:highlight w:val="none"/>
        </w:rPr>
        <w:t>7.3.2</w:t>
      </w:r>
      <w:r>
        <w:rPr>
          <w:color w:val="auto"/>
          <w:szCs w:val="21"/>
          <w:highlight w:val="none"/>
        </w:rPr>
        <w:t>采购人</w:t>
      </w:r>
      <w:r>
        <w:rPr>
          <w:rFonts w:hint="eastAsia"/>
          <w:color w:val="auto"/>
          <w:szCs w:val="21"/>
          <w:highlight w:val="none"/>
        </w:rPr>
        <w:t>根据谈判小组推荐的</w:t>
      </w:r>
      <w:r>
        <w:rPr>
          <w:color w:val="auto"/>
          <w:szCs w:val="21"/>
          <w:highlight w:val="none"/>
        </w:rPr>
        <w:t>成交候选人</w:t>
      </w:r>
      <w:r>
        <w:rPr>
          <w:rFonts w:hint="eastAsia"/>
          <w:color w:val="auto"/>
          <w:szCs w:val="21"/>
          <w:highlight w:val="none"/>
        </w:rPr>
        <w:t>名单排序</w:t>
      </w:r>
      <w:r>
        <w:rPr>
          <w:color w:val="auto"/>
          <w:szCs w:val="21"/>
          <w:highlight w:val="none"/>
        </w:rPr>
        <w:t>依次确定成交人，</w:t>
      </w:r>
      <w:r>
        <w:rPr>
          <w:rFonts w:hint="eastAsia"/>
          <w:color w:val="auto"/>
          <w:szCs w:val="21"/>
          <w:highlight w:val="none"/>
        </w:rPr>
        <w:t>具体成交原则见竞争性谈判响应须知前附表。</w:t>
      </w:r>
    </w:p>
    <w:p w14:paraId="18CFFF00">
      <w:pPr>
        <w:spacing w:line="400" w:lineRule="exact"/>
        <w:ind w:firstLine="420" w:firstLineChars="200"/>
        <w:rPr>
          <w:color w:val="auto"/>
          <w:szCs w:val="21"/>
          <w:highlight w:val="none"/>
        </w:rPr>
      </w:pPr>
      <w:r>
        <w:rPr>
          <w:rFonts w:hint="eastAsia"/>
          <w:color w:val="auto"/>
          <w:szCs w:val="21"/>
          <w:highlight w:val="none"/>
        </w:rPr>
        <w:t>7.3.3在签订合同之前，</w:t>
      </w:r>
      <w:r>
        <w:rPr>
          <w:color w:val="auto"/>
          <w:szCs w:val="21"/>
          <w:highlight w:val="none"/>
        </w:rPr>
        <w:t>成交人</w:t>
      </w:r>
      <w:r>
        <w:rPr>
          <w:rFonts w:hint="eastAsia"/>
          <w:color w:val="auto"/>
          <w:szCs w:val="21"/>
          <w:highlight w:val="none"/>
        </w:rPr>
        <w:t>放弃成交或者</w:t>
      </w:r>
      <w:r>
        <w:rPr>
          <w:color w:val="auto"/>
          <w:szCs w:val="21"/>
          <w:highlight w:val="none"/>
        </w:rPr>
        <w:t>不能履行合同的，采购人可以按照谈判小组提出的成交候选人名单排序依次确定其他成交候选人为成交人，也可以</w:t>
      </w:r>
      <w:r>
        <w:rPr>
          <w:rFonts w:hint="eastAsia"/>
          <w:color w:val="auto"/>
          <w:szCs w:val="21"/>
          <w:highlight w:val="none"/>
        </w:rPr>
        <w:t>重新竞争性谈判。</w:t>
      </w:r>
    </w:p>
    <w:p w14:paraId="4DDB826A">
      <w:pPr>
        <w:spacing w:line="400" w:lineRule="exact"/>
        <w:rPr>
          <w:rFonts w:ascii="宋体" w:hAnsi="宋体"/>
          <w:b/>
          <w:color w:val="auto"/>
          <w:sz w:val="32"/>
          <w:szCs w:val="32"/>
          <w:highlight w:val="none"/>
        </w:rPr>
      </w:pPr>
      <w:bookmarkStart w:id="88" w:name="_Toc456551921"/>
      <w:bookmarkStart w:id="89" w:name="_Toc475552163"/>
      <w:r>
        <w:rPr>
          <w:rFonts w:hint="eastAsia" w:ascii="宋体" w:hAnsi="宋体"/>
          <w:b/>
          <w:color w:val="auto"/>
          <w:sz w:val="32"/>
          <w:szCs w:val="32"/>
          <w:highlight w:val="none"/>
        </w:rPr>
        <w:t>7.4 成交通知</w:t>
      </w:r>
      <w:bookmarkEnd w:id="88"/>
      <w:bookmarkEnd w:id="89"/>
    </w:p>
    <w:p w14:paraId="053C293A">
      <w:pPr>
        <w:spacing w:line="400" w:lineRule="exact"/>
        <w:ind w:firstLine="420" w:firstLineChars="200"/>
        <w:rPr>
          <w:color w:val="auto"/>
          <w:szCs w:val="21"/>
          <w:highlight w:val="none"/>
        </w:rPr>
      </w:pPr>
      <w:r>
        <w:rPr>
          <w:rFonts w:hint="eastAsia"/>
          <w:color w:val="auto"/>
          <w:szCs w:val="21"/>
          <w:highlight w:val="none"/>
        </w:rPr>
        <w:t>7.4.1</w:t>
      </w:r>
      <w:r>
        <w:rPr>
          <w:color w:val="auto"/>
          <w:szCs w:val="21"/>
          <w:highlight w:val="none"/>
        </w:rPr>
        <w:t>在成交通知书发出前</w:t>
      </w:r>
      <w:r>
        <w:rPr>
          <w:rFonts w:hint="eastAsia"/>
          <w:color w:val="auto"/>
          <w:szCs w:val="21"/>
          <w:highlight w:val="none"/>
        </w:rPr>
        <w:t>，</w:t>
      </w:r>
      <w:r>
        <w:rPr>
          <w:color w:val="auto"/>
          <w:szCs w:val="21"/>
          <w:highlight w:val="none"/>
        </w:rPr>
        <w:t>成交候选人的经营、财务状况发生较大变化或者存在违法行为，可能影响其履约能力的，成交候选人应</w:t>
      </w:r>
      <w:r>
        <w:rPr>
          <w:rFonts w:hint="eastAsia"/>
          <w:color w:val="auto"/>
          <w:szCs w:val="21"/>
          <w:highlight w:val="none"/>
        </w:rPr>
        <w:t>当主动告知采购人</w:t>
      </w:r>
      <w:r>
        <w:rPr>
          <w:color w:val="auto"/>
          <w:szCs w:val="21"/>
          <w:highlight w:val="none"/>
        </w:rPr>
        <w:t>。</w:t>
      </w:r>
    </w:p>
    <w:p w14:paraId="57566269">
      <w:pPr>
        <w:spacing w:line="400" w:lineRule="exact"/>
        <w:ind w:firstLine="420" w:firstLineChars="200"/>
        <w:rPr>
          <w:color w:val="auto"/>
          <w:szCs w:val="21"/>
          <w:highlight w:val="none"/>
        </w:rPr>
      </w:pPr>
      <w:r>
        <w:rPr>
          <w:rFonts w:hint="eastAsia"/>
          <w:color w:val="auto"/>
          <w:szCs w:val="21"/>
          <w:highlight w:val="none"/>
        </w:rPr>
        <w:t>7.4.2成交人确定后，采购人应当自行或委托采购代理机构向成交人发出成交通知书，同时通知未成交人。</w:t>
      </w:r>
    </w:p>
    <w:p w14:paraId="7274B2EC">
      <w:pPr>
        <w:spacing w:line="400" w:lineRule="exact"/>
        <w:ind w:firstLine="420" w:firstLineChars="200"/>
        <w:rPr>
          <w:color w:val="auto"/>
          <w:szCs w:val="21"/>
          <w:highlight w:val="none"/>
        </w:rPr>
      </w:pPr>
      <w:r>
        <w:rPr>
          <w:rFonts w:hint="eastAsia"/>
          <w:color w:val="auto"/>
          <w:szCs w:val="21"/>
          <w:highlight w:val="none"/>
        </w:rPr>
        <w:t>7.4.3成交通知书是竞争性谈判档案和合同的组成部分。</w:t>
      </w:r>
    </w:p>
    <w:p w14:paraId="69DE8CAE">
      <w:pPr>
        <w:spacing w:line="400" w:lineRule="exact"/>
        <w:ind w:firstLine="420" w:firstLineChars="200"/>
        <w:rPr>
          <w:color w:val="auto"/>
          <w:szCs w:val="21"/>
          <w:highlight w:val="none"/>
        </w:rPr>
      </w:pPr>
      <w:r>
        <w:rPr>
          <w:rFonts w:hint="eastAsia"/>
          <w:color w:val="auto"/>
          <w:szCs w:val="21"/>
          <w:highlight w:val="none"/>
        </w:rPr>
        <w:t>7.4.4成交通知书对采购人和成交人具有法律约束力。成交通知书发出后，采购人改变成交结果或者成交人放弃成交的，应当承担法律责任。</w:t>
      </w:r>
    </w:p>
    <w:p w14:paraId="61121BA1">
      <w:pPr>
        <w:pStyle w:val="6"/>
        <w:rPr>
          <w:color w:val="auto"/>
          <w:highlight w:val="none"/>
        </w:rPr>
      </w:pPr>
      <w:bookmarkStart w:id="90" w:name="_Toc20220"/>
      <w:bookmarkStart w:id="91" w:name="_Toc456551922"/>
      <w:r>
        <w:rPr>
          <w:rFonts w:hint="eastAsia"/>
          <w:color w:val="auto"/>
          <w:highlight w:val="none"/>
        </w:rPr>
        <w:t>8.合同签订</w:t>
      </w:r>
      <w:bookmarkEnd w:id="90"/>
      <w:bookmarkEnd w:id="91"/>
    </w:p>
    <w:p w14:paraId="60FF0824">
      <w:pPr>
        <w:spacing w:line="400" w:lineRule="exact"/>
        <w:rPr>
          <w:rFonts w:ascii="宋体" w:hAnsi="宋体"/>
          <w:b/>
          <w:color w:val="auto"/>
          <w:sz w:val="32"/>
          <w:szCs w:val="32"/>
          <w:highlight w:val="none"/>
        </w:rPr>
      </w:pPr>
      <w:bookmarkStart w:id="92" w:name="_Toc456551923"/>
      <w:bookmarkStart w:id="93" w:name="_Toc475552165"/>
      <w:r>
        <w:rPr>
          <w:rFonts w:hint="eastAsia" w:ascii="宋体" w:hAnsi="宋体"/>
          <w:b/>
          <w:color w:val="auto"/>
          <w:sz w:val="32"/>
          <w:szCs w:val="32"/>
          <w:highlight w:val="none"/>
        </w:rPr>
        <w:t>8.1 履约担保</w:t>
      </w:r>
      <w:bookmarkEnd w:id="92"/>
      <w:bookmarkEnd w:id="93"/>
    </w:p>
    <w:p w14:paraId="47DD5A9E">
      <w:pPr>
        <w:spacing w:line="400" w:lineRule="exact"/>
        <w:ind w:firstLine="420" w:firstLineChars="200"/>
        <w:rPr>
          <w:color w:val="auto"/>
          <w:szCs w:val="21"/>
          <w:highlight w:val="none"/>
        </w:rPr>
      </w:pPr>
      <w:r>
        <w:rPr>
          <w:rFonts w:hint="eastAsia"/>
          <w:color w:val="auto"/>
          <w:szCs w:val="21"/>
          <w:highlight w:val="none"/>
        </w:rPr>
        <w:t>8.1.1在签订合同前，成交人应当按照“竞争性谈判响应须知前附表”中规定的履约担保金额和方式向采购人提交履约担保。</w:t>
      </w:r>
    </w:p>
    <w:p w14:paraId="3BD60583">
      <w:pPr>
        <w:spacing w:line="400" w:lineRule="exact"/>
        <w:ind w:firstLine="420" w:firstLineChars="200"/>
        <w:rPr>
          <w:color w:val="auto"/>
          <w:szCs w:val="21"/>
          <w:highlight w:val="none"/>
        </w:rPr>
      </w:pPr>
      <w:r>
        <w:rPr>
          <w:rFonts w:hint="eastAsia"/>
          <w:color w:val="auto"/>
          <w:szCs w:val="21"/>
          <w:highlight w:val="none"/>
        </w:rPr>
        <w:t>8.1.2 成交人不能按照竞争性谈判文件要求提交履约担保的，视为放弃成交，其竞争性谈判保证金不予退还，给采购人造成的损失超过竞争性谈判保证金数额的，成交人还应当对超过部分予以赔偿。</w:t>
      </w:r>
    </w:p>
    <w:p w14:paraId="2AF8DC79">
      <w:pPr>
        <w:spacing w:line="400" w:lineRule="exact"/>
        <w:rPr>
          <w:rFonts w:ascii="宋体" w:hAnsi="宋体"/>
          <w:b/>
          <w:color w:val="auto"/>
          <w:sz w:val="32"/>
          <w:szCs w:val="32"/>
          <w:highlight w:val="none"/>
        </w:rPr>
      </w:pPr>
      <w:bookmarkStart w:id="94" w:name="_Toc475552166"/>
      <w:bookmarkStart w:id="95" w:name="_Toc456551924"/>
      <w:r>
        <w:rPr>
          <w:rFonts w:hint="eastAsia" w:ascii="宋体" w:hAnsi="宋体"/>
          <w:b/>
          <w:color w:val="auto"/>
          <w:sz w:val="32"/>
          <w:szCs w:val="32"/>
          <w:highlight w:val="none"/>
        </w:rPr>
        <w:t>8.2合同签订</w:t>
      </w:r>
      <w:bookmarkEnd w:id="94"/>
      <w:bookmarkEnd w:id="95"/>
    </w:p>
    <w:p w14:paraId="40398570">
      <w:pPr>
        <w:spacing w:line="400" w:lineRule="exact"/>
        <w:ind w:firstLine="420" w:firstLineChars="200"/>
        <w:rPr>
          <w:color w:val="auto"/>
          <w:szCs w:val="21"/>
          <w:highlight w:val="none"/>
        </w:rPr>
      </w:pPr>
      <w:r>
        <w:rPr>
          <w:rFonts w:hint="eastAsia"/>
          <w:color w:val="auto"/>
          <w:szCs w:val="21"/>
          <w:highlight w:val="none"/>
        </w:rPr>
        <w:t>8.2.1采购人和成交人应当自成交通知书发出之日起30日内，根据竞争性谈判文件和成交人的响应文件订立书面合同。</w:t>
      </w:r>
      <w:r>
        <w:rPr>
          <w:color w:val="auto"/>
          <w:szCs w:val="21"/>
          <w:highlight w:val="none"/>
        </w:rPr>
        <w:t>采购人和成交人不得再行订立背离合同实质性内容的其他协议。</w:t>
      </w:r>
    </w:p>
    <w:p w14:paraId="21E59F66">
      <w:pPr>
        <w:spacing w:line="400" w:lineRule="exact"/>
        <w:ind w:firstLine="420" w:firstLineChars="200"/>
        <w:rPr>
          <w:color w:val="auto"/>
          <w:szCs w:val="21"/>
          <w:highlight w:val="none"/>
        </w:rPr>
      </w:pPr>
      <w:r>
        <w:rPr>
          <w:rFonts w:hint="eastAsia"/>
          <w:color w:val="auto"/>
          <w:szCs w:val="21"/>
          <w:highlight w:val="none"/>
        </w:rPr>
        <w:t>8.2.2成交人无正当理由拒签合同的，采购人取消其成交资格，其竞争性谈判保证金不予退还；给采购人造成的损失超过竞争性谈判保证金数额的，成交人还应当对超过部分予以赔偿。</w:t>
      </w:r>
    </w:p>
    <w:p w14:paraId="14A36CEE">
      <w:pPr>
        <w:spacing w:line="400" w:lineRule="exact"/>
        <w:ind w:firstLine="420" w:firstLineChars="200"/>
        <w:rPr>
          <w:color w:val="auto"/>
          <w:szCs w:val="21"/>
          <w:highlight w:val="none"/>
        </w:rPr>
      </w:pPr>
    </w:p>
    <w:p w14:paraId="5E403B3F">
      <w:pPr>
        <w:pStyle w:val="6"/>
        <w:spacing w:before="240" w:after="120"/>
        <w:rPr>
          <w:color w:val="auto"/>
          <w:highlight w:val="none"/>
        </w:rPr>
      </w:pPr>
      <w:bookmarkStart w:id="96" w:name="_Toc456551926"/>
      <w:bookmarkStart w:id="97" w:name="_Toc1814"/>
      <w:r>
        <w:rPr>
          <w:rFonts w:hint="eastAsia"/>
          <w:color w:val="auto"/>
          <w:highlight w:val="none"/>
        </w:rPr>
        <w:t>9.采购代理服务费</w:t>
      </w:r>
      <w:bookmarkEnd w:id="96"/>
      <w:bookmarkEnd w:id="97"/>
    </w:p>
    <w:p w14:paraId="057868F9">
      <w:pPr>
        <w:spacing w:line="400" w:lineRule="exact"/>
        <w:ind w:firstLine="420" w:firstLineChars="200"/>
        <w:rPr>
          <w:color w:val="auto"/>
          <w:szCs w:val="21"/>
          <w:highlight w:val="none"/>
        </w:rPr>
      </w:pPr>
      <w:r>
        <w:rPr>
          <w:rFonts w:hint="eastAsia"/>
          <w:color w:val="auto"/>
          <w:szCs w:val="21"/>
          <w:highlight w:val="none"/>
        </w:rPr>
        <w:t>采购代理服务费的金额、形式及交纳时限见竞争性谈判响应须知前附表。</w:t>
      </w:r>
    </w:p>
    <w:p w14:paraId="1F176670">
      <w:pPr>
        <w:pStyle w:val="6"/>
        <w:rPr>
          <w:color w:val="auto"/>
          <w:highlight w:val="none"/>
        </w:rPr>
      </w:pPr>
      <w:bookmarkStart w:id="98" w:name="_Toc19131"/>
      <w:bookmarkStart w:id="99" w:name="_Toc456551927"/>
      <w:r>
        <w:rPr>
          <w:rFonts w:hint="eastAsia"/>
          <w:color w:val="auto"/>
          <w:highlight w:val="none"/>
        </w:rPr>
        <w:t>10. 纪律和监督</w:t>
      </w:r>
      <w:bookmarkEnd w:id="98"/>
      <w:bookmarkEnd w:id="99"/>
    </w:p>
    <w:p w14:paraId="1AFB8564">
      <w:pPr>
        <w:spacing w:line="400" w:lineRule="exact"/>
        <w:rPr>
          <w:rFonts w:ascii="宋体" w:hAnsi="宋体"/>
          <w:b/>
          <w:color w:val="auto"/>
          <w:sz w:val="32"/>
          <w:szCs w:val="32"/>
          <w:highlight w:val="none"/>
        </w:rPr>
      </w:pPr>
      <w:bookmarkStart w:id="100" w:name="_Toc475552169"/>
      <w:bookmarkStart w:id="101" w:name="_Toc456551928"/>
      <w:r>
        <w:rPr>
          <w:rFonts w:hint="eastAsia" w:ascii="宋体" w:hAnsi="宋体"/>
          <w:b/>
          <w:color w:val="auto"/>
          <w:sz w:val="32"/>
          <w:szCs w:val="32"/>
          <w:highlight w:val="none"/>
        </w:rPr>
        <w:t>10.1 对采购人的纪律要求</w:t>
      </w:r>
      <w:bookmarkEnd w:id="100"/>
      <w:bookmarkEnd w:id="101"/>
    </w:p>
    <w:p w14:paraId="27CD1177">
      <w:pPr>
        <w:spacing w:line="400" w:lineRule="exact"/>
        <w:ind w:firstLine="420" w:firstLineChars="200"/>
        <w:rPr>
          <w:color w:val="auto"/>
          <w:szCs w:val="21"/>
          <w:highlight w:val="none"/>
        </w:rPr>
      </w:pPr>
      <w:r>
        <w:rPr>
          <w:rFonts w:hint="eastAsia"/>
          <w:color w:val="auto"/>
          <w:szCs w:val="21"/>
          <w:highlight w:val="none"/>
        </w:rPr>
        <w:t>采购人不得泄漏竞争性谈判活动中应当保密的情况和资料，不得与响应人串通损害国家利益、社会公共利益或者他人合法权益。</w:t>
      </w:r>
    </w:p>
    <w:p w14:paraId="12C1DD59">
      <w:pPr>
        <w:spacing w:line="400" w:lineRule="exact"/>
        <w:rPr>
          <w:rFonts w:ascii="宋体" w:hAnsi="宋体"/>
          <w:b/>
          <w:color w:val="auto"/>
          <w:sz w:val="32"/>
          <w:szCs w:val="32"/>
          <w:highlight w:val="none"/>
        </w:rPr>
      </w:pPr>
      <w:bookmarkStart w:id="102" w:name="_Toc475552170"/>
      <w:bookmarkStart w:id="103" w:name="_Toc456551929"/>
      <w:r>
        <w:rPr>
          <w:rFonts w:hint="eastAsia" w:ascii="宋体" w:hAnsi="宋体"/>
          <w:b/>
          <w:color w:val="auto"/>
          <w:sz w:val="32"/>
          <w:szCs w:val="32"/>
          <w:highlight w:val="none"/>
        </w:rPr>
        <w:t>10.2 对响应人的纪律要求</w:t>
      </w:r>
      <w:bookmarkEnd w:id="102"/>
      <w:bookmarkEnd w:id="103"/>
    </w:p>
    <w:p w14:paraId="57AD243A">
      <w:pPr>
        <w:spacing w:line="400" w:lineRule="exact"/>
        <w:ind w:firstLine="420" w:firstLineChars="200"/>
        <w:rPr>
          <w:color w:val="auto"/>
          <w:szCs w:val="21"/>
          <w:highlight w:val="none"/>
        </w:rPr>
      </w:pPr>
      <w:r>
        <w:rPr>
          <w:rFonts w:hint="eastAsia"/>
          <w:color w:val="auto"/>
          <w:szCs w:val="21"/>
          <w:highlight w:val="none"/>
        </w:rPr>
        <w:t>响应人不得相互串通竞争性谈判或者与采购人串通竞争性谈判，不得向采购人或者谈判小组成员行贿谋取成交，不得以他人名义竞争性谈判或者以其他方式弄虚作假骗取成交；响应人不得以任何方式干扰、影响评审工作。</w:t>
      </w:r>
    </w:p>
    <w:p w14:paraId="4FBE11FE">
      <w:pPr>
        <w:spacing w:line="400" w:lineRule="exact"/>
        <w:rPr>
          <w:rFonts w:ascii="宋体" w:hAnsi="宋体"/>
          <w:b/>
          <w:color w:val="auto"/>
          <w:sz w:val="32"/>
          <w:szCs w:val="32"/>
          <w:highlight w:val="none"/>
        </w:rPr>
      </w:pPr>
      <w:bookmarkStart w:id="104" w:name="_Toc475552171"/>
      <w:bookmarkStart w:id="105" w:name="_Toc456551930"/>
      <w:r>
        <w:rPr>
          <w:rFonts w:hint="eastAsia" w:ascii="宋体" w:hAnsi="宋体"/>
          <w:b/>
          <w:color w:val="auto"/>
          <w:sz w:val="32"/>
          <w:szCs w:val="32"/>
          <w:highlight w:val="none"/>
        </w:rPr>
        <w:t>10.3 对谈判小组成员的纪律要求</w:t>
      </w:r>
      <w:bookmarkEnd w:id="104"/>
      <w:bookmarkEnd w:id="105"/>
    </w:p>
    <w:p w14:paraId="7C5461C3">
      <w:pPr>
        <w:spacing w:line="400" w:lineRule="exact"/>
        <w:ind w:firstLine="420" w:firstLineChars="200"/>
        <w:rPr>
          <w:color w:val="auto"/>
          <w:szCs w:val="21"/>
          <w:highlight w:val="none"/>
        </w:rPr>
      </w:pPr>
      <w:r>
        <w:rPr>
          <w:rFonts w:hint="eastAsia"/>
          <w:color w:val="auto"/>
          <w:szCs w:val="21"/>
          <w:highlight w:val="none"/>
        </w:rPr>
        <w:t>谈判小组成员不得收受他人的财物或者其他好处，不得向他人透漏对响应文件的评审和比较、成交候选人的推荐情况以及评审有关的其他情况。在评审活动中，谈判小组成员应当客观、公正地履行职责，遵守职业道德，不得擅离职守，影响评审程序正常进行，不得使用第三章“评审办法”没有规定的评审因素和标准进行评审。</w:t>
      </w:r>
    </w:p>
    <w:p w14:paraId="621F5E1B">
      <w:pPr>
        <w:spacing w:line="400" w:lineRule="exact"/>
        <w:rPr>
          <w:rFonts w:ascii="宋体" w:hAnsi="宋体"/>
          <w:b/>
          <w:color w:val="auto"/>
          <w:sz w:val="32"/>
          <w:szCs w:val="32"/>
          <w:highlight w:val="none"/>
        </w:rPr>
      </w:pPr>
      <w:bookmarkStart w:id="106" w:name="_Toc456551931"/>
      <w:bookmarkStart w:id="107" w:name="_Toc475552172"/>
      <w:r>
        <w:rPr>
          <w:rFonts w:hint="eastAsia" w:ascii="宋体" w:hAnsi="宋体"/>
          <w:b/>
          <w:color w:val="auto"/>
          <w:sz w:val="32"/>
          <w:szCs w:val="32"/>
          <w:highlight w:val="none"/>
        </w:rPr>
        <w:t>10.4 对与评审活动有关的工作人员的纪律要求</w:t>
      </w:r>
      <w:bookmarkEnd w:id="106"/>
      <w:bookmarkEnd w:id="107"/>
    </w:p>
    <w:p w14:paraId="06138BFB">
      <w:pPr>
        <w:spacing w:line="400" w:lineRule="exact"/>
        <w:ind w:firstLine="420" w:firstLineChars="200"/>
        <w:rPr>
          <w:color w:val="auto"/>
          <w:szCs w:val="21"/>
          <w:highlight w:val="none"/>
        </w:rPr>
      </w:pPr>
      <w:r>
        <w:rPr>
          <w:rFonts w:hint="eastAsia"/>
          <w:color w:val="auto"/>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CCB28CF">
      <w:pPr>
        <w:spacing w:line="400" w:lineRule="exact"/>
        <w:rPr>
          <w:rFonts w:ascii="宋体" w:hAnsi="宋体"/>
          <w:b/>
          <w:color w:val="auto"/>
          <w:sz w:val="32"/>
          <w:szCs w:val="32"/>
          <w:highlight w:val="none"/>
        </w:rPr>
      </w:pPr>
      <w:r>
        <w:rPr>
          <w:rFonts w:hint="eastAsia" w:ascii="宋体" w:hAnsi="宋体"/>
          <w:b/>
          <w:color w:val="auto"/>
          <w:sz w:val="32"/>
          <w:szCs w:val="32"/>
          <w:highlight w:val="none"/>
        </w:rPr>
        <w:t>10.5 采购监督小组</w:t>
      </w:r>
    </w:p>
    <w:p w14:paraId="26D6491B">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1采购人应当组建采购监督小组对竞争性谈判过程进行监督，及时指出、制止违反程序及纪律的行为，但不得就资格审查或者评标涉及的实质内容发表意见或者参与资格审查委员会、谈判小组的讨论。</w:t>
      </w:r>
    </w:p>
    <w:p w14:paraId="2E65B2A0">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2特殊情况导致开标、评标无法继续进行的、相关人员存在违反程序及纪律的行为被指出后仍拒绝纠正的、发现竞争性谈判活动存在其他违反相关规定行为的，采购监督小组应当及时报告监督部门。</w:t>
      </w:r>
    </w:p>
    <w:p w14:paraId="56BF1FCA">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3采购监督小组可以通过检查、随机抽查、现场监督、网络在线监督等方式对竞争性谈判活动进行监督，竞争性谈判活动各方应当自觉接受监督检查。</w:t>
      </w:r>
    </w:p>
    <w:p w14:paraId="28892AF1">
      <w:pPr>
        <w:pStyle w:val="6"/>
        <w:rPr>
          <w:color w:val="auto"/>
          <w:highlight w:val="none"/>
        </w:rPr>
      </w:pPr>
      <w:bookmarkStart w:id="108" w:name="_Toc29150"/>
      <w:bookmarkStart w:id="109" w:name="_Toc456551933"/>
      <w:bookmarkStart w:id="110" w:name="_Toc246996175"/>
      <w:bookmarkStart w:id="111" w:name="_Toc247085689"/>
      <w:bookmarkStart w:id="112" w:name="_Toc152042305"/>
      <w:bookmarkStart w:id="113" w:name="_Toc246996918"/>
      <w:bookmarkStart w:id="114" w:name="_Toc296602420"/>
      <w:bookmarkStart w:id="115" w:name="_Toc152045529"/>
      <w:bookmarkStart w:id="116" w:name="_Toc144974497"/>
      <w:bookmarkStart w:id="117" w:name="_Toc179632546"/>
      <w:r>
        <w:rPr>
          <w:rFonts w:hint="eastAsia"/>
          <w:color w:val="auto"/>
          <w:highlight w:val="none"/>
        </w:rPr>
        <w:t>11. 需要补充的其他内容</w:t>
      </w:r>
      <w:bookmarkEnd w:id="108"/>
      <w:bookmarkEnd w:id="109"/>
    </w:p>
    <w:p w14:paraId="41AD6D7C">
      <w:pPr>
        <w:spacing w:line="400" w:lineRule="exact"/>
        <w:ind w:firstLine="420" w:firstLineChars="200"/>
        <w:rPr>
          <w:color w:val="auto"/>
          <w:szCs w:val="21"/>
          <w:highlight w:val="none"/>
        </w:rPr>
      </w:pPr>
      <w:r>
        <w:rPr>
          <w:rFonts w:hint="eastAsia"/>
          <w:color w:val="auto"/>
          <w:szCs w:val="21"/>
          <w:highlight w:val="none"/>
        </w:rPr>
        <w:t>需要补充的其他内容：见竞争性谈判响应须知前附表。</w:t>
      </w:r>
    </w:p>
    <w:p w14:paraId="4D71F16E">
      <w:pPr>
        <w:spacing w:before="156" w:beforeLines="50" w:after="156" w:afterLines="50" w:line="400" w:lineRule="exact"/>
        <w:rPr>
          <w:color w:val="auto"/>
          <w:highlight w:val="none"/>
        </w:rPr>
      </w:pPr>
      <w:r>
        <w:rPr>
          <w:color w:val="auto"/>
          <w:szCs w:val="21"/>
          <w:highlight w:val="none"/>
        </w:rPr>
        <w:br w:type="page"/>
      </w:r>
    </w:p>
    <w:p w14:paraId="6DEFD448">
      <w:pPr>
        <w:pStyle w:val="5"/>
        <w:spacing w:before="0"/>
        <w:jc w:val="center"/>
        <w:rPr>
          <w:rFonts w:ascii="宋体" w:hAnsi="宋体"/>
          <w:color w:val="auto"/>
          <w:sz w:val="28"/>
          <w:szCs w:val="28"/>
          <w:highlight w:val="none"/>
        </w:rPr>
      </w:pPr>
      <w:bookmarkStart w:id="118" w:name="_Toc456551939"/>
      <w:bookmarkStart w:id="119" w:name="_Toc17519"/>
      <w:r>
        <w:rPr>
          <w:rFonts w:hint="eastAsia" w:ascii="宋体" w:hAnsi="宋体"/>
          <w:color w:val="auto"/>
          <w:sz w:val="28"/>
          <w:szCs w:val="28"/>
          <w:highlight w:val="none"/>
        </w:rPr>
        <w:t>第三章 评审办法</w:t>
      </w:r>
      <w:bookmarkEnd w:id="118"/>
      <w:bookmarkEnd w:id="119"/>
    </w:p>
    <w:p w14:paraId="5682DF6A">
      <w:pPr>
        <w:pStyle w:val="7"/>
        <w:spacing w:before="0" w:after="120" w:line="415" w:lineRule="auto"/>
        <w:jc w:val="left"/>
        <w:rPr>
          <w:rFonts w:ascii="黑体" w:hAnsi="黑体" w:eastAsia="黑体"/>
          <w:color w:val="auto"/>
          <w:sz w:val="28"/>
          <w:szCs w:val="28"/>
          <w:highlight w:val="none"/>
        </w:rPr>
      </w:pPr>
      <w:bookmarkStart w:id="120" w:name="_Toc23100"/>
      <w:bookmarkStart w:id="121" w:name="_Toc456551940"/>
      <w:r>
        <w:rPr>
          <w:rFonts w:hint="eastAsia" w:ascii="黑体" w:hAnsi="黑体" w:eastAsia="黑体"/>
          <w:color w:val="auto"/>
          <w:sz w:val="28"/>
          <w:szCs w:val="28"/>
          <w:highlight w:val="none"/>
        </w:rPr>
        <w:t>一、评审办法前附表</w:t>
      </w:r>
      <w:bookmarkEnd w:id="120"/>
    </w:p>
    <w:tbl>
      <w:tblPr>
        <w:tblStyle w:val="3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73"/>
        <w:gridCol w:w="4689"/>
        <w:gridCol w:w="1134"/>
      </w:tblGrid>
      <w:tr w14:paraId="4A13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28FE9DF1">
            <w:pPr>
              <w:snapToGrid w:val="0"/>
              <w:jc w:val="center"/>
              <w:rPr>
                <w:rFonts w:ascii="宋体" w:hAnsi="宋体" w:cs="宋体"/>
                <w:color w:val="auto"/>
                <w:kern w:val="0"/>
                <w:sz w:val="20"/>
                <w:szCs w:val="21"/>
                <w:highlight w:val="none"/>
              </w:rPr>
            </w:pPr>
            <w:r>
              <w:rPr>
                <w:rFonts w:hint="eastAsia" w:ascii="宋体" w:hAnsi="宋体" w:cs="宋体"/>
                <w:color w:val="auto"/>
                <w:szCs w:val="21"/>
                <w:highlight w:val="none"/>
              </w:rPr>
              <w:t>序号</w:t>
            </w:r>
          </w:p>
        </w:tc>
        <w:tc>
          <w:tcPr>
            <w:tcW w:w="1973" w:type="dxa"/>
            <w:tcBorders>
              <w:top w:val="single" w:color="auto" w:sz="4" w:space="0"/>
              <w:left w:val="single" w:color="auto" w:sz="4" w:space="0"/>
              <w:bottom w:val="single" w:color="auto" w:sz="4" w:space="0"/>
              <w:right w:val="single" w:color="auto" w:sz="4" w:space="0"/>
            </w:tcBorders>
            <w:vAlign w:val="center"/>
          </w:tcPr>
          <w:p w14:paraId="32A25818">
            <w:pPr>
              <w:snapToGrid w:val="0"/>
              <w:jc w:val="center"/>
              <w:rPr>
                <w:rFonts w:ascii="宋体" w:hAnsi="宋体" w:cs="宋体"/>
                <w:color w:val="auto"/>
                <w:szCs w:val="21"/>
                <w:highlight w:val="none"/>
              </w:rPr>
            </w:pPr>
            <w:r>
              <w:rPr>
                <w:rFonts w:hint="eastAsia" w:ascii="宋体" w:hAnsi="宋体" w:cs="宋体"/>
                <w:color w:val="auto"/>
                <w:kern w:val="0"/>
                <w:sz w:val="20"/>
                <w:szCs w:val="21"/>
                <w:highlight w:val="none"/>
              </w:rPr>
              <w:t>评审内容</w:t>
            </w:r>
          </w:p>
        </w:tc>
        <w:tc>
          <w:tcPr>
            <w:tcW w:w="4689" w:type="dxa"/>
            <w:tcBorders>
              <w:top w:val="single" w:color="auto" w:sz="4" w:space="0"/>
              <w:left w:val="single" w:color="auto" w:sz="4" w:space="0"/>
              <w:bottom w:val="single" w:color="auto" w:sz="4" w:space="0"/>
              <w:right w:val="single" w:color="auto" w:sz="4" w:space="0"/>
            </w:tcBorders>
            <w:vAlign w:val="center"/>
          </w:tcPr>
          <w:p w14:paraId="71629AD2">
            <w:pPr>
              <w:snapToGrid w:val="0"/>
              <w:jc w:val="center"/>
              <w:rPr>
                <w:rFonts w:ascii="宋体" w:hAnsi="宋体" w:cs="宋体"/>
                <w:color w:val="auto"/>
                <w:highlight w:val="none"/>
              </w:rPr>
            </w:pPr>
            <w:r>
              <w:rPr>
                <w:rFonts w:hint="eastAsia" w:ascii="宋体" w:hAnsi="宋体" w:cs="宋体"/>
                <w:color w:val="auto"/>
                <w:kern w:val="0"/>
                <w:sz w:val="20"/>
                <w:szCs w:val="21"/>
                <w:highlight w:val="none"/>
              </w:rPr>
              <w:t>评审标准</w:t>
            </w:r>
          </w:p>
        </w:tc>
        <w:tc>
          <w:tcPr>
            <w:tcW w:w="1134" w:type="dxa"/>
            <w:tcBorders>
              <w:top w:val="single" w:color="auto" w:sz="4" w:space="0"/>
              <w:left w:val="single" w:color="auto" w:sz="4" w:space="0"/>
              <w:bottom w:val="single" w:color="auto" w:sz="4" w:space="0"/>
              <w:right w:val="single" w:color="auto" w:sz="4" w:space="0"/>
            </w:tcBorders>
            <w:vAlign w:val="center"/>
          </w:tcPr>
          <w:p w14:paraId="48D846CE">
            <w:pPr>
              <w:snapToGrid w:val="0"/>
              <w:jc w:val="center"/>
              <w:rPr>
                <w:rFonts w:ascii="宋体" w:hAnsi="宋体" w:cs="宋体"/>
                <w:color w:val="auto"/>
                <w:highlight w:val="none"/>
              </w:rPr>
            </w:pPr>
            <w:r>
              <w:rPr>
                <w:rFonts w:hint="eastAsia" w:ascii="宋体" w:hAnsi="宋体" w:cs="宋体"/>
                <w:color w:val="auto"/>
                <w:highlight w:val="none"/>
              </w:rPr>
              <w:t>竞争性谈判文件索引页码</w:t>
            </w:r>
          </w:p>
        </w:tc>
      </w:tr>
      <w:tr w14:paraId="5047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3AC38DDB">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3" w:type="dxa"/>
            <w:tcBorders>
              <w:top w:val="single" w:color="auto" w:sz="4" w:space="0"/>
              <w:left w:val="single" w:color="auto" w:sz="4" w:space="0"/>
              <w:bottom w:val="single" w:color="auto" w:sz="4" w:space="0"/>
              <w:right w:val="single" w:color="auto" w:sz="4" w:space="0"/>
            </w:tcBorders>
            <w:vAlign w:val="center"/>
          </w:tcPr>
          <w:p w14:paraId="1062115D">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响应人资格要求</w:t>
            </w:r>
          </w:p>
        </w:tc>
        <w:tc>
          <w:tcPr>
            <w:tcW w:w="4689" w:type="dxa"/>
            <w:tcBorders>
              <w:top w:val="single" w:color="auto" w:sz="4" w:space="0"/>
              <w:left w:val="single" w:color="auto" w:sz="4" w:space="0"/>
              <w:bottom w:val="single" w:color="auto" w:sz="4" w:space="0"/>
              <w:right w:val="single" w:color="auto" w:sz="4" w:space="0"/>
            </w:tcBorders>
            <w:vAlign w:val="center"/>
          </w:tcPr>
          <w:p w14:paraId="78660F17">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符合响应人资格要求</w:t>
            </w:r>
          </w:p>
        </w:tc>
        <w:tc>
          <w:tcPr>
            <w:tcW w:w="1134" w:type="dxa"/>
            <w:tcBorders>
              <w:top w:val="single" w:color="auto" w:sz="4" w:space="0"/>
              <w:left w:val="single" w:color="auto" w:sz="4" w:space="0"/>
              <w:bottom w:val="single" w:color="auto" w:sz="4" w:space="0"/>
              <w:right w:val="single" w:color="auto" w:sz="4" w:space="0"/>
            </w:tcBorders>
            <w:vAlign w:val="center"/>
          </w:tcPr>
          <w:p w14:paraId="3DF6EA7C">
            <w:pPr>
              <w:snapToGrid w:val="0"/>
              <w:jc w:val="center"/>
              <w:rPr>
                <w:rFonts w:ascii="宋体" w:hAnsi="宋体" w:cs="宋体"/>
                <w:color w:val="auto"/>
                <w:kern w:val="0"/>
                <w:sz w:val="20"/>
                <w:szCs w:val="21"/>
                <w:highlight w:val="none"/>
              </w:rPr>
            </w:pPr>
          </w:p>
        </w:tc>
      </w:tr>
      <w:tr w14:paraId="12CE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08F05E29">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3" w:type="dxa"/>
            <w:tcBorders>
              <w:top w:val="single" w:color="auto" w:sz="4" w:space="0"/>
              <w:left w:val="single" w:color="auto" w:sz="4" w:space="0"/>
              <w:bottom w:val="single" w:color="auto" w:sz="4" w:space="0"/>
              <w:right w:val="single" w:color="auto" w:sz="4" w:space="0"/>
            </w:tcBorders>
            <w:vAlign w:val="center"/>
          </w:tcPr>
          <w:p w14:paraId="7FEE6D8E">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竞争性谈判保证金</w:t>
            </w:r>
          </w:p>
        </w:tc>
        <w:tc>
          <w:tcPr>
            <w:tcW w:w="4689" w:type="dxa"/>
            <w:tcBorders>
              <w:top w:val="single" w:color="auto" w:sz="4" w:space="0"/>
              <w:left w:val="single" w:color="auto" w:sz="4" w:space="0"/>
              <w:bottom w:val="single" w:color="auto" w:sz="4" w:space="0"/>
              <w:right w:val="single" w:color="auto" w:sz="4" w:space="0"/>
            </w:tcBorders>
            <w:vAlign w:val="center"/>
          </w:tcPr>
          <w:p w14:paraId="06D76C2E">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按采购文件的规定提交竞争性谈判保证金的</w:t>
            </w:r>
          </w:p>
        </w:tc>
        <w:tc>
          <w:tcPr>
            <w:tcW w:w="1134" w:type="dxa"/>
            <w:tcBorders>
              <w:top w:val="single" w:color="auto" w:sz="4" w:space="0"/>
              <w:left w:val="single" w:color="auto" w:sz="4" w:space="0"/>
              <w:bottom w:val="single" w:color="auto" w:sz="4" w:space="0"/>
              <w:right w:val="single" w:color="auto" w:sz="4" w:space="0"/>
            </w:tcBorders>
            <w:vAlign w:val="center"/>
          </w:tcPr>
          <w:p w14:paraId="075EB3F8">
            <w:pPr>
              <w:snapToGrid w:val="0"/>
              <w:jc w:val="center"/>
              <w:rPr>
                <w:rFonts w:ascii="宋体" w:hAnsi="宋体" w:cs="宋体"/>
                <w:color w:val="auto"/>
                <w:kern w:val="0"/>
                <w:sz w:val="20"/>
                <w:szCs w:val="21"/>
                <w:highlight w:val="none"/>
              </w:rPr>
            </w:pPr>
          </w:p>
        </w:tc>
      </w:tr>
      <w:tr w14:paraId="711E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66A2C18C">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973" w:type="dxa"/>
            <w:tcBorders>
              <w:top w:val="single" w:color="auto" w:sz="4" w:space="0"/>
              <w:left w:val="single" w:color="auto" w:sz="4" w:space="0"/>
              <w:bottom w:val="single" w:color="auto" w:sz="4" w:space="0"/>
              <w:right w:val="single" w:color="auto" w:sz="4" w:space="0"/>
            </w:tcBorders>
            <w:vAlign w:val="center"/>
          </w:tcPr>
          <w:p w14:paraId="5659A51B">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响应文件盖章、签署</w:t>
            </w:r>
          </w:p>
        </w:tc>
        <w:tc>
          <w:tcPr>
            <w:tcW w:w="4689" w:type="dxa"/>
            <w:tcBorders>
              <w:top w:val="single" w:color="auto" w:sz="4" w:space="0"/>
              <w:left w:val="single" w:color="auto" w:sz="4" w:space="0"/>
              <w:bottom w:val="single" w:color="auto" w:sz="4" w:space="0"/>
              <w:right w:val="single" w:color="auto" w:sz="4" w:space="0"/>
            </w:tcBorders>
            <w:vAlign w:val="center"/>
          </w:tcPr>
          <w:p w14:paraId="221FE2ED">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响应文件按采购文件要求签署、盖章的</w:t>
            </w:r>
          </w:p>
        </w:tc>
        <w:tc>
          <w:tcPr>
            <w:tcW w:w="1134" w:type="dxa"/>
            <w:tcBorders>
              <w:top w:val="single" w:color="auto" w:sz="4" w:space="0"/>
              <w:left w:val="single" w:color="auto" w:sz="4" w:space="0"/>
              <w:bottom w:val="single" w:color="auto" w:sz="4" w:space="0"/>
              <w:right w:val="single" w:color="auto" w:sz="4" w:space="0"/>
            </w:tcBorders>
            <w:vAlign w:val="center"/>
          </w:tcPr>
          <w:p w14:paraId="079418CD">
            <w:pPr>
              <w:snapToGrid w:val="0"/>
              <w:jc w:val="center"/>
              <w:rPr>
                <w:rFonts w:ascii="宋体" w:hAnsi="宋体" w:cs="宋体"/>
                <w:color w:val="auto"/>
                <w:kern w:val="0"/>
                <w:sz w:val="20"/>
                <w:szCs w:val="21"/>
                <w:highlight w:val="none"/>
              </w:rPr>
            </w:pPr>
          </w:p>
        </w:tc>
      </w:tr>
      <w:tr w14:paraId="15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36E24EEB">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1973" w:type="dxa"/>
            <w:tcBorders>
              <w:top w:val="single" w:color="auto" w:sz="4" w:space="0"/>
              <w:left w:val="single" w:color="auto" w:sz="4" w:space="0"/>
              <w:bottom w:val="single" w:color="auto" w:sz="4" w:space="0"/>
              <w:right w:val="single" w:color="auto" w:sz="4" w:space="0"/>
            </w:tcBorders>
            <w:vAlign w:val="center"/>
          </w:tcPr>
          <w:p w14:paraId="6F0E9E58">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报价</w:t>
            </w:r>
          </w:p>
        </w:tc>
        <w:tc>
          <w:tcPr>
            <w:tcW w:w="4689" w:type="dxa"/>
            <w:tcBorders>
              <w:top w:val="single" w:color="auto" w:sz="4" w:space="0"/>
              <w:left w:val="single" w:color="auto" w:sz="4" w:space="0"/>
              <w:bottom w:val="single" w:color="auto" w:sz="4" w:space="0"/>
              <w:right w:val="single" w:color="auto" w:sz="4" w:space="0"/>
            </w:tcBorders>
            <w:vAlign w:val="center"/>
          </w:tcPr>
          <w:p w14:paraId="27B51CD5">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按照竞争性谈判文件的规定进行报价的</w:t>
            </w:r>
          </w:p>
        </w:tc>
        <w:tc>
          <w:tcPr>
            <w:tcW w:w="1134" w:type="dxa"/>
            <w:tcBorders>
              <w:top w:val="single" w:color="auto" w:sz="4" w:space="0"/>
              <w:left w:val="single" w:color="auto" w:sz="4" w:space="0"/>
              <w:bottom w:val="single" w:color="auto" w:sz="4" w:space="0"/>
              <w:right w:val="single" w:color="auto" w:sz="4" w:space="0"/>
            </w:tcBorders>
            <w:vAlign w:val="center"/>
          </w:tcPr>
          <w:p w14:paraId="2B65AAEE">
            <w:pPr>
              <w:snapToGrid w:val="0"/>
              <w:jc w:val="center"/>
              <w:rPr>
                <w:rFonts w:ascii="宋体" w:hAnsi="宋体" w:cs="宋体"/>
                <w:color w:val="auto"/>
                <w:kern w:val="0"/>
                <w:sz w:val="20"/>
                <w:szCs w:val="21"/>
                <w:highlight w:val="none"/>
              </w:rPr>
            </w:pPr>
          </w:p>
        </w:tc>
      </w:tr>
      <w:tr w14:paraId="2E2D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5DAB12A9">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973" w:type="dxa"/>
            <w:tcBorders>
              <w:top w:val="single" w:color="auto" w:sz="4" w:space="0"/>
              <w:left w:val="single" w:color="auto" w:sz="4" w:space="0"/>
              <w:bottom w:val="single" w:color="auto" w:sz="4" w:space="0"/>
              <w:right w:val="single" w:color="auto" w:sz="4" w:space="0"/>
            </w:tcBorders>
            <w:vAlign w:val="center"/>
          </w:tcPr>
          <w:p w14:paraId="5DDED959">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“★”符号的条款</w:t>
            </w:r>
          </w:p>
        </w:tc>
        <w:tc>
          <w:tcPr>
            <w:tcW w:w="4689" w:type="dxa"/>
            <w:tcBorders>
              <w:top w:val="single" w:color="auto" w:sz="4" w:space="0"/>
              <w:left w:val="single" w:color="auto" w:sz="4" w:space="0"/>
              <w:bottom w:val="single" w:color="auto" w:sz="4" w:space="0"/>
              <w:right w:val="single" w:color="auto" w:sz="4" w:space="0"/>
            </w:tcBorders>
            <w:vAlign w:val="center"/>
          </w:tcPr>
          <w:p w14:paraId="25F7922B">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无负偏离标注“★”符号的条款</w:t>
            </w:r>
          </w:p>
        </w:tc>
        <w:tc>
          <w:tcPr>
            <w:tcW w:w="1134" w:type="dxa"/>
            <w:tcBorders>
              <w:top w:val="single" w:color="auto" w:sz="4" w:space="0"/>
              <w:left w:val="single" w:color="auto" w:sz="4" w:space="0"/>
              <w:bottom w:val="single" w:color="auto" w:sz="4" w:space="0"/>
              <w:right w:val="single" w:color="auto" w:sz="4" w:space="0"/>
            </w:tcBorders>
            <w:vAlign w:val="center"/>
          </w:tcPr>
          <w:p w14:paraId="3B791B5E">
            <w:pPr>
              <w:snapToGrid w:val="0"/>
              <w:jc w:val="center"/>
              <w:rPr>
                <w:rFonts w:ascii="宋体" w:hAnsi="宋体" w:cs="宋体"/>
                <w:color w:val="auto"/>
                <w:kern w:val="0"/>
                <w:sz w:val="20"/>
                <w:szCs w:val="21"/>
                <w:highlight w:val="none"/>
              </w:rPr>
            </w:pPr>
          </w:p>
        </w:tc>
      </w:tr>
      <w:tr w14:paraId="6587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25A17548">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973" w:type="dxa"/>
            <w:tcBorders>
              <w:top w:val="single" w:color="auto" w:sz="4" w:space="0"/>
              <w:left w:val="single" w:color="auto" w:sz="4" w:space="0"/>
              <w:bottom w:val="single" w:color="auto" w:sz="4" w:space="0"/>
              <w:right w:val="single" w:color="auto" w:sz="4" w:space="0"/>
            </w:tcBorders>
            <w:vAlign w:val="center"/>
          </w:tcPr>
          <w:p w14:paraId="73BCF068">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附加条件</w:t>
            </w:r>
          </w:p>
        </w:tc>
        <w:tc>
          <w:tcPr>
            <w:tcW w:w="4689" w:type="dxa"/>
            <w:tcBorders>
              <w:top w:val="single" w:color="auto" w:sz="4" w:space="0"/>
              <w:left w:val="single" w:color="auto" w:sz="4" w:space="0"/>
              <w:bottom w:val="single" w:color="auto" w:sz="4" w:space="0"/>
              <w:right w:val="single" w:color="auto" w:sz="4" w:space="0"/>
            </w:tcBorders>
            <w:vAlign w:val="center"/>
          </w:tcPr>
          <w:p w14:paraId="24534F94">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响应文件未含有采购人不能接受的附加条件的</w:t>
            </w:r>
          </w:p>
        </w:tc>
        <w:tc>
          <w:tcPr>
            <w:tcW w:w="1134" w:type="dxa"/>
            <w:tcBorders>
              <w:top w:val="single" w:color="auto" w:sz="4" w:space="0"/>
              <w:left w:val="single" w:color="auto" w:sz="4" w:space="0"/>
              <w:bottom w:val="single" w:color="auto" w:sz="4" w:space="0"/>
              <w:right w:val="single" w:color="auto" w:sz="4" w:space="0"/>
            </w:tcBorders>
            <w:vAlign w:val="center"/>
          </w:tcPr>
          <w:p w14:paraId="683FE719">
            <w:pPr>
              <w:snapToGrid w:val="0"/>
              <w:jc w:val="center"/>
              <w:rPr>
                <w:rFonts w:ascii="宋体" w:hAnsi="宋体" w:cs="宋体"/>
                <w:color w:val="auto"/>
                <w:kern w:val="0"/>
                <w:sz w:val="20"/>
                <w:szCs w:val="21"/>
                <w:highlight w:val="none"/>
              </w:rPr>
            </w:pPr>
          </w:p>
        </w:tc>
      </w:tr>
      <w:tr w14:paraId="076D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1EC11AAA">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1973" w:type="dxa"/>
            <w:tcBorders>
              <w:top w:val="single" w:color="auto" w:sz="4" w:space="0"/>
              <w:left w:val="single" w:color="auto" w:sz="4" w:space="0"/>
              <w:bottom w:val="single" w:color="auto" w:sz="4" w:space="0"/>
              <w:right w:val="single" w:color="auto" w:sz="4" w:space="0"/>
            </w:tcBorders>
            <w:vAlign w:val="center"/>
          </w:tcPr>
          <w:p w14:paraId="5F605B4A">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其他</w:t>
            </w:r>
          </w:p>
        </w:tc>
        <w:tc>
          <w:tcPr>
            <w:tcW w:w="4689" w:type="dxa"/>
            <w:tcBorders>
              <w:top w:val="single" w:color="auto" w:sz="4" w:space="0"/>
              <w:left w:val="single" w:color="auto" w:sz="4" w:space="0"/>
              <w:bottom w:val="single" w:color="auto" w:sz="4" w:space="0"/>
              <w:right w:val="single" w:color="auto" w:sz="4" w:space="0"/>
            </w:tcBorders>
            <w:vAlign w:val="center"/>
          </w:tcPr>
          <w:p w14:paraId="7B9D1E98">
            <w:pPr>
              <w:snapToGrid w:val="0"/>
              <w:jc w:val="center"/>
              <w:rPr>
                <w:rFonts w:hAnsi="宋体" w:cs="宋体"/>
                <w:bCs/>
                <w:color w:val="auto"/>
                <w:szCs w:val="21"/>
                <w:highlight w:val="none"/>
                <w:lang w:bidi="ar"/>
              </w:rPr>
            </w:pPr>
            <w:r>
              <w:rPr>
                <w:rFonts w:hint="eastAsia" w:hAnsi="宋体" w:cs="宋体"/>
                <w:color w:val="auto"/>
                <w:szCs w:val="21"/>
                <w:highlight w:val="none"/>
              </w:rPr>
              <w:t>未出现</w:t>
            </w:r>
            <w:r>
              <w:rPr>
                <w:rFonts w:hint="eastAsia" w:hAnsi="宋体" w:cs="宋体"/>
                <w:bCs/>
                <w:color w:val="auto"/>
                <w:szCs w:val="21"/>
                <w:highlight w:val="none"/>
                <w:lang w:bidi="ar"/>
              </w:rPr>
              <w:t>法律、法规和竞争性谈判文件规定的其他无效情形。</w:t>
            </w:r>
          </w:p>
        </w:tc>
        <w:tc>
          <w:tcPr>
            <w:tcW w:w="1134" w:type="dxa"/>
            <w:tcBorders>
              <w:top w:val="single" w:color="auto" w:sz="4" w:space="0"/>
              <w:left w:val="single" w:color="auto" w:sz="4" w:space="0"/>
              <w:bottom w:val="single" w:color="auto" w:sz="4" w:space="0"/>
              <w:right w:val="single" w:color="auto" w:sz="4" w:space="0"/>
            </w:tcBorders>
            <w:vAlign w:val="center"/>
          </w:tcPr>
          <w:p w14:paraId="1B203090">
            <w:pPr>
              <w:snapToGrid w:val="0"/>
              <w:jc w:val="center"/>
              <w:rPr>
                <w:rFonts w:ascii="宋体" w:hAnsi="宋体" w:cs="宋体"/>
                <w:color w:val="auto"/>
                <w:kern w:val="0"/>
                <w:sz w:val="20"/>
                <w:szCs w:val="21"/>
                <w:highlight w:val="none"/>
              </w:rPr>
            </w:pPr>
          </w:p>
        </w:tc>
      </w:tr>
      <w:tr w14:paraId="4D7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14:paraId="14430FE2">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1973" w:type="dxa"/>
            <w:tcBorders>
              <w:top w:val="single" w:color="auto" w:sz="4" w:space="0"/>
              <w:left w:val="single" w:color="auto" w:sz="4" w:space="0"/>
              <w:bottom w:val="single" w:color="auto" w:sz="4" w:space="0"/>
              <w:right w:val="single" w:color="auto" w:sz="4" w:space="0"/>
            </w:tcBorders>
            <w:vAlign w:val="center"/>
          </w:tcPr>
          <w:p w14:paraId="4A06E416">
            <w:pPr>
              <w:snapToGrid w:val="0"/>
              <w:jc w:val="center"/>
              <w:rPr>
                <w:rFonts w:ascii="宋体" w:hAnsi="宋体" w:cs="宋体"/>
                <w:color w:val="auto"/>
                <w:kern w:val="0"/>
                <w:sz w:val="20"/>
                <w:szCs w:val="21"/>
                <w:highlight w:val="none"/>
              </w:rPr>
            </w:pPr>
          </w:p>
        </w:tc>
        <w:tc>
          <w:tcPr>
            <w:tcW w:w="4689" w:type="dxa"/>
            <w:tcBorders>
              <w:top w:val="single" w:color="auto" w:sz="4" w:space="0"/>
              <w:left w:val="single" w:color="auto" w:sz="4" w:space="0"/>
              <w:bottom w:val="single" w:color="auto" w:sz="4" w:space="0"/>
              <w:right w:val="single" w:color="auto" w:sz="4" w:space="0"/>
            </w:tcBorders>
            <w:vAlign w:val="center"/>
          </w:tcPr>
          <w:p w14:paraId="15B62D42">
            <w:pPr>
              <w:snapToGrid w:val="0"/>
              <w:jc w:val="center"/>
              <w:rPr>
                <w:rFonts w:hAnsi="宋体" w:cs="宋体"/>
                <w:color w:val="auto"/>
                <w:szCs w:val="21"/>
                <w:highlight w:val="none"/>
              </w:rPr>
            </w:pPr>
            <w:r>
              <w:rPr>
                <w:rFonts w:hint="eastAsia" w:hAnsi="宋体" w:cs="宋体"/>
                <w:color w:val="auto"/>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51734652">
            <w:pPr>
              <w:snapToGrid w:val="0"/>
              <w:jc w:val="center"/>
              <w:rPr>
                <w:rFonts w:ascii="宋体" w:hAnsi="宋体" w:cs="宋体"/>
                <w:color w:val="auto"/>
                <w:kern w:val="0"/>
                <w:sz w:val="20"/>
                <w:szCs w:val="21"/>
                <w:highlight w:val="none"/>
              </w:rPr>
            </w:pPr>
          </w:p>
        </w:tc>
      </w:tr>
      <w:tr w14:paraId="58E7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66" w:type="dxa"/>
            <w:gridSpan w:val="2"/>
            <w:tcBorders>
              <w:top w:val="single" w:color="auto" w:sz="4" w:space="0"/>
              <w:left w:val="single" w:color="auto" w:sz="4" w:space="0"/>
              <w:bottom w:val="single" w:color="auto" w:sz="4" w:space="0"/>
              <w:right w:val="single" w:color="auto" w:sz="4" w:space="0"/>
            </w:tcBorders>
            <w:vAlign w:val="center"/>
          </w:tcPr>
          <w:p w14:paraId="752F284E">
            <w:pPr>
              <w:widowControl/>
              <w:jc w:val="center"/>
              <w:rPr>
                <w:color w:val="auto"/>
                <w:szCs w:val="21"/>
                <w:highlight w:val="none"/>
              </w:rPr>
            </w:pPr>
            <w:r>
              <w:rPr>
                <w:rFonts w:hint="eastAsia" w:ascii="宋体" w:hAnsi="宋体" w:cs="宋体"/>
                <w:color w:val="auto"/>
                <w:kern w:val="0"/>
                <w:szCs w:val="21"/>
                <w:highlight w:val="none"/>
              </w:rPr>
              <w:t>成交候选人推荐原则</w:t>
            </w:r>
          </w:p>
        </w:tc>
        <w:tc>
          <w:tcPr>
            <w:tcW w:w="5823" w:type="dxa"/>
            <w:gridSpan w:val="2"/>
            <w:tcBorders>
              <w:top w:val="single" w:color="auto" w:sz="4" w:space="0"/>
              <w:left w:val="single" w:color="auto" w:sz="4" w:space="0"/>
              <w:bottom w:val="single" w:color="auto" w:sz="4" w:space="0"/>
              <w:right w:val="single" w:color="auto" w:sz="4" w:space="0"/>
            </w:tcBorders>
          </w:tcPr>
          <w:p w14:paraId="530410C3">
            <w:pPr>
              <w:widowControl/>
              <w:jc w:val="left"/>
              <w:rPr>
                <w:rFonts w:ascii="宋体" w:hAnsi="宋体" w:cs="宋体"/>
                <w:color w:val="auto"/>
                <w:kern w:val="0"/>
                <w:highlight w:val="none"/>
              </w:rPr>
            </w:pPr>
            <w:r>
              <w:rPr>
                <w:rFonts w:hint="eastAsia" w:ascii="宋体" w:hAnsi="宋体" w:cs="宋体"/>
                <w:color w:val="auto"/>
                <w:kern w:val="0"/>
                <w:highlight w:val="none"/>
              </w:rPr>
              <w:t>本项目</w:t>
            </w:r>
            <w:r>
              <w:rPr>
                <w:rFonts w:hint="eastAsia" w:ascii="宋体" w:hAnsi="宋体" w:cs="宋体"/>
                <w:color w:val="auto"/>
                <w:kern w:val="0"/>
                <w:highlight w:val="none"/>
                <w:lang w:val="en-US" w:eastAsia="zh-CN"/>
              </w:rPr>
              <w:t>每标包各</w:t>
            </w:r>
            <w:r>
              <w:rPr>
                <w:rFonts w:hint="eastAsia" w:ascii="宋体" w:hAnsi="宋体" w:cs="宋体"/>
                <w:color w:val="auto"/>
                <w:kern w:val="0"/>
                <w:highlight w:val="none"/>
              </w:rPr>
              <w:t>推荐</w:t>
            </w:r>
            <w:r>
              <w:rPr>
                <w:rFonts w:hint="eastAsia" w:ascii="宋体" w:hAnsi="宋体" w:cs="宋体"/>
                <w:color w:val="auto"/>
                <w:kern w:val="0"/>
                <w:highlight w:val="none"/>
                <w:lang w:val="en-US" w:eastAsia="zh-CN"/>
              </w:rPr>
              <w:t>一</w:t>
            </w:r>
            <w:r>
              <w:rPr>
                <w:rFonts w:hint="eastAsia" w:ascii="宋体" w:hAnsi="宋体" w:cs="宋体"/>
                <w:color w:val="auto"/>
                <w:kern w:val="0"/>
                <w:highlight w:val="none"/>
              </w:rPr>
              <w:t>名</w:t>
            </w:r>
            <w:r>
              <w:rPr>
                <w:rFonts w:hint="eastAsia" w:ascii="宋体" w:hAnsi="宋体" w:cs="宋体"/>
                <w:color w:val="auto"/>
                <w:kern w:val="0"/>
                <w:highlight w:val="none"/>
                <w:lang w:val="en-US" w:eastAsia="zh-CN"/>
              </w:rPr>
              <w:t>或以上</w:t>
            </w:r>
            <w:r>
              <w:rPr>
                <w:rFonts w:hint="eastAsia" w:ascii="宋体" w:hAnsi="宋体" w:cs="宋体"/>
                <w:color w:val="auto"/>
                <w:kern w:val="0"/>
                <w:highlight w:val="none"/>
              </w:rPr>
              <w:t>成交候选人。</w:t>
            </w:r>
            <w:r>
              <w:rPr>
                <w:rFonts w:hint="eastAsia"/>
                <w:color w:val="auto"/>
                <w:szCs w:val="21"/>
                <w:highlight w:val="none"/>
              </w:rPr>
              <w:t>根据符合采购需求、质量和服务且报价最低的原则按顺序排列推荐成交侯选人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tc>
      </w:tr>
    </w:tbl>
    <w:p w14:paraId="387673AA">
      <w:pPr>
        <w:pStyle w:val="7"/>
        <w:rPr>
          <w:rFonts w:ascii="黑体" w:hAnsi="黑体" w:eastAsia="黑体"/>
          <w:color w:val="auto"/>
          <w:sz w:val="28"/>
          <w:szCs w:val="28"/>
          <w:highlight w:val="none"/>
        </w:rPr>
      </w:pPr>
      <w:bookmarkStart w:id="122" w:name="_Toc5"/>
      <w:r>
        <w:rPr>
          <w:rFonts w:hint="eastAsia" w:ascii="黑体" w:hAnsi="黑体" w:eastAsia="黑体"/>
          <w:color w:val="auto"/>
          <w:sz w:val="28"/>
          <w:szCs w:val="28"/>
          <w:highlight w:val="none"/>
        </w:rPr>
        <w:t>1．评审方法</w:t>
      </w:r>
      <w:bookmarkEnd w:id="122"/>
    </w:p>
    <w:p w14:paraId="682EA3FB">
      <w:pPr>
        <w:spacing w:line="360" w:lineRule="auto"/>
        <w:ind w:firstLine="420" w:firstLineChars="200"/>
        <w:rPr>
          <w:rFonts w:hint="eastAsia" w:ascii="宋体" w:hAnsi="宋体" w:cs="宋体"/>
          <w:color w:val="auto"/>
          <w:kern w:val="0"/>
          <w:highlight w:val="none"/>
        </w:rPr>
      </w:pPr>
      <w:r>
        <w:rPr>
          <w:rFonts w:hint="eastAsia" w:ascii="宋体" w:hAnsi="宋体"/>
          <w:color w:val="auto"/>
          <w:szCs w:val="21"/>
          <w:highlight w:val="none"/>
        </w:rPr>
        <w:t>本次评审采用最低评标价法。谈判小组对满足竞争性谈判文件实质性要求的响应文件，</w:t>
      </w:r>
      <w:r>
        <w:rPr>
          <w:rFonts w:hint="eastAsia"/>
          <w:color w:val="auto"/>
          <w:szCs w:val="21"/>
          <w:highlight w:val="none"/>
        </w:rPr>
        <w:t>根据符合采购需求、质量和服务且报价最低的原则按顺序排列推荐成交</w:t>
      </w:r>
      <w:r>
        <w:rPr>
          <w:rFonts w:hint="eastAsia"/>
          <w:color w:val="auto"/>
          <w:szCs w:val="21"/>
          <w:highlight w:val="none"/>
          <w:lang w:eastAsia="zh-CN"/>
        </w:rPr>
        <w:t>候选人</w:t>
      </w:r>
      <w:r>
        <w:rPr>
          <w:rFonts w:hint="eastAsia"/>
          <w:color w:val="auto"/>
          <w:szCs w:val="21"/>
          <w:highlight w:val="none"/>
        </w:rPr>
        <w:t>。</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p w14:paraId="6DE71BD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经</w:t>
      </w:r>
      <w:r>
        <w:rPr>
          <w:rFonts w:hint="eastAsia" w:ascii="宋体" w:hAnsi="宋体"/>
          <w:color w:val="auto"/>
          <w:szCs w:val="21"/>
          <w:highlight w:val="none"/>
          <w:lang w:val="en-US" w:eastAsia="zh-CN"/>
        </w:rPr>
        <w:t>谈判小组</w:t>
      </w:r>
      <w:r>
        <w:rPr>
          <w:rFonts w:hint="eastAsia" w:ascii="宋体" w:hAnsi="宋体"/>
          <w:color w:val="auto"/>
          <w:szCs w:val="21"/>
          <w:highlight w:val="none"/>
        </w:rPr>
        <w:t>资格性、符合性审查确认具有有效</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w:t>
      </w:r>
      <w:r>
        <w:rPr>
          <w:rFonts w:hint="eastAsia" w:ascii="宋体" w:hAnsi="宋体"/>
          <w:color w:val="auto"/>
          <w:szCs w:val="21"/>
          <w:highlight w:val="none"/>
          <w:lang w:val="en-US" w:eastAsia="zh-CN"/>
        </w:rPr>
        <w:t>响应人</w:t>
      </w:r>
      <w:r>
        <w:rPr>
          <w:rFonts w:hint="eastAsia" w:ascii="宋体" w:hAnsi="宋体"/>
          <w:color w:val="auto"/>
          <w:szCs w:val="21"/>
          <w:highlight w:val="none"/>
        </w:rPr>
        <w:t>不足三家时：将重新组织采购</w:t>
      </w:r>
      <w:r>
        <w:rPr>
          <w:rFonts w:hint="eastAsia" w:ascii="宋体" w:hAnsi="宋体"/>
          <w:color w:val="auto"/>
          <w:szCs w:val="21"/>
          <w:highlight w:val="none"/>
          <w:lang w:eastAsia="zh-CN"/>
        </w:rPr>
        <w:t>。</w:t>
      </w:r>
    </w:p>
    <w:p w14:paraId="09D8A534">
      <w:pPr>
        <w:spacing w:line="360" w:lineRule="auto"/>
        <w:ind w:firstLine="420" w:firstLineChars="200"/>
        <w:rPr>
          <w:rFonts w:hint="eastAsia" w:ascii="宋体" w:hAnsi="宋体"/>
          <w:color w:val="auto"/>
          <w:szCs w:val="21"/>
          <w:highlight w:val="none"/>
        </w:rPr>
      </w:pPr>
      <w:r>
        <w:rPr>
          <w:rFonts w:hint="eastAsia" w:ascii="宋体" w:hAnsi="宋体"/>
          <w:b w:val="0"/>
          <w:bCs w:val="0"/>
          <w:color w:val="auto"/>
          <w:szCs w:val="21"/>
          <w:highlight w:val="none"/>
        </w:rPr>
        <w:t>若具有有效</w:t>
      </w:r>
      <w:r>
        <w:rPr>
          <w:rFonts w:hint="eastAsia" w:ascii="宋体" w:hAnsi="宋体"/>
          <w:b w:val="0"/>
          <w:bCs w:val="0"/>
          <w:color w:val="auto"/>
          <w:szCs w:val="21"/>
          <w:highlight w:val="none"/>
          <w:lang w:val="en-US" w:eastAsia="zh-CN"/>
        </w:rPr>
        <w:t>响应</w:t>
      </w:r>
      <w:r>
        <w:rPr>
          <w:rFonts w:hint="eastAsia" w:ascii="宋体" w:hAnsi="宋体"/>
          <w:b w:val="0"/>
          <w:bCs w:val="0"/>
          <w:color w:val="auto"/>
          <w:szCs w:val="21"/>
          <w:highlight w:val="none"/>
        </w:rPr>
        <w:t>文件的</w:t>
      </w:r>
      <w:r>
        <w:rPr>
          <w:rFonts w:hint="eastAsia" w:ascii="宋体" w:hAnsi="宋体"/>
          <w:b w:val="0"/>
          <w:bCs w:val="0"/>
          <w:color w:val="auto"/>
          <w:szCs w:val="21"/>
          <w:highlight w:val="none"/>
          <w:lang w:val="en-US" w:eastAsia="zh-CN"/>
        </w:rPr>
        <w:t>响应</w:t>
      </w:r>
      <w:r>
        <w:rPr>
          <w:rFonts w:hint="eastAsia" w:ascii="宋体" w:hAnsi="宋体"/>
          <w:b w:val="0"/>
          <w:bCs w:val="0"/>
          <w:color w:val="auto"/>
          <w:szCs w:val="21"/>
          <w:highlight w:val="none"/>
        </w:rPr>
        <w:t>人最终报价逾时不交的，视为自动放弃评审资格</w:t>
      </w:r>
      <w:r>
        <w:rPr>
          <w:rFonts w:hint="eastAsia" w:ascii="宋体" w:hAnsi="宋体"/>
          <w:color w:val="auto"/>
          <w:szCs w:val="21"/>
          <w:highlight w:val="none"/>
        </w:rPr>
        <w:t>，</w:t>
      </w:r>
      <w:r>
        <w:rPr>
          <w:rFonts w:hint="eastAsia" w:ascii="宋体" w:hAnsi="宋体"/>
          <w:color w:val="auto"/>
          <w:szCs w:val="21"/>
          <w:highlight w:val="none"/>
          <w:lang w:val="en-US" w:eastAsia="zh-CN"/>
        </w:rPr>
        <w:t>响应</w:t>
      </w:r>
      <w:r>
        <w:rPr>
          <w:rFonts w:hint="eastAsia" w:ascii="宋体" w:hAnsi="宋体"/>
          <w:color w:val="auto"/>
          <w:szCs w:val="21"/>
          <w:highlight w:val="none"/>
        </w:rPr>
        <w:t>文件不予退还。</w:t>
      </w:r>
    </w:p>
    <w:p w14:paraId="72558DF5">
      <w:pPr>
        <w:pStyle w:val="7"/>
        <w:rPr>
          <w:rFonts w:ascii="黑体" w:hAnsi="黑体" w:eastAsia="黑体"/>
          <w:color w:val="auto"/>
          <w:sz w:val="28"/>
          <w:szCs w:val="28"/>
          <w:highlight w:val="none"/>
        </w:rPr>
      </w:pPr>
      <w:bookmarkStart w:id="123" w:name="_Toc27147"/>
      <w:r>
        <w:rPr>
          <w:rFonts w:hint="eastAsia" w:ascii="黑体" w:hAnsi="黑体" w:eastAsia="黑体"/>
          <w:color w:val="auto"/>
          <w:sz w:val="28"/>
          <w:szCs w:val="28"/>
          <w:highlight w:val="none"/>
        </w:rPr>
        <w:t>2．评审标准</w:t>
      </w:r>
      <w:bookmarkEnd w:id="123"/>
    </w:p>
    <w:p w14:paraId="138FA8E0">
      <w:pPr>
        <w:spacing w:line="360" w:lineRule="auto"/>
        <w:ind w:firstLine="420" w:firstLineChars="200"/>
        <w:rPr>
          <w:rFonts w:ascii="宋体" w:hAnsi="宋体"/>
          <w:color w:val="auto"/>
          <w:szCs w:val="21"/>
          <w:highlight w:val="none"/>
        </w:rPr>
      </w:pPr>
      <w:r>
        <w:rPr>
          <w:rFonts w:hint="eastAsia"/>
          <w:color w:val="auto"/>
          <w:highlight w:val="none"/>
        </w:rPr>
        <w:t>评审标准：</w:t>
      </w:r>
      <w:r>
        <w:rPr>
          <w:rFonts w:hint="eastAsia" w:ascii="宋体" w:hAnsi="宋体"/>
          <w:color w:val="auto"/>
          <w:szCs w:val="21"/>
          <w:highlight w:val="none"/>
        </w:rPr>
        <w:t>见评审办法前附表。</w:t>
      </w:r>
    </w:p>
    <w:p w14:paraId="3E781717">
      <w:pPr>
        <w:pStyle w:val="7"/>
        <w:rPr>
          <w:rFonts w:ascii="黑体" w:hAnsi="黑体" w:eastAsia="黑体"/>
          <w:color w:val="auto"/>
          <w:sz w:val="28"/>
          <w:szCs w:val="28"/>
          <w:highlight w:val="none"/>
        </w:rPr>
      </w:pPr>
      <w:bookmarkStart w:id="124" w:name="_Toc9990"/>
      <w:r>
        <w:rPr>
          <w:rFonts w:hint="eastAsia" w:ascii="黑体" w:hAnsi="黑体" w:eastAsia="黑体"/>
          <w:color w:val="auto"/>
          <w:sz w:val="28"/>
          <w:szCs w:val="28"/>
          <w:highlight w:val="none"/>
        </w:rPr>
        <w:t>3．评审程序</w:t>
      </w:r>
      <w:bookmarkEnd w:id="124"/>
    </w:p>
    <w:p w14:paraId="16C64735">
      <w:pPr>
        <w:pStyle w:val="8"/>
        <w:rPr>
          <w:color w:val="auto"/>
          <w:highlight w:val="none"/>
        </w:rPr>
      </w:pPr>
      <w:r>
        <w:rPr>
          <w:rFonts w:hint="eastAsia"/>
          <w:color w:val="auto"/>
          <w:highlight w:val="none"/>
        </w:rPr>
        <w:t>3.1 初步评审</w:t>
      </w:r>
    </w:p>
    <w:p w14:paraId="3D93FFA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3.1.1</w:t>
      </w:r>
      <w:r>
        <w:rPr>
          <w:rFonts w:hint="eastAsia" w:ascii="宋体" w:hAnsi="宋体"/>
          <w:color w:val="auto"/>
          <w:szCs w:val="21"/>
          <w:highlight w:val="none"/>
        </w:rPr>
        <w:t>谈判小组根据评审办法前附表规定的标准对响应文件进行评审。有一项不符合评审标准的，</w:t>
      </w:r>
      <w:r>
        <w:rPr>
          <w:rFonts w:hint="eastAsia"/>
          <w:color w:val="auto"/>
          <w:highlight w:val="none"/>
        </w:rPr>
        <w:t>谈判小组应当否决其竞争性谈判。</w:t>
      </w:r>
      <w:r>
        <w:rPr>
          <w:rFonts w:hint="eastAsia" w:ascii="宋体" w:hAnsi="宋体"/>
          <w:b/>
          <w:color w:val="auto"/>
          <w:szCs w:val="21"/>
          <w:highlight w:val="none"/>
        </w:rPr>
        <w:t xml:space="preserve"> </w:t>
      </w:r>
    </w:p>
    <w:p w14:paraId="5DB17FCE">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3.1.2</w:t>
      </w:r>
      <w:r>
        <w:rPr>
          <w:rFonts w:hint="eastAsia" w:ascii="宋体" w:hAnsi="宋体"/>
          <w:color w:val="auto"/>
          <w:szCs w:val="21"/>
          <w:highlight w:val="none"/>
        </w:rPr>
        <w:t xml:space="preserve">谈判小组可以要求响应人对响应文件中含义不明确、对同类问题表述不一致或者有明显文字、计算错误的内容做必要的澄清、说明、修正或补充。澄清、说明、修正或补充应当采用书面形式，并不得超出响应文件的范围或者改变响应文件的实质内容。响应文件不响应竞争性谈判文件的实质性要求和条件的，不允许响应人通过澄清等方式使之成为具有响应性的竞争性谈判。 </w:t>
      </w:r>
    </w:p>
    <w:p w14:paraId="39A78263">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3.1.3</w:t>
      </w:r>
      <w:r>
        <w:rPr>
          <w:rFonts w:hint="eastAsia" w:ascii="宋体" w:hAnsi="宋体"/>
          <w:color w:val="auto"/>
          <w:szCs w:val="21"/>
          <w:highlight w:val="none"/>
        </w:rPr>
        <w:t>谈判小组不得向响应人提出带有暗示性或诱导性的问题或向其明确响应文件中的遗漏和错误，不得接受响应人主动提出的澄清、说明、修正和补充。</w:t>
      </w:r>
    </w:p>
    <w:p w14:paraId="20003F5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w:t>
      </w:r>
      <w:r>
        <w:rPr>
          <w:rFonts w:ascii="宋体" w:hAnsi="宋体"/>
          <w:b/>
          <w:color w:val="auto"/>
          <w:szCs w:val="21"/>
          <w:highlight w:val="none"/>
        </w:rPr>
        <w:t>4</w:t>
      </w:r>
      <w:r>
        <w:rPr>
          <w:rFonts w:hint="eastAsia" w:ascii="宋体" w:hAnsi="宋体"/>
          <w:b/>
          <w:color w:val="auto"/>
          <w:szCs w:val="21"/>
          <w:highlight w:val="none"/>
        </w:rPr>
        <w:t xml:space="preserve"> 响应人有以下情形之一的，</w:t>
      </w:r>
      <w:r>
        <w:rPr>
          <w:rFonts w:hint="eastAsia"/>
          <w:b/>
          <w:color w:val="auto"/>
          <w:highlight w:val="none"/>
        </w:rPr>
        <w:t>谈判小组应当否决其竞争性谈判</w:t>
      </w:r>
      <w:r>
        <w:rPr>
          <w:rFonts w:hint="eastAsia" w:ascii="宋体" w:hAnsi="宋体"/>
          <w:b/>
          <w:color w:val="auto"/>
          <w:szCs w:val="21"/>
          <w:highlight w:val="none"/>
        </w:rPr>
        <w:t>：</w:t>
      </w:r>
    </w:p>
    <w:p w14:paraId="58F16560">
      <w:pPr>
        <w:widowControl/>
        <w:numPr>
          <w:ilvl w:val="0"/>
          <w:numId w:val="8"/>
        </w:numPr>
        <w:spacing w:after="109" w:line="259" w:lineRule="auto"/>
        <w:jc w:val="left"/>
        <w:rPr>
          <w:b/>
          <w:color w:val="auto"/>
          <w:highlight w:val="none"/>
        </w:rPr>
      </w:pPr>
      <w:r>
        <w:rPr>
          <w:b/>
          <w:color w:val="auto"/>
          <w:highlight w:val="none"/>
        </w:rPr>
        <w:t>响应文件中无法定代表人</w:t>
      </w:r>
      <w:r>
        <w:rPr>
          <w:rFonts w:hint="eastAsia"/>
          <w:b/>
          <w:color w:val="auto"/>
          <w:highlight w:val="none"/>
        </w:rPr>
        <w:t>证明书及其</w:t>
      </w:r>
      <w:r>
        <w:rPr>
          <w:b/>
          <w:color w:val="auto"/>
          <w:highlight w:val="none"/>
        </w:rPr>
        <w:t xml:space="preserve">出具的授权委托书的； </w:t>
      </w:r>
    </w:p>
    <w:p w14:paraId="0151BEF7">
      <w:pPr>
        <w:widowControl/>
        <w:numPr>
          <w:ilvl w:val="0"/>
          <w:numId w:val="8"/>
        </w:numPr>
        <w:spacing w:after="109" w:line="259" w:lineRule="auto"/>
        <w:jc w:val="left"/>
        <w:rPr>
          <w:b/>
          <w:color w:val="auto"/>
          <w:highlight w:val="none"/>
        </w:rPr>
      </w:pPr>
      <w:r>
        <w:rPr>
          <w:rFonts w:hint="eastAsia"/>
          <w:b/>
          <w:color w:val="auto"/>
          <w:highlight w:val="none"/>
        </w:rPr>
        <w:t>未按竞争性谈判文件规定加盖公章和签署；</w:t>
      </w:r>
    </w:p>
    <w:p w14:paraId="3E1820D4">
      <w:pPr>
        <w:widowControl/>
        <w:numPr>
          <w:ilvl w:val="0"/>
          <w:numId w:val="8"/>
        </w:numPr>
        <w:spacing w:after="109" w:line="259" w:lineRule="auto"/>
        <w:jc w:val="left"/>
        <w:rPr>
          <w:b/>
          <w:color w:val="auto"/>
          <w:highlight w:val="none"/>
        </w:rPr>
      </w:pPr>
      <w:r>
        <w:rPr>
          <w:b/>
          <w:color w:val="auto"/>
          <w:highlight w:val="none"/>
        </w:rPr>
        <w:t>响应人提交两份以上不同内容的响应文件，或在一份响应文件中有两个或多个报价，且未声明哪一个为最终报价的，但按竞争性谈判文件规定提交备选竞争性谈判方案的除外；</w:t>
      </w:r>
    </w:p>
    <w:p w14:paraId="76456965">
      <w:pPr>
        <w:widowControl/>
        <w:numPr>
          <w:ilvl w:val="0"/>
          <w:numId w:val="8"/>
        </w:numPr>
        <w:spacing w:after="109" w:line="259" w:lineRule="auto"/>
        <w:jc w:val="left"/>
        <w:rPr>
          <w:b/>
          <w:color w:val="auto"/>
          <w:highlight w:val="none"/>
        </w:rPr>
      </w:pPr>
      <w:r>
        <w:rPr>
          <w:b/>
          <w:color w:val="auto"/>
          <w:highlight w:val="none"/>
        </w:rPr>
        <w:t xml:space="preserve">响应人以他人名义竞争性谈判或者响应人经资格审查不符合资格条件的； </w:t>
      </w:r>
    </w:p>
    <w:p w14:paraId="31249C6C">
      <w:pPr>
        <w:widowControl/>
        <w:numPr>
          <w:ilvl w:val="0"/>
          <w:numId w:val="8"/>
        </w:numPr>
        <w:spacing w:after="109" w:line="259" w:lineRule="auto"/>
        <w:jc w:val="left"/>
        <w:rPr>
          <w:b/>
          <w:color w:val="auto"/>
          <w:highlight w:val="none"/>
        </w:rPr>
      </w:pPr>
      <w:r>
        <w:rPr>
          <w:rFonts w:hint="eastAsia"/>
          <w:b/>
          <w:color w:val="auto"/>
          <w:highlight w:val="none"/>
        </w:rPr>
        <w:t>未按要求提交竞争性谈判保证金或提交的竞争性谈判保证金不足的；</w:t>
      </w:r>
    </w:p>
    <w:p w14:paraId="2642AC12">
      <w:pPr>
        <w:widowControl/>
        <w:numPr>
          <w:ilvl w:val="0"/>
          <w:numId w:val="8"/>
        </w:numPr>
        <w:spacing w:after="109" w:line="259" w:lineRule="auto"/>
        <w:jc w:val="left"/>
        <w:rPr>
          <w:b/>
          <w:color w:val="auto"/>
          <w:highlight w:val="none"/>
        </w:rPr>
      </w:pPr>
      <w:r>
        <w:rPr>
          <w:b/>
          <w:color w:val="auto"/>
          <w:highlight w:val="none"/>
        </w:rPr>
        <w:t>竞争性谈判有效期不满足竞争性谈判文件要求的；</w:t>
      </w:r>
    </w:p>
    <w:p w14:paraId="2BB91E7F">
      <w:pPr>
        <w:widowControl/>
        <w:numPr>
          <w:ilvl w:val="0"/>
          <w:numId w:val="8"/>
        </w:numPr>
        <w:spacing w:after="109" w:line="259" w:lineRule="auto"/>
        <w:jc w:val="left"/>
        <w:rPr>
          <w:b/>
          <w:color w:val="auto"/>
          <w:highlight w:val="none"/>
        </w:rPr>
      </w:pPr>
      <w:r>
        <w:rPr>
          <w:b/>
          <w:color w:val="auto"/>
          <w:highlight w:val="none"/>
        </w:rPr>
        <w:t xml:space="preserve">竞争性谈判报价低于成本价，且响应人不能按谈判小组要求对其报价进行合理说明或提供相关证明材料的； </w:t>
      </w:r>
    </w:p>
    <w:p w14:paraId="09D5D636">
      <w:pPr>
        <w:widowControl/>
        <w:numPr>
          <w:ilvl w:val="0"/>
          <w:numId w:val="8"/>
        </w:numPr>
        <w:spacing w:after="109" w:line="259" w:lineRule="auto"/>
        <w:jc w:val="left"/>
        <w:rPr>
          <w:b/>
          <w:color w:val="auto"/>
          <w:highlight w:val="none"/>
        </w:rPr>
      </w:pPr>
      <w:r>
        <w:rPr>
          <w:b/>
          <w:color w:val="auto"/>
          <w:highlight w:val="none"/>
        </w:rPr>
        <w:t>竞争性谈判报价高于竞争性谈判文件设定的最高限价的；</w:t>
      </w:r>
    </w:p>
    <w:p w14:paraId="49929B01">
      <w:pPr>
        <w:widowControl/>
        <w:numPr>
          <w:ilvl w:val="0"/>
          <w:numId w:val="8"/>
        </w:numPr>
        <w:spacing w:after="109" w:line="259" w:lineRule="auto"/>
        <w:jc w:val="left"/>
        <w:rPr>
          <w:b/>
          <w:color w:val="auto"/>
          <w:highlight w:val="none"/>
        </w:rPr>
      </w:pPr>
      <w:r>
        <w:rPr>
          <w:b/>
          <w:color w:val="auto"/>
          <w:highlight w:val="none"/>
        </w:rPr>
        <w:t>响应文件未能对竞争性谈判文件中提出的实质性要求和条件做出实质性响应的；</w:t>
      </w:r>
    </w:p>
    <w:p w14:paraId="796FFEDA">
      <w:pPr>
        <w:widowControl/>
        <w:numPr>
          <w:ilvl w:val="0"/>
          <w:numId w:val="8"/>
        </w:numPr>
        <w:spacing w:after="109" w:line="259" w:lineRule="auto"/>
        <w:jc w:val="left"/>
        <w:rPr>
          <w:b/>
          <w:color w:val="auto"/>
          <w:highlight w:val="none"/>
        </w:rPr>
      </w:pPr>
      <w:r>
        <w:rPr>
          <w:b/>
          <w:color w:val="auto"/>
          <w:highlight w:val="none"/>
        </w:rPr>
        <w:t xml:space="preserve">响应人有串通竞争性谈判、弄虚作假、行贿等违法行为的； </w:t>
      </w:r>
    </w:p>
    <w:p w14:paraId="0406F342">
      <w:pPr>
        <w:widowControl/>
        <w:numPr>
          <w:ilvl w:val="0"/>
          <w:numId w:val="8"/>
        </w:numPr>
        <w:spacing w:after="109" w:line="259" w:lineRule="auto"/>
        <w:jc w:val="left"/>
        <w:rPr>
          <w:b/>
          <w:color w:val="auto"/>
          <w:highlight w:val="none"/>
        </w:rPr>
      </w:pPr>
      <w:r>
        <w:rPr>
          <w:rFonts w:hint="eastAsia"/>
          <w:b/>
          <w:color w:val="auto"/>
          <w:highlight w:val="none"/>
        </w:rPr>
        <w:t>不按谈判小组要求澄清、说明或补正；</w:t>
      </w:r>
    </w:p>
    <w:p w14:paraId="1E42D544">
      <w:pPr>
        <w:widowControl/>
        <w:numPr>
          <w:ilvl w:val="0"/>
          <w:numId w:val="8"/>
        </w:numPr>
        <w:spacing w:after="109" w:line="259" w:lineRule="auto"/>
        <w:jc w:val="left"/>
        <w:rPr>
          <w:b/>
          <w:color w:val="auto"/>
          <w:highlight w:val="none"/>
        </w:rPr>
      </w:pPr>
      <w:r>
        <w:rPr>
          <w:b/>
          <w:color w:val="auto"/>
          <w:highlight w:val="none"/>
        </w:rPr>
        <w:t xml:space="preserve">竞争性谈判文件明确规定可以否决竞争性谈判的其他情形。 </w:t>
      </w:r>
    </w:p>
    <w:p w14:paraId="2BC8E3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5</w:t>
      </w:r>
      <w:r>
        <w:rPr>
          <w:rFonts w:hint="eastAsia" w:ascii="宋体" w:hAnsi="宋体"/>
          <w:color w:val="auto"/>
          <w:szCs w:val="21"/>
          <w:highlight w:val="none"/>
        </w:rPr>
        <w:t>评审过程中，谈判小组收到低于成本价竞争性谈判的书面质疑材料、发现响应人的综合报价明显低于其他竞争性谈判报价或者设有标底时明显低于标底，认为竞争性谈判报价可能低于成本的，应当书面要求该响应人作出书面说明并提供相关证明材料。响应人不能合理说明或者不能提供相应证明材料的，由谈判小组认定该响应人以低于成本报价竞标，</w:t>
      </w:r>
      <w:r>
        <w:rPr>
          <w:rFonts w:hint="eastAsia"/>
          <w:color w:val="auto"/>
          <w:szCs w:val="21"/>
          <w:highlight w:val="none"/>
        </w:rPr>
        <w:t>谈判小组应当否决其竞争性谈判</w:t>
      </w:r>
      <w:r>
        <w:rPr>
          <w:rFonts w:hint="eastAsia" w:ascii="宋体" w:hAnsi="宋体"/>
          <w:color w:val="auto"/>
          <w:szCs w:val="21"/>
          <w:highlight w:val="none"/>
        </w:rPr>
        <w:t>。</w:t>
      </w:r>
    </w:p>
    <w:p w14:paraId="79340B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6</w:t>
      </w:r>
      <w:r>
        <w:rPr>
          <w:rFonts w:hint="eastAsia" w:ascii="宋体" w:hAnsi="宋体"/>
          <w:color w:val="auto"/>
          <w:szCs w:val="21"/>
          <w:highlight w:val="none"/>
        </w:rPr>
        <w:t xml:space="preserve"> 竞争性谈判报价有算术错误的，谈判小组按照以下原则对竞争性谈判报价进行修正，修正的价格经响应人书面确认后具有约束力。响应人不接受修正价格的，</w:t>
      </w:r>
      <w:r>
        <w:rPr>
          <w:rFonts w:hint="eastAsia"/>
          <w:color w:val="auto"/>
          <w:szCs w:val="21"/>
          <w:highlight w:val="none"/>
        </w:rPr>
        <w:t>谈判小组应当否决其竞争性谈判</w:t>
      </w:r>
      <w:r>
        <w:rPr>
          <w:rFonts w:hint="eastAsia" w:ascii="宋体" w:hAnsi="宋体"/>
          <w:color w:val="auto"/>
          <w:szCs w:val="21"/>
          <w:highlight w:val="none"/>
        </w:rPr>
        <w:t>。如有补充其他价格修正方式，详见竞争性谈判须知前附表。</w:t>
      </w:r>
    </w:p>
    <w:p w14:paraId="508208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(1）响应文件中的大写金额与小写金额不一致的，以大写金额为准；</w:t>
      </w:r>
    </w:p>
    <w:p w14:paraId="3D6CFE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(2）总价金额与根据单价计算出的结果不一致的，以单价金额为准修正总价，但单价金额小数点有明显错误的除外。</w:t>
      </w:r>
    </w:p>
    <w:p w14:paraId="1321B59A">
      <w:pPr>
        <w:widowControl/>
        <w:tabs>
          <w:tab w:val="left" w:pos="540"/>
        </w:tabs>
        <w:spacing w:line="520" w:lineRule="exact"/>
        <w:jc w:val="left"/>
        <w:rPr>
          <w:rFonts w:ascii="宋体" w:hAnsi="宋体" w:cs="Courier New"/>
          <w:b/>
          <w:color w:val="auto"/>
          <w:sz w:val="28"/>
          <w:szCs w:val="28"/>
          <w:highlight w:val="none"/>
        </w:rPr>
      </w:pPr>
      <w:r>
        <w:rPr>
          <w:rFonts w:hint="eastAsia" w:ascii="宋体" w:hAnsi="宋体" w:cs="Courier New"/>
          <w:b/>
          <w:color w:val="auto"/>
          <w:sz w:val="28"/>
          <w:szCs w:val="28"/>
          <w:highlight w:val="none"/>
        </w:rPr>
        <w:t>3.2 谈判</w:t>
      </w:r>
    </w:p>
    <w:p w14:paraId="6E3A8D6C">
      <w:pPr>
        <w:pStyle w:val="22"/>
        <w:spacing w:line="5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3.2.1确定谈判顺序</w:t>
      </w:r>
    </w:p>
    <w:p w14:paraId="5110BA7E">
      <w:pPr>
        <w:pStyle w:val="22"/>
        <w:spacing w:line="5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谈判小组应当通过随机方式确定参加谈判的响应人的谈判顺序。</w:t>
      </w:r>
    </w:p>
    <w:p w14:paraId="1E1DCFD9">
      <w:pPr>
        <w:pStyle w:val="22"/>
        <w:spacing w:line="5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3.2.2比较与评价</w:t>
      </w:r>
    </w:p>
    <w:p w14:paraId="4CC8ABFA">
      <w:pPr>
        <w:pStyle w:val="22"/>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谈判小组对实质性响应文件从商务、技术参数与规格型号、性能与质量、功能或整体方案、售后服务、响应人和制造商资信、相关业绩、执行合同能力等方面进行全面比较与评价。</w:t>
      </w:r>
    </w:p>
    <w:p w14:paraId="2DD9C807">
      <w:pPr>
        <w:pStyle w:val="22"/>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所有谈判小组成员集体与每位实质性响应的响应人分别进行单独谈判，在谈判中，谈判的任何一方不得透露与谈判有关的其他响应人的技术资料、价格和其他信息。</w:t>
      </w:r>
      <w:r>
        <w:rPr>
          <w:rFonts w:hint="eastAsia" w:ascii="宋体" w:hAnsi="宋体" w:cs="宋体"/>
          <w:color w:val="auto"/>
          <w:kern w:val="0"/>
          <w:szCs w:val="21"/>
          <w:highlight w:val="none"/>
        </w:rPr>
        <w:t>谈判小组所有成员集中与响应人分别进行一轮或多轮谈判。</w:t>
      </w:r>
    </w:p>
    <w:p w14:paraId="46EF6850">
      <w:pPr>
        <w:pStyle w:val="8"/>
        <w:rPr>
          <w:rFonts w:ascii="宋体" w:hAnsi="宋体"/>
          <w:color w:val="auto"/>
          <w:highlight w:val="none"/>
        </w:rPr>
      </w:pPr>
      <w:r>
        <w:rPr>
          <w:rFonts w:hint="eastAsia" w:ascii="宋体" w:hAnsi="宋体"/>
          <w:color w:val="auto"/>
          <w:highlight w:val="none"/>
        </w:rPr>
        <w:t>3.3最终报价</w:t>
      </w:r>
    </w:p>
    <w:p w14:paraId="4E51B1BB">
      <w:pPr>
        <w:widowControl/>
        <w:tabs>
          <w:tab w:val="left" w:pos="540"/>
        </w:tabs>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竞争性谈判报价原则上不少于两轮报价（含唱标报价），谈判小组应要求所有参加最后一轮谈判的供应商在规定的统一截止时间前提交最终密封报价（最终报价时间视谈判进程由谈判小组决定）。原则上最后一轮报价应进行公开唱标。</w:t>
      </w:r>
    </w:p>
    <w:p w14:paraId="3AD223CB">
      <w:pPr>
        <w:widowControl/>
        <w:tabs>
          <w:tab w:val="left" w:pos="540"/>
        </w:tabs>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除非在谈判中谈判小组调整或修改采购需求内容，否则采购方不接受高于前面轮次谈判报价的最终报价。</w:t>
      </w:r>
    </w:p>
    <w:p w14:paraId="0CF33396">
      <w:pPr>
        <w:widowControl/>
        <w:spacing w:line="52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响应人最终报价逾时不交的，可视为自动放弃评审资格。</w:t>
      </w:r>
    </w:p>
    <w:p w14:paraId="1EAA2DAE">
      <w:pPr>
        <w:widowControl/>
        <w:tabs>
          <w:tab w:val="left" w:pos="540"/>
        </w:tabs>
        <w:spacing w:line="520" w:lineRule="exact"/>
        <w:jc w:val="left"/>
        <w:rPr>
          <w:rFonts w:ascii="宋体" w:hAnsi="宋体"/>
          <w:b/>
          <w:color w:val="auto"/>
          <w:sz w:val="28"/>
          <w:szCs w:val="28"/>
          <w:highlight w:val="none"/>
        </w:rPr>
      </w:pPr>
      <w:r>
        <w:rPr>
          <w:rFonts w:hint="eastAsia" w:ascii="宋体" w:hAnsi="宋体" w:cs="Courier New"/>
          <w:b/>
          <w:color w:val="auto"/>
          <w:sz w:val="28"/>
          <w:szCs w:val="28"/>
          <w:highlight w:val="none"/>
        </w:rPr>
        <w:t>3.4</w:t>
      </w:r>
      <w:r>
        <w:rPr>
          <w:rFonts w:hint="eastAsia" w:ascii="宋体" w:hAnsi="宋体"/>
          <w:b/>
          <w:color w:val="auto"/>
          <w:sz w:val="28"/>
          <w:szCs w:val="28"/>
          <w:highlight w:val="none"/>
        </w:rPr>
        <w:t>推荐成交候选人</w:t>
      </w:r>
    </w:p>
    <w:p w14:paraId="0A0D80FB">
      <w:pPr>
        <w:spacing w:line="520" w:lineRule="exact"/>
        <w:ind w:firstLine="420" w:firstLineChars="200"/>
        <w:rPr>
          <w:rFonts w:hint="eastAsia" w:ascii="宋体" w:hAnsi="宋体" w:cs="宋体"/>
          <w:color w:val="auto"/>
          <w:kern w:val="0"/>
          <w:highlight w:val="none"/>
          <w:lang w:eastAsia="zh-CN"/>
        </w:rPr>
      </w:pPr>
      <w:r>
        <w:rPr>
          <w:rFonts w:hint="eastAsia" w:ascii="宋体" w:hAnsi="宋体" w:cs="Courier New"/>
          <w:color w:val="auto"/>
          <w:szCs w:val="21"/>
          <w:highlight w:val="none"/>
        </w:rPr>
        <w:t>竞争性谈判以响应人最后一轮谈判的报价及承诺作为谈判小组向采购人推荐成交候选人的依据，谈判小组应当根据符合采购需求、质量和服务相等且报价最低的原则按顺序排列推荐成交</w:t>
      </w:r>
      <w:r>
        <w:rPr>
          <w:rFonts w:hint="eastAsia" w:ascii="宋体" w:hAnsi="宋体" w:cs="Courier New"/>
          <w:color w:val="auto"/>
          <w:szCs w:val="21"/>
          <w:highlight w:val="none"/>
          <w:lang w:eastAsia="zh-CN"/>
        </w:rPr>
        <w:t>候选</w:t>
      </w:r>
      <w:r>
        <w:rPr>
          <w:rFonts w:hint="eastAsia" w:ascii="宋体" w:hAnsi="宋体" w:cs="Courier New"/>
          <w:color w:val="auto"/>
          <w:szCs w:val="21"/>
          <w:highlight w:val="none"/>
        </w:rPr>
        <w:t>响应人。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若出现次低报价相同影响评审结果的，同样按上述程序执行。</w:t>
      </w:r>
      <w:r>
        <w:rPr>
          <w:rFonts w:hint="eastAsia" w:ascii="宋体" w:hAnsi="宋体" w:cs="宋体"/>
          <w:color w:val="auto"/>
          <w:kern w:val="0"/>
          <w:highlight w:val="none"/>
          <w:lang w:eastAsia="zh-CN"/>
        </w:rPr>
        <w:t>）</w:t>
      </w:r>
    </w:p>
    <w:p w14:paraId="0EEB9DF2">
      <w:pPr>
        <w:spacing w:line="52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谈判小组推荐非报价最低的谈判响应人为成交响应人的，须附书面报告说明理由且由谈判小组全体成员签字确认。</w:t>
      </w:r>
    </w:p>
    <w:p w14:paraId="4EBF0679">
      <w:pPr>
        <w:spacing w:line="52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在推荐确定成交候选人之前，谈判小组认为，排在前面的成交候选人的最终报价或者某些分项报价明显不合理或者低于成本，有可能影响商品质量和不能诚信履约的，应当要求其在规定的期限内提供书面文件予以说明理由，并提交相关证明材料。否则，谈判小组可以取消该响应人的成交候</w:t>
      </w:r>
      <w:r>
        <w:rPr>
          <w:rFonts w:hint="eastAsia" w:ascii="宋体" w:hAnsi="宋体" w:cs="Courier New"/>
          <w:color w:val="auto"/>
          <w:szCs w:val="21"/>
          <w:highlight w:val="none"/>
          <w:lang w:eastAsia="zh-CN"/>
        </w:rPr>
        <w:t>选人</w:t>
      </w:r>
      <w:r>
        <w:rPr>
          <w:rFonts w:hint="eastAsia" w:ascii="宋体" w:hAnsi="宋体" w:cs="Courier New"/>
          <w:color w:val="auto"/>
          <w:szCs w:val="21"/>
          <w:highlight w:val="none"/>
        </w:rPr>
        <w:t>资格，按顺序由排在其次的成交候选人递补，以此类推。</w:t>
      </w:r>
    </w:p>
    <w:p w14:paraId="470F27A1">
      <w:pPr>
        <w:widowControl/>
        <w:tabs>
          <w:tab w:val="left" w:pos="540"/>
        </w:tabs>
        <w:spacing w:line="520" w:lineRule="exact"/>
        <w:jc w:val="left"/>
        <w:rPr>
          <w:rFonts w:ascii="宋体" w:hAnsi="宋体"/>
          <w:b/>
          <w:color w:val="auto"/>
          <w:sz w:val="28"/>
          <w:szCs w:val="28"/>
          <w:highlight w:val="none"/>
        </w:rPr>
      </w:pPr>
      <w:r>
        <w:rPr>
          <w:rFonts w:hint="eastAsia" w:ascii="宋体" w:hAnsi="宋体"/>
          <w:b/>
          <w:color w:val="auto"/>
          <w:sz w:val="28"/>
          <w:szCs w:val="28"/>
          <w:highlight w:val="none"/>
        </w:rPr>
        <w:t>3.5编写评审报告</w:t>
      </w:r>
    </w:p>
    <w:p w14:paraId="1A786DBB">
      <w:pPr>
        <w:spacing w:line="520" w:lineRule="exact"/>
        <w:ind w:firstLine="570"/>
        <w:rPr>
          <w:rFonts w:ascii="宋体" w:hAnsi="宋体"/>
          <w:color w:val="auto"/>
          <w:szCs w:val="21"/>
          <w:highlight w:val="none"/>
        </w:rPr>
      </w:pPr>
      <w:r>
        <w:rPr>
          <w:rFonts w:hint="eastAsia" w:ascii="宋体" w:hAnsi="宋体"/>
          <w:color w:val="auto"/>
          <w:szCs w:val="21"/>
          <w:highlight w:val="none"/>
        </w:rPr>
        <w:t>竞争性谈判工作结束后，谈判小组根据全体成员签字的原始记录和结果编写评审报告。评审报告内容主要包括：(1)项目基本情况；(2)竞争性谈判过程介绍；(3)谈判小组构成；(4)谈判评审情况说明（包括详细评审评分、无效响应人名单及原因）；(5)响应人最终报价情况；(6)推荐成交候选人建议等。</w:t>
      </w:r>
    </w:p>
    <w:p w14:paraId="4719CF31">
      <w:pPr>
        <w:widowControl/>
        <w:jc w:val="left"/>
        <w:rPr>
          <w:color w:val="auto"/>
          <w:sz w:val="28"/>
          <w:szCs w:val="28"/>
          <w:highlight w:val="none"/>
        </w:rPr>
        <w:sectPr>
          <w:pgSz w:w="11906" w:h="16838"/>
          <w:pgMar w:top="1440" w:right="1800" w:bottom="1440" w:left="1800" w:header="851" w:footer="992" w:gutter="0"/>
          <w:cols w:space="720" w:num="1"/>
          <w:docGrid w:type="lines" w:linePitch="312" w:charSpace="0"/>
        </w:sectPr>
      </w:pPr>
      <w:r>
        <w:rPr>
          <w:rFonts w:ascii="宋体" w:hAnsi="宋体"/>
          <w:color w:val="auto"/>
          <w:szCs w:val="21"/>
          <w:highlight w:val="none"/>
        </w:rPr>
        <w:br w:type="page"/>
      </w:r>
      <w:bookmarkEnd w:id="110"/>
      <w:bookmarkEnd w:id="111"/>
      <w:bookmarkEnd w:id="112"/>
      <w:bookmarkEnd w:id="113"/>
      <w:bookmarkEnd w:id="114"/>
      <w:bookmarkEnd w:id="115"/>
      <w:bookmarkEnd w:id="116"/>
      <w:bookmarkEnd w:id="117"/>
      <w:bookmarkEnd w:id="121"/>
      <w:bookmarkStart w:id="125" w:name="_Toc456551944"/>
    </w:p>
    <w:bookmarkEnd w:id="125"/>
    <w:p w14:paraId="3E0C0605">
      <w:pPr>
        <w:pStyle w:val="5"/>
        <w:keepNext/>
        <w:keepLines/>
        <w:pageBreakBefore w:val="0"/>
        <w:widowControl w:val="0"/>
        <w:kinsoku/>
        <w:wordWrap/>
        <w:overflowPunct/>
        <w:topLinePunct w:val="0"/>
        <w:autoSpaceDE/>
        <w:autoSpaceDN/>
        <w:bidi w:val="0"/>
        <w:adjustRightInd/>
        <w:snapToGrid/>
        <w:spacing w:before="0"/>
        <w:jc w:val="center"/>
        <w:textAlignment w:val="auto"/>
        <w:rPr>
          <w:rFonts w:ascii="宋体" w:hAnsi="宋体"/>
          <w:color w:val="auto"/>
          <w:sz w:val="28"/>
          <w:szCs w:val="28"/>
          <w:highlight w:val="none"/>
        </w:rPr>
      </w:pPr>
      <w:bookmarkStart w:id="126" w:name="_3._其他说明_4."/>
      <w:bookmarkEnd w:id="126"/>
      <w:bookmarkStart w:id="127" w:name="_Toc246996353"/>
      <w:bookmarkStart w:id="128" w:name="_Toc179632804"/>
      <w:bookmarkStart w:id="129" w:name="_Toc247085870"/>
      <w:bookmarkStart w:id="130" w:name="_Toc246997096"/>
      <w:bookmarkStart w:id="131" w:name="_Toc338661803"/>
      <w:bookmarkStart w:id="132" w:name="_Toc456552075"/>
      <w:bookmarkStart w:id="133" w:name="_Toc5985"/>
      <w:r>
        <w:rPr>
          <w:rFonts w:hint="eastAsia" w:ascii="宋体" w:hAnsi="宋体"/>
          <w:color w:val="auto"/>
          <w:sz w:val="28"/>
          <w:szCs w:val="28"/>
          <w:highlight w:val="none"/>
        </w:rPr>
        <w:t xml:space="preserve">第四章 </w:t>
      </w:r>
      <w:bookmarkEnd w:id="127"/>
      <w:bookmarkEnd w:id="128"/>
      <w:bookmarkEnd w:id="129"/>
      <w:bookmarkEnd w:id="130"/>
      <w:bookmarkEnd w:id="131"/>
      <w:bookmarkEnd w:id="132"/>
      <w:r>
        <w:rPr>
          <w:rFonts w:hint="eastAsia" w:ascii="宋体" w:hAnsi="宋体"/>
          <w:color w:val="auto"/>
          <w:sz w:val="28"/>
          <w:szCs w:val="28"/>
          <w:highlight w:val="none"/>
        </w:rPr>
        <w:t>用户需求书</w:t>
      </w:r>
      <w:bookmarkEnd w:id="133"/>
    </w:p>
    <w:p w14:paraId="5C50B4AE">
      <w:pPr>
        <w:spacing w:before="0" w:after="0" w:line="360" w:lineRule="auto"/>
        <w:jc w:val="left"/>
        <w:outlineLvl w:val="9"/>
        <w:rPr>
          <w:rFonts w:hint="eastAsia" w:ascii="宋体" w:hAnsi="宋体" w:eastAsia="宋体"/>
          <w:b/>
          <w:bCs/>
          <w:color w:val="auto"/>
          <w:sz w:val="28"/>
          <w:szCs w:val="28"/>
          <w:highlight w:val="none"/>
          <w:lang w:eastAsia="zh-CN"/>
        </w:rPr>
      </w:pPr>
      <w:bookmarkStart w:id="134" w:name="_Toc23727"/>
      <w:bookmarkStart w:id="135" w:name="_Toc4409"/>
      <w:bookmarkStart w:id="136" w:name="_Toc1593"/>
      <w:r>
        <w:rPr>
          <w:rFonts w:hint="eastAsia" w:ascii="宋体" w:hAnsi="宋体"/>
          <w:b/>
          <w:bCs/>
          <w:color w:val="auto"/>
          <w:sz w:val="28"/>
          <w:szCs w:val="28"/>
          <w:highlight w:val="none"/>
          <w:lang w:val="en-US" w:eastAsia="zh-CN"/>
        </w:rPr>
        <w:t>一、</w:t>
      </w:r>
      <w:r>
        <w:rPr>
          <w:rFonts w:hint="eastAsia" w:ascii="宋体" w:hAnsi="宋体"/>
          <w:b/>
          <w:bCs/>
          <w:color w:val="auto"/>
          <w:sz w:val="28"/>
          <w:szCs w:val="28"/>
          <w:highlight w:val="none"/>
        </w:rPr>
        <w:t>商务需求书</w:t>
      </w:r>
      <w:bookmarkEnd w:id="134"/>
      <w:bookmarkEnd w:id="135"/>
      <w:bookmarkEnd w:id="136"/>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标包1、标包2均适用</w:t>
      </w:r>
      <w:r>
        <w:rPr>
          <w:rFonts w:hint="eastAsia" w:ascii="宋体" w:hAnsi="宋体"/>
          <w:b/>
          <w:bCs/>
          <w:color w:val="auto"/>
          <w:sz w:val="22"/>
          <w:szCs w:val="22"/>
          <w:highlight w:val="none"/>
          <w:lang w:eastAsia="zh-CN"/>
        </w:rPr>
        <w:t>】</w:t>
      </w:r>
    </w:p>
    <w:tbl>
      <w:tblPr>
        <w:tblStyle w:val="38"/>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78"/>
        <w:gridCol w:w="6627"/>
      </w:tblGrid>
      <w:tr w14:paraId="2A99F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1571FC98">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178" w:type="dxa"/>
            <w:noWrap w:val="0"/>
            <w:vAlign w:val="center"/>
          </w:tcPr>
          <w:p w14:paraId="71D62283">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条款名称</w:t>
            </w:r>
          </w:p>
        </w:tc>
        <w:tc>
          <w:tcPr>
            <w:tcW w:w="6627" w:type="dxa"/>
            <w:noWrap w:val="0"/>
            <w:vAlign w:val="center"/>
          </w:tcPr>
          <w:p w14:paraId="3AF5A7C8">
            <w:pPr>
              <w:widowControl w:val="0"/>
              <w:adjustRightInd/>
              <w:snapToGrid/>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  明</w:t>
            </w:r>
          </w:p>
        </w:tc>
      </w:tr>
      <w:tr w14:paraId="2AE33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65FF22E5">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78" w:type="dxa"/>
            <w:noWrap w:val="0"/>
            <w:vAlign w:val="center"/>
          </w:tcPr>
          <w:p w14:paraId="42F7A9E9">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合格供应商</w:t>
            </w:r>
          </w:p>
        </w:tc>
        <w:tc>
          <w:tcPr>
            <w:tcW w:w="6627" w:type="dxa"/>
            <w:noWrap w:val="0"/>
            <w:vAlign w:val="center"/>
          </w:tcPr>
          <w:p w14:paraId="69642BDE">
            <w:pPr>
              <w:widowControl w:val="0"/>
              <w:adjustRightInd/>
              <w:snapToGrid/>
              <w:spacing w:line="360" w:lineRule="auto"/>
              <w:jc w:val="left"/>
              <w:rPr>
                <w:rFonts w:ascii="宋体" w:hAnsi="宋体" w:cs="宋体"/>
                <w:bCs/>
                <w:color w:val="auto"/>
                <w:kern w:val="44"/>
                <w:szCs w:val="21"/>
                <w:highlight w:val="none"/>
              </w:rPr>
            </w:pPr>
            <w:r>
              <w:rPr>
                <w:rFonts w:hint="eastAsia" w:ascii="宋体" w:hAnsi="宋体" w:cs="宋体"/>
                <w:color w:val="auto"/>
                <w:szCs w:val="21"/>
                <w:highlight w:val="none"/>
              </w:rPr>
              <w:t>详见“第一章  竞争性谈判公告”中“二、 响应人资格要求”</w:t>
            </w:r>
          </w:p>
        </w:tc>
      </w:tr>
      <w:tr w14:paraId="6F384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49BA1EEF">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178" w:type="dxa"/>
            <w:noWrap w:val="0"/>
            <w:vAlign w:val="center"/>
          </w:tcPr>
          <w:p w14:paraId="0B9E0241">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服务期</w:t>
            </w:r>
          </w:p>
        </w:tc>
        <w:tc>
          <w:tcPr>
            <w:tcW w:w="6627" w:type="dxa"/>
            <w:noWrap w:val="0"/>
            <w:vAlign w:val="center"/>
          </w:tcPr>
          <w:p w14:paraId="38E03EAB">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确认后10个工作日提交相关报告定稿。</w:t>
            </w:r>
          </w:p>
        </w:tc>
      </w:tr>
      <w:tr w14:paraId="00A77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08BFAE4D">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178" w:type="dxa"/>
            <w:noWrap w:val="0"/>
            <w:vAlign w:val="center"/>
          </w:tcPr>
          <w:p w14:paraId="15B3953D">
            <w:pPr>
              <w:widowControl w:val="0"/>
              <w:adjustRightInd/>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627" w:type="dxa"/>
            <w:noWrap w:val="0"/>
            <w:vAlign w:val="center"/>
          </w:tcPr>
          <w:p w14:paraId="65764D07">
            <w:pPr>
              <w:widowControl w:val="0"/>
              <w:adjustRightInd/>
              <w:snapToGrid/>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出具相关报告定稿并由采购人确认无误之日起5个工作日内支付合同金额的100%。</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tc>
      </w:tr>
      <w:tr w14:paraId="21213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04E92945">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w:t>
            </w:r>
          </w:p>
        </w:tc>
        <w:tc>
          <w:tcPr>
            <w:tcW w:w="1178" w:type="dxa"/>
            <w:noWrap w:val="0"/>
            <w:vAlign w:val="center"/>
          </w:tcPr>
          <w:p w14:paraId="15F4924E">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项目地点</w:t>
            </w:r>
          </w:p>
        </w:tc>
        <w:tc>
          <w:tcPr>
            <w:tcW w:w="6627" w:type="dxa"/>
            <w:noWrap w:val="0"/>
            <w:vAlign w:val="center"/>
          </w:tcPr>
          <w:p w14:paraId="47FFC246">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eastAsia="宋体" w:cs="宋体"/>
                <w:color w:val="auto"/>
                <w:kern w:val="2"/>
                <w:szCs w:val="21"/>
                <w:highlight w:val="none"/>
              </w:rPr>
              <w:t>指定</w:t>
            </w:r>
            <w:r>
              <w:rPr>
                <w:rFonts w:hint="eastAsia" w:ascii="宋体" w:hAnsi="宋体" w:cs="宋体"/>
                <w:color w:val="auto"/>
                <w:szCs w:val="21"/>
                <w:highlight w:val="none"/>
              </w:rPr>
              <w:t>地点。</w:t>
            </w:r>
          </w:p>
        </w:tc>
      </w:tr>
      <w:tr w14:paraId="27E56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4BA0C12B">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w:t>
            </w:r>
          </w:p>
        </w:tc>
        <w:tc>
          <w:tcPr>
            <w:tcW w:w="1178" w:type="dxa"/>
            <w:noWrap w:val="0"/>
            <w:vAlign w:val="center"/>
          </w:tcPr>
          <w:p w14:paraId="7149E660">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报价要求</w:t>
            </w:r>
          </w:p>
        </w:tc>
        <w:tc>
          <w:tcPr>
            <w:tcW w:w="6627" w:type="dxa"/>
            <w:noWrap w:val="0"/>
            <w:vAlign w:val="center"/>
          </w:tcPr>
          <w:p w14:paraId="319FE53A">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报价应包括本次采购所有服务内容的费用，包括但不限于人工、材料、成本、利润、措施费、税费以及合同实施过程中的不可预见费用等全部费用。</w:t>
            </w:r>
          </w:p>
        </w:tc>
      </w:tr>
      <w:tr w14:paraId="35685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2B2532DE">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6</w:t>
            </w:r>
          </w:p>
        </w:tc>
        <w:tc>
          <w:tcPr>
            <w:tcW w:w="1178" w:type="dxa"/>
            <w:noWrap w:val="0"/>
            <w:vAlign w:val="center"/>
          </w:tcPr>
          <w:p w14:paraId="78BAC8EA">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验收要求</w:t>
            </w:r>
          </w:p>
        </w:tc>
        <w:tc>
          <w:tcPr>
            <w:tcW w:w="6627" w:type="dxa"/>
            <w:noWrap w:val="0"/>
            <w:vAlign w:val="center"/>
          </w:tcPr>
          <w:p w14:paraId="3B566F27">
            <w:pPr>
              <w:widowControl w:val="0"/>
              <w:adjustRightInd/>
              <w:snapToGrid/>
              <w:spacing w:line="360" w:lineRule="auto"/>
              <w:jc w:val="left"/>
              <w:rPr>
                <w:rFonts w:hint="eastAsia" w:ascii="宋体" w:hAnsi="宋体" w:eastAsia="宋体" w:cs="宋体"/>
                <w:color w:val="auto"/>
                <w:szCs w:val="21"/>
                <w:highlight w:val="none"/>
                <w:lang w:eastAsia="zh-CN"/>
              </w:rPr>
            </w:pPr>
            <w:r>
              <w:rPr>
                <w:rFonts w:hint="eastAsia"/>
                <w:color w:val="auto"/>
                <w:highlight w:val="none"/>
              </w:rPr>
              <w:t>符合国家法律法规及</w:t>
            </w:r>
            <w:r>
              <w:rPr>
                <w:rFonts w:hint="eastAsia"/>
                <w:color w:val="auto"/>
                <w:highlight w:val="none"/>
                <w:lang w:val="en-US" w:eastAsia="zh-CN"/>
              </w:rPr>
              <w:t>采购人</w:t>
            </w:r>
            <w:r>
              <w:rPr>
                <w:rFonts w:hint="eastAsia"/>
                <w:color w:val="auto"/>
                <w:highlight w:val="none"/>
              </w:rPr>
              <w:t>要求</w:t>
            </w:r>
            <w:r>
              <w:rPr>
                <w:rFonts w:hint="eastAsia" w:ascii="宋体" w:hAnsi="宋体" w:cs="宋体"/>
                <w:color w:val="auto"/>
                <w:szCs w:val="21"/>
                <w:highlight w:val="none"/>
              </w:rPr>
              <w:t>，并履行法定要求的备案程序</w:t>
            </w:r>
            <w:r>
              <w:rPr>
                <w:rFonts w:hint="eastAsia"/>
                <w:color w:val="auto"/>
                <w:highlight w:val="none"/>
                <w:lang w:eastAsia="zh-CN"/>
              </w:rPr>
              <w:t>。</w:t>
            </w:r>
          </w:p>
        </w:tc>
      </w:tr>
      <w:tr w14:paraId="0660E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66BF90C7">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7</w:t>
            </w:r>
          </w:p>
        </w:tc>
        <w:tc>
          <w:tcPr>
            <w:tcW w:w="1178" w:type="dxa"/>
            <w:noWrap w:val="0"/>
            <w:vAlign w:val="center"/>
          </w:tcPr>
          <w:p w14:paraId="2B789F77">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谈判</w:t>
            </w:r>
            <w:r>
              <w:rPr>
                <w:rFonts w:hint="eastAsia" w:ascii="宋体" w:hAnsi="宋体" w:eastAsia="宋体" w:cs="宋体"/>
                <w:color w:val="auto"/>
                <w:kern w:val="2"/>
                <w:szCs w:val="21"/>
                <w:highlight w:val="none"/>
              </w:rPr>
              <w:t>有效期</w:t>
            </w:r>
          </w:p>
        </w:tc>
        <w:tc>
          <w:tcPr>
            <w:tcW w:w="6627" w:type="dxa"/>
            <w:noWrap w:val="0"/>
            <w:vAlign w:val="center"/>
          </w:tcPr>
          <w:p w14:paraId="7345291B">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自开标之日起90天。</w:t>
            </w:r>
          </w:p>
        </w:tc>
      </w:tr>
      <w:tr w14:paraId="4DE2A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0296F59E">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8</w:t>
            </w:r>
          </w:p>
        </w:tc>
        <w:tc>
          <w:tcPr>
            <w:tcW w:w="1178" w:type="dxa"/>
            <w:noWrap w:val="0"/>
            <w:vAlign w:val="center"/>
          </w:tcPr>
          <w:p w14:paraId="40D7B32A">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合同条款</w:t>
            </w:r>
          </w:p>
        </w:tc>
        <w:tc>
          <w:tcPr>
            <w:tcW w:w="6627" w:type="dxa"/>
            <w:noWrap w:val="0"/>
            <w:vAlign w:val="center"/>
          </w:tcPr>
          <w:p w14:paraId="147955B0">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供应商实质响应合同各条款。</w:t>
            </w:r>
          </w:p>
        </w:tc>
      </w:tr>
      <w:tr w14:paraId="051DF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14:paraId="6A7E4F99">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9</w:t>
            </w:r>
          </w:p>
        </w:tc>
        <w:tc>
          <w:tcPr>
            <w:tcW w:w="1178" w:type="dxa"/>
            <w:noWrap w:val="0"/>
            <w:vAlign w:val="center"/>
          </w:tcPr>
          <w:p w14:paraId="16145A63">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其他</w:t>
            </w:r>
          </w:p>
        </w:tc>
        <w:tc>
          <w:tcPr>
            <w:tcW w:w="6627" w:type="dxa"/>
            <w:noWrap w:val="0"/>
            <w:vAlign w:val="center"/>
          </w:tcPr>
          <w:p w14:paraId="45C14077">
            <w:pPr>
              <w:widowControl w:val="0"/>
              <w:adjustRightInd/>
              <w:snapToGrid/>
              <w:spacing w:line="360" w:lineRule="auto"/>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w:t>
            </w:r>
          </w:p>
        </w:tc>
      </w:tr>
    </w:tbl>
    <w:p w14:paraId="6BA0590A">
      <w:pPr>
        <w:rPr>
          <w:rFonts w:ascii="黑体" w:eastAsia="黑体"/>
          <w:color w:val="auto"/>
          <w:sz w:val="28"/>
          <w:szCs w:val="28"/>
          <w:highlight w:val="none"/>
        </w:rPr>
      </w:pPr>
      <w:r>
        <w:rPr>
          <w:rFonts w:ascii="黑体" w:eastAsia="黑体"/>
          <w:color w:val="auto"/>
          <w:sz w:val="28"/>
          <w:szCs w:val="28"/>
          <w:highlight w:val="none"/>
        </w:rPr>
        <w:br w:type="page"/>
      </w:r>
    </w:p>
    <w:p w14:paraId="4661F9B3">
      <w:pPr>
        <w:spacing w:before="0" w:after="0" w:line="360" w:lineRule="auto"/>
        <w:jc w:val="left"/>
        <w:outlineLvl w:val="9"/>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二、技术</w:t>
      </w:r>
      <w:r>
        <w:rPr>
          <w:rFonts w:hint="eastAsia" w:ascii="宋体" w:hAnsi="宋体"/>
          <w:b/>
          <w:bCs/>
          <w:color w:val="auto"/>
          <w:sz w:val="28"/>
          <w:szCs w:val="28"/>
          <w:highlight w:val="none"/>
        </w:rPr>
        <w:t>需求书</w:t>
      </w:r>
    </w:p>
    <w:p w14:paraId="2668CA85">
      <w:pPr>
        <w:spacing w:before="0" w:after="0" w:line="360" w:lineRule="auto"/>
        <w:jc w:val="left"/>
        <w:outlineLvl w:val="9"/>
        <w:rPr>
          <w:rFonts w:hint="eastAsia" w:ascii="宋体" w:hAnsi="宋体" w:eastAsia="宋体"/>
          <w:b/>
          <w:bCs/>
          <w:color w:val="auto"/>
          <w:sz w:val="28"/>
          <w:szCs w:val="28"/>
          <w:highlight w:val="none"/>
          <w:lang w:eastAsia="zh-CN"/>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标包1适用</w:t>
      </w:r>
      <w:r>
        <w:rPr>
          <w:rFonts w:hint="eastAsia" w:ascii="宋体" w:hAnsi="宋体"/>
          <w:b/>
          <w:bCs/>
          <w:color w:val="auto"/>
          <w:sz w:val="22"/>
          <w:szCs w:val="22"/>
          <w:highlight w:val="none"/>
          <w:lang w:eastAsia="zh-CN"/>
        </w:rPr>
        <w:t>】</w:t>
      </w:r>
    </w:p>
    <w:p w14:paraId="7AB1E544">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14:paraId="713ED57D">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织金高原泉水务有限公司35%股权、债权资产包整体转让中介服务采购项目</w:t>
      </w:r>
      <w:r>
        <w:rPr>
          <w:rFonts w:hint="eastAsia" w:ascii="宋体" w:hAnsi="宋体" w:eastAsia="宋体" w:cs="宋体"/>
          <w:b w:val="0"/>
          <w:bCs/>
          <w:color w:val="auto"/>
          <w:sz w:val="21"/>
          <w:szCs w:val="21"/>
          <w:highlight w:val="none"/>
          <w:lang w:val="en-US" w:eastAsia="zh-CN"/>
        </w:rPr>
        <w:t>”，内容包括项目概况、服务内容、服务质量、服务期限和费用预算等方面的要求。</w:t>
      </w:r>
    </w:p>
    <w:p w14:paraId="369C9584">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2.本技术需求书提出了最低限度的要求，并未对一切项目细节做出规定，也未充分引述有关标准和规范的条文，响应人应保证提供符合本技术规范书和最新法律法规、评估准则等相关规定的服务。</w:t>
      </w:r>
    </w:p>
    <w:p w14:paraId="20A6C606">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14:paraId="65536467">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4.在签订合同之后，采购人保留对本技术需求书提出的补充要求和修改的权利，响应人应承诺予以配合，如提出修改，具体项目和条件由双方商定。</w:t>
      </w:r>
    </w:p>
    <w:p w14:paraId="00BDF07D">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14:paraId="1F387E22">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14:paraId="0CF141B2">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bookmarkStart w:id="137" w:name="_Toc76376681"/>
      <w:bookmarkStart w:id="138" w:name="_Toc388902631"/>
      <w:bookmarkStart w:id="139" w:name="_Toc72425374"/>
      <w:r>
        <w:rPr>
          <w:rFonts w:hint="eastAsia" w:asciiTheme="minorEastAsia" w:hAnsiTheme="minorEastAsia" w:eastAsiaTheme="minorEastAsia" w:cstheme="minorEastAsia"/>
          <w:color w:val="auto"/>
          <w:sz w:val="21"/>
          <w:szCs w:val="21"/>
          <w:highlight w:val="none"/>
          <w:lang w:val="en-US" w:eastAsia="zh-CN"/>
        </w:rPr>
        <w:t>我司需对外出售所持有的</w:t>
      </w:r>
      <w:r>
        <w:rPr>
          <w:rFonts w:hint="eastAsia" w:ascii="宋体" w:hAnsi="宋体" w:cs="宋体"/>
          <w:b w:val="0"/>
          <w:bCs/>
          <w:color w:val="auto"/>
          <w:sz w:val="21"/>
          <w:szCs w:val="21"/>
          <w:highlight w:val="none"/>
          <w:lang w:val="en-US" w:eastAsia="zh-CN"/>
        </w:rPr>
        <w:t>织金高原泉水务有限公司35%股权、债权资产包</w:t>
      </w:r>
      <w:r>
        <w:rPr>
          <w:rFonts w:hint="eastAsia" w:asciiTheme="minorEastAsia" w:hAnsiTheme="minorEastAsia" w:eastAsiaTheme="minorEastAsia" w:cstheme="minorEastAsia"/>
          <w:color w:val="auto"/>
          <w:sz w:val="21"/>
          <w:szCs w:val="21"/>
          <w:highlight w:val="none"/>
          <w:lang w:val="en-US" w:eastAsia="zh-CN"/>
        </w:rPr>
        <w:t>。为保障上述股权、债权转让工作合法合规、顺利推进，需聘请专业服务单位提供股权、债权价值评估服务。</w:t>
      </w:r>
    </w:p>
    <w:p w14:paraId="123D5361">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p>
    <w:p w14:paraId="0BCEB3F4">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bookmarkEnd w:id="137"/>
    <w:bookmarkEnd w:id="138"/>
    <w:bookmarkEnd w:id="139"/>
    <w:p w14:paraId="78E9A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14:paraId="1E124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14:paraId="6AEB722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响应人须保证按照相关要求遵守职业道德规范，恪守独立、客观、公正的原则，确保其履行职责所需要的专业胜任能力，以应有的职业谨慎态度执行评估业务。</w:t>
      </w:r>
    </w:p>
    <w:p w14:paraId="746F8A4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响应人应当在实施必要的评估程序后，以经过核实的证据为依据，分析、评价审核结论，形成评估意见，出具评估报告。保证评估报告的真实性、准确性、合法性。</w:t>
      </w:r>
    </w:p>
    <w:p w14:paraId="0781BEB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响应人可在评估过程中合理分配工作量和工作时间，必须保证在合同规定的时间内认真负责地完成合同范围内的服务工作并出具合格的报告。</w:t>
      </w:r>
    </w:p>
    <w:p w14:paraId="2508E26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采购人或被评估单位所提供的有关文件资料和执业过程中获知的商业秘密，应妥善保管并负保密责任。除法律、法规另有规定的以外，未经采购人书面许可，响应人不得将评估报告内容，以及采购人或被评估单位提供的有关文件资料和执业过程中获知的商业秘密向第三方提供或者公开。上述保密义务，在本项目终止或合同解除之后仍需履行。</w:t>
      </w:r>
    </w:p>
    <w:p w14:paraId="151F0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14:paraId="1F0787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p>
    <w:p w14:paraId="68AD2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服务团队项目负责人要求具有</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p>
    <w:p w14:paraId="600F9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14:paraId="1F2AA624">
      <w:pPr>
        <w:pStyle w:val="113"/>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14:paraId="2C8E0C9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9EFE77B">
      <w:pPr>
        <w:spacing w:before="0" w:after="0" w:line="360" w:lineRule="auto"/>
        <w:jc w:val="left"/>
        <w:outlineLvl w:val="9"/>
        <w:rPr>
          <w:rFonts w:hint="eastAsia" w:ascii="宋体" w:hAnsi="宋体" w:eastAsia="宋体"/>
          <w:color w:val="auto"/>
          <w:sz w:val="28"/>
          <w:szCs w:val="28"/>
          <w:highlight w:val="none"/>
          <w:lang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标包2适用</w:t>
      </w:r>
      <w:r>
        <w:rPr>
          <w:rFonts w:hint="eastAsia" w:ascii="宋体" w:hAnsi="宋体"/>
          <w:color w:val="auto"/>
          <w:sz w:val="22"/>
          <w:szCs w:val="22"/>
          <w:highlight w:val="none"/>
          <w:lang w:eastAsia="zh-CN"/>
        </w:rPr>
        <w:t>】</w:t>
      </w:r>
    </w:p>
    <w:p w14:paraId="38339CC4">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14:paraId="302C9C14">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织金高原泉水务有限公司35%股权、债权资产包整体转让中介服务采购项目</w:t>
      </w:r>
      <w:r>
        <w:rPr>
          <w:rFonts w:hint="eastAsia" w:ascii="宋体" w:hAnsi="宋体" w:eastAsia="宋体" w:cs="宋体"/>
          <w:b w:val="0"/>
          <w:bCs/>
          <w:color w:val="auto"/>
          <w:sz w:val="21"/>
          <w:szCs w:val="21"/>
          <w:highlight w:val="none"/>
          <w:lang w:val="en-US" w:eastAsia="zh-CN"/>
        </w:rPr>
        <w:t>”项目，内容包括项目概况、服务内容、服务质量、服务期限和费用预算等方面的要求。</w:t>
      </w:r>
    </w:p>
    <w:p w14:paraId="5A63DAA9">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2.本技术需求书提出了最低限度的要求，并未对一切项目细节做出规定，也未充分引述有关标准和规范的条文，响应人应保证提供符合本技术规范书和最新法律法规、审计准则等相关规定的服务。</w:t>
      </w:r>
    </w:p>
    <w:p w14:paraId="55EA1922">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14:paraId="50427E25">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4.在签订合同之后，采购人保留对本技术需求书提出的补充要求和修改的权利，响应人应承诺予以配合，如提出修改，具体项目和条件由双方商定。</w:t>
      </w:r>
    </w:p>
    <w:p w14:paraId="715A5958">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14:paraId="7BA82347">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14:paraId="4434768E">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w:t>
      </w:r>
      <w:r>
        <w:rPr>
          <w:rFonts w:hint="eastAsia" w:ascii="宋体" w:hAnsi="宋体" w:cs="宋体"/>
          <w:b w:val="0"/>
          <w:bCs/>
          <w:color w:val="auto"/>
          <w:sz w:val="21"/>
          <w:szCs w:val="21"/>
          <w:highlight w:val="none"/>
          <w:lang w:val="en-US" w:eastAsia="zh-CN"/>
        </w:rPr>
        <w:t>织金高原泉水务有限公司35%股权、债权资产包</w:t>
      </w:r>
      <w:r>
        <w:rPr>
          <w:rFonts w:hint="eastAsia" w:asciiTheme="minorEastAsia" w:hAnsiTheme="minorEastAsia" w:eastAsiaTheme="minorEastAsia" w:cstheme="minorEastAsia"/>
          <w:color w:val="auto"/>
          <w:sz w:val="21"/>
          <w:szCs w:val="21"/>
          <w:highlight w:val="none"/>
          <w:lang w:val="en-US" w:eastAsia="zh-CN"/>
        </w:rPr>
        <w:t>。为保障上述股权、债权转让工作合法合规、顺利推进，需聘请专业服务单位提供清产核资审计服务。</w:t>
      </w:r>
    </w:p>
    <w:p w14:paraId="7BB21EC7">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p>
    <w:p w14:paraId="3BAF62A0">
      <w:pPr>
        <w:widowControl w:val="0"/>
        <w:autoSpaceDE/>
        <w:autoSpaceDN/>
        <w:adjustRightInd/>
        <w:snapToGrid/>
        <w:spacing w:before="0"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val="en-US" w:eastAsia="zh-CN"/>
        </w:rPr>
        <w:t>贵州新锶源饮用水销售有限公司</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，出具资产审计报告。</w:t>
      </w:r>
    </w:p>
    <w:p w14:paraId="69DEA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14:paraId="468E4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14:paraId="7A94395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响应人须保证按照相关要求遵守职业道德规范，恪守独立、客观、公正的原则，确保其履行职责所需要的专业胜任能力，以应有的职业谨慎态度执行审核业务。</w:t>
      </w:r>
    </w:p>
    <w:p w14:paraId="17B95D5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响应人应当在实施必要的审计程序后，以经过核实的证据为依据，分析、评价审核结论，形成审计意见，出具审计报告。保证审计报告的真实性、准确性、合法性。</w:t>
      </w:r>
    </w:p>
    <w:p w14:paraId="2A2D1F0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响应人可在审计过程中合理分配工作量和工作时间，必须保证在合同规定的时间内认真负责地完成合同范围内的服务工作并出具合格的报告。</w:t>
      </w:r>
    </w:p>
    <w:p w14:paraId="54E8EE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采购人或被评估单位所提供的有关文件资料和执业过程中获知的商业秘密，应妥善保管并负保密责任。除法律、法规另有规定的以外，未经采购人书面许可，响应人不得将审计报告内容，以及采购人或被评估单位提供的有关文件资料和执业过程中获知的商业秘密向第三方提供或者公开。上述保密义务，在本项目终止或合同解除之后仍需履行。</w:t>
      </w:r>
    </w:p>
    <w:p w14:paraId="63F3F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14:paraId="61EDB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必须配备经验丰富、数量足够的专业人员，确保审计工作质量。</w:t>
      </w:r>
    </w:p>
    <w:p w14:paraId="0DD35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服务团队项目负责人要求具有注册会计师证书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p>
    <w:p w14:paraId="77C8F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14:paraId="111F465A">
      <w:pPr>
        <w:pStyle w:val="113"/>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14:paraId="67AD3B95">
      <w:pPr>
        <w:rPr>
          <w:rFonts w:hint="eastAsia"/>
          <w:color w:val="auto"/>
          <w:sz w:val="28"/>
          <w:szCs w:val="28"/>
          <w:highlight w:val="none"/>
        </w:rPr>
      </w:pPr>
      <w:bookmarkStart w:id="140" w:name="_Toc18199"/>
      <w:bookmarkStart w:id="141" w:name="_Toc456552076"/>
      <w:bookmarkStart w:id="142" w:name="_Toc438039969"/>
      <w:bookmarkStart w:id="143" w:name="_Toc435779386"/>
      <w:bookmarkStart w:id="144" w:name="_Toc438143778"/>
      <w:r>
        <w:rPr>
          <w:rFonts w:hint="eastAsia"/>
          <w:color w:val="auto"/>
          <w:sz w:val="28"/>
          <w:szCs w:val="28"/>
          <w:highlight w:val="none"/>
        </w:rPr>
        <w:br w:type="page"/>
      </w:r>
    </w:p>
    <w:p w14:paraId="0C743380">
      <w:pPr>
        <w:pStyle w:val="5"/>
        <w:jc w:val="center"/>
        <w:rPr>
          <w:color w:val="auto"/>
          <w:sz w:val="28"/>
          <w:szCs w:val="28"/>
          <w:highlight w:val="none"/>
        </w:rPr>
      </w:pPr>
      <w:r>
        <w:rPr>
          <w:rFonts w:hint="eastAsia"/>
          <w:color w:val="auto"/>
          <w:sz w:val="28"/>
          <w:szCs w:val="28"/>
          <w:highlight w:val="none"/>
        </w:rPr>
        <w:t>第五章 合同条款格式</w:t>
      </w:r>
      <w:bookmarkEnd w:id="140"/>
    </w:p>
    <w:p w14:paraId="21E793A2">
      <w:pPr>
        <w:spacing w:before="156" w:beforeLines="50" w:after="156" w:afterLines="50" w:line="360" w:lineRule="auto"/>
        <w:ind w:firstLine="6160" w:firstLineChars="2800"/>
        <w:contextualSpacing/>
        <w:jc w:val="both"/>
        <w:rPr>
          <w:rFonts w:ascii="宋体" w:hAnsi="宋体"/>
          <w:color w:val="auto"/>
          <w:highlight w:val="none"/>
        </w:rPr>
      </w:pPr>
      <w:r>
        <w:rPr>
          <w:rFonts w:hint="eastAsia" w:ascii="宋体" w:hAnsi="宋体" w:cs="宋体"/>
          <w:color w:val="auto"/>
          <w:sz w:val="22"/>
          <w:szCs w:val="22"/>
          <w:highlight w:val="none"/>
          <w:lang w:bidi="ar"/>
        </w:rPr>
        <w:t xml:space="preserve">合同编号：    </w:t>
      </w:r>
    </w:p>
    <w:p w14:paraId="1E9379A9">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14:paraId="2536B7F4">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织金高原泉水务有限公司35%股权、债权资产包整体转让中介服务采购项目</w:t>
      </w:r>
      <w:r>
        <w:rPr>
          <w:rFonts w:hint="eastAsia" w:hAnsi="宋体"/>
          <w:b/>
          <w:color w:val="auto"/>
          <w:kern w:val="2"/>
          <w:sz w:val="48"/>
          <w:szCs w:val="40"/>
          <w:highlight w:val="none"/>
          <w:lang w:eastAsia="zh-CN"/>
        </w:rPr>
        <w:br w:type="textWrapping"/>
      </w:r>
      <w:r>
        <w:rPr>
          <w:rFonts w:hint="eastAsia" w:hAnsi="宋体"/>
          <w:b/>
          <w:color w:val="auto"/>
          <w:kern w:val="2"/>
          <w:sz w:val="44"/>
          <w:szCs w:val="36"/>
          <w:highlight w:val="none"/>
          <w:lang w:val="en-US" w:eastAsia="zh-CN"/>
        </w:rPr>
        <w:t>标包：1</w:t>
      </w:r>
      <w:r>
        <w:rPr>
          <w:rFonts w:hint="eastAsia" w:hAnsi="宋体"/>
          <w:b/>
          <w:color w:val="auto"/>
          <w:kern w:val="2"/>
          <w:sz w:val="44"/>
          <w:szCs w:val="36"/>
          <w:highlight w:val="none"/>
        </w:rPr>
        <w:t>合同</w:t>
      </w:r>
    </w:p>
    <w:p w14:paraId="7563E0EB">
      <w:pPr>
        <w:tabs>
          <w:tab w:val="left" w:pos="180"/>
        </w:tabs>
        <w:spacing w:line="360" w:lineRule="auto"/>
        <w:ind w:left="2730" w:leftChars="800" w:hanging="1050" w:hangingChars="500"/>
        <w:rPr>
          <w:rFonts w:hint="eastAsia" w:ascii="宋体" w:hAnsi="宋体" w:eastAsia="宋体" w:cs="宋体"/>
          <w:color w:val="auto"/>
          <w:highlight w:val="none"/>
        </w:rPr>
      </w:pPr>
    </w:p>
    <w:p w14:paraId="21685CB6">
      <w:pPr>
        <w:tabs>
          <w:tab w:val="left" w:pos="180"/>
        </w:tabs>
        <w:spacing w:line="360" w:lineRule="auto"/>
        <w:ind w:left="2730" w:leftChars="800" w:hanging="1050" w:hangingChars="500"/>
        <w:rPr>
          <w:rFonts w:hint="eastAsia" w:ascii="宋体" w:hAnsi="宋体" w:eastAsia="宋体" w:cs="宋体"/>
          <w:color w:val="auto"/>
          <w:highlight w:val="none"/>
        </w:rPr>
      </w:pPr>
    </w:p>
    <w:p w14:paraId="21E2D45E">
      <w:pPr>
        <w:tabs>
          <w:tab w:val="left" w:pos="180"/>
        </w:tabs>
        <w:spacing w:line="360" w:lineRule="auto"/>
        <w:ind w:left="2730" w:leftChars="800" w:hanging="1050" w:hangingChars="500"/>
        <w:rPr>
          <w:rFonts w:hint="eastAsia" w:ascii="宋体" w:hAnsi="宋体" w:eastAsia="宋体" w:cs="宋体"/>
          <w:color w:val="auto"/>
          <w:highlight w:val="none"/>
        </w:rPr>
      </w:pPr>
    </w:p>
    <w:p w14:paraId="5A72B561">
      <w:pPr>
        <w:tabs>
          <w:tab w:val="left" w:pos="180"/>
        </w:tabs>
        <w:spacing w:line="360" w:lineRule="auto"/>
        <w:ind w:left="2730" w:leftChars="800" w:hanging="1050" w:hangingChars="500"/>
        <w:rPr>
          <w:rFonts w:hint="eastAsia" w:ascii="宋体" w:hAnsi="宋体" w:eastAsia="宋体" w:cs="宋体"/>
          <w:color w:val="auto"/>
          <w:highlight w:val="none"/>
        </w:rPr>
      </w:pPr>
    </w:p>
    <w:p w14:paraId="6F5C9DFF">
      <w:pPr>
        <w:tabs>
          <w:tab w:val="left" w:pos="180"/>
        </w:tabs>
        <w:spacing w:line="360" w:lineRule="auto"/>
        <w:ind w:left="2730" w:leftChars="800" w:hanging="1050" w:hangingChars="500"/>
        <w:rPr>
          <w:rFonts w:hint="eastAsia" w:ascii="宋体" w:hAnsi="宋体" w:eastAsia="宋体" w:cs="宋体"/>
          <w:color w:val="auto"/>
          <w:highlight w:val="none"/>
        </w:rPr>
      </w:pPr>
    </w:p>
    <w:p w14:paraId="0993262D">
      <w:pPr>
        <w:tabs>
          <w:tab w:val="left" w:pos="180"/>
        </w:tabs>
        <w:spacing w:line="360" w:lineRule="auto"/>
        <w:ind w:left="2730" w:leftChars="800" w:hanging="1050" w:hangingChars="500"/>
        <w:rPr>
          <w:rFonts w:hint="eastAsia" w:ascii="宋体" w:hAnsi="宋体" w:eastAsia="宋体" w:cs="宋体"/>
          <w:color w:val="auto"/>
          <w:highlight w:val="none"/>
        </w:rPr>
      </w:pPr>
    </w:p>
    <w:p w14:paraId="54BA5F9B">
      <w:pPr>
        <w:tabs>
          <w:tab w:val="left" w:pos="180"/>
        </w:tabs>
        <w:spacing w:line="360" w:lineRule="auto"/>
        <w:ind w:left="2730" w:leftChars="800" w:hanging="1050" w:hangingChars="500"/>
        <w:rPr>
          <w:rFonts w:hint="eastAsia" w:ascii="宋体" w:hAnsi="宋体" w:eastAsia="宋体" w:cs="宋体"/>
          <w:color w:val="auto"/>
          <w:highlight w:val="none"/>
        </w:rPr>
      </w:pPr>
    </w:p>
    <w:p w14:paraId="0AA597B7">
      <w:pPr>
        <w:tabs>
          <w:tab w:val="left" w:pos="180"/>
        </w:tabs>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织金高原泉水务有限公司35%股权、债权资产包整体转让中介服务采购项目</w:t>
      </w:r>
    </w:p>
    <w:p w14:paraId="2419D52A">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14:paraId="441D8DFF">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p>
    <w:p w14:paraId="53928771">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14:paraId="302341E5">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承接人（乙方）： </w:t>
      </w:r>
    </w:p>
    <w:p w14:paraId="20783E9B">
      <w:pPr>
        <w:tabs>
          <w:tab w:val="left" w:pos="180"/>
        </w:tabs>
        <w:spacing w:line="360" w:lineRule="auto"/>
        <w:ind w:firstLine="960" w:firstLineChars="400"/>
        <w:rPr>
          <w:rFonts w:hint="eastAsia" w:ascii="宋体" w:hAnsi="宋体" w:eastAsia="宋体" w:cs="宋体"/>
          <w:color w:val="auto"/>
          <w:sz w:val="24"/>
          <w:szCs w:val="24"/>
          <w:highlight w:val="none"/>
        </w:rPr>
      </w:pPr>
    </w:p>
    <w:p w14:paraId="54647B5C">
      <w:pPr>
        <w:tabs>
          <w:tab w:val="left" w:pos="180"/>
        </w:tabs>
        <w:spacing w:line="360" w:lineRule="auto"/>
        <w:ind w:firstLine="960" w:firstLineChars="400"/>
        <w:rPr>
          <w:rFonts w:hint="eastAsia" w:ascii="宋体" w:hAnsi="宋体" w:eastAsia="宋体" w:cs="宋体"/>
          <w:color w:val="auto"/>
          <w:sz w:val="24"/>
          <w:szCs w:val="24"/>
          <w:highlight w:val="none"/>
        </w:rPr>
      </w:pPr>
    </w:p>
    <w:p w14:paraId="75C6FBE4">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2D3EB77">
      <w:pPr>
        <w:pStyle w:val="111"/>
        <w:spacing w:line="400" w:lineRule="exact"/>
        <w:ind w:firstLine="420" w:firstLineChars="200"/>
        <w:outlineLvl w:val="9"/>
        <w:rPr>
          <w:rFonts w:hAnsi="宋体" w:cs="宋体"/>
          <w:bCs/>
          <w:color w:val="auto"/>
          <w:sz w:val="21"/>
          <w:highlight w:val="none"/>
        </w:rPr>
      </w:pPr>
    </w:p>
    <w:p w14:paraId="27AF60BA">
      <w:pPr>
        <w:snapToGrid w:val="0"/>
        <w:spacing w:line="360" w:lineRule="auto"/>
        <w:rPr>
          <w:rFonts w:hint="eastAsia" w:asciiTheme="minorEastAsia" w:hAnsiTheme="minorEastAsia" w:eastAsiaTheme="minorEastAsia" w:cstheme="minorEastAsia"/>
          <w:color w:val="auto"/>
          <w:sz w:val="21"/>
          <w:szCs w:val="21"/>
          <w:highlight w:val="none"/>
        </w:rPr>
      </w:pPr>
    </w:p>
    <w:p w14:paraId="302B452F">
      <w:pPr>
        <w:snapToGrid w:val="0"/>
        <w:spacing w:line="360" w:lineRule="auto"/>
        <w:rPr>
          <w:rFonts w:hint="eastAsia" w:asciiTheme="minorEastAsia" w:hAnsiTheme="minorEastAsia" w:eastAsiaTheme="minorEastAsia" w:cstheme="minorEastAsia"/>
          <w:color w:val="auto"/>
          <w:sz w:val="21"/>
          <w:szCs w:val="21"/>
          <w:highlight w:val="none"/>
        </w:rPr>
      </w:pPr>
    </w:p>
    <w:p w14:paraId="3DF740F2">
      <w:pPr>
        <w:snapToGrid w:val="0"/>
        <w:spacing w:line="360" w:lineRule="auto"/>
        <w:rPr>
          <w:rFonts w:hint="eastAsia" w:asciiTheme="minorEastAsia" w:hAnsiTheme="minorEastAsia" w:eastAsiaTheme="minorEastAsia" w:cstheme="minorEastAsia"/>
          <w:color w:val="auto"/>
          <w:sz w:val="21"/>
          <w:szCs w:val="21"/>
          <w:highlight w:val="none"/>
        </w:rPr>
      </w:pPr>
    </w:p>
    <w:p w14:paraId="075BAAC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66F8E2D0">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2426ADB9">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6B159E40">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14:paraId="1196D487">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14:paraId="37AA655F">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0A58E15F">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65193932">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33E4335D">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14:paraId="7F01F718">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bookmarkStart w:id="145" w:name="项目名称"/>
      <w:r>
        <w:rPr>
          <w:rFonts w:hint="eastAsia" w:ascii="宋体" w:hAnsi="宋体" w:cs="宋体"/>
          <w:color w:val="auto"/>
          <w:sz w:val="21"/>
          <w:szCs w:val="21"/>
          <w:highlight w:val="none"/>
          <w:u w:val="single"/>
          <w:lang w:eastAsia="zh-CN"/>
        </w:rPr>
        <w:t>织金高原泉水务有限公司35%股权、债权资产包整体转让中介服务采购项目</w:t>
      </w:r>
      <w:bookmarkEnd w:id="145"/>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14:paraId="45ADF519">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14:paraId="274B674C">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我司需对外出售所持有的贵州新锶源饮用水销售有限公司80%股权。为保障上述股权转让工作合法合规、顺利推进，需聘请专业服务单位提供股权价值评估服务/财务审计服务。</w:t>
      </w:r>
    </w:p>
    <w:p w14:paraId="439D408D">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14:paraId="6B024BCB">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14:paraId="19A23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14:paraId="49342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14:paraId="6690BBA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须保证按照相关要求遵守职业道德规范，恪守独立、客观、公正的原则，确保其履行职责所需要的专业胜任能力，以应有的职业谨慎态度执行评估业务。</w:t>
      </w:r>
    </w:p>
    <w:p w14:paraId="7ADC4AE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应当在实施必要的评估程序后，以经过核实的证据为依据，分析、评价审核结论，形成评估意见，出具评估报告。保证评估报告的真实性、准确性、合法性。</w:t>
      </w:r>
    </w:p>
    <w:p w14:paraId="57A1298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可在评估过程中合理分配工作量和工作时间，必须保证在合同规定的时间内认真负责地完成合同范围内的服务工作并出具合格的报告。</w:t>
      </w:r>
    </w:p>
    <w:p w14:paraId="5CA6202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或被评估单位所提供的有关文件资料和执业过程中获知的商业秘密，应妥善保管并负保密责任。除法律、法规另有规定的以外，未经</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书面许可，</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不得将评估报告内容，以及</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或被评估单位提供的有关文件资料和执业过程中获知的商业秘密向第三方提供或者公开。上述保密义务，在本项目终止或合同解除之后仍需履行。</w:t>
      </w:r>
    </w:p>
    <w:p w14:paraId="0F763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14:paraId="3FC3A467">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对乙方</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必须配备经验丰富、数量足够的专业人员，确保</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p>
    <w:p w14:paraId="69D709E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服务团队项目负责人要求具有</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r>
        <w:rPr>
          <w:rFonts w:hint="eastAsia" w:asciiTheme="minorEastAsia" w:hAnsiTheme="minorEastAsia" w:eastAsiaTheme="minorEastAsia" w:cstheme="minorEastAsia"/>
          <w:color w:val="auto"/>
          <w:sz w:val="21"/>
          <w:szCs w:val="21"/>
          <w:highlight w:val="none"/>
          <w:lang w:val="en-US" w:eastAsia="zh-CN"/>
        </w:rPr>
        <w:t>。</w:t>
      </w:r>
    </w:p>
    <w:p w14:paraId="302E1A81">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14:paraId="3AEBC6BD">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14:paraId="6F969D5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14:paraId="4BCFD37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14:paraId="1CAD365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之日起5个工作日内支付合同金额的100%</w:t>
      </w:r>
      <w:r>
        <w:rPr>
          <w:rFonts w:hint="eastAsia" w:asciiTheme="minorEastAsia" w:hAnsiTheme="minorEastAsia" w:eastAsiaTheme="minorEastAsia" w:cstheme="minorEastAsia"/>
          <w:color w:val="auto"/>
          <w:sz w:val="21"/>
          <w:szCs w:val="21"/>
          <w:highlight w:val="none"/>
        </w:rPr>
        <w:t>。</w:t>
      </w:r>
    </w:p>
    <w:p w14:paraId="3BC7448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14:paraId="0A017E3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14:paraId="7FA98A4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14:paraId="6680422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14:paraId="66C2978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14:paraId="45DB617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0C2EFD1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730CFE7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14:paraId="01E051D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14:paraId="17F84EE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F13DCE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630E7EB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14:paraId="3A0FF975">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14:paraId="6DB6DB3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14:paraId="5B8B0843">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14:paraId="602C1DA9">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14:paraId="460BCAD0">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14:paraId="6E51DEF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文件及技术方案关于项目计划、职责、管理要求等规定内容。</w:t>
      </w:r>
    </w:p>
    <w:p w14:paraId="27428AB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14:paraId="504D1B8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w:t>
      </w:r>
      <w:r>
        <w:rPr>
          <w:rFonts w:hint="eastAsia" w:asciiTheme="minorEastAsia" w:hAnsiTheme="minorEastAsia" w:eastAsiaTheme="minorEastAsia" w:cstheme="minorEastAsia"/>
          <w:color w:val="auto"/>
          <w:sz w:val="21"/>
          <w:szCs w:val="21"/>
          <w:highlight w:val="none"/>
          <w:lang w:val="en-US" w:eastAsia="zh-CN"/>
        </w:rPr>
        <w:t>报告</w:t>
      </w:r>
      <w:r>
        <w:rPr>
          <w:rFonts w:hint="eastAsia" w:asciiTheme="minorEastAsia" w:hAnsiTheme="minorEastAsia" w:eastAsiaTheme="minorEastAsia" w:cstheme="minorEastAsia"/>
          <w:color w:val="auto"/>
          <w:sz w:val="21"/>
          <w:szCs w:val="21"/>
          <w:highlight w:val="none"/>
        </w:rPr>
        <w:t>。</w:t>
      </w:r>
    </w:p>
    <w:p w14:paraId="72285B5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当甲方发现乙方人员不按合同及采购需求书约定履行职责，甲方有权要求乙方更换项目人员，直到终止合同并要求乙方承担相应的赔偿责任。</w:t>
      </w:r>
    </w:p>
    <w:p w14:paraId="1E7640D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14:paraId="23CF4D7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14:paraId="36EA1A3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14:paraId="25A4B7D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作为联系代表，负责与乙方联系。若更换联系代表，应当提前通知乙方。</w:t>
      </w:r>
    </w:p>
    <w:p w14:paraId="5904268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14:paraId="2474FE4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14:paraId="65609221">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14:paraId="19831C9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14:paraId="7B16AF9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14:paraId="077C7DA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14:paraId="37F1FBE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14:paraId="0DE8491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14:paraId="7ACB5CE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14:paraId="135E5F4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14:paraId="1BDFE6E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14:paraId="5E6B553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14:paraId="1B1A078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14:paraId="398D512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14:paraId="3F428C5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14:paraId="72452B2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14:paraId="5326250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14:paraId="2366A04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14:paraId="67B604D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14:paraId="4A9B87B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14:paraId="36792E7B">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14:paraId="5B98815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14:paraId="5940108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14:paraId="72244EC7">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14:paraId="53C5E87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14:paraId="6559719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14:paraId="0C1028B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14:paraId="3169C44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14:paraId="6865A29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14:paraId="2EABABF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14:paraId="678A2607">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14:paraId="069DCDF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14:paraId="7F40542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14:paraId="1E5EE66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76F96A2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14:paraId="163B0207">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14:paraId="47E4FFE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14:paraId="0119F01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14:paraId="5C3C404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14:paraId="71BEEAA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14:paraId="36E9F06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14:paraId="1087C2A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14:paraId="0C17B30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14:paraId="49BC936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14:paraId="3BE2214A">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14:paraId="4060879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14:paraId="79C463E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14:paraId="07274C60">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14:paraId="613C4E3A">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14:paraId="2A9C5C3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14:paraId="77C2DAB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14:paraId="4BD2F13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14:paraId="5DE8DE7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14:paraId="125746B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14:paraId="355B42D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14:paraId="4B58F50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14:paraId="09F77F0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14:paraId="31688B3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14:paraId="2923012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14:paraId="75D5B15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14:paraId="085FBD0F">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14:paraId="0B894BCB">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14:paraId="3E7C195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14:paraId="7B949FBE">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14:paraId="6202552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14:paraId="3DC83CC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14:paraId="4D86498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14:paraId="541E105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14:paraId="7110709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14:paraId="63554B1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14:paraId="66343FC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14:paraId="71228F5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14:paraId="5452946E">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14:paraId="76D7F2E3">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8"/>
        <w:tblpPr w:leftFromText="180" w:rightFromText="180" w:vertAnchor="text" w:horzAnchor="page" w:tblpX="1740" w:tblpY="119"/>
        <w:tblW w:w="8522" w:type="dxa"/>
        <w:tblInd w:w="0" w:type="dxa"/>
        <w:tblLayout w:type="fixed"/>
        <w:tblCellMar>
          <w:top w:w="0" w:type="dxa"/>
          <w:left w:w="108" w:type="dxa"/>
          <w:bottom w:w="0" w:type="dxa"/>
          <w:right w:w="108" w:type="dxa"/>
        </w:tblCellMar>
      </w:tblPr>
      <w:tblGrid>
        <w:gridCol w:w="4326"/>
        <w:gridCol w:w="4196"/>
      </w:tblGrid>
      <w:tr w14:paraId="7E5561B8">
        <w:tblPrEx>
          <w:tblCellMar>
            <w:top w:w="0" w:type="dxa"/>
            <w:left w:w="108" w:type="dxa"/>
            <w:bottom w:w="0" w:type="dxa"/>
            <w:right w:w="108" w:type="dxa"/>
          </w:tblCellMar>
        </w:tblPrEx>
        <w:trPr>
          <w:trHeight w:val="2208" w:hRule="atLeast"/>
        </w:trPr>
        <w:tc>
          <w:tcPr>
            <w:tcW w:w="4326" w:type="dxa"/>
            <w:noWrap w:val="0"/>
            <w:vAlign w:val="top"/>
          </w:tcPr>
          <w:p w14:paraId="2992028F">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14:paraId="0A619F55">
            <w:pPr>
              <w:pStyle w:val="112"/>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广东新网工程技术有限公司</w:t>
            </w:r>
          </w:p>
        </w:tc>
        <w:tc>
          <w:tcPr>
            <w:tcW w:w="4196" w:type="dxa"/>
            <w:noWrap w:val="0"/>
            <w:vAlign w:val="top"/>
          </w:tcPr>
          <w:p w14:paraId="7D694686">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乙方：（公章）</w:t>
            </w:r>
          </w:p>
          <w:p w14:paraId="47A8C010">
            <w:pPr>
              <w:pStyle w:val="112"/>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r>
      <w:tr w14:paraId="01CBCAFB">
        <w:tblPrEx>
          <w:tblCellMar>
            <w:top w:w="0" w:type="dxa"/>
            <w:left w:w="108" w:type="dxa"/>
            <w:bottom w:w="0" w:type="dxa"/>
            <w:right w:w="108" w:type="dxa"/>
          </w:tblCellMar>
        </w:tblPrEx>
        <w:trPr>
          <w:trHeight w:val="1580" w:hRule="atLeast"/>
        </w:trPr>
        <w:tc>
          <w:tcPr>
            <w:tcW w:w="4326" w:type="dxa"/>
            <w:noWrap w:val="0"/>
            <w:vAlign w:val="top"/>
          </w:tcPr>
          <w:p w14:paraId="4B60B499">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3E11473">
            <w:pPr>
              <w:pStyle w:val="112"/>
              <w:spacing w:after="50" w:line="360" w:lineRule="auto"/>
              <w:rPr>
                <w:rFonts w:hint="eastAsia" w:ascii="宋体" w:hAnsi="宋体" w:eastAsia="宋体" w:cs="宋体"/>
                <w:color w:val="auto"/>
                <w:sz w:val="21"/>
                <w:szCs w:val="21"/>
                <w:highlight w:val="none"/>
              </w:rPr>
            </w:pPr>
          </w:p>
        </w:tc>
        <w:tc>
          <w:tcPr>
            <w:tcW w:w="4196" w:type="dxa"/>
            <w:noWrap w:val="0"/>
            <w:vAlign w:val="top"/>
          </w:tcPr>
          <w:p w14:paraId="3615E67D">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56B02D11">
            <w:pPr>
              <w:pStyle w:val="112"/>
              <w:spacing w:after="50" w:line="360" w:lineRule="auto"/>
              <w:rPr>
                <w:rFonts w:hint="eastAsia" w:ascii="宋体" w:hAnsi="宋体" w:eastAsia="宋体" w:cs="宋体"/>
                <w:color w:val="auto"/>
                <w:sz w:val="21"/>
                <w:szCs w:val="21"/>
                <w:highlight w:val="none"/>
              </w:rPr>
            </w:pPr>
          </w:p>
          <w:p w14:paraId="1CC7FAAF">
            <w:pPr>
              <w:pStyle w:val="112"/>
              <w:spacing w:after="50" w:line="360" w:lineRule="auto"/>
              <w:rPr>
                <w:rFonts w:hint="eastAsia" w:ascii="宋体" w:hAnsi="宋体" w:eastAsia="宋体" w:cs="宋体"/>
                <w:color w:val="auto"/>
                <w:sz w:val="21"/>
                <w:szCs w:val="21"/>
                <w:highlight w:val="none"/>
              </w:rPr>
            </w:pPr>
          </w:p>
        </w:tc>
      </w:tr>
      <w:tr w14:paraId="46CFF1E9">
        <w:tblPrEx>
          <w:tblCellMar>
            <w:top w:w="0" w:type="dxa"/>
            <w:left w:w="108" w:type="dxa"/>
            <w:bottom w:w="0" w:type="dxa"/>
            <w:right w:w="108" w:type="dxa"/>
          </w:tblCellMar>
        </w:tblPrEx>
        <w:tc>
          <w:tcPr>
            <w:tcW w:w="4326" w:type="dxa"/>
            <w:noWrap w:val="0"/>
            <w:vAlign w:val="top"/>
          </w:tcPr>
          <w:p w14:paraId="76D83320">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80BE425">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14:paraId="19E38D95">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14:paraId="0F78CAD0">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027FFAC">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23A31DEC">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14:paraId="226C1EF0">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45AA4FC">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EDFD241">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4196" w:type="dxa"/>
            <w:noWrap w:val="0"/>
            <w:vAlign w:val="top"/>
          </w:tcPr>
          <w:p w14:paraId="65CC64AD">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6F6788EF">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14:paraId="4249C62E">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14:paraId="688EC964">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1CB42FB">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7D41EF3D">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14:paraId="1ACBC279">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F2B0E8B">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407EDB8F">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r>
    </w:tbl>
    <w:p w14:paraId="3B218416">
      <w:pPr>
        <w:widowControl/>
        <w:jc w:val="left"/>
        <w:rPr>
          <w:rFonts w:ascii="宋体" w:hAnsi="宋体"/>
          <w:b/>
          <w:bCs/>
          <w:color w:val="auto"/>
          <w:kern w:val="44"/>
          <w:sz w:val="28"/>
          <w:szCs w:val="28"/>
          <w:highlight w:val="none"/>
        </w:rPr>
      </w:pPr>
      <w:r>
        <w:rPr>
          <w:rFonts w:ascii="宋体" w:hAnsi="宋体"/>
          <w:color w:val="auto"/>
          <w:sz w:val="28"/>
          <w:szCs w:val="28"/>
          <w:highlight w:val="none"/>
        </w:rPr>
        <w:br w:type="page"/>
      </w:r>
    </w:p>
    <w:p w14:paraId="4B80EAEB">
      <w:pPr>
        <w:spacing w:before="156" w:beforeLines="50" w:after="156" w:afterLines="50" w:line="360" w:lineRule="auto"/>
        <w:ind w:firstLine="6160" w:firstLineChars="2800"/>
        <w:contextualSpacing/>
        <w:jc w:val="both"/>
        <w:rPr>
          <w:rFonts w:ascii="宋体" w:hAnsi="宋体"/>
          <w:color w:val="auto"/>
          <w:highlight w:val="none"/>
        </w:rPr>
      </w:pPr>
      <w:bookmarkStart w:id="146" w:name="_Toc4498"/>
      <w:r>
        <w:rPr>
          <w:rFonts w:hint="eastAsia" w:ascii="宋体" w:hAnsi="宋体" w:cs="宋体"/>
          <w:color w:val="auto"/>
          <w:sz w:val="22"/>
          <w:szCs w:val="22"/>
          <w:highlight w:val="none"/>
          <w:lang w:bidi="ar"/>
        </w:rPr>
        <w:t xml:space="preserve">合同编号：    </w:t>
      </w:r>
    </w:p>
    <w:p w14:paraId="7AEB2572">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14:paraId="55E34ED3">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织金高原泉水务有限公司35%股权、债权资产包整体转让中介服务采购项目</w:t>
      </w:r>
      <w:r>
        <w:rPr>
          <w:rFonts w:hint="eastAsia" w:hAnsi="宋体"/>
          <w:b/>
          <w:color w:val="auto"/>
          <w:kern w:val="2"/>
          <w:sz w:val="48"/>
          <w:szCs w:val="40"/>
          <w:highlight w:val="none"/>
          <w:lang w:eastAsia="zh-CN"/>
        </w:rPr>
        <w:br w:type="textWrapping"/>
      </w:r>
      <w:r>
        <w:rPr>
          <w:rFonts w:hint="eastAsia" w:hAnsi="宋体"/>
          <w:b/>
          <w:color w:val="auto"/>
          <w:kern w:val="2"/>
          <w:sz w:val="44"/>
          <w:szCs w:val="36"/>
          <w:highlight w:val="none"/>
          <w:lang w:val="en-US" w:eastAsia="zh-CN"/>
        </w:rPr>
        <w:t>标包：2</w:t>
      </w:r>
      <w:r>
        <w:rPr>
          <w:rFonts w:hint="eastAsia" w:hAnsi="宋体"/>
          <w:b/>
          <w:color w:val="auto"/>
          <w:kern w:val="2"/>
          <w:sz w:val="44"/>
          <w:szCs w:val="36"/>
          <w:highlight w:val="none"/>
        </w:rPr>
        <w:t>合同</w:t>
      </w:r>
    </w:p>
    <w:p w14:paraId="75F32F41">
      <w:pPr>
        <w:tabs>
          <w:tab w:val="left" w:pos="180"/>
        </w:tabs>
        <w:spacing w:line="360" w:lineRule="auto"/>
        <w:ind w:left="2730" w:leftChars="800" w:hanging="1050" w:hangingChars="500"/>
        <w:rPr>
          <w:rFonts w:hint="eastAsia" w:ascii="宋体" w:hAnsi="宋体" w:eastAsia="宋体" w:cs="宋体"/>
          <w:color w:val="auto"/>
          <w:highlight w:val="none"/>
        </w:rPr>
      </w:pPr>
    </w:p>
    <w:p w14:paraId="11CA7883">
      <w:pPr>
        <w:tabs>
          <w:tab w:val="left" w:pos="180"/>
        </w:tabs>
        <w:spacing w:line="360" w:lineRule="auto"/>
        <w:ind w:left="2730" w:leftChars="800" w:hanging="1050" w:hangingChars="500"/>
        <w:rPr>
          <w:rFonts w:hint="eastAsia" w:ascii="宋体" w:hAnsi="宋体" w:eastAsia="宋体" w:cs="宋体"/>
          <w:color w:val="auto"/>
          <w:highlight w:val="none"/>
        </w:rPr>
      </w:pPr>
    </w:p>
    <w:p w14:paraId="72F66B86">
      <w:pPr>
        <w:tabs>
          <w:tab w:val="left" w:pos="180"/>
        </w:tabs>
        <w:spacing w:line="360" w:lineRule="auto"/>
        <w:ind w:left="2730" w:leftChars="800" w:hanging="1050" w:hangingChars="500"/>
        <w:rPr>
          <w:rFonts w:hint="eastAsia" w:ascii="宋体" w:hAnsi="宋体" w:eastAsia="宋体" w:cs="宋体"/>
          <w:color w:val="auto"/>
          <w:highlight w:val="none"/>
        </w:rPr>
      </w:pPr>
    </w:p>
    <w:p w14:paraId="0DC86A47">
      <w:pPr>
        <w:tabs>
          <w:tab w:val="left" w:pos="180"/>
        </w:tabs>
        <w:spacing w:line="360" w:lineRule="auto"/>
        <w:ind w:left="2730" w:leftChars="800" w:hanging="1050" w:hangingChars="500"/>
        <w:rPr>
          <w:rFonts w:hint="eastAsia" w:ascii="宋体" w:hAnsi="宋体" w:eastAsia="宋体" w:cs="宋体"/>
          <w:color w:val="auto"/>
          <w:highlight w:val="none"/>
        </w:rPr>
      </w:pPr>
    </w:p>
    <w:p w14:paraId="2CA042E1">
      <w:pPr>
        <w:tabs>
          <w:tab w:val="left" w:pos="180"/>
        </w:tabs>
        <w:spacing w:line="360" w:lineRule="auto"/>
        <w:ind w:left="2730" w:leftChars="800" w:hanging="1050" w:hangingChars="500"/>
        <w:rPr>
          <w:rFonts w:hint="eastAsia" w:ascii="宋体" w:hAnsi="宋体" w:eastAsia="宋体" w:cs="宋体"/>
          <w:color w:val="auto"/>
          <w:highlight w:val="none"/>
        </w:rPr>
      </w:pPr>
    </w:p>
    <w:p w14:paraId="3553D8E7">
      <w:pPr>
        <w:tabs>
          <w:tab w:val="left" w:pos="180"/>
        </w:tabs>
        <w:spacing w:line="360" w:lineRule="auto"/>
        <w:ind w:left="2730" w:leftChars="800" w:hanging="1050" w:hangingChars="500"/>
        <w:rPr>
          <w:rFonts w:hint="eastAsia" w:ascii="宋体" w:hAnsi="宋体" w:eastAsia="宋体" w:cs="宋体"/>
          <w:color w:val="auto"/>
          <w:highlight w:val="none"/>
        </w:rPr>
      </w:pPr>
    </w:p>
    <w:p w14:paraId="4A2F850A">
      <w:pPr>
        <w:tabs>
          <w:tab w:val="left" w:pos="180"/>
        </w:tabs>
        <w:spacing w:line="360" w:lineRule="auto"/>
        <w:ind w:left="2730" w:leftChars="800" w:hanging="1050" w:hangingChars="500"/>
        <w:rPr>
          <w:rFonts w:hint="eastAsia" w:ascii="宋体" w:hAnsi="宋体" w:eastAsia="宋体" w:cs="宋体"/>
          <w:color w:val="auto"/>
          <w:highlight w:val="none"/>
        </w:rPr>
      </w:pPr>
    </w:p>
    <w:p w14:paraId="466377A5">
      <w:pPr>
        <w:tabs>
          <w:tab w:val="left" w:pos="180"/>
        </w:tabs>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织金高原泉水务有限公司35%股权、债权资产包整体转让中介服务采购项目</w:t>
      </w:r>
    </w:p>
    <w:p w14:paraId="4BBED40F">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14:paraId="7359AA62">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p>
    <w:p w14:paraId="19A1C690">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14:paraId="3CAC11EB">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承接人（乙方）： </w:t>
      </w:r>
    </w:p>
    <w:p w14:paraId="20A4181C">
      <w:pPr>
        <w:tabs>
          <w:tab w:val="left" w:pos="180"/>
        </w:tabs>
        <w:spacing w:line="360" w:lineRule="auto"/>
        <w:ind w:firstLine="960" w:firstLineChars="400"/>
        <w:rPr>
          <w:rFonts w:hint="eastAsia" w:ascii="宋体" w:hAnsi="宋体" w:eastAsia="宋体" w:cs="宋体"/>
          <w:color w:val="auto"/>
          <w:sz w:val="24"/>
          <w:szCs w:val="24"/>
          <w:highlight w:val="none"/>
        </w:rPr>
      </w:pPr>
    </w:p>
    <w:p w14:paraId="740E7D0E">
      <w:pPr>
        <w:tabs>
          <w:tab w:val="left" w:pos="180"/>
        </w:tabs>
        <w:spacing w:line="360" w:lineRule="auto"/>
        <w:ind w:firstLine="960" w:firstLineChars="400"/>
        <w:rPr>
          <w:rFonts w:hint="eastAsia" w:ascii="宋体" w:hAnsi="宋体" w:eastAsia="宋体" w:cs="宋体"/>
          <w:color w:val="auto"/>
          <w:sz w:val="24"/>
          <w:szCs w:val="24"/>
          <w:highlight w:val="none"/>
        </w:rPr>
      </w:pPr>
    </w:p>
    <w:p w14:paraId="7521D4E1">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E05F4D">
      <w:pPr>
        <w:pStyle w:val="111"/>
        <w:spacing w:line="400" w:lineRule="exact"/>
        <w:ind w:firstLine="420" w:firstLineChars="200"/>
        <w:outlineLvl w:val="9"/>
        <w:rPr>
          <w:rFonts w:hAnsi="宋体" w:cs="宋体"/>
          <w:bCs/>
          <w:color w:val="auto"/>
          <w:sz w:val="21"/>
          <w:highlight w:val="none"/>
        </w:rPr>
      </w:pPr>
    </w:p>
    <w:p w14:paraId="39697E38">
      <w:pPr>
        <w:snapToGrid w:val="0"/>
        <w:spacing w:line="360" w:lineRule="auto"/>
        <w:rPr>
          <w:rFonts w:hint="eastAsia" w:asciiTheme="minorEastAsia" w:hAnsiTheme="minorEastAsia" w:eastAsiaTheme="minorEastAsia" w:cstheme="minorEastAsia"/>
          <w:color w:val="auto"/>
          <w:sz w:val="21"/>
          <w:szCs w:val="21"/>
          <w:highlight w:val="none"/>
        </w:rPr>
      </w:pPr>
    </w:p>
    <w:p w14:paraId="6E007078">
      <w:pPr>
        <w:snapToGrid w:val="0"/>
        <w:spacing w:line="360" w:lineRule="auto"/>
        <w:rPr>
          <w:rFonts w:hint="eastAsia" w:asciiTheme="minorEastAsia" w:hAnsiTheme="minorEastAsia" w:eastAsiaTheme="minorEastAsia" w:cstheme="minorEastAsia"/>
          <w:color w:val="auto"/>
          <w:sz w:val="21"/>
          <w:szCs w:val="21"/>
          <w:highlight w:val="none"/>
        </w:rPr>
      </w:pPr>
    </w:p>
    <w:p w14:paraId="4093F603">
      <w:pPr>
        <w:snapToGrid w:val="0"/>
        <w:spacing w:line="360" w:lineRule="auto"/>
        <w:rPr>
          <w:rFonts w:hint="eastAsia" w:asciiTheme="minorEastAsia" w:hAnsiTheme="minorEastAsia" w:eastAsiaTheme="minorEastAsia" w:cstheme="minorEastAsia"/>
          <w:color w:val="auto"/>
          <w:sz w:val="21"/>
          <w:szCs w:val="21"/>
          <w:highlight w:val="none"/>
        </w:rPr>
      </w:pPr>
    </w:p>
    <w:p w14:paraId="19213AD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388EFCB0">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2797C018">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4AE8E231">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14:paraId="4C880B7F">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14:paraId="6CB143EC">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F5F7FC4">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05C65181">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2EDAD02A">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14:paraId="6AAD2139">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r>
        <w:rPr>
          <w:rFonts w:hint="eastAsia" w:ascii="宋体" w:hAnsi="宋体" w:cs="宋体"/>
          <w:color w:val="auto"/>
          <w:sz w:val="21"/>
          <w:szCs w:val="21"/>
          <w:highlight w:val="none"/>
          <w:u w:val="single"/>
          <w:lang w:eastAsia="zh-CN"/>
        </w:rPr>
        <w:t>织金高原泉水务有限公司35%股权、债权资产包整体转让中介服务采购项目</w:t>
      </w:r>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14:paraId="1EFB47E7">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14:paraId="48F0A06D">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我司需对外出售所持有的贵州新锶源饮用水销售有限公司80%股权。为保障上述股权转让工作合法合规、顺利推进，需聘请专业服务单位提供清产核资审计服务。</w:t>
      </w:r>
    </w:p>
    <w:p w14:paraId="5FD962F3">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14:paraId="734FD98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val="en-US" w:eastAsia="zh-CN"/>
        </w:rPr>
        <w:t>贵州新锶源饮用水销售有限公司</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，出具资产审计报告。</w:t>
      </w:r>
    </w:p>
    <w:p w14:paraId="1007C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14:paraId="583A50B1">
      <w:pPr>
        <w:numPr>
          <w:ilvl w:val="255"/>
          <w:numId w:val="0"/>
        </w:numPr>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1.服务质量要求</w:t>
      </w:r>
    </w:p>
    <w:p w14:paraId="697E1EC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乙方须保证按照相关要求遵守职业道德规范，恪守独立、客观、公正的原则，确保其履行职责所需要的专业胜任能力，以应有的职业谨慎态度执行审核业务。</w:t>
      </w:r>
    </w:p>
    <w:p w14:paraId="518DF49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乙方应当在实施必要的审计程序后，以经过核实的证据为依据，分析、评价审核结论，形成审计意见，出具审计报告。保证审计报告的真实性、准确性、合法性。</w:t>
      </w:r>
    </w:p>
    <w:p w14:paraId="642C795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乙方可在审计过程中合理分配工作量和工作时间，必须保证在合同规定的时间内认真负责地完成合同范围内的服务工作并出具合格的报告。</w:t>
      </w:r>
    </w:p>
    <w:p w14:paraId="4BCCE28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甲方或被评估单位所提供的有关文件资料和执业过程中获知的商业秘密，应妥善保管并负保密责任。除法律、法规另有规定的以外，未经甲方书面许可，乙方不得将审计报告内容，以及甲方或被评估单位提供的有关文件资料和执业过程中获知的商业秘密向第三方提供或者公开。上述保密义务，在本项目终止或合同解除之后仍需履行。</w:t>
      </w:r>
    </w:p>
    <w:p w14:paraId="3059C2D5">
      <w:pPr>
        <w:numPr>
          <w:ilvl w:val="255"/>
          <w:numId w:val="0"/>
        </w:numPr>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2.服务人员要求</w:t>
      </w:r>
    </w:p>
    <w:p w14:paraId="0FEDDEA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本项目对乙方服务专业要求高，乙方必须配备经验丰富、数量足够的专业人员，确保审计工作质量。</w:t>
      </w:r>
    </w:p>
    <w:p w14:paraId="44DF99E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服务团队项目负责人要求具有注册会计师证书，执业经验3年以上。</w:t>
      </w:r>
    </w:p>
    <w:p w14:paraId="024D3624">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14:paraId="0AA3FE24">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14:paraId="2B5F5CF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14:paraId="0BBE912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14:paraId="4589D83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之日起5个工作日内支付合同金额的100%</w:t>
      </w:r>
      <w:r>
        <w:rPr>
          <w:rFonts w:hint="eastAsia" w:asciiTheme="minorEastAsia" w:hAnsiTheme="minorEastAsia" w:eastAsiaTheme="minorEastAsia" w:cstheme="minorEastAsia"/>
          <w:color w:val="auto"/>
          <w:sz w:val="21"/>
          <w:szCs w:val="21"/>
          <w:highlight w:val="none"/>
        </w:rPr>
        <w:t>。</w:t>
      </w:r>
    </w:p>
    <w:p w14:paraId="5D98779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14:paraId="27CD773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14:paraId="63084C0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14:paraId="5A2467E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14:paraId="0348590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14:paraId="41BF492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34E3BD8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0111C12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14:paraId="7B7782B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14:paraId="2A8468E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F61B0D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A4A655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14:paraId="6B1CAAF4">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14:paraId="0618DE8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14:paraId="7E72112B">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14:paraId="660E0712">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14:paraId="4C17F8E8">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14:paraId="1FCBE33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文件及技术方案关于项目计划、职责、管理要求等规定内容。</w:t>
      </w:r>
    </w:p>
    <w:p w14:paraId="10E612E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14:paraId="4E195DC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w:t>
      </w:r>
      <w:r>
        <w:rPr>
          <w:rFonts w:hint="eastAsia" w:asciiTheme="minorEastAsia" w:hAnsiTheme="minorEastAsia" w:eastAsiaTheme="minorEastAsia" w:cstheme="minorEastAsia"/>
          <w:color w:val="auto"/>
          <w:sz w:val="21"/>
          <w:szCs w:val="21"/>
          <w:highlight w:val="none"/>
          <w:lang w:val="en-US" w:eastAsia="zh-CN"/>
        </w:rPr>
        <w:t>报告</w:t>
      </w:r>
      <w:r>
        <w:rPr>
          <w:rFonts w:hint="eastAsia" w:asciiTheme="minorEastAsia" w:hAnsiTheme="minorEastAsia" w:eastAsiaTheme="minorEastAsia" w:cstheme="minorEastAsia"/>
          <w:color w:val="auto"/>
          <w:sz w:val="21"/>
          <w:szCs w:val="21"/>
          <w:highlight w:val="none"/>
        </w:rPr>
        <w:t>。</w:t>
      </w:r>
    </w:p>
    <w:p w14:paraId="31FCE7C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当甲方发现乙方人员不按合同及采购需求书约定履行职责，甲方有权要求乙方更换项目人员，直到终止合同并要求乙方承担相应的赔偿责任。</w:t>
      </w:r>
    </w:p>
    <w:p w14:paraId="448317B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14:paraId="0C27D97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14:paraId="31F7D98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14:paraId="3BC9A29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作为联系代表，负责与乙方联系。若更换联系代表，应当提前通知乙方。</w:t>
      </w:r>
    </w:p>
    <w:p w14:paraId="75288C6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14:paraId="7033FCB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14:paraId="5720834A">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14:paraId="464F7FD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14:paraId="46682B5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14:paraId="54EA00C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14:paraId="6D8DF7D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14:paraId="79A3702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14:paraId="3E737D5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14:paraId="53E644F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14:paraId="655A33C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14:paraId="438B169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14:paraId="249A136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14:paraId="3368DD7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14:paraId="7AA7B3D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14:paraId="1F8BC1C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14:paraId="68D62DE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14:paraId="0172F4B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14:paraId="51307B3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14:paraId="063D0A2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14:paraId="5536086B">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14:paraId="046ED72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14:paraId="77478C6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14:paraId="1CCFF94B">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14:paraId="6C24BDC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14:paraId="6D13073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14:paraId="2C3F0F2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14:paraId="4ED685D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14:paraId="487A6AB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14:paraId="7268CE2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14:paraId="69B4A382">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14:paraId="673667D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14:paraId="2537F8B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14:paraId="2D80282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70F81A9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14:paraId="378CF9B7">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14:paraId="7C8BECB9">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14:paraId="1334B634">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14:paraId="745716C1">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14:paraId="293C87CD">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14:paraId="48858B3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14:paraId="67A55B6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14:paraId="36E221E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14:paraId="68AD504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14:paraId="4617DCF6">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14:paraId="3A79347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14:paraId="0A1A7C2A">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14:paraId="527A0E25">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14:paraId="25A3DDB8">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14:paraId="73F5F747">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14:paraId="33E9489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14:paraId="1F7A9B5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14:paraId="5BD2EDD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14:paraId="56902546">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14:paraId="2C808B9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14:paraId="23E3F02B">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14:paraId="166E4C0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14:paraId="3668478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14:paraId="60D61CA2">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14:paraId="48B8A42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14:paraId="580CFF1A">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14:paraId="5DC7A8F9">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14:paraId="70DAC38F">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14:paraId="00ACBEB9">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14:paraId="10D750E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14:paraId="61FA795C">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14:paraId="740A9170">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14:paraId="6AB3F14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14:paraId="77B39238">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14:paraId="1F9925C3">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14:paraId="4E7B9A5E">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14:paraId="1DF272E5">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14:paraId="552A9AF0">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14:paraId="4035F96F">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8"/>
        <w:tblpPr w:leftFromText="180" w:rightFromText="180" w:vertAnchor="text" w:horzAnchor="page" w:tblpX="1740" w:tblpY="119"/>
        <w:tblW w:w="8522" w:type="dxa"/>
        <w:tblInd w:w="0" w:type="dxa"/>
        <w:tblLayout w:type="fixed"/>
        <w:tblCellMar>
          <w:top w:w="0" w:type="dxa"/>
          <w:left w:w="108" w:type="dxa"/>
          <w:bottom w:w="0" w:type="dxa"/>
          <w:right w:w="108" w:type="dxa"/>
        </w:tblCellMar>
      </w:tblPr>
      <w:tblGrid>
        <w:gridCol w:w="4326"/>
        <w:gridCol w:w="4196"/>
      </w:tblGrid>
      <w:tr w14:paraId="3C9D8C0F">
        <w:tblPrEx>
          <w:tblCellMar>
            <w:top w:w="0" w:type="dxa"/>
            <w:left w:w="108" w:type="dxa"/>
            <w:bottom w:w="0" w:type="dxa"/>
            <w:right w:w="108" w:type="dxa"/>
          </w:tblCellMar>
        </w:tblPrEx>
        <w:trPr>
          <w:trHeight w:val="2208" w:hRule="atLeast"/>
        </w:trPr>
        <w:tc>
          <w:tcPr>
            <w:tcW w:w="4326" w:type="dxa"/>
            <w:noWrap w:val="0"/>
            <w:vAlign w:val="top"/>
          </w:tcPr>
          <w:p w14:paraId="2031C83E">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14:paraId="35CABF13">
            <w:pPr>
              <w:pStyle w:val="112"/>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广东新网工程技术有限公司</w:t>
            </w:r>
          </w:p>
        </w:tc>
        <w:tc>
          <w:tcPr>
            <w:tcW w:w="4196" w:type="dxa"/>
            <w:noWrap w:val="0"/>
            <w:vAlign w:val="top"/>
          </w:tcPr>
          <w:p w14:paraId="0610E71C">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乙方：（公章）</w:t>
            </w:r>
          </w:p>
          <w:p w14:paraId="342E858D">
            <w:pPr>
              <w:pStyle w:val="112"/>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r>
      <w:tr w14:paraId="1E590394">
        <w:tblPrEx>
          <w:tblCellMar>
            <w:top w:w="0" w:type="dxa"/>
            <w:left w:w="108" w:type="dxa"/>
            <w:bottom w:w="0" w:type="dxa"/>
            <w:right w:w="108" w:type="dxa"/>
          </w:tblCellMar>
        </w:tblPrEx>
        <w:trPr>
          <w:trHeight w:val="1580" w:hRule="atLeast"/>
        </w:trPr>
        <w:tc>
          <w:tcPr>
            <w:tcW w:w="4326" w:type="dxa"/>
            <w:noWrap w:val="0"/>
            <w:vAlign w:val="top"/>
          </w:tcPr>
          <w:p w14:paraId="3391C440">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2C048CA5">
            <w:pPr>
              <w:pStyle w:val="112"/>
              <w:spacing w:after="50" w:line="360" w:lineRule="auto"/>
              <w:rPr>
                <w:rFonts w:hint="eastAsia" w:ascii="宋体" w:hAnsi="宋体" w:eastAsia="宋体" w:cs="宋体"/>
                <w:color w:val="auto"/>
                <w:sz w:val="21"/>
                <w:szCs w:val="21"/>
                <w:highlight w:val="none"/>
              </w:rPr>
            </w:pPr>
          </w:p>
        </w:tc>
        <w:tc>
          <w:tcPr>
            <w:tcW w:w="4196" w:type="dxa"/>
            <w:noWrap w:val="0"/>
            <w:vAlign w:val="top"/>
          </w:tcPr>
          <w:p w14:paraId="2A7D3BE4">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1E18F6EF">
            <w:pPr>
              <w:pStyle w:val="112"/>
              <w:spacing w:after="50" w:line="360" w:lineRule="auto"/>
              <w:rPr>
                <w:rFonts w:hint="eastAsia" w:ascii="宋体" w:hAnsi="宋体" w:eastAsia="宋体" w:cs="宋体"/>
                <w:color w:val="auto"/>
                <w:sz w:val="21"/>
                <w:szCs w:val="21"/>
                <w:highlight w:val="none"/>
              </w:rPr>
            </w:pPr>
          </w:p>
          <w:p w14:paraId="02B05ED2">
            <w:pPr>
              <w:pStyle w:val="112"/>
              <w:spacing w:after="50" w:line="360" w:lineRule="auto"/>
              <w:rPr>
                <w:rFonts w:hint="eastAsia" w:ascii="宋体" w:hAnsi="宋体" w:eastAsia="宋体" w:cs="宋体"/>
                <w:color w:val="auto"/>
                <w:sz w:val="21"/>
                <w:szCs w:val="21"/>
                <w:highlight w:val="none"/>
              </w:rPr>
            </w:pPr>
          </w:p>
        </w:tc>
      </w:tr>
      <w:tr w14:paraId="0BF24F9D">
        <w:tblPrEx>
          <w:tblCellMar>
            <w:top w:w="0" w:type="dxa"/>
            <w:left w:w="108" w:type="dxa"/>
            <w:bottom w:w="0" w:type="dxa"/>
            <w:right w:w="108" w:type="dxa"/>
          </w:tblCellMar>
        </w:tblPrEx>
        <w:tc>
          <w:tcPr>
            <w:tcW w:w="4326" w:type="dxa"/>
            <w:noWrap w:val="0"/>
            <w:vAlign w:val="top"/>
          </w:tcPr>
          <w:p w14:paraId="6FAC848C">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4062BDA0">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14:paraId="09411E4D">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14:paraId="656CB7BF">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9D805A7">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700F338B">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14:paraId="34970252">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6C004E4">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3F6F8AE">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4196" w:type="dxa"/>
            <w:noWrap w:val="0"/>
            <w:vAlign w:val="top"/>
          </w:tcPr>
          <w:p w14:paraId="0E53AEB3">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6E246095">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14:paraId="7CA3E7DC">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14:paraId="3982E125">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25B0295">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11E4BFAE">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14:paraId="1400F90B">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29BF7D9">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23F58577">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r>
    </w:tbl>
    <w:p w14:paraId="5EF560D4">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1D4804BB">
      <w:pPr>
        <w:pStyle w:val="5"/>
        <w:jc w:val="center"/>
        <w:rPr>
          <w:rFonts w:ascii="宋体" w:hAnsi="宋体"/>
          <w:color w:val="auto"/>
          <w:sz w:val="28"/>
          <w:szCs w:val="28"/>
          <w:highlight w:val="none"/>
        </w:rPr>
      </w:pPr>
      <w:r>
        <w:rPr>
          <w:rFonts w:hint="eastAsia" w:ascii="宋体" w:hAnsi="宋体"/>
          <w:color w:val="auto"/>
          <w:sz w:val="28"/>
          <w:szCs w:val="28"/>
          <w:highlight w:val="none"/>
        </w:rPr>
        <w:t>第六章 响应文件格式</w:t>
      </w:r>
      <w:bookmarkEnd w:id="141"/>
      <w:bookmarkEnd w:id="142"/>
      <w:bookmarkEnd w:id="143"/>
      <w:bookmarkEnd w:id="144"/>
      <w:bookmarkEnd w:id="146"/>
    </w:p>
    <w:p w14:paraId="0A1A7370">
      <w:pPr>
        <w:jc w:val="center"/>
        <w:rPr>
          <w:rFonts w:ascii="黑体" w:hAnsi="宋体" w:eastAsia="黑体"/>
          <w:color w:val="auto"/>
          <w:sz w:val="32"/>
          <w:szCs w:val="32"/>
          <w:highlight w:val="none"/>
        </w:rPr>
      </w:pPr>
    </w:p>
    <w:p w14:paraId="2472E98C">
      <w:pPr>
        <w:spacing w:line="480" w:lineRule="auto"/>
        <w:rPr>
          <w:rFonts w:eastAsia="黑体"/>
          <w:color w:val="auto"/>
          <w:sz w:val="20"/>
          <w:szCs w:val="20"/>
          <w:highlight w:val="none"/>
        </w:rPr>
      </w:pPr>
    </w:p>
    <w:p w14:paraId="0DAA68A3">
      <w:pPr>
        <w:spacing w:line="480" w:lineRule="auto"/>
        <w:jc w:val="center"/>
        <w:rPr>
          <w:rFonts w:hint="default" w:eastAsia="黑体"/>
          <w:color w:val="auto"/>
          <w:sz w:val="20"/>
          <w:szCs w:val="20"/>
          <w:highlight w:val="none"/>
          <w:lang w:val="en-US" w:eastAsia="zh-CN"/>
        </w:rPr>
      </w:pPr>
      <w:r>
        <w:rPr>
          <w:rFonts w:hint="eastAsia" w:eastAsia="黑体"/>
          <w:color w:val="auto"/>
          <w:sz w:val="28"/>
          <w:szCs w:val="28"/>
          <w:highlight w:val="none"/>
          <w:u w:val="single"/>
        </w:rPr>
        <w:t xml:space="preserve">    </w:t>
      </w:r>
      <w:r>
        <w:rPr>
          <w:rFonts w:eastAsia="黑体"/>
          <w:color w:val="auto"/>
          <w:sz w:val="28"/>
          <w:szCs w:val="28"/>
          <w:highlight w:val="none"/>
          <w:u w:val="single"/>
        </w:rPr>
        <w:t>（项目名称）</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u w:val="single"/>
        </w:rPr>
        <w:br w:type="textWrapping"/>
      </w:r>
      <w:r>
        <w:rPr>
          <w:rFonts w:hint="eastAsia" w:eastAsia="黑体"/>
          <w:color w:val="auto"/>
          <w:sz w:val="28"/>
          <w:szCs w:val="28"/>
          <w:highlight w:val="none"/>
          <w:u w:val="single"/>
        </w:rPr>
        <w:t>标包：</w:t>
      </w:r>
      <w:r>
        <w:rPr>
          <w:rFonts w:hint="eastAsia" w:eastAsia="黑体"/>
          <w:color w:val="auto"/>
          <w:sz w:val="28"/>
          <w:szCs w:val="28"/>
          <w:highlight w:val="none"/>
          <w:u w:val="single"/>
          <w:lang w:val="en-US" w:eastAsia="zh-CN"/>
        </w:rPr>
        <w:t xml:space="preserve">     </w:t>
      </w:r>
    </w:p>
    <w:p w14:paraId="71F92222">
      <w:pPr>
        <w:spacing w:line="480" w:lineRule="auto"/>
        <w:jc w:val="center"/>
        <w:rPr>
          <w:rFonts w:eastAsia="黑体"/>
          <w:color w:val="auto"/>
          <w:sz w:val="20"/>
          <w:szCs w:val="20"/>
          <w:highlight w:val="none"/>
        </w:rPr>
      </w:pPr>
    </w:p>
    <w:p w14:paraId="20E229D2">
      <w:pPr>
        <w:spacing w:line="480" w:lineRule="auto"/>
        <w:jc w:val="center"/>
        <w:rPr>
          <w:rFonts w:eastAsia="黑体"/>
          <w:color w:val="auto"/>
          <w:sz w:val="20"/>
          <w:szCs w:val="20"/>
          <w:highlight w:val="none"/>
        </w:rPr>
      </w:pPr>
    </w:p>
    <w:p w14:paraId="770C3D45">
      <w:pPr>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响</w:t>
      </w:r>
      <w:r>
        <w:rPr>
          <w:rFonts w:ascii="宋体" w:hAnsi="宋体"/>
          <w:b/>
          <w:color w:val="auto"/>
          <w:sz w:val="52"/>
          <w:szCs w:val="52"/>
          <w:highlight w:val="none"/>
        </w:rPr>
        <w:t xml:space="preserve">  </w:t>
      </w:r>
      <w:r>
        <w:rPr>
          <w:rFonts w:hint="eastAsia" w:ascii="宋体" w:hAnsi="宋体"/>
          <w:b/>
          <w:color w:val="auto"/>
          <w:sz w:val="52"/>
          <w:szCs w:val="52"/>
          <w:highlight w:val="none"/>
        </w:rPr>
        <w:t>应</w:t>
      </w:r>
      <w:r>
        <w:rPr>
          <w:rFonts w:ascii="宋体" w:hAnsi="宋体"/>
          <w:b/>
          <w:color w:val="auto"/>
          <w:sz w:val="52"/>
          <w:szCs w:val="52"/>
          <w:highlight w:val="none"/>
        </w:rPr>
        <w:t xml:space="preserve">  文  件</w:t>
      </w:r>
    </w:p>
    <w:p w14:paraId="34102354">
      <w:pPr>
        <w:jc w:val="center"/>
        <w:rPr>
          <w:rFonts w:eastAsia="黑体"/>
          <w:color w:val="auto"/>
          <w:sz w:val="28"/>
          <w:szCs w:val="28"/>
          <w:highlight w:val="none"/>
        </w:rPr>
      </w:pPr>
    </w:p>
    <w:p w14:paraId="7CB9A2C3">
      <w:pPr>
        <w:jc w:val="center"/>
        <w:rPr>
          <w:rFonts w:eastAsia="黑体"/>
          <w:color w:val="auto"/>
          <w:sz w:val="28"/>
          <w:szCs w:val="28"/>
          <w:highlight w:val="none"/>
        </w:rPr>
      </w:pPr>
    </w:p>
    <w:p w14:paraId="78B01CC6">
      <w:pPr>
        <w:rPr>
          <w:rFonts w:eastAsia="黑体"/>
          <w:color w:val="auto"/>
          <w:sz w:val="28"/>
          <w:szCs w:val="28"/>
          <w:highlight w:val="none"/>
        </w:rPr>
      </w:pPr>
    </w:p>
    <w:p w14:paraId="5B7001B1">
      <w:pPr>
        <w:rPr>
          <w:rFonts w:eastAsia="黑体"/>
          <w:color w:val="auto"/>
          <w:sz w:val="28"/>
          <w:szCs w:val="28"/>
          <w:highlight w:val="none"/>
        </w:rPr>
      </w:pPr>
    </w:p>
    <w:p w14:paraId="44B031EA">
      <w:pPr>
        <w:rPr>
          <w:rFonts w:eastAsia="黑体"/>
          <w:color w:val="auto"/>
          <w:sz w:val="28"/>
          <w:szCs w:val="28"/>
          <w:highlight w:val="none"/>
        </w:rPr>
      </w:pPr>
    </w:p>
    <w:p w14:paraId="372F70A6">
      <w:pPr>
        <w:rPr>
          <w:rFonts w:eastAsia="黑体"/>
          <w:color w:val="auto"/>
          <w:sz w:val="28"/>
          <w:szCs w:val="28"/>
          <w:highlight w:val="none"/>
        </w:rPr>
      </w:pPr>
    </w:p>
    <w:p w14:paraId="27EB6166">
      <w:pPr>
        <w:rPr>
          <w:rFonts w:eastAsia="黑体"/>
          <w:color w:val="auto"/>
          <w:sz w:val="28"/>
          <w:szCs w:val="28"/>
          <w:highlight w:val="none"/>
        </w:rPr>
      </w:pPr>
    </w:p>
    <w:p w14:paraId="34178BCF">
      <w:pPr>
        <w:rPr>
          <w:rFonts w:eastAsia="黑体"/>
          <w:color w:val="auto"/>
          <w:sz w:val="28"/>
          <w:szCs w:val="28"/>
          <w:highlight w:val="none"/>
        </w:rPr>
      </w:pPr>
    </w:p>
    <w:p w14:paraId="51325DA9">
      <w:pPr>
        <w:rPr>
          <w:rFonts w:eastAsia="黑体"/>
          <w:color w:val="auto"/>
          <w:sz w:val="28"/>
          <w:szCs w:val="28"/>
          <w:highlight w:val="none"/>
        </w:rPr>
      </w:pPr>
    </w:p>
    <w:p w14:paraId="0F598B6A">
      <w:pPr>
        <w:spacing w:line="360" w:lineRule="auto"/>
        <w:jc w:val="center"/>
        <w:rPr>
          <w:rFonts w:eastAsia="黑体"/>
          <w:color w:val="auto"/>
          <w:sz w:val="28"/>
          <w:szCs w:val="28"/>
          <w:highlight w:val="none"/>
          <w:u w:val="single"/>
        </w:rPr>
      </w:pPr>
      <w:r>
        <w:rPr>
          <w:rFonts w:eastAsia="黑体"/>
          <w:color w:val="auto"/>
          <w:sz w:val="28"/>
          <w:szCs w:val="28"/>
          <w:highlight w:val="none"/>
        </w:rPr>
        <w:t>响应人：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w:t>
      </w:r>
      <w:r>
        <w:rPr>
          <w:rFonts w:hint="eastAsia" w:eastAsia="黑体"/>
          <w:color w:val="auto"/>
          <w:sz w:val="28"/>
          <w:szCs w:val="28"/>
          <w:highlight w:val="none"/>
        </w:rPr>
        <w:t>公</w:t>
      </w:r>
      <w:r>
        <w:rPr>
          <w:rFonts w:eastAsia="黑体"/>
          <w:color w:val="auto"/>
          <w:sz w:val="28"/>
          <w:szCs w:val="28"/>
          <w:highlight w:val="none"/>
        </w:rPr>
        <w:t>章）</w:t>
      </w:r>
    </w:p>
    <w:p w14:paraId="38A85E76">
      <w:pPr>
        <w:spacing w:line="360" w:lineRule="auto"/>
        <w:jc w:val="center"/>
        <w:rPr>
          <w:rFonts w:eastAsia="黑体"/>
          <w:color w:val="auto"/>
          <w:sz w:val="28"/>
          <w:szCs w:val="28"/>
          <w:highlight w:val="none"/>
        </w:rPr>
      </w:pP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eastAsia="黑体"/>
          <w:color w:val="auto"/>
          <w:sz w:val="28"/>
          <w:szCs w:val="28"/>
          <w:highlight w:val="none"/>
        </w:rPr>
        <w:t>（签字）</w:t>
      </w:r>
    </w:p>
    <w:p w14:paraId="04E53D9C">
      <w:pPr>
        <w:spacing w:line="36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75FBC26D">
      <w:pPr>
        <w:jc w:val="center"/>
        <w:rPr>
          <w:rFonts w:eastAsia="黑体"/>
          <w:color w:val="auto"/>
          <w:sz w:val="28"/>
          <w:szCs w:val="28"/>
          <w:highlight w:val="none"/>
        </w:rPr>
      </w:pPr>
    </w:p>
    <w:p w14:paraId="1A13F533">
      <w:pPr>
        <w:widowControl/>
        <w:jc w:val="left"/>
        <w:rPr>
          <w:color w:val="auto"/>
          <w:highlight w:val="none"/>
        </w:rPr>
      </w:pPr>
      <w:r>
        <w:rPr>
          <w:color w:val="auto"/>
          <w:highlight w:val="none"/>
        </w:rPr>
        <w:br w:type="page"/>
      </w:r>
    </w:p>
    <w:p w14:paraId="4C57245E">
      <w:pPr>
        <w:pStyle w:val="6"/>
        <w:jc w:val="center"/>
        <w:rPr>
          <w:rFonts w:ascii="黑体" w:hAnsi="宋体"/>
          <w:b w:val="0"/>
          <w:color w:val="auto"/>
          <w:szCs w:val="28"/>
          <w:highlight w:val="none"/>
        </w:rPr>
      </w:pPr>
      <w:bookmarkStart w:id="147" w:name="_Toc20859"/>
      <w:r>
        <w:rPr>
          <w:color w:val="auto"/>
          <w:highlight w:val="none"/>
        </w:rPr>
        <w:fldChar w:fldCharType="begin" w:fldLock="1"/>
      </w:r>
      <w:r>
        <w:rPr>
          <w:color w:val="auto"/>
          <w:highlight w:val="none"/>
        </w:rPr>
        <w:instrText xml:space="preserve"> HYPERLINK \l "_Toc338661805" </w:instrText>
      </w:r>
      <w:r>
        <w:rPr>
          <w:color w:val="auto"/>
          <w:highlight w:val="none"/>
        </w:rPr>
        <w:fldChar w:fldCharType="separate"/>
      </w:r>
      <w:bookmarkStart w:id="148" w:name="_Toc475407552"/>
      <w:r>
        <w:rPr>
          <w:rFonts w:hint="eastAsia" w:ascii="黑体" w:hAnsi="宋体"/>
          <w:b w:val="0"/>
          <w:color w:val="auto"/>
          <w:szCs w:val="28"/>
          <w:highlight w:val="none"/>
        </w:rPr>
        <w:t>目    录</w:t>
      </w:r>
      <w:bookmarkEnd w:id="148"/>
      <w:r>
        <w:rPr>
          <w:rFonts w:hint="eastAsia" w:ascii="黑体" w:hAnsi="宋体"/>
          <w:b w:val="0"/>
          <w:color w:val="auto"/>
          <w:szCs w:val="28"/>
          <w:highlight w:val="none"/>
        </w:rPr>
        <w:fldChar w:fldCharType="end"/>
      </w:r>
      <w:bookmarkEnd w:id="147"/>
    </w:p>
    <w:p w14:paraId="1588726E">
      <w:pPr>
        <w:spacing w:line="540" w:lineRule="exact"/>
        <w:rPr>
          <w:rFonts w:eastAsia="黑体"/>
          <w:color w:val="auto"/>
          <w:sz w:val="20"/>
          <w:szCs w:val="20"/>
          <w:highlight w:val="none"/>
        </w:rPr>
      </w:pPr>
      <w:r>
        <w:rPr>
          <w:color w:val="auto"/>
          <w:highlight w:val="none"/>
        </w:rPr>
        <w:br w:type="page"/>
      </w:r>
    </w:p>
    <w:p w14:paraId="7F8C1781">
      <w:pPr>
        <w:pStyle w:val="6"/>
        <w:jc w:val="left"/>
        <w:rPr>
          <w:color w:val="auto"/>
          <w:highlight w:val="none"/>
        </w:rPr>
      </w:pPr>
      <w:bookmarkStart w:id="149" w:name="_Toc327827430"/>
      <w:bookmarkStart w:id="150" w:name="_Toc338669151"/>
      <w:bookmarkStart w:id="151" w:name="_Toc28455"/>
      <w:bookmarkStart w:id="152" w:name="_Toc144974857"/>
      <w:bookmarkStart w:id="153" w:name="_Toc152045788"/>
      <w:bookmarkStart w:id="154" w:name="_Toc246997099"/>
      <w:bookmarkStart w:id="155" w:name="_Toc179632808"/>
      <w:bookmarkStart w:id="156" w:name="_Toc152042577"/>
      <w:bookmarkStart w:id="157" w:name="_Toc247085874"/>
      <w:bookmarkStart w:id="158" w:name="_Toc246996356"/>
      <w:r>
        <w:rPr>
          <w:rFonts w:hint="eastAsia"/>
          <w:color w:val="auto"/>
          <w:highlight w:val="none"/>
        </w:rPr>
        <w:t>第一部分</w:t>
      </w:r>
      <w:r>
        <w:rPr>
          <w:color w:val="auto"/>
          <w:highlight w:val="none"/>
        </w:rPr>
        <w:t xml:space="preserve">  </w:t>
      </w:r>
      <w:r>
        <w:rPr>
          <w:rFonts w:hint="eastAsia"/>
          <w:color w:val="auto"/>
          <w:highlight w:val="none"/>
        </w:rPr>
        <w:t>技术商务</w:t>
      </w:r>
      <w:bookmarkEnd w:id="149"/>
      <w:bookmarkEnd w:id="150"/>
      <w:r>
        <w:rPr>
          <w:rFonts w:hint="eastAsia"/>
          <w:color w:val="auto"/>
          <w:highlight w:val="none"/>
        </w:rPr>
        <w:t>部分</w:t>
      </w:r>
      <w:bookmarkEnd w:id="151"/>
    </w:p>
    <w:p w14:paraId="795FC91A">
      <w:pPr>
        <w:pStyle w:val="6"/>
        <w:jc w:val="center"/>
        <w:rPr>
          <w:rFonts w:ascii="黑体" w:hAnsi="宋体"/>
          <w:b w:val="0"/>
          <w:color w:val="auto"/>
          <w:szCs w:val="28"/>
          <w:highlight w:val="none"/>
        </w:rPr>
      </w:pPr>
      <w:bookmarkStart w:id="159" w:name="_Toc2970"/>
      <w:bookmarkStart w:id="160" w:name="_Toc475483721"/>
      <w:bookmarkStart w:id="161" w:name="_Toc338669152"/>
      <w:r>
        <w:rPr>
          <w:rFonts w:hint="eastAsia"/>
          <w:color w:val="auto"/>
          <w:highlight w:val="none"/>
        </w:rPr>
        <w:t>一、</w:t>
      </w:r>
      <w:r>
        <w:rPr>
          <w:rFonts w:hint="eastAsia" w:ascii="黑体" w:hAnsi="宋体"/>
          <w:b w:val="0"/>
          <w:color w:val="auto"/>
          <w:szCs w:val="28"/>
          <w:highlight w:val="none"/>
        </w:rPr>
        <w:t>评审索引表</w:t>
      </w:r>
      <w:bookmarkEnd w:id="159"/>
      <w:bookmarkEnd w:id="160"/>
    </w:p>
    <w:tbl>
      <w:tblPr>
        <w:tblStyle w:val="3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405"/>
        <w:gridCol w:w="1701"/>
        <w:gridCol w:w="1701"/>
        <w:gridCol w:w="2126"/>
      </w:tblGrid>
      <w:tr w14:paraId="659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08333654">
            <w:pPr>
              <w:jc w:val="center"/>
              <w:rPr>
                <w:rFonts w:ascii="宋体" w:hAnsi="宋体"/>
                <w:color w:val="auto"/>
                <w:sz w:val="24"/>
                <w:highlight w:val="none"/>
              </w:rPr>
            </w:pPr>
            <w:r>
              <w:rPr>
                <w:rFonts w:ascii="宋体" w:hAnsi="宋体"/>
                <w:color w:val="auto"/>
                <w:sz w:val="24"/>
                <w:highlight w:val="none"/>
              </w:rPr>
              <w:t>条款号</w:t>
            </w:r>
          </w:p>
        </w:tc>
        <w:tc>
          <w:tcPr>
            <w:tcW w:w="2405" w:type="dxa"/>
            <w:vAlign w:val="center"/>
          </w:tcPr>
          <w:p w14:paraId="7A2233E6">
            <w:pPr>
              <w:jc w:val="center"/>
              <w:rPr>
                <w:rFonts w:ascii="宋体" w:hAnsi="宋体"/>
                <w:color w:val="auto"/>
                <w:sz w:val="24"/>
                <w:highlight w:val="none"/>
              </w:rPr>
            </w:pPr>
            <w:r>
              <w:rPr>
                <w:rFonts w:ascii="宋体" w:hAnsi="宋体"/>
                <w:color w:val="auto"/>
                <w:sz w:val="24"/>
                <w:highlight w:val="none"/>
              </w:rPr>
              <w:t>评审因素</w:t>
            </w:r>
          </w:p>
        </w:tc>
        <w:tc>
          <w:tcPr>
            <w:tcW w:w="1701" w:type="dxa"/>
            <w:vAlign w:val="center"/>
          </w:tcPr>
          <w:p w14:paraId="079702B5">
            <w:pPr>
              <w:jc w:val="center"/>
              <w:rPr>
                <w:rFonts w:ascii="宋体" w:hAnsi="宋体"/>
                <w:color w:val="auto"/>
                <w:sz w:val="24"/>
                <w:highlight w:val="none"/>
              </w:rPr>
            </w:pPr>
            <w:r>
              <w:rPr>
                <w:rFonts w:hint="eastAsia" w:ascii="宋体" w:hAnsi="宋体"/>
                <w:color w:val="auto"/>
                <w:sz w:val="24"/>
                <w:highlight w:val="none"/>
              </w:rPr>
              <w:t>响应情况</w:t>
            </w:r>
          </w:p>
        </w:tc>
        <w:tc>
          <w:tcPr>
            <w:tcW w:w="1701" w:type="dxa"/>
            <w:vAlign w:val="center"/>
          </w:tcPr>
          <w:p w14:paraId="19310373">
            <w:pPr>
              <w:jc w:val="center"/>
              <w:rPr>
                <w:rFonts w:ascii="宋体" w:hAnsi="宋体"/>
                <w:color w:val="auto"/>
                <w:sz w:val="24"/>
                <w:highlight w:val="none"/>
              </w:rPr>
            </w:pPr>
            <w:r>
              <w:rPr>
                <w:rFonts w:hint="eastAsia" w:ascii="宋体" w:hAnsi="宋体"/>
                <w:color w:val="auto"/>
                <w:sz w:val="24"/>
                <w:highlight w:val="none"/>
              </w:rPr>
              <w:t>对应页码</w:t>
            </w:r>
          </w:p>
        </w:tc>
        <w:tc>
          <w:tcPr>
            <w:tcW w:w="2126" w:type="dxa"/>
            <w:vAlign w:val="center"/>
          </w:tcPr>
          <w:p w14:paraId="66F97B91">
            <w:pPr>
              <w:jc w:val="center"/>
              <w:rPr>
                <w:rFonts w:ascii="宋体" w:hAnsi="宋体"/>
                <w:color w:val="auto"/>
                <w:sz w:val="24"/>
                <w:highlight w:val="none"/>
              </w:rPr>
            </w:pPr>
            <w:r>
              <w:rPr>
                <w:rFonts w:hint="eastAsia" w:ascii="宋体" w:hAnsi="宋体"/>
                <w:color w:val="auto"/>
                <w:sz w:val="24"/>
                <w:highlight w:val="none"/>
              </w:rPr>
              <w:t>备注或说明</w:t>
            </w:r>
          </w:p>
        </w:tc>
      </w:tr>
      <w:tr w14:paraId="2A0F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02A160AA">
            <w:pPr>
              <w:tabs>
                <w:tab w:val="left" w:pos="720"/>
              </w:tabs>
              <w:spacing w:line="360" w:lineRule="auto"/>
              <w:ind w:left="-2" w:firstLine="1"/>
              <w:jc w:val="center"/>
              <w:rPr>
                <w:rFonts w:ascii="宋体" w:hAnsi="宋体"/>
                <w:color w:val="auto"/>
                <w:sz w:val="24"/>
                <w:highlight w:val="none"/>
              </w:rPr>
            </w:pPr>
            <w:r>
              <w:rPr>
                <w:rFonts w:ascii="宋体" w:hAnsi="宋体"/>
                <w:color w:val="auto"/>
                <w:sz w:val="24"/>
                <w:highlight w:val="none"/>
              </w:rPr>
              <w:t>…</w:t>
            </w:r>
          </w:p>
        </w:tc>
        <w:tc>
          <w:tcPr>
            <w:tcW w:w="2405" w:type="dxa"/>
            <w:vAlign w:val="center"/>
          </w:tcPr>
          <w:p w14:paraId="14A7B257">
            <w:pPr>
              <w:tabs>
                <w:tab w:val="left" w:pos="720"/>
              </w:tabs>
              <w:spacing w:line="360" w:lineRule="auto"/>
              <w:ind w:left="-2" w:firstLine="1"/>
              <w:jc w:val="center"/>
              <w:rPr>
                <w:rFonts w:ascii="宋体" w:hAnsi="宋体"/>
                <w:color w:val="auto"/>
                <w:sz w:val="24"/>
                <w:highlight w:val="none"/>
              </w:rPr>
            </w:pPr>
            <w:r>
              <w:rPr>
                <w:rFonts w:ascii="宋体" w:hAnsi="宋体"/>
                <w:color w:val="auto"/>
                <w:sz w:val="24"/>
                <w:highlight w:val="none"/>
              </w:rPr>
              <w:t>…</w:t>
            </w:r>
          </w:p>
        </w:tc>
        <w:tc>
          <w:tcPr>
            <w:tcW w:w="1701" w:type="dxa"/>
          </w:tcPr>
          <w:p w14:paraId="5633DB4A">
            <w:pPr>
              <w:tabs>
                <w:tab w:val="left" w:pos="720"/>
              </w:tabs>
              <w:spacing w:line="360" w:lineRule="auto"/>
              <w:jc w:val="center"/>
              <w:rPr>
                <w:rFonts w:ascii="宋体" w:hAnsi="宋体"/>
                <w:color w:val="auto"/>
                <w:sz w:val="24"/>
                <w:highlight w:val="none"/>
              </w:rPr>
            </w:pPr>
          </w:p>
        </w:tc>
        <w:tc>
          <w:tcPr>
            <w:tcW w:w="1701" w:type="dxa"/>
            <w:vAlign w:val="center"/>
          </w:tcPr>
          <w:p w14:paraId="2A0D6B87">
            <w:pPr>
              <w:tabs>
                <w:tab w:val="left" w:pos="720"/>
              </w:tabs>
              <w:spacing w:line="360" w:lineRule="auto"/>
              <w:jc w:val="center"/>
              <w:rPr>
                <w:rFonts w:ascii="宋体" w:hAnsi="宋体"/>
                <w:color w:val="auto"/>
                <w:sz w:val="24"/>
                <w:highlight w:val="none"/>
              </w:rPr>
            </w:pPr>
          </w:p>
        </w:tc>
        <w:tc>
          <w:tcPr>
            <w:tcW w:w="2126" w:type="dxa"/>
            <w:vAlign w:val="center"/>
          </w:tcPr>
          <w:p w14:paraId="33E045A9">
            <w:pPr>
              <w:tabs>
                <w:tab w:val="left" w:pos="720"/>
              </w:tabs>
              <w:spacing w:line="360" w:lineRule="auto"/>
              <w:jc w:val="center"/>
              <w:rPr>
                <w:rFonts w:ascii="宋体" w:hAnsi="宋体"/>
                <w:color w:val="auto"/>
                <w:sz w:val="24"/>
                <w:highlight w:val="none"/>
              </w:rPr>
            </w:pPr>
          </w:p>
        </w:tc>
      </w:tr>
      <w:tr w14:paraId="64D8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4E90534F">
            <w:pPr>
              <w:tabs>
                <w:tab w:val="left" w:pos="720"/>
              </w:tabs>
              <w:spacing w:line="360" w:lineRule="auto"/>
              <w:jc w:val="center"/>
              <w:rPr>
                <w:rFonts w:ascii="宋体" w:hAnsi="宋体"/>
                <w:color w:val="auto"/>
                <w:sz w:val="24"/>
                <w:highlight w:val="none"/>
              </w:rPr>
            </w:pPr>
          </w:p>
        </w:tc>
        <w:tc>
          <w:tcPr>
            <w:tcW w:w="2405" w:type="dxa"/>
            <w:vAlign w:val="center"/>
          </w:tcPr>
          <w:p w14:paraId="39EE6B51">
            <w:pPr>
              <w:tabs>
                <w:tab w:val="left" w:pos="720"/>
              </w:tabs>
              <w:spacing w:line="360" w:lineRule="auto"/>
              <w:jc w:val="center"/>
              <w:rPr>
                <w:rFonts w:ascii="宋体" w:hAnsi="宋体"/>
                <w:color w:val="auto"/>
                <w:sz w:val="24"/>
                <w:highlight w:val="none"/>
              </w:rPr>
            </w:pPr>
          </w:p>
        </w:tc>
        <w:tc>
          <w:tcPr>
            <w:tcW w:w="1701" w:type="dxa"/>
          </w:tcPr>
          <w:p w14:paraId="66F74026">
            <w:pPr>
              <w:tabs>
                <w:tab w:val="left" w:pos="720"/>
              </w:tabs>
              <w:spacing w:line="360" w:lineRule="auto"/>
              <w:jc w:val="center"/>
              <w:rPr>
                <w:rFonts w:ascii="宋体" w:hAnsi="宋体"/>
                <w:color w:val="auto"/>
                <w:sz w:val="24"/>
                <w:highlight w:val="none"/>
              </w:rPr>
            </w:pPr>
          </w:p>
        </w:tc>
        <w:tc>
          <w:tcPr>
            <w:tcW w:w="1701" w:type="dxa"/>
            <w:vAlign w:val="center"/>
          </w:tcPr>
          <w:p w14:paraId="729347F1">
            <w:pPr>
              <w:tabs>
                <w:tab w:val="left" w:pos="720"/>
              </w:tabs>
              <w:spacing w:line="360" w:lineRule="auto"/>
              <w:jc w:val="center"/>
              <w:rPr>
                <w:rFonts w:ascii="宋体" w:hAnsi="宋体"/>
                <w:color w:val="auto"/>
                <w:sz w:val="24"/>
                <w:highlight w:val="none"/>
              </w:rPr>
            </w:pPr>
          </w:p>
        </w:tc>
        <w:tc>
          <w:tcPr>
            <w:tcW w:w="2126" w:type="dxa"/>
            <w:vAlign w:val="center"/>
          </w:tcPr>
          <w:p w14:paraId="503466A7">
            <w:pPr>
              <w:tabs>
                <w:tab w:val="left" w:pos="720"/>
              </w:tabs>
              <w:spacing w:line="360" w:lineRule="auto"/>
              <w:jc w:val="center"/>
              <w:rPr>
                <w:rFonts w:ascii="宋体" w:hAnsi="宋体"/>
                <w:color w:val="auto"/>
                <w:sz w:val="24"/>
                <w:highlight w:val="none"/>
              </w:rPr>
            </w:pPr>
          </w:p>
        </w:tc>
      </w:tr>
      <w:tr w14:paraId="5B63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2FF33244">
            <w:pPr>
              <w:tabs>
                <w:tab w:val="left" w:pos="720"/>
              </w:tabs>
              <w:spacing w:line="360" w:lineRule="auto"/>
              <w:jc w:val="center"/>
              <w:rPr>
                <w:rFonts w:ascii="宋体" w:hAnsi="宋体"/>
                <w:color w:val="auto"/>
                <w:sz w:val="24"/>
                <w:highlight w:val="none"/>
              </w:rPr>
            </w:pPr>
          </w:p>
        </w:tc>
        <w:tc>
          <w:tcPr>
            <w:tcW w:w="2405" w:type="dxa"/>
            <w:vAlign w:val="center"/>
          </w:tcPr>
          <w:p w14:paraId="2D51BD6F">
            <w:pPr>
              <w:tabs>
                <w:tab w:val="left" w:pos="720"/>
              </w:tabs>
              <w:spacing w:line="360" w:lineRule="auto"/>
              <w:jc w:val="center"/>
              <w:rPr>
                <w:rFonts w:ascii="宋体" w:hAnsi="宋体"/>
                <w:color w:val="auto"/>
                <w:sz w:val="24"/>
                <w:highlight w:val="none"/>
              </w:rPr>
            </w:pPr>
          </w:p>
        </w:tc>
        <w:tc>
          <w:tcPr>
            <w:tcW w:w="1701" w:type="dxa"/>
          </w:tcPr>
          <w:p w14:paraId="7247691F">
            <w:pPr>
              <w:tabs>
                <w:tab w:val="left" w:pos="720"/>
              </w:tabs>
              <w:spacing w:line="360" w:lineRule="auto"/>
              <w:jc w:val="center"/>
              <w:rPr>
                <w:rFonts w:ascii="宋体" w:hAnsi="宋体"/>
                <w:color w:val="auto"/>
                <w:sz w:val="24"/>
                <w:highlight w:val="none"/>
              </w:rPr>
            </w:pPr>
          </w:p>
        </w:tc>
        <w:tc>
          <w:tcPr>
            <w:tcW w:w="1701" w:type="dxa"/>
            <w:vAlign w:val="center"/>
          </w:tcPr>
          <w:p w14:paraId="258FF9CC">
            <w:pPr>
              <w:tabs>
                <w:tab w:val="left" w:pos="720"/>
              </w:tabs>
              <w:spacing w:line="360" w:lineRule="auto"/>
              <w:jc w:val="center"/>
              <w:rPr>
                <w:rFonts w:ascii="宋体" w:hAnsi="宋体"/>
                <w:color w:val="auto"/>
                <w:sz w:val="24"/>
                <w:highlight w:val="none"/>
              </w:rPr>
            </w:pPr>
          </w:p>
        </w:tc>
        <w:tc>
          <w:tcPr>
            <w:tcW w:w="2126" w:type="dxa"/>
            <w:vAlign w:val="center"/>
          </w:tcPr>
          <w:p w14:paraId="5CB60044">
            <w:pPr>
              <w:tabs>
                <w:tab w:val="left" w:pos="720"/>
              </w:tabs>
              <w:spacing w:line="360" w:lineRule="auto"/>
              <w:jc w:val="center"/>
              <w:rPr>
                <w:rFonts w:ascii="宋体" w:hAnsi="宋体"/>
                <w:color w:val="auto"/>
                <w:sz w:val="24"/>
                <w:highlight w:val="none"/>
              </w:rPr>
            </w:pPr>
          </w:p>
        </w:tc>
      </w:tr>
      <w:tr w14:paraId="6433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76742949">
            <w:pPr>
              <w:tabs>
                <w:tab w:val="left" w:pos="720"/>
              </w:tabs>
              <w:spacing w:line="360" w:lineRule="auto"/>
              <w:jc w:val="center"/>
              <w:rPr>
                <w:rFonts w:ascii="宋体" w:hAnsi="宋体"/>
                <w:color w:val="auto"/>
                <w:sz w:val="24"/>
                <w:highlight w:val="none"/>
              </w:rPr>
            </w:pPr>
          </w:p>
        </w:tc>
        <w:tc>
          <w:tcPr>
            <w:tcW w:w="2405" w:type="dxa"/>
            <w:vAlign w:val="center"/>
          </w:tcPr>
          <w:p w14:paraId="065C9C4B">
            <w:pPr>
              <w:tabs>
                <w:tab w:val="left" w:pos="720"/>
              </w:tabs>
              <w:spacing w:line="360" w:lineRule="auto"/>
              <w:jc w:val="center"/>
              <w:rPr>
                <w:rFonts w:ascii="宋体" w:hAnsi="宋体"/>
                <w:color w:val="auto"/>
                <w:sz w:val="24"/>
                <w:highlight w:val="none"/>
              </w:rPr>
            </w:pPr>
          </w:p>
        </w:tc>
        <w:tc>
          <w:tcPr>
            <w:tcW w:w="1701" w:type="dxa"/>
          </w:tcPr>
          <w:p w14:paraId="37B0A3AA">
            <w:pPr>
              <w:tabs>
                <w:tab w:val="left" w:pos="720"/>
              </w:tabs>
              <w:spacing w:line="360" w:lineRule="auto"/>
              <w:jc w:val="center"/>
              <w:rPr>
                <w:rFonts w:ascii="宋体" w:hAnsi="宋体"/>
                <w:color w:val="auto"/>
                <w:sz w:val="24"/>
                <w:highlight w:val="none"/>
              </w:rPr>
            </w:pPr>
          </w:p>
        </w:tc>
        <w:tc>
          <w:tcPr>
            <w:tcW w:w="1701" w:type="dxa"/>
            <w:vAlign w:val="center"/>
          </w:tcPr>
          <w:p w14:paraId="601A98D6">
            <w:pPr>
              <w:tabs>
                <w:tab w:val="left" w:pos="720"/>
              </w:tabs>
              <w:spacing w:line="360" w:lineRule="auto"/>
              <w:jc w:val="center"/>
              <w:rPr>
                <w:rFonts w:ascii="宋体" w:hAnsi="宋体"/>
                <w:color w:val="auto"/>
                <w:sz w:val="24"/>
                <w:highlight w:val="none"/>
              </w:rPr>
            </w:pPr>
          </w:p>
        </w:tc>
        <w:tc>
          <w:tcPr>
            <w:tcW w:w="2126" w:type="dxa"/>
            <w:vAlign w:val="center"/>
          </w:tcPr>
          <w:p w14:paraId="1FD2E41D">
            <w:pPr>
              <w:tabs>
                <w:tab w:val="left" w:pos="720"/>
              </w:tabs>
              <w:spacing w:line="360" w:lineRule="auto"/>
              <w:jc w:val="center"/>
              <w:rPr>
                <w:rFonts w:ascii="宋体" w:hAnsi="宋体"/>
                <w:color w:val="auto"/>
                <w:sz w:val="24"/>
                <w:highlight w:val="none"/>
              </w:rPr>
            </w:pPr>
          </w:p>
        </w:tc>
      </w:tr>
      <w:tr w14:paraId="6A8B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2FA016C1">
            <w:pPr>
              <w:tabs>
                <w:tab w:val="left" w:pos="720"/>
              </w:tabs>
              <w:spacing w:line="360" w:lineRule="auto"/>
              <w:jc w:val="center"/>
              <w:rPr>
                <w:rFonts w:ascii="宋体" w:hAnsi="宋体"/>
                <w:color w:val="auto"/>
                <w:sz w:val="24"/>
                <w:highlight w:val="none"/>
              </w:rPr>
            </w:pPr>
          </w:p>
        </w:tc>
        <w:tc>
          <w:tcPr>
            <w:tcW w:w="2405" w:type="dxa"/>
            <w:vAlign w:val="center"/>
          </w:tcPr>
          <w:p w14:paraId="249A5451">
            <w:pPr>
              <w:tabs>
                <w:tab w:val="left" w:pos="720"/>
              </w:tabs>
              <w:spacing w:line="360" w:lineRule="auto"/>
              <w:jc w:val="center"/>
              <w:rPr>
                <w:rFonts w:ascii="宋体" w:hAnsi="宋体"/>
                <w:color w:val="auto"/>
                <w:sz w:val="24"/>
                <w:highlight w:val="none"/>
              </w:rPr>
            </w:pPr>
          </w:p>
        </w:tc>
        <w:tc>
          <w:tcPr>
            <w:tcW w:w="1701" w:type="dxa"/>
          </w:tcPr>
          <w:p w14:paraId="7C9CAE84">
            <w:pPr>
              <w:tabs>
                <w:tab w:val="left" w:pos="720"/>
              </w:tabs>
              <w:spacing w:line="360" w:lineRule="auto"/>
              <w:jc w:val="center"/>
              <w:rPr>
                <w:rFonts w:ascii="宋体" w:hAnsi="宋体"/>
                <w:color w:val="auto"/>
                <w:sz w:val="24"/>
                <w:highlight w:val="none"/>
              </w:rPr>
            </w:pPr>
          </w:p>
        </w:tc>
        <w:tc>
          <w:tcPr>
            <w:tcW w:w="1701" w:type="dxa"/>
            <w:vAlign w:val="center"/>
          </w:tcPr>
          <w:p w14:paraId="0C0EA994">
            <w:pPr>
              <w:tabs>
                <w:tab w:val="left" w:pos="720"/>
              </w:tabs>
              <w:spacing w:line="360" w:lineRule="auto"/>
              <w:jc w:val="center"/>
              <w:rPr>
                <w:rFonts w:ascii="宋体" w:hAnsi="宋体"/>
                <w:color w:val="auto"/>
                <w:sz w:val="24"/>
                <w:highlight w:val="none"/>
              </w:rPr>
            </w:pPr>
          </w:p>
        </w:tc>
        <w:tc>
          <w:tcPr>
            <w:tcW w:w="2126" w:type="dxa"/>
            <w:vAlign w:val="center"/>
          </w:tcPr>
          <w:p w14:paraId="39F06A25">
            <w:pPr>
              <w:tabs>
                <w:tab w:val="left" w:pos="720"/>
              </w:tabs>
              <w:spacing w:line="360" w:lineRule="auto"/>
              <w:jc w:val="center"/>
              <w:rPr>
                <w:rFonts w:ascii="宋体" w:hAnsi="宋体"/>
                <w:color w:val="auto"/>
                <w:sz w:val="24"/>
                <w:highlight w:val="none"/>
              </w:rPr>
            </w:pPr>
          </w:p>
        </w:tc>
      </w:tr>
      <w:tr w14:paraId="71DD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7D2C8AE3">
            <w:pPr>
              <w:tabs>
                <w:tab w:val="left" w:pos="720"/>
              </w:tabs>
              <w:spacing w:line="360" w:lineRule="auto"/>
              <w:jc w:val="center"/>
              <w:rPr>
                <w:rFonts w:ascii="宋体" w:hAnsi="宋体"/>
                <w:color w:val="auto"/>
                <w:sz w:val="24"/>
                <w:highlight w:val="none"/>
              </w:rPr>
            </w:pPr>
          </w:p>
        </w:tc>
        <w:tc>
          <w:tcPr>
            <w:tcW w:w="2405" w:type="dxa"/>
            <w:vAlign w:val="center"/>
          </w:tcPr>
          <w:p w14:paraId="74BD1FE7">
            <w:pPr>
              <w:tabs>
                <w:tab w:val="left" w:pos="720"/>
              </w:tabs>
              <w:spacing w:line="360" w:lineRule="auto"/>
              <w:jc w:val="center"/>
              <w:rPr>
                <w:rFonts w:ascii="宋体" w:hAnsi="宋体"/>
                <w:color w:val="auto"/>
                <w:sz w:val="24"/>
                <w:highlight w:val="none"/>
              </w:rPr>
            </w:pPr>
          </w:p>
        </w:tc>
        <w:tc>
          <w:tcPr>
            <w:tcW w:w="1701" w:type="dxa"/>
          </w:tcPr>
          <w:p w14:paraId="56A24E0D">
            <w:pPr>
              <w:tabs>
                <w:tab w:val="left" w:pos="720"/>
              </w:tabs>
              <w:spacing w:line="360" w:lineRule="auto"/>
              <w:jc w:val="center"/>
              <w:rPr>
                <w:rFonts w:ascii="宋体" w:hAnsi="宋体"/>
                <w:color w:val="auto"/>
                <w:sz w:val="24"/>
                <w:highlight w:val="none"/>
              </w:rPr>
            </w:pPr>
          </w:p>
        </w:tc>
        <w:tc>
          <w:tcPr>
            <w:tcW w:w="1701" w:type="dxa"/>
            <w:vAlign w:val="center"/>
          </w:tcPr>
          <w:p w14:paraId="7EA6D675">
            <w:pPr>
              <w:tabs>
                <w:tab w:val="left" w:pos="720"/>
              </w:tabs>
              <w:spacing w:line="360" w:lineRule="auto"/>
              <w:jc w:val="center"/>
              <w:rPr>
                <w:rFonts w:ascii="宋体" w:hAnsi="宋体"/>
                <w:color w:val="auto"/>
                <w:sz w:val="24"/>
                <w:highlight w:val="none"/>
              </w:rPr>
            </w:pPr>
          </w:p>
        </w:tc>
        <w:tc>
          <w:tcPr>
            <w:tcW w:w="2126" w:type="dxa"/>
            <w:vAlign w:val="center"/>
          </w:tcPr>
          <w:p w14:paraId="7E8B2D26">
            <w:pPr>
              <w:tabs>
                <w:tab w:val="left" w:pos="720"/>
              </w:tabs>
              <w:spacing w:line="360" w:lineRule="auto"/>
              <w:jc w:val="center"/>
              <w:rPr>
                <w:rFonts w:ascii="宋体" w:hAnsi="宋体"/>
                <w:color w:val="auto"/>
                <w:sz w:val="24"/>
                <w:highlight w:val="none"/>
              </w:rPr>
            </w:pPr>
          </w:p>
        </w:tc>
      </w:tr>
      <w:tr w14:paraId="072F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4DF72222">
            <w:pPr>
              <w:tabs>
                <w:tab w:val="left" w:pos="720"/>
              </w:tabs>
              <w:spacing w:line="360" w:lineRule="auto"/>
              <w:jc w:val="center"/>
              <w:rPr>
                <w:rFonts w:ascii="宋体" w:hAnsi="宋体"/>
                <w:color w:val="auto"/>
                <w:sz w:val="24"/>
                <w:highlight w:val="none"/>
              </w:rPr>
            </w:pPr>
          </w:p>
        </w:tc>
        <w:tc>
          <w:tcPr>
            <w:tcW w:w="2405" w:type="dxa"/>
            <w:vAlign w:val="center"/>
          </w:tcPr>
          <w:p w14:paraId="3AE25ABC">
            <w:pPr>
              <w:tabs>
                <w:tab w:val="left" w:pos="720"/>
              </w:tabs>
              <w:spacing w:line="360" w:lineRule="auto"/>
              <w:jc w:val="center"/>
              <w:rPr>
                <w:rFonts w:ascii="宋体" w:hAnsi="宋体"/>
                <w:color w:val="auto"/>
                <w:sz w:val="24"/>
                <w:highlight w:val="none"/>
              </w:rPr>
            </w:pPr>
          </w:p>
        </w:tc>
        <w:tc>
          <w:tcPr>
            <w:tcW w:w="1701" w:type="dxa"/>
          </w:tcPr>
          <w:p w14:paraId="753B9334">
            <w:pPr>
              <w:tabs>
                <w:tab w:val="left" w:pos="720"/>
              </w:tabs>
              <w:spacing w:line="360" w:lineRule="auto"/>
              <w:jc w:val="center"/>
              <w:rPr>
                <w:rFonts w:ascii="宋体" w:hAnsi="宋体"/>
                <w:color w:val="auto"/>
                <w:sz w:val="24"/>
                <w:highlight w:val="none"/>
              </w:rPr>
            </w:pPr>
          </w:p>
        </w:tc>
        <w:tc>
          <w:tcPr>
            <w:tcW w:w="1701" w:type="dxa"/>
            <w:vAlign w:val="center"/>
          </w:tcPr>
          <w:p w14:paraId="30BAD786">
            <w:pPr>
              <w:tabs>
                <w:tab w:val="left" w:pos="720"/>
              </w:tabs>
              <w:spacing w:line="360" w:lineRule="auto"/>
              <w:jc w:val="center"/>
              <w:rPr>
                <w:rFonts w:ascii="宋体" w:hAnsi="宋体"/>
                <w:color w:val="auto"/>
                <w:sz w:val="24"/>
                <w:highlight w:val="none"/>
              </w:rPr>
            </w:pPr>
          </w:p>
        </w:tc>
        <w:tc>
          <w:tcPr>
            <w:tcW w:w="2126" w:type="dxa"/>
            <w:vAlign w:val="center"/>
          </w:tcPr>
          <w:p w14:paraId="0C9BB4B8">
            <w:pPr>
              <w:tabs>
                <w:tab w:val="left" w:pos="720"/>
              </w:tabs>
              <w:spacing w:line="360" w:lineRule="auto"/>
              <w:jc w:val="center"/>
              <w:rPr>
                <w:rFonts w:ascii="宋体" w:hAnsi="宋体"/>
                <w:color w:val="auto"/>
                <w:sz w:val="24"/>
                <w:highlight w:val="none"/>
              </w:rPr>
            </w:pPr>
          </w:p>
        </w:tc>
      </w:tr>
      <w:tr w14:paraId="44EE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0C9E28B0">
            <w:pPr>
              <w:tabs>
                <w:tab w:val="left" w:pos="720"/>
              </w:tabs>
              <w:spacing w:line="360" w:lineRule="auto"/>
              <w:jc w:val="center"/>
              <w:rPr>
                <w:rFonts w:ascii="宋体" w:hAnsi="宋体"/>
                <w:color w:val="auto"/>
                <w:sz w:val="24"/>
                <w:highlight w:val="none"/>
              </w:rPr>
            </w:pPr>
          </w:p>
        </w:tc>
        <w:tc>
          <w:tcPr>
            <w:tcW w:w="2405" w:type="dxa"/>
            <w:vAlign w:val="center"/>
          </w:tcPr>
          <w:p w14:paraId="19F57449">
            <w:pPr>
              <w:tabs>
                <w:tab w:val="left" w:pos="720"/>
              </w:tabs>
              <w:spacing w:line="360" w:lineRule="auto"/>
              <w:jc w:val="center"/>
              <w:rPr>
                <w:rFonts w:ascii="宋体" w:hAnsi="宋体"/>
                <w:color w:val="auto"/>
                <w:sz w:val="24"/>
                <w:highlight w:val="none"/>
              </w:rPr>
            </w:pPr>
          </w:p>
        </w:tc>
        <w:tc>
          <w:tcPr>
            <w:tcW w:w="1701" w:type="dxa"/>
          </w:tcPr>
          <w:p w14:paraId="7575DF57">
            <w:pPr>
              <w:tabs>
                <w:tab w:val="left" w:pos="720"/>
              </w:tabs>
              <w:spacing w:line="360" w:lineRule="auto"/>
              <w:jc w:val="center"/>
              <w:rPr>
                <w:rFonts w:ascii="宋体" w:hAnsi="宋体"/>
                <w:color w:val="auto"/>
                <w:sz w:val="24"/>
                <w:highlight w:val="none"/>
              </w:rPr>
            </w:pPr>
          </w:p>
        </w:tc>
        <w:tc>
          <w:tcPr>
            <w:tcW w:w="1701" w:type="dxa"/>
            <w:vAlign w:val="center"/>
          </w:tcPr>
          <w:p w14:paraId="4856B08A">
            <w:pPr>
              <w:tabs>
                <w:tab w:val="left" w:pos="720"/>
              </w:tabs>
              <w:spacing w:line="360" w:lineRule="auto"/>
              <w:jc w:val="center"/>
              <w:rPr>
                <w:rFonts w:ascii="宋体" w:hAnsi="宋体"/>
                <w:color w:val="auto"/>
                <w:sz w:val="24"/>
                <w:highlight w:val="none"/>
              </w:rPr>
            </w:pPr>
          </w:p>
        </w:tc>
        <w:tc>
          <w:tcPr>
            <w:tcW w:w="2126" w:type="dxa"/>
            <w:vAlign w:val="center"/>
          </w:tcPr>
          <w:p w14:paraId="4C216FEE">
            <w:pPr>
              <w:tabs>
                <w:tab w:val="left" w:pos="720"/>
              </w:tabs>
              <w:spacing w:line="360" w:lineRule="auto"/>
              <w:jc w:val="center"/>
              <w:rPr>
                <w:rFonts w:ascii="宋体" w:hAnsi="宋体"/>
                <w:color w:val="auto"/>
                <w:sz w:val="24"/>
                <w:highlight w:val="none"/>
              </w:rPr>
            </w:pPr>
          </w:p>
        </w:tc>
      </w:tr>
      <w:tr w14:paraId="0DDF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729932C6">
            <w:pPr>
              <w:tabs>
                <w:tab w:val="left" w:pos="720"/>
              </w:tabs>
              <w:spacing w:line="360" w:lineRule="auto"/>
              <w:jc w:val="center"/>
              <w:rPr>
                <w:rFonts w:ascii="宋体" w:hAnsi="宋体"/>
                <w:color w:val="auto"/>
                <w:sz w:val="24"/>
                <w:highlight w:val="none"/>
              </w:rPr>
            </w:pPr>
          </w:p>
        </w:tc>
        <w:tc>
          <w:tcPr>
            <w:tcW w:w="2405" w:type="dxa"/>
            <w:vAlign w:val="center"/>
          </w:tcPr>
          <w:p w14:paraId="6FE70979">
            <w:pPr>
              <w:tabs>
                <w:tab w:val="left" w:pos="720"/>
              </w:tabs>
              <w:spacing w:line="360" w:lineRule="auto"/>
              <w:jc w:val="center"/>
              <w:rPr>
                <w:rFonts w:ascii="宋体" w:hAnsi="宋体"/>
                <w:color w:val="auto"/>
                <w:sz w:val="24"/>
                <w:highlight w:val="none"/>
              </w:rPr>
            </w:pPr>
          </w:p>
        </w:tc>
        <w:tc>
          <w:tcPr>
            <w:tcW w:w="1701" w:type="dxa"/>
          </w:tcPr>
          <w:p w14:paraId="679FE659">
            <w:pPr>
              <w:tabs>
                <w:tab w:val="left" w:pos="720"/>
              </w:tabs>
              <w:spacing w:line="360" w:lineRule="auto"/>
              <w:ind w:left="420"/>
              <w:jc w:val="center"/>
              <w:rPr>
                <w:rFonts w:ascii="宋体" w:hAnsi="宋体"/>
                <w:color w:val="auto"/>
                <w:sz w:val="24"/>
                <w:highlight w:val="none"/>
              </w:rPr>
            </w:pPr>
          </w:p>
        </w:tc>
        <w:tc>
          <w:tcPr>
            <w:tcW w:w="1701" w:type="dxa"/>
            <w:vAlign w:val="center"/>
          </w:tcPr>
          <w:p w14:paraId="6FBFF153">
            <w:pPr>
              <w:tabs>
                <w:tab w:val="left" w:pos="720"/>
              </w:tabs>
              <w:spacing w:line="360" w:lineRule="auto"/>
              <w:ind w:left="420"/>
              <w:jc w:val="center"/>
              <w:rPr>
                <w:rFonts w:ascii="宋体" w:hAnsi="宋体"/>
                <w:color w:val="auto"/>
                <w:sz w:val="24"/>
                <w:highlight w:val="none"/>
              </w:rPr>
            </w:pPr>
          </w:p>
        </w:tc>
        <w:tc>
          <w:tcPr>
            <w:tcW w:w="2126" w:type="dxa"/>
            <w:vAlign w:val="center"/>
          </w:tcPr>
          <w:p w14:paraId="0D47CA32">
            <w:pPr>
              <w:tabs>
                <w:tab w:val="left" w:pos="720"/>
              </w:tabs>
              <w:spacing w:line="360" w:lineRule="auto"/>
              <w:ind w:left="420"/>
              <w:jc w:val="center"/>
              <w:rPr>
                <w:rFonts w:ascii="宋体" w:hAnsi="宋体"/>
                <w:color w:val="auto"/>
                <w:sz w:val="24"/>
                <w:highlight w:val="none"/>
              </w:rPr>
            </w:pPr>
          </w:p>
        </w:tc>
      </w:tr>
      <w:tr w14:paraId="1F5C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1B7CB4FD">
            <w:pPr>
              <w:tabs>
                <w:tab w:val="left" w:pos="720"/>
              </w:tabs>
              <w:spacing w:line="360" w:lineRule="auto"/>
              <w:jc w:val="center"/>
              <w:rPr>
                <w:rFonts w:ascii="宋体" w:hAnsi="宋体"/>
                <w:color w:val="auto"/>
                <w:sz w:val="24"/>
                <w:highlight w:val="none"/>
              </w:rPr>
            </w:pPr>
          </w:p>
        </w:tc>
        <w:tc>
          <w:tcPr>
            <w:tcW w:w="2405" w:type="dxa"/>
            <w:vAlign w:val="center"/>
          </w:tcPr>
          <w:p w14:paraId="23BD6C9B">
            <w:pPr>
              <w:tabs>
                <w:tab w:val="left" w:pos="720"/>
              </w:tabs>
              <w:spacing w:line="360" w:lineRule="auto"/>
              <w:jc w:val="center"/>
              <w:rPr>
                <w:rFonts w:ascii="宋体" w:hAnsi="宋体"/>
                <w:color w:val="auto"/>
                <w:sz w:val="24"/>
                <w:highlight w:val="none"/>
              </w:rPr>
            </w:pPr>
          </w:p>
        </w:tc>
        <w:tc>
          <w:tcPr>
            <w:tcW w:w="1701" w:type="dxa"/>
          </w:tcPr>
          <w:p w14:paraId="32F6B9F5">
            <w:pPr>
              <w:tabs>
                <w:tab w:val="left" w:pos="720"/>
              </w:tabs>
              <w:spacing w:line="360" w:lineRule="auto"/>
              <w:ind w:left="420"/>
              <w:jc w:val="center"/>
              <w:rPr>
                <w:rFonts w:ascii="宋体" w:hAnsi="宋体"/>
                <w:color w:val="auto"/>
                <w:sz w:val="24"/>
                <w:highlight w:val="none"/>
              </w:rPr>
            </w:pPr>
          </w:p>
        </w:tc>
        <w:tc>
          <w:tcPr>
            <w:tcW w:w="1701" w:type="dxa"/>
            <w:vAlign w:val="center"/>
          </w:tcPr>
          <w:p w14:paraId="473F9BE2">
            <w:pPr>
              <w:tabs>
                <w:tab w:val="left" w:pos="720"/>
              </w:tabs>
              <w:spacing w:line="360" w:lineRule="auto"/>
              <w:ind w:left="420"/>
              <w:jc w:val="center"/>
              <w:rPr>
                <w:rFonts w:ascii="宋体" w:hAnsi="宋体"/>
                <w:color w:val="auto"/>
                <w:sz w:val="24"/>
                <w:highlight w:val="none"/>
              </w:rPr>
            </w:pPr>
          </w:p>
        </w:tc>
        <w:tc>
          <w:tcPr>
            <w:tcW w:w="2126" w:type="dxa"/>
            <w:vAlign w:val="center"/>
          </w:tcPr>
          <w:p w14:paraId="7067744D">
            <w:pPr>
              <w:tabs>
                <w:tab w:val="left" w:pos="720"/>
              </w:tabs>
              <w:spacing w:line="360" w:lineRule="auto"/>
              <w:ind w:left="420"/>
              <w:jc w:val="center"/>
              <w:rPr>
                <w:rFonts w:ascii="宋体" w:hAnsi="宋体"/>
                <w:color w:val="auto"/>
                <w:sz w:val="24"/>
                <w:highlight w:val="none"/>
              </w:rPr>
            </w:pPr>
          </w:p>
        </w:tc>
      </w:tr>
      <w:tr w14:paraId="1BAD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79C4D87C">
            <w:pPr>
              <w:tabs>
                <w:tab w:val="left" w:pos="720"/>
              </w:tabs>
              <w:spacing w:line="360" w:lineRule="auto"/>
              <w:jc w:val="center"/>
              <w:rPr>
                <w:rFonts w:ascii="宋体" w:hAnsi="宋体"/>
                <w:color w:val="auto"/>
                <w:sz w:val="24"/>
                <w:highlight w:val="none"/>
              </w:rPr>
            </w:pPr>
          </w:p>
        </w:tc>
        <w:tc>
          <w:tcPr>
            <w:tcW w:w="2405" w:type="dxa"/>
            <w:vAlign w:val="center"/>
          </w:tcPr>
          <w:p w14:paraId="492BA86D">
            <w:pPr>
              <w:tabs>
                <w:tab w:val="left" w:pos="720"/>
              </w:tabs>
              <w:spacing w:line="360" w:lineRule="auto"/>
              <w:jc w:val="center"/>
              <w:rPr>
                <w:rFonts w:ascii="宋体" w:hAnsi="宋体"/>
                <w:color w:val="auto"/>
                <w:sz w:val="24"/>
                <w:highlight w:val="none"/>
              </w:rPr>
            </w:pPr>
          </w:p>
        </w:tc>
        <w:tc>
          <w:tcPr>
            <w:tcW w:w="1701" w:type="dxa"/>
          </w:tcPr>
          <w:p w14:paraId="02A2C666">
            <w:pPr>
              <w:tabs>
                <w:tab w:val="left" w:pos="720"/>
              </w:tabs>
              <w:spacing w:line="360" w:lineRule="auto"/>
              <w:jc w:val="center"/>
              <w:rPr>
                <w:rFonts w:ascii="宋体" w:hAnsi="宋体"/>
                <w:color w:val="auto"/>
                <w:sz w:val="24"/>
                <w:highlight w:val="none"/>
              </w:rPr>
            </w:pPr>
          </w:p>
        </w:tc>
        <w:tc>
          <w:tcPr>
            <w:tcW w:w="1701" w:type="dxa"/>
            <w:vAlign w:val="center"/>
          </w:tcPr>
          <w:p w14:paraId="693ABD04">
            <w:pPr>
              <w:tabs>
                <w:tab w:val="left" w:pos="720"/>
              </w:tabs>
              <w:spacing w:line="360" w:lineRule="auto"/>
              <w:jc w:val="center"/>
              <w:rPr>
                <w:rFonts w:ascii="宋体" w:hAnsi="宋体"/>
                <w:color w:val="auto"/>
                <w:sz w:val="24"/>
                <w:highlight w:val="none"/>
              </w:rPr>
            </w:pPr>
          </w:p>
        </w:tc>
        <w:tc>
          <w:tcPr>
            <w:tcW w:w="2126" w:type="dxa"/>
            <w:vAlign w:val="center"/>
          </w:tcPr>
          <w:p w14:paraId="60D1992B">
            <w:pPr>
              <w:tabs>
                <w:tab w:val="left" w:pos="720"/>
              </w:tabs>
              <w:spacing w:line="360" w:lineRule="auto"/>
              <w:jc w:val="center"/>
              <w:rPr>
                <w:rFonts w:ascii="宋体" w:hAnsi="宋体"/>
                <w:color w:val="auto"/>
                <w:sz w:val="24"/>
                <w:highlight w:val="none"/>
              </w:rPr>
            </w:pPr>
          </w:p>
        </w:tc>
      </w:tr>
      <w:tr w14:paraId="19C8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5F200F50">
            <w:pPr>
              <w:tabs>
                <w:tab w:val="left" w:pos="720"/>
              </w:tabs>
              <w:spacing w:line="360" w:lineRule="auto"/>
              <w:jc w:val="center"/>
              <w:rPr>
                <w:rFonts w:ascii="宋体" w:hAnsi="宋体"/>
                <w:color w:val="auto"/>
                <w:sz w:val="24"/>
                <w:highlight w:val="none"/>
              </w:rPr>
            </w:pPr>
          </w:p>
        </w:tc>
        <w:tc>
          <w:tcPr>
            <w:tcW w:w="2405" w:type="dxa"/>
            <w:vAlign w:val="center"/>
          </w:tcPr>
          <w:p w14:paraId="3204DD8F">
            <w:pPr>
              <w:tabs>
                <w:tab w:val="left" w:pos="720"/>
              </w:tabs>
              <w:spacing w:line="360" w:lineRule="auto"/>
              <w:jc w:val="center"/>
              <w:rPr>
                <w:rFonts w:ascii="宋体" w:hAnsi="宋体"/>
                <w:color w:val="auto"/>
                <w:sz w:val="24"/>
                <w:highlight w:val="none"/>
              </w:rPr>
            </w:pPr>
          </w:p>
        </w:tc>
        <w:tc>
          <w:tcPr>
            <w:tcW w:w="1701" w:type="dxa"/>
          </w:tcPr>
          <w:p w14:paraId="48117825">
            <w:pPr>
              <w:tabs>
                <w:tab w:val="left" w:pos="720"/>
              </w:tabs>
              <w:spacing w:line="360" w:lineRule="auto"/>
              <w:jc w:val="center"/>
              <w:rPr>
                <w:rFonts w:ascii="宋体" w:hAnsi="宋体"/>
                <w:color w:val="auto"/>
                <w:sz w:val="24"/>
                <w:highlight w:val="none"/>
              </w:rPr>
            </w:pPr>
          </w:p>
        </w:tc>
        <w:tc>
          <w:tcPr>
            <w:tcW w:w="1701" w:type="dxa"/>
            <w:vAlign w:val="center"/>
          </w:tcPr>
          <w:p w14:paraId="47A629BA">
            <w:pPr>
              <w:tabs>
                <w:tab w:val="left" w:pos="720"/>
              </w:tabs>
              <w:spacing w:line="360" w:lineRule="auto"/>
              <w:jc w:val="center"/>
              <w:rPr>
                <w:rFonts w:ascii="宋体" w:hAnsi="宋体"/>
                <w:color w:val="auto"/>
                <w:sz w:val="24"/>
                <w:highlight w:val="none"/>
              </w:rPr>
            </w:pPr>
          </w:p>
        </w:tc>
        <w:tc>
          <w:tcPr>
            <w:tcW w:w="2126" w:type="dxa"/>
            <w:vAlign w:val="center"/>
          </w:tcPr>
          <w:p w14:paraId="1A70AFEE">
            <w:pPr>
              <w:tabs>
                <w:tab w:val="left" w:pos="720"/>
              </w:tabs>
              <w:spacing w:line="360" w:lineRule="auto"/>
              <w:jc w:val="center"/>
              <w:rPr>
                <w:rFonts w:ascii="宋体" w:hAnsi="宋体"/>
                <w:color w:val="auto"/>
                <w:sz w:val="24"/>
                <w:highlight w:val="none"/>
              </w:rPr>
            </w:pPr>
          </w:p>
        </w:tc>
      </w:tr>
      <w:tr w14:paraId="49FC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14:paraId="6E209818">
            <w:pPr>
              <w:tabs>
                <w:tab w:val="left" w:pos="720"/>
              </w:tabs>
              <w:spacing w:line="360" w:lineRule="auto"/>
              <w:jc w:val="center"/>
              <w:rPr>
                <w:rFonts w:ascii="宋体" w:hAnsi="宋体"/>
                <w:color w:val="auto"/>
                <w:sz w:val="24"/>
                <w:highlight w:val="none"/>
              </w:rPr>
            </w:pPr>
          </w:p>
        </w:tc>
        <w:tc>
          <w:tcPr>
            <w:tcW w:w="2405" w:type="dxa"/>
            <w:vAlign w:val="center"/>
          </w:tcPr>
          <w:p w14:paraId="77EF250F">
            <w:pPr>
              <w:tabs>
                <w:tab w:val="left" w:pos="720"/>
              </w:tabs>
              <w:spacing w:line="360" w:lineRule="auto"/>
              <w:jc w:val="center"/>
              <w:rPr>
                <w:rFonts w:ascii="宋体" w:hAnsi="宋体"/>
                <w:color w:val="auto"/>
                <w:sz w:val="24"/>
                <w:highlight w:val="none"/>
              </w:rPr>
            </w:pPr>
          </w:p>
        </w:tc>
        <w:tc>
          <w:tcPr>
            <w:tcW w:w="1701" w:type="dxa"/>
          </w:tcPr>
          <w:p w14:paraId="79170ED3">
            <w:pPr>
              <w:tabs>
                <w:tab w:val="left" w:pos="720"/>
              </w:tabs>
              <w:spacing w:line="360" w:lineRule="auto"/>
              <w:jc w:val="center"/>
              <w:rPr>
                <w:rFonts w:ascii="宋体" w:hAnsi="宋体"/>
                <w:color w:val="auto"/>
                <w:sz w:val="24"/>
                <w:highlight w:val="none"/>
              </w:rPr>
            </w:pPr>
          </w:p>
        </w:tc>
        <w:tc>
          <w:tcPr>
            <w:tcW w:w="1701" w:type="dxa"/>
            <w:vAlign w:val="center"/>
          </w:tcPr>
          <w:p w14:paraId="4553F16A">
            <w:pPr>
              <w:tabs>
                <w:tab w:val="left" w:pos="720"/>
              </w:tabs>
              <w:spacing w:line="360" w:lineRule="auto"/>
              <w:jc w:val="center"/>
              <w:rPr>
                <w:rFonts w:ascii="宋体" w:hAnsi="宋体"/>
                <w:color w:val="auto"/>
                <w:sz w:val="24"/>
                <w:highlight w:val="none"/>
              </w:rPr>
            </w:pPr>
          </w:p>
        </w:tc>
        <w:tc>
          <w:tcPr>
            <w:tcW w:w="2126" w:type="dxa"/>
            <w:vAlign w:val="center"/>
          </w:tcPr>
          <w:p w14:paraId="02AE1208">
            <w:pPr>
              <w:tabs>
                <w:tab w:val="left" w:pos="720"/>
              </w:tabs>
              <w:spacing w:line="360" w:lineRule="auto"/>
              <w:jc w:val="center"/>
              <w:rPr>
                <w:rFonts w:ascii="宋体" w:hAnsi="宋体"/>
                <w:color w:val="auto"/>
                <w:sz w:val="24"/>
                <w:highlight w:val="none"/>
              </w:rPr>
            </w:pPr>
          </w:p>
        </w:tc>
      </w:tr>
    </w:tbl>
    <w:p w14:paraId="7190DFC9">
      <w:pPr>
        <w:pStyle w:val="6"/>
        <w:jc w:val="center"/>
        <w:rPr>
          <w:color w:val="auto"/>
          <w:highlight w:val="none"/>
        </w:rPr>
      </w:pPr>
      <w:r>
        <w:rPr>
          <w:color w:val="auto"/>
          <w:highlight w:val="none"/>
        </w:rPr>
        <w:br w:type="page"/>
      </w:r>
      <w:bookmarkStart w:id="162" w:name="_Toc27847"/>
      <w:r>
        <w:rPr>
          <w:rFonts w:hint="eastAsia"/>
          <w:color w:val="auto"/>
          <w:highlight w:val="none"/>
        </w:rPr>
        <w:t>二</w:t>
      </w:r>
      <w:r>
        <w:rPr>
          <w:color w:val="auto"/>
          <w:highlight w:val="none"/>
        </w:rPr>
        <w:t>、竞争性谈判</w:t>
      </w:r>
      <w:r>
        <w:rPr>
          <w:rFonts w:hint="eastAsia"/>
          <w:color w:val="auto"/>
          <w:highlight w:val="none"/>
        </w:rPr>
        <w:t>响应</w:t>
      </w:r>
      <w:r>
        <w:rPr>
          <w:color w:val="auto"/>
          <w:highlight w:val="none"/>
        </w:rPr>
        <w:t>函</w:t>
      </w:r>
      <w:bookmarkEnd w:id="152"/>
      <w:bookmarkEnd w:id="153"/>
      <w:bookmarkEnd w:id="154"/>
      <w:bookmarkEnd w:id="155"/>
      <w:bookmarkEnd w:id="156"/>
      <w:bookmarkEnd w:id="157"/>
      <w:bookmarkEnd w:id="158"/>
      <w:bookmarkEnd w:id="161"/>
      <w:bookmarkEnd w:id="162"/>
    </w:p>
    <w:p w14:paraId="1CBE0301">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（采购人名称）</w:t>
      </w:r>
      <w:r>
        <w:rPr>
          <w:rFonts w:hint="eastAsia"/>
          <w:color w:val="auto"/>
          <w:szCs w:val="21"/>
          <w:highlight w:val="none"/>
          <w:u w:val="single"/>
        </w:rPr>
        <w:t xml:space="preserve">        </w:t>
      </w:r>
      <w:r>
        <w:rPr>
          <w:color w:val="auto"/>
          <w:szCs w:val="21"/>
          <w:highlight w:val="none"/>
        </w:rPr>
        <w:t>：</w:t>
      </w:r>
    </w:p>
    <w:p w14:paraId="08B12654">
      <w:pPr>
        <w:spacing w:line="400" w:lineRule="exact"/>
        <w:ind w:firstLine="422" w:firstLineChars="200"/>
        <w:rPr>
          <w:color w:val="auto"/>
          <w:szCs w:val="21"/>
          <w:highlight w:val="none"/>
        </w:rPr>
      </w:pPr>
      <w:r>
        <w:rPr>
          <w:b/>
          <w:color w:val="auto"/>
          <w:szCs w:val="21"/>
          <w:highlight w:val="none"/>
          <w:u w:val="single"/>
        </w:rPr>
        <w:t xml:space="preserve"> </w:t>
      </w:r>
      <w:r>
        <w:rPr>
          <w:rFonts w:hint="eastAsia"/>
          <w:color w:val="auto"/>
          <w:szCs w:val="21"/>
          <w:highlight w:val="none"/>
          <w:u w:val="single"/>
        </w:rPr>
        <w:t>（响应人名称）（以下简称我方）</w:t>
      </w:r>
      <w:r>
        <w:rPr>
          <w:color w:val="auto"/>
          <w:szCs w:val="21"/>
          <w:highlight w:val="none"/>
        </w:rPr>
        <w:t>已仔细研究了</w:t>
      </w:r>
      <w:r>
        <w:rPr>
          <w:color w:val="auto"/>
          <w:szCs w:val="21"/>
          <w:highlight w:val="none"/>
          <w:u w:val="single"/>
        </w:rPr>
        <w:t xml:space="preserve"> （项目名称）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lang w:val="en-US" w:eastAsia="zh-CN"/>
        </w:rPr>
        <w:t>项目</w:t>
      </w:r>
      <w:r>
        <w:rPr>
          <w:rFonts w:hint="eastAsia"/>
          <w:color w:val="auto"/>
          <w:szCs w:val="21"/>
          <w:highlight w:val="none"/>
        </w:rPr>
        <w:t>编号：</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标包：  ）</w:t>
      </w:r>
      <w:r>
        <w:rPr>
          <w:color w:val="auto"/>
          <w:szCs w:val="21"/>
          <w:highlight w:val="none"/>
        </w:rPr>
        <w:t>竞争性谈判文件的全部内容</w:t>
      </w:r>
      <w:r>
        <w:rPr>
          <w:rFonts w:hint="eastAsia"/>
          <w:color w:val="auto"/>
          <w:szCs w:val="21"/>
          <w:highlight w:val="none"/>
        </w:rPr>
        <w:t>，</w:t>
      </w:r>
      <w:r>
        <w:rPr>
          <w:rFonts w:hAnsi="宋体"/>
          <w:bCs/>
          <w:color w:val="auto"/>
          <w:szCs w:val="21"/>
          <w:highlight w:val="none"/>
        </w:rPr>
        <w:t>包括</w:t>
      </w:r>
      <w:r>
        <w:rPr>
          <w:rFonts w:hint="eastAsia" w:hAnsi="宋体"/>
          <w:bCs/>
          <w:color w:val="auto"/>
          <w:szCs w:val="21"/>
          <w:highlight w:val="none"/>
        </w:rPr>
        <w:t>澄清、</w:t>
      </w:r>
      <w:r>
        <w:rPr>
          <w:rFonts w:hAnsi="宋体"/>
          <w:bCs/>
          <w:color w:val="auto"/>
          <w:szCs w:val="21"/>
          <w:highlight w:val="none"/>
        </w:rPr>
        <w:t>修改文件</w:t>
      </w:r>
      <w:r>
        <w:rPr>
          <w:rFonts w:hint="eastAsia" w:hAnsi="宋体"/>
          <w:bCs/>
          <w:color w:val="auto"/>
          <w:szCs w:val="21"/>
          <w:highlight w:val="none"/>
        </w:rPr>
        <w:t>以</w:t>
      </w:r>
      <w:r>
        <w:rPr>
          <w:rFonts w:hAnsi="宋体"/>
          <w:bCs/>
          <w:color w:val="auto"/>
          <w:szCs w:val="21"/>
          <w:highlight w:val="none"/>
        </w:rPr>
        <w:t>及有关附件</w:t>
      </w:r>
      <w:r>
        <w:rPr>
          <w:color w:val="auto"/>
          <w:szCs w:val="21"/>
          <w:highlight w:val="none"/>
        </w:rPr>
        <w:t>，</w:t>
      </w:r>
      <w:r>
        <w:rPr>
          <w:color w:val="auto"/>
          <w:szCs w:val="21"/>
          <w:highlight w:val="none"/>
          <w:u w:val="single"/>
        </w:rPr>
        <w:t>愿意以</w:t>
      </w:r>
      <w:r>
        <w:rPr>
          <w:rFonts w:hint="eastAsia"/>
          <w:color w:val="auto"/>
          <w:szCs w:val="21"/>
          <w:highlight w:val="none"/>
          <w:u w:val="single"/>
        </w:rPr>
        <w:t>《报价一览表》的价格</w:t>
      </w:r>
      <w:r>
        <w:rPr>
          <w:rFonts w:hint="eastAsia"/>
          <w:color w:val="auto"/>
          <w:szCs w:val="21"/>
          <w:highlight w:val="none"/>
        </w:rPr>
        <w:t>，</w:t>
      </w:r>
      <w:r>
        <w:rPr>
          <w:color w:val="auto"/>
          <w:szCs w:val="21"/>
          <w:highlight w:val="none"/>
        </w:rPr>
        <w:t>按合同约定实施和完成</w:t>
      </w:r>
      <w:r>
        <w:rPr>
          <w:rFonts w:hint="eastAsia"/>
          <w:color w:val="auto"/>
          <w:szCs w:val="21"/>
          <w:highlight w:val="none"/>
        </w:rPr>
        <w:t>上述</w:t>
      </w:r>
      <w:r>
        <w:rPr>
          <w:color w:val="auto"/>
          <w:szCs w:val="21"/>
          <w:highlight w:val="none"/>
        </w:rPr>
        <w:t>项目的相关服务。</w:t>
      </w:r>
    </w:p>
    <w:p w14:paraId="3E862675">
      <w:pPr>
        <w:spacing w:line="400" w:lineRule="exact"/>
        <w:ind w:firstLine="420" w:firstLineChars="200"/>
        <w:rPr>
          <w:color w:val="auto"/>
          <w:szCs w:val="21"/>
          <w:highlight w:val="none"/>
        </w:rPr>
      </w:pPr>
      <w:r>
        <w:rPr>
          <w:rFonts w:hint="eastAsia"/>
          <w:color w:val="auto"/>
          <w:szCs w:val="21"/>
          <w:highlight w:val="none"/>
        </w:rPr>
        <w:t>我方承诺如下内容：</w:t>
      </w:r>
    </w:p>
    <w:p w14:paraId="7C87F4CE">
      <w:pPr>
        <w:spacing w:line="400" w:lineRule="exact"/>
        <w:ind w:firstLine="420" w:firstLineChars="200"/>
        <w:rPr>
          <w:color w:val="auto"/>
          <w:szCs w:val="21"/>
          <w:highlight w:val="none"/>
        </w:rPr>
      </w:pPr>
      <w:r>
        <w:rPr>
          <w:rFonts w:hint="eastAsia"/>
          <w:color w:val="auto"/>
          <w:szCs w:val="21"/>
          <w:highlight w:val="none"/>
        </w:rPr>
        <w:t>1.我方的响应文件包含第二章“竞争性谈判响应须知”第</w:t>
      </w:r>
      <w:r>
        <w:rPr>
          <w:color w:val="auto"/>
          <w:highlight w:val="none"/>
        </w:rPr>
        <w:t>3.1</w:t>
      </w:r>
      <w:r>
        <w:rPr>
          <w:rFonts w:hint="eastAsia"/>
          <w:color w:val="auto"/>
          <w:szCs w:val="21"/>
          <w:highlight w:val="none"/>
        </w:rPr>
        <w:t>款规定的全部内容。</w:t>
      </w:r>
    </w:p>
    <w:p w14:paraId="57D8D089">
      <w:pPr>
        <w:spacing w:line="400" w:lineRule="exact"/>
        <w:ind w:firstLine="420" w:firstLineChars="200"/>
        <w:rPr>
          <w:color w:val="auto"/>
          <w:szCs w:val="21"/>
          <w:highlight w:val="none"/>
        </w:rPr>
      </w:pPr>
      <w:r>
        <w:rPr>
          <w:rFonts w:hint="eastAsia"/>
          <w:color w:val="auto"/>
          <w:szCs w:val="21"/>
          <w:highlight w:val="none"/>
        </w:rPr>
        <w:t>2.</w:t>
      </w:r>
      <w:r>
        <w:rPr>
          <w:color w:val="auto"/>
          <w:szCs w:val="21"/>
          <w:highlight w:val="none"/>
        </w:rPr>
        <w:t>我方承诺在</w:t>
      </w:r>
      <w:r>
        <w:rPr>
          <w:rFonts w:hint="eastAsia"/>
          <w:color w:val="auto"/>
          <w:szCs w:val="21"/>
          <w:highlight w:val="none"/>
        </w:rPr>
        <w:t>竞争性谈判文件规定的</w:t>
      </w:r>
      <w:r>
        <w:rPr>
          <w:color w:val="auto"/>
          <w:szCs w:val="21"/>
          <w:highlight w:val="none"/>
        </w:rPr>
        <w:t>竞争性谈判有效期</w:t>
      </w:r>
      <w:r>
        <w:rPr>
          <w:rFonts w:hint="eastAsia"/>
          <w:color w:val="auto"/>
          <w:szCs w:val="21"/>
          <w:highlight w:val="none"/>
        </w:rPr>
        <w:t>（竞争性谈判有效期为</w:t>
      </w:r>
      <w:r>
        <w:rPr>
          <w:rFonts w:hint="eastAsia"/>
          <w:color w:val="auto"/>
          <w:szCs w:val="21"/>
          <w:highlight w:val="none"/>
          <w:u w:val="single"/>
        </w:rPr>
        <w:t xml:space="preserve"> </w:t>
      </w:r>
      <w:r>
        <w:rPr>
          <w:rFonts w:hint="eastAsia"/>
          <w:color w:val="auto"/>
          <w:szCs w:val="21"/>
          <w:highlight w:val="none"/>
          <w:u w:val="single"/>
          <w:lang w:val="en-US" w:eastAsia="zh-CN"/>
        </w:rPr>
        <w:t>90</w:t>
      </w:r>
      <w:r>
        <w:rPr>
          <w:rFonts w:hint="eastAsia"/>
          <w:color w:val="auto"/>
          <w:szCs w:val="21"/>
          <w:highlight w:val="none"/>
          <w:u w:val="single"/>
        </w:rPr>
        <w:t xml:space="preserve"> </w:t>
      </w:r>
      <w:r>
        <w:rPr>
          <w:rFonts w:hint="eastAsia"/>
          <w:color w:val="auto"/>
          <w:szCs w:val="21"/>
          <w:highlight w:val="none"/>
        </w:rPr>
        <w:t>天）</w:t>
      </w:r>
      <w:r>
        <w:rPr>
          <w:color w:val="auto"/>
          <w:szCs w:val="21"/>
          <w:highlight w:val="none"/>
        </w:rPr>
        <w:t>内不修改、撤销响应文件。</w:t>
      </w:r>
    </w:p>
    <w:p w14:paraId="6A57B416">
      <w:pPr>
        <w:spacing w:line="400" w:lineRule="exact"/>
        <w:ind w:firstLine="420" w:firstLineChars="200"/>
        <w:jc w:val="left"/>
        <w:rPr>
          <w:color w:val="auto"/>
          <w:szCs w:val="21"/>
          <w:highlight w:val="none"/>
        </w:rPr>
      </w:pPr>
      <w:r>
        <w:rPr>
          <w:rFonts w:hint="eastAsia"/>
          <w:color w:val="auto"/>
          <w:szCs w:val="21"/>
          <w:highlight w:val="none"/>
        </w:rPr>
        <w:t>3.</w:t>
      </w:r>
      <w:r>
        <w:rPr>
          <w:color w:val="auto"/>
          <w:szCs w:val="21"/>
          <w:highlight w:val="none"/>
        </w:rPr>
        <w:t>随同本竞争性谈判响应函提交竞争性谈判保证金一份，金额为人民币（大写）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316E8DA">
      <w:pPr>
        <w:spacing w:line="400" w:lineRule="exact"/>
        <w:ind w:firstLine="420" w:firstLineChars="200"/>
        <w:rPr>
          <w:color w:val="auto"/>
          <w:szCs w:val="21"/>
          <w:highlight w:val="none"/>
        </w:rPr>
      </w:pPr>
      <w:r>
        <w:rPr>
          <w:rFonts w:hint="eastAsia"/>
          <w:color w:val="auto"/>
          <w:szCs w:val="21"/>
          <w:highlight w:val="none"/>
        </w:rPr>
        <w:t>4.我方在评审过程中根据谈判小组要求提供的符合相关规定的澄清文件，构成响应文件的组成部分。</w:t>
      </w:r>
    </w:p>
    <w:p w14:paraId="42C40C2E">
      <w:pPr>
        <w:spacing w:line="400" w:lineRule="exact"/>
        <w:ind w:firstLine="420" w:firstLineChars="200"/>
        <w:rPr>
          <w:color w:val="auto"/>
          <w:szCs w:val="21"/>
          <w:highlight w:val="none"/>
        </w:rPr>
      </w:pPr>
      <w:r>
        <w:rPr>
          <w:rFonts w:hint="eastAsia"/>
          <w:color w:val="auto"/>
          <w:szCs w:val="21"/>
          <w:highlight w:val="none"/>
        </w:rPr>
        <w:t>5.我方同意提供贵方可能要求的与竞争性谈判有关的一切数据或者资料，并完全理解贵方不一定接受最低价的竞争性谈判。</w:t>
      </w:r>
    </w:p>
    <w:p w14:paraId="482F6322">
      <w:pPr>
        <w:spacing w:line="400" w:lineRule="exact"/>
        <w:ind w:firstLine="420" w:firstLineChars="200"/>
        <w:rPr>
          <w:color w:val="auto"/>
          <w:szCs w:val="21"/>
          <w:highlight w:val="none"/>
        </w:rPr>
      </w:pPr>
      <w:r>
        <w:rPr>
          <w:rFonts w:hint="eastAsia"/>
          <w:color w:val="auto"/>
          <w:szCs w:val="21"/>
          <w:highlight w:val="none"/>
        </w:rPr>
        <w:t>6.我方承诺不向第三方透露与竞争性谈判相关的所有信息。</w:t>
      </w:r>
    </w:p>
    <w:p w14:paraId="2C158805">
      <w:pPr>
        <w:spacing w:line="400" w:lineRule="exact"/>
        <w:ind w:firstLine="420" w:firstLineChars="200"/>
        <w:rPr>
          <w:color w:val="auto"/>
          <w:szCs w:val="21"/>
          <w:highlight w:val="none"/>
        </w:rPr>
      </w:pPr>
      <w:r>
        <w:rPr>
          <w:rFonts w:hint="eastAsia"/>
          <w:color w:val="auto"/>
          <w:szCs w:val="21"/>
          <w:highlight w:val="none"/>
        </w:rPr>
        <w:t>7.</w:t>
      </w:r>
      <w:r>
        <w:rPr>
          <w:color w:val="auto"/>
          <w:szCs w:val="21"/>
          <w:highlight w:val="none"/>
        </w:rPr>
        <w:t>如我方成交：</w:t>
      </w:r>
    </w:p>
    <w:p w14:paraId="5A2EC9AD">
      <w:pPr>
        <w:spacing w:line="400" w:lineRule="exact"/>
        <w:ind w:firstLine="422" w:firstLineChars="201"/>
        <w:rPr>
          <w:color w:val="auto"/>
          <w:szCs w:val="21"/>
          <w:highlight w:val="none"/>
        </w:rPr>
      </w:pPr>
      <w:r>
        <w:rPr>
          <w:color w:val="auto"/>
          <w:szCs w:val="21"/>
          <w:highlight w:val="none"/>
        </w:rPr>
        <w:t>（1）我方承诺在收到成交通知书后，在成交通知书规定的期限内与你方签订合同。</w:t>
      </w:r>
    </w:p>
    <w:p w14:paraId="42AE86C2">
      <w:pPr>
        <w:spacing w:line="400" w:lineRule="exact"/>
        <w:ind w:firstLine="422" w:firstLineChars="201"/>
        <w:rPr>
          <w:color w:val="auto"/>
          <w:szCs w:val="21"/>
          <w:highlight w:val="none"/>
        </w:rPr>
      </w:pPr>
      <w:r>
        <w:rPr>
          <w:color w:val="auto"/>
          <w:szCs w:val="21"/>
          <w:highlight w:val="none"/>
        </w:rPr>
        <w:t>（2）我方承诺按照竞争性谈判文件规定递交履约担保</w:t>
      </w:r>
      <w:r>
        <w:rPr>
          <w:rFonts w:hint="eastAsia"/>
          <w:color w:val="auto"/>
          <w:szCs w:val="21"/>
          <w:highlight w:val="none"/>
        </w:rPr>
        <w:t>、支付采购代理服务费</w:t>
      </w:r>
      <w:r>
        <w:rPr>
          <w:color w:val="auto"/>
          <w:szCs w:val="21"/>
          <w:highlight w:val="none"/>
        </w:rPr>
        <w:t>。</w:t>
      </w:r>
    </w:p>
    <w:p w14:paraId="01C4E8A5">
      <w:pPr>
        <w:spacing w:line="400" w:lineRule="exact"/>
        <w:ind w:firstLine="422" w:firstLineChars="201"/>
        <w:rPr>
          <w:color w:val="auto"/>
          <w:szCs w:val="21"/>
          <w:highlight w:val="none"/>
        </w:rPr>
      </w:pPr>
      <w:r>
        <w:rPr>
          <w:rFonts w:hint="eastAsia"/>
          <w:color w:val="auto"/>
          <w:szCs w:val="21"/>
          <w:highlight w:val="none"/>
        </w:rPr>
        <w:t>（3）按照竞争性谈判文件的规定及合同约定履行相关责任和义务。</w:t>
      </w:r>
    </w:p>
    <w:p w14:paraId="6F691D12">
      <w:pPr>
        <w:spacing w:line="400" w:lineRule="exact"/>
        <w:ind w:firstLine="420" w:firstLineChars="200"/>
        <w:rPr>
          <w:b/>
          <w:color w:val="auto"/>
          <w:szCs w:val="21"/>
          <w:highlight w:val="none"/>
        </w:rPr>
      </w:pPr>
      <w:r>
        <w:rPr>
          <w:rFonts w:hint="eastAsia"/>
          <w:color w:val="auto"/>
          <w:highlight w:val="none"/>
        </w:rPr>
        <w:t>我方在此声明，所递交的响应文件以及有关资料内容完整、真实和准确，且不存在第二章“竞争性谈判响应须知”第1.</w:t>
      </w:r>
      <w:r>
        <w:rPr>
          <w:color w:val="auto"/>
          <w:highlight w:val="none"/>
        </w:rPr>
        <w:t>7</w:t>
      </w:r>
      <w:r>
        <w:rPr>
          <w:rFonts w:hint="eastAsia"/>
          <w:color w:val="auto"/>
          <w:highlight w:val="none"/>
        </w:rPr>
        <w:t>款规定的任何一种情形。</w:t>
      </w:r>
      <w:r>
        <w:rPr>
          <w:rFonts w:hAnsi="宋体"/>
          <w:bCs/>
          <w:color w:val="auto"/>
          <w:szCs w:val="21"/>
          <w:highlight w:val="none"/>
        </w:rPr>
        <w:t>如有弄虚作假，将承担相应的法律责任，并赔偿由此造成的一切损失。</w:t>
      </w:r>
    </w:p>
    <w:p w14:paraId="1C3F98A1">
      <w:pPr>
        <w:spacing w:line="400" w:lineRule="exact"/>
        <w:ind w:firstLine="420" w:firstLineChars="200"/>
        <w:rPr>
          <w:color w:val="auto"/>
          <w:szCs w:val="21"/>
          <w:highlight w:val="none"/>
        </w:rPr>
      </w:pPr>
      <w:r>
        <w:rPr>
          <w:rFonts w:hint="eastAsia"/>
          <w:color w:val="auto"/>
          <w:szCs w:val="21"/>
          <w:highlight w:val="none"/>
        </w:rPr>
        <w:t>8．</w:t>
      </w:r>
      <w:r>
        <w:rPr>
          <w:color w:val="auto"/>
          <w:szCs w:val="21"/>
          <w:highlight w:val="none"/>
          <w:u w:val="single"/>
        </w:rPr>
        <w:t xml:space="preserve">    （</w:t>
      </w:r>
      <w:r>
        <w:rPr>
          <w:rFonts w:hint="eastAsia"/>
          <w:color w:val="auto"/>
          <w:szCs w:val="21"/>
          <w:highlight w:val="none"/>
          <w:u w:val="single"/>
        </w:rPr>
        <w:t>其他</w:t>
      </w:r>
      <w:r>
        <w:rPr>
          <w:color w:val="auto"/>
          <w:szCs w:val="21"/>
          <w:highlight w:val="none"/>
          <w:u w:val="single"/>
        </w:rPr>
        <w:t xml:space="preserve">补充说明）         </w:t>
      </w:r>
      <w:r>
        <w:rPr>
          <w:color w:val="auto"/>
          <w:szCs w:val="21"/>
          <w:highlight w:val="none"/>
        </w:rPr>
        <w:t>。</w:t>
      </w:r>
    </w:p>
    <w:p w14:paraId="17BA5DD5">
      <w:pPr>
        <w:spacing w:line="400" w:lineRule="exact"/>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14:paraId="3DC704CE">
      <w:pPr>
        <w:spacing w:line="400" w:lineRule="exact"/>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14:paraId="15672789">
      <w:pPr>
        <w:spacing w:line="400" w:lineRule="exact"/>
        <w:ind w:firstLine="3675" w:firstLineChars="1750"/>
        <w:rPr>
          <w:color w:val="auto"/>
          <w:szCs w:val="21"/>
          <w:highlight w:val="none"/>
        </w:rPr>
      </w:pPr>
      <w:r>
        <w:rPr>
          <w:color w:val="auto"/>
          <w:szCs w:val="21"/>
          <w:highlight w:val="none"/>
        </w:rPr>
        <w:t>地址：</w:t>
      </w:r>
      <w:r>
        <w:rPr>
          <w:color w:val="auto"/>
          <w:szCs w:val="21"/>
          <w:highlight w:val="none"/>
          <w:u w:val="single"/>
        </w:rPr>
        <w:t xml:space="preserve">                                     </w:t>
      </w:r>
    </w:p>
    <w:p w14:paraId="1D15ED85">
      <w:pPr>
        <w:spacing w:line="400" w:lineRule="exact"/>
        <w:ind w:firstLine="3675" w:firstLineChars="1750"/>
        <w:rPr>
          <w:color w:val="auto"/>
          <w:szCs w:val="21"/>
          <w:highlight w:val="none"/>
          <w:u w:val="single"/>
        </w:rPr>
      </w:pPr>
      <w:r>
        <w:rPr>
          <w:color w:val="auto"/>
          <w:szCs w:val="21"/>
          <w:highlight w:val="none"/>
        </w:rPr>
        <w:t>邮政编码：</w:t>
      </w:r>
      <w:r>
        <w:rPr>
          <w:color w:val="auto"/>
          <w:szCs w:val="21"/>
          <w:highlight w:val="none"/>
          <w:u w:val="single"/>
        </w:rPr>
        <w:t xml:space="preserve">                                 </w:t>
      </w:r>
    </w:p>
    <w:p w14:paraId="1ADDC640">
      <w:pPr>
        <w:spacing w:line="400" w:lineRule="exact"/>
        <w:ind w:firstLine="3675" w:firstLineChars="1750"/>
        <w:rPr>
          <w:color w:val="auto"/>
          <w:szCs w:val="21"/>
          <w:highlight w:val="none"/>
        </w:rPr>
      </w:pPr>
      <w:r>
        <w:rPr>
          <w:color w:val="auto"/>
          <w:szCs w:val="21"/>
          <w:highlight w:val="none"/>
        </w:rPr>
        <w:t>电话：</w:t>
      </w:r>
      <w:r>
        <w:rPr>
          <w:color w:val="auto"/>
          <w:szCs w:val="21"/>
          <w:highlight w:val="none"/>
          <w:u w:val="single"/>
        </w:rPr>
        <w:t xml:space="preserve">                                     </w:t>
      </w:r>
    </w:p>
    <w:p w14:paraId="25814F91">
      <w:pPr>
        <w:spacing w:line="400" w:lineRule="exact"/>
        <w:ind w:firstLine="3675" w:firstLineChars="1750"/>
        <w:rPr>
          <w:color w:val="auto"/>
          <w:szCs w:val="21"/>
          <w:highlight w:val="none"/>
        </w:rPr>
      </w:pPr>
      <w:r>
        <w:rPr>
          <w:color w:val="auto"/>
          <w:szCs w:val="21"/>
          <w:highlight w:val="none"/>
        </w:rPr>
        <w:t>传真：</w:t>
      </w:r>
      <w:r>
        <w:rPr>
          <w:color w:val="auto"/>
          <w:szCs w:val="21"/>
          <w:highlight w:val="none"/>
          <w:u w:val="single"/>
        </w:rPr>
        <w:t xml:space="preserve">                                     </w:t>
      </w:r>
    </w:p>
    <w:p w14:paraId="3BF596F5">
      <w:pPr>
        <w:spacing w:line="400" w:lineRule="exact"/>
        <w:ind w:firstLine="3675" w:firstLineChars="1750"/>
        <w:rPr>
          <w:color w:val="auto"/>
          <w:szCs w:val="21"/>
          <w:highlight w:val="none"/>
        </w:rPr>
      </w:pPr>
      <w:r>
        <w:rPr>
          <w:rFonts w:hint="eastAsia"/>
          <w:color w:val="auto"/>
          <w:szCs w:val="21"/>
          <w:highlight w:val="none"/>
        </w:rPr>
        <w:t>电子邮箱</w:t>
      </w:r>
      <w:r>
        <w:rPr>
          <w:color w:val="auto"/>
          <w:szCs w:val="21"/>
          <w:highlight w:val="none"/>
        </w:rPr>
        <w:t>：</w:t>
      </w:r>
      <w:r>
        <w:rPr>
          <w:color w:val="auto"/>
          <w:szCs w:val="21"/>
          <w:highlight w:val="none"/>
          <w:u w:val="single"/>
        </w:rPr>
        <w:t xml:space="preserve">                                 </w:t>
      </w:r>
    </w:p>
    <w:p w14:paraId="64696F22">
      <w:pPr>
        <w:spacing w:line="440" w:lineRule="exact"/>
        <w:jc w:val="right"/>
        <w:rPr>
          <w:rFonts w:eastAsia="黑体"/>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2FE37BD">
      <w:pPr>
        <w:spacing w:line="440" w:lineRule="exact"/>
        <w:rPr>
          <w:rFonts w:eastAsia="黑体"/>
          <w:color w:val="auto"/>
          <w:sz w:val="20"/>
          <w:szCs w:val="20"/>
          <w:highlight w:val="none"/>
        </w:rPr>
      </w:pPr>
      <w:r>
        <w:rPr>
          <w:rFonts w:eastAsia="黑体"/>
          <w:color w:val="auto"/>
          <w:sz w:val="20"/>
          <w:szCs w:val="20"/>
          <w:highlight w:val="none"/>
        </w:rPr>
        <w:br w:type="page"/>
      </w:r>
    </w:p>
    <w:p w14:paraId="06CB7E78">
      <w:pPr>
        <w:pStyle w:val="6"/>
        <w:jc w:val="center"/>
        <w:rPr>
          <w:rFonts w:ascii="黑体"/>
          <w:b w:val="0"/>
          <w:color w:val="auto"/>
          <w:highlight w:val="none"/>
        </w:rPr>
      </w:pPr>
      <w:bookmarkStart w:id="163" w:name="_Toc475483723"/>
      <w:bookmarkStart w:id="164" w:name="_Toc8418"/>
      <w:r>
        <w:rPr>
          <w:rFonts w:hint="eastAsia" w:ascii="黑体"/>
          <w:b w:val="0"/>
          <w:color w:val="auto"/>
          <w:highlight w:val="none"/>
        </w:rPr>
        <w:t>三、联合体协议书（如有）</w:t>
      </w:r>
      <w:bookmarkEnd w:id="163"/>
      <w:bookmarkEnd w:id="164"/>
    </w:p>
    <w:p w14:paraId="4D5B58EA">
      <w:pPr>
        <w:pStyle w:val="14"/>
        <w:spacing w:line="440" w:lineRule="exact"/>
        <w:rPr>
          <w:color w:val="auto"/>
          <w:szCs w:val="21"/>
          <w:highlight w:val="none"/>
        </w:rPr>
      </w:pPr>
      <w:r>
        <w:rPr>
          <w:rFonts w:hint="eastAsia"/>
          <w:color w:val="auto"/>
          <w:szCs w:val="21"/>
          <w:highlight w:val="none"/>
          <w:u w:val="single"/>
        </w:rPr>
        <w:t xml:space="preserve">（所有成员单位名单）  </w:t>
      </w:r>
      <w:r>
        <w:rPr>
          <w:rFonts w:hAnsi="宋体"/>
          <w:color w:val="auto"/>
          <w:szCs w:val="21"/>
          <w:highlight w:val="none"/>
        </w:rPr>
        <w:t>自愿组成：</w:t>
      </w:r>
      <w:r>
        <w:rPr>
          <w:rFonts w:hint="eastAsia"/>
          <w:color w:val="auto"/>
          <w:szCs w:val="21"/>
          <w:highlight w:val="none"/>
          <w:u w:val="single"/>
        </w:rPr>
        <w:t xml:space="preserve">    </w:t>
      </w:r>
      <w:r>
        <w:rPr>
          <w:rFonts w:hAnsi="宋体"/>
          <w:color w:val="auto"/>
          <w:szCs w:val="21"/>
          <w:highlight w:val="none"/>
          <w:u w:val="single"/>
        </w:rPr>
        <w:t>（联合体名称）</w:t>
      </w:r>
      <w:r>
        <w:rPr>
          <w:rFonts w:hint="eastAsia" w:hAnsi="宋体"/>
          <w:color w:val="auto"/>
          <w:szCs w:val="21"/>
          <w:highlight w:val="none"/>
          <w:u w:val="single"/>
        </w:rPr>
        <w:t xml:space="preserve">  </w:t>
      </w:r>
      <w:r>
        <w:rPr>
          <w:rFonts w:hAnsi="宋体"/>
          <w:color w:val="auto"/>
          <w:szCs w:val="21"/>
          <w:highlight w:val="none"/>
        </w:rPr>
        <w:t>联合体，共同参加</w:t>
      </w:r>
      <w:r>
        <w:rPr>
          <w:rFonts w:hAnsi="宋体"/>
          <w:color w:val="auto"/>
          <w:szCs w:val="21"/>
          <w:highlight w:val="none"/>
          <w:u w:val="single"/>
        </w:rPr>
        <w:t>（竞争性谈判项目名称）</w:t>
      </w:r>
      <w:r>
        <w:rPr>
          <w:rFonts w:hAnsi="宋体"/>
          <w:color w:val="auto"/>
          <w:szCs w:val="21"/>
          <w:highlight w:val="none"/>
        </w:rPr>
        <w:t>竞争性谈判。现就联合体竞争性谈判事宜订立如下协议</w:t>
      </w:r>
      <w:r>
        <w:rPr>
          <w:rFonts w:hint="eastAsia" w:hAnsi="宋体"/>
          <w:color w:val="auto"/>
          <w:szCs w:val="21"/>
          <w:highlight w:val="none"/>
        </w:rPr>
        <w:t>：</w:t>
      </w:r>
    </w:p>
    <w:p w14:paraId="0D5B4D4F">
      <w:pPr>
        <w:pStyle w:val="14"/>
        <w:spacing w:line="440" w:lineRule="exact"/>
        <w:rPr>
          <w:color w:val="auto"/>
          <w:szCs w:val="21"/>
          <w:highlight w:val="none"/>
        </w:rPr>
      </w:pPr>
      <w:r>
        <w:rPr>
          <w:color w:val="auto"/>
          <w:szCs w:val="21"/>
          <w:highlight w:val="none"/>
        </w:rPr>
        <w:t>1</w:t>
      </w:r>
      <w:r>
        <w:rPr>
          <w:rFonts w:hint="eastAsia"/>
          <w:color w:val="auto"/>
          <w:szCs w:val="21"/>
          <w:highlight w:val="none"/>
        </w:rPr>
        <w:t>．</w:t>
      </w:r>
      <w:r>
        <w:rPr>
          <w:rFonts w:hAnsi="宋体"/>
          <w:color w:val="auto"/>
          <w:szCs w:val="21"/>
          <w:highlight w:val="none"/>
          <w:u w:val="single"/>
        </w:rPr>
        <w:t>（成员单位名称）</w:t>
      </w:r>
      <w:r>
        <w:rPr>
          <w:rFonts w:hAnsi="宋体"/>
          <w:color w:val="auto"/>
          <w:szCs w:val="21"/>
          <w:highlight w:val="none"/>
        </w:rPr>
        <w:t>为</w:t>
      </w:r>
      <w:r>
        <w:rPr>
          <w:rFonts w:hAnsi="宋体"/>
          <w:color w:val="auto"/>
          <w:szCs w:val="21"/>
          <w:highlight w:val="none"/>
          <w:u w:val="single"/>
        </w:rPr>
        <w:t>（联合体名称）</w:t>
      </w:r>
      <w:r>
        <w:rPr>
          <w:rFonts w:hAnsi="宋体"/>
          <w:color w:val="auto"/>
          <w:szCs w:val="21"/>
          <w:highlight w:val="none"/>
        </w:rPr>
        <w:t>牵头人。</w:t>
      </w:r>
    </w:p>
    <w:p w14:paraId="0435BC19">
      <w:pPr>
        <w:pStyle w:val="14"/>
        <w:spacing w:line="440" w:lineRule="exact"/>
        <w:rPr>
          <w:color w:val="auto"/>
          <w:szCs w:val="21"/>
          <w:highlight w:val="none"/>
        </w:rPr>
      </w:pPr>
      <w:r>
        <w:rPr>
          <w:color w:val="auto"/>
          <w:szCs w:val="21"/>
          <w:highlight w:val="none"/>
        </w:rPr>
        <w:t>2</w:t>
      </w:r>
      <w:r>
        <w:rPr>
          <w:rFonts w:hint="eastAsia"/>
          <w:color w:val="auto"/>
          <w:szCs w:val="21"/>
          <w:highlight w:val="none"/>
        </w:rPr>
        <w:t>．</w:t>
      </w:r>
      <w:r>
        <w:rPr>
          <w:rFonts w:hAnsi="宋体"/>
          <w:color w:val="auto"/>
          <w:szCs w:val="21"/>
          <w:highlight w:val="none"/>
        </w:rPr>
        <w:t>联合体牵头人合法代表联合体各成员，负责本竞争性谈判项目响应文件编制和合同谈判活动，并代表联合体成员</w:t>
      </w:r>
      <w:r>
        <w:rPr>
          <w:rFonts w:hint="eastAsia" w:hAnsi="宋体"/>
          <w:color w:val="auto"/>
          <w:szCs w:val="21"/>
          <w:highlight w:val="none"/>
        </w:rPr>
        <w:t>递</w:t>
      </w:r>
      <w:r>
        <w:rPr>
          <w:rFonts w:hAnsi="宋体"/>
          <w:color w:val="auto"/>
          <w:szCs w:val="21"/>
          <w:highlight w:val="none"/>
        </w:rPr>
        <w:t>交和接受相关的资料、信息及指示，并处理与之有关的一切事务，负责合同实施阶段的主办、组织和协调工作。</w:t>
      </w:r>
    </w:p>
    <w:p w14:paraId="1F010A0A">
      <w:pPr>
        <w:pStyle w:val="14"/>
        <w:spacing w:line="440" w:lineRule="exact"/>
        <w:rPr>
          <w:rFonts w:hAnsi="宋体"/>
          <w:color w:val="auto"/>
          <w:szCs w:val="21"/>
          <w:highlight w:val="none"/>
        </w:rPr>
      </w:pPr>
      <w:r>
        <w:rPr>
          <w:color w:val="auto"/>
          <w:szCs w:val="21"/>
          <w:highlight w:val="none"/>
        </w:rPr>
        <w:t>3</w:t>
      </w:r>
      <w:r>
        <w:rPr>
          <w:rFonts w:hint="eastAsia"/>
          <w:color w:val="auto"/>
          <w:szCs w:val="21"/>
          <w:highlight w:val="none"/>
        </w:rPr>
        <w:t>．</w:t>
      </w:r>
      <w:r>
        <w:rPr>
          <w:rFonts w:hAnsi="宋体"/>
          <w:color w:val="auto"/>
          <w:szCs w:val="21"/>
          <w:highlight w:val="none"/>
        </w:rPr>
        <w:t>联合体将严格按照竞争性谈判文件的各项要求，递交响应文件，履行合同，并对外承担连带责任。</w:t>
      </w:r>
    </w:p>
    <w:p w14:paraId="5E8C1FDF">
      <w:pPr>
        <w:pStyle w:val="14"/>
        <w:spacing w:line="440" w:lineRule="exact"/>
        <w:rPr>
          <w:color w:val="auto"/>
          <w:szCs w:val="21"/>
          <w:highlight w:val="none"/>
        </w:rPr>
      </w:pPr>
      <w:r>
        <w:rPr>
          <w:color w:val="auto"/>
          <w:szCs w:val="21"/>
          <w:highlight w:val="none"/>
        </w:rPr>
        <w:t>4</w:t>
      </w:r>
      <w:r>
        <w:rPr>
          <w:rFonts w:hint="eastAsia"/>
          <w:color w:val="auto"/>
          <w:szCs w:val="21"/>
          <w:highlight w:val="none"/>
        </w:rPr>
        <w:t>．</w:t>
      </w:r>
      <w:r>
        <w:rPr>
          <w:rFonts w:hAnsi="宋体"/>
          <w:color w:val="auto"/>
          <w:szCs w:val="21"/>
          <w:highlight w:val="none"/>
        </w:rPr>
        <w:t>联合体各成员单位内部的职责分工</w:t>
      </w:r>
      <w:r>
        <w:rPr>
          <w:rFonts w:hint="eastAsia" w:hAnsi="宋体"/>
          <w:color w:val="auto"/>
          <w:szCs w:val="21"/>
          <w:highlight w:val="none"/>
        </w:rPr>
        <w:t>以及资质等级</w:t>
      </w:r>
      <w:r>
        <w:rPr>
          <w:rFonts w:hAnsi="宋体"/>
          <w:color w:val="auto"/>
          <w:szCs w:val="21"/>
          <w:highlight w:val="none"/>
        </w:rPr>
        <w:t>如下：</w:t>
      </w:r>
      <w:r>
        <w:rPr>
          <w:color w:val="auto"/>
          <w:szCs w:val="21"/>
          <w:highlight w:val="none"/>
        </w:rPr>
        <w:t>_________________</w:t>
      </w:r>
      <w:r>
        <w:rPr>
          <w:rFonts w:hint="eastAsia"/>
          <w:color w:val="auto"/>
          <w:szCs w:val="21"/>
          <w:highlight w:val="none"/>
        </w:rPr>
        <w:t>。</w:t>
      </w:r>
    </w:p>
    <w:p w14:paraId="57AF9E2B">
      <w:pPr>
        <w:pStyle w:val="14"/>
        <w:spacing w:line="440" w:lineRule="exact"/>
        <w:rPr>
          <w:rFonts w:ascii="宋体" w:hAnsi="宋体"/>
          <w:color w:val="auto"/>
          <w:szCs w:val="21"/>
          <w:highlight w:val="none"/>
        </w:rPr>
      </w:pPr>
      <w:r>
        <w:rPr>
          <w:rFonts w:hint="eastAsia" w:ascii="宋体" w:hAnsi="宋体"/>
          <w:color w:val="auto"/>
          <w:szCs w:val="21"/>
          <w:highlight w:val="none"/>
        </w:rPr>
        <w:t>按照本条上述分工，联合体成员单位各自所承担的合同工作量比例如下：</w:t>
      </w:r>
      <w:r>
        <w:rPr>
          <w:rFonts w:hint="eastAsia" w:ascii="宋体" w:hAnsi="宋体"/>
          <w:color w:val="auto"/>
          <w:szCs w:val="21"/>
          <w:highlight w:val="none"/>
          <w:u w:val="single"/>
        </w:rPr>
        <w:t xml:space="preserve">           </w:t>
      </w:r>
    </w:p>
    <w:p w14:paraId="2E0BE5C9">
      <w:pPr>
        <w:spacing w:line="44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3D7FBE">
      <w:pPr>
        <w:spacing w:line="440" w:lineRule="exact"/>
        <w:ind w:firstLine="424" w:firstLineChars="202"/>
        <w:rPr>
          <w:color w:val="auto"/>
          <w:szCs w:val="21"/>
          <w:highlight w:val="none"/>
        </w:rPr>
      </w:pPr>
      <w:r>
        <w:rPr>
          <w:color w:val="auto"/>
          <w:szCs w:val="21"/>
          <w:highlight w:val="none"/>
        </w:rPr>
        <w:t>5</w:t>
      </w:r>
      <w:r>
        <w:rPr>
          <w:rFonts w:hint="eastAsia"/>
          <w:color w:val="auto"/>
          <w:szCs w:val="21"/>
          <w:highlight w:val="none"/>
        </w:rPr>
        <w:t xml:space="preserve">． </w:t>
      </w:r>
      <w:r>
        <w:rPr>
          <w:color w:val="auto"/>
          <w:szCs w:val="21"/>
          <w:highlight w:val="none"/>
        </w:rPr>
        <w:t>竞争性谈判工作以及联合体在成交后</w:t>
      </w:r>
      <w:r>
        <w:rPr>
          <w:rFonts w:hint="eastAsia"/>
          <w:color w:val="auto"/>
          <w:szCs w:val="21"/>
          <w:highlight w:val="none"/>
        </w:rPr>
        <w:t>项目</w:t>
      </w:r>
      <w:r>
        <w:rPr>
          <w:color w:val="auto"/>
          <w:szCs w:val="21"/>
          <w:highlight w:val="none"/>
        </w:rPr>
        <w:t>实施过程中的有关费用按</w:t>
      </w:r>
      <w:r>
        <w:rPr>
          <w:rFonts w:hint="eastAsia"/>
          <w:color w:val="auto"/>
          <w:szCs w:val="21"/>
          <w:highlight w:val="none"/>
        </w:rPr>
        <w:t>照</w:t>
      </w:r>
      <w:r>
        <w:rPr>
          <w:color w:val="auto"/>
          <w:szCs w:val="21"/>
          <w:highlight w:val="none"/>
        </w:rPr>
        <w:t>各自承担的工作量分摊。</w:t>
      </w:r>
    </w:p>
    <w:p w14:paraId="29D88B67">
      <w:pPr>
        <w:spacing w:line="440" w:lineRule="exact"/>
        <w:ind w:firstLine="424" w:firstLineChars="202"/>
        <w:rPr>
          <w:color w:val="auto"/>
          <w:szCs w:val="21"/>
          <w:highlight w:val="none"/>
        </w:rPr>
      </w:pPr>
      <w:r>
        <w:rPr>
          <w:color w:val="auto"/>
          <w:szCs w:val="21"/>
          <w:highlight w:val="none"/>
        </w:rPr>
        <w:t>6</w:t>
      </w:r>
      <w:r>
        <w:rPr>
          <w:rFonts w:hint="eastAsia"/>
          <w:color w:val="auto"/>
          <w:szCs w:val="21"/>
          <w:highlight w:val="none"/>
        </w:rPr>
        <w:t>．</w:t>
      </w:r>
      <w:r>
        <w:rPr>
          <w:color w:val="auto"/>
          <w:szCs w:val="21"/>
          <w:highlight w:val="none"/>
        </w:rPr>
        <w:t>联合体成交后，本联合体协议是合同的附件，对联合体各成员单位有合同约束力。</w:t>
      </w:r>
    </w:p>
    <w:p w14:paraId="2E8FB71F">
      <w:pPr>
        <w:pStyle w:val="14"/>
        <w:tabs>
          <w:tab w:val="left" w:pos="6645"/>
        </w:tabs>
        <w:spacing w:line="440" w:lineRule="exact"/>
        <w:rPr>
          <w:color w:val="auto"/>
          <w:szCs w:val="21"/>
          <w:highlight w:val="none"/>
        </w:rPr>
      </w:pPr>
      <w:r>
        <w:rPr>
          <w:rFonts w:hint="eastAsia"/>
          <w:color w:val="auto"/>
          <w:szCs w:val="21"/>
          <w:highlight w:val="none"/>
        </w:rPr>
        <w:t>7．</w:t>
      </w:r>
      <w:r>
        <w:rPr>
          <w:color w:val="auto"/>
          <w:szCs w:val="21"/>
          <w:highlight w:val="none"/>
        </w:rPr>
        <w:t>本协议书自签</w:t>
      </w:r>
      <w:r>
        <w:rPr>
          <w:rFonts w:hint="eastAsia"/>
          <w:color w:val="auto"/>
          <w:szCs w:val="21"/>
          <w:highlight w:val="none"/>
        </w:rPr>
        <w:t>署</w:t>
      </w:r>
      <w:r>
        <w:rPr>
          <w:color w:val="auto"/>
          <w:szCs w:val="21"/>
          <w:highlight w:val="none"/>
        </w:rPr>
        <w:t>之日起生效，合同履行完毕后自动失效。</w:t>
      </w:r>
    </w:p>
    <w:p w14:paraId="00F2234F">
      <w:pPr>
        <w:pStyle w:val="14"/>
        <w:spacing w:line="440" w:lineRule="exact"/>
        <w:rPr>
          <w:color w:val="auto"/>
          <w:szCs w:val="21"/>
          <w:highlight w:val="none"/>
        </w:rPr>
      </w:pPr>
      <w:r>
        <w:rPr>
          <w:rFonts w:hint="eastAsia"/>
          <w:color w:val="auto"/>
          <w:szCs w:val="21"/>
          <w:highlight w:val="none"/>
        </w:rPr>
        <w:t>8．</w:t>
      </w:r>
      <w:r>
        <w:rPr>
          <w:color w:val="auto"/>
          <w:szCs w:val="21"/>
          <w:highlight w:val="none"/>
        </w:rPr>
        <w:t>本协议书一式____份，联合体成员</w:t>
      </w:r>
      <w:r>
        <w:rPr>
          <w:rFonts w:hint="eastAsia"/>
          <w:color w:val="auto"/>
          <w:szCs w:val="21"/>
          <w:highlight w:val="none"/>
        </w:rPr>
        <w:t>和</w:t>
      </w:r>
      <w:r>
        <w:rPr>
          <w:color w:val="auto"/>
          <w:szCs w:val="21"/>
          <w:highlight w:val="none"/>
        </w:rPr>
        <w:t>采购人各执一份。</w:t>
      </w:r>
    </w:p>
    <w:p w14:paraId="4107B5EF">
      <w:pPr>
        <w:pStyle w:val="14"/>
        <w:spacing w:line="440" w:lineRule="exact"/>
        <w:rPr>
          <w:color w:val="auto"/>
          <w:szCs w:val="21"/>
          <w:highlight w:val="none"/>
        </w:rPr>
      </w:pPr>
      <w:r>
        <w:rPr>
          <w:rFonts w:hAnsi="宋体"/>
          <w:color w:val="auto"/>
          <w:szCs w:val="21"/>
          <w:highlight w:val="none"/>
        </w:rPr>
        <w:t>注：本协议书由委托人签字的，应附法定代表人签字的授权委托书。</w:t>
      </w:r>
    </w:p>
    <w:p w14:paraId="054C109F">
      <w:pPr>
        <w:pStyle w:val="14"/>
        <w:wordWrap w:val="0"/>
        <w:spacing w:line="360" w:lineRule="auto"/>
        <w:jc w:val="right"/>
        <w:rPr>
          <w:color w:val="auto"/>
          <w:szCs w:val="21"/>
          <w:highlight w:val="none"/>
        </w:rPr>
      </w:pPr>
      <w:r>
        <w:rPr>
          <w:rFonts w:hAnsi="宋体"/>
          <w:color w:val="auto"/>
          <w:szCs w:val="21"/>
          <w:highlight w:val="none"/>
        </w:rPr>
        <w:t>牵头人名称：</w:t>
      </w:r>
      <w:r>
        <w:rPr>
          <w:color w:val="auto"/>
          <w:szCs w:val="21"/>
          <w:highlight w:val="none"/>
        </w:rPr>
        <w:t>_______________________</w:t>
      </w:r>
      <w:r>
        <w:rPr>
          <w:rFonts w:hAnsi="宋体"/>
          <w:color w:val="auto"/>
          <w:szCs w:val="21"/>
          <w:highlight w:val="none"/>
        </w:rPr>
        <w:t>（盖单位公章）</w:t>
      </w:r>
    </w:p>
    <w:p w14:paraId="44351F84">
      <w:pPr>
        <w:pStyle w:val="14"/>
        <w:spacing w:line="360" w:lineRule="auto"/>
        <w:jc w:val="right"/>
        <w:rPr>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14:paraId="7E6E24C5">
      <w:pPr>
        <w:pStyle w:val="14"/>
        <w:spacing w:line="360" w:lineRule="auto"/>
        <w:jc w:val="right"/>
        <w:rPr>
          <w:color w:val="auto"/>
          <w:szCs w:val="21"/>
          <w:highlight w:val="none"/>
        </w:rPr>
      </w:pPr>
    </w:p>
    <w:p w14:paraId="2C6057E8">
      <w:pPr>
        <w:pStyle w:val="14"/>
        <w:wordWrap w:val="0"/>
        <w:spacing w:line="360" w:lineRule="auto"/>
        <w:jc w:val="right"/>
        <w:rPr>
          <w:color w:val="auto"/>
          <w:szCs w:val="21"/>
          <w:highlight w:val="none"/>
        </w:rPr>
      </w:pPr>
      <w:r>
        <w:rPr>
          <w:rFonts w:hAnsi="宋体"/>
          <w:color w:val="auto"/>
          <w:szCs w:val="21"/>
          <w:highlight w:val="none"/>
        </w:rPr>
        <w:t>成员一名称：</w:t>
      </w:r>
      <w:r>
        <w:rPr>
          <w:color w:val="auto"/>
          <w:szCs w:val="21"/>
          <w:highlight w:val="none"/>
        </w:rPr>
        <w:t>_______________________</w:t>
      </w:r>
      <w:r>
        <w:rPr>
          <w:rFonts w:hAnsi="宋体"/>
          <w:color w:val="auto"/>
          <w:szCs w:val="21"/>
          <w:highlight w:val="none"/>
        </w:rPr>
        <w:t>（盖单位公章）</w:t>
      </w:r>
    </w:p>
    <w:p w14:paraId="1127EA06">
      <w:pPr>
        <w:pStyle w:val="14"/>
        <w:spacing w:line="360" w:lineRule="auto"/>
        <w:jc w:val="right"/>
        <w:rPr>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14:paraId="2FCD6C55">
      <w:pPr>
        <w:pStyle w:val="14"/>
        <w:spacing w:line="360" w:lineRule="auto"/>
        <w:jc w:val="right"/>
        <w:rPr>
          <w:color w:val="auto"/>
          <w:szCs w:val="21"/>
          <w:highlight w:val="none"/>
        </w:rPr>
      </w:pPr>
    </w:p>
    <w:p w14:paraId="26959D5B">
      <w:pPr>
        <w:pStyle w:val="14"/>
        <w:spacing w:line="360" w:lineRule="auto"/>
        <w:jc w:val="right"/>
        <w:rPr>
          <w:color w:val="auto"/>
          <w:szCs w:val="21"/>
          <w:highlight w:val="none"/>
        </w:rPr>
      </w:pPr>
      <w:r>
        <w:rPr>
          <w:rFonts w:hAnsi="宋体"/>
          <w:color w:val="auto"/>
          <w:szCs w:val="21"/>
          <w:highlight w:val="none"/>
        </w:rPr>
        <w:t>成员二名称：</w:t>
      </w:r>
      <w:r>
        <w:rPr>
          <w:color w:val="auto"/>
          <w:szCs w:val="21"/>
          <w:highlight w:val="none"/>
        </w:rPr>
        <w:t>_______________________</w:t>
      </w:r>
      <w:r>
        <w:rPr>
          <w:rFonts w:hAnsi="宋体"/>
          <w:color w:val="auto"/>
          <w:szCs w:val="21"/>
          <w:highlight w:val="none"/>
        </w:rPr>
        <w:t>（盖单位公章）</w:t>
      </w:r>
    </w:p>
    <w:p w14:paraId="6BCCE910">
      <w:pPr>
        <w:pStyle w:val="14"/>
        <w:spacing w:line="360" w:lineRule="auto"/>
        <w:jc w:val="right"/>
        <w:rPr>
          <w:rFonts w:hAnsi="宋体"/>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14:paraId="177E88DC">
      <w:pPr>
        <w:pStyle w:val="14"/>
        <w:spacing w:line="360" w:lineRule="auto"/>
        <w:ind w:right="840"/>
        <w:rPr>
          <w:rFonts w:hAnsi="宋体"/>
          <w:color w:val="auto"/>
          <w:szCs w:val="21"/>
          <w:highlight w:val="none"/>
        </w:rPr>
      </w:pPr>
      <w:r>
        <w:rPr>
          <w:rFonts w:hint="eastAsia" w:hAnsi="宋体"/>
          <w:color w:val="auto"/>
          <w:szCs w:val="21"/>
          <w:highlight w:val="none"/>
        </w:rPr>
        <w:t xml:space="preserve">                             </w:t>
      </w:r>
      <w:r>
        <w:rPr>
          <w:rFonts w:hAnsi="宋体"/>
          <w:color w:val="auto"/>
          <w:szCs w:val="21"/>
          <w:highlight w:val="none"/>
        </w:rPr>
        <w:t>……</w:t>
      </w:r>
    </w:p>
    <w:p w14:paraId="6A890FE7">
      <w:pPr>
        <w:spacing w:line="360" w:lineRule="auto"/>
        <w:ind w:firstLine="2879" w:firstLineChars="1371"/>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日</w:t>
      </w:r>
    </w:p>
    <w:p w14:paraId="3EDCDEC6">
      <w:pPr>
        <w:pStyle w:val="6"/>
        <w:jc w:val="center"/>
        <w:rPr>
          <w:color w:val="auto"/>
          <w:szCs w:val="21"/>
          <w:highlight w:val="none"/>
        </w:rPr>
      </w:pPr>
      <w:bookmarkStart w:id="165" w:name="_Toc19484"/>
      <w:bookmarkStart w:id="166" w:name="_Toc475483724"/>
      <w:r>
        <w:rPr>
          <w:rFonts w:hint="eastAsia"/>
          <w:b w:val="0"/>
          <w:color w:val="auto"/>
          <w:highlight w:val="none"/>
        </w:rPr>
        <w:t>四、法定代表人身份证明</w:t>
      </w:r>
      <w:bookmarkEnd w:id="165"/>
      <w:bookmarkEnd w:id="166"/>
    </w:p>
    <w:p w14:paraId="32A2CA94">
      <w:pPr>
        <w:jc w:val="center"/>
        <w:rPr>
          <w:color w:val="auto"/>
          <w:szCs w:val="21"/>
          <w:highlight w:val="none"/>
        </w:rPr>
      </w:pPr>
    </w:p>
    <w:p w14:paraId="770C89D3">
      <w:pPr>
        <w:topLinePunct/>
        <w:spacing w:line="600" w:lineRule="exact"/>
        <w:rPr>
          <w:bCs/>
          <w:color w:val="auto"/>
          <w:szCs w:val="21"/>
          <w:highlight w:val="none"/>
          <w:u w:val="single"/>
        </w:rPr>
      </w:pPr>
      <w:r>
        <w:rPr>
          <w:rFonts w:hint="eastAsia"/>
          <w:bCs/>
          <w:color w:val="auto"/>
          <w:szCs w:val="21"/>
          <w:highlight w:val="none"/>
        </w:rPr>
        <w:t>响应人</w:t>
      </w:r>
      <w:r>
        <w:rPr>
          <w:bCs/>
          <w:color w:val="auto"/>
          <w:szCs w:val="21"/>
          <w:highlight w:val="none"/>
        </w:rPr>
        <w:t>名称：</w:t>
      </w:r>
      <w:r>
        <w:rPr>
          <w:bCs/>
          <w:color w:val="auto"/>
          <w:szCs w:val="21"/>
          <w:highlight w:val="none"/>
          <w:u w:val="single"/>
        </w:rPr>
        <w:t xml:space="preserve">                         </w:t>
      </w:r>
    </w:p>
    <w:p w14:paraId="3D7D4D7B">
      <w:pPr>
        <w:topLinePunct/>
        <w:spacing w:line="600" w:lineRule="exact"/>
        <w:rPr>
          <w:bCs/>
          <w:color w:val="auto"/>
          <w:szCs w:val="21"/>
          <w:highlight w:val="none"/>
        </w:rPr>
      </w:pPr>
      <w:r>
        <w:rPr>
          <w:bCs/>
          <w:color w:val="auto"/>
          <w:szCs w:val="21"/>
          <w:highlight w:val="none"/>
        </w:rPr>
        <w:t>单位性质：</w:t>
      </w:r>
      <w:r>
        <w:rPr>
          <w:bCs/>
          <w:color w:val="auto"/>
          <w:szCs w:val="21"/>
          <w:highlight w:val="none"/>
          <w:u w:val="single"/>
        </w:rPr>
        <w:t xml:space="preserve">                           </w:t>
      </w:r>
    </w:p>
    <w:p w14:paraId="4D95F8FC">
      <w:pPr>
        <w:topLinePunct/>
        <w:spacing w:line="600" w:lineRule="exact"/>
        <w:rPr>
          <w:bCs/>
          <w:color w:val="auto"/>
          <w:szCs w:val="21"/>
          <w:highlight w:val="none"/>
        </w:rPr>
      </w:pPr>
      <w:r>
        <w:rPr>
          <w:bCs/>
          <w:color w:val="auto"/>
          <w:szCs w:val="21"/>
          <w:highlight w:val="none"/>
        </w:rPr>
        <w:t>成立时间：</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35DB6959">
      <w:pPr>
        <w:topLinePunct/>
        <w:spacing w:line="600" w:lineRule="exact"/>
        <w:rPr>
          <w:bCs/>
          <w:color w:val="auto"/>
          <w:szCs w:val="21"/>
          <w:highlight w:val="none"/>
        </w:rPr>
      </w:pPr>
      <w:r>
        <w:rPr>
          <w:bCs/>
          <w:color w:val="auto"/>
          <w:szCs w:val="21"/>
          <w:highlight w:val="none"/>
        </w:rPr>
        <w:t>经营期限：</w:t>
      </w:r>
      <w:r>
        <w:rPr>
          <w:bCs/>
          <w:color w:val="auto"/>
          <w:szCs w:val="21"/>
          <w:highlight w:val="none"/>
          <w:u w:val="single"/>
        </w:rPr>
        <w:t xml:space="preserve">            </w:t>
      </w:r>
    </w:p>
    <w:p w14:paraId="732273D9">
      <w:pPr>
        <w:topLinePunct/>
        <w:spacing w:line="600" w:lineRule="exact"/>
        <w:rPr>
          <w:bCs/>
          <w:color w:val="auto"/>
          <w:szCs w:val="21"/>
          <w:highlight w:val="none"/>
          <w:u w:val="single"/>
        </w:rPr>
      </w:pPr>
      <w:r>
        <w:rPr>
          <w:bCs/>
          <w:color w:val="auto"/>
          <w:szCs w:val="21"/>
          <w:highlight w:val="none"/>
        </w:rPr>
        <w:t>姓名：</w:t>
      </w:r>
      <w:r>
        <w:rPr>
          <w:bCs/>
          <w:color w:val="auto"/>
          <w:szCs w:val="21"/>
          <w:highlight w:val="none"/>
          <w:u w:val="single"/>
        </w:rPr>
        <w:t xml:space="preserve">         </w:t>
      </w:r>
      <w:r>
        <w:rPr>
          <w:bCs/>
          <w:color w:val="auto"/>
          <w:szCs w:val="21"/>
          <w:highlight w:val="none"/>
        </w:rPr>
        <w:t>性别：</w:t>
      </w:r>
      <w:r>
        <w:rPr>
          <w:bCs/>
          <w:color w:val="auto"/>
          <w:szCs w:val="21"/>
          <w:highlight w:val="none"/>
          <w:u w:val="single"/>
        </w:rPr>
        <w:t xml:space="preserve">          </w:t>
      </w:r>
      <w:r>
        <w:rPr>
          <w:bCs/>
          <w:color w:val="auto"/>
          <w:szCs w:val="21"/>
          <w:highlight w:val="none"/>
        </w:rPr>
        <w:t>年龄：</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rPr>
        <w:t>职务：</w:t>
      </w:r>
      <w:r>
        <w:rPr>
          <w:bCs/>
          <w:color w:val="auto"/>
          <w:szCs w:val="21"/>
          <w:highlight w:val="none"/>
          <w:u w:val="single"/>
        </w:rPr>
        <w:t xml:space="preserve">        </w:t>
      </w:r>
      <w:r>
        <w:rPr>
          <w:rFonts w:hint="eastAsia"/>
          <w:bCs/>
          <w:color w:val="auto"/>
          <w:szCs w:val="21"/>
          <w:highlight w:val="none"/>
          <w:u w:val="single"/>
        </w:rPr>
        <w:t xml:space="preserve"> </w:t>
      </w:r>
    </w:p>
    <w:p w14:paraId="1D5F48C1">
      <w:pPr>
        <w:topLinePunct/>
        <w:spacing w:line="600" w:lineRule="exact"/>
        <w:rPr>
          <w:bCs/>
          <w:color w:val="auto"/>
          <w:szCs w:val="21"/>
          <w:highlight w:val="none"/>
        </w:rPr>
      </w:pPr>
      <w:r>
        <w:rPr>
          <w:bCs/>
          <w:color w:val="auto"/>
          <w:szCs w:val="21"/>
          <w:highlight w:val="none"/>
        </w:rPr>
        <w:t>系</w:t>
      </w:r>
      <w:r>
        <w:rPr>
          <w:bCs/>
          <w:color w:val="auto"/>
          <w:szCs w:val="21"/>
          <w:highlight w:val="none"/>
          <w:u w:val="single"/>
        </w:rPr>
        <w:t xml:space="preserve">                   </w:t>
      </w:r>
      <w:r>
        <w:rPr>
          <w:rFonts w:hint="eastAsia"/>
          <w:bCs/>
          <w:color w:val="auto"/>
          <w:szCs w:val="21"/>
          <w:highlight w:val="none"/>
        </w:rPr>
        <w:t>（响应人</w:t>
      </w:r>
      <w:r>
        <w:rPr>
          <w:bCs/>
          <w:color w:val="auto"/>
          <w:szCs w:val="21"/>
          <w:highlight w:val="none"/>
        </w:rPr>
        <w:t>名称</w:t>
      </w:r>
      <w:r>
        <w:rPr>
          <w:rFonts w:hint="eastAsia"/>
          <w:bCs/>
          <w:color w:val="auto"/>
          <w:szCs w:val="21"/>
          <w:highlight w:val="none"/>
        </w:rPr>
        <w:t>）</w:t>
      </w:r>
      <w:r>
        <w:rPr>
          <w:bCs/>
          <w:color w:val="auto"/>
          <w:szCs w:val="21"/>
          <w:highlight w:val="none"/>
        </w:rPr>
        <w:t>的法定代表人。</w:t>
      </w:r>
    </w:p>
    <w:p w14:paraId="52C507BA">
      <w:pPr>
        <w:topLinePunct/>
        <w:spacing w:line="600" w:lineRule="exact"/>
        <w:ind w:firstLine="420" w:firstLineChars="200"/>
        <w:rPr>
          <w:bCs/>
          <w:color w:val="auto"/>
          <w:szCs w:val="21"/>
          <w:highlight w:val="none"/>
        </w:rPr>
      </w:pPr>
      <w:r>
        <w:rPr>
          <w:bCs/>
          <w:color w:val="auto"/>
          <w:szCs w:val="21"/>
          <w:highlight w:val="none"/>
        </w:rPr>
        <w:t>特此证明。</w:t>
      </w:r>
    </w:p>
    <w:p w14:paraId="69B854F9">
      <w:pPr>
        <w:topLinePunct/>
        <w:spacing w:line="440" w:lineRule="exact"/>
        <w:rPr>
          <w:color w:val="auto"/>
          <w:highlight w:val="none"/>
        </w:rPr>
      </w:pPr>
      <w:r>
        <w:rPr>
          <w:color w:val="auto"/>
          <w:highlight w:val="none"/>
        </w:rPr>
        <w:t>附：法定代表人身份证复印件</w:t>
      </w:r>
      <w:r>
        <w:rPr>
          <w:rFonts w:hint="eastAsia"/>
          <w:color w:val="auto"/>
          <w:highlight w:val="none"/>
        </w:rPr>
        <w:t>（</w:t>
      </w:r>
      <w:r>
        <w:rPr>
          <w:rFonts w:hint="eastAsia" w:ascii="宋体" w:hAnsi="宋体"/>
          <w:color w:val="auto"/>
          <w:szCs w:val="21"/>
          <w:highlight w:val="none"/>
        </w:rPr>
        <w:t>需同时提供正面及背面</w:t>
      </w:r>
      <w:r>
        <w:rPr>
          <w:rFonts w:hint="eastAsia"/>
          <w:color w:val="auto"/>
          <w:highlight w:val="none"/>
        </w:rPr>
        <w:t>）</w:t>
      </w:r>
    </w:p>
    <w:p w14:paraId="5D3C4A2D">
      <w:pPr>
        <w:spacing w:line="440" w:lineRule="exact"/>
        <w:rPr>
          <w:color w:val="auto"/>
          <w:szCs w:val="21"/>
          <w:highlight w:val="none"/>
        </w:rPr>
      </w:pPr>
    </w:p>
    <w:p w14:paraId="0744E96C">
      <w:pPr>
        <w:spacing w:line="500" w:lineRule="exact"/>
        <w:rPr>
          <w:rFonts w:ascii="宋体" w:hAnsi="宋体"/>
          <w:color w:val="auto"/>
          <w:szCs w:val="21"/>
          <w:highlight w:val="none"/>
        </w:rPr>
      </w:pPr>
    </w:p>
    <w:p w14:paraId="745C09FD">
      <w:pPr>
        <w:spacing w:line="440" w:lineRule="exact"/>
        <w:rPr>
          <w:color w:val="auto"/>
          <w:szCs w:val="21"/>
          <w:highlight w:val="none"/>
        </w:rPr>
      </w:pPr>
    </w:p>
    <w:p w14:paraId="3C60B842">
      <w:pPr>
        <w:spacing w:line="500" w:lineRule="exact"/>
        <w:rPr>
          <w:rFonts w:ascii="宋体" w:hAnsi="宋体"/>
          <w:color w:val="auto"/>
          <w:szCs w:val="21"/>
          <w:highlight w:val="none"/>
        </w:rPr>
      </w:pPr>
    </w:p>
    <w:p w14:paraId="2DE61728">
      <w:pPr>
        <w:spacing w:line="440" w:lineRule="exact"/>
        <w:rPr>
          <w:color w:val="auto"/>
          <w:szCs w:val="21"/>
          <w:highlight w:val="none"/>
        </w:rPr>
      </w:pPr>
    </w:p>
    <w:p w14:paraId="22792868">
      <w:pPr>
        <w:spacing w:line="500" w:lineRule="exact"/>
        <w:rPr>
          <w:rFonts w:ascii="宋体" w:hAnsi="宋体"/>
          <w:color w:val="auto"/>
          <w:szCs w:val="21"/>
          <w:highlight w:val="none"/>
        </w:rPr>
      </w:pPr>
    </w:p>
    <w:p w14:paraId="4968F904">
      <w:pPr>
        <w:spacing w:line="440" w:lineRule="exact"/>
        <w:rPr>
          <w:color w:val="auto"/>
          <w:szCs w:val="21"/>
          <w:highlight w:val="none"/>
        </w:rPr>
      </w:pPr>
    </w:p>
    <w:p w14:paraId="4A4945AE">
      <w:pPr>
        <w:spacing w:line="440" w:lineRule="exact"/>
        <w:rPr>
          <w:color w:val="auto"/>
          <w:szCs w:val="21"/>
          <w:highlight w:val="none"/>
        </w:rPr>
      </w:pPr>
    </w:p>
    <w:p w14:paraId="203CD00B">
      <w:pPr>
        <w:spacing w:line="440" w:lineRule="exact"/>
        <w:rPr>
          <w:color w:val="auto"/>
          <w:szCs w:val="21"/>
          <w:highlight w:val="none"/>
        </w:rPr>
      </w:pPr>
    </w:p>
    <w:p w14:paraId="05782782">
      <w:pPr>
        <w:spacing w:line="440" w:lineRule="exact"/>
        <w:rPr>
          <w:color w:val="auto"/>
          <w:szCs w:val="21"/>
          <w:highlight w:val="none"/>
        </w:rPr>
      </w:pPr>
    </w:p>
    <w:p w14:paraId="66AF1DD3">
      <w:pPr>
        <w:spacing w:line="440" w:lineRule="exact"/>
        <w:ind w:firstLine="4305" w:firstLineChars="2050"/>
        <w:rPr>
          <w:color w:val="auto"/>
          <w:szCs w:val="21"/>
          <w:highlight w:val="none"/>
        </w:rPr>
      </w:pPr>
    </w:p>
    <w:p w14:paraId="6CAEBC82">
      <w:pPr>
        <w:spacing w:line="440" w:lineRule="exact"/>
        <w:ind w:firstLine="4305" w:firstLineChars="2050"/>
        <w:rPr>
          <w:color w:val="auto"/>
          <w:szCs w:val="21"/>
          <w:highlight w:val="none"/>
        </w:rPr>
      </w:pPr>
      <w:r>
        <w:rPr>
          <w:color w:val="auto"/>
          <w:szCs w:val="21"/>
          <w:highlight w:val="none"/>
        </w:rPr>
        <w:t>响应人：</w:t>
      </w:r>
      <w:r>
        <w:rPr>
          <w:color w:val="auto"/>
          <w:szCs w:val="21"/>
          <w:highlight w:val="none"/>
          <w:u w:val="single"/>
        </w:rPr>
        <w:t xml:space="preserve">                 </w:t>
      </w:r>
      <w:r>
        <w:rPr>
          <w:color w:val="auto"/>
          <w:szCs w:val="21"/>
          <w:highlight w:val="none"/>
        </w:rPr>
        <w:t>（盖单位公章）</w:t>
      </w:r>
    </w:p>
    <w:p w14:paraId="12B22F61">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63877F31">
      <w:pPr>
        <w:widowControl/>
        <w:jc w:val="left"/>
        <w:rPr>
          <w:rFonts w:ascii="Arial" w:hAnsi="Arial" w:eastAsia="黑体"/>
          <w:bCs/>
          <w:color w:val="auto"/>
          <w:sz w:val="32"/>
          <w:szCs w:val="32"/>
          <w:highlight w:val="none"/>
        </w:rPr>
      </w:pPr>
      <w:bookmarkStart w:id="167" w:name="_Toc475483725"/>
      <w:r>
        <w:rPr>
          <w:b/>
          <w:color w:val="auto"/>
          <w:highlight w:val="none"/>
        </w:rPr>
        <w:br w:type="page"/>
      </w:r>
    </w:p>
    <w:p w14:paraId="3E9E3D8C">
      <w:pPr>
        <w:pStyle w:val="6"/>
        <w:jc w:val="center"/>
        <w:rPr>
          <w:b w:val="0"/>
          <w:color w:val="auto"/>
          <w:highlight w:val="none"/>
        </w:rPr>
      </w:pPr>
      <w:bookmarkStart w:id="168" w:name="_Toc18550"/>
      <w:r>
        <w:rPr>
          <w:rFonts w:hint="eastAsia"/>
          <w:b w:val="0"/>
          <w:color w:val="auto"/>
          <w:highlight w:val="none"/>
        </w:rPr>
        <w:t>五、法定代表人</w:t>
      </w:r>
      <w:r>
        <w:rPr>
          <w:b w:val="0"/>
          <w:color w:val="auto"/>
          <w:highlight w:val="none"/>
        </w:rPr>
        <w:t>授权委托书</w:t>
      </w:r>
      <w:bookmarkEnd w:id="167"/>
      <w:bookmarkEnd w:id="168"/>
    </w:p>
    <w:p w14:paraId="006ED13C">
      <w:pPr>
        <w:topLinePunct/>
        <w:spacing w:line="440" w:lineRule="exact"/>
        <w:ind w:firstLine="420" w:firstLineChars="200"/>
        <w:rPr>
          <w:color w:val="auto"/>
          <w:szCs w:val="21"/>
          <w:highlight w:val="none"/>
        </w:rPr>
      </w:pPr>
      <w:r>
        <w:rPr>
          <w:color w:val="auto"/>
          <w:szCs w:val="21"/>
          <w:highlight w:val="none"/>
        </w:rPr>
        <w:t>本人</w:t>
      </w:r>
      <w:r>
        <w:rPr>
          <w:color w:val="auto"/>
          <w:szCs w:val="21"/>
          <w:highlight w:val="none"/>
          <w:u w:val="single"/>
        </w:rPr>
        <w:t xml:space="preserve">       （姓名）</w:t>
      </w:r>
      <w:r>
        <w:rPr>
          <w:color w:val="auto"/>
          <w:szCs w:val="21"/>
          <w:highlight w:val="none"/>
        </w:rPr>
        <w:t>系</w:t>
      </w:r>
      <w:r>
        <w:rPr>
          <w:color w:val="auto"/>
          <w:szCs w:val="21"/>
          <w:highlight w:val="none"/>
          <w:u w:val="single"/>
        </w:rPr>
        <w:t xml:space="preserve"> （响应人名称）</w:t>
      </w:r>
      <w:r>
        <w:rPr>
          <w:color w:val="auto"/>
          <w:szCs w:val="21"/>
          <w:highlight w:val="none"/>
        </w:rPr>
        <w:t>的法定代表人，现委托</w:t>
      </w:r>
      <w:r>
        <w:rPr>
          <w:color w:val="auto"/>
          <w:szCs w:val="21"/>
          <w:highlight w:val="none"/>
          <w:u w:val="single"/>
        </w:rPr>
        <w:t xml:space="preserve"> </w:t>
      </w:r>
      <w:r>
        <w:rPr>
          <w:rFonts w:hint="eastAsia"/>
          <w:color w:val="auto"/>
          <w:szCs w:val="21"/>
          <w:highlight w:val="none"/>
          <w:u w:val="single"/>
        </w:rPr>
        <w:t>（姓名）</w:t>
      </w:r>
      <w:r>
        <w:rPr>
          <w:color w:val="auto"/>
          <w:szCs w:val="21"/>
          <w:highlight w:val="none"/>
        </w:rPr>
        <w:t>为我方代理人。代理人根据授权，以我方名义</w:t>
      </w:r>
      <w:r>
        <w:rPr>
          <w:rFonts w:hint="eastAsia"/>
          <w:color w:val="auto"/>
          <w:szCs w:val="21"/>
          <w:highlight w:val="none"/>
        </w:rPr>
        <w:t>全权处理</w:t>
      </w:r>
      <w:r>
        <w:rPr>
          <w:rFonts w:hint="eastAsia"/>
          <w:color w:val="auto"/>
          <w:szCs w:val="21"/>
          <w:highlight w:val="none"/>
          <w:u w:val="single"/>
        </w:rPr>
        <w:t xml:space="preserve">      </w:t>
      </w:r>
      <w:r>
        <w:rPr>
          <w:color w:val="auto"/>
          <w:szCs w:val="21"/>
          <w:highlight w:val="none"/>
          <w:u w:val="single"/>
        </w:rPr>
        <w:t>（项目名称）</w:t>
      </w:r>
      <w:r>
        <w:rPr>
          <w:rFonts w:hint="eastAsia"/>
          <w:color w:val="auto"/>
          <w:szCs w:val="21"/>
          <w:highlight w:val="none"/>
          <w:u w:val="single"/>
        </w:rPr>
        <w:t xml:space="preserve">     标包：  </w:t>
      </w:r>
      <w:r>
        <w:rPr>
          <w:rFonts w:hint="eastAsia"/>
          <w:color w:val="auto"/>
          <w:szCs w:val="21"/>
          <w:highlight w:val="none"/>
        </w:rPr>
        <w:t>（</w:t>
      </w:r>
      <w:r>
        <w:rPr>
          <w:color w:val="auto"/>
          <w:szCs w:val="21"/>
          <w:highlight w:val="none"/>
        </w:rPr>
        <w:t>签署、澄清</w:t>
      </w:r>
      <w:r>
        <w:rPr>
          <w:rFonts w:hint="eastAsia"/>
          <w:color w:val="auto"/>
          <w:szCs w:val="21"/>
          <w:highlight w:val="none"/>
        </w:rPr>
        <w:t>、说明、补正</w:t>
      </w:r>
      <w:r>
        <w:rPr>
          <w:color w:val="auto"/>
          <w:szCs w:val="21"/>
          <w:highlight w:val="none"/>
        </w:rPr>
        <w:t>、递交、撤回、修改响应文件</w:t>
      </w:r>
      <w:r>
        <w:rPr>
          <w:rFonts w:hint="eastAsia"/>
          <w:color w:val="auto"/>
          <w:szCs w:val="21"/>
          <w:highlight w:val="none"/>
        </w:rPr>
        <w:t>，</w:t>
      </w:r>
      <w:r>
        <w:rPr>
          <w:color w:val="auto"/>
          <w:szCs w:val="21"/>
          <w:highlight w:val="none"/>
        </w:rPr>
        <w:t>签订合同和处理</w:t>
      </w:r>
      <w:r>
        <w:rPr>
          <w:rFonts w:hint="eastAsia"/>
          <w:color w:val="auto"/>
          <w:szCs w:val="21"/>
          <w:highlight w:val="none"/>
        </w:rPr>
        <w:t>一切</w:t>
      </w:r>
      <w:r>
        <w:rPr>
          <w:color w:val="auto"/>
          <w:szCs w:val="21"/>
          <w:highlight w:val="none"/>
        </w:rPr>
        <w:t>有关事宜</w:t>
      </w:r>
      <w:r>
        <w:rPr>
          <w:rFonts w:hint="eastAsia"/>
          <w:color w:val="auto"/>
          <w:szCs w:val="21"/>
          <w:highlight w:val="none"/>
        </w:rPr>
        <w:t>）</w:t>
      </w:r>
      <w:r>
        <w:rPr>
          <w:color w:val="auto"/>
          <w:szCs w:val="21"/>
          <w:highlight w:val="none"/>
        </w:rPr>
        <w:t>，其法律后果由我方承担。</w:t>
      </w:r>
    </w:p>
    <w:p w14:paraId="3412A323">
      <w:pPr>
        <w:spacing w:line="440" w:lineRule="exact"/>
        <w:rPr>
          <w:color w:val="auto"/>
          <w:szCs w:val="21"/>
          <w:highlight w:val="none"/>
        </w:rPr>
      </w:pPr>
      <w:r>
        <w:rPr>
          <w:color w:val="auto"/>
          <w:szCs w:val="21"/>
          <w:highlight w:val="none"/>
        </w:rPr>
        <w:t xml:space="preserve">    委托期限：</w:t>
      </w:r>
      <w:r>
        <w:rPr>
          <w:color w:val="auto"/>
          <w:szCs w:val="21"/>
          <w:highlight w:val="none"/>
          <w:u w:val="single"/>
        </w:rPr>
        <w:t xml:space="preserve">             </w:t>
      </w:r>
      <w:r>
        <w:rPr>
          <w:rFonts w:hint="eastAsia"/>
          <w:color w:val="auto"/>
          <w:szCs w:val="21"/>
          <w:highlight w:val="none"/>
        </w:rPr>
        <w:t>。</w:t>
      </w:r>
    </w:p>
    <w:p w14:paraId="23D79F26">
      <w:pPr>
        <w:spacing w:line="440" w:lineRule="exact"/>
        <w:ind w:firstLine="420" w:firstLineChars="200"/>
        <w:rPr>
          <w:color w:val="auto"/>
          <w:szCs w:val="21"/>
          <w:highlight w:val="none"/>
        </w:rPr>
      </w:pPr>
      <w:r>
        <w:rPr>
          <w:color w:val="auto"/>
          <w:szCs w:val="21"/>
          <w:highlight w:val="none"/>
        </w:rPr>
        <w:t>代理人无转委托权。</w:t>
      </w:r>
    </w:p>
    <w:p w14:paraId="75E21506">
      <w:pPr>
        <w:spacing w:line="440" w:lineRule="exact"/>
        <w:rPr>
          <w:rFonts w:ascii="宋体" w:hAnsi="宋体"/>
          <w:color w:val="auto"/>
          <w:szCs w:val="21"/>
          <w:highlight w:val="none"/>
        </w:rPr>
      </w:pPr>
      <w:r>
        <w:rPr>
          <w:rFonts w:hint="eastAsia" w:ascii="宋体" w:hAnsi="宋体"/>
          <w:color w:val="auto"/>
          <w:szCs w:val="21"/>
          <w:highlight w:val="none"/>
        </w:rPr>
        <w:t>附：委托代理人身份证复印件(需同时提供正面及背面)</w:t>
      </w:r>
    </w:p>
    <w:p w14:paraId="3EA4FE79">
      <w:pPr>
        <w:spacing w:line="500" w:lineRule="exact"/>
        <w:rPr>
          <w:rFonts w:ascii="宋体" w:hAnsi="宋体"/>
          <w:color w:val="auto"/>
          <w:szCs w:val="21"/>
          <w:highlight w:val="none"/>
        </w:rPr>
      </w:pPr>
    </w:p>
    <w:p w14:paraId="2A04F622">
      <w:pPr>
        <w:spacing w:line="440" w:lineRule="exact"/>
        <w:rPr>
          <w:color w:val="auto"/>
          <w:szCs w:val="21"/>
          <w:highlight w:val="none"/>
        </w:rPr>
      </w:pPr>
    </w:p>
    <w:p w14:paraId="5C28B3AC">
      <w:pPr>
        <w:spacing w:line="500" w:lineRule="exact"/>
        <w:rPr>
          <w:rFonts w:ascii="宋体" w:hAnsi="宋体"/>
          <w:color w:val="auto"/>
          <w:szCs w:val="21"/>
          <w:highlight w:val="none"/>
        </w:rPr>
      </w:pPr>
    </w:p>
    <w:p w14:paraId="0310A745">
      <w:pPr>
        <w:spacing w:line="440" w:lineRule="exact"/>
        <w:rPr>
          <w:color w:val="auto"/>
          <w:szCs w:val="21"/>
          <w:highlight w:val="none"/>
        </w:rPr>
      </w:pPr>
    </w:p>
    <w:p w14:paraId="6063F386">
      <w:pPr>
        <w:spacing w:line="440" w:lineRule="exact"/>
        <w:rPr>
          <w:color w:val="auto"/>
          <w:szCs w:val="21"/>
          <w:highlight w:val="none"/>
        </w:rPr>
      </w:pPr>
    </w:p>
    <w:p w14:paraId="18FFFBD3">
      <w:pPr>
        <w:spacing w:line="500" w:lineRule="exact"/>
        <w:rPr>
          <w:rFonts w:ascii="宋体" w:hAnsi="宋体"/>
          <w:color w:val="auto"/>
          <w:szCs w:val="21"/>
          <w:highlight w:val="none"/>
        </w:rPr>
      </w:pPr>
    </w:p>
    <w:p w14:paraId="04C6B268">
      <w:pPr>
        <w:spacing w:line="500" w:lineRule="exact"/>
        <w:rPr>
          <w:rFonts w:ascii="宋体" w:hAnsi="宋体"/>
          <w:color w:val="auto"/>
          <w:szCs w:val="21"/>
          <w:highlight w:val="none"/>
        </w:rPr>
      </w:pPr>
    </w:p>
    <w:p w14:paraId="5C18F162">
      <w:pPr>
        <w:spacing w:line="500" w:lineRule="exact"/>
        <w:rPr>
          <w:rFonts w:ascii="宋体" w:hAnsi="宋体"/>
          <w:color w:val="auto"/>
          <w:szCs w:val="21"/>
          <w:highlight w:val="none"/>
        </w:rPr>
      </w:pPr>
    </w:p>
    <w:p w14:paraId="3F48A78A">
      <w:pPr>
        <w:spacing w:line="440" w:lineRule="exact"/>
        <w:rPr>
          <w:color w:val="auto"/>
          <w:szCs w:val="21"/>
          <w:highlight w:val="none"/>
        </w:rPr>
      </w:pPr>
    </w:p>
    <w:p w14:paraId="647A3A5E">
      <w:pPr>
        <w:spacing w:line="440" w:lineRule="exact"/>
        <w:rPr>
          <w:color w:val="auto"/>
          <w:szCs w:val="21"/>
          <w:highlight w:val="none"/>
        </w:rPr>
      </w:pPr>
    </w:p>
    <w:p w14:paraId="63C9B9ED">
      <w:pPr>
        <w:spacing w:line="440" w:lineRule="exact"/>
        <w:rPr>
          <w:color w:val="auto"/>
          <w:szCs w:val="21"/>
          <w:highlight w:val="none"/>
        </w:rPr>
      </w:pPr>
    </w:p>
    <w:p w14:paraId="15FA1748">
      <w:pPr>
        <w:spacing w:line="440" w:lineRule="exact"/>
        <w:rPr>
          <w:color w:val="auto"/>
          <w:szCs w:val="21"/>
          <w:highlight w:val="none"/>
        </w:rPr>
      </w:pPr>
    </w:p>
    <w:p w14:paraId="4242407A">
      <w:pPr>
        <w:spacing w:line="440" w:lineRule="exact"/>
        <w:jc w:val="right"/>
        <w:rPr>
          <w:color w:val="auto"/>
          <w:szCs w:val="21"/>
          <w:highlight w:val="none"/>
        </w:rPr>
      </w:pPr>
      <w:r>
        <w:rPr>
          <w:color w:val="auto"/>
          <w:szCs w:val="21"/>
          <w:highlight w:val="none"/>
        </w:rPr>
        <w:t>响应人</w:t>
      </w:r>
      <w:r>
        <w:rPr>
          <w:rFonts w:hint="eastAsia"/>
          <w:color w:val="auto"/>
          <w:szCs w:val="21"/>
          <w:highlight w:val="none"/>
        </w:rPr>
        <w:t>名称</w:t>
      </w:r>
      <w:r>
        <w:rPr>
          <w:color w:val="auto"/>
          <w:szCs w:val="21"/>
          <w:highlight w:val="none"/>
        </w:rPr>
        <w:t>：</w:t>
      </w:r>
      <w:r>
        <w:rPr>
          <w:color w:val="auto"/>
          <w:szCs w:val="21"/>
          <w:highlight w:val="none"/>
          <w:u w:val="single"/>
        </w:rPr>
        <w:t xml:space="preserve">                         </w:t>
      </w:r>
      <w:r>
        <w:rPr>
          <w:color w:val="auto"/>
          <w:szCs w:val="21"/>
          <w:highlight w:val="none"/>
        </w:rPr>
        <w:t>（盖单位公章）</w:t>
      </w:r>
    </w:p>
    <w:p w14:paraId="0292196E">
      <w:pPr>
        <w:spacing w:line="440" w:lineRule="exact"/>
        <w:jc w:val="righ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（签字）</w:t>
      </w:r>
    </w:p>
    <w:p w14:paraId="100F835F">
      <w:pPr>
        <w:spacing w:line="440" w:lineRule="exact"/>
        <w:ind w:right="420" w:firstLine="2940" w:firstLineChars="1400"/>
        <w:rPr>
          <w:color w:val="auto"/>
          <w:szCs w:val="21"/>
          <w:highlight w:val="none"/>
        </w:rPr>
      </w:pPr>
      <w:r>
        <w:rPr>
          <w:color w:val="auto"/>
          <w:szCs w:val="21"/>
          <w:highlight w:val="none"/>
        </w:rPr>
        <w:t>身份证号码：</w:t>
      </w:r>
      <w:r>
        <w:rPr>
          <w:color w:val="auto"/>
          <w:szCs w:val="21"/>
          <w:highlight w:val="none"/>
          <w:u w:val="single"/>
        </w:rPr>
        <w:t xml:space="preserve">                                     </w:t>
      </w:r>
    </w:p>
    <w:p w14:paraId="1676EB82">
      <w:pPr>
        <w:spacing w:line="440" w:lineRule="exact"/>
        <w:ind w:right="105"/>
        <w:jc w:val="right"/>
        <w:rPr>
          <w:color w:val="auto"/>
          <w:szCs w:val="21"/>
          <w:highlight w:val="none"/>
        </w:rPr>
      </w:pPr>
      <w:r>
        <w:rPr>
          <w:color w:val="auto"/>
          <w:szCs w:val="21"/>
          <w:highlight w:val="none"/>
        </w:rPr>
        <w:t>委托代理人：</w:t>
      </w:r>
      <w:r>
        <w:rPr>
          <w:color w:val="auto"/>
          <w:szCs w:val="21"/>
          <w:highlight w:val="none"/>
          <w:u w:val="single"/>
        </w:rPr>
        <w:t xml:space="preserve">                              </w:t>
      </w:r>
      <w:r>
        <w:rPr>
          <w:color w:val="auto"/>
          <w:szCs w:val="21"/>
          <w:highlight w:val="none"/>
        </w:rPr>
        <w:t xml:space="preserve">（签字） </w:t>
      </w:r>
    </w:p>
    <w:p w14:paraId="3F2018CB">
      <w:pPr>
        <w:spacing w:line="440" w:lineRule="exact"/>
        <w:ind w:right="420" w:firstLine="2940" w:firstLineChars="1400"/>
        <w:rPr>
          <w:color w:val="auto"/>
          <w:szCs w:val="21"/>
          <w:highlight w:val="none"/>
        </w:rPr>
      </w:pPr>
      <w:r>
        <w:rPr>
          <w:color w:val="auto"/>
          <w:szCs w:val="21"/>
          <w:highlight w:val="none"/>
        </w:rPr>
        <w:t>身份证号码：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1101ABB0">
      <w:pPr>
        <w:spacing w:line="440" w:lineRule="exact"/>
        <w:ind w:firstLine="2310" w:firstLineChars="1100"/>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A4D4D18">
      <w:pPr>
        <w:pStyle w:val="6"/>
        <w:spacing w:before="0"/>
        <w:jc w:val="center"/>
        <w:rPr>
          <w:color w:val="auto"/>
          <w:highlight w:val="none"/>
        </w:rPr>
        <w:sectPr>
          <w:pgSz w:w="11906" w:h="16838"/>
          <w:pgMar w:top="1418" w:right="1800" w:bottom="1440" w:left="1800" w:header="851" w:footer="992" w:gutter="0"/>
          <w:cols w:space="720" w:num="1"/>
          <w:docGrid w:type="lines" w:linePitch="312" w:charSpace="0"/>
        </w:sectPr>
      </w:pPr>
    </w:p>
    <w:p w14:paraId="0075E26B">
      <w:pPr>
        <w:pStyle w:val="6"/>
        <w:jc w:val="center"/>
        <w:rPr>
          <w:color w:val="auto"/>
          <w:highlight w:val="none"/>
        </w:rPr>
      </w:pPr>
      <w:bookmarkStart w:id="169" w:name="_Toc179632816"/>
      <w:bookmarkStart w:id="170" w:name="_Toc152045796"/>
      <w:bookmarkStart w:id="171" w:name="_Toc144974864"/>
      <w:bookmarkStart w:id="172" w:name="_Toc338669155"/>
      <w:bookmarkStart w:id="173" w:name="_Toc152042585"/>
      <w:bookmarkStart w:id="174" w:name="_Toc247085882"/>
      <w:bookmarkStart w:id="175" w:name="_Toc246996364"/>
      <w:bookmarkStart w:id="176" w:name="_Toc246997107"/>
      <w:bookmarkStart w:id="177" w:name="_Toc6978"/>
      <w:r>
        <w:rPr>
          <w:rFonts w:hint="eastAsia"/>
          <w:color w:val="auto"/>
          <w:highlight w:val="none"/>
        </w:rPr>
        <w:t>六</w:t>
      </w:r>
      <w:r>
        <w:rPr>
          <w:color w:val="auto"/>
          <w:highlight w:val="none"/>
        </w:rPr>
        <w:t>、</w:t>
      </w:r>
      <w:r>
        <w:rPr>
          <w:rFonts w:hint="eastAsia"/>
          <w:color w:val="auto"/>
          <w:highlight w:val="none"/>
        </w:rPr>
        <w:t>项目实施</w:t>
      </w:r>
      <w:r>
        <w:rPr>
          <w:color w:val="auto"/>
          <w:highlight w:val="none"/>
        </w:rPr>
        <w:t>方案</w:t>
      </w:r>
      <w:bookmarkEnd w:id="169"/>
      <w:bookmarkEnd w:id="170"/>
      <w:bookmarkEnd w:id="171"/>
      <w:bookmarkEnd w:id="172"/>
      <w:bookmarkEnd w:id="173"/>
      <w:bookmarkEnd w:id="174"/>
      <w:bookmarkEnd w:id="175"/>
      <w:bookmarkEnd w:id="176"/>
      <w:bookmarkEnd w:id="177"/>
    </w:p>
    <w:p w14:paraId="7ACEC513">
      <w:pPr>
        <w:spacing w:line="440" w:lineRule="exact"/>
        <w:rPr>
          <w:color w:val="auto"/>
          <w:szCs w:val="21"/>
          <w:highlight w:val="none"/>
        </w:rPr>
      </w:pPr>
      <w:r>
        <w:rPr>
          <w:rFonts w:hint="eastAsia"/>
          <w:color w:val="auto"/>
          <w:szCs w:val="21"/>
          <w:highlight w:val="none"/>
        </w:rPr>
        <w:t>响应人应根据第四章“用户需求书/技术规范书”中的要求制定项目实施方案。竞争性谈判方可以根据实际情况增加内容，但不得擅自减少有关内容。格式自拟。</w:t>
      </w:r>
    </w:p>
    <w:p w14:paraId="5D180B15">
      <w:pPr>
        <w:widowControl/>
        <w:jc w:val="left"/>
        <w:rPr>
          <w:color w:val="auto"/>
          <w:szCs w:val="21"/>
          <w:highlight w:val="none"/>
        </w:rPr>
      </w:pPr>
      <w:r>
        <w:rPr>
          <w:color w:val="auto"/>
          <w:szCs w:val="21"/>
          <w:highlight w:val="none"/>
        </w:rPr>
        <w:br w:type="page"/>
      </w:r>
    </w:p>
    <w:p w14:paraId="3C18EC88">
      <w:pPr>
        <w:pStyle w:val="6"/>
        <w:jc w:val="center"/>
        <w:rPr>
          <w:color w:val="auto"/>
          <w:szCs w:val="21"/>
          <w:highlight w:val="none"/>
        </w:rPr>
      </w:pPr>
      <w:bookmarkStart w:id="178" w:name="_Toc17796"/>
      <w:r>
        <w:rPr>
          <w:rFonts w:hint="eastAsia"/>
          <w:color w:val="auto"/>
          <w:highlight w:val="none"/>
        </w:rPr>
        <w:t>七</w:t>
      </w:r>
      <w:r>
        <w:rPr>
          <w:color w:val="auto"/>
          <w:highlight w:val="none"/>
        </w:rPr>
        <w:t>、项目管理机构</w:t>
      </w:r>
      <w:bookmarkEnd w:id="178"/>
    </w:p>
    <w:p w14:paraId="3915C9DE">
      <w:pPr>
        <w:spacing w:before="312" w:beforeLines="100" w:after="312" w:afterLines="100" w:line="440" w:lineRule="exact"/>
        <w:jc w:val="center"/>
        <w:rPr>
          <w:rFonts w:ascii="Arial" w:hAnsi="Arial" w:eastAsia="黑体"/>
          <w:b/>
          <w:bCs/>
          <w:color w:val="auto"/>
          <w:sz w:val="32"/>
          <w:szCs w:val="32"/>
          <w:highlight w:val="none"/>
        </w:rPr>
      </w:pPr>
      <w:bookmarkStart w:id="179" w:name="_Toc152045804"/>
      <w:bookmarkStart w:id="180" w:name="_Toc247085888"/>
      <w:bookmarkStart w:id="181" w:name="_Toc179632824"/>
      <w:bookmarkStart w:id="182" w:name="_Toc144974872"/>
      <w:bookmarkStart w:id="183" w:name="_Toc334766997"/>
      <w:bookmarkStart w:id="184" w:name="_Toc246996370"/>
      <w:bookmarkStart w:id="185" w:name="_Toc326223615"/>
      <w:bookmarkStart w:id="186" w:name="_Toc246997113"/>
      <w:bookmarkStart w:id="187" w:name="_Toc152042593"/>
      <w:bookmarkStart w:id="188" w:name="_Toc332188244"/>
      <w:r>
        <w:rPr>
          <w:rFonts w:ascii="Arial" w:hAnsi="Arial" w:eastAsia="黑体"/>
          <w:b/>
          <w:bCs/>
          <w:color w:val="auto"/>
          <w:sz w:val="32"/>
          <w:szCs w:val="32"/>
          <w:highlight w:val="none"/>
        </w:rPr>
        <w:t>（一）项目管理机构组成表</w:t>
      </w:r>
      <w:bookmarkEnd w:id="179"/>
      <w:bookmarkEnd w:id="180"/>
      <w:bookmarkEnd w:id="181"/>
      <w:bookmarkEnd w:id="182"/>
      <w:bookmarkEnd w:id="183"/>
      <w:bookmarkEnd w:id="184"/>
      <w:bookmarkEnd w:id="185"/>
      <w:bookmarkEnd w:id="186"/>
      <w:bookmarkEnd w:id="187"/>
      <w:bookmarkEnd w:id="188"/>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958"/>
        <w:gridCol w:w="709"/>
        <w:gridCol w:w="850"/>
        <w:gridCol w:w="709"/>
        <w:gridCol w:w="709"/>
        <w:gridCol w:w="709"/>
        <w:gridCol w:w="992"/>
        <w:gridCol w:w="1876"/>
      </w:tblGrid>
      <w:tr w14:paraId="34D4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restart"/>
            <w:vAlign w:val="center"/>
          </w:tcPr>
          <w:p w14:paraId="52910D6C">
            <w:pPr>
              <w:spacing w:line="440" w:lineRule="exact"/>
              <w:jc w:val="center"/>
              <w:rPr>
                <w:color w:val="auto"/>
                <w:szCs w:val="21"/>
                <w:highlight w:val="none"/>
              </w:rPr>
            </w:pPr>
            <w:r>
              <w:rPr>
                <w:color w:val="auto"/>
                <w:szCs w:val="21"/>
                <w:highlight w:val="none"/>
              </w:rPr>
              <w:t>职务</w:t>
            </w:r>
          </w:p>
        </w:tc>
        <w:tc>
          <w:tcPr>
            <w:tcW w:w="993" w:type="dxa"/>
            <w:vMerge w:val="restart"/>
            <w:vAlign w:val="center"/>
          </w:tcPr>
          <w:p w14:paraId="004FF1D5">
            <w:pPr>
              <w:spacing w:line="440" w:lineRule="exact"/>
              <w:jc w:val="center"/>
              <w:rPr>
                <w:color w:val="auto"/>
                <w:szCs w:val="21"/>
                <w:highlight w:val="none"/>
              </w:rPr>
            </w:pPr>
            <w:r>
              <w:rPr>
                <w:color w:val="auto"/>
                <w:szCs w:val="21"/>
                <w:highlight w:val="none"/>
              </w:rPr>
              <w:t>姓名</w:t>
            </w:r>
          </w:p>
        </w:tc>
        <w:tc>
          <w:tcPr>
            <w:tcW w:w="958" w:type="dxa"/>
            <w:vMerge w:val="restart"/>
            <w:vAlign w:val="center"/>
          </w:tcPr>
          <w:p w14:paraId="5F35A447">
            <w:pPr>
              <w:spacing w:line="440" w:lineRule="exact"/>
              <w:jc w:val="center"/>
              <w:rPr>
                <w:color w:val="auto"/>
                <w:szCs w:val="21"/>
                <w:highlight w:val="none"/>
              </w:rPr>
            </w:pPr>
            <w:r>
              <w:rPr>
                <w:color w:val="auto"/>
                <w:szCs w:val="21"/>
                <w:highlight w:val="none"/>
              </w:rPr>
              <w:t>职称</w:t>
            </w:r>
          </w:p>
        </w:tc>
        <w:tc>
          <w:tcPr>
            <w:tcW w:w="709" w:type="dxa"/>
            <w:vMerge w:val="restart"/>
            <w:vAlign w:val="center"/>
          </w:tcPr>
          <w:p w14:paraId="4B77146D">
            <w:pPr>
              <w:spacing w:line="440" w:lineRule="exact"/>
              <w:jc w:val="center"/>
              <w:rPr>
                <w:color w:val="auto"/>
                <w:szCs w:val="21"/>
                <w:highlight w:val="none"/>
              </w:rPr>
            </w:pPr>
            <w:r>
              <w:rPr>
                <w:rFonts w:hint="eastAsia"/>
                <w:color w:val="auto"/>
                <w:szCs w:val="21"/>
                <w:highlight w:val="none"/>
              </w:rPr>
              <w:t>学历</w:t>
            </w:r>
          </w:p>
        </w:tc>
        <w:tc>
          <w:tcPr>
            <w:tcW w:w="2977" w:type="dxa"/>
            <w:gridSpan w:val="4"/>
            <w:vAlign w:val="center"/>
          </w:tcPr>
          <w:p w14:paraId="27FF08DA">
            <w:pPr>
              <w:spacing w:line="440" w:lineRule="exact"/>
              <w:jc w:val="center"/>
              <w:rPr>
                <w:color w:val="auto"/>
                <w:szCs w:val="21"/>
                <w:highlight w:val="none"/>
              </w:rPr>
            </w:pPr>
            <w:r>
              <w:rPr>
                <w:color w:val="auto"/>
                <w:szCs w:val="21"/>
                <w:highlight w:val="none"/>
              </w:rPr>
              <w:t>执业或职业资格证明</w:t>
            </w:r>
          </w:p>
        </w:tc>
        <w:tc>
          <w:tcPr>
            <w:tcW w:w="992" w:type="dxa"/>
            <w:vMerge w:val="restart"/>
            <w:vAlign w:val="center"/>
          </w:tcPr>
          <w:p w14:paraId="114F0C24">
            <w:pPr>
              <w:spacing w:line="440" w:lineRule="exact"/>
              <w:jc w:val="center"/>
              <w:rPr>
                <w:color w:val="auto"/>
                <w:szCs w:val="21"/>
                <w:highlight w:val="none"/>
              </w:rPr>
            </w:pPr>
            <w:r>
              <w:rPr>
                <w:rFonts w:hint="eastAsia"/>
                <w:color w:val="auto"/>
                <w:szCs w:val="21"/>
                <w:highlight w:val="none"/>
              </w:rPr>
              <w:t>同类项目工作年限（年）</w:t>
            </w:r>
          </w:p>
        </w:tc>
        <w:tc>
          <w:tcPr>
            <w:tcW w:w="1876" w:type="dxa"/>
            <w:vMerge w:val="restart"/>
            <w:vAlign w:val="center"/>
          </w:tcPr>
          <w:p w14:paraId="773A532A">
            <w:pPr>
              <w:spacing w:line="440" w:lineRule="exact"/>
              <w:jc w:val="center"/>
              <w:rPr>
                <w:color w:val="auto"/>
                <w:szCs w:val="21"/>
                <w:highlight w:val="none"/>
              </w:rPr>
            </w:pPr>
            <w:r>
              <w:rPr>
                <w:rFonts w:hint="eastAsia"/>
                <w:color w:val="auto"/>
                <w:szCs w:val="21"/>
                <w:highlight w:val="none"/>
              </w:rPr>
              <w:t>工作简介（项目经验）</w:t>
            </w:r>
          </w:p>
        </w:tc>
      </w:tr>
      <w:tr w14:paraId="19D9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continue"/>
            <w:vAlign w:val="center"/>
          </w:tcPr>
          <w:p w14:paraId="59B73021">
            <w:pPr>
              <w:spacing w:line="440" w:lineRule="exact"/>
              <w:jc w:val="center"/>
              <w:rPr>
                <w:color w:val="auto"/>
                <w:szCs w:val="21"/>
                <w:highlight w:val="none"/>
              </w:rPr>
            </w:pPr>
          </w:p>
        </w:tc>
        <w:tc>
          <w:tcPr>
            <w:tcW w:w="993" w:type="dxa"/>
            <w:vMerge w:val="continue"/>
            <w:vAlign w:val="center"/>
          </w:tcPr>
          <w:p w14:paraId="644CCE87">
            <w:pPr>
              <w:spacing w:line="440" w:lineRule="exact"/>
              <w:jc w:val="center"/>
              <w:rPr>
                <w:color w:val="auto"/>
                <w:szCs w:val="21"/>
                <w:highlight w:val="none"/>
              </w:rPr>
            </w:pPr>
          </w:p>
        </w:tc>
        <w:tc>
          <w:tcPr>
            <w:tcW w:w="958" w:type="dxa"/>
            <w:vMerge w:val="continue"/>
            <w:vAlign w:val="center"/>
          </w:tcPr>
          <w:p w14:paraId="7448AC42">
            <w:pPr>
              <w:spacing w:line="440" w:lineRule="exact"/>
              <w:jc w:val="center"/>
              <w:rPr>
                <w:color w:val="auto"/>
                <w:szCs w:val="21"/>
                <w:highlight w:val="none"/>
              </w:rPr>
            </w:pPr>
          </w:p>
        </w:tc>
        <w:tc>
          <w:tcPr>
            <w:tcW w:w="709" w:type="dxa"/>
            <w:vMerge w:val="continue"/>
            <w:vAlign w:val="center"/>
          </w:tcPr>
          <w:p w14:paraId="1EEFDF5D">
            <w:pPr>
              <w:spacing w:line="440" w:lineRule="exact"/>
              <w:jc w:val="center"/>
              <w:rPr>
                <w:color w:val="auto"/>
                <w:szCs w:val="21"/>
                <w:highlight w:val="none"/>
              </w:rPr>
            </w:pPr>
          </w:p>
        </w:tc>
        <w:tc>
          <w:tcPr>
            <w:tcW w:w="850" w:type="dxa"/>
            <w:vAlign w:val="center"/>
          </w:tcPr>
          <w:p w14:paraId="0EA72311">
            <w:pPr>
              <w:spacing w:line="440" w:lineRule="exact"/>
              <w:jc w:val="center"/>
              <w:rPr>
                <w:color w:val="auto"/>
                <w:szCs w:val="21"/>
                <w:highlight w:val="none"/>
              </w:rPr>
            </w:pPr>
            <w:r>
              <w:rPr>
                <w:color w:val="auto"/>
                <w:szCs w:val="21"/>
                <w:highlight w:val="none"/>
              </w:rPr>
              <w:t>证书名称</w:t>
            </w:r>
          </w:p>
        </w:tc>
        <w:tc>
          <w:tcPr>
            <w:tcW w:w="709" w:type="dxa"/>
            <w:vAlign w:val="center"/>
          </w:tcPr>
          <w:p w14:paraId="768776BF">
            <w:pPr>
              <w:spacing w:line="440" w:lineRule="exact"/>
              <w:jc w:val="center"/>
              <w:rPr>
                <w:color w:val="auto"/>
                <w:szCs w:val="21"/>
                <w:highlight w:val="none"/>
              </w:rPr>
            </w:pPr>
            <w:r>
              <w:rPr>
                <w:color w:val="auto"/>
                <w:szCs w:val="21"/>
                <w:highlight w:val="none"/>
              </w:rPr>
              <w:t>级别</w:t>
            </w:r>
          </w:p>
        </w:tc>
        <w:tc>
          <w:tcPr>
            <w:tcW w:w="709" w:type="dxa"/>
            <w:vAlign w:val="center"/>
          </w:tcPr>
          <w:p w14:paraId="5DEBC494">
            <w:pPr>
              <w:spacing w:line="440" w:lineRule="exact"/>
              <w:jc w:val="center"/>
              <w:rPr>
                <w:color w:val="auto"/>
                <w:szCs w:val="21"/>
                <w:highlight w:val="none"/>
              </w:rPr>
            </w:pPr>
            <w:r>
              <w:rPr>
                <w:color w:val="auto"/>
                <w:szCs w:val="21"/>
                <w:highlight w:val="none"/>
              </w:rPr>
              <w:t>证号</w:t>
            </w:r>
          </w:p>
        </w:tc>
        <w:tc>
          <w:tcPr>
            <w:tcW w:w="709" w:type="dxa"/>
            <w:vAlign w:val="center"/>
          </w:tcPr>
          <w:p w14:paraId="3F8CCDFB">
            <w:pPr>
              <w:spacing w:line="440" w:lineRule="exact"/>
              <w:jc w:val="center"/>
              <w:rPr>
                <w:color w:val="auto"/>
                <w:szCs w:val="21"/>
                <w:highlight w:val="none"/>
              </w:rPr>
            </w:pPr>
            <w:r>
              <w:rPr>
                <w:color w:val="auto"/>
                <w:szCs w:val="21"/>
                <w:highlight w:val="none"/>
              </w:rPr>
              <w:t>专业</w:t>
            </w:r>
          </w:p>
        </w:tc>
        <w:tc>
          <w:tcPr>
            <w:tcW w:w="992" w:type="dxa"/>
            <w:vMerge w:val="continue"/>
            <w:vAlign w:val="center"/>
          </w:tcPr>
          <w:p w14:paraId="61A50B29">
            <w:pPr>
              <w:spacing w:line="440" w:lineRule="exact"/>
              <w:jc w:val="center"/>
              <w:rPr>
                <w:color w:val="auto"/>
                <w:szCs w:val="21"/>
                <w:highlight w:val="none"/>
              </w:rPr>
            </w:pPr>
          </w:p>
        </w:tc>
        <w:tc>
          <w:tcPr>
            <w:tcW w:w="1876" w:type="dxa"/>
            <w:vMerge w:val="continue"/>
            <w:vAlign w:val="center"/>
          </w:tcPr>
          <w:p w14:paraId="3627398C">
            <w:pPr>
              <w:spacing w:line="440" w:lineRule="exact"/>
              <w:jc w:val="center"/>
              <w:rPr>
                <w:color w:val="auto"/>
                <w:szCs w:val="21"/>
                <w:highlight w:val="none"/>
              </w:rPr>
            </w:pPr>
          </w:p>
        </w:tc>
      </w:tr>
      <w:tr w14:paraId="3E80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4AFCCA3">
            <w:pPr>
              <w:spacing w:line="440" w:lineRule="exact"/>
              <w:jc w:val="center"/>
              <w:rPr>
                <w:color w:val="auto"/>
                <w:szCs w:val="21"/>
                <w:highlight w:val="none"/>
              </w:rPr>
            </w:pPr>
          </w:p>
        </w:tc>
        <w:tc>
          <w:tcPr>
            <w:tcW w:w="993" w:type="dxa"/>
            <w:vAlign w:val="center"/>
          </w:tcPr>
          <w:p w14:paraId="5B03F87D">
            <w:pPr>
              <w:spacing w:line="440" w:lineRule="exact"/>
              <w:jc w:val="center"/>
              <w:rPr>
                <w:color w:val="auto"/>
                <w:szCs w:val="21"/>
                <w:highlight w:val="none"/>
              </w:rPr>
            </w:pPr>
          </w:p>
        </w:tc>
        <w:tc>
          <w:tcPr>
            <w:tcW w:w="958" w:type="dxa"/>
            <w:vAlign w:val="center"/>
          </w:tcPr>
          <w:p w14:paraId="7FF1243F">
            <w:pPr>
              <w:spacing w:line="440" w:lineRule="exact"/>
              <w:jc w:val="center"/>
              <w:rPr>
                <w:color w:val="auto"/>
                <w:szCs w:val="21"/>
                <w:highlight w:val="none"/>
              </w:rPr>
            </w:pPr>
          </w:p>
        </w:tc>
        <w:tc>
          <w:tcPr>
            <w:tcW w:w="709" w:type="dxa"/>
            <w:vAlign w:val="center"/>
          </w:tcPr>
          <w:p w14:paraId="78C2BA5E">
            <w:pPr>
              <w:spacing w:line="440" w:lineRule="exact"/>
              <w:jc w:val="center"/>
              <w:rPr>
                <w:color w:val="auto"/>
                <w:szCs w:val="21"/>
                <w:highlight w:val="none"/>
              </w:rPr>
            </w:pPr>
          </w:p>
        </w:tc>
        <w:tc>
          <w:tcPr>
            <w:tcW w:w="850" w:type="dxa"/>
            <w:vAlign w:val="center"/>
          </w:tcPr>
          <w:p w14:paraId="2EFDA368">
            <w:pPr>
              <w:spacing w:line="440" w:lineRule="exact"/>
              <w:jc w:val="center"/>
              <w:rPr>
                <w:color w:val="auto"/>
                <w:szCs w:val="21"/>
                <w:highlight w:val="none"/>
              </w:rPr>
            </w:pPr>
          </w:p>
        </w:tc>
        <w:tc>
          <w:tcPr>
            <w:tcW w:w="709" w:type="dxa"/>
            <w:vAlign w:val="center"/>
          </w:tcPr>
          <w:p w14:paraId="7FA0A574">
            <w:pPr>
              <w:spacing w:line="440" w:lineRule="exact"/>
              <w:jc w:val="center"/>
              <w:rPr>
                <w:color w:val="auto"/>
                <w:szCs w:val="21"/>
                <w:highlight w:val="none"/>
              </w:rPr>
            </w:pPr>
          </w:p>
        </w:tc>
        <w:tc>
          <w:tcPr>
            <w:tcW w:w="709" w:type="dxa"/>
            <w:vAlign w:val="center"/>
          </w:tcPr>
          <w:p w14:paraId="04F8D967">
            <w:pPr>
              <w:spacing w:line="440" w:lineRule="exact"/>
              <w:jc w:val="center"/>
              <w:rPr>
                <w:color w:val="auto"/>
                <w:szCs w:val="21"/>
                <w:highlight w:val="none"/>
              </w:rPr>
            </w:pPr>
          </w:p>
        </w:tc>
        <w:tc>
          <w:tcPr>
            <w:tcW w:w="709" w:type="dxa"/>
            <w:vAlign w:val="center"/>
          </w:tcPr>
          <w:p w14:paraId="3BD381C1">
            <w:pPr>
              <w:spacing w:line="440" w:lineRule="exact"/>
              <w:jc w:val="center"/>
              <w:rPr>
                <w:color w:val="auto"/>
                <w:szCs w:val="21"/>
                <w:highlight w:val="none"/>
              </w:rPr>
            </w:pPr>
          </w:p>
        </w:tc>
        <w:tc>
          <w:tcPr>
            <w:tcW w:w="992" w:type="dxa"/>
            <w:vAlign w:val="center"/>
          </w:tcPr>
          <w:p w14:paraId="1280AB63">
            <w:pPr>
              <w:spacing w:line="440" w:lineRule="exact"/>
              <w:jc w:val="center"/>
              <w:rPr>
                <w:color w:val="auto"/>
                <w:szCs w:val="21"/>
                <w:highlight w:val="none"/>
              </w:rPr>
            </w:pPr>
          </w:p>
        </w:tc>
        <w:tc>
          <w:tcPr>
            <w:tcW w:w="1876" w:type="dxa"/>
            <w:vAlign w:val="center"/>
          </w:tcPr>
          <w:p w14:paraId="2A035F6F">
            <w:pPr>
              <w:spacing w:line="440" w:lineRule="exact"/>
              <w:jc w:val="center"/>
              <w:rPr>
                <w:color w:val="auto"/>
                <w:szCs w:val="21"/>
                <w:highlight w:val="none"/>
              </w:rPr>
            </w:pPr>
          </w:p>
        </w:tc>
      </w:tr>
      <w:tr w14:paraId="4393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2CBA507">
            <w:pPr>
              <w:spacing w:line="440" w:lineRule="exact"/>
              <w:jc w:val="center"/>
              <w:rPr>
                <w:color w:val="auto"/>
                <w:szCs w:val="21"/>
                <w:highlight w:val="none"/>
              </w:rPr>
            </w:pPr>
          </w:p>
        </w:tc>
        <w:tc>
          <w:tcPr>
            <w:tcW w:w="993" w:type="dxa"/>
          </w:tcPr>
          <w:p w14:paraId="4E04DF17">
            <w:pPr>
              <w:spacing w:line="440" w:lineRule="exact"/>
              <w:jc w:val="center"/>
              <w:rPr>
                <w:color w:val="auto"/>
                <w:szCs w:val="21"/>
                <w:highlight w:val="none"/>
              </w:rPr>
            </w:pPr>
          </w:p>
        </w:tc>
        <w:tc>
          <w:tcPr>
            <w:tcW w:w="958" w:type="dxa"/>
          </w:tcPr>
          <w:p w14:paraId="00F4C08F">
            <w:pPr>
              <w:spacing w:line="440" w:lineRule="exact"/>
              <w:jc w:val="center"/>
              <w:rPr>
                <w:color w:val="auto"/>
                <w:szCs w:val="21"/>
                <w:highlight w:val="none"/>
              </w:rPr>
            </w:pPr>
          </w:p>
        </w:tc>
        <w:tc>
          <w:tcPr>
            <w:tcW w:w="709" w:type="dxa"/>
          </w:tcPr>
          <w:p w14:paraId="7AE1B6DF">
            <w:pPr>
              <w:spacing w:line="440" w:lineRule="exact"/>
              <w:jc w:val="center"/>
              <w:rPr>
                <w:color w:val="auto"/>
                <w:szCs w:val="21"/>
                <w:highlight w:val="none"/>
              </w:rPr>
            </w:pPr>
          </w:p>
        </w:tc>
        <w:tc>
          <w:tcPr>
            <w:tcW w:w="850" w:type="dxa"/>
          </w:tcPr>
          <w:p w14:paraId="4B1EE000">
            <w:pPr>
              <w:spacing w:line="440" w:lineRule="exact"/>
              <w:jc w:val="center"/>
              <w:rPr>
                <w:color w:val="auto"/>
                <w:szCs w:val="21"/>
                <w:highlight w:val="none"/>
              </w:rPr>
            </w:pPr>
          </w:p>
        </w:tc>
        <w:tc>
          <w:tcPr>
            <w:tcW w:w="709" w:type="dxa"/>
          </w:tcPr>
          <w:p w14:paraId="562A6561">
            <w:pPr>
              <w:spacing w:line="440" w:lineRule="exact"/>
              <w:jc w:val="center"/>
              <w:rPr>
                <w:color w:val="auto"/>
                <w:szCs w:val="21"/>
                <w:highlight w:val="none"/>
              </w:rPr>
            </w:pPr>
          </w:p>
        </w:tc>
        <w:tc>
          <w:tcPr>
            <w:tcW w:w="709" w:type="dxa"/>
          </w:tcPr>
          <w:p w14:paraId="200D9C19">
            <w:pPr>
              <w:spacing w:line="440" w:lineRule="exact"/>
              <w:jc w:val="center"/>
              <w:rPr>
                <w:color w:val="auto"/>
                <w:szCs w:val="21"/>
                <w:highlight w:val="none"/>
              </w:rPr>
            </w:pPr>
          </w:p>
        </w:tc>
        <w:tc>
          <w:tcPr>
            <w:tcW w:w="709" w:type="dxa"/>
          </w:tcPr>
          <w:p w14:paraId="566BAB21">
            <w:pPr>
              <w:spacing w:line="440" w:lineRule="exact"/>
              <w:jc w:val="center"/>
              <w:rPr>
                <w:color w:val="auto"/>
                <w:szCs w:val="21"/>
                <w:highlight w:val="none"/>
              </w:rPr>
            </w:pPr>
          </w:p>
        </w:tc>
        <w:tc>
          <w:tcPr>
            <w:tcW w:w="992" w:type="dxa"/>
          </w:tcPr>
          <w:p w14:paraId="02701ED8">
            <w:pPr>
              <w:spacing w:line="440" w:lineRule="exact"/>
              <w:jc w:val="center"/>
              <w:rPr>
                <w:color w:val="auto"/>
                <w:szCs w:val="21"/>
                <w:highlight w:val="none"/>
              </w:rPr>
            </w:pPr>
          </w:p>
        </w:tc>
        <w:tc>
          <w:tcPr>
            <w:tcW w:w="1876" w:type="dxa"/>
          </w:tcPr>
          <w:p w14:paraId="44A96036">
            <w:pPr>
              <w:spacing w:line="440" w:lineRule="exact"/>
              <w:jc w:val="center"/>
              <w:rPr>
                <w:color w:val="auto"/>
                <w:szCs w:val="21"/>
                <w:highlight w:val="none"/>
              </w:rPr>
            </w:pPr>
          </w:p>
        </w:tc>
      </w:tr>
      <w:tr w14:paraId="42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0C21D5">
            <w:pPr>
              <w:spacing w:line="440" w:lineRule="exact"/>
              <w:jc w:val="center"/>
              <w:rPr>
                <w:color w:val="auto"/>
                <w:szCs w:val="21"/>
                <w:highlight w:val="none"/>
              </w:rPr>
            </w:pPr>
          </w:p>
        </w:tc>
        <w:tc>
          <w:tcPr>
            <w:tcW w:w="993" w:type="dxa"/>
          </w:tcPr>
          <w:p w14:paraId="4D982CA8">
            <w:pPr>
              <w:spacing w:line="440" w:lineRule="exact"/>
              <w:jc w:val="center"/>
              <w:rPr>
                <w:color w:val="auto"/>
                <w:szCs w:val="21"/>
                <w:highlight w:val="none"/>
              </w:rPr>
            </w:pPr>
          </w:p>
        </w:tc>
        <w:tc>
          <w:tcPr>
            <w:tcW w:w="958" w:type="dxa"/>
          </w:tcPr>
          <w:p w14:paraId="234F44EC">
            <w:pPr>
              <w:spacing w:line="440" w:lineRule="exact"/>
              <w:jc w:val="center"/>
              <w:rPr>
                <w:color w:val="auto"/>
                <w:szCs w:val="21"/>
                <w:highlight w:val="none"/>
              </w:rPr>
            </w:pPr>
          </w:p>
        </w:tc>
        <w:tc>
          <w:tcPr>
            <w:tcW w:w="709" w:type="dxa"/>
          </w:tcPr>
          <w:p w14:paraId="79C825F3">
            <w:pPr>
              <w:spacing w:line="440" w:lineRule="exact"/>
              <w:jc w:val="center"/>
              <w:rPr>
                <w:color w:val="auto"/>
                <w:szCs w:val="21"/>
                <w:highlight w:val="none"/>
              </w:rPr>
            </w:pPr>
          </w:p>
        </w:tc>
        <w:tc>
          <w:tcPr>
            <w:tcW w:w="850" w:type="dxa"/>
          </w:tcPr>
          <w:p w14:paraId="427F94AF">
            <w:pPr>
              <w:spacing w:line="440" w:lineRule="exact"/>
              <w:jc w:val="center"/>
              <w:rPr>
                <w:color w:val="auto"/>
                <w:szCs w:val="21"/>
                <w:highlight w:val="none"/>
              </w:rPr>
            </w:pPr>
          </w:p>
        </w:tc>
        <w:tc>
          <w:tcPr>
            <w:tcW w:w="709" w:type="dxa"/>
          </w:tcPr>
          <w:p w14:paraId="0E349DC9">
            <w:pPr>
              <w:spacing w:line="440" w:lineRule="exact"/>
              <w:jc w:val="center"/>
              <w:rPr>
                <w:color w:val="auto"/>
                <w:szCs w:val="21"/>
                <w:highlight w:val="none"/>
              </w:rPr>
            </w:pPr>
          </w:p>
        </w:tc>
        <w:tc>
          <w:tcPr>
            <w:tcW w:w="709" w:type="dxa"/>
          </w:tcPr>
          <w:p w14:paraId="3996EFB0">
            <w:pPr>
              <w:spacing w:line="440" w:lineRule="exact"/>
              <w:jc w:val="center"/>
              <w:rPr>
                <w:color w:val="auto"/>
                <w:szCs w:val="21"/>
                <w:highlight w:val="none"/>
              </w:rPr>
            </w:pPr>
          </w:p>
        </w:tc>
        <w:tc>
          <w:tcPr>
            <w:tcW w:w="709" w:type="dxa"/>
          </w:tcPr>
          <w:p w14:paraId="6392AE1B">
            <w:pPr>
              <w:spacing w:line="440" w:lineRule="exact"/>
              <w:jc w:val="center"/>
              <w:rPr>
                <w:color w:val="auto"/>
                <w:szCs w:val="21"/>
                <w:highlight w:val="none"/>
              </w:rPr>
            </w:pPr>
          </w:p>
        </w:tc>
        <w:tc>
          <w:tcPr>
            <w:tcW w:w="992" w:type="dxa"/>
          </w:tcPr>
          <w:p w14:paraId="5CCB605E">
            <w:pPr>
              <w:spacing w:line="440" w:lineRule="exact"/>
              <w:jc w:val="center"/>
              <w:rPr>
                <w:color w:val="auto"/>
                <w:szCs w:val="21"/>
                <w:highlight w:val="none"/>
              </w:rPr>
            </w:pPr>
          </w:p>
        </w:tc>
        <w:tc>
          <w:tcPr>
            <w:tcW w:w="1876" w:type="dxa"/>
          </w:tcPr>
          <w:p w14:paraId="61332412">
            <w:pPr>
              <w:spacing w:line="440" w:lineRule="exact"/>
              <w:jc w:val="center"/>
              <w:rPr>
                <w:color w:val="auto"/>
                <w:szCs w:val="21"/>
                <w:highlight w:val="none"/>
              </w:rPr>
            </w:pPr>
          </w:p>
        </w:tc>
      </w:tr>
      <w:tr w14:paraId="742B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F74157">
            <w:pPr>
              <w:spacing w:line="440" w:lineRule="exact"/>
              <w:jc w:val="center"/>
              <w:rPr>
                <w:color w:val="auto"/>
                <w:szCs w:val="21"/>
                <w:highlight w:val="none"/>
              </w:rPr>
            </w:pPr>
          </w:p>
        </w:tc>
        <w:tc>
          <w:tcPr>
            <w:tcW w:w="993" w:type="dxa"/>
          </w:tcPr>
          <w:p w14:paraId="1623C2AC">
            <w:pPr>
              <w:spacing w:line="440" w:lineRule="exact"/>
              <w:jc w:val="center"/>
              <w:rPr>
                <w:color w:val="auto"/>
                <w:szCs w:val="21"/>
                <w:highlight w:val="none"/>
              </w:rPr>
            </w:pPr>
          </w:p>
        </w:tc>
        <w:tc>
          <w:tcPr>
            <w:tcW w:w="958" w:type="dxa"/>
          </w:tcPr>
          <w:p w14:paraId="2F2B98E8">
            <w:pPr>
              <w:spacing w:line="440" w:lineRule="exact"/>
              <w:jc w:val="center"/>
              <w:rPr>
                <w:color w:val="auto"/>
                <w:szCs w:val="21"/>
                <w:highlight w:val="none"/>
              </w:rPr>
            </w:pPr>
          </w:p>
        </w:tc>
        <w:tc>
          <w:tcPr>
            <w:tcW w:w="709" w:type="dxa"/>
          </w:tcPr>
          <w:p w14:paraId="1AAFD90C">
            <w:pPr>
              <w:spacing w:line="440" w:lineRule="exact"/>
              <w:jc w:val="center"/>
              <w:rPr>
                <w:color w:val="auto"/>
                <w:szCs w:val="21"/>
                <w:highlight w:val="none"/>
              </w:rPr>
            </w:pPr>
          </w:p>
        </w:tc>
        <w:tc>
          <w:tcPr>
            <w:tcW w:w="850" w:type="dxa"/>
          </w:tcPr>
          <w:p w14:paraId="2696E6CE">
            <w:pPr>
              <w:spacing w:line="440" w:lineRule="exact"/>
              <w:jc w:val="center"/>
              <w:rPr>
                <w:color w:val="auto"/>
                <w:szCs w:val="21"/>
                <w:highlight w:val="none"/>
              </w:rPr>
            </w:pPr>
          </w:p>
        </w:tc>
        <w:tc>
          <w:tcPr>
            <w:tcW w:w="709" w:type="dxa"/>
          </w:tcPr>
          <w:p w14:paraId="739C186C">
            <w:pPr>
              <w:spacing w:line="440" w:lineRule="exact"/>
              <w:jc w:val="center"/>
              <w:rPr>
                <w:color w:val="auto"/>
                <w:szCs w:val="21"/>
                <w:highlight w:val="none"/>
              </w:rPr>
            </w:pPr>
          </w:p>
        </w:tc>
        <w:tc>
          <w:tcPr>
            <w:tcW w:w="709" w:type="dxa"/>
          </w:tcPr>
          <w:p w14:paraId="15A204DA">
            <w:pPr>
              <w:spacing w:line="440" w:lineRule="exact"/>
              <w:jc w:val="center"/>
              <w:rPr>
                <w:color w:val="auto"/>
                <w:szCs w:val="21"/>
                <w:highlight w:val="none"/>
              </w:rPr>
            </w:pPr>
          </w:p>
        </w:tc>
        <w:tc>
          <w:tcPr>
            <w:tcW w:w="709" w:type="dxa"/>
          </w:tcPr>
          <w:p w14:paraId="004656E1">
            <w:pPr>
              <w:spacing w:line="440" w:lineRule="exact"/>
              <w:jc w:val="center"/>
              <w:rPr>
                <w:color w:val="auto"/>
                <w:szCs w:val="21"/>
                <w:highlight w:val="none"/>
              </w:rPr>
            </w:pPr>
          </w:p>
        </w:tc>
        <w:tc>
          <w:tcPr>
            <w:tcW w:w="992" w:type="dxa"/>
          </w:tcPr>
          <w:p w14:paraId="512F3B26">
            <w:pPr>
              <w:spacing w:line="440" w:lineRule="exact"/>
              <w:jc w:val="center"/>
              <w:rPr>
                <w:color w:val="auto"/>
                <w:szCs w:val="21"/>
                <w:highlight w:val="none"/>
              </w:rPr>
            </w:pPr>
          </w:p>
        </w:tc>
        <w:tc>
          <w:tcPr>
            <w:tcW w:w="1876" w:type="dxa"/>
          </w:tcPr>
          <w:p w14:paraId="08162AEF">
            <w:pPr>
              <w:spacing w:line="440" w:lineRule="exact"/>
              <w:jc w:val="center"/>
              <w:rPr>
                <w:color w:val="auto"/>
                <w:szCs w:val="21"/>
                <w:highlight w:val="none"/>
              </w:rPr>
            </w:pPr>
          </w:p>
        </w:tc>
      </w:tr>
      <w:tr w14:paraId="487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437DC1">
            <w:pPr>
              <w:spacing w:line="440" w:lineRule="exact"/>
              <w:jc w:val="center"/>
              <w:rPr>
                <w:color w:val="auto"/>
                <w:szCs w:val="21"/>
                <w:highlight w:val="none"/>
              </w:rPr>
            </w:pPr>
            <w:r>
              <w:rPr>
                <w:color w:val="auto"/>
                <w:szCs w:val="21"/>
                <w:highlight w:val="none"/>
              </w:rPr>
              <w:t>……</w:t>
            </w:r>
          </w:p>
        </w:tc>
        <w:tc>
          <w:tcPr>
            <w:tcW w:w="993" w:type="dxa"/>
          </w:tcPr>
          <w:p w14:paraId="3E891EB5">
            <w:pPr>
              <w:spacing w:line="440" w:lineRule="exact"/>
              <w:jc w:val="center"/>
              <w:rPr>
                <w:color w:val="auto"/>
                <w:szCs w:val="21"/>
                <w:highlight w:val="none"/>
              </w:rPr>
            </w:pPr>
          </w:p>
        </w:tc>
        <w:tc>
          <w:tcPr>
            <w:tcW w:w="958" w:type="dxa"/>
          </w:tcPr>
          <w:p w14:paraId="536E6893">
            <w:pPr>
              <w:spacing w:line="440" w:lineRule="exact"/>
              <w:jc w:val="center"/>
              <w:rPr>
                <w:color w:val="auto"/>
                <w:szCs w:val="21"/>
                <w:highlight w:val="none"/>
              </w:rPr>
            </w:pPr>
          </w:p>
        </w:tc>
        <w:tc>
          <w:tcPr>
            <w:tcW w:w="709" w:type="dxa"/>
          </w:tcPr>
          <w:p w14:paraId="591BF622">
            <w:pPr>
              <w:spacing w:line="440" w:lineRule="exact"/>
              <w:jc w:val="center"/>
              <w:rPr>
                <w:color w:val="auto"/>
                <w:szCs w:val="21"/>
                <w:highlight w:val="none"/>
              </w:rPr>
            </w:pPr>
          </w:p>
        </w:tc>
        <w:tc>
          <w:tcPr>
            <w:tcW w:w="850" w:type="dxa"/>
          </w:tcPr>
          <w:p w14:paraId="6AC51919">
            <w:pPr>
              <w:spacing w:line="440" w:lineRule="exact"/>
              <w:jc w:val="center"/>
              <w:rPr>
                <w:color w:val="auto"/>
                <w:szCs w:val="21"/>
                <w:highlight w:val="none"/>
              </w:rPr>
            </w:pPr>
          </w:p>
        </w:tc>
        <w:tc>
          <w:tcPr>
            <w:tcW w:w="709" w:type="dxa"/>
          </w:tcPr>
          <w:p w14:paraId="6EA274D9">
            <w:pPr>
              <w:spacing w:line="440" w:lineRule="exact"/>
              <w:jc w:val="center"/>
              <w:rPr>
                <w:color w:val="auto"/>
                <w:szCs w:val="21"/>
                <w:highlight w:val="none"/>
              </w:rPr>
            </w:pPr>
          </w:p>
        </w:tc>
        <w:tc>
          <w:tcPr>
            <w:tcW w:w="709" w:type="dxa"/>
          </w:tcPr>
          <w:p w14:paraId="7E631DEA">
            <w:pPr>
              <w:spacing w:line="440" w:lineRule="exact"/>
              <w:jc w:val="center"/>
              <w:rPr>
                <w:color w:val="auto"/>
                <w:szCs w:val="21"/>
                <w:highlight w:val="none"/>
              </w:rPr>
            </w:pPr>
          </w:p>
        </w:tc>
        <w:tc>
          <w:tcPr>
            <w:tcW w:w="709" w:type="dxa"/>
          </w:tcPr>
          <w:p w14:paraId="691409FF">
            <w:pPr>
              <w:spacing w:line="440" w:lineRule="exact"/>
              <w:jc w:val="center"/>
              <w:rPr>
                <w:color w:val="auto"/>
                <w:szCs w:val="21"/>
                <w:highlight w:val="none"/>
              </w:rPr>
            </w:pPr>
          </w:p>
        </w:tc>
        <w:tc>
          <w:tcPr>
            <w:tcW w:w="992" w:type="dxa"/>
          </w:tcPr>
          <w:p w14:paraId="76D287BD">
            <w:pPr>
              <w:spacing w:line="440" w:lineRule="exact"/>
              <w:jc w:val="center"/>
              <w:rPr>
                <w:color w:val="auto"/>
                <w:szCs w:val="21"/>
                <w:highlight w:val="none"/>
              </w:rPr>
            </w:pPr>
          </w:p>
        </w:tc>
        <w:tc>
          <w:tcPr>
            <w:tcW w:w="1876" w:type="dxa"/>
          </w:tcPr>
          <w:p w14:paraId="34406CB7">
            <w:pPr>
              <w:spacing w:line="440" w:lineRule="exact"/>
              <w:jc w:val="center"/>
              <w:rPr>
                <w:color w:val="auto"/>
                <w:szCs w:val="21"/>
                <w:highlight w:val="none"/>
              </w:rPr>
            </w:pPr>
          </w:p>
        </w:tc>
      </w:tr>
      <w:tr w14:paraId="71B0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F419F4">
            <w:pPr>
              <w:spacing w:line="440" w:lineRule="exact"/>
              <w:jc w:val="center"/>
              <w:rPr>
                <w:color w:val="auto"/>
                <w:szCs w:val="21"/>
                <w:highlight w:val="none"/>
              </w:rPr>
            </w:pPr>
            <w:r>
              <w:rPr>
                <w:color w:val="auto"/>
                <w:szCs w:val="21"/>
                <w:highlight w:val="none"/>
              </w:rPr>
              <w:t>……</w:t>
            </w:r>
            <w:r>
              <w:rPr>
                <w:rFonts w:hint="eastAsia"/>
                <w:color w:val="auto"/>
                <w:szCs w:val="21"/>
                <w:highlight w:val="none"/>
              </w:rPr>
              <w:t>.</w:t>
            </w:r>
          </w:p>
        </w:tc>
        <w:tc>
          <w:tcPr>
            <w:tcW w:w="993" w:type="dxa"/>
          </w:tcPr>
          <w:p w14:paraId="21CFA861">
            <w:pPr>
              <w:spacing w:line="440" w:lineRule="exact"/>
              <w:jc w:val="center"/>
              <w:rPr>
                <w:color w:val="auto"/>
                <w:szCs w:val="21"/>
                <w:highlight w:val="none"/>
              </w:rPr>
            </w:pPr>
          </w:p>
        </w:tc>
        <w:tc>
          <w:tcPr>
            <w:tcW w:w="958" w:type="dxa"/>
          </w:tcPr>
          <w:p w14:paraId="2A8ECA16">
            <w:pPr>
              <w:spacing w:line="440" w:lineRule="exact"/>
              <w:jc w:val="center"/>
              <w:rPr>
                <w:color w:val="auto"/>
                <w:szCs w:val="21"/>
                <w:highlight w:val="none"/>
              </w:rPr>
            </w:pPr>
          </w:p>
        </w:tc>
        <w:tc>
          <w:tcPr>
            <w:tcW w:w="709" w:type="dxa"/>
          </w:tcPr>
          <w:p w14:paraId="5C0CD852">
            <w:pPr>
              <w:spacing w:line="440" w:lineRule="exact"/>
              <w:jc w:val="center"/>
              <w:rPr>
                <w:color w:val="auto"/>
                <w:szCs w:val="21"/>
                <w:highlight w:val="none"/>
              </w:rPr>
            </w:pPr>
          </w:p>
        </w:tc>
        <w:tc>
          <w:tcPr>
            <w:tcW w:w="850" w:type="dxa"/>
          </w:tcPr>
          <w:p w14:paraId="0EB741CA">
            <w:pPr>
              <w:spacing w:line="440" w:lineRule="exact"/>
              <w:jc w:val="center"/>
              <w:rPr>
                <w:color w:val="auto"/>
                <w:szCs w:val="21"/>
                <w:highlight w:val="none"/>
              </w:rPr>
            </w:pPr>
          </w:p>
        </w:tc>
        <w:tc>
          <w:tcPr>
            <w:tcW w:w="709" w:type="dxa"/>
          </w:tcPr>
          <w:p w14:paraId="7C0647D9">
            <w:pPr>
              <w:spacing w:line="440" w:lineRule="exact"/>
              <w:jc w:val="center"/>
              <w:rPr>
                <w:color w:val="auto"/>
                <w:szCs w:val="21"/>
                <w:highlight w:val="none"/>
              </w:rPr>
            </w:pPr>
          </w:p>
        </w:tc>
        <w:tc>
          <w:tcPr>
            <w:tcW w:w="709" w:type="dxa"/>
          </w:tcPr>
          <w:p w14:paraId="29507E0E">
            <w:pPr>
              <w:spacing w:line="440" w:lineRule="exact"/>
              <w:jc w:val="center"/>
              <w:rPr>
                <w:color w:val="auto"/>
                <w:szCs w:val="21"/>
                <w:highlight w:val="none"/>
              </w:rPr>
            </w:pPr>
          </w:p>
        </w:tc>
        <w:tc>
          <w:tcPr>
            <w:tcW w:w="709" w:type="dxa"/>
          </w:tcPr>
          <w:p w14:paraId="22C20A8A">
            <w:pPr>
              <w:spacing w:line="440" w:lineRule="exact"/>
              <w:jc w:val="center"/>
              <w:rPr>
                <w:color w:val="auto"/>
                <w:szCs w:val="21"/>
                <w:highlight w:val="none"/>
              </w:rPr>
            </w:pPr>
          </w:p>
        </w:tc>
        <w:tc>
          <w:tcPr>
            <w:tcW w:w="992" w:type="dxa"/>
          </w:tcPr>
          <w:p w14:paraId="767ACD60">
            <w:pPr>
              <w:spacing w:line="440" w:lineRule="exact"/>
              <w:jc w:val="center"/>
              <w:rPr>
                <w:color w:val="auto"/>
                <w:szCs w:val="21"/>
                <w:highlight w:val="none"/>
              </w:rPr>
            </w:pPr>
          </w:p>
        </w:tc>
        <w:tc>
          <w:tcPr>
            <w:tcW w:w="1876" w:type="dxa"/>
          </w:tcPr>
          <w:p w14:paraId="479504F5">
            <w:pPr>
              <w:spacing w:line="440" w:lineRule="exact"/>
              <w:jc w:val="center"/>
              <w:rPr>
                <w:color w:val="auto"/>
                <w:szCs w:val="21"/>
                <w:highlight w:val="none"/>
              </w:rPr>
            </w:pPr>
          </w:p>
        </w:tc>
      </w:tr>
      <w:tr w14:paraId="3E64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102E1BC">
            <w:pPr>
              <w:spacing w:line="440" w:lineRule="exact"/>
              <w:jc w:val="center"/>
              <w:rPr>
                <w:color w:val="auto"/>
                <w:szCs w:val="21"/>
                <w:highlight w:val="none"/>
              </w:rPr>
            </w:pPr>
            <w:r>
              <w:rPr>
                <w:color w:val="auto"/>
                <w:szCs w:val="21"/>
                <w:highlight w:val="none"/>
              </w:rPr>
              <w:t>……</w:t>
            </w:r>
            <w:r>
              <w:rPr>
                <w:rFonts w:hint="eastAsia"/>
                <w:color w:val="auto"/>
                <w:szCs w:val="21"/>
                <w:highlight w:val="none"/>
              </w:rPr>
              <w:t>.</w:t>
            </w:r>
          </w:p>
        </w:tc>
        <w:tc>
          <w:tcPr>
            <w:tcW w:w="993" w:type="dxa"/>
          </w:tcPr>
          <w:p w14:paraId="22A34A16">
            <w:pPr>
              <w:spacing w:line="440" w:lineRule="exact"/>
              <w:jc w:val="center"/>
              <w:rPr>
                <w:color w:val="auto"/>
                <w:szCs w:val="21"/>
                <w:highlight w:val="none"/>
              </w:rPr>
            </w:pPr>
          </w:p>
        </w:tc>
        <w:tc>
          <w:tcPr>
            <w:tcW w:w="958" w:type="dxa"/>
          </w:tcPr>
          <w:p w14:paraId="2702175A">
            <w:pPr>
              <w:spacing w:line="440" w:lineRule="exact"/>
              <w:jc w:val="center"/>
              <w:rPr>
                <w:color w:val="auto"/>
                <w:szCs w:val="21"/>
                <w:highlight w:val="none"/>
              </w:rPr>
            </w:pPr>
          </w:p>
        </w:tc>
        <w:tc>
          <w:tcPr>
            <w:tcW w:w="709" w:type="dxa"/>
          </w:tcPr>
          <w:p w14:paraId="4FD3319D">
            <w:pPr>
              <w:spacing w:line="440" w:lineRule="exact"/>
              <w:jc w:val="center"/>
              <w:rPr>
                <w:color w:val="auto"/>
                <w:szCs w:val="21"/>
                <w:highlight w:val="none"/>
              </w:rPr>
            </w:pPr>
          </w:p>
        </w:tc>
        <w:tc>
          <w:tcPr>
            <w:tcW w:w="850" w:type="dxa"/>
          </w:tcPr>
          <w:p w14:paraId="3E253F4A">
            <w:pPr>
              <w:spacing w:line="440" w:lineRule="exact"/>
              <w:jc w:val="center"/>
              <w:rPr>
                <w:color w:val="auto"/>
                <w:szCs w:val="21"/>
                <w:highlight w:val="none"/>
              </w:rPr>
            </w:pPr>
          </w:p>
        </w:tc>
        <w:tc>
          <w:tcPr>
            <w:tcW w:w="709" w:type="dxa"/>
          </w:tcPr>
          <w:p w14:paraId="3B7EF0CA">
            <w:pPr>
              <w:spacing w:line="440" w:lineRule="exact"/>
              <w:jc w:val="center"/>
              <w:rPr>
                <w:color w:val="auto"/>
                <w:szCs w:val="21"/>
                <w:highlight w:val="none"/>
              </w:rPr>
            </w:pPr>
          </w:p>
        </w:tc>
        <w:tc>
          <w:tcPr>
            <w:tcW w:w="709" w:type="dxa"/>
          </w:tcPr>
          <w:p w14:paraId="2C27456B">
            <w:pPr>
              <w:spacing w:line="440" w:lineRule="exact"/>
              <w:jc w:val="center"/>
              <w:rPr>
                <w:color w:val="auto"/>
                <w:szCs w:val="21"/>
                <w:highlight w:val="none"/>
              </w:rPr>
            </w:pPr>
          </w:p>
        </w:tc>
        <w:tc>
          <w:tcPr>
            <w:tcW w:w="709" w:type="dxa"/>
          </w:tcPr>
          <w:p w14:paraId="12D08BA0">
            <w:pPr>
              <w:spacing w:line="440" w:lineRule="exact"/>
              <w:jc w:val="center"/>
              <w:rPr>
                <w:color w:val="auto"/>
                <w:szCs w:val="21"/>
                <w:highlight w:val="none"/>
              </w:rPr>
            </w:pPr>
          </w:p>
        </w:tc>
        <w:tc>
          <w:tcPr>
            <w:tcW w:w="992" w:type="dxa"/>
          </w:tcPr>
          <w:p w14:paraId="5391A0CD">
            <w:pPr>
              <w:spacing w:line="440" w:lineRule="exact"/>
              <w:jc w:val="center"/>
              <w:rPr>
                <w:color w:val="auto"/>
                <w:szCs w:val="21"/>
                <w:highlight w:val="none"/>
              </w:rPr>
            </w:pPr>
          </w:p>
        </w:tc>
        <w:tc>
          <w:tcPr>
            <w:tcW w:w="1876" w:type="dxa"/>
          </w:tcPr>
          <w:p w14:paraId="543606AC">
            <w:pPr>
              <w:spacing w:line="440" w:lineRule="exact"/>
              <w:jc w:val="center"/>
              <w:rPr>
                <w:color w:val="auto"/>
                <w:szCs w:val="21"/>
                <w:highlight w:val="none"/>
              </w:rPr>
            </w:pPr>
          </w:p>
        </w:tc>
      </w:tr>
      <w:tr w14:paraId="190B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E1EF536">
            <w:pPr>
              <w:spacing w:line="440" w:lineRule="exact"/>
              <w:jc w:val="center"/>
              <w:rPr>
                <w:color w:val="auto"/>
                <w:szCs w:val="21"/>
                <w:highlight w:val="none"/>
              </w:rPr>
            </w:pPr>
          </w:p>
        </w:tc>
        <w:tc>
          <w:tcPr>
            <w:tcW w:w="993" w:type="dxa"/>
          </w:tcPr>
          <w:p w14:paraId="14ABB571">
            <w:pPr>
              <w:spacing w:line="440" w:lineRule="exact"/>
              <w:jc w:val="center"/>
              <w:rPr>
                <w:color w:val="auto"/>
                <w:szCs w:val="21"/>
                <w:highlight w:val="none"/>
              </w:rPr>
            </w:pPr>
          </w:p>
        </w:tc>
        <w:tc>
          <w:tcPr>
            <w:tcW w:w="958" w:type="dxa"/>
          </w:tcPr>
          <w:p w14:paraId="4CAE2D5E">
            <w:pPr>
              <w:spacing w:line="440" w:lineRule="exact"/>
              <w:jc w:val="center"/>
              <w:rPr>
                <w:color w:val="auto"/>
                <w:szCs w:val="21"/>
                <w:highlight w:val="none"/>
              </w:rPr>
            </w:pPr>
          </w:p>
        </w:tc>
        <w:tc>
          <w:tcPr>
            <w:tcW w:w="709" w:type="dxa"/>
          </w:tcPr>
          <w:p w14:paraId="53EC29F6">
            <w:pPr>
              <w:spacing w:line="440" w:lineRule="exact"/>
              <w:jc w:val="center"/>
              <w:rPr>
                <w:color w:val="auto"/>
                <w:szCs w:val="21"/>
                <w:highlight w:val="none"/>
              </w:rPr>
            </w:pPr>
          </w:p>
        </w:tc>
        <w:tc>
          <w:tcPr>
            <w:tcW w:w="850" w:type="dxa"/>
          </w:tcPr>
          <w:p w14:paraId="23ABC3B4">
            <w:pPr>
              <w:spacing w:line="440" w:lineRule="exact"/>
              <w:jc w:val="center"/>
              <w:rPr>
                <w:color w:val="auto"/>
                <w:szCs w:val="21"/>
                <w:highlight w:val="none"/>
              </w:rPr>
            </w:pPr>
          </w:p>
        </w:tc>
        <w:tc>
          <w:tcPr>
            <w:tcW w:w="709" w:type="dxa"/>
          </w:tcPr>
          <w:p w14:paraId="28D4C130">
            <w:pPr>
              <w:spacing w:line="440" w:lineRule="exact"/>
              <w:jc w:val="center"/>
              <w:rPr>
                <w:color w:val="auto"/>
                <w:szCs w:val="21"/>
                <w:highlight w:val="none"/>
              </w:rPr>
            </w:pPr>
          </w:p>
        </w:tc>
        <w:tc>
          <w:tcPr>
            <w:tcW w:w="709" w:type="dxa"/>
          </w:tcPr>
          <w:p w14:paraId="18AA3059">
            <w:pPr>
              <w:spacing w:line="440" w:lineRule="exact"/>
              <w:jc w:val="center"/>
              <w:rPr>
                <w:color w:val="auto"/>
                <w:szCs w:val="21"/>
                <w:highlight w:val="none"/>
              </w:rPr>
            </w:pPr>
          </w:p>
        </w:tc>
        <w:tc>
          <w:tcPr>
            <w:tcW w:w="709" w:type="dxa"/>
          </w:tcPr>
          <w:p w14:paraId="2E0ACD15">
            <w:pPr>
              <w:spacing w:line="440" w:lineRule="exact"/>
              <w:jc w:val="center"/>
              <w:rPr>
                <w:color w:val="auto"/>
                <w:szCs w:val="21"/>
                <w:highlight w:val="none"/>
              </w:rPr>
            </w:pPr>
          </w:p>
        </w:tc>
        <w:tc>
          <w:tcPr>
            <w:tcW w:w="992" w:type="dxa"/>
          </w:tcPr>
          <w:p w14:paraId="0A4B89C4">
            <w:pPr>
              <w:spacing w:line="440" w:lineRule="exact"/>
              <w:jc w:val="center"/>
              <w:rPr>
                <w:color w:val="auto"/>
                <w:szCs w:val="21"/>
                <w:highlight w:val="none"/>
              </w:rPr>
            </w:pPr>
          </w:p>
        </w:tc>
        <w:tc>
          <w:tcPr>
            <w:tcW w:w="1876" w:type="dxa"/>
          </w:tcPr>
          <w:p w14:paraId="4E07CB7A">
            <w:pPr>
              <w:spacing w:line="440" w:lineRule="exact"/>
              <w:jc w:val="center"/>
              <w:rPr>
                <w:color w:val="auto"/>
                <w:szCs w:val="21"/>
                <w:highlight w:val="none"/>
              </w:rPr>
            </w:pPr>
          </w:p>
        </w:tc>
      </w:tr>
      <w:tr w14:paraId="1FC1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45039D0">
            <w:pPr>
              <w:spacing w:line="440" w:lineRule="exact"/>
              <w:jc w:val="center"/>
              <w:rPr>
                <w:color w:val="auto"/>
                <w:szCs w:val="21"/>
                <w:highlight w:val="none"/>
              </w:rPr>
            </w:pPr>
          </w:p>
        </w:tc>
        <w:tc>
          <w:tcPr>
            <w:tcW w:w="993" w:type="dxa"/>
          </w:tcPr>
          <w:p w14:paraId="280AE4BD">
            <w:pPr>
              <w:spacing w:line="440" w:lineRule="exact"/>
              <w:jc w:val="center"/>
              <w:rPr>
                <w:color w:val="auto"/>
                <w:szCs w:val="21"/>
                <w:highlight w:val="none"/>
              </w:rPr>
            </w:pPr>
          </w:p>
        </w:tc>
        <w:tc>
          <w:tcPr>
            <w:tcW w:w="958" w:type="dxa"/>
          </w:tcPr>
          <w:p w14:paraId="25E3AA24">
            <w:pPr>
              <w:spacing w:line="440" w:lineRule="exact"/>
              <w:jc w:val="center"/>
              <w:rPr>
                <w:color w:val="auto"/>
                <w:szCs w:val="21"/>
                <w:highlight w:val="none"/>
              </w:rPr>
            </w:pPr>
          </w:p>
        </w:tc>
        <w:tc>
          <w:tcPr>
            <w:tcW w:w="709" w:type="dxa"/>
          </w:tcPr>
          <w:p w14:paraId="5C9C2225">
            <w:pPr>
              <w:spacing w:line="440" w:lineRule="exact"/>
              <w:jc w:val="center"/>
              <w:rPr>
                <w:color w:val="auto"/>
                <w:szCs w:val="21"/>
                <w:highlight w:val="none"/>
              </w:rPr>
            </w:pPr>
          </w:p>
        </w:tc>
        <w:tc>
          <w:tcPr>
            <w:tcW w:w="850" w:type="dxa"/>
          </w:tcPr>
          <w:p w14:paraId="4990AF8C">
            <w:pPr>
              <w:spacing w:line="440" w:lineRule="exact"/>
              <w:jc w:val="center"/>
              <w:rPr>
                <w:color w:val="auto"/>
                <w:szCs w:val="21"/>
                <w:highlight w:val="none"/>
              </w:rPr>
            </w:pPr>
          </w:p>
        </w:tc>
        <w:tc>
          <w:tcPr>
            <w:tcW w:w="709" w:type="dxa"/>
          </w:tcPr>
          <w:p w14:paraId="44DD2200">
            <w:pPr>
              <w:spacing w:line="440" w:lineRule="exact"/>
              <w:jc w:val="center"/>
              <w:rPr>
                <w:color w:val="auto"/>
                <w:szCs w:val="21"/>
                <w:highlight w:val="none"/>
              </w:rPr>
            </w:pPr>
          </w:p>
        </w:tc>
        <w:tc>
          <w:tcPr>
            <w:tcW w:w="709" w:type="dxa"/>
          </w:tcPr>
          <w:p w14:paraId="7782153C">
            <w:pPr>
              <w:spacing w:line="440" w:lineRule="exact"/>
              <w:jc w:val="center"/>
              <w:rPr>
                <w:color w:val="auto"/>
                <w:szCs w:val="21"/>
                <w:highlight w:val="none"/>
              </w:rPr>
            </w:pPr>
          </w:p>
        </w:tc>
        <w:tc>
          <w:tcPr>
            <w:tcW w:w="709" w:type="dxa"/>
          </w:tcPr>
          <w:p w14:paraId="4BB55D4F">
            <w:pPr>
              <w:spacing w:line="440" w:lineRule="exact"/>
              <w:jc w:val="center"/>
              <w:rPr>
                <w:color w:val="auto"/>
                <w:szCs w:val="21"/>
                <w:highlight w:val="none"/>
              </w:rPr>
            </w:pPr>
          </w:p>
        </w:tc>
        <w:tc>
          <w:tcPr>
            <w:tcW w:w="992" w:type="dxa"/>
          </w:tcPr>
          <w:p w14:paraId="343BB756">
            <w:pPr>
              <w:spacing w:line="440" w:lineRule="exact"/>
              <w:jc w:val="center"/>
              <w:rPr>
                <w:color w:val="auto"/>
                <w:szCs w:val="21"/>
                <w:highlight w:val="none"/>
              </w:rPr>
            </w:pPr>
          </w:p>
        </w:tc>
        <w:tc>
          <w:tcPr>
            <w:tcW w:w="1876" w:type="dxa"/>
          </w:tcPr>
          <w:p w14:paraId="4E6A299D">
            <w:pPr>
              <w:spacing w:line="440" w:lineRule="exact"/>
              <w:jc w:val="center"/>
              <w:rPr>
                <w:color w:val="auto"/>
                <w:szCs w:val="21"/>
                <w:highlight w:val="none"/>
              </w:rPr>
            </w:pPr>
          </w:p>
        </w:tc>
      </w:tr>
      <w:tr w14:paraId="2E46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C613292">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7531653">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0ADBB8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1D22662">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9C33C3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98DABA7">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F3BFA17">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B3FAB7B">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766B18AB">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1B2339A1">
            <w:pPr>
              <w:spacing w:line="440" w:lineRule="exact"/>
              <w:jc w:val="center"/>
              <w:rPr>
                <w:color w:val="auto"/>
                <w:szCs w:val="21"/>
                <w:highlight w:val="none"/>
              </w:rPr>
            </w:pPr>
          </w:p>
        </w:tc>
      </w:tr>
      <w:tr w14:paraId="77CF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16AE004">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BAAAAB9">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04CDDD1">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5244225">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8D9CD7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E45CEA8">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07942B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1B7569D">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8B4EB6E">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354B36B1">
            <w:pPr>
              <w:spacing w:line="440" w:lineRule="exact"/>
              <w:jc w:val="center"/>
              <w:rPr>
                <w:color w:val="auto"/>
                <w:szCs w:val="21"/>
                <w:highlight w:val="none"/>
              </w:rPr>
            </w:pPr>
          </w:p>
        </w:tc>
      </w:tr>
      <w:tr w14:paraId="56E0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D22CB4F">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20618F0">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72F1890">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014ABF67">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519CFEF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1B554ED">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F076BD2">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DDBB438">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499888F6">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135919F6">
            <w:pPr>
              <w:spacing w:line="440" w:lineRule="exact"/>
              <w:jc w:val="center"/>
              <w:rPr>
                <w:color w:val="auto"/>
                <w:szCs w:val="21"/>
                <w:highlight w:val="none"/>
              </w:rPr>
            </w:pPr>
          </w:p>
        </w:tc>
      </w:tr>
      <w:tr w14:paraId="07D5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7872F0E">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8643F0B">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CE4928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28418DE">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638FFC0">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A9C6D51">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B11797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DD43A3B">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FA83393">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582E866E">
            <w:pPr>
              <w:spacing w:line="440" w:lineRule="exact"/>
              <w:jc w:val="center"/>
              <w:rPr>
                <w:color w:val="auto"/>
                <w:szCs w:val="21"/>
                <w:highlight w:val="none"/>
              </w:rPr>
            </w:pPr>
          </w:p>
        </w:tc>
      </w:tr>
      <w:tr w14:paraId="181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1F31A36">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837F024">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58E7DC4">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016C60F">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5DB69D62">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0278AE7">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5ACD90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A2A247F">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38F5E4E9">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716E0A67">
            <w:pPr>
              <w:spacing w:line="440" w:lineRule="exact"/>
              <w:jc w:val="center"/>
              <w:rPr>
                <w:color w:val="auto"/>
                <w:szCs w:val="21"/>
                <w:highlight w:val="none"/>
              </w:rPr>
            </w:pPr>
          </w:p>
        </w:tc>
      </w:tr>
      <w:tr w14:paraId="4C1E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EE32685">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823AD36">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810814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E66451B">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7BF183E">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44CEAC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1D5EEC4">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1F68D01">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3D6B860F">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06C38CCB">
            <w:pPr>
              <w:spacing w:line="440" w:lineRule="exact"/>
              <w:jc w:val="center"/>
              <w:rPr>
                <w:color w:val="auto"/>
                <w:szCs w:val="21"/>
                <w:highlight w:val="none"/>
              </w:rPr>
            </w:pPr>
          </w:p>
        </w:tc>
      </w:tr>
      <w:tr w14:paraId="2683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6EC1E2C">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49376887">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5F72466">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44BBFAE">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64176AF8">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C2FDDC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ADF769F">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B3605A0">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1EAFDF5">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183C2C11">
            <w:pPr>
              <w:spacing w:line="440" w:lineRule="exact"/>
              <w:jc w:val="center"/>
              <w:rPr>
                <w:color w:val="auto"/>
                <w:szCs w:val="21"/>
                <w:highlight w:val="none"/>
              </w:rPr>
            </w:pPr>
          </w:p>
        </w:tc>
      </w:tr>
      <w:tr w14:paraId="5174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42804E5">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4B7B2BB5">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C0203F4">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4349A56">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00441882">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E7EF355">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2AF79CA">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0B1413F">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ABC5948">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281AF950">
            <w:pPr>
              <w:spacing w:line="440" w:lineRule="exact"/>
              <w:jc w:val="center"/>
              <w:rPr>
                <w:color w:val="auto"/>
                <w:szCs w:val="21"/>
                <w:highlight w:val="none"/>
              </w:rPr>
            </w:pPr>
          </w:p>
        </w:tc>
      </w:tr>
      <w:tr w14:paraId="08B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CD92CC8">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5D5EC54">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BBB1741">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75F1ACE">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7F403C91">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3A81940">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3C76453E">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0F04369">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E675A2F">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14:paraId="2AD73B15">
            <w:pPr>
              <w:spacing w:line="440" w:lineRule="exact"/>
              <w:jc w:val="center"/>
              <w:rPr>
                <w:color w:val="auto"/>
                <w:szCs w:val="21"/>
                <w:highlight w:val="none"/>
              </w:rPr>
            </w:pPr>
          </w:p>
        </w:tc>
      </w:tr>
    </w:tbl>
    <w:p w14:paraId="6E212DF2">
      <w:pPr>
        <w:topLinePunct/>
        <w:spacing w:line="440" w:lineRule="exact"/>
        <w:jc w:val="center"/>
        <w:rPr>
          <w:color w:val="auto"/>
          <w:sz w:val="20"/>
          <w:highlight w:val="none"/>
        </w:rPr>
      </w:pPr>
    </w:p>
    <w:p w14:paraId="70C30D92">
      <w:pPr>
        <w:topLinePunct/>
        <w:spacing w:line="440" w:lineRule="exact"/>
        <w:jc w:val="center"/>
        <w:rPr>
          <w:color w:val="auto"/>
          <w:sz w:val="20"/>
          <w:highlight w:val="none"/>
        </w:rPr>
      </w:pPr>
      <w:r>
        <w:rPr>
          <w:color w:val="auto"/>
          <w:sz w:val="20"/>
          <w:highlight w:val="none"/>
        </w:rPr>
        <w:br w:type="page"/>
      </w:r>
    </w:p>
    <w:p w14:paraId="7823D7A5">
      <w:pPr>
        <w:spacing w:before="312" w:beforeLines="100" w:after="312" w:afterLines="100" w:line="440" w:lineRule="exact"/>
        <w:jc w:val="center"/>
        <w:rPr>
          <w:rFonts w:ascii="Arial" w:hAnsi="Arial" w:eastAsia="黑体"/>
          <w:b/>
          <w:bCs/>
          <w:color w:val="auto"/>
          <w:sz w:val="32"/>
          <w:szCs w:val="32"/>
          <w:highlight w:val="none"/>
        </w:rPr>
      </w:pPr>
      <w:bookmarkStart w:id="189" w:name="_Toc152042594"/>
      <w:bookmarkStart w:id="190" w:name="_Toc334766998"/>
      <w:bookmarkStart w:id="191" w:name="_Toc326223616"/>
      <w:bookmarkStart w:id="192" w:name="_Toc246996371"/>
      <w:bookmarkStart w:id="193" w:name="_Toc247085889"/>
      <w:bookmarkStart w:id="194" w:name="_Toc152045805"/>
      <w:bookmarkStart w:id="195" w:name="_Toc246997114"/>
      <w:bookmarkStart w:id="196" w:name="_Toc179632825"/>
      <w:bookmarkStart w:id="197" w:name="_Toc332188245"/>
      <w:bookmarkStart w:id="198" w:name="_Toc144974873"/>
      <w:r>
        <w:rPr>
          <w:rFonts w:ascii="Arial" w:hAnsi="Arial" w:eastAsia="黑体"/>
          <w:b/>
          <w:bCs/>
          <w:color w:val="auto"/>
          <w:sz w:val="32"/>
          <w:szCs w:val="32"/>
          <w:highlight w:val="none"/>
        </w:rPr>
        <w:t>（二）</w:t>
      </w:r>
      <w:r>
        <w:rPr>
          <w:rFonts w:hint="eastAsia" w:ascii="Arial" w:hAnsi="Arial" w:eastAsia="黑体"/>
          <w:b/>
          <w:bCs/>
          <w:color w:val="auto"/>
          <w:sz w:val="32"/>
          <w:szCs w:val="32"/>
          <w:highlight w:val="none"/>
        </w:rPr>
        <w:t>项目负责人</w:t>
      </w:r>
      <w:r>
        <w:rPr>
          <w:rFonts w:ascii="Arial" w:hAnsi="Arial" w:eastAsia="黑体"/>
          <w:b/>
          <w:bCs/>
          <w:color w:val="auto"/>
          <w:sz w:val="32"/>
          <w:szCs w:val="32"/>
          <w:highlight w:val="none"/>
        </w:rPr>
        <w:t>简历表</w:t>
      </w:r>
      <w:bookmarkEnd w:id="189"/>
      <w:bookmarkEnd w:id="190"/>
      <w:bookmarkEnd w:id="191"/>
      <w:bookmarkEnd w:id="192"/>
      <w:bookmarkEnd w:id="193"/>
      <w:bookmarkEnd w:id="194"/>
      <w:bookmarkEnd w:id="195"/>
      <w:bookmarkEnd w:id="196"/>
      <w:bookmarkEnd w:id="197"/>
      <w:bookmarkEnd w:id="198"/>
    </w:p>
    <w:p w14:paraId="03E31195">
      <w:pPr>
        <w:spacing w:line="400" w:lineRule="exact"/>
        <w:ind w:firstLine="420" w:firstLineChars="200"/>
        <w:rPr>
          <w:color w:val="auto"/>
          <w:highlight w:val="none"/>
        </w:rPr>
      </w:pPr>
      <w:r>
        <w:rPr>
          <w:rFonts w:hint="eastAsia"/>
          <w:color w:val="auto"/>
          <w:highlight w:val="none"/>
        </w:rPr>
        <w:t>项目负责人应附项目负责人身份证、职称证、学历证复印件，管理过的项目业绩须附合同协议书复印件。</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73"/>
        <w:gridCol w:w="765"/>
        <w:gridCol w:w="314"/>
        <w:gridCol w:w="927"/>
        <w:gridCol w:w="446"/>
        <w:gridCol w:w="619"/>
        <w:gridCol w:w="708"/>
        <w:gridCol w:w="1097"/>
        <w:gridCol w:w="325"/>
        <w:gridCol w:w="2135"/>
      </w:tblGrid>
      <w:tr w14:paraId="66A2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14:paraId="0AEEB6FC">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vAlign w:val="center"/>
          </w:tcPr>
          <w:p w14:paraId="6D7A959E">
            <w:pPr>
              <w:spacing w:line="440" w:lineRule="exact"/>
              <w:jc w:val="center"/>
              <w:rPr>
                <w:rFonts w:ascii="宋体" w:hAnsi="宋体"/>
                <w:color w:val="auto"/>
                <w:szCs w:val="21"/>
                <w:highlight w:val="none"/>
              </w:rPr>
            </w:pPr>
          </w:p>
        </w:tc>
        <w:tc>
          <w:tcPr>
            <w:tcW w:w="927" w:type="dxa"/>
            <w:vAlign w:val="center"/>
          </w:tcPr>
          <w:p w14:paraId="2A6B0EF3">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gridSpan w:val="2"/>
            <w:vAlign w:val="center"/>
          </w:tcPr>
          <w:p w14:paraId="6EA7E0E7">
            <w:pPr>
              <w:spacing w:line="440" w:lineRule="exact"/>
              <w:jc w:val="center"/>
              <w:rPr>
                <w:rFonts w:ascii="宋体" w:hAnsi="宋体"/>
                <w:color w:val="auto"/>
                <w:szCs w:val="21"/>
                <w:highlight w:val="none"/>
              </w:rPr>
            </w:pPr>
          </w:p>
        </w:tc>
        <w:tc>
          <w:tcPr>
            <w:tcW w:w="2130" w:type="dxa"/>
            <w:gridSpan w:val="3"/>
            <w:vAlign w:val="center"/>
          </w:tcPr>
          <w:p w14:paraId="0EB2CE1D">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2135" w:type="dxa"/>
            <w:vAlign w:val="center"/>
          </w:tcPr>
          <w:p w14:paraId="4C1FDA60">
            <w:pPr>
              <w:spacing w:line="440" w:lineRule="exact"/>
              <w:rPr>
                <w:rFonts w:ascii="宋体" w:hAnsi="宋体"/>
                <w:color w:val="auto"/>
                <w:szCs w:val="21"/>
                <w:highlight w:val="none"/>
              </w:rPr>
            </w:pPr>
          </w:p>
        </w:tc>
      </w:tr>
      <w:tr w14:paraId="3951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14:paraId="0A705264">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vAlign w:val="center"/>
          </w:tcPr>
          <w:p w14:paraId="0A960009">
            <w:pPr>
              <w:spacing w:line="440" w:lineRule="exact"/>
              <w:jc w:val="center"/>
              <w:rPr>
                <w:rFonts w:ascii="宋体" w:hAnsi="宋体"/>
                <w:color w:val="auto"/>
                <w:szCs w:val="21"/>
                <w:highlight w:val="none"/>
              </w:rPr>
            </w:pPr>
          </w:p>
        </w:tc>
        <w:tc>
          <w:tcPr>
            <w:tcW w:w="927" w:type="dxa"/>
            <w:vAlign w:val="center"/>
          </w:tcPr>
          <w:p w14:paraId="70A4F083">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gridSpan w:val="2"/>
            <w:vAlign w:val="center"/>
          </w:tcPr>
          <w:p w14:paraId="792B1DD0">
            <w:pPr>
              <w:spacing w:line="440" w:lineRule="exact"/>
              <w:jc w:val="center"/>
              <w:rPr>
                <w:rFonts w:ascii="宋体" w:hAnsi="宋体"/>
                <w:color w:val="auto"/>
                <w:szCs w:val="21"/>
                <w:highlight w:val="none"/>
              </w:rPr>
            </w:pPr>
          </w:p>
        </w:tc>
        <w:tc>
          <w:tcPr>
            <w:tcW w:w="2130" w:type="dxa"/>
            <w:gridSpan w:val="3"/>
            <w:vAlign w:val="center"/>
          </w:tcPr>
          <w:p w14:paraId="499F4412">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135" w:type="dxa"/>
            <w:vAlign w:val="center"/>
          </w:tcPr>
          <w:p w14:paraId="008DDC8C">
            <w:pPr>
              <w:spacing w:line="440" w:lineRule="exact"/>
              <w:rPr>
                <w:rFonts w:ascii="宋体" w:hAnsi="宋体"/>
                <w:color w:val="auto"/>
                <w:szCs w:val="21"/>
                <w:highlight w:val="none"/>
              </w:rPr>
            </w:pPr>
          </w:p>
        </w:tc>
      </w:tr>
      <w:tr w14:paraId="24D8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14:paraId="3A54A85D">
            <w:pPr>
              <w:spacing w:line="440" w:lineRule="exact"/>
              <w:rPr>
                <w:rFonts w:ascii="宋体" w:hAnsi="宋体"/>
                <w:color w:val="auto"/>
                <w:szCs w:val="21"/>
                <w:highlight w:val="none"/>
              </w:rPr>
            </w:pPr>
            <w:r>
              <w:rPr>
                <w:rFonts w:ascii="宋体" w:hAnsi="宋体"/>
                <w:color w:val="auto"/>
                <w:szCs w:val="21"/>
                <w:highlight w:val="none"/>
              </w:rPr>
              <w:t>毕业学校</w:t>
            </w:r>
          </w:p>
        </w:tc>
        <w:tc>
          <w:tcPr>
            <w:tcW w:w="7336" w:type="dxa"/>
            <w:gridSpan w:val="9"/>
          </w:tcPr>
          <w:p w14:paraId="7E0D8159">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6DC9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14:paraId="7580ECD8">
            <w:pPr>
              <w:spacing w:line="440" w:lineRule="exact"/>
              <w:rPr>
                <w:rFonts w:ascii="宋体" w:hAnsi="宋体"/>
                <w:color w:val="auto"/>
                <w:szCs w:val="21"/>
                <w:highlight w:val="none"/>
              </w:rPr>
            </w:pPr>
            <w:r>
              <w:rPr>
                <w:rFonts w:hint="eastAsia" w:ascii="宋体" w:hAnsi="宋体"/>
                <w:color w:val="auto"/>
                <w:szCs w:val="21"/>
                <w:highlight w:val="none"/>
              </w:rPr>
              <w:t>同类项目工作年限（年）：</w:t>
            </w:r>
          </w:p>
        </w:tc>
        <w:tc>
          <w:tcPr>
            <w:tcW w:w="7336" w:type="dxa"/>
            <w:gridSpan w:val="9"/>
          </w:tcPr>
          <w:p w14:paraId="20EC42B4">
            <w:pPr>
              <w:spacing w:line="440" w:lineRule="exact"/>
              <w:rPr>
                <w:rFonts w:ascii="宋体" w:hAnsi="宋体"/>
                <w:color w:val="auto"/>
                <w:szCs w:val="21"/>
                <w:highlight w:val="none"/>
              </w:rPr>
            </w:pPr>
          </w:p>
        </w:tc>
      </w:tr>
      <w:tr w14:paraId="6EEE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vAlign w:val="center"/>
          </w:tcPr>
          <w:p w14:paraId="041110E0">
            <w:pPr>
              <w:spacing w:line="440" w:lineRule="exact"/>
              <w:rPr>
                <w:rFonts w:ascii="宋体" w:hAnsi="宋体"/>
                <w:color w:val="auto"/>
                <w:szCs w:val="21"/>
                <w:highlight w:val="none"/>
              </w:rPr>
            </w:pPr>
            <w:r>
              <w:rPr>
                <w:rFonts w:ascii="宋体" w:hAnsi="宋体"/>
                <w:color w:val="auto"/>
                <w:szCs w:val="21"/>
                <w:highlight w:val="none"/>
              </w:rPr>
              <w:t>主要工作经历</w:t>
            </w:r>
          </w:p>
        </w:tc>
      </w:tr>
      <w:tr w14:paraId="5DB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vAlign w:val="center"/>
          </w:tcPr>
          <w:p w14:paraId="5A88D458">
            <w:pPr>
              <w:spacing w:line="440" w:lineRule="exact"/>
              <w:rPr>
                <w:rFonts w:ascii="宋体" w:hAnsi="宋体"/>
                <w:color w:val="auto"/>
                <w:szCs w:val="21"/>
                <w:highlight w:val="none"/>
              </w:rPr>
            </w:pPr>
            <w:r>
              <w:rPr>
                <w:rFonts w:ascii="宋体" w:hAnsi="宋体"/>
                <w:color w:val="auto"/>
                <w:szCs w:val="21"/>
                <w:highlight w:val="none"/>
              </w:rPr>
              <w:t>时  间</w:t>
            </w:r>
          </w:p>
        </w:tc>
        <w:tc>
          <w:tcPr>
            <w:tcW w:w="938" w:type="dxa"/>
            <w:gridSpan w:val="2"/>
            <w:vAlign w:val="center"/>
          </w:tcPr>
          <w:p w14:paraId="250C76B8">
            <w:pPr>
              <w:spacing w:line="440" w:lineRule="exact"/>
              <w:rPr>
                <w:rFonts w:ascii="宋体" w:hAnsi="宋体"/>
                <w:color w:val="auto"/>
                <w:szCs w:val="21"/>
                <w:highlight w:val="none"/>
              </w:rPr>
            </w:pPr>
            <w:r>
              <w:rPr>
                <w:rFonts w:hint="eastAsia" w:ascii="宋体" w:hAnsi="宋体"/>
                <w:color w:val="auto"/>
                <w:szCs w:val="21"/>
                <w:highlight w:val="none"/>
              </w:rPr>
              <w:t>甲方名称</w:t>
            </w:r>
          </w:p>
        </w:tc>
        <w:tc>
          <w:tcPr>
            <w:tcW w:w="1687" w:type="dxa"/>
            <w:gridSpan w:val="3"/>
            <w:vAlign w:val="center"/>
          </w:tcPr>
          <w:p w14:paraId="5FA6BB08">
            <w:pPr>
              <w:spacing w:line="440" w:lineRule="exact"/>
              <w:rPr>
                <w:rFonts w:ascii="宋体" w:hAnsi="宋体"/>
                <w:color w:val="auto"/>
                <w:szCs w:val="21"/>
                <w:highlight w:val="none"/>
              </w:rPr>
            </w:pPr>
            <w:r>
              <w:rPr>
                <w:rFonts w:ascii="宋体" w:hAnsi="宋体"/>
                <w:color w:val="auto"/>
                <w:szCs w:val="21"/>
                <w:highlight w:val="none"/>
              </w:rPr>
              <w:t>参加过的类似项目</w:t>
            </w:r>
            <w:r>
              <w:rPr>
                <w:rFonts w:hint="eastAsia" w:ascii="宋体" w:hAnsi="宋体"/>
                <w:color w:val="auto"/>
                <w:szCs w:val="21"/>
                <w:highlight w:val="none"/>
              </w:rPr>
              <w:t>(项目名称)</w:t>
            </w:r>
          </w:p>
        </w:tc>
        <w:tc>
          <w:tcPr>
            <w:tcW w:w="1327" w:type="dxa"/>
            <w:gridSpan w:val="2"/>
            <w:vAlign w:val="center"/>
          </w:tcPr>
          <w:p w14:paraId="63801B6E">
            <w:pPr>
              <w:spacing w:line="440" w:lineRule="exact"/>
              <w:rPr>
                <w:rFonts w:ascii="宋体" w:hAnsi="宋体"/>
                <w:color w:val="auto"/>
                <w:szCs w:val="21"/>
                <w:highlight w:val="none"/>
              </w:rPr>
            </w:pPr>
            <w:r>
              <w:rPr>
                <w:rFonts w:hint="eastAsia" w:ascii="宋体" w:hAnsi="宋体"/>
                <w:color w:val="auto"/>
                <w:szCs w:val="21"/>
                <w:highlight w:val="none"/>
              </w:rPr>
              <w:t>合同金额（万元）</w:t>
            </w:r>
          </w:p>
        </w:tc>
        <w:tc>
          <w:tcPr>
            <w:tcW w:w="1097" w:type="dxa"/>
            <w:vAlign w:val="center"/>
          </w:tcPr>
          <w:p w14:paraId="4272FDCC">
            <w:pPr>
              <w:spacing w:line="440" w:lineRule="exact"/>
              <w:rPr>
                <w:rFonts w:ascii="宋体" w:hAnsi="宋体"/>
                <w:color w:val="auto"/>
                <w:szCs w:val="21"/>
                <w:highlight w:val="none"/>
              </w:rPr>
            </w:pPr>
            <w:r>
              <w:rPr>
                <w:rFonts w:ascii="宋体" w:hAnsi="宋体"/>
                <w:color w:val="auto"/>
                <w:szCs w:val="21"/>
                <w:highlight w:val="none"/>
              </w:rPr>
              <w:t>担任职务</w:t>
            </w:r>
          </w:p>
        </w:tc>
        <w:tc>
          <w:tcPr>
            <w:tcW w:w="2460" w:type="dxa"/>
            <w:gridSpan w:val="2"/>
            <w:vAlign w:val="center"/>
          </w:tcPr>
          <w:p w14:paraId="7AFD17D1">
            <w:pPr>
              <w:spacing w:line="440" w:lineRule="exact"/>
              <w:rPr>
                <w:rFonts w:ascii="宋体" w:hAnsi="宋体"/>
                <w:color w:val="auto"/>
                <w:szCs w:val="21"/>
                <w:highlight w:val="none"/>
              </w:rPr>
            </w:pPr>
            <w:r>
              <w:rPr>
                <w:rFonts w:hint="eastAsia" w:ascii="宋体" w:hAnsi="宋体"/>
                <w:color w:val="auto"/>
                <w:szCs w:val="21"/>
                <w:highlight w:val="none"/>
              </w:rPr>
              <w:t>甲方联系人</w:t>
            </w:r>
            <w:r>
              <w:rPr>
                <w:rFonts w:ascii="宋体" w:hAnsi="宋体"/>
                <w:color w:val="auto"/>
                <w:szCs w:val="21"/>
                <w:highlight w:val="none"/>
              </w:rPr>
              <w:t>及联系电话</w:t>
            </w:r>
          </w:p>
        </w:tc>
      </w:tr>
      <w:tr w14:paraId="77A1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6B62637D">
            <w:pPr>
              <w:spacing w:line="440" w:lineRule="exact"/>
              <w:rPr>
                <w:rFonts w:eastAsia="黑体"/>
                <w:color w:val="auto"/>
                <w:szCs w:val="21"/>
                <w:highlight w:val="none"/>
              </w:rPr>
            </w:pPr>
          </w:p>
        </w:tc>
        <w:tc>
          <w:tcPr>
            <w:tcW w:w="938" w:type="dxa"/>
            <w:gridSpan w:val="2"/>
          </w:tcPr>
          <w:p w14:paraId="57A50DC2">
            <w:pPr>
              <w:spacing w:line="440" w:lineRule="exact"/>
              <w:rPr>
                <w:rFonts w:eastAsia="黑体"/>
                <w:color w:val="auto"/>
                <w:szCs w:val="21"/>
                <w:highlight w:val="none"/>
              </w:rPr>
            </w:pPr>
          </w:p>
        </w:tc>
        <w:tc>
          <w:tcPr>
            <w:tcW w:w="1687" w:type="dxa"/>
            <w:gridSpan w:val="3"/>
          </w:tcPr>
          <w:p w14:paraId="57F29632">
            <w:pPr>
              <w:spacing w:line="440" w:lineRule="exact"/>
              <w:rPr>
                <w:rFonts w:eastAsia="黑体"/>
                <w:color w:val="auto"/>
                <w:szCs w:val="21"/>
                <w:highlight w:val="none"/>
              </w:rPr>
            </w:pPr>
          </w:p>
        </w:tc>
        <w:tc>
          <w:tcPr>
            <w:tcW w:w="1327" w:type="dxa"/>
            <w:gridSpan w:val="2"/>
          </w:tcPr>
          <w:p w14:paraId="04C7F7FB">
            <w:pPr>
              <w:spacing w:line="440" w:lineRule="exact"/>
              <w:rPr>
                <w:rFonts w:eastAsia="黑体"/>
                <w:color w:val="auto"/>
                <w:szCs w:val="21"/>
                <w:highlight w:val="none"/>
              </w:rPr>
            </w:pPr>
          </w:p>
        </w:tc>
        <w:tc>
          <w:tcPr>
            <w:tcW w:w="1097" w:type="dxa"/>
          </w:tcPr>
          <w:p w14:paraId="1C6D923A">
            <w:pPr>
              <w:spacing w:line="440" w:lineRule="exact"/>
              <w:rPr>
                <w:rFonts w:eastAsia="黑体"/>
                <w:color w:val="auto"/>
                <w:szCs w:val="21"/>
                <w:highlight w:val="none"/>
              </w:rPr>
            </w:pPr>
          </w:p>
        </w:tc>
        <w:tc>
          <w:tcPr>
            <w:tcW w:w="2460" w:type="dxa"/>
            <w:gridSpan w:val="2"/>
          </w:tcPr>
          <w:p w14:paraId="33C7D380">
            <w:pPr>
              <w:spacing w:line="440" w:lineRule="exact"/>
              <w:rPr>
                <w:rFonts w:eastAsia="黑体"/>
                <w:color w:val="auto"/>
                <w:szCs w:val="21"/>
                <w:highlight w:val="none"/>
              </w:rPr>
            </w:pPr>
          </w:p>
        </w:tc>
      </w:tr>
      <w:tr w14:paraId="5C3E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30927219">
            <w:pPr>
              <w:spacing w:line="440" w:lineRule="exact"/>
              <w:rPr>
                <w:rFonts w:eastAsia="黑体"/>
                <w:color w:val="auto"/>
                <w:szCs w:val="21"/>
                <w:highlight w:val="none"/>
              </w:rPr>
            </w:pPr>
          </w:p>
        </w:tc>
        <w:tc>
          <w:tcPr>
            <w:tcW w:w="938" w:type="dxa"/>
            <w:gridSpan w:val="2"/>
          </w:tcPr>
          <w:p w14:paraId="4F6552F0">
            <w:pPr>
              <w:spacing w:line="440" w:lineRule="exact"/>
              <w:rPr>
                <w:rFonts w:eastAsia="黑体"/>
                <w:color w:val="auto"/>
                <w:szCs w:val="21"/>
                <w:highlight w:val="none"/>
              </w:rPr>
            </w:pPr>
          </w:p>
        </w:tc>
        <w:tc>
          <w:tcPr>
            <w:tcW w:w="1687" w:type="dxa"/>
            <w:gridSpan w:val="3"/>
          </w:tcPr>
          <w:p w14:paraId="41DCE7CC">
            <w:pPr>
              <w:spacing w:line="440" w:lineRule="exact"/>
              <w:rPr>
                <w:rFonts w:eastAsia="黑体"/>
                <w:color w:val="auto"/>
                <w:szCs w:val="21"/>
                <w:highlight w:val="none"/>
              </w:rPr>
            </w:pPr>
          </w:p>
        </w:tc>
        <w:tc>
          <w:tcPr>
            <w:tcW w:w="1327" w:type="dxa"/>
            <w:gridSpan w:val="2"/>
          </w:tcPr>
          <w:p w14:paraId="781AD206">
            <w:pPr>
              <w:spacing w:line="440" w:lineRule="exact"/>
              <w:rPr>
                <w:rFonts w:eastAsia="黑体"/>
                <w:color w:val="auto"/>
                <w:szCs w:val="21"/>
                <w:highlight w:val="none"/>
              </w:rPr>
            </w:pPr>
          </w:p>
        </w:tc>
        <w:tc>
          <w:tcPr>
            <w:tcW w:w="1097" w:type="dxa"/>
          </w:tcPr>
          <w:p w14:paraId="203329FA">
            <w:pPr>
              <w:spacing w:line="440" w:lineRule="exact"/>
              <w:rPr>
                <w:rFonts w:eastAsia="黑体"/>
                <w:color w:val="auto"/>
                <w:szCs w:val="21"/>
                <w:highlight w:val="none"/>
              </w:rPr>
            </w:pPr>
          </w:p>
        </w:tc>
        <w:tc>
          <w:tcPr>
            <w:tcW w:w="2460" w:type="dxa"/>
            <w:gridSpan w:val="2"/>
          </w:tcPr>
          <w:p w14:paraId="2EBBBFE7">
            <w:pPr>
              <w:spacing w:line="440" w:lineRule="exact"/>
              <w:rPr>
                <w:rFonts w:eastAsia="黑体"/>
                <w:color w:val="auto"/>
                <w:szCs w:val="21"/>
                <w:highlight w:val="none"/>
              </w:rPr>
            </w:pPr>
          </w:p>
        </w:tc>
      </w:tr>
      <w:tr w14:paraId="4932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1BA253ED">
            <w:pPr>
              <w:spacing w:line="440" w:lineRule="exact"/>
              <w:rPr>
                <w:rFonts w:eastAsia="黑体"/>
                <w:color w:val="auto"/>
                <w:szCs w:val="21"/>
                <w:highlight w:val="none"/>
              </w:rPr>
            </w:pPr>
          </w:p>
        </w:tc>
        <w:tc>
          <w:tcPr>
            <w:tcW w:w="938" w:type="dxa"/>
            <w:gridSpan w:val="2"/>
          </w:tcPr>
          <w:p w14:paraId="613A01B3">
            <w:pPr>
              <w:spacing w:line="440" w:lineRule="exact"/>
              <w:rPr>
                <w:rFonts w:eastAsia="黑体"/>
                <w:color w:val="auto"/>
                <w:szCs w:val="21"/>
                <w:highlight w:val="none"/>
              </w:rPr>
            </w:pPr>
          </w:p>
        </w:tc>
        <w:tc>
          <w:tcPr>
            <w:tcW w:w="1687" w:type="dxa"/>
            <w:gridSpan w:val="3"/>
          </w:tcPr>
          <w:p w14:paraId="5F89718B">
            <w:pPr>
              <w:spacing w:line="440" w:lineRule="exact"/>
              <w:rPr>
                <w:rFonts w:eastAsia="黑体"/>
                <w:color w:val="auto"/>
                <w:szCs w:val="21"/>
                <w:highlight w:val="none"/>
              </w:rPr>
            </w:pPr>
          </w:p>
        </w:tc>
        <w:tc>
          <w:tcPr>
            <w:tcW w:w="1327" w:type="dxa"/>
            <w:gridSpan w:val="2"/>
          </w:tcPr>
          <w:p w14:paraId="5687CB70">
            <w:pPr>
              <w:spacing w:line="440" w:lineRule="exact"/>
              <w:rPr>
                <w:rFonts w:eastAsia="黑体"/>
                <w:color w:val="auto"/>
                <w:szCs w:val="21"/>
                <w:highlight w:val="none"/>
              </w:rPr>
            </w:pPr>
          </w:p>
        </w:tc>
        <w:tc>
          <w:tcPr>
            <w:tcW w:w="1097" w:type="dxa"/>
          </w:tcPr>
          <w:p w14:paraId="75D3296E">
            <w:pPr>
              <w:spacing w:line="440" w:lineRule="exact"/>
              <w:rPr>
                <w:rFonts w:eastAsia="黑体"/>
                <w:color w:val="auto"/>
                <w:szCs w:val="21"/>
                <w:highlight w:val="none"/>
              </w:rPr>
            </w:pPr>
          </w:p>
        </w:tc>
        <w:tc>
          <w:tcPr>
            <w:tcW w:w="2460" w:type="dxa"/>
            <w:gridSpan w:val="2"/>
          </w:tcPr>
          <w:p w14:paraId="5A433CE8">
            <w:pPr>
              <w:spacing w:line="440" w:lineRule="exact"/>
              <w:rPr>
                <w:rFonts w:eastAsia="黑体"/>
                <w:color w:val="auto"/>
                <w:szCs w:val="21"/>
                <w:highlight w:val="none"/>
              </w:rPr>
            </w:pPr>
          </w:p>
        </w:tc>
      </w:tr>
      <w:tr w14:paraId="302B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36721879">
            <w:pPr>
              <w:spacing w:line="440" w:lineRule="exact"/>
              <w:rPr>
                <w:rFonts w:eastAsia="黑体"/>
                <w:color w:val="auto"/>
                <w:szCs w:val="21"/>
                <w:highlight w:val="none"/>
              </w:rPr>
            </w:pPr>
          </w:p>
        </w:tc>
        <w:tc>
          <w:tcPr>
            <w:tcW w:w="938" w:type="dxa"/>
            <w:gridSpan w:val="2"/>
          </w:tcPr>
          <w:p w14:paraId="050EB772">
            <w:pPr>
              <w:spacing w:line="440" w:lineRule="exact"/>
              <w:rPr>
                <w:rFonts w:eastAsia="黑体"/>
                <w:color w:val="auto"/>
                <w:szCs w:val="21"/>
                <w:highlight w:val="none"/>
              </w:rPr>
            </w:pPr>
          </w:p>
        </w:tc>
        <w:tc>
          <w:tcPr>
            <w:tcW w:w="1687" w:type="dxa"/>
            <w:gridSpan w:val="3"/>
          </w:tcPr>
          <w:p w14:paraId="760E86A7">
            <w:pPr>
              <w:spacing w:line="440" w:lineRule="exact"/>
              <w:rPr>
                <w:rFonts w:eastAsia="黑体"/>
                <w:color w:val="auto"/>
                <w:szCs w:val="21"/>
                <w:highlight w:val="none"/>
              </w:rPr>
            </w:pPr>
          </w:p>
        </w:tc>
        <w:tc>
          <w:tcPr>
            <w:tcW w:w="1327" w:type="dxa"/>
            <w:gridSpan w:val="2"/>
          </w:tcPr>
          <w:p w14:paraId="7508A625">
            <w:pPr>
              <w:spacing w:line="440" w:lineRule="exact"/>
              <w:rPr>
                <w:rFonts w:eastAsia="黑体"/>
                <w:color w:val="auto"/>
                <w:szCs w:val="21"/>
                <w:highlight w:val="none"/>
              </w:rPr>
            </w:pPr>
          </w:p>
        </w:tc>
        <w:tc>
          <w:tcPr>
            <w:tcW w:w="1097" w:type="dxa"/>
          </w:tcPr>
          <w:p w14:paraId="69708FEA">
            <w:pPr>
              <w:spacing w:line="440" w:lineRule="exact"/>
              <w:rPr>
                <w:rFonts w:eastAsia="黑体"/>
                <w:color w:val="auto"/>
                <w:szCs w:val="21"/>
                <w:highlight w:val="none"/>
              </w:rPr>
            </w:pPr>
          </w:p>
        </w:tc>
        <w:tc>
          <w:tcPr>
            <w:tcW w:w="2460" w:type="dxa"/>
            <w:gridSpan w:val="2"/>
          </w:tcPr>
          <w:p w14:paraId="486DA776">
            <w:pPr>
              <w:spacing w:line="440" w:lineRule="exact"/>
              <w:rPr>
                <w:rFonts w:eastAsia="黑体"/>
                <w:color w:val="auto"/>
                <w:szCs w:val="21"/>
                <w:highlight w:val="none"/>
              </w:rPr>
            </w:pPr>
          </w:p>
        </w:tc>
      </w:tr>
      <w:tr w14:paraId="792A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4269C8D7">
            <w:pPr>
              <w:spacing w:line="440" w:lineRule="exact"/>
              <w:rPr>
                <w:rFonts w:eastAsia="黑体"/>
                <w:color w:val="auto"/>
                <w:szCs w:val="21"/>
                <w:highlight w:val="none"/>
              </w:rPr>
            </w:pPr>
          </w:p>
        </w:tc>
        <w:tc>
          <w:tcPr>
            <w:tcW w:w="938" w:type="dxa"/>
            <w:gridSpan w:val="2"/>
          </w:tcPr>
          <w:p w14:paraId="77CF5758">
            <w:pPr>
              <w:spacing w:line="440" w:lineRule="exact"/>
              <w:rPr>
                <w:rFonts w:eastAsia="黑体"/>
                <w:color w:val="auto"/>
                <w:szCs w:val="21"/>
                <w:highlight w:val="none"/>
              </w:rPr>
            </w:pPr>
          </w:p>
        </w:tc>
        <w:tc>
          <w:tcPr>
            <w:tcW w:w="1687" w:type="dxa"/>
            <w:gridSpan w:val="3"/>
          </w:tcPr>
          <w:p w14:paraId="593E357C">
            <w:pPr>
              <w:spacing w:line="440" w:lineRule="exact"/>
              <w:rPr>
                <w:rFonts w:eastAsia="黑体"/>
                <w:color w:val="auto"/>
                <w:szCs w:val="21"/>
                <w:highlight w:val="none"/>
              </w:rPr>
            </w:pPr>
          </w:p>
        </w:tc>
        <w:tc>
          <w:tcPr>
            <w:tcW w:w="1327" w:type="dxa"/>
            <w:gridSpan w:val="2"/>
          </w:tcPr>
          <w:p w14:paraId="3BB9DB71">
            <w:pPr>
              <w:spacing w:line="440" w:lineRule="exact"/>
              <w:rPr>
                <w:rFonts w:eastAsia="黑体"/>
                <w:color w:val="auto"/>
                <w:szCs w:val="21"/>
                <w:highlight w:val="none"/>
              </w:rPr>
            </w:pPr>
          </w:p>
        </w:tc>
        <w:tc>
          <w:tcPr>
            <w:tcW w:w="1097" w:type="dxa"/>
          </w:tcPr>
          <w:p w14:paraId="303CC4AB">
            <w:pPr>
              <w:spacing w:line="440" w:lineRule="exact"/>
              <w:rPr>
                <w:rFonts w:eastAsia="黑体"/>
                <w:color w:val="auto"/>
                <w:szCs w:val="21"/>
                <w:highlight w:val="none"/>
              </w:rPr>
            </w:pPr>
          </w:p>
        </w:tc>
        <w:tc>
          <w:tcPr>
            <w:tcW w:w="2460" w:type="dxa"/>
            <w:gridSpan w:val="2"/>
          </w:tcPr>
          <w:p w14:paraId="2E486F8F">
            <w:pPr>
              <w:spacing w:line="440" w:lineRule="exact"/>
              <w:rPr>
                <w:rFonts w:eastAsia="黑体"/>
                <w:color w:val="auto"/>
                <w:szCs w:val="21"/>
                <w:highlight w:val="none"/>
              </w:rPr>
            </w:pPr>
          </w:p>
        </w:tc>
      </w:tr>
      <w:tr w14:paraId="0A72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11F2970E">
            <w:pPr>
              <w:spacing w:line="440" w:lineRule="exact"/>
              <w:rPr>
                <w:rFonts w:eastAsia="黑体"/>
                <w:color w:val="auto"/>
                <w:szCs w:val="21"/>
                <w:highlight w:val="none"/>
              </w:rPr>
            </w:pPr>
          </w:p>
        </w:tc>
        <w:tc>
          <w:tcPr>
            <w:tcW w:w="938" w:type="dxa"/>
            <w:gridSpan w:val="2"/>
          </w:tcPr>
          <w:p w14:paraId="68D2C917">
            <w:pPr>
              <w:spacing w:line="440" w:lineRule="exact"/>
              <w:rPr>
                <w:rFonts w:eastAsia="黑体"/>
                <w:color w:val="auto"/>
                <w:szCs w:val="21"/>
                <w:highlight w:val="none"/>
              </w:rPr>
            </w:pPr>
          </w:p>
        </w:tc>
        <w:tc>
          <w:tcPr>
            <w:tcW w:w="1687" w:type="dxa"/>
            <w:gridSpan w:val="3"/>
          </w:tcPr>
          <w:p w14:paraId="65D28104">
            <w:pPr>
              <w:spacing w:line="440" w:lineRule="exact"/>
              <w:rPr>
                <w:rFonts w:eastAsia="黑体"/>
                <w:color w:val="auto"/>
                <w:szCs w:val="21"/>
                <w:highlight w:val="none"/>
              </w:rPr>
            </w:pPr>
          </w:p>
        </w:tc>
        <w:tc>
          <w:tcPr>
            <w:tcW w:w="1327" w:type="dxa"/>
            <w:gridSpan w:val="2"/>
          </w:tcPr>
          <w:p w14:paraId="6C8F4158">
            <w:pPr>
              <w:spacing w:line="440" w:lineRule="exact"/>
              <w:rPr>
                <w:rFonts w:eastAsia="黑体"/>
                <w:color w:val="auto"/>
                <w:szCs w:val="21"/>
                <w:highlight w:val="none"/>
              </w:rPr>
            </w:pPr>
          </w:p>
        </w:tc>
        <w:tc>
          <w:tcPr>
            <w:tcW w:w="1097" w:type="dxa"/>
          </w:tcPr>
          <w:p w14:paraId="21037B97">
            <w:pPr>
              <w:spacing w:line="440" w:lineRule="exact"/>
              <w:rPr>
                <w:rFonts w:eastAsia="黑体"/>
                <w:color w:val="auto"/>
                <w:szCs w:val="21"/>
                <w:highlight w:val="none"/>
              </w:rPr>
            </w:pPr>
          </w:p>
        </w:tc>
        <w:tc>
          <w:tcPr>
            <w:tcW w:w="2460" w:type="dxa"/>
            <w:gridSpan w:val="2"/>
          </w:tcPr>
          <w:p w14:paraId="58CAE590">
            <w:pPr>
              <w:spacing w:line="440" w:lineRule="exact"/>
              <w:rPr>
                <w:rFonts w:eastAsia="黑体"/>
                <w:color w:val="auto"/>
                <w:szCs w:val="21"/>
                <w:highlight w:val="none"/>
              </w:rPr>
            </w:pPr>
          </w:p>
        </w:tc>
      </w:tr>
      <w:tr w14:paraId="6934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5AE0761C">
            <w:pPr>
              <w:spacing w:line="440" w:lineRule="exact"/>
              <w:rPr>
                <w:rFonts w:eastAsia="黑体"/>
                <w:color w:val="auto"/>
                <w:szCs w:val="21"/>
                <w:highlight w:val="none"/>
              </w:rPr>
            </w:pPr>
          </w:p>
        </w:tc>
        <w:tc>
          <w:tcPr>
            <w:tcW w:w="938" w:type="dxa"/>
            <w:gridSpan w:val="2"/>
          </w:tcPr>
          <w:p w14:paraId="294AE6FC">
            <w:pPr>
              <w:spacing w:line="440" w:lineRule="exact"/>
              <w:rPr>
                <w:rFonts w:eastAsia="黑体"/>
                <w:color w:val="auto"/>
                <w:szCs w:val="21"/>
                <w:highlight w:val="none"/>
              </w:rPr>
            </w:pPr>
          </w:p>
        </w:tc>
        <w:tc>
          <w:tcPr>
            <w:tcW w:w="1687" w:type="dxa"/>
            <w:gridSpan w:val="3"/>
          </w:tcPr>
          <w:p w14:paraId="7021F012">
            <w:pPr>
              <w:spacing w:line="440" w:lineRule="exact"/>
              <w:rPr>
                <w:rFonts w:eastAsia="黑体"/>
                <w:color w:val="auto"/>
                <w:szCs w:val="21"/>
                <w:highlight w:val="none"/>
              </w:rPr>
            </w:pPr>
          </w:p>
        </w:tc>
        <w:tc>
          <w:tcPr>
            <w:tcW w:w="1327" w:type="dxa"/>
            <w:gridSpan w:val="2"/>
          </w:tcPr>
          <w:p w14:paraId="70FE563F">
            <w:pPr>
              <w:spacing w:line="440" w:lineRule="exact"/>
              <w:rPr>
                <w:rFonts w:eastAsia="黑体"/>
                <w:color w:val="auto"/>
                <w:szCs w:val="21"/>
                <w:highlight w:val="none"/>
              </w:rPr>
            </w:pPr>
          </w:p>
        </w:tc>
        <w:tc>
          <w:tcPr>
            <w:tcW w:w="1097" w:type="dxa"/>
          </w:tcPr>
          <w:p w14:paraId="0C160075">
            <w:pPr>
              <w:spacing w:line="440" w:lineRule="exact"/>
              <w:rPr>
                <w:rFonts w:eastAsia="黑体"/>
                <w:color w:val="auto"/>
                <w:szCs w:val="21"/>
                <w:highlight w:val="none"/>
              </w:rPr>
            </w:pPr>
          </w:p>
        </w:tc>
        <w:tc>
          <w:tcPr>
            <w:tcW w:w="2460" w:type="dxa"/>
            <w:gridSpan w:val="2"/>
          </w:tcPr>
          <w:p w14:paraId="210848FA">
            <w:pPr>
              <w:spacing w:line="440" w:lineRule="exact"/>
              <w:rPr>
                <w:rFonts w:eastAsia="黑体"/>
                <w:color w:val="auto"/>
                <w:szCs w:val="21"/>
                <w:highlight w:val="none"/>
              </w:rPr>
            </w:pPr>
          </w:p>
        </w:tc>
      </w:tr>
      <w:tr w14:paraId="04CE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4F71781D">
            <w:pPr>
              <w:spacing w:line="440" w:lineRule="exact"/>
              <w:rPr>
                <w:rFonts w:eastAsia="黑体"/>
                <w:color w:val="auto"/>
                <w:szCs w:val="21"/>
                <w:highlight w:val="none"/>
              </w:rPr>
            </w:pPr>
          </w:p>
        </w:tc>
        <w:tc>
          <w:tcPr>
            <w:tcW w:w="938" w:type="dxa"/>
            <w:gridSpan w:val="2"/>
          </w:tcPr>
          <w:p w14:paraId="4C7F0E75">
            <w:pPr>
              <w:spacing w:line="440" w:lineRule="exact"/>
              <w:rPr>
                <w:rFonts w:eastAsia="黑体"/>
                <w:color w:val="auto"/>
                <w:szCs w:val="21"/>
                <w:highlight w:val="none"/>
              </w:rPr>
            </w:pPr>
          </w:p>
        </w:tc>
        <w:tc>
          <w:tcPr>
            <w:tcW w:w="1687" w:type="dxa"/>
            <w:gridSpan w:val="3"/>
          </w:tcPr>
          <w:p w14:paraId="00622F96">
            <w:pPr>
              <w:spacing w:line="440" w:lineRule="exact"/>
              <w:rPr>
                <w:rFonts w:eastAsia="黑体"/>
                <w:color w:val="auto"/>
                <w:szCs w:val="21"/>
                <w:highlight w:val="none"/>
              </w:rPr>
            </w:pPr>
          </w:p>
        </w:tc>
        <w:tc>
          <w:tcPr>
            <w:tcW w:w="1327" w:type="dxa"/>
            <w:gridSpan w:val="2"/>
          </w:tcPr>
          <w:p w14:paraId="4AF29AAF">
            <w:pPr>
              <w:spacing w:line="440" w:lineRule="exact"/>
              <w:rPr>
                <w:rFonts w:eastAsia="黑体"/>
                <w:color w:val="auto"/>
                <w:szCs w:val="21"/>
                <w:highlight w:val="none"/>
              </w:rPr>
            </w:pPr>
          </w:p>
        </w:tc>
        <w:tc>
          <w:tcPr>
            <w:tcW w:w="1097" w:type="dxa"/>
          </w:tcPr>
          <w:p w14:paraId="61DA5970">
            <w:pPr>
              <w:spacing w:line="440" w:lineRule="exact"/>
              <w:rPr>
                <w:rFonts w:eastAsia="黑体"/>
                <w:color w:val="auto"/>
                <w:szCs w:val="21"/>
                <w:highlight w:val="none"/>
              </w:rPr>
            </w:pPr>
          </w:p>
        </w:tc>
        <w:tc>
          <w:tcPr>
            <w:tcW w:w="2460" w:type="dxa"/>
            <w:gridSpan w:val="2"/>
          </w:tcPr>
          <w:p w14:paraId="7677F2AC">
            <w:pPr>
              <w:spacing w:line="440" w:lineRule="exact"/>
              <w:rPr>
                <w:rFonts w:eastAsia="黑体"/>
                <w:color w:val="auto"/>
                <w:szCs w:val="21"/>
                <w:highlight w:val="none"/>
              </w:rPr>
            </w:pPr>
          </w:p>
        </w:tc>
      </w:tr>
      <w:tr w14:paraId="6584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67C780AF">
            <w:pPr>
              <w:spacing w:line="440" w:lineRule="exact"/>
              <w:rPr>
                <w:rFonts w:eastAsia="黑体"/>
                <w:color w:val="auto"/>
                <w:szCs w:val="21"/>
                <w:highlight w:val="none"/>
              </w:rPr>
            </w:pPr>
          </w:p>
        </w:tc>
        <w:tc>
          <w:tcPr>
            <w:tcW w:w="938" w:type="dxa"/>
            <w:gridSpan w:val="2"/>
          </w:tcPr>
          <w:p w14:paraId="42DE02C9">
            <w:pPr>
              <w:spacing w:line="440" w:lineRule="exact"/>
              <w:rPr>
                <w:rFonts w:eastAsia="黑体"/>
                <w:color w:val="auto"/>
                <w:szCs w:val="21"/>
                <w:highlight w:val="none"/>
              </w:rPr>
            </w:pPr>
          </w:p>
        </w:tc>
        <w:tc>
          <w:tcPr>
            <w:tcW w:w="1687" w:type="dxa"/>
            <w:gridSpan w:val="3"/>
          </w:tcPr>
          <w:p w14:paraId="4A8E30BB">
            <w:pPr>
              <w:spacing w:line="440" w:lineRule="exact"/>
              <w:rPr>
                <w:rFonts w:eastAsia="黑体"/>
                <w:color w:val="auto"/>
                <w:szCs w:val="21"/>
                <w:highlight w:val="none"/>
              </w:rPr>
            </w:pPr>
          </w:p>
        </w:tc>
        <w:tc>
          <w:tcPr>
            <w:tcW w:w="1327" w:type="dxa"/>
            <w:gridSpan w:val="2"/>
          </w:tcPr>
          <w:p w14:paraId="320B3880">
            <w:pPr>
              <w:spacing w:line="440" w:lineRule="exact"/>
              <w:rPr>
                <w:rFonts w:eastAsia="黑体"/>
                <w:color w:val="auto"/>
                <w:szCs w:val="21"/>
                <w:highlight w:val="none"/>
              </w:rPr>
            </w:pPr>
          </w:p>
        </w:tc>
        <w:tc>
          <w:tcPr>
            <w:tcW w:w="1097" w:type="dxa"/>
          </w:tcPr>
          <w:p w14:paraId="763CE233">
            <w:pPr>
              <w:spacing w:line="440" w:lineRule="exact"/>
              <w:rPr>
                <w:rFonts w:eastAsia="黑体"/>
                <w:color w:val="auto"/>
                <w:szCs w:val="21"/>
                <w:highlight w:val="none"/>
              </w:rPr>
            </w:pPr>
          </w:p>
        </w:tc>
        <w:tc>
          <w:tcPr>
            <w:tcW w:w="2460" w:type="dxa"/>
            <w:gridSpan w:val="2"/>
          </w:tcPr>
          <w:p w14:paraId="5BAB54D7">
            <w:pPr>
              <w:spacing w:line="440" w:lineRule="exact"/>
              <w:rPr>
                <w:rFonts w:eastAsia="黑体"/>
                <w:color w:val="auto"/>
                <w:szCs w:val="21"/>
                <w:highlight w:val="none"/>
              </w:rPr>
            </w:pPr>
          </w:p>
        </w:tc>
      </w:tr>
      <w:tr w14:paraId="1C34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14:paraId="166EF3B3">
            <w:pPr>
              <w:spacing w:line="440" w:lineRule="exact"/>
              <w:rPr>
                <w:rFonts w:eastAsia="黑体"/>
                <w:color w:val="auto"/>
                <w:szCs w:val="21"/>
                <w:highlight w:val="none"/>
              </w:rPr>
            </w:pPr>
          </w:p>
        </w:tc>
        <w:tc>
          <w:tcPr>
            <w:tcW w:w="938" w:type="dxa"/>
            <w:gridSpan w:val="2"/>
          </w:tcPr>
          <w:p w14:paraId="4183E46D">
            <w:pPr>
              <w:spacing w:line="440" w:lineRule="exact"/>
              <w:rPr>
                <w:rFonts w:eastAsia="黑体"/>
                <w:color w:val="auto"/>
                <w:szCs w:val="21"/>
                <w:highlight w:val="none"/>
              </w:rPr>
            </w:pPr>
          </w:p>
        </w:tc>
        <w:tc>
          <w:tcPr>
            <w:tcW w:w="1687" w:type="dxa"/>
            <w:gridSpan w:val="3"/>
          </w:tcPr>
          <w:p w14:paraId="1F868E1C">
            <w:pPr>
              <w:spacing w:line="440" w:lineRule="exact"/>
              <w:rPr>
                <w:rFonts w:eastAsia="黑体"/>
                <w:color w:val="auto"/>
                <w:szCs w:val="21"/>
                <w:highlight w:val="none"/>
              </w:rPr>
            </w:pPr>
          </w:p>
        </w:tc>
        <w:tc>
          <w:tcPr>
            <w:tcW w:w="1327" w:type="dxa"/>
            <w:gridSpan w:val="2"/>
          </w:tcPr>
          <w:p w14:paraId="3EB96BCB">
            <w:pPr>
              <w:spacing w:line="440" w:lineRule="exact"/>
              <w:rPr>
                <w:rFonts w:eastAsia="黑体"/>
                <w:color w:val="auto"/>
                <w:szCs w:val="21"/>
                <w:highlight w:val="none"/>
              </w:rPr>
            </w:pPr>
          </w:p>
        </w:tc>
        <w:tc>
          <w:tcPr>
            <w:tcW w:w="1097" w:type="dxa"/>
          </w:tcPr>
          <w:p w14:paraId="685F6489">
            <w:pPr>
              <w:spacing w:line="440" w:lineRule="exact"/>
              <w:rPr>
                <w:rFonts w:eastAsia="黑体"/>
                <w:color w:val="auto"/>
                <w:szCs w:val="21"/>
                <w:highlight w:val="none"/>
              </w:rPr>
            </w:pPr>
          </w:p>
        </w:tc>
        <w:tc>
          <w:tcPr>
            <w:tcW w:w="2460" w:type="dxa"/>
            <w:gridSpan w:val="2"/>
          </w:tcPr>
          <w:p w14:paraId="5935CB46">
            <w:pPr>
              <w:spacing w:line="440" w:lineRule="exact"/>
              <w:rPr>
                <w:rFonts w:eastAsia="黑体"/>
                <w:color w:val="auto"/>
                <w:szCs w:val="21"/>
                <w:highlight w:val="none"/>
              </w:rPr>
            </w:pPr>
          </w:p>
        </w:tc>
      </w:tr>
    </w:tbl>
    <w:p w14:paraId="779CF1BC">
      <w:pPr>
        <w:spacing w:line="440" w:lineRule="exact"/>
        <w:rPr>
          <w:color w:val="auto"/>
          <w:szCs w:val="21"/>
          <w:highlight w:val="none"/>
        </w:rPr>
      </w:pPr>
    </w:p>
    <w:p w14:paraId="22257D32">
      <w:pPr>
        <w:widowControl/>
        <w:jc w:val="left"/>
        <w:rPr>
          <w:color w:val="auto"/>
          <w:szCs w:val="21"/>
          <w:highlight w:val="none"/>
        </w:rPr>
      </w:pPr>
      <w:r>
        <w:rPr>
          <w:color w:val="auto"/>
          <w:szCs w:val="21"/>
          <w:highlight w:val="none"/>
        </w:rPr>
        <w:br w:type="page"/>
      </w:r>
    </w:p>
    <w:p w14:paraId="03C2F550">
      <w:pPr>
        <w:pStyle w:val="6"/>
        <w:jc w:val="center"/>
        <w:rPr>
          <w:rFonts w:ascii="黑体"/>
          <w:color w:val="auto"/>
          <w:highlight w:val="none"/>
        </w:rPr>
      </w:pPr>
      <w:bookmarkStart w:id="199" w:name="_Toc486425436"/>
      <w:bookmarkStart w:id="200" w:name="_Toc475483727"/>
      <w:bookmarkStart w:id="201" w:name="_Toc12349"/>
      <w:r>
        <w:rPr>
          <w:rFonts w:hint="eastAsia" w:ascii="黑体"/>
          <w:color w:val="auto"/>
          <w:highlight w:val="none"/>
        </w:rPr>
        <w:t>八、</w:t>
      </w:r>
      <w:r>
        <w:rPr>
          <w:color w:val="auto"/>
          <w:highlight w:val="none"/>
        </w:rPr>
        <w:fldChar w:fldCharType="begin" w:fldLock="1"/>
      </w:r>
      <w:r>
        <w:rPr>
          <w:color w:val="auto"/>
          <w:highlight w:val="none"/>
        </w:rPr>
        <w:instrText xml:space="preserve"> HYPERLINK \l "_Toc338661813" </w:instrText>
      </w:r>
      <w:r>
        <w:rPr>
          <w:color w:val="auto"/>
          <w:highlight w:val="none"/>
        </w:rPr>
        <w:fldChar w:fldCharType="separate"/>
      </w:r>
      <w:r>
        <w:rPr>
          <w:rFonts w:hint="eastAsia" w:ascii="黑体"/>
          <w:b w:val="0"/>
          <w:color w:val="auto"/>
          <w:highlight w:val="none"/>
        </w:rPr>
        <w:t>实质性条款偏离表</w:t>
      </w:r>
      <w:bookmarkEnd w:id="199"/>
      <w:bookmarkEnd w:id="200"/>
      <w:r>
        <w:rPr>
          <w:rFonts w:hint="eastAsia" w:ascii="黑体"/>
          <w:b w:val="0"/>
          <w:color w:val="auto"/>
          <w:highlight w:val="none"/>
        </w:rPr>
        <w:fldChar w:fldCharType="end"/>
      </w:r>
      <w:bookmarkEnd w:id="201"/>
    </w:p>
    <w:p w14:paraId="2AA6D503">
      <w:pPr>
        <w:rPr>
          <w:color w:val="auto"/>
          <w:highlight w:val="non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项目编号：</w:t>
      </w:r>
      <w:r>
        <w:rPr>
          <w:rFonts w:hint="eastAsia"/>
          <w:color w:val="auto"/>
          <w:highlight w:val="none"/>
          <w:u w:val="single"/>
        </w:rPr>
        <w:t xml:space="preserve">              </w:t>
      </w:r>
      <w:r>
        <w:rPr>
          <w:rFonts w:hint="eastAsia"/>
          <w:color w:val="auto"/>
          <w:highlight w:val="none"/>
          <w:u w:val="none"/>
        </w:rPr>
        <w:t xml:space="preserve"> </w:t>
      </w:r>
      <w:r>
        <w:rPr>
          <w:rFonts w:hint="eastAsia"/>
          <w:color w:val="auto"/>
          <w:highlight w:val="none"/>
          <w:u w:val="none"/>
          <w:lang w:val="en-US" w:eastAsia="zh-CN"/>
        </w:rPr>
        <w:t xml:space="preserve">  </w:t>
      </w:r>
      <w:r>
        <w:rPr>
          <w:rFonts w:hint="eastAsia"/>
          <w:color w:val="auto"/>
          <w:szCs w:val="21"/>
          <w:highlight w:val="none"/>
          <w:u w:val="single"/>
        </w:rPr>
        <w:t xml:space="preserve">标包：  </w:t>
      </w:r>
    </w:p>
    <w:tbl>
      <w:tblPr>
        <w:tblStyle w:val="3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14:paraId="0615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C479A1F">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14:paraId="19320F51">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竞争性谈判文件条目号</w:t>
            </w:r>
          </w:p>
        </w:tc>
        <w:tc>
          <w:tcPr>
            <w:tcW w:w="2126" w:type="dxa"/>
            <w:vAlign w:val="center"/>
          </w:tcPr>
          <w:p w14:paraId="3721754C">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w:t>
            </w:r>
            <w:r>
              <w:rPr>
                <w:rFonts w:hint="eastAsia" w:ascii="宋体" w:hAnsi="宋体" w:cs="宋体"/>
                <w:color w:val="auto"/>
                <w:szCs w:val="21"/>
                <w:highlight w:val="none"/>
              </w:rPr>
              <w:t>“</w:t>
            </w:r>
            <w:r>
              <w:rPr>
                <w:rFonts w:eastAsia="黑体"/>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kern w:val="0"/>
                <w:szCs w:val="21"/>
                <w:highlight w:val="none"/>
              </w:rPr>
              <w:t>条款</w:t>
            </w:r>
          </w:p>
        </w:tc>
        <w:tc>
          <w:tcPr>
            <w:tcW w:w="2694" w:type="dxa"/>
            <w:vAlign w:val="center"/>
          </w:tcPr>
          <w:p w14:paraId="4BE0A006">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竞争性谈判响应文件偏离情况</w:t>
            </w:r>
          </w:p>
          <w:p w14:paraId="2A22BABD">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（正偏离/负偏离/无偏离）</w:t>
            </w:r>
          </w:p>
        </w:tc>
        <w:tc>
          <w:tcPr>
            <w:tcW w:w="1134" w:type="dxa"/>
            <w:vAlign w:val="center"/>
          </w:tcPr>
          <w:p w14:paraId="49748C95">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说明</w:t>
            </w:r>
          </w:p>
        </w:tc>
      </w:tr>
      <w:tr w14:paraId="33C3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52CFD65D">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53D37104">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0A491373">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2E7FD36C">
            <w:pPr>
              <w:widowControl/>
              <w:snapToGrid w:val="0"/>
              <w:spacing w:before="156" w:beforeLines="50"/>
              <w:jc w:val="center"/>
              <w:rPr>
                <w:rFonts w:ascii="宋体" w:hAnsi="宋体"/>
                <w:color w:val="auto"/>
                <w:kern w:val="0"/>
                <w:szCs w:val="21"/>
                <w:highlight w:val="none"/>
              </w:rPr>
            </w:pPr>
          </w:p>
        </w:tc>
        <w:tc>
          <w:tcPr>
            <w:tcW w:w="1134" w:type="dxa"/>
            <w:vAlign w:val="center"/>
          </w:tcPr>
          <w:p w14:paraId="78AB3F1F">
            <w:pPr>
              <w:widowControl/>
              <w:snapToGrid w:val="0"/>
              <w:spacing w:before="156" w:beforeLines="50"/>
              <w:jc w:val="center"/>
              <w:rPr>
                <w:rFonts w:ascii="宋体" w:hAnsi="宋体"/>
                <w:color w:val="auto"/>
                <w:kern w:val="0"/>
                <w:szCs w:val="21"/>
                <w:highlight w:val="none"/>
              </w:rPr>
            </w:pPr>
          </w:p>
        </w:tc>
      </w:tr>
      <w:tr w14:paraId="1197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768C5D46">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5F0488CC">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1C6684FE">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6A0CCD90">
            <w:pPr>
              <w:widowControl/>
              <w:snapToGrid w:val="0"/>
              <w:spacing w:before="156" w:beforeLines="50"/>
              <w:jc w:val="center"/>
              <w:rPr>
                <w:rFonts w:ascii="宋体" w:hAnsi="宋体"/>
                <w:color w:val="auto"/>
                <w:kern w:val="0"/>
                <w:szCs w:val="21"/>
                <w:highlight w:val="none"/>
              </w:rPr>
            </w:pPr>
          </w:p>
        </w:tc>
        <w:tc>
          <w:tcPr>
            <w:tcW w:w="1134" w:type="dxa"/>
            <w:vAlign w:val="center"/>
          </w:tcPr>
          <w:p w14:paraId="66AF4791">
            <w:pPr>
              <w:widowControl/>
              <w:snapToGrid w:val="0"/>
              <w:spacing w:before="156" w:beforeLines="50"/>
              <w:jc w:val="center"/>
              <w:rPr>
                <w:rFonts w:ascii="宋体" w:hAnsi="宋体"/>
                <w:color w:val="auto"/>
                <w:kern w:val="0"/>
                <w:szCs w:val="21"/>
                <w:highlight w:val="none"/>
              </w:rPr>
            </w:pPr>
          </w:p>
        </w:tc>
      </w:tr>
      <w:tr w14:paraId="6980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26C2C8F2">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00506A29">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3F42695F">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4BE9BA97">
            <w:pPr>
              <w:widowControl/>
              <w:snapToGrid w:val="0"/>
              <w:spacing w:before="156" w:beforeLines="50"/>
              <w:jc w:val="center"/>
              <w:rPr>
                <w:rFonts w:ascii="宋体" w:hAnsi="宋体"/>
                <w:color w:val="auto"/>
                <w:kern w:val="0"/>
                <w:szCs w:val="21"/>
                <w:highlight w:val="none"/>
              </w:rPr>
            </w:pPr>
          </w:p>
        </w:tc>
        <w:tc>
          <w:tcPr>
            <w:tcW w:w="1134" w:type="dxa"/>
            <w:vAlign w:val="center"/>
          </w:tcPr>
          <w:p w14:paraId="596E99D4">
            <w:pPr>
              <w:widowControl/>
              <w:snapToGrid w:val="0"/>
              <w:spacing w:before="156" w:beforeLines="50"/>
              <w:jc w:val="center"/>
              <w:rPr>
                <w:rFonts w:ascii="宋体" w:hAnsi="宋体"/>
                <w:color w:val="auto"/>
                <w:kern w:val="0"/>
                <w:szCs w:val="21"/>
                <w:highlight w:val="none"/>
              </w:rPr>
            </w:pPr>
          </w:p>
        </w:tc>
      </w:tr>
    </w:tbl>
    <w:p w14:paraId="5FE96429">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注：1.响应人应当逐条对照竞争性谈判通知书</w:t>
      </w:r>
      <w:r>
        <w:rPr>
          <w:rFonts w:hint="eastAsia" w:ascii="宋体" w:hAnsi="宋体" w:cs="宋体"/>
          <w:color w:val="auto"/>
          <w:szCs w:val="21"/>
          <w:highlight w:val="none"/>
        </w:rPr>
        <w:t>“</w:t>
      </w:r>
      <w:r>
        <w:rPr>
          <w:rFonts w:eastAsia="黑体"/>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kern w:val="0"/>
          <w:szCs w:val="21"/>
          <w:highlight w:val="none"/>
        </w:rPr>
        <w:t>条款内容</w:t>
      </w:r>
      <w:r>
        <w:rPr>
          <w:rFonts w:hint="eastAsia" w:ascii="宋体" w:hAnsi="宋体"/>
          <w:color w:val="auto"/>
          <w:szCs w:val="21"/>
          <w:highlight w:val="none"/>
        </w:rPr>
        <w:t>，就竞争性谈判响应文件对实质性条款存在的偏差与例外逐条做出说明；</w:t>
      </w:r>
    </w:p>
    <w:p w14:paraId="7AB34B22">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2.如竞争性谈判响应文件对合同条款无任何偏差，响应人仅需在本偏离表中填写“无偏离”即可。</w:t>
      </w:r>
    </w:p>
    <w:p w14:paraId="110A28C5">
      <w:pPr>
        <w:spacing w:after="120"/>
        <w:rPr>
          <w:rFonts w:ascii="宋体" w:hAnsi="宋体"/>
          <w:color w:val="auto"/>
          <w:szCs w:val="21"/>
          <w:highlight w:val="none"/>
        </w:rPr>
      </w:pPr>
    </w:p>
    <w:p w14:paraId="220C1930">
      <w:pPr>
        <w:spacing w:line="360" w:lineRule="auto"/>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14:paraId="5748CC9C">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14:paraId="03D58901">
      <w:pPr>
        <w:spacing w:line="480" w:lineRule="auto"/>
        <w:rPr>
          <w:rFonts w:ascii="黑体" w:hAnsi="宋体"/>
          <w:color w:val="auto"/>
          <w:highlight w:val="none"/>
        </w:rPr>
      </w:pP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3253A1C">
      <w:pPr>
        <w:widowControl/>
        <w:jc w:val="left"/>
        <w:rPr>
          <w:color w:val="auto"/>
          <w:szCs w:val="21"/>
          <w:highlight w:val="none"/>
        </w:rPr>
      </w:pPr>
      <w:r>
        <w:rPr>
          <w:color w:val="auto"/>
          <w:szCs w:val="21"/>
          <w:highlight w:val="none"/>
        </w:rPr>
        <w:br w:type="page"/>
      </w:r>
    </w:p>
    <w:p w14:paraId="099EED99">
      <w:pPr>
        <w:pStyle w:val="6"/>
        <w:jc w:val="center"/>
        <w:rPr>
          <w:rFonts w:ascii="黑体"/>
          <w:color w:val="auto"/>
          <w:highlight w:val="none"/>
        </w:rPr>
      </w:pPr>
      <w:bookmarkStart w:id="202" w:name="_Toc32581"/>
      <w:r>
        <w:rPr>
          <w:rFonts w:hint="eastAsia" w:ascii="黑体"/>
          <w:color w:val="auto"/>
          <w:highlight w:val="none"/>
        </w:rPr>
        <w:t>九、</w:t>
      </w:r>
      <w:r>
        <w:rPr>
          <w:color w:val="auto"/>
          <w:highlight w:val="none"/>
        </w:rPr>
        <w:fldChar w:fldCharType="begin" w:fldLock="1"/>
      </w:r>
      <w:r>
        <w:rPr>
          <w:color w:val="auto"/>
          <w:highlight w:val="none"/>
        </w:rPr>
        <w:instrText xml:space="preserve"> HYPERLINK \l "_Toc338661813" </w:instrText>
      </w:r>
      <w:r>
        <w:rPr>
          <w:color w:val="auto"/>
          <w:highlight w:val="none"/>
        </w:rPr>
        <w:fldChar w:fldCharType="separate"/>
      </w:r>
      <w:r>
        <w:rPr>
          <w:rFonts w:hint="eastAsia" w:ascii="黑体"/>
          <w:b w:val="0"/>
          <w:color w:val="auto"/>
          <w:highlight w:val="none"/>
        </w:rPr>
        <w:t>技术条款偏离表</w:t>
      </w:r>
      <w:r>
        <w:rPr>
          <w:rFonts w:hint="eastAsia" w:ascii="黑体"/>
          <w:b w:val="0"/>
          <w:color w:val="auto"/>
          <w:highlight w:val="none"/>
        </w:rPr>
        <w:fldChar w:fldCharType="end"/>
      </w:r>
      <w:bookmarkEnd w:id="202"/>
    </w:p>
    <w:p w14:paraId="5F10ED73">
      <w:pPr>
        <w:rPr>
          <w:rFonts w:hint="default" w:eastAsia="宋体"/>
          <w:color w:val="auto"/>
          <w:highlight w:val="none"/>
          <w:lang w:val="en-US" w:eastAsia="zh-CN"/>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项目编号：</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szCs w:val="21"/>
          <w:highlight w:val="none"/>
          <w:u w:val="single"/>
        </w:rPr>
        <w:t xml:space="preserve">标包：  </w:t>
      </w:r>
    </w:p>
    <w:tbl>
      <w:tblPr>
        <w:tblStyle w:val="3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14:paraId="79F9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71EB1F0">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14:paraId="2DC0D3BB">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竞争性谈判文件条目号</w:t>
            </w:r>
          </w:p>
        </w:tc>
        <w:tc>
          <w:tcPr>
            <w:tcW w:w="2126" w:type="dxa"/>
            <w:vAlign w:val="center"/>
          </w:tcPr>
          <w:p w14:paraId="6BA9FB82">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竞争性谈判文件《用户需求书/技术规范书》的技术条款</w:t>
            </w:r>
          </w:p>
        </w:tc>
        <w:tc>
          <w:tcPr>
            <w:tcW w:w="2694" w:type="dxa"/>
            <w:vAlign w:val="center"/>
          </w:tcPr>
          <w:p w14:paraId="0CEAB1D8">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竞争性谈判响应文件偏离情况</w:t>
            </w:r>
          </w:p>
          <w:p w14:paraId="713DA66A">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（正偏离/负偏离/无偏离）</w:t>
            </w:r>
          </w:p>
        </w:tc>
        <w:tc>
          <w:tcPr>
            <w:tcW w:w="1134" w:type="dxa"/>
            <w:vAlign w:val="center"/>
          </w:tcPr>
          <w:p w14:paraId="3DBF8C1B">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说明</w:t>
            </w:r>
          </w:p>
        </w:tc>
      </w:tr>
      <w:tr w14:paraId="4FC5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0083227E">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77B1D412">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61785FC3">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71156FE4">
            <w:pPr>
              <w:widowControl/>
              <w:snapToGrid w:val="0"/>
              <w:spacing w:before="156" w:beforeLines="50"/>
              <w:jc w:val="center"/>
              <w:rPr>
                <w:rFonts w:ascii="宋体" w:hAnsi="宋体"/>
                <w:color w:val="auto"/>
                <w:kern w:val="0"/>
                <w:szCs w:val="21"/>
                <w:highlight w:val="none"/>
              </w:rPr>
            </w:pPr>
          </w:p>
        </w:tc>
        <w:tc>
          <w:tcPr>
            <w:tcW w:w="1134" w:type="dxa"/>
            <w:vAlign w:val="center"/>
          </w:tcPr>
          <w:p w14:paraId="2DD379D1">
            <w:pPr>
              <w:widowControl/>
              <w:snapToGrid w:val="0"/>
              <w:spacing w:before="156" w:beforeLines="50"/>
              <w:jc w:val="center"/>
              <w:rPr>
                <w:rFonts w:ascii="宋体" w:hAnsi="宋体"/>
                <w:color w:val="auto"/>
                <w:kern w:val="0"/>
                <w:szCs w:val="21"/>
                <w:highlight w:val="none"/>
              </w:rPr>
            </w:pPr>
          </w:p>
        </w:tc>
      </w:tr>
      <w:tr w14:paraId="3F91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76C4D7EE">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48D1CEB8">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4D96EC87">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1538791C">
            <w:pPr>
              <w:widowControl/>
              <w:snapToGrid w:val="0"/>
              <w:spacing w:before="156" w:beforeLines="50"/>
              <w:jc w:val="center"/>
              <w:rPr>
                <w:rFonts w:ascii="宋体" w:hAnsi="宋体"/>
                <w:color w:val="auto"/>
                <w:kern w:val="0"/>
                <w:szCs w:val="21"/>
                <w:highlight w:val="none"/>
              </w:rPr>
            </w:pPr>
          </w:p>
        </w:tc>
        <w:tc>
          <w:tcPr>
            <w:tcW w:w="1134" w:type="dxa"/>
            <w:vAlign w:val="center"/>
          </w:tcPr>
          <w:p w14:paraId="630895DE">
            <w:pPr>
              <w:widowControl/>
              <w:snapToGrid w:val="0"/>
              <w:spacing w:before="156" w:beforeLines="50"/>
              <w:jc w:val="center"/>
              <w:rPr>
                <w:rFonts w:ascii="宋体" w:hAnsi="宋体"/>
                <w:color w:val="auto"/>
                <w:kern w:val="0"/>
                <w:szCs w:val="21"/>
                <w:highlight w:val="none"/>
              </w:rPr>
            </w:pPr>
          </w:p>
        </w:tc>
      </w:tr>
      <w:tr w14:paraId="102FD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14:paraId="51DBCCEC">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14:paraId="1F62298F">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14:paraId="6815BC03">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14:paraId="772CCD75">
            <w:pPr>
              <w:widowControl/>
              <w:snapToGrid w:val="0"/>
              <w:spacing w:before="156" w:beforeLines="50"/>
              <w:jc w:val="center"/>
              <w:rPr>
                <w:rFonts w:ascii="宋体" w:hAnsi="宋体"/>
                <w:color w:val="auto"/>
                <w:kern w:val="0"/>
                <w:szCs w:val="21"/>
                <w:highlight w:val="none"/>
              </w:rPr>
            </w:pPr>
          </w:p>
        </w:tc>
        <w:tc>
          <w:tcPr>
            <w:tcW w:w="1134" w:type="dxa"/>
            <w:vAlign w:val="center"/>
          </w:tcPr>
          <w:p w14:paraId="77A7DF7D">
            <w:pPr>
              <w:widowControl/>
              <w:snapToGrid w:val="0"/>
              <w:spacing w:before="156" w:beforeLines="50"/>
              <w:jc w:val="center"/>
              <w:rPr>
                <w:rFonts w:ascii="宋体" w:hAnsi="宋体"/>
                <w:color w:val="auto"/>
                <w:kern w:val="0"/>
                <w:szCs w:val="21"/>
                <w:highlight w:val="none"/>
              </w:rPr>
            </w:pPr>
          </w:p>
        </w:tc>
      </w:tr>
    </w:tbl>
    <w:p w14:paraId="3D242B6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注：1.响应人应当逐条对照</w:t>
      </w:r>
      <w:r>
        <w:rPr>
          <w:rFonts w:hint="eastAsia" w:ascii="宋体" w:hAnsi="宋体"/>
          <w:color w:val="auto"/>
          <w:kern w:val="0"/>
          <w:szCs w:val="21"/>
          <w:highlight w:val="none"/>
        </w:rPr>
        <w:t>竞争性谈判文件《用户需求书/技术规范书》的技术条款</w:t>
      </w:r>
      <w:r>
        <w:rPr>
          <w:rFonts w:hint="eastAsia" w:ascii="宋体" w:hAnsi="宋体"/>
          <w:color w:val="auto"/>
          <w:szCs w:val="21"/>
          <w:highlight w:val="none"/>
        </w:rPr>
        <w:t>，就竞争性谈判响应文件对技术条款存在的偏差与例外逐条做出说明；</w:t>
      </w:r>
    </w:p>
    <w:p w14:paraId="320911E6">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2.如竞争性谈判响应文件对技术条款无任何偏差，响应人仅需在本偏离表中填写“无偏离”即可。</w:t>
      </w:r>
    </w:p>
    <w:p w14:paraId="2274395F">
      <w:pPr>
        <w:spacing w:after="120"/>
        <w:rPr>
          <w:rFonts w:ascii="宋体" w:hAnsi="宋体"/>
          <w:color w:val="auto"/>
          <w:szCs w:val="21"/>
          <w:highlight w:val="none"/>
        </w:rPr>
      </w:pPr>
    </w:p>
    <w:p w14:paraId="236CA790">
      <w:pPr>
        <w:spacing w:line="360" w:lineRule="auto"/>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14:paraId="71130D89">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14:paraId="5E62CFBF">
      <w:pPr>
        <w:spacing w:line="480" w:lineRule="auto"/>
        <w:rPr>
          <w:rFonts w:ascii="黑体" w:hAnsi="宋体"/>
          <w:color w:val="auto"/>
          <w:highlight w:val="none"/>
        </w:rPr>
      </w:pP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9963497">
      <w:pPr>
        <w:pStyle w:val="6"/>
        <w:spacing w:before="0"/>
        <w:jc w:val="center"/>
        <w:rPr>
          <w:color w:val="auto"/>
          <w:highlight w:val="none"/>
        </w:rPr>
        <w:sectPr>
          <w:pgSz w:w="11906" w:h="16838"/>
          <w:pgMar w:top="1418" w:right="1800" w:bottom="1440" w:left="1800" w:header="851" w:footer="992" w:gutter="0"/>
          <w:cols w:space="720" w:num="1"/>
          <w:docGrid w:type="lines" w:linePitch="312" w:charSpace="0"/>
        </w:sectPr>
      </w:pPr>
    </w:p>
    <w:p w14:paraId="6309D991">
      <w:pPr>
        <w:pStyle w:val="6"/>
        <w:jc w:val="center"/>
        <w:rPr>
          <w:color w:val="auto"/>
          <w:highlight w:val="none"/>
        </w:rPr>
      </w:pPr>
      <w:bookmarkStart w:id="203" w:name="_Toc152042596"/>
      <w:bookmarkStart w:id="204" w:name="_Toc246997115"/>
      <w:bookmarkStart w:id="205" w:name="_Toc486425440"/>
      <w:bookmarkStart w:id="206" w:name="_Toc179632827"/>
      <w:bookmarkStart w:id="207" w:name="_Toc338669161"/>
      <w:bookmarkStart w:id="208" w:name="_Toc16773"/>
      <w:bookmarkStart w:id="209" w:name="_Toc152045807"/>
      <w:bookmarkStart w:id="210" w:name="_Toc144974875"/>
      <w:bookmarkStart w:id="211" w:name="_Toc246996372"/>
      <w:bookmarkStart w:id="212" w:name="_Toc247085890"/>
      <w:r>
        <w:rPr>
          <w:rFonts w:hint="eastAsia"/>
          <w:color w:val="auto"/>
          <w:highlight w:val="none"/>
        </w:rPr>
        <w:t>十</w:t>
      </w:r>
      <w:r>
        <w:rPr>
          <w:color w:val="auto"/>
          <w:highlight w:val="none"/>
        </w:rPr>
        <w:t>、资格审查资料</w:t>
      </w:r>
      <w:bookmarkEnd w:id="203"/>
      <w:bookmarkEnd w:id="204"/>
      <w:bookmarkEnd w:id="205"/>
      <w:bookmarkEnd w:id="206"/>
      <w:bookmarkEnd w:id="207"/>
      <w:bookmarkEnd w:id="208"/>
      <w:bookmarkEnd w:id="209"/>
      <w:bookmarkEnd w:id="210"/>
      <w:bookmarkEnd w:id="211"/>
      <w:bookmarkEnd w:id="212"/>
    </w:p>
    <w:p w14:paraId="7DDBB80E">
      <w:pPr>
        <w:widowControl/>
        <w:jc w:val="left"/>
        <w:rPr>
          <w:color w:val="auto"/>
          <w:szCs w:val="21"/>
          <w:highlight w:val="none"/>
        </w:rPr>
      </w:pPr>
      <w:r>
        <w:rPr>
          <w:color w:val="auto"/>
          <w:szCs w:val="21"/>
          <w:highlight w:val="none"/>
        </w:rPr>
        <w:br w:type="page"/>
      </w:r>
    </w:p>
    <w:p w14:paraId="1562BE55">
      <w:pPr>
        <w:keepNext/>
        <w:keepLines/>
        <w:widowControl w:val="0"/>
        <w:spacing w:before="260" w:after="260" w:line="416" w:lineRule="auto"/>
        <w:jc w:val="center"/>
        <w:outlineLvl w:val="1"/>
        <w:rPr>
          <w:rFonts w:hint="eastAsia" w:ascii="Arial" w:hAnsi="Arial" w:eastAsia="黑体" w:cs="Times New Roman"/>
          <w:b/>
          <w:bCs/>
          <w:color w:val="auto"/>
          <w:kern w:val="2"/>
          <w:sz w:val="32"/>
          <w:szCs w:val="32"/>
          <w:highlight w:val="none"/>
          <w:lang w:val="en-US" w:eastAsia="zh-CN" w:bidi="ar-SA"/>
        </w:rPr>
      </w:pPr>
      <w:bookmarkStart w:id="213" w:name="_Toc5610"/>
      <w:r>
        <w:rPr>
          <w:rFonts w:hint="eastAsia" w:ascii="Arial" w:hAnsi="Arial" w:eastAsia="黑体" w:cs="Times New Roman"/>
          <w:b/>
          <w:bCs/>
          <w:color w:val="auto"/>
          <w:kern w:val="2"/>
          <w:sz w:val="32"/>
          <w:szCs w:val="32"/>
          <w:highlight w:val="none"/>
          <w:lang w:val="en-US" w:eastAsia="zh-CN" w:bidi="ar-SA"/>
        </w:rPr>
        <w:t>十一、不可撤销履约保函</w:t>
      </w:r>
      <w:bookmarkEnd w:id="213"/>
    </w:p>
    <w:p w14:paraId="0ACA7201">
      <w:pPr>
        <w:widowControl/>
        <w:adjustRightInd w:val="0"/>
        <w:snapToGrid w:val="0"/>
        <w:spacing w:line="360" w:lineRule="auto"/>
        <w:jc w:val="center"/>
        <w:rPr>
          <w:rFonts w:hint="eastAsia" w:ascii="宋体" w:hAnsi="宋体" w:cs="Times New Roman"/>
          <w:color w:val="auto"/>
          <w:kern w:val="0"/>
          <w:szCs w:val="22"/>
          <w:highlight w:val="none"/>
        </w:rPr>
      </w:pPr>
    </w:p>
    <w:p w14:paraId="3A70A9B2">
      <w:pPr>
        <w:widowControl/>
        <w:adjustRightInd w:val="0"/>
        <w:snapToGrid w:val="0"/>
        <w:spacing w:line="360" w:lineRule="auto"/>
        <w:jc w:val="center"/>
        <w:rPr>
          <w:rFonts w:ascii="宋体" w:hAnsi="宋体" w:cs="Times New Roman"/>
          <w:color w:val="auto"/>
          <w:kern w:val="0"/>
          <w:szCs w:val="22"/>
          <w:highlight w:val="none"/>
        </w:rPr>
      </w:pPr>
      <w:r>
        <w:rPr>
          <w:rFonts w:hint="eastAsia" w:ascii="宋体" w:hAnsi="宋体" w:cs="Times New Roman"/>
          <w:color w:val="auto"/>
          <w:kern w:val="0"/>
          <w:szCs w:val="22"/>
          <w:highlight w:val="none"/>
        </w:rPr>
        <w:t>银行编号：</w:t>
      </w:r>
    </w:p>
    <w:p w14:paraId="43D2AC35">
      <w:pPr>
        <w:widowControl/>
        <w:adjustRightInd w:val="0"/>
        <w:snapToGrid w:val="0"/>
        <w:spacing w:line="360" w:lineRule="auto"/>
        <w:jc w:val="left"/>
        <w:rPr>
          <w:rFonts w:ascii="宋体" w:hAnsi="宋体" w:cs="Times New Roman"/>
          <w:color w:val="auto"/>
          <w:kern w:val="0"/>
          <w:szCs w:val="22"/>
          <w:highlight w:val="none"/>
        </w:rPr>
      </w:pPr>
      <w:r>
        <w:rPr>
          <w:rFonts w:ascii="宋体" w:hAnsi="宋体" w:cs="Times New Roman"/>
          <w:color w:val="auto"/>
          <w:kern w:val="0"/>
          <w:szCs w:val="22"/>
          <w:highlight w:val="none"/>
        </w:rPr>
        <w:t>致：</w:t>
      </w:r>
      <w:r>
        <w:rPr>
          <w:rFonts w:hint="eastAsia" w:ascii="宋体" w:hAnsi="宋体" w:cs="Times New Roman"/>
          <w:color w:val="auto"/>
          <w:kern w:val="0"/>
          <w:szCs w:val="22"/>
          <w:highlight w:val="none"/>
          <w:u w:val="single"/>
        </w:rPr>
        <w:t xml:space="preserve">                        </w:t>
      </w:r>
      <w:r>
        <w:rPr>
          <w:rFonts w:hint="eastAsia" w:ascii="宋体" w:hAnsi="宋体" w:cs="Times New Roman"/>
          <w:color w:val="auto"/>
          <w:kern w:val="0"/>
          <w:szCs w:val="22"/>
          <w:highlight w:val="none"/>
        </w:rPr>
        <w:t>（</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w:t>
      </w:r>
    </w:p>
    <w:p w14:paraId="1C28232E">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鉴于</w:t>
      </w:r>
      <w:r>
        <w:rPr>
          <w:rFonts w:hint="eastAsia" w:ascii="宋体" w:hAnsi="宋体" w:cs="Times New Roman"/>
          <w:color w:val="auto"/>
          <w:kern w:val="0"/>
          <w:szCs w:val="22"/>
          <w:highlight w:val="none"/>
          <w:u w:val="single"/>
        </w:rPr>
        <w:t xml:space="preserve">         （地址：          ，下称 “乙方” ）</w:t>
      </w:r>
      <w:r>
        <w:rPr>
          <w:rFonts w:hint="eastAsia" w:ascii="宋体" w:hAnsi="宋体" w:cs="Times New Roman"/>
          <w:color w:val="auto"/>
          <w:kern w:val="0"/>
          <w:szCs w:val="22"/>
          <w:highlight w:val="none"/>
        </w:rPr>
        <w:t>已保证按</w:t>
      </w:r>
      <w:r>
        <w:rPr>
          <w:rFonts w:hint="eastAsia" w:ascii="宋体" w:hAnsi="宋体" w:cs="Times New Roman"/>
          <w:color w:val="auto"/>
          <w:kern w:val="0"/>
          <w:szCs w:val="22"/>
          <w:highlight w:val="none"/>
          <w:u w:val="single"/>
        </w:rPr>
        <w:t xml:space="preserve">        承包合同书（合同编号：    ）</w:t>
      </w:r>
      <w:r>
        <w:rPr>
          <w:rFonts w:hint="eastAsia" w:ascii="宋体" w:hAnsi="宋体" w:cs="Times New Roman"/>
          <w:color w:val="auto"/>
          <w:kern w:val="0"/>
          <w:szCs w:val="22"/>
          <w:highlight w:val="none"/>
        </w:rPr>
        <w:t>中规定的义务履行合同。</w:t>
      </w:r>
    </w:p>
    <w:p w14:paraId="5072412D">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根据上述合同约定，乙方应向</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提供一份金额为合同总价的10%即</w:t>
      </w:r>
      <w:r>
        <w:rPr>
          <w:rFonts w:hint="eastAsia" w:ascii="宋体" w:hAnsi="宋体" w:cs="Times New Roman"/>
          <w:color w:val="auto"/>
          <w:kern w:val="0"/>
          <w:szCs w:val="22"/>
          <w:highlight w:val="none"/>
          <w:u w:val="single"/>
        </w:rPr>
        <w:t>人民币      （RMB    元）</w:t>
      </w:r>
      <w:r>
        <w:rPr>
          <w:rFonts w:hint="eastAsia" w:ascii="宋体" w:hAnsi="宋体" w:cs="Times New Roman"/>
          <w:color w:val="auto"/>
          <w:kern w:val="0"/>
          <w:szCs w:val="22"/>
          <w:highlight w:val="none"/>
        </w:rPr>
        <w:t>的</w:t>
      </w:r>
      <w:r>
        <w:rPr>
          <w:rFonts w:hint="eastAsia" w:ascii="宋体" w:hAnsi="宋体" w:cs="Times New Roman"/>
          <w:bCs/>
          <w:color w:val="auto"/>
          <w:kern w:val="0"/>
          <w:szCs w:val="22"/>
          <w:highlight w:val="none"/>
        </w:rPr>
        <w:t>不可撤销</w:t>
      </w:r>
      <w:r>
        <w:rPr>
          <w:rFonts w:hint="eastAsia" w:ascii="宋体" w:hAnsi="宋体" w:cs="Times New Roman"/>
          <w:color w:val="auto"/>
          <w:kern w:val="0"/>
          <w:szCs w:val="22"/>
          <w:highlight w:val="none"/>
        </w:rPr>
        <w:t>银行履约保函，作为乙方履行上述合同的担保。</w:t>
      </w:r>
    </w:p>
    <w:p w14:paraId="66DF4A64">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我方</w:t>
      </w:r>
      <w:r>
        <w:rPr>
          <w:rFonts w:hint="eastAsia" w:ascii="宋体" w:hAnsi="宋体" w:cs="Times New Roman"/>
          <w:color w:val="auto"/>
          <w:kern w:val="0"/>
          <w:szCs w:val="22"/>
          <w:highlight w:val="none"/>
          <w:u w:val="single"/>
        </w:rPr>
        <w:t xml:space="preserve">            （银行名称）</w:t>
      </w:r>
      <w:r>
        <w:rPr>
          <w:rFonts w:hint="eastAsia" w:ascii="宋体" w:hAnsi="宋体" w:cs="Times New Roman"/>
          <w:color w:val="auto"/>
          <w:kern w:val="0"/>
          <w:szCs w:val="22"/>
          <w:highlight w:val="none"/>
        </w:rPr>
        <w:t>，受乙方的委托，不仅作为连带责任保证人而且作为主要的责任人，无条件和不可撤销地同意在</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提出因乙方没有履行上述合同规定，而要求扣划保证金的书面要求后，7个工作日内为</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扣划金额不超过</w:t>
      </w:r>
      <w:r>
        <w:rPr>
          <w:rFonts w:hint="eastAsia" w:ascii="宋体" w:hAnsi="宋体" w:cs="Times New Roman"/>
          <w:color w:val="auto"/>
          <w:kern w:val="0"/>
          <w:szCs w:val="22"/>
          <w:highlight w:val="none"/>
          <w:u w:val="single"/>
        </w:rPr>
        <w:t>人民币          （RMB       元）</w:t>
      </w:r>
      <w:r>
        <w:rPr>
          <w:rFonts w:hint="eastAsia" w:ascii="宋体" w:hAnsi="宋体" w:cs="Times New Roman"/>
          <w:color w:val="auto"/>
          <w:kern w:val="0"/>
          <w:szCs w:val="22"/>
          <w:highlight w:val="none"/>
        </w:rPr>
        <w:t>的保证金。</w:t>
      </w:r>
    </w:p>
    <w:p w14:paraId="297457C3">
      <w:pPr>
        <w:widowControl/>
        <w:adjustRightInd w:val="0"/>
        <w:snapToGrid w:val="0"/>
        <w:spacing w:line="360" w:lineRule="auto"/>
        <w:ind w:firstLine="420" w:firstLineChars="200"/>
        <w:jc w:val="left"/>
        <w:rPr>
          <w:rFonts w:ascii="Tahoma" w:hAnsi="Tahoma" w:cs="Times New Roman"/>
          <w:color w:val="auto"/>
          <w:kern w:val="0"/>
          <w:szCs w:val="22"/>
          <w:highlight w:val="none"/>
        </w:rPr>
      </w:pPr>
      <w:r>
        <w:rPr>
          <w:rFonts w:hint="eastAsia" w:ascii="宋体" w:hAnsi="宋体" w:cs="Times New Roman"/>
          <w:color w:val="auto"/>
          <w:kern w:val="0"/>
          <w:szCs w:val="22"/>
          <w:highlight w:val="none"/>
        </w:rPr>
        <w:t>我</w:t>
      </w:r>
      <w:r>
        <w:rPr>
          <w:rFonts w:hint="eastAsia" w:ascii="Tahoma" w:hAnsi="Tahoma" w:cs="Times New Roman"/>
          <w:color w:val="auto"/>
          <w:kern w:val="0"/>
          <w:szCs w:val="22"/>
          <w:highlight w:val="none"/>
        </w:rPr>
        <w:t>方还同意，任何甲方与乙方之间可能对合同条款的修改、规范或其他合同文件的变动补充，都不能免除我方按本保函所承担的责任。因此，有关上述变动、补充和修改无须通知我方。</w:t>
      </w:r>
    </w:p>
    <w:p w14:paraId="161ACDAE">
      <w:pPr>
        <w:widowControl/>
        <w:adjustRightInd w:val="0"/>
        <w:snapToGrid w:val="0"/>
        <w:spacing w:line="360" w:lineRule="auto"/>
        <w:ind w:firstLine="420" w:firstLineChars="200"/>
        <w:jc w:val="left"/>
        <w:rPr>
          <w:rFonts w:ascii="Tahoma" w:hAnsi="Tahoma" w:cs="Times New Roman"/>
          <w:color w:val="auto"/>
          <w:kern w:val="0"/>
          <w:szCs w:val="22"/>
          <w:highlight w:val="none"/>
        </w:rPr>
      </w:pPr>
      <w:r>
        <w:rPr>
          <w:rFonts w:hint="eastAsia" w:ascii="Tahoma" w:hAnsi="Tahoma" w:cs="Times New Roman"/>
          <w:color w:val="auto"/>
          <w:kern w:val="0"/>
          <w:szCs w:val="22"/>
          <w:highlight w:val="none"/>
        </w:rPr>
        <w:t>本保函从上述合同签订之日起至项目服务期结束验收合格并完成结算后，双方签字之日起7天内保持有效。</w:t>
      </w:r>
    </w:p>
    <w:p w14:paraId="602D17BF">
      <w:pPr>
        <w:widowControl/>
        <w:adjustRightInd w:val="0"/>
        <w:snapToGrid w:val="0"/>
        <w:spacing w:line="360" w:lineRule="auto"/>
        <w:ind w:firstLine="2824" w:firstLineChars="1345"/>
        <w:jc w:val="left"/>
        <w:rPr>
          <w:rFonts w:ascii="宋体" w:hAnsi="宋体" w:cs="Times New Roman"/>
          <w:color w:val="auto"/>
          <w:kern w:val="0"/>
          <w:szCs w:val="22"/>
          <w:highlight w:val="none"/>
        </w:rPr>
      </w:pPr>
    </w:p>
    <w:p w14:paraId="1F8E8DEF">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保证人：（盖章）</w:t>
      </w:r>
      <w:r>
        <w:rPr>
          <w:rFonts w:hint="eastAsia" w:ascii="宋体" w:hAnsi="宋体" w:cs="Times New Roman"/>
          <w:color w:val="auto"/>
          <w:kern w:val="0"/>
          <w:szCs w:val="22"/>
          <w:highlight w:val="none"/>
          <w:u w:val="single"/>
        </w:rPr>
        <w:t xml:space="preserve">                        </w:t>
      </w:r>
    </w:p>
    <w:p w14:paraId="1A7C9BE7">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负责人：（签字）</w:t>
      </w:r>
      <w:r>
        <w:rPr>
          <w:rFonts w:hint="eastAsia" w:ascii="宋体" w:hAnsi="宋体" w:cs="Times New Roman"/>
          <w:color w:val="auto"/>
          <w:kern w:val="0"/>
          <w:szCs w:val="22"/>
          <w:highlight w:val="none"/>
          <w:u w:val="single"/>
        </w:rPr>
        <w:t xml:space="preserve">                        </w:t>
      </w:r>
    </w:p>
    <w:p w14:paraId="38DD7534">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联系人：</w:t>
      </w:r>
      <w:r>
        <w:rPr>
          <w:rFonts w:hint="eastAsia" w:ascii="宋体" w:hAnsi="宋体" w:cs="Times New Roman"/>
          <w:color w:val="auto"/>
          <w:kern w:val="0"/>
          <w:szCs w:val="22"/>
          <w:highlight w:val="none"/>
          <w:u w:val="single"/>
        </w:rPr>
        <w:t xml:space="preserve">                               </w:t>
      </w:r>
      <w:r>
        <w:rPr>
          <w:rFonts w:hint="eastAsia" w:ascii="宋体" w:hAnsi="宋体" w:cs="Times New Roman"/>
          <w:color w:val="auto"/>
          <w:kern w:val="0"/>
          <w:szCs w:val="22"/>
          <w:highlight w:val="none"/>
        </w:rPr>
        <w:t xml:space="preserve">   </w:t>
      </w:r>
    </w:p>
    <w:p w14:paraId="6997409B">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联系电话：</w:t>
      </w:r>
      <w:r>
        <w:rPr>
          <w:rFonts w:hint="eastAsia" w:ascii="宋体" w:hAnsi="宋体" w:cs="Times New Roman"/>
          <w:color w:val="auto"/>
          <w:kern w:val="0"/>
          <w:szCs w:val="22"/>
          <w:highlight w:val="none"/>
          <w:u w:val="single"/>
        </w:rPr>
        <w:t xml:space="preserve">                             </w:t>
      </w:r>
    </w:p>
    <w:p w14:paraId="32435CF5">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日期：</w:t>
      </w:r>
      <w:r>
        <w:rPr>
          <w:rFonts w:hint="eastAsia" w:ascii="宋体" w:hAnsi="宋体" w:cs="Times New Roman"/>
          <w:color w:val="auto"/>
          <w:kern w:val="0"/>
          <w:szCs w:val="22"/>
          <w:highlight w:val="none"/>
          <w:u w:val="single"/>
        </w:rPr>
        <w:t xml:space="preserve">                               </w:t>
      </w:r>
    </w:p>
    <w:p w14:paraId="5FAECD09">
      <w:pPr>
        <w:adjustRightInd w:val="0"/>
        <w:snapToGrid w:val="0"/>
        <w:spacing w:line="360" w:lineRule="auto"/>
        <w:ind w:left="359" w:leftChars="171" w:firstLine="179" w:firstLineChars="85"/>
        <w:rPr>
          <w:rFonts w:hint="eastAsia" w:ascii="宋体" w:hAnsi="宋体" w:eastAsia="宋体" w:cstheme="minorBidi"/>
          <w:b/>
          <w:bCs/>
          <w:color w:val="auto"/>
          <w:sz w:val="21"/>
          <w:szCs w:val="24"/>
          <w:highlight w:val="none"/>
          <w:lang w:val="en-US" w:eastAsia="zh-CN" w:bidi="ar-SA"/>
        </w:rPr>
      </w:pPr>
    </w:p>
    <w:p w14:paraId="4699A4E1">
      <w:pPr>
        <w:adjustRightInd w:val="0"/>
        <w:snapToGrid w:val="0"/>
        <w:spacing w:line="360" w:lineRule="auto"/>
        <w:ind w:left="359" w:leftChars="171" w:firstLine="179" w:firstLineChars="85"/>
        <w:rPr>
          <w:rFonts w:hint="eastAsia"/>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theme="minorBidi"/>
          <w:b/>
          <w:bCs/>
          <w:color w:val="auto"/>
          <w:sz w:val="21"/>
          <w:szCs w:val="24"/>
          <w:highlight w:val="none"/>
          <w:lang w:val="en-US" w:eastAsia="zh-CN" w:bidi="ar-SA"/>
        </w:rPr>
        <w:t>说明：响应人在投标时不需提交正式保函，在响应文件中盖</w:t>
      </w:r>
      <w:r>
        <w:rPr>
          <w:rFonts w:hint="eastAsia" w:ascii="宋体" w:hAnsi="宋体" w:cstheme="minorBidi"/>
          <w:b/>
          <w:bCs/>
          <w:color w:val="auto"/>
          <w:sz w:val="21"/>
          <w:szCs w:val="24"/>
          <w:highlight w:val="none"/>
          <w:lang w:val="en-US" w:eastAsia="zh-CN" w:bidi="ar-SA"/>
        </w:rPr>
        <w:t>响应</w:t>
      </w:r>
      <w:r>
        <w:rPr>
          <w:rFonts w:hint="eastAsia" w:ascii="宋体" w:hAnsi="宋体" w:eastAsia="宋体" w:cstheme="minorBidi"/>
          <w:b/>
          <w:bCs/>
          <w:color w:val="auto"/>
          <w:sz w:val="21"/>
          <w:szCs w:val="24"/>
          <w:highlight w:val="none"/>
          <w:lang w:val="en-US" w:eastAsia="zh-CN" w:bidi="ar-SA"/>
        </w:rPr>
        <w:t>人公章确认保函格式即可，乙方</w:t>
      </w:r>
      <w:r>
        <w:rPr>
          <w:rFonts w:hint="eastAsia" w:ascii="宋体" w:hAnsi="宋体" w:eastAsia="宋体" w:cstheme="minorBidi"/>
          <w:b/>
          <w:bCs/>
          <w:color w:val="auto"/>
          <w:sz w:val="21"/>
          <w:szCs w:val="26"/>
          <w:highlight w:val="none"/>
          <w:lang w:val="en-US" w:eastAsia="zh-CN" w:bidi="ar-SA"/>
        </w:rPr>
        <w:t>在签订合同时</w:t>
      </w:r>
      <w:r>
        <w:rPr>
          <w:rFonts w:hint="eastAsia" w:ascii="宋体" w:hAnsi="宋体" w:eastAsia="宋体" w:cstheme="minorBidi"/>
          <w:b/>
          <w:bCs/>
          <w:color w:val="auto"/>
          <w:sz w:val="21"/>
          <w:szCs w:val="24"/>
          <w:highlight w:val="none"/>
          <w:lang w:val="en-US" w:eastAsia="zh-CN" w:bidi="ar-SA"/>
        </w:rPr>
        <w:t>提交正式保函。</w:t>
      </w:r>
    </w:p>
    <w:p w14:paraId="4F6FCE64">
      <w:pPr>
        <w:pStyle w:val="6"/>
        <w:jc w:val="center"/>
        <w:rPr>
          <w:color w:val="auto"/>
          <w:highlight w:val="none"/>
        </w:rPr>
      </w:pPr>
      <w:bookmarkStart w:id="214" w:name="_Toc3001"/>
      <w:r>
        <w:rPr>
          <w:rFonts w:hint="eastAsia"/>
          <w:color w:val="auto"/>
          <w:highlight w:val="none"/>
        </w:rPr>
        <w:t>十</w:t>
      </w:r>
      <w:r>
        <w:rPr>
          <w:rFonts w:hint="eastAsia"/>
          <w:color w:val="auto"/>
          <w:highlight w:val="none"/>
          <w:lang w:val="en-US" w:eastAsia="zh-CN"/>
        </w:rPr>
        <w:t>二</w:t>
      </w:r>
      <w:r>
        <w:rPr>
          <w:color w:val="auto"/>
          <w:highlight w:val="none"/>
        </w:rPr>
        <w:t>、</w:t>
      </w:r>
      <w:r>
        <w:rPr>
          <w:rFonts w:hint="eastAsia"/>
          <w:color w:val="auto"/>
          <w:highlight w:val="none"/>
        </w:rPr>
        <w:t>其他需要补充的</w:t>
      </w:r>
      <w:r>
        <w:rPr>
          <w:color w:val="auto"/>
          <w:highlight w:val="none"/>
        </w:rPr>
        <w:t>资料</w:t>
      </w:r>
      <w:bookmarkEnd w:id="214"/>
    </w:p>
    <w:p w14:paraId="52975886">
      <w:pPr>
        <w:widowControl/>
        <w:jc w:val="left"/>
        <w:rPr>
          <w:color w:val="auto"/>
          <w:szCs w:val="21"/>
          <w:highlight w:val="none"/>
        </w:rPr>
      </w:pPr>
      <w:r>
        <w:rPr>
          <w:color w:val="auto"/>
          <w:szCs w:val="21"/>
          <w:highlight w:val="none"/>
        </w:rPr>
        <w:br w:type="page"/>
      </w:r>
    </w:p>
    <w:p w14:paraId="6CD72BC8">
      <w:pPr>
        <w:pStyle w:val="6"/>
        <w:jc w:val="left"/>
        <w:rPr>
          <w:color w:val="auto"/>
          <w:highlight w:val="none"/>
        </w:rPr>
      </w:pPr>
      <w:bookmarkStart w:id="215" w:name="_Toc17415"/>
      <w:bookmarkStart w:id="216" w:name="_Toc486425443"/>
      <w:r>
        <w:rPr>
          <w:rFonts w:hint="eastAsia"/>
          <w:color w:val="auto"/>
          <w:highlight w:val="none"/>
        </w:rPr>
        <w:t>第二部分</w:t>
      </w:r>
      <w:r>
        <w:rPr>
          <w:color w:val="auto"/>
          <w:highlight w:val="none"/>
        </w:rPr>
        <w:t xml:space="preserve">  </w:t>
      </w:r>
      <w:r>
        <w:rPr>
          <w:rFonts w:hint="eastAsia"/>
          <w:color w:val="auto"/>
          <w:highlight w:val="none"/>
        </w:rPr>
        <w:t>经济部分</w:t>
      </w:r>
      <w:bookmarkEnd w:id="215"/>
      <w:bookmarkEnd w:id="216"/>
    </w:p>
    <w:p w14:paraId="16494B84">
      <w:pPr>
        <w:pStyle w:val="6"/>
        <w:spacing w:line="240" w:lineRule="auto"/>
        <w:rPr>
          <w:rFonts w:ascii="黑体" w:hAnsi="Times New Roman"/>
          <w:b w:val="0"/>
          <w:bCs w:val="0"/>
          <w:color w:val="auto"/>
          <w:sz w:val="28"/>
          <w:szCs w:val="28"/>
          <w:highlight w:val="none"/>
        </w:rPr>
      </w:pPr>
      <w:bookmarkStart w:id="217" w:name="_Toc338669163"/>
      <w:bookmarkStart w:id="218" w:name="_Toc13792"/>
      <w:bookmarkStart w:id="219" w:name="_Toc486425444"/>
      <w:r>
        <w:rPr>
          <w:rFonts w:hint="eastAsia" w:ascii="黑体" w:hAnsi="Times New Roman"/>
          <w:b w:val="0"/>
          <w:bCs w:val="0"/>
          <w:color w:val="auto"/>
          <w:sz w:val="28"/>
          <w:szCs w:val="28"/>
          <w:highlight w:val="none"/>
        </w:rPr>
        <w:t>一、报价一览表</w:t>
      </w:r>
      <w:bookmarkEnd w:id="217"/>
      <w:bookmarkEnd w:id="218"/>
      <w:bookmarkEnd w:id="219"/>
    </w:p>
    <w:p w14:paraId="235F13B2">
      <w:pPr>
        <w:rPr>
          <w:color w:val="auto"/>
          <w:highlight w:val="none"/>
        </w:rPr>
      </w:pPr>
    </w:p>
    <w:p w14:paraId="30EC8B24">
      <w:pPr>
        <w:rPr>
          <w:rFonts w:ascii="宋体" w:hAnsi="宋体"/>
          <w:color w:val="auto"/>
          <w:szCs w:val="21"/>
          <w:highlight w:val="none"/>
        </w:rPr>
      </w:pPr>
      <w:r>
        <w:rPr>
          <w:rFonts w:hint="eastAsia" w:ascii="宋体" w:hAnsi="宋体"/>
          <w:color w:val="auto"/>
          <w:szCs w:val="21"/>
          <w:highlight w:val="none"/>
        </w:rPr>
        <w:t>供应商名称：</w:t>
      </w:r>
    </w:p>
    <w:p w14:paraId="6A190EC1">
      <w:pPr>
        <w:rPr>
          <w:rFonts w:hint="eastAsia" w:ascii="宋体" w:hAnsi="宋体"/>
          <w:color w:val="auto"/>
          <w:szCs w:val="21"/>
          <w:highlight w:val="none"/>
        </w:rPr>
      </w:pPr>
      <w:r>
        <w:rPr>
          <w:rFonts w:hint="eastAsia" w:ascii="宋体" w:hAnsi="宋体"/>
          <w:color w:val="auto"/>
          <w:szCs w:val="21"/>
          <w:highlight w:val="none"/>
        </w:rPr>
        <w:t>项目编号：</w:t>
      </w:r>
    </w:p>
    <w:p w14:paraId="2205971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标包：  </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928"/>
        <w:gridCol w:w="1602"/>
        <w:gridCol w:w="1974"/>
      </w:tblGrid>
      <w:tr w14:paraId="7B8D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18" w:type="dxa"/>
            <w:noWrap w:val="0"/>
            <w:vAlign w:val="center"/>
          </w:tcPr>
          <w:p w14:paraId="7C586153">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928" w:type="dxa"/>
            <w:noWrap w:val="0"/>
            <w:vAlign w:val="center"/>
          </w:tcPr>
          <w:p w14:paraId="34B3E9C6">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含税响应总价（元）</w:t>
            </w:r>
          </w:p>
        </w:tc>
        <w:tc>
          <w:tcPr>
            <w:tcW w:w="1602" w:type="dxa"/>
            <w:noWrap w:val="0"/>
            <w:vAlign w:val="center"/>
          </w:tcPr>
          <w:p w14:paraId="19E5AFC7">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974" w:type="dxa"/>
            <w:noWrap w:val="0"/>
            <w:vAlign w:val="center"/>
          </w:tcPr>
          <w:p w14:paraId="384A57EE">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65CB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018" w:type="dxa"/>
            <w:noWrap w:val="0"/>
            <w:vAlign w:val="center"/>
          </w:tcPr>
          <w:p w14:paraId="45EC2381">
            <w:pPr>
              <w:spacing w:line="240" w:lineRule="auto"/>
              <w:jc w:val="center"/>
              <w:rPr>
                <w:rFonts w:ascii="宋体" w:hAnsi="宋体" w:cs="宋体"/>
                <w:color w:val="auto"/>
                <w:szCs w:val="21"/>
                <w:highlight w:val="none"/>
              </w:rPr>
            </w:pPr>
          </w:p>
        </w:tc>
        <w:tc>
          <w:tcPr>
            <w:tcW w:w="2928" w:type="dxa"/>
            <w:noWrap w:val="0"/>
            <w:vAlign w:val="center"/>
          </w:tcPr>
          <w:p w14:paraId="2FABF313">
            <w:pPr>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14:paraId="1EEE7430">
            <w:pPr>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c>
          <w:tcPr>
            <w:tcW w:w="1602" w:type="dxa"/>
            <w:noWrap w:val="0"/>
            <w:vAlign w:val="center"/>
          </w:tcPr>
          <w:p w14:paraId="1688E73F">
            <w:pPr>
              <w:pStyle w:val="110"/>
              <w:jc w:val="center"/>
              <w:rPr>
                <w:rFonts w:hAnsi="宋体"/>
                <w:color w:val="auto"/>
                <w:sz w:val="21"/>
                <w:szCs w:val="21"/>
                <w:highlight w:val="none"/>
              </w:rPr>
            </w:pPr>
          </w:p>
        </w:tc>
        <w:tc>
          <w:tcPr>
            <w:tcW w:w="1974" w:type="dxa"/>
            <w:noWrap w:val="0"/>
            <w:vAlign w:val="center"/>
          </w:tcPr>
          <w:p w14:paraId="0385C972">
            <w:pPr>
              <w:pStyle w:val="110"/>
              <w:jc w:val="center"/>
              <w:rPr>
                <w:rFonts w:hAnsi="宋体"/>
                <w:color w:val="auto"/>
                <w:sz w:val="21"/>
                <w:szCs w:val="21"/>
                <w:highlight w:val="none"/>
              </w:rPr>
            </w:pPr>
          </w:p>
        </w:tc>
      </w:tr>
    </w:tbl>
    <w:p w14:paraId="1F58E274">
      <w:pPr>
        <w:rPr>
          <w:rFonts w:ascii="宋体" w:hAnsi="宋体"/>
          <w:color w:val="auto"/>
          <w:szCs w:val="21"/>
          <w:highlight w:val="none"/>
        </w:rPr>
      </w:pPr>
    </w:p>
    <w:p w14:paraId="41D48DD3">
      <w:pPr>
        <w:ind w:firstLine="359" w:firstLineChars="171"/>
        <w:rPr>
          <w:rFonts w:ascii="宋体" w:hAnsi="宋体"/>
          <w:color w:val="auto"/>
          <w:szCs w:val="21"/>
          <w:highlight w:val="none"/>
        </w:rPr>
      </w:pPr>
    </w:p>
    <w:p w14:paraId="0E158683">
      <w:pPr>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149EC54B">
      <w:pPr>
        <w:ind w:firstLine="359" w:firstLineChars="171"/>
        <w:rPr>
          <w:rFonts w:ascii="宋体" w:hAnsi="宋体"/>
          <w:color w:val="auto"/>
          <w:szCs w:val="21"/>
          <w:highlight w:val="none"/>
        </w:rPr>
      </w:pPr>
      <w:r>
        <w:rPr>
          <w:rFonts w:hint="eastAsia" w:ascii="宋体" w:hAnsi="宋体"/>
          <w:color w:val="auto"/>
          <w:szCs w:val="21"/>
          <w:highlight w:val="none"/>
        </w:rPr>
        <w:t>供应商盖章：</w:t>
      </w:r>
    </w:p>
    <w:p w14:paraId="4BD6A0DE">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3300EEDD">
      <w:pPr>
        <w:ind w:firstLine="359" w:firstLineChars="171"/>
        <w:rPr>
          <w:rFonts w:ascii="宋体" w:hAnsi="宋体"/>
          <w:color w:val="auto"/>
          <w:szCs w:val="21"/>
          <w:highlight w:val="none"/>
        </w:rPr>
      </w:pPr>
    </w:p>
    <w:p w14:paraId="6E2D097A">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58C58A9E">
      <w:pPr>
        <w:ind w:firstLine="420" w:firstLineChars="200"/>
        <w:rPr>
          <w:rFonts w:ascii="宋体" w:hAnsi="宋体"/>
          <w:color w:val="auto"/>
          <w:szCs w:val="21"/>
          <w:highlight w:val="none"/>
        </w:rPr>
      </w:pPr>
      <w:r>
        <w:rPr>
          <w:rFonts w:hint="eastAsia" w:ascii="宋体" w:hAnsi="宋体"/>
          <w:color w:val="auto"/>
          <w:szCs w:val="21"/>
          <w:highlight w:val="none"/>
        </w:rPr>
        <w:t>1、响应总价栏须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w:t>
      </w:r>
      <w:r>
        <w:rPr>
          <w:rFonts w:hint="eastAsia" w:ascii="宋体" w:hAnsi="宋体"/>
          <w:color w:val="auto"/>
          <w:szCs w:val="21"/>
          <w:highlight w:val="none"/>
          <w:lang w:eastAsia="zh-CN"/>
        </w:rPr>
        <w:t>谈判</w:t>
      </w:r>
      <w:r>
        <w:rPr>
          <w:rFonts w:ascii="宋体" w:hAnsi="宋体"/>
          <w:color w:val="auto"/>
          <w:szCs w:val="21"/>
          <w:highlight w:val="none"/>
        </w:rPr>
        <w:t>总价</w:t>
      </w:r>
      <w:r>
        <w:rPr>
          <w:rFonts w:hint="eastAsia" w:ascii="宋体" w:hAnsi="宋体"/>
          <w:color w:val="auto"/>
          <w:szCs w:val="21"/>
          <w:highlight w:val="none"/>
        </w:rPr>
        <w:t>，报价保留小数点后两位。响应总价大小写不一致，以大写为准。响应总价必须准确唯一且应包含</w:t>
      </w:r>
      <w:r>
        <w:rPr>
          <w:rFonts w:hint="eastAsia" w:ascii="宋体" w:hAnsi="宋体"/>
          <w:color w:val="auto"/>
          <w:szCs w:val="21"/>
          <w:highlight w:val="none"/>
          <w:lang w:eastAsia="zh-CN"/>
        </w:rPr>
        <w:t>谈判</w:t>
      </w:r>
      <w:r>
        <w:rPr>
          <w:rFonts w:hint="eastAsia" w:ascii="宋体" w:hAnsi="宋体"/>
          <w:color w:val="auto"/>
          <w:szCs w:val="21"/>
          <w:highlight w:val="none"/>
        </w:rPr>
        <w:t>文件要求的所有费用。</w:t>
      </w:r>
    </w:p>
    <w:p w14:paraId="3C656593">
      <w:pPr>
        <w:ind w:firstLine="420" w:firstLineChars="200"/>
        <w:rPr>
          <w:rFonts w:hint="eastAsia" w:ascii="宋体" w:hAnsi="宋体"/>
          <w:color w:val="auto"/>
          <w:sz w:val="21"/>
          <w:szCs w:val="21"/>
          <w:highlight w:val="none"/>
        </w:rPr>
      </w:pPr>
      <w:r>
        <w:rPr>
          <w:rFonts w:hint="eastAsia" w:ascii="宋体" w:hAnsi="宋体"/>
          <w:color w:val="auto"/>
          <w:szCs w:val="21"/>
          <w:highlight w:val="none"/>
        </w:rPr>
        <w:t>2、温馨提示：未按</w:t>
      </w:r>
      <w:r>
        <w:rPr>
          <w:rFonts w:hint="eastAsia" w:ascii="宋体" w:hAnsi="宋体"/>
          <w:color w:val="auto"/>
          <w:szCs w:val="21"/>
          <w:highlight w:val="none"/>
          <w:lang w:eastAsia="zh-CN"/>
        </w:rPr>
        <w:t>谈判</w:t>
      </w:r>
      <w:r>
        <w:rPr>
          <w:rFonts w:hint="eastAsia" w:ascii="宋体" w:hAnsi="宋体"/>
          <w:color w:val="auto"/>
          <w:szCs w:val="21"/>
          <w:highlight w:val="none"/>
        </w:rPr>
        <w:t>文件要求报价、填写首次报价一览表是导致供应商废标的常见问题，请供应商仔细填写，认真核对。</w:t>
      </w:r>
    </w:p>
    <w:p w14:paraId="5A62D362">
      <w:pPr>
        <w:rPr>
          <w:color w:val="auto"/>
          <w:highlight w:val="none"/>
        </w:rPr>
      </w:pPr>
    </w:p>
    <w:p w14:paraId="45F0F827">
      <w:pPr>
        <w:rPr>
          <w:rFonts w:hint="eastAsia" w:ascii="黑体" w:hAnsi="Times New Roman"/>
          <w:b w:val="0"/>
          <w:bCs w:val="0"/>
          <w:color w:val="auto"/>
          <w:sz w:val="28"/>
          <w:szCs w:val="28"/>
          <w:highlight w:val="none"/>
        </w:rPr>
      </w:pPr>
      <w:bookmarkStart w:id="220" w:name="_Toc6200"/>
      <w:bookmarkStart w:id="221" w:name="_Toc338669164"/>
      <w:bookmarkStart w:id="222" w:name="_Toc486425445"/>
      <w:r>
        <w:rPr>
          <w:rFonts w:hint="eastAsia" w:ascii="黑体" w:hAnsi="Times New Roman"/>
          <w:b w:val="0"/>
          <w:bCs w:val="0"/>
          <w:color w:val="auto"/>
          <w:sz w:val="28"/>
          <w:szCs w:val="28"/>
          <w:highlight w:val="none"/>
        </w:rPr>
        <w:br w:type="page"/>
      </w:r>
    </w:p>
    <w:p w14:paraId="77A3543C">
      <w:pPr>
        <w:pStyle w:val="6"/>
        <w:spacing w:line="240" w:lineRule="auto"/>
        <w:rPr>
          <w:rFonts w:ascii="黑体" w:hAnsi="Times New Roman"/>
          <w:b w:val="0"/>
          <w:bCs w:val="0"/>
          <w:color w:val="auto"/>
          <w:sz w:val="28"/>
          <w:szCs w:val="28"/>
          <w:highlight w:val="none"/>
        </w:rPr>
      </w:pPr>
      <w:r>
        <w:rPr>
          <w:rFonts w:hint="eastAsia" w:ascii="黑体" w:hAnsi="Times New Roman"/>
          <w:b w:val="0"/>
          <w:bCs w:val="0"/>
          <w:color w:val="auto"/>
          <w:sz w:val="28"/>
          <w:szCs w:val="28"/>
          <w:highlight w:val="none"/>
        </w:rPr>
        <w:t>二、分项报价表</w:t>
      </w:r>
      <w:bookmarkEnd w:id="220"/>
      <w:bookmarkEnd w:id="221"/>
      <w:bookmarkEnd w:id="222"/>
    </w:p>
    <w:p w14:paraId="6CBFCF68">
      <w:pPr>
        <w:rPr>
          <w:color w:val="auto"/>
          <w:highlight w:val="none"/>
        </w:rPr>
      </w:pPr>
    </w:p>
    <w:p w14:paraId="597DA705">
      <w:pPr>
        <w:widowControl/>
        <w:adjustRightInd w:val="0"/>
        <w:snapToGrid w:val="0"/>
        <w:spacing w:line="360" w:lineRule="auto"/>
        <w:jc w:val="center"/>
        <w:rPr>
          <w:rFonts w:hint="eastAsia" w:ascii="黑体" w:hAnsi="Tahoma" w:eastAsia="黑体" w:cs="Times New Roman"/>
          <w:color w:val="auto"/>
          <w:kern w:val="0"/>
          <w:sz w:val="32"/>
          <w:szCs w:val="32"/>
          <w:highlight w:val="none"/>
          <w:lang w:val="en-US" w:eastAsia="zh-CN"/>
        </w:rPr>
      </w:pPr>
      <w:r>
        <w:rPr>
          <w:rFonts w:hint="eastAsia" w:ascii="黑体" w:hAnsi="Tahoma" w:eastAsia="黑体" w:cs="Times New Roman"/>
          <w:color w:val="auto"/>
          <w:kern w:val="0"/>
          <w:sz w:val="32"/>
          <w:szCs w:val="32"/>
          <w:highlight w:val="none"/>
          <w:lang w:val="en-US" w:eastAsia="zh-CN"/>
        </w:rPr>
        <w:t>分项报价明细表</w:t>
      </w:r>
    </w:p>
    <w:p w14:paraId="4651742A">
      <w:pPr>
        <w:spacing w:line="360" w:lineRule="auto"/>
        <w:rPr>
          <w:rFonts w:ascii="宋体" w:hAnsi="宋体"/>
          <w:color w:val="auto"/>
          <w:szCs w:val="21"/>
          <w:highlight w:val="none"/>
        </w:rPr>
      </w:pPr>
      <w:r>
        <w:rPr>
          <w:rFonts w:hint="eastAsia" w:ascii="宋体" w:hAnsi="宋体"/>
          <w:color w:val="auto"/>
          <w:szCs w:val="21"/>
          <w:highlight w:val="none"/>
        </w:rPr>
        <w:t>供应商名称：</w:t>
      </w:r>
    </w:p>
    <w:p w14:paraId="6B8A0D7D">
      <w:pPr>
        <w:spacing w:line="360" w:lineRule="auto"/>
        <w:jc w:val="both"/>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rPr>
        <w:br w:type="textWrapping"/>
      </w:r>
      <w:r>
        <w:rPr>
          <w:rFonts w:hint="eastAsia" w:ascii="宋体" w:hAnsi="宋体" w:eastAsia="宋体" w:cs="Times New Roman"/>
          <w:color w:val="auto"/>
          <w:szCs w:val="21"/>
          <w:highlight w:val="none"/>
        </w:rPr>
        <w:t>标包：</w:t>
      </w:r>
    </w:p>
    <w:p w14:paraId="0817B45C">
      <w:pPr>
        <w:spacing w:line="360" w:lineRule="auto"/>
        <w:jc w:val="right"/>
        <w:rPr>
          <w:color w:val="auto"/>
          <w:highlight w:val="none"/>
        </w:rPr>
      </w:pPr>
      <w:r>
        <w:rPr>
          <w:rFonts w:hint="eastAsia" w:ascii="宋体" w:hAnsi="宋体"/>
          <w:color w:val="auto"/>
          <w:szCs w:val="21"/>
          <w:highlight w:val="none"/>
        </w:rPr>
        <w:t>[货币单位：人民币元]</w:t>
      </w:r>
    </w:p>
    <w:tbl>
      <w:tblPr>
        <w:tblStyle w:val="38"/>
        <w:tblW w:w="8336" w:type="dxa"/>
        <w:tblInd w:w="0" w:type="dxa"/>
        <w:shd w:val="clear" w:color="auto" w:fill="auto"/>
        <w:tblLayout w:type="fixed"/>
        <w:tblCellMar>
          <w:top w:w="0" w:type="dxa"/>
          <w:left w:w="0" w:type="dxa"/>
          <w:bottom w:w="0" w:type="dxa"/>
          <w:right w:w="0" w:type="dxa"/>
        </w:tblCellMar>
      </w:tblPr>
      <w:tblGrid>
        <w:gridCol w:w="467"/>
        <w:gridCol w:w="2992"/>
        <w:gridCol w:w="1067"/>
        <w:gridCol w:w="1368"/>
        <w:gridCol w:w="1172"/>
        <w:gridCol w:w="1270"/>
      </w:tblGrid>
      <w:tr w14:paraId="7BDCA79E">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3E9F">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5930">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项目内容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0EF3">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数量/</w:t>
            </w:r>
            <w:r>
              <w:rPr>
                <w:rFonts w:hint="eastAsia" w:ascii="宋体" w:hAnsi="宋体" w:eastAsia="宋体" w:cs="宋体"/>
                <w:b/>
                <w:i w:val="0"/>
                <w:color w:val="auto"/>
                <w:kern w:val="0"/>
                <w:sz w:val="22"/>
                <w:szCs w:val="22"/>
                <w:highlight w:val="none"/>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0009">
            <w:pPr>
              <w:keepNext w:val="0"/>
              <w:keepLines w:val="0"/>
              <w:widowControl/>
              <w:suppressLineNumbers w:val="0"/>
              <w:spacing w:line="360" w:lineRule="auto"/>
              <w:jc w:val="center"/>
              <w:textAlignment w:val="center"/>
              <w:rPr>
                <w:rFonts w:hint="default" w:ascii="宋体" w:hAnsi="宋体" w:eastAsia="宋体" w:cs="宋体"/>
                <w:b/>
                <w:i w:val="0"/>
                <w:color w:val="auto"/>
                <w:sz w:val="22"/>
                <w:szCs w:val="22"/>
                <w:highlight w:val="none"/>
                <w:u w:val="none"/>
                <w:lang w:val="en-US"/>
              </w:rPr>
            </w:pPr>
            <w:r>
              <w:rPr>
                <w:rFonts w:hint="eastAsia" w:ascii="宋体" w:hAnsi="宋体" w:cs="宋体"/>
                <w:b/>
                <w:i w:val="0"/>
                <w:color w:val="auto"/>
                <w:kern w:val="0"/>
                <w:sz w:val="22"/>
                <w:szCs w:val="22"/>
                <w:highlight w:val="none"/>
                <w:u w:val="none"/>
                <w:lang w:val="en-US" w:eastAsia="zh-CN" w:bidi="ar"/>
              </w:rPr>
              <w:t>最高限价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BF8A">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含税总价</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F948">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14:paraId="7D11E8C1">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7200">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BA80">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A247">
            <w:pPr>
              <w:keepNext w:val="0"/>
              <w:keepLines w:val="0"/>
              <w:widowControl/>
              <w:suppressLineNumbers w:val="0"/>
              <w:spacing w:line="360" w:lineRule="auto"/>
              <w:jc w:val="center"/>
              <w:textAlignment w:val="center"/>
              <w:rPr>
                <w:rFonts w:hint="default" w:ascii="宋体" w:hAnsi="宋体" w:eastAsia="宋体" w:cs="宋体"/>
                <w:b w:val="0"/>
                <w:bCs/>
                <w:i w:val="0"/>
                <w:color w:val="auto"/>
                <w:sz w:val="21"/>
                <w:szCs w:val="21"/>
                <w:highlight w:val="none"/>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8937">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22F6">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9152">
            <w:pPr>
              <w:spacing w:line="360" w:lineRule="auto"/>
              <w:jc w:val="center"/>
              <w:rPr>
                <w:rFonts w:hint="eastAsia" w:ascii="宋体" w:hAnsi="宋体" w:eastAsia="宋体" w:cs="宋体"/>
                <w:i w:val="0"/>
                <w:color w:val="auto"/>
                <w:sz w:val="21"/>
                <w:szCs w:val="21"/>
                <w:highlight w:val="none"/>
                <w:u w:val="none"/>
              </w:rPr>
            </w:pPr>
          </w:p>
        </w:tc>
      </w:tr>
      <w:tr w14:paraId="26E84EA4">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042C">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6353">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2693">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E9D28">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E860">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255B">
            <w:pPr>
              <w:spacing w:line="360" w:lineRule="auto"/>
              <w:jc w:val="center"/>
              <w:rPr>
                <w:rFonts w:hint="eastAsia" w:ascii="宋体" w:hAnsi="宋体" w:eastAsia="宋体" w:cs="宋体"/>
                <w:i w:val="0"/>
                <w:color w:val="auto"/>
                <w:sz w:val="21"/>
                <w:szCs w:val="21"/>
                <w:highlight w:val="none"/>
                <w:u w:val="none"/>
              </w:rPr>
            </w:pPr>
          </w:p>
        </w:tc>
      </w:tr>
      <w:tr w14:paraId="359FF2B1">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5B26">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8B44">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F14E">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D4A2">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C534">
            <w:pPr>
              <w:spacing w:line="360" w:lineRule="auto"/>
              <w:jc w:val="center"/>
              <w:rPr>
                <w:rFonts w:hint="eastAsia" w:ascii="宋体" w:hAnsi="宋体" w:eastAsia="宋体" w:cs="宋体"/>
                <w:i w:val="0"/>
                <w:color w:val="auto"/>
                <w:sz w:val="22"/>
                <w:szCs w:val="22"/>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8B95">
            <w:pPr>
              <w:spacing w:line="360" w:lineRule="auto"/>
              <w:jc w:val="left"/>
              <w:rPr>
                <w:rFonts w:hint="eastAsia" w:ascii="宋体" w:hAnsi="宋体" w:eastAsia="宋体" w:cs="宋体"/>
                <w:i w:val="0"/>
                <w:color w:val="auto"/>
                <w:sz w:val="21"/>
                <w:szCs w:val="21"/>
                <w:highlight w:val="none"/>
                <w:u w:val="none"/>
              </w:rPr>
            </w:pPr>
          </w:p>
        </w:tc>
      </w:tr>
      <w:tr w14:paraId="499FEDAB">
        <w:tblPrEx>
          <w:shd w:val="clear" w:color="auto" w:fill="auto"/>
          <w:tblCellMar>
            <w:top w:w="0" w:type="dxa"/>
            <w:left w:w="0" w:type="dxa"/>
            <w:bottom w:w="0" w:type="dxa"/>
            <w:right w:w="0" w:type="dxa"/>
          </w:tblCellMar>
        </w:tblPrEx>
        <w:trPr>
          <w:trHeight w:val="567" w:hRule="atLeast"/>
        </w:trPr>
        <w:tc>
          <w:tcPr>
            <w:tcW w:w="5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6E57">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合计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AAD1">
            <w:pPr>
              <w:keepNext w:val="0"/>
              <w:keepLines w:val="0"/>
              <w:widowControl/>
              <w:suppressLineNumbers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77C5">
            <w:pPr>
              <w:spacing w:line="360" w:lineRule="auto"/>
              <w:rPr>
                <w:rFonts w:hint="eastAsia" w:ascii="宋体" w:hAnsi="宋体" w:eastAsia="宋体" w:cs="宋体"/>
                <w:i w:val="0"/>
                <w:color w:val="auto"/>
                <w:sz w:val="19"/>
                <w:szCs w:val="19"/>
                <w:highlight w:val="none"/>
                <w:u w:val="none"/>
              </w:rPr>
            </w:pPr>
          </w:p>
        </w:tc>
      </w:tr>
    </w:tbl>
    <w:p w14:paraId="2AA093DB">
      <w:pPr>
        <w:spacing w:line="360" w:lineRule="auto"/>
        <w:ind w:left="748" w:hanging="567"/>
        <w:jc w:val="left"/>
        <w:rPr>
          <w:rFonts w:ascii="宋体" w:hAnsi="宋体"/>
          <w:b/>
          <w:bCs/>
          <w:color w:val="auto"/>
          <w:sz w:val="21"/>
          <w:szCs w:val="21"/>
          <w:highlight w:val="none"/>
        </w:rPr>
      </w:pPr>
      <w:r>
        <w:rPr>
          <w:rFonts w:hint="eastAsia" w:ascii="宋体" w:hAnsi="宋体"/>
          <w:b/>
          <w:bCs/>
          <w:color w:val="auto"/>
          <w:sz w:val="21"/>
          <w:szCs w:val="21"/>
          <w:highlight w:val="none"/>
        </w:rPr>
        <w:t>注：以上报价请四舍五入，最多保留2位小数，否则视为无效报价。</w:t>
      </w:r>
    </w:p>
    <w:p w14:paraId="3430485F">
      <w:pPr>
        <w:spacing w:line="360" w:lineRule="auto"/>
        <w:ind w:firstLine="359" w:firstLineChars="171"/>
        <w:rPr>
          <w:rFonts w:hint="eastAsia" w:ascii="宋体" w:hAnsi="宋体"/>
          <w:color w:val="auto"/>
          <w:szCs w:val="21"/>
          <w:highlight w:val="none"/>
        </w:rPr>
      </w:pPr>
    </w:p>
    <w:p w14:paraId="002959EA">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525E8D09">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供应商盖章：</w:t>
      </w:r>
    </w:p>
    <w:p w14:paraId="642B3D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日期：</w:t>
      </w:r>
    </w:p>
    <w:p w14:paraId="388E2B53">
      <w:pPr>
        <w:widowControl/>
        <w:jc w:val="left"/>
        <w:rPr>
          <w:color w:val="auto"/>
          <w:highlight w:val="none"/>
        </w:rPr>
      </w:pPr>
      <w:r>
        <w:rPr>
          <w:color w:val="auto"/>
          <w:highlight w:val="none"/>
        </w:rPr>
        <w:br w:type="page"/>
      </w:r>
    </w:p>
    <w:p w14:paraId="2A758F26">
      <w:pPr>
        <w:pStyle w:val="6"/>
        <w:jc w:val="left"/>
        <w:rPr>
          <w:color w:val="auto"/>
          <w:highlight w:val="none"/>
        </w:rPr>
      </w:pPr>
      <w:bookmarkStart w:id="223" w:name="_Toc28919"/>
      <w:r>
        <w:rPr>
          <w:rFonts w:hint="eastAsia"/>
          <w:color w:val="auto"/>
          <w:highlight w:val="none"/>
        </w:rPr>
        <w:t>第三部分</w:t>
      </w:r>
      <w:r>
        <w:rPr>
          <w:color w:val="auto"/>
          <w:highlight w:val="none"/>
        </w:rPr>
        <w:t xml:space="preserve">  </w:t>
      </w:r>
      <w:r>
        <w:rPr>
          <w:rFonts w:hint="eastAsia"/>
          <w:color w:val="auto"/>
          <w:highlight w:val="none"/>
        </w:rPr>
        <w:t>唱标信封（单独密封）</w:t>
      </w:r>
      <w:bookmarkEnd w:id="223"/>
    </w:p>
    <w:p w14:paraId="6BE2BC1E">
      <w:pPr>
        <w:spacing w:line="360" w:lineRule="auto"/>
        <w:ind w:left="796" w:leftChars="178" w:hanging="422" w:hangingChars="201"/>
        <w:rPr>
          <w:rFonts w:hAnsi="宋体"/>
          <w:color w:val="auto"/>
          <w:szCs w:val="21"/>
          <w:highlight w:val="none"/>
        </w:rPr>
      </w:pPr>
    </w:p>
    <w:p w14:paraId="7FFC0B52">
      <w:pPr>
        <w:spacing w:line="360" w:lineRule="auto"/>
        <w:ind w:left="796" w:leftChars="178" w:hanging="422" w:hangingChars="201"/>
        <w:rPr>
          <w:rFonts w:hAnsi="宋体"/>
          <w:color w:val="auto"/>
          <w:szCs w:val="21"/>
          <w:highlight w:val="none"/>
        </w:rPr>
      </w:pPr>
      <w:r>
        <w:rPr>
          <w:rFonts w:hint="eastAsia" w:hAnsi="宋体"/>
          <w:color w:val="auto"/>
          <w:szCs w:val="21"/>
          <w:highlight w:val="none"/>
        </w:rPr>
        <w:t>唱标信封内装：</w:t>
      </w:r>
    </w:p>
    <w:p w14:paraId="63DF7EB0">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竞争性谈判响应函复印件加盖公章；</w:t>
      </w:r>
    </w:p>
    <w:p w14:paraId="0931827F">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法定代表人证明书复印件加盖公章；</w:t>
      </w:r>
    </w:p>
    <w:p w14:paraId="301E062B">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法定代表人授权委托书复印件加盖公章（法定代表人投标的除外）；</w:t>
      </w:r>
    </w:p>
    <w:p w14:paraId="3D7D0796">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报价一览表复印件加盖公章；</w:t>
      </w:r>
    </w:p>
    <w:p w14:paraId="1CDA19D4">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响应文件电子文件（U盘）；</w:t>
      </w:r>
    </w:p>
    <w:p w14:paraId="7C97A676">
      <w:pPr>
        <w:tabs>
          <w:tab w:val="left" w:pos="720"/>
        </w:tabs>
        <w:spacing w:line="440" w:lineRule="exact"/>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67B7">
    <w:pPr>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3175" r="63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3F994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j5xr/QsCAAACBAAADgAAAAAAAAABACAAAAAfAQAA&#10;ZHJzL2Uyb0RvYy54bWxQSwUGAAAAAAYABgBZAQAAnAUAAAAA&#10;">
              <v:fill on="f" focussize="0,0"/>
              <v:stroke on="f"/>
              <v:imagedata o:title=""/>
              <o:lock v:ext="edit" aspectratio="f"/>
              <v:textbox inset="0mm,0mm,0mm,0mm" style="mso-fit-shape-to-text:t;">
                <w:txbxContent>
                  <w:p w14:paraId="73F994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75C48"/>
    <w:multiLevelType w:val="multilevel"/>
    <w:tmpl w:val="00975C48"/>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D67977"/>
    <w:multiLevelType w:val="multilevel"/>
    <w:tmpl w:val="27D67977"/>
    <w:lvl w:ilvl="0" w:tentative="0">
      <w:start w:val="1"/>
      <w:numFmt w:val="decimal"/>
      <w:lvlText w:val="%1"/>
      <w:lvlJc w:val="left"/>
      <w:pPr>
        <w:ind w:left="425" w:hanging="425"/>
      </w:p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31B23450"/>
    <w:multiLevelType w:val="multilevel"/>
    <w:tmpl w:val="31B234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E02070"/>
    <w:multiLevelType w:val="multilevel"/>
    <w:tmpl w:val="34E02070"/>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400F3F41"/>
    <w:multiLevelType w:val="multilevel"/>
    <w:tmpl w:val="400F3F41"/>
    <w:lvl w:ilvl="0" w:tentative="0">
      <w:start w:val="1"/>
      <w:numFmt w:val="decimal"/>
      <w:lvlText w:val="%1."/>
      <w:lvlJc w:val="left"/>
      <w:pPr>
        <w:ind w:left="360" w:hanging="360"/>
      </w:pPr>
      <w:rPr>
        <w:rFonts w:hint="default"/>
      </w:rPr>
    </w:lvl>
    <w:lvl w:ilvl="1" w:tentative="0">
      <w:start w:val="6"/>
      <w:numFmt w:val="decimal"/>
      <w:isLgl/>
      <w:lvlText w:val="%1.%2"/>
      <w:lvlJc w:val="left"/>
      <w:pPr>
        <w:ind w:left="540" w:hanging="54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429F0012"/>
    <w:multiLevelType w:val="multilevel"/>
    <w:tmpl w:val="429F0012"/>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pStyle w:val="36"/>
      <w:lvlText w:val="%1.%2"/>
      <w:lvlJc w:val="left"/>
      <w:pPr>
        <w:ind w:left="850" w:hanging="425"/>
      </w:pPr>
      <w:rPr>
        <w:rFonts w:hint="eastAsia" w:eastAsia="宋体"/>
        <w:b/>
        <w:i w:val="0"/>
        <w:sz w:val="24"/>
      </w:rPr>
    </w:lvl>
    <w:lvl w:ilvl="2" w:tentative="0">
      <w:start w:val="1"/>
      <w:numFmt w:val="decimal"/>
      <w:pStyle w:val="72"/>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7">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8">
    <w:nsid w:val="635E683D"/>
    <w:multiLevelType w:val="multilevel"/>
    <w:tmpl w:val="635E68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3"/>
  </w:num>
  <w:num w:numId="4">
    <w:abstractNumId w:val="4"/>
  </w:num>
  <w:num w:numId="5">
    <w:abstractNumId w:val="5"/>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7F7043"/>
    <w:rsid w:val="0000377B"/>
    <w:rsid w:val="000068EA"/>
    <w:rsid w:val="00007223"/>
    <w:rsid w:val="0001068F"/>
    <w:rsid w:val="000125F4"/>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B0915"/>
    <w:rsid w:val="000B6DE6"/>
    <w:rsid w:val="000C2D7F"/>
    <w:rsid w:val="000C6828"/>
    <w:rsid w:val="000D3326"/>
    <w:rsid w:val="000D39C4"/>
    <w:rsid w:val="000D6A60"/>
    <w:rsid w:val="000E1DA4"/>
    <w:rsid w:val="000E5805"/>
    <w:rsid w:val="000F26EE"/>
    <w:rsid w:val="000F3DBB"/>
    <w:rsid w:val="000F58BD"/>
    <w:rsid w:val="000F676E"/>
    <w:rsid w:val="001033E2"/>
    <w:rsid w:val="0011115C"/>
    <w:rsid w:val="001114E2"/>
    <w:rsid w:val="00113948"/>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62A3"/>
    <w:rsid w:val="001776DB"/>
    <w:rsid w:val="00177990"/>
    <w:rsid w:val="001926AA"/>
    <w:rsid w:val="0019600D"/>
    <w:rsid w:val="001A39AD"/>
    <w:rsid w:val="001A557C"/>
    <w:rsid w:val="001B5293"/>
    <w:rsid w:val="001B6936"/>
    <w:rsid w:val="001C0E77"/>
    <w:rsid w:val="001C48B4"/>
    <w:rsid w:val="001C7FA0"/>
    <w:rsid w:val="001D001E"/>
    <w:rsid w:val="001D1A8A"/>
    <w:rsid w:val="001D2177"/>
    <w:rsid w:val="001D645C"/>
    <w:rsid w:val="001E0E84"/>
    <w:rsid w:val="001E1964"/>
    <w:rsid w:val="001F03F7"/>
    <w:rsid w:val="001F2656"/>
    <w:rsid w:val="0020205A"/>
    <w:rsid w:val="00202BDA"/>
    <w:rsid w:val="00212556"/>
    <w:rsid w:val="00213735"/>
    <w:rsid w:val="00215D42"/>
    <w:rsid w:val="00215DB5"/>
    <w:rsid w:val="002229F4"/>
    <w:rsid w:val="00224DA6"/>
    <w:rsid w:val="00225ABF"/>
    <w:rsid w:val="00231ECF"/>
    <w:rsid w:val="00232F26"/>
    <w:rsid w:val="00240E9B"/>
    <w:rsid w:val="00240FAF"/>
    <w:rsid w:val="002427F7"/>
    <w:rsid w:val="00245AF1"/>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D16FE"/>
    <w:rsid w:val="002D20B1"/>
    <w:rsid w:val="002D5A77"/>
    <w:rsid w:val="002E2895"/>
    <w:rsid w:val="002E3D00"/>
    <w:rsid w:val="002E6DCC"/>
    <w:rsid w:val="002F747B"/>
    <w:rsid w:val="00305DAF"/>
    <w:rsid w:val="00306C8C"/>
    <w:rsid w:val="0031043B"/>
    <w:rsid w:val="0031158A"/>
    <w:rsid w:val="00311A4C"/>
    <w:rsid w:val="00314113"/>
    <w:rsid w:val="003214FF"/>
    <w:rsid w:val="00322BC5"/>
    <w:rsid w:val="00333529"/>
    <w:rsid w:val="003335D4"/>
    <w:rsid w:val="00340328"/>
    <w:rsid w:val="003430A1"/>
    <w:rsid w:val="003443FA"/>
    <w:rsid w:val="003545F9"/>
    <w:rsid w:val="00355AC7"/>
    <w:rsid w:val="00356C08"/>
    <w:rsid w:val="00357096"/>
    <w:rsid w:val="00366E3A"/>
    <w:rsid w:val="003744F6"/>
    <w:rsid w:val="003755B6"/>
    <w:rsid w:val="00376018"/>
    <w:rsid w:val="003765FB"/>
    <w:rsid w:val="00383607"/>
    <w:rsid w:val="00387551"/>
    <w:rsid w:val="00397A3F"/>
    <w:rsid w:val="003A3ADE"/>
    <w:rsid w:val="003B1CCA"/>
    <w:rsid w:val="003B3753"/>
    <w:rsid w:val="003B5578"/>
    <w:rsid w:val="003B7024"/>
    <w:rsid w:val="003C0972"/>
    <w:rsid w:val="003C37CB"/>
    <w:rsid w:val="003C4252"/>
    <w:rsid w:val="003D0D02"/>
    <w:rsid w:val="003D0DF5"/>
    <w:rsid w:val="003D454A"/>
    <w:rsid w:val="003D4D5D"/>
    <w:rsid w:val="003D5EF7"/>
    <w:rsid w:val="003D66FF"/>
    <w:rsid w:val="003F2F66"/>
    <w:rsid w:val="003F403A"/>
    <w:rsid w:val="003F67B8"/>
    <w:rsid w:val="00405A7D"/>
    <w:rsid w:val="00406DFA"/>
    <w:rsid w:val="004140FD"/>
    <w:rsid w:val="00427F1A"/>
    <w:rsid w:val="00431CEF"/>
    <w:rsid w:val="00434DDB"/>
    <w:rsid w:val="00442F1B"/>
    <w:rsid w:val="00444F94"/>
    <w:rsid w:val="00446077"/>
    <w:rsid w:val="00451B69"/>
    <w:rsid w:val="00457795"/>
    <w:rsid w:val="00460378"/>
    <w:rsid w:val="0047136F"/>
    <w:rsid w:val="00482072"/>
    <w:rsid w:val="00482F38"/>
    <w:rsid w:val="00486F55"/>
    <w:rsid w:val="0049123C"/>
    <w:rsid w:val="00491356"/>
    <w:rsid w:val="00495A94"/>
    <w:rsid w:val="004A0F02"/>
    <w:rsid w:val="004A7525"/>
    <w:rsid w:val="004B0D39"/>
    <w:rsid w:val="004B47DB"/>
    <w:rsid w:val="004B5A8D"/>
    <w:rsid w:val="004C1BF6"/>
    <w:rsid w:val="004C5563"/>
    <w:rsid w:val="004C6E94"/>
    <w:rsid w:val="004D2F89"/>
    <w:rsid w:val="004E2784"/>
    <w:rsid w:val="004E5496"/>
    <w:rsid w:val="004F415F"/>
    <w:rsid w:val="004F6631"/>
    <w:rsid w:val="0050571F"/>
    <w:rsid w:val="00506215"/>
    <w:rsid w:val="005167A3"/>
    <w:rsid w:val="00532FF9"/>
    <w:rsid w:val="00534C42"/>
    <w:rsid w:val="00540577"/>
    <w:rsid w:val="00541639"/>
    <w:rsid w:val="00544269"/>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2F2"/>
    <w:rsid w:val="005C3C1E"/>
    <w:rsid w:val="005C5AD3"/>
    <w:rsid w:val="005C7525"/>
    <w:rsid w:val="005D0764"/>
    <w:rsid w:val="005D4A4C"/>
    <w:rsid w:val="005D69CE"/>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4035A"/>
    <w:rsid w:val="00643DDF"/>
    <w:rsid w:val="00647396"/>
    <w:rsid w:val="006570BF"/>
    <w:rsid w:val="00664CF3"/>
    <w:rsid w:val="00666038"/>
    <w:rsid w:val="006727C5"/>
    <w:rsid w:val="006764D4"/>
    <w:rsid w:val="00684322"/>
    <w:rsid w:val="00686A71"/>
    <w:rsid w:val="006A112C"/>
    <w:rsid w:val="006A4E92"/>
    <w:rsid w:val="006A7450"/>
    <w:rsid w:val="006B2C49"/>
    <w:rsid w:val="006C05C4"/>
    <w:rsid w:val="006E577D"/>
    <w:rsid w:val="006F1984"/>
    <w:rsid w:val="006F549E"/>
    <w:rsid w:val="006F7A59"/>
    <w:rsid w:val="0070116A"/>
    <w:rsid w:val="007136D4"/>
    <w:rsid w:val="007175E8"/>
    <w:rsid w:val="00717EAC"/>
    <w:rsid w:val="007305E3"/>
    <w:rsid w:val="00735940"/>
    <w:rsid w:val="00736461"/>
    <w:rsid w:val="00736732"/>
    <w:rsid w:val="00736A4E"/>
    <w:rsid w:val="00737B8B"/>
    <w:rsid w:val="00740A87"/>
    <w:rsid w:val="00741664"/>
    <w:rsid w:val="00745D20"/>
    <w:rsid w:val="00747901"/>
    <w:rsid w:val="00747D17"/>
    <w:rsid w:val="0075231A"/>
    <w:rsid w:val="007620C0"/>
    <w:rsid w:val="00764814"/>
    <w:rsid w:val="00764B37"/>
    <w:rsid w:val="0076780F"/>
    <w:rsid w:val="00770E9C"/>
    <w:rsid w:val="00773F55"/>
    <w:rsid w:val="00780AF3"/>
    <w:rsid w:val="007846D2"/>
    <w:rsid w:val="00784C56"/>
    <w:rsid w:val="0079202B"/>
    <w:rsid w:val="00795BE7"/>
    <w:rsid w:val="00796644"/>
    <w:rsid w:val="007A62AC"/>
    <w:rsid w:val="007B4F47"/>
    <w:rsid w:val="007B789E"/>
    <w:rsid w:val="007E3A74"/>
    <w:rsid w:val="007E7D13"/>
    <w:rsid w:val="007F7043"/>
    <w:rsid w:val="00800ACF"/>
    <w:rsid w:val="00803110"/>
    <w:rsid w:val="00805C25"/>
    <w:rsid w:val="008072D2"/>
    <w:rsid w:val="00815713"/>
    <w:rsid w:val="0082425B"/>
    <w:rsid w:val="008254A1"/>
    <w:rsid w:val="00825D9A"/>
    <w:rsid w:val="00841DD6"/>
    <w:rsid w:val="008448EA"/>
    <w:rsid w:val="008460C6"/>
    <w:rsid w:val="008508E2"/>
    <w:rsid w:val="008509E3"/>
    <w:rsid w:val="008516E4"/>
    <w:rsid w:val="00857310"/>
    <w:rsid w:val="0085749E"/>
    <w:rsid w:val="008650DD"/>
    <w:rsid w:val="00866D8B"/>
    <w:rsid w:val="00871D8E"/>
    <w:rsid w:val="00872E85"/>
    <w:rsid w:val="008811E5"/>
    <w:rsid w:val="00884570"/>
    <w:rsid w:val="00884C4E"/>
    <w:rsid w:val="00890E4C"/>
    <w:rsid w:val="00891870"/>
    <w:rsid w:val="00891B82"/>
    <w:rsid w:val="0089351B"/>
    <w:rsid w:val="00894FE8"/>
    <w:rsid w:val="008A1DC8"/>
    <w:rsid w:val="008A515A"/>
    <w:rsid w:val="008C09B2"/>
    <w:rsid w:val="008D3E81"/>
    <w:rsid w:val="008D456D"/>
    <w:rsid w:val="008E1744"/>
    <w:rsid w:val="008E513F"/>
    <w:rsid w:val="008E6348"/>
    <w:rsid w:val="008E7C12"/>
    <w:rsid w:val="008F46A2"/>
    <w:rsid w:val="008F4EAA"/>
    <w:rsid w:val="00900B7E"/>
    <w:rsid w:val="009010CD"/>
    <w:rsid w:val="009013B8"/>
    <w:rsid w:val="0090210A"/>
    <w:rsid w:val="00903EF0"/>
    <w:rsid w:val="00905F80"/>
    <w:rsid w:val="00911EA5"/>
    <w:rsid w:val="00912253"/>
    <w:rsid w:val="009140DC"/>
    <w:rsid w:val="00915242"/>
    <w:rsid w:val="00917987"/>
    <w:rsid w:val="0092159B"/>
    <w:rsid w:val="00922A56"/>
    <w:rsid w:val="009236E4"/>
    <w:rsid w:val="00937839"/>
    <w:rsid w:val="009413B9"/>
    <w:rsid w:val="0094174C"/>
    <w:rsid w:val="0094283C"/>
    <w:rsid w:val="00950340"/>
    <w:rsid w:val="00951A6D"/>
    <w:rsid w:val="00953892"/>
    <w:rsid w:val="009541FE"/>
    <w:rsid w:val="0095654C"/>
    <w:rsid w:val="00956A2E"/>
    <w:rsid w:val="009711D7"/>
    <w:rsid w:val="00991598"/>
    <w:rsid w:val="00993A23"/>
    <w:rsid w:val="00994838"/>
    <w:rsid w:val="00996189"/>
    <w:rsid w:val="00996C4C"/>
    <w:rsid w:val="009B2E9E"/>
    <w:rsid w:val="009B4340"/>
    <w:rsid w:val="009C05FF"/>
    <w:rsid w:val="009C3EB6"/>
    <w:rsid w:val="009C4AE1"/>
    <w:rsid w:val="009E3766"/>
    <w:rsid w:val="009E709C"/>
    <w:rsid w:val="009F1648"/>
    <w:rsid w:val="009F2569"/>
    <w:rsid w:val="009F4DC3"/>
    <w:rsid w:val="009F6FF9"/>
    <w:rsid w:val="00A11BF7"/>
    <w:rsid w:val="00A1231D"/>
    <w:rsid w:val="00A146E4"/>
    <w:rsid w:val="00A1566E"/>
    <w:rsid w:val="00A15B9D"/>
    <w:rsid w:val="00A214B6"/>
    <w:rsid w:val="00A222B3"/>
    <w:rsid w:val="00A265D1"/>
    <w:rsid w:val="00A34B42"/>
    <w:rsid w:val="00A37D33"/>
    <w:rsid w:val="00A43985"/>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2E8F"/>
    <w:rsid w:val="00A936C7"/>
    <w:rsid w:val="00AA3428"/>
    <w:rsid w:val="00AA4712"/>
    <w:rsid w:val="00AA520E"/>
    <w:rsid w:val="00AB5E0B"/>
    <w:rsid w:val="00AB7928"/>
    <w:rsid w:val="00AC7749"/>
    <w:rsid w:val="00AD45E5"/>
    <w:rsid w:val="00AD7143"/>
    <w:rsid w:val="00AD7D67"/>
    <w:rsid w:val="00AE29D5"/>
    <w:rsid w:val="00AE3232"/>
    <w:rsid w:val="00AE54E5"/>
    <w:rsid w:val="00AE7910"/>
    <w:rsid w:val="00AF0BB8"/>
    <w:rsid w:val="00AF2A00"/>
    <w:rsid w:val="00AF66E1"/>
    <w:rsid w:val="00AF69C8"/>
    <w:rsid w:val="00B0021D"/>
    <w:rsid w:val="00B01B9F"/>
    <w:rsid w:val="00B06020"/>
    <w:rsid w:val="00B060CE"/>
    <w:rsid w:val="00B06FE3"/>
    <w:rsid w:val="00B133D8"/>
    <w:rsid w:val="00B156A3"/>
    <w:rsid w:val="00B2005E"/>
    <w:rsid w:val="00B257D5"/>
    <w:rsid w:val="00B3037E"/>
    <w:rsid w:val="00B31BD7"/>
    <w:rsid w:val="00B4499D"/>
    <w:rsid w:val="00B47580"/>
    <w:rsid w:val="00B514EF"/>
    <w:rsid w:val="00B51DD2"/>
    <w:rsid w:val="00B53F77"/>
    <w:rsid w:val="00B63273"/>
    <w:rsid w:val="00B63536"/>
    <w:rsid w:val="00B65A3C"/>
    <w:rsid w:val="00B7132D"/>
    <w:rsid w:val="00B72AF9"/>
    <w:rsid w:val="00B74806"/>
    <w:rsid w:val="00B74D7C"/>
    <w:rsid w:val="00B91568"/>
    <w:rsid w:val="00B92B13"/>
    <w:rsid w:val="00B93A94"/>
    <w:rsid w:val="00B95A7E"/>
    <w:rsid w:val="00B96E2E"/>
    <w:rsid w:val="00B97786"/>
    <w:rsid w:val="00BA3BF9"/>
    <w:rsid w:val="00BB259C"/>
    <w:rsid w:val="00BB5EE2"/>
    <w:rsid w:val="00BC1C43"/>
    <w:rsid w:val="00BC3B6D"/>
    <w:rsid w:val="00BC6BA5"/>
    <w:rsid w:val="00BD0DF7"/>
    <w:rsid w:val="00BE4981"/>
    <w:rsid w:val="00BE6CF3"/>
    <w:rsid w:val="00BF4BE7"/>
    <w:rsid w:val="00BF6561"/>
    <w:rsid w:val="00C11BBF"/>
    <w:rsid w:val="00C14061"/>
    <w:rsid w:val="00C15BDE"/>
    <w:rsid w:val="00C20849"/>
    <w:rsid w:val="00C2296D"/>
    <w:rsid w:val="00C2412D"/>
    <w:rsid w:val="00C31F97"/>
    <w:rsid w:val="00C37A0B"/>
    <w:rsid w:val="00C4079B"/>
    <w:rsid w:val="00C45CDA"/>
    <w:rsid w:val="00C53DD1"/>
    <w:rsid w:val="00C60320"/>
    <w:rsid w:val="00C60B60"/>
    <w:rsid w:val="00C63C93"/>
    <w:rsid w:val="00C737AB"/>
    <w:rsid w:val="00C73F66"/>
    <w:rsid w:val="00C82D23"/>
    <w:rsid w:val="00C84F04"/>
    <w:rsid w:val="00C957FB"/>
    <w:rsid w:val="00CA2879"/>
    <w:rsid w:val="00CA369C"/>
    <w:rsid w:val="00CA37E9"/>
    <w:rsid w:val="00CA4C4C"/>
    <w:rsid w:val="00CA5EA8"/>
    <w:rsid w:val="00CD0E53"/>
    <w:rsid w:val="00CE49DF"/>
    <w:rsid w:val="00CE51FE"/>
    <w:rsid w:val="00CE7495"/>
    <w:rsid w:val="00CF3208"/>
    <w:rsid w:val="00CF33AC"/>
    <w:rsid w:val="00D039B8"/>
    <w:rsid w:val="00D11DBF"/>
    <w:rsid w:val="00D147E9"/>
    <w:rsid w:val="00D201DE"/>
    <w:rsid w:val="00D2068F"/>
    <w:rsid w:val="00D216D8"/>
    <w:rsid w:val="00D247C1"/>
    <w:rsid w:val="00D3113E"/>
    <w:rsid w:val="00D40845"/>
    <w:rsid w:val="00D40908"/>
    <w:rsid w:val="00D44F77"/>
    <w:rsid w:val="00D5126E"/>
    <w:rsid w:val="00D51484"/>
    <w:rsid w:val="00D6258C"/>
    <w:rsid w:val="00D72D9B"/>
    <w:rsid w:val="00D74398"/>
    <w:rsid w:val="00D826C0"/>
    <w:rsid w:val="00D82DC6"/>
    <w:rsid w:val="00D8569F"/>
    <w:rsid w:val="00D862EA"/>
    <w:rsid w:val="00D9477D"/>
    <w:rsid w:val="00DA5B1C"/>
    <w:rsid w:val="00DA7D30"/>
    <w:rsid w:val="00DC59CE"/>
    <w:rsid w:val="00DC78E3"/>
    <w:rsid w:val="00DE3880"/>
    <w:rsid w:val="00DE4D4E"/>
    <w:rsid w:val="00DF06CE"/>
    <w:rsid w:val="00DF2682"/>
    <w:rsid w:val="00DF3139"/>
    <w:rsid w:val="00E055A0"/>
    <w:rsid w:val="00E103C0"/>
    <w:rsid w:val="00E1156E"/>
    <w:rsid w:val="00E136F0"/>
    <w:rsid w:val="00E153B9"/>
    <w:rsid w:val="00E23C83"/>
    <w:rsid w:val="00E2539D"/>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2991"/>
    <w:rsid w:val="00ED38F5"/>
    <w:rsid w:val="00EE0F06"/>
    <w:rsid w:val="00EE3290"/>
    <w:rsid w:val="00EE59F7"/>
    <w:rsid w:val="00EF0C83"/>
    <w:rsid w:val="00EF5422"/>
    <w:rsid w:val="00F00F7C"/>
    <w:rsid w:val="00F0179A"/>
    <w:rsid w:val="00F02CB6"/>
    <w:rsid w:val="00F1564E"/>
    <w:rsid w:val="00F15834"/>
    <w:rsid w:val="00F26D8F"/>
    <w:rsid w:val="00F440F9"/>
    <w:rsid w:val="00F47249"/>
    <w:rsid w:val="00F71592"/>
    <w:rsid w:val="00F72D42"/>
    <w:rsid w:val="00F74617"/>
    <w:rsid w:val="00F74F76"/>
    <w:rsid w:val="00F93E03"/>
    <w:rsid w:val="00F94D38"/>
    <w:rsid w:val="00FA7F8A"/>
    <w:rsid w:val="00FB42DC"/>
    <w:rsid w:val="00FC1DBC"/>
    <w:rsid w:val="00FC749C"/>
    <w:rsid w:val="00FD3D2D"/>
    <w:rsid w:val="00FD6889"/>
    <w:rsid w:val="00FE609D"/>
    <w:rsid w:val="00FE6793"/>
    <w:rsid w:val="00FF0B7A"/>
    <w:rsid w:val="00FF2A32"/>
    <w:rsid w:val="00FF73E5"/>
    <w:rsid w:val="01CE7871"/>
    <w:rsid w:val="042C1229"/>
    <w:rsid w:val="050823DC"/>
    <w:rsid w:val="059F6DC6"/>
    <w:rsid w:val="06190EFB"/>
    <w:rsid w:val="084750B1"/>
    <w:rsid w:val="093D1475"/>
    <w:rsid w:val="095741E8"/>
    <w:rsid w:val="0A692307"/>
    <w:rsid w:val="0AAC430C"/>
    <w:rsid w:val="0AC13832"/>
    <w:rsid w:val="0C023288"/>
    <w:rsid w:val="0F0278D3"/>
    <w:rsid w:val="0FC515D3"/>
    <w:rsid w:val="10CE2E1A"/>
    <w:rsid w:val="15C21BB5"/>
    <w:rsid w:val="17E93DD2"/>
    <w:rsid w:val="1CD1028D"/>
    <w:rsid w:val="1DAE0C42"/>
    <w:rsid w:val="20453899"/>
    <w:rsid w:val="20796562"/>
    <w:rsid w:val="21413F1B"/>
    <w:rsid w:val="2315461F"/>
    <w:rsid w:val="23A30F55"/>
    <w:rsid w:val="256839EE"/>
    <w:rsid w:val="277C3410"/>
    <w:rsid w:val="2860503B"/>
    <w:rsid w:val="2DBD2C1C"/>
    <w:rsid w:val="2F5650BA"/>
    <w:rsid w:val="3214471B"/>
    <w:rsid w:val="327319A0"/>
    <w:rsid w:val="32E36D3A"/>
    <w:rsid w:val="33822207"/>
    <w:rsid w:val="354B68EB"/>
    <w:rsid w:val="35BE5BB7"/>
    <w:rsid w:val="35BF2E57"/>
    <w:rsid w:val="38826E03"/>
    <w:rsid w:val="38A95127"/>
    <w:rsid w:val="39E74759"/>
    <w:rsid w:val="3BF55114"/>
    <w:rsid w:val="3CC85F11"/>
    <w:rsid w:val="3EB318AE"/>
    <w:rsid w:val="40571E25"/>
    <w:rsid w:val="41277F7A"/>
    <w:rsid w:val="41356506"/>
    <w:rsid w:val="424A4507"/>
    <w:rsid w:val="43A461B1"/>
    <w:rsid w:val="45C435FA"/>
    <w:rsid w:val="484653A1"/>
    <w:rsid w:val="4EC96D56"/>
    <w:rsid w:val="50CA0F90"/>
    <w:rsid w:val="52A511A7"/>
    <w:rsid w:val="53167E49"/>
    <w:rsid w:val="53C0684F"/>
    <w:rsid w:val="55D43466"/>
    <w:rsid w:val="594528FD"/>
    <w:rsid w:val="5AF1353F"/>
    <w:rsid w:val="5CA56444"/>
    <w:rsid w:val="5E9776C3"/>
    <w:rsid w:val="639A466F"/>
    <w:rsid w:val="644967BD"/>
    <w:rsid w:val="671E2A10"/>
    <w:rsid w:val="69BE0AE7"/>
    <w:rsid w:val="6B6B159F"/>
    <w:rsid w:val="6B815641"/>
    <w:rsid w:val="6C6B517A"/>
    <w:rsid w:val="6D157683"/>
    <w:rsid w:val="6F3F741C"/>
    <w:rsid w:val="714A29CE"/>
    <w:rsid w:val="71CA44F6"/>
    <w:rsid w:val="721A4B11"/>
    <w:rsid w:val="72E54B3D"/>
    <w:rsid w:val="74FC53DD"/>
    <w:rsid w:val="75017FC7"/>
    <w:rsid w:val="75667048"/>
    <w:rsid w:val="78F024F2"/>
    <w:rsid w:val="7A065330"/>
    <w:rsid w:val="7A11532B"/>
    <w:rsid w:val="7A7F7107"/>
    <w:rsid w:val="7ACC3D21"/>
    <w:rsid w:val="7C760103"/>
    <w:rsid w:val="7CA9453E"/>
    <w:rsid w:val="7F6219AD"/>
    <w:rsid w:val="7F99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50"/>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1"/>
    <w:qFormat/>
    <w:uiPriority w:val="0"/>
    <w:pPr>
      <w:keepNext/>
      <w:keepLines/>
      <w:spacing w:before="260" w:after="260" w:line="416" w:lineRule="auto"/>
      <w:outlineLvl w:val="2"/>
    </w:pPr>
    <w:rPr>
      <w:b/>
      <w:bCs/>
      <w:sz w:val="32"/>
      <w:szCs w:val="32"/>
    </w:rPr>
  </w:style>
  <w:style w:type="paragraph" w:styleId="8">
    <w:name w:val="heading 4"/>
    <w:basedOn w:val="1"/>
    <w:next w:val="1"/>
    <w:link w:val="52"/>
    <w:qFormat/>
    <w:uiPriority w:val="0"/>
    <w:pPr>
      <w:keepNext/>
      <w:keepLines/>
      <w:spacing w:before="280" w:after="290" w:line="376" w:lineRule="auto"/>
      <w:outlineLvl w:val="3"/>
    </w:pPr>
    <w:rPr>
      <w:rFonts w:ascii="Cambria" w:hAnsi="Cambria" w:cs="黑体"/>
      <w:b/>
      <w:bCs/>
      <w:sz w:val="28"/>
      <w:szCs w:val="28"/>
    </w:rPr>
  </w:style>
  <w:style w:type="paragraph" w:styleId="9">
    <w:name w:val="heading 6"/>
    <w:basedOn w:val="1"/>
    <w:next w:val="1"/>
    <w:link w:val="8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8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8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8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9"/>
    <w:unhideWhenUsed/>
    <w:qFormat/>
    <w:uiPriority w:val="0"/>
    <w:rPr>
      <w:sz w:val="28"/>
      <w:szCs w:val="20"/>
    </w:rPr>
  </w:style>
  <w:style w:type="paragraph" w:styleId="3">
    <w:name w:val="Body Text First Indent"/>
    <w:basedOn w:val="2"/>
    <w:next w:val="4"/>
    <w:qFormat/>
    <w:uiPriority w:val="0"/>
    <w:pPr>
      <w:spacing w:after="120"/>
      <w:ind w:firstLine="420" w:firstLineChars="100"/>
    </w:pPr>
    <w:rPr>
      <w:bCs/>
      <w:szCs w:val="21"/>
    </w:rPr>
  </w:style>
  <w:style w:type="paragraph" w:customStyle="1" w:styleId="4">
    <w:name w:val="样式 正文首行缩进 + 首行缩进:  1 字符"/>
    <w:basedOn w:val="1"/>
    <w:next w:val="1"/>
    <w:qFormat/>
    <w:uiPriority w:val="0"/>
    <w:pPr>
      <w:ind w:firstLine="200" w:firstLineChars="200"/>
    </w:pPr>
    <w:rPr>
      <w:rFonts w:cs="宋体"/>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unhideWhenUsed/>
    <w:qFormat/>
    <w:uiPriority w:val="0"/>
    <w:pPr>
      <w:ind w:firstLine="420" w:firstLineChars="200"/>
    </w:pPr>
  </w:style>
  <w:style w:type="paragraph" w:styleId="15">
    <w:name w:val="caption"/>
    <w:basedOn w:val="1"/>
    <w:next w:val="1"/>
    <w:qFormat/>
    <w:uiPriority w:val="35"/>
    <w:rPr>
      <w:rFonts w:ascii="Cambria" w:hAnsi="Cambria" w:eastAsia="黑体"/>
      <w:sz w:val="20"/>
      <w:szCs w:val="20"/>
    </w:rPr>
  </w:style>
  <w:style w:type="paragraph" w:styleId="16">
    <w:name w:val="Document Map"/>
    <w:basedOn w:val="1"/>
    <w:link w:val="79"/>
    <w:unhideWhenUsed/>
    <w:qFormat/>
    <w:uiPriority w:val="99"/>
    <w:rPr>
      <w:rFonts w:ascii="宋体" w:hAnsiTheme="minorHAnsi" w:eastAsiaTheme="minorEastAsia" w:cstheme="minorBidi"/>
      <w:sz w:val="18"/>
      <w:szCs w:val="18"/>
    </w:rPr>
  </w:style>
  <w:style w:type="paragraph" w:styleId="17">
    <w:name w:val="annotation text"/>
    <w:basedOn w:val="1"/>
    <w:link w:val="63"/>
    <w:unhideWhenUsed/>
    <w:qFormat/>
    <w:uiPriority w:val="0"/>
    <w:pPr>
      <w:jc w:val="left"/>
    </w:pPr>
  </w:style>
  <w:style w:type="paragraph" w:styleId="18">
    <w:name w:val="Body Text 3"/>
    <w:basedOn w:val="1"/>
    <w:link w:val="59"/>
    <w:unhideWhenUsed/>
    <w:qFormat/>
    <w:uiPriority w:val="0"/>
    <w:rPr>
      <w:rFonts w:ascii="宋体" w:hAnsiTheme="minorHAnsi" w:eastAsiaTheme="minorEastAsia" w:cstheme="minorBidi"/>
      <w:sz w:val="24"/>
      <w:szCs w:val="22"/>
    </w:rPr>
  </w:style>
  <w:style w:type="paragraph" w:styleId="19">
    <w:name w:val="Body Text Indent"/>
    <w:basedOn w:val="1"/>
    <w:link w:val="66"/>
    <w:unhideWhenUsed/>
    <w:qFormat/>
    <w:uiPriority w:val="0"/>
    <w:pPr>
      <w:ind w:firstLine="489" w:firstLineChars="178"/>
    </w:pPr>
    <w:rPr>
      <w:sz w:val="28"/>
      <w:szCs w:val="28"/>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link w:val="61"/>
    <w:unhideWhenUsed/>
    <w:qFormat/>
    <w:uiPriority w:val="0"/>
    <w:rPr>
      <w:rFonts w:ascii="Courier New" w:hAnsi="Courier New" w:eastAsiaTheme="minorEastAsia" w:cstheme="minorBidi"/>
      <w:szCs w:val="22"/>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78"/>
    <w:unhideWhenUsed/>
    <w:qFormat/>
    <w:uiPriority w:val="99"/>
    <w:pPr>
      <w:ind w:left="100" w:leftChars="2500"/>
    </w:pPr>
    <w:rPr>
      <w:rFonts w:asciiTheme="minorHAnsi" w:hAnsiTheme="minorHAnsi" w:eastAsiaTheme="minorEastAsia" w:cstheme="minorBidi"/>
    </w:rPr>
  </w:style>
  <w:style w:type="paragraph" w:styleId="25">
    <w:name w:val="Balloon Text"/>
    <w:basedOn w:val="1"/>
    <w:link w:val="62"/>
    <w:unhideWhenUsed/>
    <w:qFormat/>
    <w:uiPriority w:val="99"/>
    <w:rPr>
      <w:rFonts w:asciiTheme="minorHAnsi" w:hAnsiTheme="minorHAnsi" w:eastAsiaTheme="minorEastAsia" w:cstheme="minorBidi"/>
      <w:sz w:val="18"/>
      <w:szCs w:val="18"/>
    </w:rPr>
  </w:style>
  <w:style w:type="paragraph" w:styleId="26">
    <w:name w:val="footer"/>
    <w:basedOn w:val="1"/>
    <w:link w:val="4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7">
    <w:name w:val="header"/>
    <w:basedOn w:val="1"/>
    <w:link w:val="4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8">
    <w:name w:val="toc 1"/>
    <w:basedOn w:val="1"/>
    <w:next w:val="1"/>
    <w:unhideWhenUsed/>
    <w:qFormat/>
    <w:uiPriority w:val="39"/>
    <w:pPr>
      <w:spacing w:before="120" w:after="120"/>
      <w:jc w:val="left"/>
    </w:pPr>
    <w:rPr>
      <w:b/>
      <w:bCs/>
      <w:caps/>
      <w:sz w:val="20"/>
      <w:szCs w:val="20"/>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footnote text"/>
    <w:basedOn w:val="1"/>
    <w:link w:val="105"/>
    <w:qFormat/>
    <w:uiPriority w:val="0"/>
    <w:rPr>
      <w:sz w:val="20"/>
      <w:szCs w:val="20"/>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97"/>
    <w:qFormat/>
    <w:uiPriority w:val="0"/>
    <w:pPr>
      <w:spacing w:after="120"/>
      <w:ind w:left="420" w:leftChars="200"/>
    </w:pPr>
    <w:rPr>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unhideWhenUsed/>
    <w:qFormat/>
    <w:uiPriority w:val="39"/>
    <w:pPr>
      <w:ind w:left="210"/>
      <w:jc w:val="left"/>
    </w:pPr>
    <w:rPr>
      <w:smallCaps/>
      <w:sz w:val="20"/>
      <w:szCs w:val="20"/>
    </w:rPr>
  </w:style>
  <w:style w:type="paragraph" w:styleId="35">
    <w:name w:val="toc 9"/>
    <w:basedOn w:val="1"/>
    <w:next w:val="1"/>
    <w:unhideWhenUsed/>
    <w:qFormat/>
    <w:uiPriority w:val="39"/>
    <w:pPr>
      <w:ind w:left="3360" w:leftChars="1600"/>
    </w:pPr>
    <w:rPr>
      <w:rFonts w:ascii="Calibri" w:hAnsi="Calibri"/>
      <w:szCs w:val="22"/>
    </w:rPr>
  </w:style>
  <w:style w:type="paragraph" w:styleId="36">
    <w:name w:val="Title"/>
    <w:basedOn w:val="1"/>
    <w:next w:val="1"/>
    <w:link w:val="82"/>
    <w:qFormat/>
    <w:uiPriority w:val="0"/>
    <w:pPr>
      <w:numPr>
        <w:ilvl w:val="1"/>
        <w:numId w:val="1"/>
      </w:numPr>
      <w:spacing w:before="240" w:after="60"/>
      <w:jc w:val="center"/>
      <w:outlineLvl w:val="0"/>
    </w:pPr>
    <w:rPr>
      <w:rFonts w:ascii="Cambria" w:hAnsi="Cambria"/>
      <w:b/>
      <w:bCs/>
      <w:sz w:val="32"/>
      <w:szCs w:val="32"/>
    </w:rPr>
  </w:style>
  <w:style w:type="paragraph" w:styleId="37">
    <w:name w:val="annotation subject"/>
    <w:basedOn w:val="17"/>
    <w:next w:val="17"/>
    <w:link w:val="60"/>
    <w:unhideWhenUsed/>
    <w:qFormat/>
    <w:uiPriority w:val="99"/>
    <w:rPr>
      <w:rFonts w:asciiTheme="minorHAnsi" w:hAnsiTheme="minorHAnsi" w:eastAsiaTheme="minorEastAsia" w:cstheme="minorBidi"/>
      <w:b/>
      <w:bCs/>
    </w:rPr>
  </w:style>
  <w:style w:type="table" w:styleId="39">
    <w:name w:val="Table Grid"/>
    <w:basedOn w:val="38"/>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unhideWhenUsed/>
    <w:qFormat/>
    <w:uiPriority w:val="0"/>
  </w:style>
  <w:style w:type="character" w:styleId="43">
    <w:name w:val="FollowedHyperlink"/>
    <w:unhideWhenUsed/>
    <w:qFormat/>
    <w:uiPriority w:val="0"/>
    <w:rPr>
      <w:color w:val="800080"/>
      <w:u w:val="single"/>
    </w:rPr>
  </w:style>
  <w:style w:type="character" w:styleId="44">
    <w:name w:val="Hyperlink"/>
    <w:unhideWhenUsed/>
    <w:qFormat/>
    <w:uiPriority w:val="99"/>
    <w:rPr>
      <w:color w:val="0000FF"/>
      <w:u w:val="single"/>
    </w:rPr>
  </w:style>
  <w:style w:type="character" w:styleId="45">
    <w:name w:val="annotation reference"/>
    <w:unhideWhenUsed/>
    <w:qFormat/>
    <w:uiPriority w:val="0"/>
    <w:rPr>
      <w:sz w:val="21"/>
      <w:szCs w:val="21"/>
    </w:rPr>
  </w:style>
  <w:style w:type="character" w:styleId="46">
    <w:name w:val="footnote reference"/>
    <w:qFormat/>
    <w:uiPriority w:val="0"/>
    <w:rPr>
      <w:vertAlign w:val="superscript"/>
    </w:rPr>
  </w:style>
  <w:style w:type="character" w:customStyle="1" w:styleId="47">
    <w:name w:val="页眉 Char"/>
    <w:basedOn w:val="40"/>
    <w:link w:val="27"/>
    <w:qFormat/>
    <w:uiPriority w:val="0"/>
    <w:rPr>
      <w:sz w:val="18"/>
      <w:szCs w:val="18"/>
    </w:rPr>
  </w:style>
  <w:style w:type="character" w:customStyle="1" w:styleId="48">
    <w:name w:val="页脚 Char"/>
    <w:basedOn w:val="40"/>
    <w:link w:val="26"/>
    <w:qFormat/>
    <w:uiPriority w:val="99"/>
    <w:rPr>
      <w:sz w:val="18"/>
      <w:szCs w:val="18"/>
    </w:rPr>
  </w:style>
  <w:style w:type="character" w:customStyle="1" w:styleId="49">
    <w:name w:val="标题 1 Char"/>
    <w:basedOn w:val="40"/>
    <w:link w:val="5"/>
    <w:qFormat/>
    <w:uiPriority w:val="0"/>
    <w:rPr>
      <w:rFonts w:ascii="Times New Roman" w:hAnsi="Times New Roman" w:eastAsia="宋体" w:cs="Times New Roman"/>
      <w:b/>
      <w:bCs/>
      <w:kern w:val="44"/>
      <w:sz w:val="44"/>
      <w:szCs w:val="44"/>
    </w:rPr>
  </w:style>
  <w:style w:type="character" w:customStyle="1" w:styleId="50">
    <w:name w:val="标题 2 Char"/>
    <w:basedOn w:val="40"/>
    <w:link w:val="6"/>
    <w:qFormat/>
    <w:uiPriority w:val="9"/>
    <w:rPr>
      <w:rFonts w:ascii="Arial" w:hAnsi="Arial" w:eastAsia="黑体" w:cs="Times New Roman"/>
      <w:b/>
      <w:bCs/>
      <w:sz w:val="32"/>
      <w:szCs w:val="32"/>
    </w:rPr>
  </w:style>
  <w:style w:type="character" w:customStyle="1" w:styleId="51">
    <w:name w:val="标题 3 Char"/>
    <w:basedOn w:val="40"/>
    <w:link w:val="7"/>
    <w:qFormat/>
    <w:uiPriority w:val="0"/>
    <w:rPr>
      <w:rFonts w:ascii="Times New Roman" w:hAnsi="Times New Roman" w:eastAsia="宋体" w:cs="Times New Roman"/>
      <w:b/>
      <w:bCs/>
      <w:sz w:val="32"/>
      <w:szCs w:val="32"/>
    </w:rPr>
  </w:style>
  <w:style w:type="character" w:customStyle="1" w:styleId="52">
    <w:name w:val="标题 4 Char"/>
    <w:basedOn w:val="40"/>
    <w:link w:val="8"/>
    <w:qFormat/>
    <w:uiPriority w:val="0"/>
    <w:rPr>
      <w:rFonts w:ascii="Cambria" w:hAnsi="Cambria" w:eastAsia="宋体" w:cs="黑体"/>
      <w:b/>
      <w:bCs/>
      <w:sz w:val="28"/>
      <w:szCs w:val="28"/>
    </w:rPr>
  </w:style>
  <w:style w:type="character" w:customStyle="1" w:styleId="53">
    <w:name w:val="标题 6 Char"/>
    <w:basedOn w:val="40"/>
    <w:semiHidden/>
    <w:qFormat/>
    <w:uiPriority w:val="9"/>
    <w:rPr>
      <w:rFonts w:asciiTheme="majorHAnsi" w:hAnsiTheme="majorHAnsi" w:eastAsiaTheme="majorEastAsia" w:cstheme="majorBidi"/>
      <w:b/>
      <w:bCs/>
      <w:sz w:val="24"/>
      <w:szCs w:val="24"/>
    </w:rPr>
  </w:style>
  <w:style w:type="character" w:customStyle="1" w:styleId="54">
    <w:name w:val="标题 7 Char"/>
    <w:basedOn w:val="40"/>
    <w:semiHidden/>
    <w:qFormat/>
    <w:uiPriority w:val="9"/>
    <w:rPr>
      <w:rFonts w:ascii="Times New Roman" w:hAnsi="Times New Roman" w:eastAsia="宋体" w:cs="Times New Roman"/>
      <w:b/>
      <w:bCs/>
      <w:sz w:val="24"/>
      <w:szCs w:val="24"/>
    </w:rPr>
  </w:style>
  <w:style w:type="character" w:customStyle="1" w:styleId="55">
    <w:name w:val="标题 8 Char"/>
    <w:basedOn w:val="40"/>
    <w:semiHidden/>
    <w:qFormat/>
    <w:uiPriority w:val="9"/>
    <w:rPr>
      <w:rFonts w:asciiTheme="majorHAnsi" w:hAnsiTheme="majorHAnsi" w:eastAsiaTheme="majorEastAsia" w:cstheme="majorBidi"/>
      <w:sz w:val="24"/>
      <w:szCs w:val="24"/>
    </w:rPr>
  </w:style>
  <w:style w:type="character" w:customStyle="1" w:styleId="56">
    <w:name w:val="标题 9 Char"/>
    <w:basedOn w:val="40"/>
    <w:semiHidden/>
    <w:qFormat/>
    <w:uiPriority w:val="9"/>
    <w:rPr>
      <w:rFonts w:asciiTheme="majorHAnsi" w:hAnsiTheme="majorHAnsi" w:eastAsiaTheme="majorEastAsia" w:cstheme="majorBidi"/>
      <w:szCs w:val="21"/>
    </w:rPr>
  </w:style>
  <w:style w:type="character" w:customStyle="1" w:styleId="57">
    <w:name w:val="批注文字 Char1"/>
    <w:qFormat/>
    <w:uiPriority w:val="99"/>
    <w:rPr>
      <w:kern w:val="2"/>
      <w:sz w:val="21"/>
    </w:rPr>
  </w:style>
  <w:style w:type="character" w:customStyle="1" w:styleId="58">
    <w:name w:val="批注文字 Char"/>
    <w:qFormat/>
    <w:uiPriority w:val="0"/>
    <w:rPr>
      <w:rFonts w:ascii="Times New Roman" w:hAnsi="Times New Roman"/>
      <w:kern w:val="2"/>
      <w:sz w:val="21"/>
    </w:rPr>
  </w:style>
  <w:style w:type="character" w:customStyle="1" w:styleId="59">
    <w:name w:val="正文文本 3 Char"/>
    <w:link w:val="18"/>
    <w:qFormat/>
    <w:uiPriority w:val="0"/>
    <w:rPr>
      <w:rFonts w:ascii="宋体"/>
      <w:sz w:val="24"/>
    </w:rPr>
  </w:style>
  <w:style w:type="character" w:customStyle="1" w:styleId="60">
    <w:name w:val="批注主题 Char"/>
    <w:link w:val="37"/>
    <w:qFormat/>
    <w:uiPriority w:val="99"/>
    <w:rPr>
      <w:b/>
      <w:bCs/>
      <w:szCs w:val="24"/>
    </w:rPr>
  </w:style>
  <w:style w:type="character" w:customStyle="1" w:styleId="61">
    <w:name w:val="纯文本 Char"/>
    <w:link w:val="22"/>
    <w:qFormat/>
    <w:uiPriority w:val="0"/>
    <w:rPr>
      <w:rFonts w:ascii="Courier New" w:hAnsi="Courier New"/>
    </w:rPr>
  </w:style>
  <w:style w:type="character" w:customStyle="1" w:styleId="62">
    <w:name w:val="批注框文本 Char"/>
    <w:link w:val="25"/>
    <w:qFormat/>
    <w:uiPriority w:val="99"/>
    <w:rPr>
      <w:sz w:val="18"/>
      <w:szCs w:val="18"/>
    </w:rPr>
  </w:style>
  <w:style w:type="character" w:customStyle="1" w:styleId="63">
    <w:name w:val="批注文字 Char2"/>
    <w:basedOn w:val="40"/>
    <w:link w:val="17"/>
    <w:semiHidden/>
    <w:qFormat/>
    <w:uiPriority w:val="99"/>
    <w:rPr>
      <w:rFonts w:ascii="Times New Roman" w:hAnsi="Times New Roman" w:eastAsia="宋体" w:cs="Times New Roman"/>
      <w:szCs w:val="24"/>
    </w:rPr>
  </w:style>
  <w:style w:type="character" w:customStyle="1" w:styleId="64">
    <w:name w:val="批注主题 Char1"/>
    <w:basedOn w:val="63"/>
    <w:semiHidden/>
    <w:qFormat/>
    <w:uiPriority w:val="99"/>
    <w:rPr>
      <w:rFonts w:ascii="Times New Roman" w:hAnsi="Times New Roman" w:eastAsia="宋体" w:cs="Times New Roman"/>
      <w:b/>
      <w:bCs/>
      <w:szCs w:val="24"/>
    </w:rPr>
  </w:style>
  <w:style w:type="character" w:customStyle="1" w:styleId="65">
    <w:name w:val="纯文本 Char1"/>
    <w:basedOn w:val="40"/>
    <w:semiHidden/>
    <w:qFormat/>
    <w:uiPriority w:val="99"/>
    <w:rPr>
      <w:rFonts w:ascii="宋体" w:hAnsi="Courier New" w:eastAsia="宋体" w:cs="Courier New"/>
      <w:szCs w:val="21"/>
    </w:rPr>
  </w:style>
  <w:style w:type="character" w:customStyle="1" w:styleId="66">
    <w:name w:val="正文文本缩进 Char"/>
    <w:basedOn w:val="40"/>
    <w:link w:val="19"/>
    <w:qFormat/>
    <w:uiPriority w:val="0"/>
    <w:rPr>
      <w:rFonts w:ascii="Times New Roman" w:hAnsi="Times New Roman" w:eastAsia="宋体" w:cs="Times New Roman"/>
      <w:sz w:val="28"/>
      <w:szCs w:val="28"/>
    </w:rPr>
  </w:style>
  <w:style w:type="character" w:customStyle="1" w:styleId="67">
    <w:name w:val="正文文本 3 Char1"/>
    <w:basedOn w:val="40"/>
    <w:semiHidden/>
    <w:qFormat/>
    <w:uiPriority w:val="99"/>
    <w:rPr>
      <w:rFonts w:ascii="Times New Roman" w:hAnsi="Times New Roman" w:eastAsia="宋体" w:cs="Times New Roman"/>
      <w:sz w:val="16"/>
      <w:szCs w:val="16"/>
    </w:rPr>
  </w:style>
  <w:style w:type="character" w:customStyle="1" w:styleId="68">
    <w:name w:val="批注框文本 Char1"/>
    <w:basedOn w:val="40"/>
    <w:semiHidden/>
    <w:qFormat/>
    <w:uiPriority w:val="99"/>
    <w:rPr>
      <w:rFonts w:ascii="Times New Roman" w:hAnsi="Times New Roman" w:eastAsia="宋体" w:cs="Times New Roman"/>
      <w:sz w:val="18"/>
      <w:szCs w:val="18"/>
    </w:rPr>
  </w:style>
  <w:style w:type="character" w:customStyle="1" w:styleId="69">
    <w:name w:val="正文文本 Char"/>
    <w:basedOn w:val="40"/>
    <w:link w:val="2"/>
    <w:qFormat/>
    <w:uiPriority w:val="0"/>
    <w:rPr>
      <w:rFonts w:ascii="Times New Roman" w:hAnsi="Times New Roman" w:eastAsia="宋体" w:cs="Times New Roman"/>
      <w:sz w:val="28"/>
      <w:szCs w:val="20"/>
    </w:rPr>
  </w:style>
  <w:style w:type="paragraph" w:customStyle="1" w:styleId="70">
    <w:name w:val="列出段落1"/>
    <w:basedOn w:val="1"/>
    <w:qFormat/>
    <w:uiPriority w:val="34"/>
    <w:pPr>
      <w:ind w:firstLine="420" w:firstLineChars="200"/>
    </w:pPr>
  </w:style>
  <w:style w:type="paragraph" w:customStyle="1" w:styleId="71">
    <w:name w:val="bt1bt1"/>
    <w:basedOn w:val="5"/>
    <w:qFormat/>
    <w:uiPriority w:val="0"/>
    <w:pPr>
      <w:spacing w:line="240" w:lineRule="auto"/>
      <w:jc w:val="center"/>
    </w:pPr>
    <w:rPr>
      <w:rFonts w:ascii="黑体" w:eastAsia="黑体"/>
      <w:b w:val="0"/>
      <w:sz w:val="36"/>
      <w:szCs w:val="36"/>
    </w:rPr>
  </w:style>
  <w:style w:type="paragraph" w:customStyle="1" w:styleId="72">
    <w:name w:val="节"/>
    <w:basedOn w:val="6"/>
    <w:qFormat/>
    <w:uiPriority w:val="0"/>
    <w:pPr>
      <w:numPr>
        <w:ilvl w:val="2"/>
        <w:numId w:val="1"/>
      </w:numPr>
      <w:tabs>
        <w:tab w:val="left" w:pos="360"/>
        <w:tab w:val="left" w:pos="576"/>
      </w:tabs>
      <w:spacing w:line="240" w:lineRule="auto"/>
      <w:ind w:left="840" w:hanging="420"/>
    </w:pPr>
    <w:rPr>
      <w:rFonts w:ascii="黑体"/>
      <w:b w:val="0"/>
      <w:sz w:val="28"/>
      <w:szCs w:val="28"/>
    </w:rPr>
  </w:style>
  <w:style w:type="paragraph" w:customStyle="1" w:styleId="7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76">
    <w:name w:val="样式1"/>
    <w:basedOn w:val="1"/>
    <w:qFormat/>
    <w:uiPriority w:val="0"/>
    <w:rPr>
      <w:szCs w:val="21"/>
      <w:lang w:val="zh-CN"/>
    </w:rPr>
  </w:style>
  <w:style w:type="paragraph" w:customStyle="1" w:styleId="7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日期 Char"/>
    <w:link w:val="24"/>
    <w:qFormat/>
    <w:uiPriority w:val="99"/>
    <w:rPr>
      <w:szCs w:val="24"/>
    </w:rPr>
  </w:style>
  <w:style w:type="character" w:customStyle="1" w:styleId="79">
    <w:name w:val="文档结构图 Char"/>
    <w:link w:val="16"/>
    <w:qFormat/>
    <w:uiPriority w:val="99"/>
    <w:rPr>
      <w:rFonts w:ascii="宋体"/>
      <w:sz w:val="18"/>
      <w:szCs w:val="18"/>
    </w:rPr>
  </w:style>
  <w:style w:type="character" w:customStyle="1" w:styleId="80">
    <w:name w:val="日期 Char1"/>
    <w:basedOn w:val="40"/>
    <w:semiHidden/>
    <w:qFormat/>
    <w:uiPriority w:val="99"/>
    <w:rPr>
      <w:rFonts w:ascii="Times New Roman" w:hAnsi="Times New Roman" w:eastAsia="宋体" w:cs="Times New Roman"/>
      <w:szCs w:val="24"/>
    </w:rPr>
  </w:style>
  <w:style w:type="character" w:customStyle="1" w:styleId="81">
    <w:name w:val="文档结构图 Char1"/>
    <w:basedOn w:val="40"/>
    <w:semiHidden/>
    <w:qFormat/>
    <w:uiPriority w:val="99"/>
    <w:rPr>
      <w:rFonts w:ascii="宋体" w:hAnsi="Times New Roman" w:eastAsia="宋体" w:cs="Times New Roman"/>
      <w:sz w:val="18"/>
      <w:szCs w:val="18"/>
    </w:rPr>
  </w:style>
  <w:style w:type="character" w:customStyle="1" w:styleId="82">
    <w:name w:val="标题 Char"/>
    <w:basedOn w:val="40"/>
    <w:link w:val="36"/>
    <w:qFormat/>
    <w:uiPriority w:val="0"/>
    <w:rPr>
      <w:rFonts w:ascii="Cambria" w:hAnsi="Cambria" w:eastAsia="宋体" w:cs="Times New Roman"/>
      <w:b/>
      <w:bCs/>
      <w:sz w:val="32"/>
      <w:szCs w:val="32"/>
    </w:rPr>
  </w:style>
  <w:style w:type="character" w:customStyle="1" w:styleId="83">
    <w:name w:val="editmail"/>
    <w:qFormat/>
    <w:uiPriority w:val="0"/>
  </w:style>
  <w:style w:type="character" w:customStyle="1" w:styleId="84">
    <w:name w:val="页脚 字符"/>
    <w:qFormat/>
    <w:uiPriority w:val="99"/>
  </w:style>
  <w:style w:type="character" w:customStyle="1" w:styleId="85">
    <w:name w:val="标题 6 Char1"/>
    <w:link w:val="9"/>
    <w:qFormat/>
    <w:uiPriority w:val="0"/>
    <w:rPr>
      <w:rFonts w:ascii="Arial" w:hAnsi="Arial" w:eastAsia="黑体" w:cs="Times New Roman"/>
      <w:b/>
      <w:bCs/>
      <w:kern w:val="0"/>
      <w:sz w:val="24"/>
      <w:szCs w:val="24"/>
    </w:rPr>
  </w:style>
  <w:style w:type="character" w:customStyle="1" w:styleId="86">
    <w:name w:val="标题 7 Char1"/>
    <w:link w:val="10"/>
    <w:qFormat/>
    <w:uiPriority w:val="0"/>
    <w:rPr>
      <w:rFonts w:ascii="Times New Roman" w:hAnsi="Times New Roman" w:eastAsia="宋体" w:cs="Times New Roman"/>
      <w:b/>
      <w:bCs/>
      <w:kern w:val="0"/>
      <w:sz w:val="24"/>
      <w:szCs w:val="24"/>
    </w:rPr>
  </w:style>
  <w:style w:type="character" w:customStyle="1" w:styleId="87">
    <w:name w:val="标题 8 Char1"/>
    <w:link w:val="11"/>
    <w:qFormat/>
    <w:uiPriority w:val="0"/>
    <w:rPr>
      <w:rFonts w:ascii="Arial" w:hAnsi="Arial" w:eastAsia="黑体" w:cs="Times New Roman"/>
      <w:kern w:val="0"/>
      <w:sz w:val="24"/>
      <w:szCs w:val="24"/>
    </w:rPr>
  </w:style>
  <w:style w:type="character" w:customStyle="1" w:styleId="88">
    <w:name w:val="标题 9 Char1"/>
    <w:link w:val="12"/>
    <w:qFormat/>
    <w:uiPriority w:val="0"/>
    <w:rPr>
      <w:rFonts w:ascii="Arial" w:hAnsi="Arial" w:eastAsia="黑体" w:cs="Times New Roman"/>
      <w:kern w:val="0"/>
      <w:szCs w:val="21"/>
    </w:rPr>
  </w:style>
  <w:style w:type="character" w:customStyle="1" w:styleId="89">
    <w:name w:val="Char Char8"/>
    <w:qFormat/>
    <w:uiPriority w:val="0"/>
    <w:rPr>
      <w:rFonts w:ascii="Arial" w:hAnsi="Arial" w:eastAsia="黑体"/>
      <w:b/>
      <w:bCs/>
      <w:kern w:val="2"/>
      <w:sz w:val="32"/>
      <w:szCs w:val="32"/>
      <w:lang w:val="en-US" w:eastAsia="zh-CN" w:bidi="ar-SA"/>
    </w:rPr>
  </w:style>
  <w:style w:type="character" w:customStyle="1" w:styleId="90">
    <w:name w:val="Char Char"/>
    <w:qFormat/>
    <w:uiPriority w:val="0"/>
    <w:rPr>
      <w:rFonts w:ascii="Arial" w:hAnsi="Arial" w:eastAsia="黑体"/>
      <w:b/>
      <w:bCs/>
      <w:kern w:val="2"/>
      <w:sz w:val="32"/>
      <w:szCs w:val="32"/>
      <w:lang w:val="en-US" w:eastAsia="zh-CN" w:bidi="ar-SA"/>
    </w:rPr>
  </w:style>
  <w:style w:type="character" w:customStyle="1" w:styleId="91">
    <w:name w:val="font161"/>
    <w:qFormat/>
    <w:uiPriority w:val="0"/>
    <w:rPr>
      <w:b/>
      <w:bCs/>
      <w:sz w:val="32"/>
      <w:szCs w:val="32"/>
    </w:rPr>
  </w:style>
  <w:style w:type="character" w:customStyle="1" w:styleId="92">
    <w:name w:val="Char Char2"/>
    <w:qFormat/>
    <w:uiPriority w:val="0"/>
    <w:rPr>
      <w:rFonts w:eastAsia="宋体"/>
      <w:kern w:val="2"/>
      <w:sz w:val="21"/>
      <w:szCs w:val="24"/>
      <w:lang w:val="en-US" w:eastAsia="zh-CN" w:bidi="ar-SA"/>
    </w:rPr>
  </w:style>
  <w:style w:type="character" w:customStyle="1" w:styleId="93">
    <w:name w:val="Char Char7"/>
    <w:qFormat/>
    <w:uiPriority w:val="0"/>
    <w:rPr>
      <w:rFonts w:ascii="Arial" w:hAnsi="Arial" w:eastAsia="黑体"/>
      <w:b/>
      <w:bCs/>
      <w:kern w:val="2"/>
      <w:sz w:val="32"/>
      <w:szCs w:val="32"/>
      <w:lang w:val="en-US" w:eastAsia="zh-CN" w:bidi="ar-SA"/>
    </w:rPr>
  </w:style>
  <w:style w:type="paragraph" w:customStyle="1" w:styleId="94">
    <w:name w:val="样式4"/>
    <w:basedOn w:val="7"/>
    <w:qFormat/>
    <w:uiPriority w:val="0"/>
    <w:pPr>
      <w:spacing w:line="415" w:lineRule="auto"/>
    </w:pPr>
    <w:rPr>
      <w:rFonts w:eastAsia="Arial"/>
      <w:lang w:val="zh-CN" w:eastAsia="zh-CN"/>
    </w:rPr>
  </w:style>
  <w:style w:type="paragraph" w:customStyle="1" w:styleId="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96">
    <w:name w:val="正文文本缩进 3 Char"/>
    <w:basedOn w:val="40"/>
    <w:semiHidden/>
    <w:qFormat/>
    <w:uiPriority w:val="99"/>
    <w:rPr>
      <w:rFonts w:ascii="Times New Roman" w:hAnsi="Times New Roman" w:eastAsia="宋体" w:cs="Times New Roman"/>
      <w:sz w:val="16"/>
      <w:szCs w:val="16"/>
    </w:rPr>
  </w:style>
  <w:style w:type="character" w:customStyle="1" w:styleId="97">
    <w:name w:val="正文文本缩进 3 Char1"/>
    <w:link w:val="32"/>
    <w:qFormat/>
    <w:uiPriority w:val="0"/>
    <w:rPr>
      <w:rFonts w:ascii="Times New Roman" w:hAnsi="Times New Roman" w:eastAsia="宋体" w:cs="Times New Roman"/>
      <w:sz w:val="16"/>
      <w:szCs w:val="16"/>
    </w:rPr>
  </w:style>
  <w:style w:type="paragraph" w:customStyle="1" w:styleId="98">
    <w:name w:val="1"/>
    <w:basedOn w:val="1"/>
    <w:next w:val="1"/>
    <w:qFormat/>
    <w:uiPriority w:val="0"/>
  </w:style>
  <w:style w:type="paragraph" w:customStyle="1" w:styleId="9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00">
    <w:name w:val="样式2"/>
    <w:basedOn w:val="7"/>
    <w:qFormat/>
    <w:uiPriority w:val="0"/>
    <w:pPr>
      <w:spacing w:line="415" w:lineRule="auto"/>
    </w:pPr>
    <w:rPr>
      <w:lang w:val="zh-CN" w:eastAsia="zh-CN"/>
    </w:rPr>
  </w:style>
  <w:style w:type="paragraph" w:customStyle="1" w:styleId="101">
    <w:name w:val="表格"/>
    <w:basedOn w:val="1"/>
    <w:qFormat/>
    <w:uiPriority w:val="0"/>
    <w:pPr>
      <w:jc w:val="center"/>
      <w:textAlignment w:val="center"/>
    </w:pPr>
    <w:rPr>
      <w:rFonts w:ascii="华文细黑" w:hAnsi="华文细黑"/>
      <w:kern w:val="0"/>
      <w:szCs w:val="20"/>
    </w:rPr>
  </w:style>
  <w:style w:type="paragraph" w:customStyle="1" w:styleId="102">
    <w:name w:val="样式3"/>
    <w:basedOn w:val="7"/>
    <w:qFormat/>
    <w:uiPriority w:val="0"/>
    <w:pPr>
      <w:spacing w:line="415" w:lineRule="auto"/>
    </w:pPr>
    <w:rPr>
      <w:rFonts w:eastAsia="Arial"/>
      <w:lang w:val="zh-CN" w:eastAsia="zh-CN"/>
    </w:rPr>
  </w:style>
  <w:style w:type="paragraph" w:customStyle="1" w:styleId="103">
    <w:name w:val="Char"/>
    <w:basedOn w:val="1"/>
    <w:qFormat/>
    <w:uiPriority w:val="0"/>
    <w:pPr>
      <w:tabs>
        <w:tab w:val="left" w:pos="360"/>
      </w:tabs>
    </w:pPr>
    <w:rPr>
      <w:sz w:val="24"/>
    </w:rPr>
  </w:style>
  <w:style w:type="character" w:customStyle="1" w:styleId="104">
    <w:name w:val="脚注文本 Char"/>
    <w:basedOn w:val="40"/>
    <w:semiHidden/>
    <w:qFormat/>
    <w:uiPriority w:val="99"/>
    <w:rPr>
      <w:rFonts w:ascii="Times New Roman" w:hAnsi="Times New Roman" w:eastAsia="宋体" w:cs="Times New Roman"/>
      <w:sz w:val="18"/>
      <w:szCs w:val="18"/>
    </w:rPr>
  </w:style>
  <w:style w:type="character" w:customStyle="1" w:styleId="105">
    <w:name w:val="脚注文本 Char1"/>
    <w:link w:val="30"/>
    <w:qFormat/>
    <w:uiPriority w:val="0"/>
    <w:rPr>
      <w:rFonts w:ascii="Times New Roman" w:hAnsi="Times New Roman" w:eastAsia="宋体" w:cs="Times New Roman"/>
      <w:sz w:val="20"/>
      <w:szCs w:val="20"/>
    </w:rPr>
  </w:style>
  <w:style w:type="paragraph" w:customStyle="1" w:styleId="106">
    <w:name w:val="表格文字"/>
    <w:basedOn w:val="1"/>
    <w:qFormat/>
    <w:uiPriority w:val="0"/>
    <w:pPr>
      <w:adjustRightInd w:val="0"/>
      <w:spacing w:line="420" w:lineRule="atLeast"/>
      <w:jc w:val="left"/>
      <w:textAlignment w:val="baseline"/>
    </w:pPr>
    <w:rPr>
      <w:kern w:val="0"/>
      <w:szCs w:val="20"/>
    </w:rPr>
  </w:style>
  <w:style w:type="paragraph" w:styleId="107">
    <w:name w:val="List Paragraph"/>
    <w:basedOn w:val="1"/>
    <w:qFormat/>
    <w:uiPriority w:val="34"/>
    <w:pPr>
      <w:ind w:firstLine="420" w:firstLineChars="200"/>
    </w:pPr>
  </w:style>
  <w:style w:type="paragraph" w:customStyle="1" w:styleId="108">
    <w:name w:val="2 Char Char Char Char Char Char Char Char Char Char Char Char Char"/>
    <w:basedOn w:val="16"/>
    <w:qFormat/>
    <w:uiPriority w:val="0"/>
    <w:pPr>
      <w:shd w:val="clear" w:color="auto" w:fill="000080"/>
    </w:pPr>
    <w:rPr>
      <w:rFonts w:ascii="Tahoma" w:hAnsi="Tahoma"/>
      <w:sz w:val="24"/>
      <w:szCs w:val="24"/>
    </w:rPr>
  </w:style>
  <w:style w:type="paragraph" w:customStyle="1" w:styleId="109">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1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p0"/>
    <w:basedOn w:val="1"/>
    <w:qFormat/>
    <w:uiPriority w:val="0"/>
    <w:rPr>
      <w:szCs w:val="21"/>
    </w:rPr>
  </w:style>
  <w:style w:type="paragraph" w:customStyle="1" w:styleId="112">
    <w:name w:val="table"/>
    <w:qFormat/>
    <w:uiPriority w:val="0"/>
    <w:pPr>
      <w:adjustRightInd w:val="0"/>
      <w:snapToGrid w:val="0"/>
    </w:pPr>
    <w:rPr>
      <w:rFonts w:hint="default" w:ascii="宋体" w:hAnsi="Calibri" w:eastAsia="宋体" w:cs="Times New Roman"/>
      <w:kern w:val="2"/>
      <w:sz w:val="24"/>
      <w:szCs w:val="22"/>
      <w:lang w:val="en-US" w:eastAsia="zh-CN" w:bidi="ar-SA"/>
    </w:rPr>
  </w:style>
  <w:style w:type="paragraph" w:customStyle="1" w:styleId="113">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ce3de40d-9592-4250-9f13-679bc24cfeff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367ABE17</paraID>
      <start>46</start>
      <end>47</end>
      <status>unmodified</status>
      <modifiedWord/>
      <trackRevisions>false</trackRevisions>
    </reviewItem>
    <reviewItem>
      <errorID>3fc4252a-0383-4b06-8153-a87b9db79622</errorID>
      <errorWord>(</errorWord>
      <group>L1_Format</group>
      <groupName>格式问题</groupName>
      <ability>L2_HalfPunc_CN</ability>
      <abilityName>全半角检查</abilityName>
      <candidateList>
        <item>（</item>
      </candidateList>
      <explain>文本全半角错误。</explain>
      <paraID>5C778D23</paraID>
      <start>15</start>
      <end>16</end>
      <status>unmodified</status>
      <modifiedWord/>
      <trackRevisions>false</trackRevisions>
    </reviewItem>
    <reviewItem>
      <errorID>9b8ca37c-c40e-476a-9275-d25fbfa4ee41</errorID>
      <errorWord>)</errorWord>
      <group>L1_Format</group>
      <groupName>格式问题</groupName>
      <ability>L2_HalfPunc_CN</ability>
      <abilityName>全半角检查</abilityName>
      <candidateList>
        <item>）</item>
      </candidateList>
      <explain>文本全半角错误。</explain>
      <paraID>5C778D23</paraID>
      <start>38</start>
      <end>39</end>
      <status>unmodified</status>
      <modifiedWord/>
      <trackRevisions>false</trackRevisions>
    </reviewItem>
    <reviewItem>
      <errorID>b3c257ba-0946-4207-82b6-9a32c28a1b6a</errorID>
      <errorWord>日至2026年</errorWord>
      <group>L1_Word</group>
      <groupName>字词问题</groupName>
      <ability>L2_Typo</ability>
      <abilityName>字词错误</abilityName>
      <candidateList>
        <item>日起至2026年</item>
      </candidateList>
      <explain/>
      <paraID>450F658F</paraID>
      <start>25</start>
      <end>32</end>
      <status>unmodified</status>
      <modifiedWord/>
      <trackRevisions>false</trackRevisions>
    </reviewItem>
    <reviewItem>
      <errorID>1fbd4798-626b-402c-89fb-ad2440196197</errorID>
      <errorWord>：/。</errorWord>
      <group>L1_Punc</group>
      <groupName>标点问题</groupName>
      <ability>L2_Punc_CN</ability>
      <abilityName>标点符号检查</abilityName>
      <candidateList>
        <item>：</item>
      </candidateList>
      <explain/>
      <paraID> A410288</paraID>
      <start>14</start>
      <end>17</end>
      <status>unmodified</status>
      <modifiedWord/>
      <trackRevisions>false</trackRevisions>
    </reviewItem>
    <reviewItem>
      <errorID>a2e4690c-0112-4bc5-9481-27a5f883af2c</errorID>
      <errorWord>网</errorWord>
      <group>L1_Word</group>
      <groupName>字词问题</groupName>
      <ability>L2_Typo</ability>
      <abilityName>字词错误</abilityName>
      <candidateList>
        <item>网站</item>
      </candidateList>
      <explain/>
      <paraID>59F71A4A</paraID>
      <start>71</start>
      <end>72</end>
      <status>unmodified</status>
      <modifiedWord/>
      <trackRevisions>false</trackRevisions>
    </reviewItem>
    <reviewItem>
      <errorID>0f610ce1-aa5f-4c1f-a908-f85acd079dd9</errorID>
      <errorWord>-</errorWord>
      <group>L1_Format</group>
      <groupName>格式问题</groupName>
      <ability>L2_HalfPunc_CN</ability>
      <abilityName>全半角检查</abilityName>
      <candidateList>
        <item>－</item>
      </candidateList>
      <explain>文本全半角错误。</explain>
      <paraID>7234BE0F</paraID>
      <start>30</start>
      <end>31</end>
      <status>unmodified</status>
      <modifiedWord/>
      <trackRevisions>false</trackRevisions>
    </reviewItem>
    <reviewItem>
      <errorID>952bfca7-e80c-45bf-89e2-945389b77e01</errorID>
      <errorWord>：</errorWord>
      <group>L1_Word</group>
      <groupName>字词问题</groupName>
      <ability>L2_Typo</ability>
      <abilityName>字词错误</abilityName>
      <candidateList>
        <item>：以</item>
      </candidateList>
      <explain/>
      <paraID>469C9467</paraID>
      <start>9</start>
      <end>10</end>
      <status>unmodified</status>
      <modifiedWord/>
      <trackRevisions>false</trackRevisions>
    </reviewItem>
    <reviewItem>
      <errorID>6f29d391-57b0-4f91-9f0f-a1aabaef7c19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446CEC55</paraID>
      <start>17</start>
      <end>20</end>
      <status>unmodified</status>
      <modifiedWord/>
      <trackRevisions>false</trackRevisions>
    </reviewItem>
    <reviewItem>
      <errorID>f7106844-499f-41da-89a4-85d5965ffca6</errorID>
      <errorWord>(</errorWord>
      <group>L1_Format</group>
      <groupName>格式问题</groupName>
      <ability>L2_HalfPunc_CN</ability>
      <abilityName>全半角检查</abilityName>
      <candidateList>
        <item>（</item>
      </candidateList>
      <explain>文本全半角错误。</explain>
      <paraID>73E866E2</paraID>
      <start>7</start>
      <end>8</end>
      <status>unmodified</status>
      <modifiedWord/>
      <trackRevisions>false</trackRevisions>
    </reviewItem>
    <reviewItem>
      <errorID>765fc60e-c02b-4fa4-96f6-1a011a43e3c8</errorID>
      <errorWord>(</errorWord>
      <group>L1_Format</group>
      <groupName>格式问题</groupName>
      <ability>L2_HalfPunc_CN</ability>
      <abilityName>全半角检查</abilityName>
      <candidateList>
        <item>（</item>
      </candidateList>
      <explain>文本全半角错误。</explain>
      <paraID>73E866E2</paraID>
      <start>25</start>
      <end>26</end>
      <status>unmodified</status>
      <modifiedWord/>
      <trackRevisions>false</trackRevisions>
    </reviewItem>
    <reviewItem>
      <errorID>daf1654b-58b0-495f-b02e-58573821a717</errorID>
      <errorWord>(</errorWord>
      <group>L1_Format</group>
      <groupName>格式问题</groupName>
      <ability>L2_HalfPunc_CN</ability>
      <abilityName>全半角检查</abilityName>
      <candidateList>
        <item>（</item>
      </candidateList>
      <explain>文本全半角错误。</explain>
      <paraID>73E866E2</paraID>
      <start>60</start>
      <end>61</end>
      <status>unmodified</status>
      <modifiedWord/>
      <trackRevisions>false</trackRevisions>
    </reviewItem>
    <reviewItem>
      <errorID>0b1fae48-6c26-404c-baea-c01e61c5cafa</errorID>
      <errorWord>须</errorWord>
      <group>L1_Word</group>
      <groupName>字词问题</groupName>
      <ability>L2_Typo</ability>
      <abilityName>字词错误</abilityName>
      <candidateList>
        <item>需</item>
      </candidateList>
      <explain>存在发音相同字词的误用。</explain>
      <paraID>5B32BBBA</paraID>
      <start>7</start>
      <end>8</end>
      <status>unmodified</status>
      <modifiedWord/>
      <trackRevisions>false</trackRevisions>
    </reviewItem>
    <reviewItem>
      <errorID>88571f6f-e7a0-4dcc-922d-ade9d1448e6f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688F9FA</paraID>
      <start>12</start>
      <end>14</end>
      <status>unmodified</status>
      <modifiedWord/>
      <trackRevisions>false</trackRevisions>
    </reviewItem>
    <reviewItem>
      <errorID>35da1795-5f92-4b7f-a0e0-4f8dd02c7615</errorID>
      <errorWord>委</errorWord>
      <group>L1_Word</group>
      <groupName>字词问题</groupName>
      <ability>L2_Typo</ability>
      <abilityName>字词错误</abilityName>
      <candidateList>
        <item>委员</item>
      </candidateList>
      <explain/>
      <paraID>5A12E256</paraID>
      <start>15</start>
      <end>16</end>
      <status>unmodified</status>
      <modifiedWord/>
      <trackRevisions>false</trackRevisions>
    </reviewItem>
    <reviewItem>
      <errorID>a5d9d07f-751c-4f5f-9cbd-c55dd2b490eb</errorID>
      <errorWord>违规的行为</errorWord>
      <group>L1_Word</group>
      <groupName>字词问题</groupName>
      <ability>L2_Typo</ability>
      <abilityName>字词错误</abilityName>
      <candidateList>
        <item>违规行为</item>
      </candidateList>
      <explain/>
      <paraID>178AC449</paraID>
      <start>7</start>
      <end>12</end>
      <status>unmodified</status>
      <modifiedWord/>
      <trackRevisions>false</trackRevisions>
    </reviewItem>
    <reviewItem>
      <errorID>27748062-8a66-4fbc-b88e-42bd725b27e6</errorID>
      <errorWord>(</errorWord>
      <group>L1_Format</group>
      <groupName>格式问题</groupName>
      <ability>L2_HalfPunc_CN</ability>
      <abilityName>全半角检查</abilityName>
      <candidateList>
        <item>（</item>
      </candidateList>
      <explain>文本全半角错误。</explain>
      <paraID>28E517FD</paraID>
      <start>9</start>
      <end>10</end>
      <status>unmodified</status>
      <modifiedWord/>
      <trackRevisions>false</trackRevisions>
    </reviewItem>
    <reviewItem>
      <errorID>76fd132a-e13d-4461-a262-49932a0ff357</errorID>
      <errorWord>)</errorWord>
      <group>L1_Format</group>
      <groupName>格式问题</groupName>
      <ability>L2_HalfPunc_CN</ability>
      <abilityName>全半角检查</abilityName>
      <candidateList>
        <item>）</item>
      </candidateList>
      <explain>文本全半角错误。</explain>
      <paraID>28E517FD</paraID>
      <start>17</start>
      <end>18</end>
      <status>unmodified</status>
      <modifiedWord/>
      <trackRevisions>false</trackRevisions>
    </reviewItem>
    <reviewItem>
      <errorID>3cdb52b2-b2ac-4f5e-a80c-46b3852357dc</errorID>
      <errorWord>做出</errorWord>
      <group>L1_Word</group>
      <groupName>字词问题</groupName>
      <ability>L2_Typo</ability>
      <abilityName>字词错误</abilityName>
      <candidateList>
        <item>作出</item>
      </candidateList>
      <explain/>
      <paraID>116CFB75</paraID>
      <start>51</start>
      <end>53</end>
      <status>unmodified</status>
      <modifiedWord/>
      <trackRevisions>false</trackRevisions>
    </reviewItem>
    <reviewItem>
      <errorID>51927e75-c628-496b-b1d8-d555a35a904b</errorID>
      <errorWord>并</errorWord>
      <group>L1_Word</group>
      <groupName>字词问题</groupName>
      <ability>L2_Typo</ability>
      <abilityName>字词错误</abilityName>
      <candidateList>
        <item>并加</item>
      </candidateList>
      <explain/>
      <paraID>35773C41</paraID>
      <start>25</start>
      <end>26</end>
      <status>unmodified</status>
      <modifiedWord/>
      <trackRevisions>false</trackRevisions>
    </reviewItem>
    <reviewItem>
      <errorID>bfe04ff5-f005-42a4-be11-62d46000974d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30592629</paraID>
      <start>41</start>
      <end>44</end>
      <status>unmodified</status>
      <modifiedWord/>
      <trackRevisions>false</trackRevisions>
    </reviewItem>
    <reviewItem>
      <errorID>0ce2db23-4ad0-44e3-adbf-b50528c12a0c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30383106</paraID>
      <start>41</start>
      <end>44</end>
      <status>unmodified</status>
      <modifiedWord/>
      <trackRevisions>false</trackRevisions>
    </reviewItem>
    <reviewItem>
      <errorID>04e753da-653e-44be-957c-e75da160790a</errorID>
      <errorWord>位</errorWord>
      <group>L1_Word</group>
      <groupName>字词问题</groupName>
      <ability>L2_Typo</ability>
      <abilityName>字词错误</abilityName>
      <candidateList>
        <item>位公</item>
      </candidateList>
      <explain/>
      <paraID>30383106</paraID>
      <start>71</start>
      <end>72</end>
      <status>unmodified</status>
      <modifiedWord/>
      <trackRevisions>false</trackRevisions>
    </reviewItem>
    <reviewItem>
      <errorID>1027f0f3-742e-4e08-bc1b-40976d06f963</errorID>
      <errorWord>法律、法规</errorWord>
      <group>L1_Word</group>
      <groupName>字词问题</groupName>
      <ability>L2_Typo</ability>
      <abilityName>字词错误</abilityName>
      <candidateList>
        <item>法律法规</item>
      </candidateList>
      <explain/>
      <paraID> 9651475</paraID>
      <start>6</start>
      <end>11</end>
      <status>unmodified</status>
      <modifiedWord/>
      <trackRevisions>false</trackRevisions>
    </reviewItem>
    <reviewItem>
      <errorID>d90dbbed-cb43-495e-ae50-bfcb4f0fd3ba</errorID>
      <errorWord>,</errorWord>
      <group>L1_Format</group>
      <groupName>格式问题</groupName>
      <ability>L2_HalfPunc_CN</ability>
      <abilityName>全半角检查</abilityName>
      <candidateList>
        <item>，</item>
      </candidateList>
      <explain>文本全半角错误。</explain>
      <paraID>4E7AFCCF</paraID>
      <start>94</start>
      <end>95</end>
      <status>unmodified</status>
      <modifiedWord/>
      <trackRevisions>false</trackRevisions>
    </reviewItem>
    <reviewItem>
      <errorID>dfe9f2b3-e8a0-47ff-a296-0c4320ff8c6b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26BB70A2</paraID>
      <start>3</start>
      <end>7</end>
      <status>unmodified</status>
      <modifiedWord/>
      <trackRevisions>false</trackRevisions>
    </reviewItem>
    <reviewItem>
      <errorID>4275c5f0-0035-4249-8049-e5784c8ce9d9</errorID>
      <errorWord>透漏</errorWord>
      <group>L1_Word</group>
      <groupName>字词问题</groupName>
      <ability>L2_Typo</ability>
      <abilityName>字词错误</abilityName>
      <candidateList>
        <item>透露</item>
      </candidateList>
      <explain>存在发音相同字词的误用。</explain>
      <paraID>7FD1CABD</paraID>
      <start>27</start>
      <end>29</end>
      <status>unmodified</status>
      <modifiedWord/>
      <trackRevisions>false</trackRevisions>
    </reviewItem>
    <reviewItem>
      <errorID>a3fa4d21-2e5d-4dfe-9b47-0657bd61e6d0</errorID>
      <errorWord>透漏</errorWord>
      <group>L1_Word</group>
      <groupName>字词问题</groupName>
      <ability>L2_Typo</ability>
      <abilityName>字词错误</abilityName>
      <candidateList>
        <item>透露</item>
      </candidateList>
      <explain>存在发音相同字词的误用。</explain>
      <paraID>733CF80F</paraID>
      <start>33</start>
      <end>35</end>
      <status>unmodified</status>
      <modifiedWord/>
      <trackRevisions>false</trackRevisions>
    </reviewItem>
    <reviewItem>
      <errorID>0ce73934-9550-4316-a1ec-e4d5f4e773fd</errorID>
      <errorWord>法律、法规</errorWord>
      <group>L1_Word</group>
      <groupName>字词问题</groupName>
      <ability>L2_Typo</ability>
      <abilityName>字词错误</abilityName>
      <candidateList>
        <item>法律法规</item>
      </candidateList>
      <explain/>
      <paraID>10B7A793</paraID>
      <start>3</start>
      <end>8</end>
      <status>unmodified</status>
      <modifiedWord/>
      <trackRevisions>false</trackRevisions>
    </reviewItem>
    <reviewItem>
      <errorID>8f3c430f-c4a7-40dd-aa51-0e5446bc9f41</errorID>
      <errorWord>侯选人</errorWord>
      <group>L1_Word</group>
      <groupName>字词问题</groupName>
      <ability>L2_Typo</ability>
      <abilityName>字词错误</abilityName>
      <candidateList>
        <item>候选人</item>
      </candidateList>
      <explain>〈名〉在选举前预先提名作为选举对象的人。</explain>
      <paraID> A442B41</paraID>
      <start>51</start>
      <end>54</end>
      <status>unmodified</status>
      <modifiedWord/>
      <trackRevisions>false</trackRevisions>
    </reviewItem>
    <reviewItem>
      <errorID>e7b00285-2704-46a6-b671-5b8ab1226089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334885BD</paraID>
      <start>0</start>
      <end>2</end>
      <status>unmodified</status>
      <modifiedWord/>
      <trackRevisions>false</trackRevisions>
    </reviewItem>
    <reviewItem>
      <errorID>5f95ea87-928a-4f10-9431-f72cd68285bf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11A388E9</paraID>
      <start>0</start>
      <end>2</end>
      <status>unmodified</status>
      <modifiedWord/>
      <trackRevisions>false</trackRevisions>
    </reviewItem>
    <reviewItem>
      <errorID>fb230642-b0f2-4c74-98b4-64547004014c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6C459D96</paraID>
      <start>0</start>
      <end>2</end>
      <status>unmodified</status>
      <modifiedWord/>
      <trackRevisions>false</trackRevisions>
    </reviewItem>
    <reviewItem>
      <errorID>53288766-5b55-47a5-b500-dc39e6b0cd4f</errorID>
      <errorWord>(</errorWord>
      <group>L1_Format</group>
      <groupName>格式问题</groupName>
      <ability>L2_HalfPunc_CN</ability>
      <abilityName>全半角检查</abilityName>
      <candidateList>
        <item>（</item>
      </candidateList>
      <explain>文本全半角错误。</explain>
      <paraID>65CCA0AE</paraID>
      <start>0</start>
      <end>1</end>
      <status>unmodified</status>
      <modifiedWord/>
      <trackRevisions>false</trackRevisions>
    </reviewItem>
    <reviewItem>
      <errorID>5dff50dc-216b-4042-b697-b8e061ccb8c4</errorID>
      <errorWord>(</errorWord>
      <group>L1_Format</group>
      <groupName>格式问题</groupName>
      <ability>L2_HalfPunc_CN</ability>
      <abilityName>全半角检查</abilityName>
      <candidateList>
        <item>（</item>
      </candidateList>
      <explain>文本全半角错误。</explain>
      <paraID>46C934BA</paraID>
      <start>0</start>
      <end>1</end>
      <status>unmodified</status>
      <modifiedWord/>
      <trackRevisions>false</trackRevisions>
    </reviewItem>
    <reviewItem>
      <errorID>476046dd-c9c3-4fd6-ab93-98d2d3fbfee8</errorID>
      <errorWord>(</errorWord>
      <group>L1_Format</group>
      <groupName>格式问题</groupName>
      <ability>L2_HalfPunc_CN</ability>
      <abilityName>全半角检查</abilityName>
      <candidateList>
        <item>（</item>
      </candidateList>
      <explain>文本全半角错误。</explain>
      <paraID>26B26F62</paraID>
      <start>49</start>
      <end>50</end>
      <status>unmodified</status>
      <modifiedWord/>
      <trackRevisions>false</trackRevisions>
    </reviewItem>
    <reviewItem>
      <errorID>200a47eb-cdb6-4ea0-a6db-74c1f8cd34d5</errorID>
      <errorWord>)</errorWord>
      <group>L1_Format</group>
      <groupName>格式问题</groupName>
      <ability>L2_HalfPunc_CN</ability>
      <abilityName>全半角检查</abilityName>
      <candidateList>
        <item>）</item>
      </candidateList>
      <explain>文本全半角错误。</explain>
      <paraID>26B26F62</paraID>
      <start>51</start>
      <end>52</end>
      <status>unmodified</status>
      <modifiedWord/>
      <trackRevisions>false</trackRevisions>
    </reviewItem>
    <reviewItem>
      <errorID>fd59b396-1ba4-47e1-bdf1-c3c9e7fb8f23</errorID>
      <errorWord>(</errorWord>
      <group>L1_Format</group>
      <groupName>格式问题</groupName>
      <ability>L2_HalfPunc_CN</ability>
      <abilityName>全半角检查</abilityName>
      <candidateList>
        <item>（</item>
      </candidateList>
      <explain>文本全半角错误。</explain>
      <paraID>26B26F62</paraID>
      <start>59</start>
      <end>60</end>
      <status>unmodified</status>
      <modifiedWord/>
      <trackRevisions>false</trackRevisions>
    </reviewItem>
    <reviewItem>
      <errorID>b08046e7-a057-49c9-9211-ebcd815d6157</errorID>
      <errorWord>)</errorWord>
      <group>L1_Format</group>
      <groupName>格式问题</groupName>
      <ability>L2_HalfPunc_CN</ability>
      <abilityName>全半角检查</abilityName>
      <candidateList>
        <item>）</item>
      </candidateList>
      <explain>文本全半角错误。</explain>
      <paraID>26B26F62</paraID>
      <start>61</start>
      <end>62</end>
      <status>unmodified</status>
      <modifiedWord/>
      <trackRevisions>false</trackRevisions>
    </reviewItem>
    <reviewItem>
      <errorID>2561e848-959b-4c59-be89-43efa99eb505</errorID>
      <errorWord>(</errorWord>
      <group>L1_Format</group>
      <groupName>格式问题</groupName>
      <ability>L2_HalfPunc_CN</ability>
      <abilityName>全半角检查</abilityName>
      <candidateList>
        <item>（</item>
      </candidateList>
      <explain>文本全半角错误。</explain>
      <paraID>26B26F62</paraID>
      <start>72</start>
      <end>73</end>
      <status>unmodified</status>
      <modifiedWord/>
      <trackRevisions>false</trackRevisions>
    </reviewItem>
    <reviewItem>
      <errorID>f072e433-ab60-43d1-9686-6cdf51b07e68</errorID>
      <errorWord>)</errorWord>
      <group>L1_Format</group>
      <groupName>格式问题</groupName>
      <ability>L2_HalfPunc_CN</ability>
      <abilityName>全半角检查</abilityName>
      <candidateList>
        <item>）</item>
      </candidateList>
      <explain>文本全半角错误。</explain>
      <paraID>26B26F62</paraID>
      <start>74</start>
      <end>75</end>
      <status>unmodified</status>
      <modifiedWord/>
      <trackRevisions>false</trackRevisions>
    </reviewItem>
    <reviewItem>
      <errorID>fcd3b109-0d93-4dba-9507-dabe6c41c794</errorID>
      <errorWord>(</errorWord>
      <group>L1_Format</group>
      <groupName>格式问题</groupName>
      <ability>L2_HalfPunc_CN</ability>
      <abilityName>全半角检查</abilityName>
      <candidateList>
        <item>（</item>
      </candidateList>
      <explain>文本全半角错误。</explain>
      <paraID>26B26F62</paraID>
      <start>82</start>
      <end>83</end>
      <status>unmodified</status>
      <modifiedWord/>
      <trackRevisions>false</trackRevisions>
    </reviewItem>
    <reviewItem>
      <errorID>bf5a0701-6e5f-40b2-bd89-dacf441293c6</errorID>
      <errorWord>)</errorWord>
      <group>L1_Format</group>
      <groupName>格式问题</groupName>
      <ability>L2_HalfPunc_CN</ability>
      <abilityName>全半角检查</abilityName>
      <candidateList>
        <item>）</item>
      </candidateList>
      <explain>文本全半角错误。</explain>
      <paraID>26B26F62</paraID>
      <start>84</start>
      <end>85</end>
      <status>unmodified</status>
      <modifiedWord/>
      <trackRevisions>false</trackRevisions>
    </reviewItem>
    <reviewItem>
      <errorID>1f6f672e-25de-4ce4-b755-7454984424b0</errorID>
      <errorWord>(</errorWord>
      <group>L1_Format</group>
      <groupName>格式问题</groupName>
      <ability>L2_HalfPunc_CN</ability>
      <abilityName>全半角检查</abilityName>
      <candidateList>
        <item>（</item>
      </candidateList>
      <explain>文本全半角错误。</explain>
      <paraID>26B26F62</paraID>
      <start>115</start>
      <end>116</end>
      <status>unmodified</status>
      <modifiedWord/>
      <trackRevisions>false</trackRevisions>
    </reviewItem>
    <reviewItem>
      <errorID>ca4c7b78-d22f-426b-83ba-859180876191</errorID>
      <errorWord>)</errorWord>
      <group>L1_Format</group>
      <groupName>格式问题</groupName>
      <ability>L2_HalfPunc_CN</ability>
      <abilityName>全半角检查</abilityName>
      <candidateList>
        <item>）</item>
      </candidateList>
      <explain>文本全半角错误。</explain>
      <paraID>26B26F62</paraID>
      <start>117</start>
      <end>118</end>
      <status>unmodified</status>
      <modifiedWord/>
      <trackRevisions>false</trackRevisions>
    </reviewItem>
    <reviewItem>
      <errorID>347525ea-bda6-4cbd-a6d2-dcd608561ef1</errorID>
      <errorWord>(</errorWord>
      <group>L1_Format</group>
      <groupName>格式问题</groupName>
      <ability>L2_HalfPunc_CN</ability>
      <abilityName>全半角检查</abilityName>
      <candidateList>
        <item>（</item>
      </candidateList>
      <explain>文本全半角错误。</explain>
      <paraID>26B26F62</paraID>
      <start>128</start>
      <end>129</end>
      <status>unmodified</status>
      <modifiedWord/>
      <trackRevisions>false</trackRevisions>
    </reviewItem>
    <reviewItem>
      <errorID>87c1c35c-faf9-4a90-97e6-5f4ac0cc6e30</errorID>
      <errorWord>)</errorWord>
      <group>L1_Format</group>
      <groupName>格式问题</groupName>
      <ability>L2_HalfPunc_CN</ability>
      <abilityName>全半角检查</abilityName>
      <candidateList>
        <item>）</item>
      </candidateList>
      <explain>文本全半角错误。</explain>
      <paraID>26B26F62</paraID>
      <start>130</start>
      <end>131</end>
      <status>unmodified</status>
      <modifiedWord/>
      <trackRevisions>false</trackRevisions>
    </reviewItem>
    <reviewItem>
      <errorID>d286bbdb-76a3-438d-8bf2-3695fd1e6622</errorID>
      <errorWord>日</errorWord>
      <group>L1_Word</group>
      <groupName>字词问题</groupName>
      <ability>L2_Typo</ability>
      <abilityName>字词错误</abilityName>
      <candidateList>
        <item>日内</item>
      </candidateList>
      <explain/>
      <paraID>65073228</paraID>
      <start>64</start>
      <end>65</end>
      <status>unmodified</status>
      <modifiedWord/>
      <trackRevisions>false</trackRevisions>
    </reviewItem>
    <reviewItem>
      <errorID>3f92331b-b77b-4179-bc3c-5fef1d6e7498</errorID>
      <errorWord>日</errorWord>
      <group>L1_Word</group>
      <groupName>字词问题</groupName>
      <ability>L2_Typo</ability>
      <abilityName>字词错误</abilityName>
      <candidateList>
        <item>日内</item>
      </candidateList>
      <explain/>
      <paraID>65073228</paraID>
      <start>92</start>
      <end>93</end>
      <status>unmodified</status>
      <modifiedWord/>
      <trackRevisions>false</trackRevisions>
    </reviewItem>
    <reviewItem>
      <errorID>bf19a520-0498-4138-98a7-2fe0b34a6ec7</errorID>
      <errorWord>做出</errorWord>
      <group>L1_Word</group>
      <groupName>字词问题</groupName>
      <ability>L2_Typo</ability>
      <abilityName>字词错误</abilityName>
      <candidateList>
        <item>作出</item>
      </candidateList>
      <explain/>
      <paraID>23714956</paraID>
      <start>28</start>
      <end>30</end>
      <status>unmodified</status>
      <modifiedWord/>
      <trackRevisions>false</trackRevisions>
    </reviewItem>
    <reviewItem>
      <errorID>193a6495-5316-4205-931c-db5620fbd3de</errorID>
      <errorWord>负保密责任</errorWord>
      <group>L1_Word</group>
      <groupName>字词问题</groupName>
      <ability>L2_Typo</ability>
      <abilityName>字词错误</abilityName>
      <candidateList>
        <item>负有保密责任</item>
      </candidateList>
      <explain/>
      <paraID>1D8BD674</paraID>
      <start>40</start>
      <end>45</end>
      <status>unmodified</status>
      <modifiedWord/>
      <trackRevisions>false</trackRevisions>
    </reviewItem>
    <reviewItem>
      <errorID>34e97b75-9dbb-428d-9d75-48af1d9df1d6</errorID>
      <errorWord>法律、法规</errorWord>
      <group>L1_Word</group>
      <groupName>字词问题</groupName>
      <ability>L2_Typo</ability>
      <abilityName>字词错误</abilityName>
      <candidateList>
        <item>法律法规</item>
      </candidateList>
      <explain/>
      <paraID>1D8BD674</paraID>
      <start>47</start>
      <end>52</end>
      <status>unmodified</status>
      <modifiedWord/>
      <trackRevisions>false</trackRevisions>
    </reviewItem>
    <reviewItem>
      <errorID>ce728d56-df60-4117-912e-680c26a40a46</errorID>
      <errorWord>做出</errorWord>
      <group>L1_Word</group>
      <groupName>字词问题</groupName>
      <ability>L2_Typo</ability>
      <abilityName>字词错误</abilityName>
      <candidateList>
        <item>作出</item>
      </candidateList>
      <explain/>
      <paraID>39B22431</paraID>
      <start>28</start>
      <end>30</end>
      <status>unmodified</status>
      <modifiedWord/>
      <trackRevisions>false</trackRevisions>
    </reviewItem>
    <reviewItem>
      <errorID>7f73ebfa-1c68-4768-b857-f47f8c6b035e</errorID>
      <errorWord>负保密责任</errorWord>
      <group>L1_Word</group>
      <groupName>字词问题</groupName>
      <ability>L2_Typo</ability>
      <abilityName>字词错误</abilityName>
      <candidateList>
        <item>负有保密责任</item>
      </candidateList>
      <explain/>
      <paraID> 46A30C9</paraID>
      <start>40</start>
      <end>45</end>
      <status>unmodified</status>
      <modifiedWord/>
      <trackRevisions>false</trackRevisions>
    </reviewItem>
    <reviewItem>
      <errorID>abd718ef-d99b-46e6-9e88-7411c8b60fce</errorID>
      <errorWord>法律、法规</errorWord>
      <group>L1_Word</group>
      <groupName>字词问题</groupName>
      <ability>L2_Typo</ability>
      <abilityName>字词错误</abilityName>
      <candidateList>
        <item>法律法规</item>
      </candidateList>
      <explain/>
      <paraID> 46A30C9</paraID>
      <start>47</start>
      <end>52</end>
      <status>unmodified</status>
      <modifiedWord/>
      <trackRevisions>false</trackRevisions>
    </reviewItem>
    <reviewItem>
      <errorID>b11edf1b-f8e8-4f32-b1b5-3dbe0a429388</errorID>
      <errorWord>(</errorWord>
      <group>L1_Format</group>
      <groupName>格式问题</groupName>
      <ability>L2_HalfPunc_CN</ability>
      <abilityName>全半角检查</abilityName>
      <candidateList>
        <item>（</item>
      </candidateList>
      <explain>文本全半角错误。</explain>
      <paraID>5A332ACF</paraID>
      <start>3</start>
      <end>4</end>
      <status>unmodified</status>
      <modifiedWord/>
      <trackRevisions>false</trackRevisions>
    </reviewItem>
    <reviewItem>
      <errorID>dd07d771-88c0-454a-a123-dbdf8d547e0b</errorID>
      <errorWord>)</errorWord>
      <group>L1_Format</group>
      <groupName>格式问题</groupName>
      <ability>L2_HalfPunc_CN</ability>
      <abilityName>全半角检查</abilityName>
      <candidateList>
        <item>）</item>
      </candidateList>
      <explain>文本全半角错误。</explain>
      <paraID>5A332ACF</paraID>
      <start>6</start>
      <end>7</end>
      <status>unmodified</status>
      <modifiedWord/>
      <trackRevisions>false</trackRevisions>
    </reviewItem>
    <reviewItem>
      <errorID>84364f13-5bda-45d7-ad38-69800b44bfab</errorID>
      <errorWord>项目项目</errorWord>
      <group>L1_Word</group>
      <groupName>字词问题</groupName>
      <ability>L2_Typo</ability>
      <abilityName>字词错误</abilityName>
      <candidateList>
        <item>项目</item>
      </candidateList>
      <explain>〈名〉事物分成的门类：服务～｜体育～｜建设～。</explain>
      <paraID>630F7348</paraID>
      <start>49</start>
      <end>51</end>
      <status>modified</status>
      <modifiedWord>项目</modifiedWord>
      <trackRevisions>false</trackRevisions>
    </reviewItem>
    <reviewItem>
      <errorID>3dccae98-3a91-4a0a-b956-4f814ed9b8e3</errorID>
      <errorWord>,</errorWord>
      <group>L1_Format</group>
      <groupName>格式问题</groupName>
      <ability>L2_HalfPunc_CN</ability>
      <abilityName>全半角检查</abilityName>
      <candidateList>
        <item>，</item>
      </candidateList>
      <explain>文本全半角错误。</explain>
      <paraID>630F7348</paraID>
      <start>56</start>
      <end>57</end>
      <status>unmodified</status>
      <modifiedWord/>
      <trackRevisions>false</trackRevisions>
    </reviewItem>
    <reviewItem>
      <errorID>125d9b85-66e2-4488-a79f-e55861962c33</errorID>
      <errorWord>负保密责任</errorWord>
      <group>L1_Word</group>
      <groupName>字词问题</groupName>
      <ability>L2_Typo</ability>
      <abilityName>字词错误</abilityName>
      <candidateList>
        <item>负有保密责任</item>
      </candidateList>
      <explain/>
      <paraID>318BB48A</paraID>
      <start>39</start>
      <end>44</end>
      <status>unmodified</status>
      <modifiedWord/>
      <trackRevisions>false</trackRevisions>
    </reviewItem>
    <reviewItem>
      <errorID>c81df6c5-37bc-4600-9820-3478533330dd</errorID>
      <errorWord>法律、法规</errorWord>
      <group>L1_Word</group>
      <groupName>字词问题</groupName>
      <ability>L2_Typo</ability>
      <abilityName>字词错误</abilityName>
      <candidateList>
        <item>法律法规</item>
      </candidateList>
      <explain/>
      <paraID>318BB48A</paraID>
      <start>46</start>
      <end>51</end>
      <status>unmodified</status>
      <modifiedWord/>
      <trackRevisions>false</trackRevisions>
    </reviewItem>
    <reviewItem>
      <errorID>e01f6b44-e894-4f92-8398-0517b764daaa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3729B4D3</paraID>
      <start>17</start>
      <end>18</end>
      <status>unmodified</status>
      <modifiedWord/>
      <trackRevisions>false</trackRevisions>
    </reviewItem>
    <reviewItem>
      <errorID>03c32e4e-f2d0-4015-a463-184f2076e5bf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3A8EF9A0</paraID>
      <start>0</start>
      <end>2</end>
      <status>unmodified</status>
      <modifiedWord/>
      <trackRevisions>false</trackRevisions>
    </reviewItem>
    <reviewItem>
      <errorID>39aeefd2-d253-46c5-8bde-2b05625a1091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645C6181</paraID>
      <start>0</start>
      <end>2</end>
      <status>unmodified</status>
      <modifiedWord/>
      <trackRevisions>false</trackRevisions>
    </reviewItem>
    <reviewItem>
      <errorID>86a2ce61-2945-4180-9dcf-b78e7f798f13</errorID>
      <errorWord>日</errorWord>
      <group>L1_Word</group>
      <groupName>字词问题</groupName>
      <ability>L2_Typo</ability>
      <abilityName>字词错误</abilityName>
      <candidateList>
        <item>日内</item>
      </candidateList>
      <explain/>
      <paraID>15BA8321</paraID>
      <start>37</start>
      <end>38</end>
      <status>unmodified</status>
      <modifiedWord/>
      <trackRevisions>false</trackRevisions>
    </reviewItem>
    <reviewItem>
      <errorID>e8eb79f7-5be1-4a8f-9bac-429d651b98a3</errorID>
      <errorWord>日</errorWord>
      <group>L1_Word</group>
      <groupName>字词问题</groupName>
      <ability>L2_Typo</ability>
      <abilityName>字词错误</abilityName>
      <candidateList>
        <item>日内</item>
      </candidateList>
      <explain/>
      <paraID>15BA8321</paraID>
      <start>64</start>
      <end>65</end>
      <status>unmodified</status>
      <modifiedWord/>
      <trackRevisions>false</trackRevisions>
    </reviewItem>
    <reviewItem>
      <errorID>92404869-e65c-49e3-bac1-b91a4a63e099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25F20EA4</paraID>
      <start>0</start>
      <end>3</end>
      <status>unmodified</status>
      <modifiedWord/>
      <trackRevisions>false</trackRevisions>
    </reviewItem>
    <reviewItem>
      <errorID>541059a2-fd0a-4d82-828d-2311d59f2603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69ABD4A2</paraID>
      <start>0</start>
      <end>3</end>
      <status>unmodified</status>
      <modifiedWord/>
      <trackRevisions>false</trackRevisions>
    </reviewItem>
    <reviewItem>
      <errorID>e24940dd-82e0-4bf7-b003-26db29f207a6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206F1930</paraID>
      <start>0</start>
      <end>3</end>
      <status>unmodified</status>
      <modifiedWord/>
      <trackRevisions>false</trackRevisions>
    </reviewItem>
    <reviewItem>
      <errorID>cd36d6e7-3286-4fed-a53f-85cedeb4731d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31974DFD</paraID>
      <start>0</start>
      <end>3</end>
      <status>unmodified</status>
      <modifiedWord/>
      <trackRevisions>false</trackRevisions>
    </reviewItem>
    <reviewItem>
      <errorID>f3e5036b-49c5-4b11-b2ae-6d7069aaf19c</errorID>
      <errorWord>必须在</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241B7A61</paraID>
      <start>11</start>
      <end>14</end>
      <status>unmodified</status>
      <modifiedWord/>
      <trackRevisions>false</trackRevisions>
    </reviewItem>
    <reviewItem>
      <errorID>3e7f4135-ac16-43e0-a0e4-f91fd2d67d33</errorID>
      <errorWord>书面形式的</errorWord>
      <group>L1_Word</group>
      <groupName>字词问题</groupName>
      <ability>L2_Typo</ability>
      <abilityName>字词错误</abilityName>
      <candidateList>
        <item>书面形式</item>
      </candidateList>
      <explain/>
      <paraID>2B9361F9</paraID>
      <start>34</start>
      <end>39</end>
      <status>unmodified</status>
      <modifiedWord/>
      <trackRevisions>false</trackRevisions>
    </reviewItem>
    <reviewItem>
      <errorID>0b06ef78-ead1-455a-9b4f-ebaae11adcf1</errorID>
      <errorWord>其它可能</errorWord>
      <group>L1_Word</group>
      <groupName>字词问题</groupName>
      <ability>L2_Alias</ability>
      <abilityName>也作/曾用词</abilityName>
      <candidateList>
        <item>其他可能</item>
      </candidateList>
      <explain>词汇[其它可能]为不规范表述或旧称，其规范书面表述为[其他可能]。</explain>
      <paraID>11AC398A</paraID>
      <start>158</start>
      <end>162</end>
      <status>unmodified</status>
      <modifiedWord/>
      <trackRevisions>false</trackRevisions>
    </reviewItem>
    <reviewItem>
      <errorID>a1468325-7f99-4b8d-943c-75f8ae409dd8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D684BC4</paraID>
      <start>0</start>
      <end>3</end>
      <status>unmodified</status>
      <modifiedWord/>
      <trackRevisions>false</trackRevisions>
    </reviewItem>
    <reviewItem>
      <errorID>6c653200-7396-413b-b7d2-0d8e762b4452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2AE70A4</paraID>
      <start>0</start>
      <end>2</end>
      <status>unmodified</status>
      <modifiedWord/>
      <trackRevisions>false</trackRevisions>
    </reviewItem>
    <reviewItem>
      <errorID>e5f16b80-2508-4d58-88ab-96b04ec2b7c9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6E59FC4E</paraID>
      <start>0</start>
      <end>2</end>
      <status>unmodified</status>
      <modifiedWord/>
      <trackRevisions>false</trackRevisions>
    </reviewItem>
    <reviewItem>
      <errorID>210f61d5-7a38-4278-b231-6747dad6ff1d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3B8885B6</paraID>
      <start>0</start>
      <end>2</end>
      <status>unmodified</status>
      <modifiedWord/>
      <trackRevisions>false</trackRevisions>
    </reviewItem>
    <reviewItem>
      <errorID>9adbcf31-2fbb-4e0b-b13c-b61bf76153c7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18965DE9</paraID>
      <start>0</start>
      <end>2</end>
      <status>unmodified</status>
      <modifiedWord/>
      <trackRevisions>false</trackRevisions>
    </reviewItem>
    <reviewItem>
      <errorID>b30844b6-f659-4ab3-9ab7-66d94594213c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21A479F9</paraID>
      <start>0</start>
      <end>2</end>
      <status>unmodified</status>
      <modifiedWord/>
      <trackRevisions>false</trackRevisions>
    </reviewItem>
    <reviewItem>
      <errorID>f6ae7998-c5a8-4d8e-8869-f85f404646a6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3462BDB7</paraID>
      <start>0</start>
      <end>2</end>
      <status>unmodified</status>
      <modifiedWord/>
      <trackRevisions>false</trackRevisions>
    </reviewItem>
    <reviewItem>
      <errorID>e2073d5d-7e62-466e-bbb9-64eb54635538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2E9D13C7</paraID>
      <start>0</start>
      <end>2</end>
      <status>unmodified</status>
      <modifiedWord/>
      <trackRevisions>false</trackRevisions>
    </reviewItem>
    <reviewItem>
      <errorID>4a0be508-c8e7-417b-aedd-511cefd52c7b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112D450E</paraID>
      <start>0</start>
      <end>2</end>
      <status>unmodified</status>
      <modifiedWord/>
      <trackRevisions>false</trackRevisions>
    </reviewItem>
    <reviewItem>
      <errorID>085cfaa9-6020-45cb-80bb-c0798d7d77c1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1C2C7AB2</paraID>
      <start>0</start>
      <end>2</end>
      <status>unmodified</status>
      <modifiedWord/>
      <trackRevisions>false</trackRevisions>
    </reviewItem>
    <reviewItem>
      <errorID>92164b56-814a-4545-9636-46d5fad0b1d5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4153F263</paraID>
      <start>0</start>
      <end>2</end>
      <status>unmodified</status>
      <modifiedWord/>
      <trackRevisions>false</trackRevisions>
    </reviewItem>
    <reviewItem>
      <errorID>c5bfc71d-d362-4d0b-95b4-ab288cfa2318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7E66FCDB</paraID>
      <start>0</start>
      <end>2</end>
      <status>unmodified</status>
      <modifiedWord/>
      <trackRevisions>false</trackRevisions>
    </reviewItem>
    <reviewItem>
      <errorID>51e2618d-4a63-41f2-b70f-e080f586420a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6FA90258</paraID>
      <start>0</start>
      <end>2</end>
      <status>unmodified</status>
      <modifiedWord/>
      <trackRevisions>false</trackRevisions>
    </reviewItem>
    <reviewItem>
      <errorID>62d6c8dc-c80f-4696-8f85-b269885322b0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733E2D0F</paraID>
      <start>0</start>
      <end>2</end>
      <status>unmodified</status>
      <modifiedWord/>
      <trackRevisions>false</trackRevisions>
    </reviewItem>
    <reviewItem>
      <errorID>cdf5e205-a442-491b-b2fc-e7652a5746ab</errorID>
      <errorWord>：/</errorWord>
      <group>L1_Punc</group>
      <groupName>标点问题</groupName>
      <ability>L2_Punc_CN</ability>
      <abilityName>标点符号检查</abilityName>
      <candidateList>
        <item>：</item>
      </candidateList>
      <explain/>
      <paraID>1BD9E485</paraID>
      <start>5</start>
      <end>7</end>
      <status>unmodified</status>
      <modifiedWord/>
      <trackRevisions>false</trackRevisions>
    </reviewItem>
    <reviewItem>
      <errorID>08b8c909-a7a4-48b5-9b98-f59fee623ccf</errorID>
      <errorWord>：/</errorWord>
      <group>L1_Punc</group>
      <groupName>标点问题</groupName>
      <ability>L2_Punc_CN</ability>
      <abilityName>标点符号检查</abilityName>
      <candidateList>
        <item>：</item>
      </candidateList>
      <explain/>
      <paraID>39FBAFCC</paraID>
      <start>5</start>
      <end>7</end>
      <status>unmodified</status>
      <modifiedWord/>
      <trackRevisions>false</trackRevisions>
    </reviewItem>
    <reviewItem>
      <errorID>f37fa97b-6124-42a2-b22c-fe30aa2d2517</errorID>
      <errorWord>(</errorWord>
      <group>L1_Format</group>
      <groupName>格式问题</groupName>
      <ability>L2_HalfPunc_CN</ability>
      <abilityName>全半角检查</abilityName>
      <candidateList>
        <item>（</item>
      </candidateList>
      <explain>文本全半角错误。</explain>
      <paraID>754EC365</paraID>
      <start>3</start>
      <end>4</end>
      <status>unmodified</status>
      <modifiedWord/>
      <trackRevisions>false</trackRevisions>
    </reviewItem>
    <reviewItem>
      <errorID>0a743e83-216a-4d8e-be8b-e88906158aa9</errorID>
      <errorWord>)</errorWord>
      <group>L1_Format</group>
      <groupName>格式问题</groupName>
      <ability>L2_HalfPunc_CN</ability>
      <abilityName>全半角检查</abilityName>
      <candidateList>
        <item>）</item>
      </candidateList>
      <explain>文本全半角错误。</explain>
      <paraID>754EC365</paraID>
      <start>6</start>
      <end>7</end>
      <status>unmodified</status>
      <modifiedWord/>
      <trackRevisions>false</trackRevisions>
    </reviewItem>
    <reviewItem>
      <errorID>c8301bd6-3b74-4bbf-b9a7-cee8dcc05882</errorID>
      <errorWord>项目项目</errorWord>
      <group>L1_Word</group>
      <groupName>字词问题</groupName>
      <ability>L2_Typo</ability>
      <abilityName>字词错误</abilityName>
      <candidateList>
        <item>项目</item>
      </candidateList>
      <explain>〈名〉事物分成的门类：服务～｜体育～｜建设～。</explain>
      <paraID>265DC696</paraID>
      <start>49</start>
      <end>51</end>
      <status>modified</status>
      <modifiedWord>项目</modifiedWord>
      <trackRevisions>false</trackRevisions>
    </reviewItem>
    <reviewItem>
      <errorID>c069eda0-17eb-4563-ba43-f2c903c97f52</errorID>
      <errorWord>,</errorWord>
      <group>L1_Format</group>
      <groupName>格式问题</groupName>
      <ability>L2_HalfPunc_CN</ability>
      <abilityName>全半角检查</abilityName>
      <candidateList>
        <item>，</item>
      </candidateList>
      <explain>文本全半角错误。</explain>
      <paraID>265DC696</paraID>
      <start>56</start>
      <end>57</end>
      <status>unmodified</status>
      <modifiedWord/>
      <trackRevisions>false</trackRevisions>
    </reviewItem>
    <reviewItem>
      <errorID>3a729280-a66b-4d5d-9042-96de7ef2a468</errorID>
      <errorWord>负保密责任</errorWord>
      <group>L1_Word</group>
      <groupName>字词问题</groupName>
      <ability>L2_Typo</ability>
      <abilityName>字词错误</abilityName>
      <candidateList>
        <item>负有保密责任</item>
      </candidateList>
      <explain/>
      <paraID>2D26268A</paraID>
      <start>39</start>
      <end>44</end>
      <status>unmodified</status>
      <modifiedWord/>
      <trackRevisions>false</trackRevisions>
    </reviewItem>
    <reviewItem>
      <errorID>4a33e420-5ce0-4ec5-b7e6-fa8338ecdeeb</errorID>
      <errorWord>法律、法规</errorWord>
      <group>L1_Word</group>
      <groupName>字词问题</groupName>
      <ability>L2_Typo</ability>
      <abilityName>字词错误</abilityName>
      <candidateList>
        <item>法律法规</item>
      </candidateList>
      <explain/>
      <paraID>2D26268A</paraID>
      <start>46</start>
      <end>51</end>
      <status>unmodified</status>
      <modifiedWord/>
      <trackRevisions>false</trackRevisions>
    </reviewItem>
    <reviewItem>
      <errorID>38090d17-e806-4a50-b94e-1da4cfb3e226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675C6F67</paraID>
      <start>17</start>
      <end>18</end>
      <status>unmodified</status>
      <modifiedWord/>
      <trackRevisions>false</trackRevisions>
    </reviewItem>
    <reviewItem>
      <errorID>3cf9eb31-3c0a-4e23-9ead-a3c8ad70c281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4886341E</paraID>
      <start>0</start>
      <end>2</end>
      <status>unmodified</status>
      <modifiedWord/>
      <trackRevisions>false</trackRevisions>
    </reviewItem>
    <reviewItem>
      <errorID>983529d6-71af-4755-a306-2b16457d4ee3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2F20F3C1</paraID>
      <start>0</start>
      <end>2</end>
      <status>unmodified</status>
      <modifiedWord/>
      <trackRevisions>false</trackRevisions>
    </reviewItem>
    <reviewItem>
      <errorID>e52aadd0-b73d-45c4-a5b4-5b38bf6b7134</errorID>
      <errorWord>日</errorWord>
      <group>L1_Word</group>
      <groupName>字词问题</groupName>
      <ability>L2_Typo</ability>
      <abilityName>字词错误</abilityName>
      <candidateList>
        <item>日内</item>
      </candidateList>
      <explain/>
      <paraID>5E4CE35E</paraID>
      <start>37</start>
      <end>38</end>
      <status>unmodified</status>
      <modifiedWord/>
      <trackRevisions>false</trackRevisions>
    </reviewItem>
    <reviewItem>
      <errorID>3279c4c0-f176-4e8a-80f4-2301c69314c6</errorID>
      <errorWord>日</errorWord>
      <group>L1_Word</group>
      <groupName>字词问题</groupName>
      <ability>L2_Typo</ability>
      <abilityName>字词错误</abilityName>
      <candidateList>
        <item>日内</item>
      </candidateList>
      <explain/>
      <paraID>5E4CE35E</paraID>
      <start>64</start>
      <end>65</end>
      <status>unmodified</status>
      <modifiedWord/>
      <trackRevisions>false</trackRevisions>
    </reviewItem>
    <reviewItem>
      <errorID>bf1d1e68-955a-4d2d-a6bf-33aa141fdad3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1AD8C357</paraID>
      <start>0</start>
      <end>3</end>
      <status>unmodified</status>
      <modifiedWord/>
      <trackRevisions>false</trackRevisions>
    </reviewItem>
    <reviewItem>
      <errorID>541059a2-fd0a-4d82-828d-2311d59f2603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282D090</paraID>
      <start>0</start>
      <end>3</end>
      <status>unmodified</status>
      <modifiedWord/>
      <trackRevisions>false</trackRevisions>
    </reviewItem>
    <reviewItem>
      <errorID>e24940dd-82e0-4bf7-b003-26db29f207a6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34470DA9</paraID>
      <start>0</start>
      <end>3</end>
      <status>unmodified</status>
      <modifiedWord/>
      <trackRevisions>false</trackRevisions>
    </reviewItem>
    <reviewItem>
      <errorID>cd36d6e7-3286-4fed-a53f-85cedeb4731d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4D7B26B6</paraID>
      <start>0</start>
      <end>3</end>
      <status>unmodified</status>
      <modifiedWord/>
      <trackRevisions>false</trackRevisions>
    </reviewItem>
    <reviewItem>
      <errorID>f3e5036b-49c5-4b11-b2ae-6d7069aaf19c</errorID>
      <errorWord>必须在</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57D82E6F</paraID>
      <start>11</start>
      <end>14</end>
      <status>unmodified</status>
      <modifiedWord/>
      <trackRevisions>false</trackRevisions>
    </reviewItem>
    <reviewItem>
      <errorID>3e7f4135-ac16-43e0-a0e4-f91fd2d67d33</errorID>
      <errorWord>书面形式的</errorWord>
      <group>L1_Word</group>
      <groupName>字词问题</groupName>
      <ability>L2_Typo</ability>
      <abilityName>字词错误</abilityName>
      <candidateList>
        <item>书面形式</item>
      </candidateList>
      <explain/>
      <paraID>70BAC82F</paraID>
      <start>34</start>
      <end>39</end>
      <status>unmodified</status>
      <modifiedWord/>
      <trackRevisions>false</trackRevisions>
    </reviewItem>
    <reviewItem>
      <errorID>0b06ef78-ead1-455a-9b4f-ebaae11adcf1</errorID>
      <errorWord>其它可能</errorWord>
      <group>L1_Word</group>
      <groupName>字词问题</groupName>
      <ability>L2_Alias</ability>
      <abilityName>也作/曾用词</abilityName>
      <candidateList>
        <item>其他可能</item>
      </candidateList>
      <explain>词汇[其它可能]为不规范表述或旧称，其规范书面表述为[其他可能]。</explain>
      <paraID>  870393</paraID>
      <start>158</start>
      <end>162</end>
      <status>unmodified</status>
      <modifiedWord/>
      <trackRevisions>false</trackRevisions>
    </reviewItem>
    <reviewItem>
      <errorID>a1468325-7f99-4b8d-943c-75f8ae409dd8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220FB3ED</paraID>
      <start>0</start>
      <end>3</end>
      <status>unmodified</status>
      <modifiedWord/>
      <trackRevisions>false</trackRevisions>
    </reviewItem>
    <reviewItem>
      <errorID>6c653200-7396-413b-b7d2-0d8e762b4452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D73F80</paraID>
      <start>0</start>
      <end>2</end>
      <status>unmodified</status>
      <modifiedWord/>
      <trackRevisions>false</trackRevisions>
    </reviewItem>
    <reviewItem>
      <errorID>e5f16b80-2508-4d58-88ab-96b04ec2b7c9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2B40CECE</paraID>
      <start>0</start>
      <end>2</end>
      <status>unmodified</status>
      <modifiedWord/>
      <trackRevisions>false</trackRevisions>
    </reviewItem>
    <reviewItem>
      <errorID>210f61d5-7a38-4278-b231-6747dad6ff1d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62E2ACAD</paraID>
      <start>0</start>
      <end>2</end>
      <status>unmodified</status>
      <modifiedWord/>
      <trackRevisions>false</trackRevisions>
    </reviewItem>
    <reviewItem>
      <errorID>9adbcf31-2fbb-4e0b-b13c-b61bf76153c7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337D5644</paraID>
      <start>0</start>
      <end>2</end>
      <status>unmodified</status>
      <modifiedWord/>
      <trackRevisions>false</trackRevisions>
    </reviewItem>
    <reviewItem>
      <errorID>c2f76432-82ca-4c27-9a24-9215820873ff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689523B0</paraID>
      <start>0</start>
      <end>2</end>
      <status>unmodified</status>
      <modifiedWord/>
      <trackRevisions>false</trackRevisions>
    </reviewItem>
    <reviewItem>
      <errorID>f5690231-9d25-41e5-a9e1-5acf404aacf6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48B13373</paraID>
      <start>0</start>
      <end>2</end>
      <status>unmodified</status>
      <modifiedWord/>
      <trackRevisions>false</trackRevisions>
    </reviewItem>
    <reviewItem>
      <errorID>cdb8b992-bfd4-4268-b48b-52768e35843b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595871CF</paraID>
      <start>0</start>
      <end>2</end>
      <status>unmodified</status>
      <modifiedWord/>
      <trackRevisions>false</trackRevisions>
    </reviewItem>
    <reviewItem>
      <errorID>a02e7db5-bf7d-4d8a-846a-ddde94868470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553826D8</paraID>
      <start>0</start>
      <end>2</end>
      <status>unmodified</status>
      <modifiedWord/>
      <trackRevisions>false</trackRevisions>
    </reviewItem>
    <reviewItem>
      <errorID>a59e5e7e-57d8-4193-b7ce-3d8dbb4c989c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26F08C6B</paraID>
      <start>0</start>
      <end>2</end>
      <status>unmodified</status>
      <modifiedWord/>
      <trackRevisions>false</trackRevisions>
    </reviewItem>
    <reviewItem>
      <errorID>6c458b8e-29ef-43ff-b4b2-05b5940f1bbe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2C88C542</paraID>
      <start>0</start>
      <end>2</end>
      <status>unmodified</status>
      <modifiedWord/>
      <trackRevisions>false</trackRevisions>
    </reviewItem>
    <reviewItem>
      <errorID>fdeacb6d-3d9b-4494-91af-98a71577a1ad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2CFA383E</paraID>
      <start>0</start>
      <end>2</end>
      <status>unmodified</status>
      <modifiedWord/>
      <trackRevisions>false</trackRevisions>
    </reviewItem>
    <reviewItem>
      <errorID>f7d3c1ea-4f8b-4d83-adb4-5364d565bad6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14689FB</paraID>
      <start>0</start>
      <end>2</end>
      <status>unmodified</status>
      <modifiedWord/>
      <trackRevisions>false</trackRevisions>
    </reviewItem>
    <reviewItem>
      <errorID>65ff4bcf-bfe8-415a-a7c3-d05d8439701c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10D62091</paraID>
      <start>0</start>
      <end>2</end>
      <status>unmodified</status>
      <modifiedWord/>
      <trackRevisions>false</trackRevisions>
    </reviewItem>
    <reviewItem>
      <errorID>ec13150a-c1c3-42ee-902a-ea8036f919a5</errorID>
      <errorWord>：/</errorWord>
      <group>L1_Punc</group>
      <groupName>标点问题</groupName>
      <ability>L2_Punc_CN</ability>
      <abilityName>标点符号检查</abilityName>
      <candidateList>
        <item>：</item>
      </candidateList>
      <explain/>
      <paraID>1D1F9939</paraID>
      <start>5</start>
      <end>7</end>
      <status>unmodified</status>
      <modifiedWord/>
      <trackRevisions>false</trackRevisions>
    </reviewItem>
    <reviewItem>
      <errorID>af4d8b06-7e4b-469d-811e-5b3db82bfcdd</errorID>
      <errorWord>：/</errorWord>
      <group>L1_Punc</group>
      <groupName>标点问题</groupName>
      <ability>L2_Punc_CN</ability>
      <abilityName>标点符号检查</abilityName>
      <candidateList>
        <item>：</item>
      </candidateList>
      <explain/>
      <paraID>48210C25</paraID>
      <start>5</start>
      <end>7</end>
      <status>unmodified</status>
      <modifiedWord/>
      <trackRevisions>false</trackRevisions>
    </reviewItem>
    <reviewItem>
      <errorID>cba3eccd-dadc-497b-8729-90b20a762f4a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6EBE6E6E</paraID>
      <start>0</start>
      <end>2</end>
      <status>unmodified</status>
      <modifiedWord/>
      <trackRevisions>false</trackRevisions>
    </reviewItem>
    <reviewItem>
      <errorID>00e35e0b-5344-4640-b7c8-82c30970bf77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51E4DBA1</paraID>
      <start>0</start>
      <end>2</end>
      <status>unmodified</status>
      <modifiedWord/>
      <trackRevisions>false</trackRevisions>
    </reviewItem>
    <reviewItem>
      <errorID>b00217e9-cce7-45f5-8cde-9d537488674e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1C5D7FE7</paraID>
      <start>0</start>
      <end>2</end>
      <status>unmodified</status>
      <modifiedWord/>
      <trackRevisions>false</trackRevisions>
    </reviewItem>
    <reviewItem>
      <errorID>4f903b8c-be1c-47eb-b21e-be2e6639ae6e</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1C5D7FE7</paraID>
      <start>54</start>
      <end>56</end>
      <status>unmodified</status>
      <modifiedWord/>
      <trackRevisions>false</trackRevisions>
    </reviewItem>
    <reviewItem>
      <errorID>b312953c-35c2-4b0c-ad2e-48d27d810ca2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FF57C2A</paraID>
      <start>0</start>
      <end>2</end>
      <status>unmodified</status>
      <modifiedWord/>
      <trackRevisions>false</trackRevisions>
    </reviewItem>
    <reviewItem>
      <errorID>224b69b8-427c-421a-aa4f-902e0174a52f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63D89D46</paraID>
      <start>0</start>
      <end>2</end>
      <status>unmodified</status>
      <modifiedWord/>
      <trackRevisions>false</trackRevisions>
    </reviewItem>
    <reviewItem>
      <errorID>59893ef2-016c-4dd8-a27d-b10c2a6989ab</errorID>
      <errorWord>。</errorWord>
      <group>L1_Punc</group>
      <groupName>标点问题</groupName>
      <ability>L2_Punc_CN</ability>
      <abilityName>标点符号检查</abilityName>
      <candidateList/>
      <explain/>
      <paraID>59D2848C</paraID>
      <start>66</start>
      <end>67</end>
      <status>unmodified</status>
      <modifiedWord/>
      <trackRevisions>false</trackRevisions>
    </reviewItem>
    <reviewItem>
      <errorID>cd0af418-f0d4-4a60-8505-76ccd0f810e9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6DD11804</paraID>
      <start>0</start>
      <end>2</end>
      <status>unmodified</status>
      <modifiedWord/>
      <trackRevisions>false</trackRevisions>
    </reviewItem>
    <reviewItem>
      <errorID>9a1d6c1b-84e3-40bc-8dc0-26181d840a44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399338E8</paraID>
      <start>0</start>
      <end>2</end>
      <status>unmodified</status>
      <modifiedWord/>
      <trackRevisions>false</trackRevisions>
    </reviewItem>
    <reviewItem>
      <errorID>25b5263b-0bad-479f-aa9f-a7f5760d1dae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6449A105</paraID>
      <start>0</start>
      <end>2</end>
      <status>unmodified</status>
      <modifiedWord/>
      <trackRevisions>false</trackRevisions>
    </reviewItem>
    <reviewItem>
      <errorID>12687745-affe-4442-9593-c81abdc48bea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7732D56</paraID>
      <start>0</start>
      <end>2</end>
      <status>unmodified</status>
      <modifiedWord/>
      <trackRevisions>false</trackRevisions>
    </reviewItem>
    <reviewItem>
      <errorID>78a525aa-7b1a-47e1-8243-e21713cd24f5</errorID>
      <errorWord>(</errorWord>
      <group>L1_Format</group>
      <groupName>格式问题</groupName>
      <ability>L2_HalfPunc_CN</ability>
      <abilityName>全半角检查</abilityName>
      <candidateList>
        <item>（</item>
      </candidateList>
      <explain>文本全半角错误。</explain>
      <paraID>119458FF</paraID>
      <start>13</start>
      <end>14</end>
      <status>unmodified</status>
      <modifiedWord/>
      <trackRevisions>false</trackRevisions>
    </reviewItem>
    <reviewItem>
      <errorID>afd1c8c2-af8e-43f1-9081-486a64809f9b</errorID>
      <errorWord>)</errorWord>
      <group>L1_Format</group>
      <groupName>格式问题</groupName>
      <ability>L2_HalfPunc_CN</ability>
      <abilityName>全半角检查</abilityName>
      <candidateList>
        <item>）</item>
      </candidateList>
      <explain>文本全半角错误。</explain>
      <paraID>119458FF</paraID>
      <start>24</start>
      <end>25</end>
      <status>unmodified</status>
      <modifiedWord/>
      <trackRevisions>false</trackRevisions>
    </reviewItem>
    <reviewItem>
      <errorID>b94dbf86-5493-45b7-b891-0d96f522bef9</errorID>
      <errorWord>(</errorWord>
      <group>L1_Format</group>
      <groupName>格式问题</groupName>
      <ability>L2_HalfPunc_CN</ability>
      <abilityName>全半角检查</abilityName>
      <candidateList>
        <item>（</item>
      </candidateList>
      <explain>文本全半角错误。</explain>
      <paraID>7E8BE2EB</paraID>
      <start>8</start>
      <end>9</end>
      <status>unmodified</status>
      <modifiedWord/>
      <trackRevisions>false</trackRevisions>
    </reviewItem>
    <reviewItem>
      <errorID>58df73ea-08be-4fc4-bb7c-80494923be51</errorID>
      <errorWord>)</errorWord>
      <group>L1_Format</group>
      <groupName>格式问题</groupName>
      <ability>L2_HalfPunc_CN</ability>
      <abilityName>全半角检查</abilityName>
      <candidateList>
        <item>）</item>
      </candidateList>
      <explain>文本全半角错误。</explain>
      <paraID>7E8BE2EB</paraID>
      <start>13</start>
      <end>14</end>
      <status>unmodified</status>
      <modifiedWord/>
      <trackRevisions>false</trackRevisions>
    </reviewItem>
    <reviewItem>
      <errorID>c464be4e-61e0-44be-ab7e-3fb404848cc8</errorID>
      <errorWord>做出</errorWord>
      <group>L1_Word</group>
      <groupName>字词问题</groupName>
      <ability>L2_Typo</ability>
      <abilityName>字词错误</abilityName>
      <candidateList>
        <item>作出</item>
      </candidateList>
      <explain/>
      <paraID> EE35DB4</paraID>
      <start>55</start>
      <end>57</end>
      <status>unmodified</status>
      <modifiedWord/>
      <trackRevisions>false</trackRevisions>
    </reviewItem>
    <reviewItem>
      <errorID>b6e6ff68-54ab-425c-b28c-5bb1fa83a914</errorID>
      <errorWord>做出</errorWord>
      <group>L1_Word</group>
      <groupName>字词问题</groupName>
      <ability>L2_Typo</ability>
      <abilityName>字词错误</abilityName>
      <candidateList>
        <item>作出</item>
      </candidateList>
      <explain/>
      <paraID>1220C521</paraID>
      <start>64</start>
      <end>66</end>
      <status>unmodified</status>
      <modifiedWord/>
      <trackRevisions>false</trackRevisions>
    </reviewItem>
    <reviewItem>
      <errorID>834d8f9b-096c-449a-8379-7169c7b66787</errorID>
      <errorWord>中</errorWord>
      <group>L1_Word</group>
      <groupName>字词问题</groupName>
      <ability>L2_Typo</ability>
      <abilityName>字词错误</abilityName>
      <candidateList>
        <item>中加</item>
      </candidateList>
      <explain/>
      <paraID>11EFBB1A</paraID>
      <start>24</start>
      <end>25</end>
      <status>unmodified</status>
      <modifiedWord/>
      <trackRevisions>false</trackRevisions>
    </reviewItem>
    <reviewItem>
      <errorID>c2be45b4-7070-478a-9541-9002e115af3a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67674E8</paraID>
      <start>0</start>
      <end>2</end>
      <status>unmodified</status>
      <modifiedWord/>
      <trackRevisions>false</trackRevisions>
    </reviewItem>
    <reviewItem>
      <errorID>2783b05a-dd00-4448-809a-06617866a387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21E4D46B</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c4b8-2843-4834-9338-b65595801b3d}">
  <ds:schemaRefs/>
</ds:datastoreItem>
</file>

<file path=customXml/itemProps3.xml><?xml version="1.0" encoding="utf-8"?>
<ds:datastoreItem xmlns:ds="http://schemas.openxmlformats.org/officeDocument/2006/customXml" ds:itemID="{E4A8895E-22F2-45A8-A364-F0A442BCEC5C}">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30689</Words>
  <Characters>32491</Characters>
  <Lines>169</Lines>
  <Paragraphs>47</Paragraphs>
  <TotalTime>8</TotalTime>
  <ScaleCrop>false</ScaleCrop>
  <LinksUpToDate>false</LinksUpToDate>
  <CharactersWithSpaces>36120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2021-06-06T09:26:00Z</dcterms:created>
  <dc:creator>dgsy</dc:creator>
  <cp:lastModifiedBy>Opt</cp:lastModifiedBy>
  <dcterms:modified xsi:type="dcterms:W3CDTF">2026-06-04T08:50:32Z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5FA0766DC24442798ADA767B2920065D</vt:lpwstr>
  </property>
  <property fmtid="{D5CDD505-2E9C-101B-9397-08002B2CF9AE}" pid="4" name="KSOTemplateDocerSaveRecord">
    <vt:lpwstr>eyJoZGlkIjoiM2U2YWM2YjFjM2NjMjgwNTJhZTk4ZmQ4MjE1NDdmZTEiLCJ1c2VySWQiOiI0MTk5NTE4MTIifQ==</vt:lpwstr>
  </property>
</Properties>
</file>