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A3826">
      <w:pPr>
        <w:adjustRightInd w:val="0"/>
        <w:snapToGrid w:val="0"/>
        <w:spacing w:before="120" w:after="120" w:line="276" w:lineRule="auto"/>
        <w:jc w:val="center"/>
        <w:rPr>
          <w:rFonts w:hint="eastAsia" w:ascii="仿宋_GB2312" w:hAnsi="仿宋_GB2312" w:eastAsia="仿宋_GB2312" w:cs="仿宋_GB2312"/>
          <w:b/>
          <w:bCs/>
          <w:color w:val="000000"/>
          <w:sz w:val="44"/>
          <w:szCs w:val="44"/>
          <w:lang w:eastAsia="zh-CN"/>
        </w:rPr>
      </w:pPr>
      <w:bookmarkStart w:id="8" w:name="_GoBack"/>
      <w:bookmarkEnd w:id="8"/>
      <w:r>
        <w:rPr>
          <w:rFonts w:hint="eastAsia" w:ascii="仿宋_GB2312" w:hAnsi="仿宋_GB2312" w:eastAsia="仿宋_GB2312" w:cs="仿宋_GB2312"/>
          <w:b/>
          <w:bCs/>
          <w:color w:val="000000"/>
          <w:sz w:val="44"/>
          <w:szCs w:val="44"/>
          <w:lang w:val="en-US" w:eastAsia="zh-CN"/>
        </w:rPr>
        <w:t>采购文件</w:t>
      </w:r>
    </w:p>
    <w:p w14:paraId="4A2A1DB1">
      <w:pPr>
        <w:adjustRightInd w:val="0"/>
        <w:snapToGrid w:val="0"/>
        <w:spacing w:line="600" w:lineRule="exact"/>
        <w:ind w:firstLine="600" w:firstLineChars="200"/>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我司（</w:t>
      </w:r>
      <w:r>
        <w:rPr>
          <w:rFonts w:hint="eastAsia" w:ascii="仿宋_GB2312" w:hAnsi="仿宋_GB2312" w:eastAsia="仿宋_GB2312" w:cs="仿宋_GB2312"/>
          <w:sz w:val="30"/>
          <w:szCs w:val="30"/>
          <w:lang w:eastAsia="zh-CN"/>
        </w:rPr>
        <w:t>东莞市东凤环境服务有限公司</w:t>
      </w: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highlight w:val="none"/>
        </w:rPr>
        <w:t>需</w:t>
      </w:r>
      <w:r>
        <w:rPr>
          <w:rFonts w:hint="eastAsia" w:ascii="仿宋_GB2312" w:hAnsi="仿宋_GB2312" w:eastAsia="仿宋_GB2312" w:cs="仿宋_GB2312"/>
          <w:color w:val="auto"/>
          <w:sz w:val="30"/>
          <w:szCs w:val="30"/>
          <w:highlight w:val="none"/>
          <w:lang w:val="en-US" w:eastAsia="zh-CN"/>
        </w:rPr>
        <w:t>采购1个</w:t>
      </w:r>
      <w:r>
        <w:rPr>
          <w:rFonts w:hint="eastAsia" w:ascii="仿宋_GB2312" w:hAnsi="仿宋_GB2312" w:eastAsia="仿宋_GB2312" w:cs="仿宋_GB2312"/>
          <w:sz w:val="30"/>
          <w:szCs w:val="30"/>
          <w:highlight w:val="none"/>
          <w:lang w:val="en-US" w:eastAsia="zh-CN"/>
        </w:rPr>
        <w:t>垃圾转运站渗滤液转运箱</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sz w:val="30"/>
          <w:szCs w:val="30"/>
        </w:rPr>
        <w:t>现将相关情况介绍如下：</w:t>
      </w:r>
    </w:p>
    <w:p w14:paraId="29014B8D">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一、项目名称及内容</w:t>
      </w:r>
    </w:p>
    <w:p w14:paraId="3C12647D">
      <w:pPr>
        <w:adjustRightInd w:val="0"/>
        <w:snapToGrid w:val="0"/>
        <w:spacing w:line="60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000000"/>
          <w:sz w:val="30"/>
          <w:szCs w:val="30"/>
        </w:rPr>
        <w:t>1、项目名称：</w:t>
      </w:r>
      <w:r>
        <w:rPr>
          <w:rFonts w:hint="eastAsia" w:ascii="仿宋_GB2312" w:hAnsi="仿宋_GB2312" w:eastAsia="仿宋_GB2312" w:cs="仿宋_GB2312"/>
          <w:color w:val="auto"/>
          <w:sz w:val="30"/>
          <w:szCs w:val="30"/>
          <w:highlight w:val="none"/>
          <w:lang w:eastAsia="zh-CN"/>
        </w:rPr>
        <w:t>东凤公司垃圾转运站渗滤液转运箱采购项目（重新采购）</w:t>
      </w:r>
      <w:r>
        <w:rPr>
          <w:rFonts w:hint="eastAsia" w:ascii="仿宋_GB2312" w:hAnsi="仿宋_GB2312" w:eastAsia="仿宋_GB2312" w:cs="仿宋_GB2312"/>
          <w:sz w:val="30"/>
          <w:szCs w:val="30"/>
          <w:lang w:eastAsia="zh-CN"/>
        </w:rPr>
        <w:t>；</w:t>
      </w:r>
    </w:p>
    <w:p w14:paraId="5E0E58A4">
      <w:pPr>
        <w:adjustRightInd w:val="0"/>
        <w:snapToGri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2、项目地点：</w:t>
      </w:r>
      <w:r>
        <w:rPr>
          <w:rFonts w:hint="eastAsia" w:ascii="仿宋_GB2312" w:hAnsi="仿宋_GB2312" w:eastAsia="仿宋_GB2312" w:cs="仿宋_GB2312"/>
          <w:b w:val="0"/>
          <w:bCs w:val="0"/>
          <w:sz w:val="30"/>
          <w:szCs w:val="30"/>
          <w:lang w:val="en-US" w:eastAsia="zh-CN"/>
        </w:rPr>
        <w:t>东莞市内，具体以采购人通知为准</w:t>
      </w:r>
      <w:r>
        <w:rPr>
          <w:rFonts w:hint="eastAsia" w:ascii="仿宋_GB2312" w:hAnsi="仿宋_GB2312" w:eastAsia="仿宋_GB2312" w:cs="仿宋_GB2312"/>
          <w:color w:val="000000"/>
          <w:sz w:val="30"/>
          <w:szCs w:val="30"/>
          <w:u w:val="none"/>
        </w:rPr>
        <w:t>；</w:t>
      </w:r>
    </w:p>
    <w:p w14:paraId="340B390F">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、供货时间：</w:t>
      </w:r>
      <w:r>
        <w:rPr>
          <w:rFonts w:hint="eastAsia" w:ascii="仿宋_GB2312" w:hAnsi="仿宋_GB2312" w:eastAsia="仿宋_GB2312" w:cs="仿宋_GB2312"/>
          <w:sz w:val="30"/>
          <w:szCs w:val="30"/>
        </w:rPr>
        <w:t>成交人收到采购人</w:t>
      </w:r>
      <w:r>
        <w:rPr>
          <w:rFonts w:hint="eastAsia" w:ascii="仿宋_GB2312" w:hAnsi="仿宋_GB2312" w:eastAsia="仿宋_GB2312" w:cs="仿宋_GB2312"/>
          <w:sz w:val="30"/>
          <w:szCs w:val="30"/>
          <w:lang w:val="en-US" w:eastAsia="zh-CN"/>
        </w:rPr>
        <w:t>发出的结果确认函之日</w:t>
      </w:r>
      <w:r>
        <w:rPr>
          <w:rFonts w:hint="eastAsia" w:ascii="仿宋_GB2312" w:hAnsi="仿宋_GB2312" w:eastAsia="仿宋_GB2312" w:cs="仿宋_GB2312"/>
          <w:sz w:val="30"/>
          <w:szCs w:val="30"/>
        </w:rPr>
        <w:t>起10个日历日内完成供货</w:t>
      </w:r>
      <w:r>
        <w:rPr>
          <w:rFonts w:hint="eastAsia" w:ascii="仿宋_GB2312" w:hAnsi="仿宋_GB2312" w:eastAsia="仿宋_GB2312" w:cs="仿宋_GB2312"/>
          <w:sz w:val="30"/>
          <w:szCs w:val="30"/>
          <w:lang w:val="en-US" w:eastAsia="zh-CN"/>
        </w:rPr>
        <w:t>及安装</w:t>
      </w:r>
      <w:r>
        <w:rPr>
          <w:rFonts w:hint="eastAsia" w:ascii="仿宋_GB2312" w:hAnsi="仿宋_GB2312" w:eastAsia="仿宋_GB2312" w:cs="仿宋_GB2312"/>
          <w:sz w:val="30"/>
          <w:szCs w:val="30"/>
        </w:rPr>
        <w:t>并</w:t>
      </w:r>
      <w:r>
        <w:rPr>
          <w:rFonts w:hint="eastAsia" w:ascii="仿宋_GB2312" w:hAnsi="仿宋_GB2312" w:eastAsia="仿宋_GB2312" w:cs="仿宋_GB2312"/>
          <w:sz w:val="30"/>
          <w:szCs w:val="30"/>
          <w:lang w:val="en-US" w:eastAsia="zh-CN"/>
        </w:rPr>
        <w:t>经采购人</w:t>
      </w:r>
      <w:r>
        <w:rPr>
          <w:rFonts w:hint="eastAsia" w:ascii="仿宋_GB2312" w:hAnsi="仿宋_GB2312" w:eastAsia="仿宋_GB2312" w:cs="仿宋_GB2312"/>
          <w:sz w:val="30"/>
          <w:szCs w:val="30"/>
        </w:rPr>
        <w:t>验收合格</w:t>
      </w:r>
      <w:r>
        <w:rPr>
          <w:rFonts w:hint="eastAsia" w:ascii="仿宋_GB2312" w:hAnsi="仿宋_GB2312" w:eastAsia="仿宋_GB2312" w:cs="仿宋_GB2312"/>
          <w:sz w:val="30"/>
          <w:szCs w:val="30"/>
          <w:lang w:eastAsia="zh-CN"/>
        </w:rPr>
        <w:t>。</w:t>
      </w:r>
    </w:p>
    <w:p w14:paraId="722DCA12">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二、项目发布</w:t>
      </w:r>
    </w:p>
    <w:p w14:paraId="4599490F">
      <w:pPr>
        <w:adjustRightInd w:val="0"/>
        <w:snapToGrid w:val="0"/>
        <w:spacing w:line="600" w:lineRule="exact"/>
        <w:ind w:firstLine="600" w:firstLineChars="200"/>
        <w:outlineLvl w:val="1"/>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本项目采购信息在东莞实业投资控股集团有限公司网站（http://www.dgsy.com.cn/）和广东东实环境股份有限公司招采平台(https://pur.yonyou.com/GDDSE)上发布。</w:t>
      </w:r>
    </w:p>
    <w:p w14:paraId="292E6C02">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sym w:font="Wingdings" w:char="F0AB"/>
      </w:r>
      <w:r>
        <w:rPr>
          <w:rFonts w:hint="eastAsia" w:ascii="仿宋_GB2312" w:hAnsi="仿宋_GB2312" w:eastAsia="仿宋_GB2312" w:cs="仿宋_GB2312"/>
          <w:b/>
          <w:bCs/>
          <w:color w:val="000000"/>
          <w:sz w:val="30"/>
          <w:szCs w:val="30"/>
        </w:rPr>
        <w:t>三、</w:t>
      </w:r>
      <w:r>
        <w:rPr>
          <w:rFonts w:hint="eastAsia" w:ascii="仿宋_GB2312" w:hAnsi="仿宋_GB2312" w:eastAsia="仿宋_GB2312" w:cs="仿宋_GB2312"/>
          <w:b/>
          <w:bCs/>
          <w:color w:val="000000"/>
          <w:sz w:val="30"/>
          <w:szCs w:val="30"/>
          <w:lang w:eastAsia="zh-CN"/>
        </w:rPr>
        <w:t>报价人</w:t>
      </w:r>
      <w:r>
        <w:rPr>
          <w:rFonts w:hint="eastAsia" w:ascii="仿宋_GB2312" w:hAnsi="仿宋_GB2312" w:eastAsia="仿宋_GB2312" w:cs="仿宋_GB2312"/>
          <w:b/>
          <w:bCs/>
          <w:color w:val="000000"/>
          <w:sz w:val="30"/>
          <w:szCs w:val="30"/>
        </w:rPr>
        <w:t>资格要求</w:t>
      </w:r>
    </w:p>
    <w:p w14:paraId="78D8A34B">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报价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仿宋_GB2312" w:hAnsi="仿宋_GB2312" w:eastAsia="仿宋_GB2312" w:cs="仿宋_GB2312"/>
          <w:color w:val="auto"/>
          <w:sz w:val="30"/>
          <w:szCs w:val="30"/>
          <w:highlight w:val="none"/>
          <w:lang w:eastAsia="zh-CN"/>
        </w:rPr>
        <w:t>。</w:t>
      </w:r>
    </w:p>
    <w:p w14:paraId="300E68D6">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2.报价人的单位负责人为同一人或者存在直接控股、管理关系的不同报价人，不得参加同一合同项下的采购活动。</w:t>
      </w:r>
    </w:p>
    <w:p w14:paraId="03318E48">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3.未被列入“信用中国”网站(www.creditchina.gov.cn )“记录失信被执行人或重大税收违法失信主体或政府采购严重违法失信行为”记录名单。以采购人于报价截止日当天在“信用中国”网站查询结果为准，如相关失信记录已失效，报价人需提供相关证明资料。</w:t>
      </w:r>
    </w:p>
    <w:p w14:paraId="1910324C">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4.报价人未被列入东实环境及下属公司相关领域黑名单。</w:t>
      </w:r>
    </w:p>
    <w:p w14:paraId="050B51AF">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5.报价人须提供报价截止日前6个月内任意1个月依法缴纳税收及无欠税的证明材料。如依法免税的，须提供相应证明材料。【提供相应证明材料加盖公章】。</w:t>
      </w:r>
    </w:p>
    <w:p w14:paraId="6B924391">
      <w:pPr>
        <w:adjustRightInd w:val="0"/>
        <w:snapToGrid w:val="0"/>
        <w:spacing w:line="600" w:lineRule="exact"/>
        <w:ind w:firstLine="600"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color w:val="auto"/>
          <w:sz w:val="30"/>
          <w:szCs w:val="30"/>
          <w:highlight w:val="none"/>
          <w:lang w:val="en-US" w:eastAsia="zh-CN"/>
        </w:rPr>
        <w:t>6.本项目不接受联合体报价。</w:t>
      </w:r>
    </w:p>
    <w:p w14:paraId="6C7FBD25">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四、采购内容及要求</w:t>
      </w:r>
    </w:p>
    <w:p w14:paraId="154673D0">
      <w:pPr>
        <w:numPr>
          <w:ilvl w:val="0"/>
          <w:numId w:val="1"/>
        </w:numPr>
        <w:spacing w:line="360" w:lineRule="auto"/>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采购清单：</w:t>
      </w:r>
    </w:p>
    <w:tbl>
      <w:tblPr>
        <w:tblStyle w:val="12"/>
        <w:tblpPr w:leftFromText="180" w:rightFromText="180" w:vertAnchor="text" w:horzAnchor="page" w:tblpX="1842" w:tblpY="6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6168"/>
      </w:tblGrid>
      <w:tr w14:paraId="78C8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06" w:type="dxa"/>
            <w:vAlign w:val="center"/>
          </w:tcPr>
          <w:p w14:paraId="1964738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设备名称</w:t>
            </w:r>
          </w:p>
        </w:tc>
        <w:tc>
          <w:tcPr>
            <w:tcW w:w="6168" w:type="dxa"/>
            <w:vAlign w:val="center"/>
          </w:tcPr>
          <w:p w14:paraId="6364CB1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渗滤液转运箱</w:t>
            </w:r>
          </w:p>
        </w:tc>
      </w:tr>
      <w:tr w14:paraId="222E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240A6EC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数量</w:t>
            </w:r>
          </w:p>
        </w:tc>
        <w:tc>
          <w:tcPr>
            <w:tcW w:w="6168" w:type="dxa"/>
            <w:vAlign w:val="center"/>
          </w:tcPr>
          <w:p w14:paraId="24AA1EF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1个</w:t>
            </w:r>
          </w:p>
        </w:tc>
      </w:tr>
      <w:tr w14:paraId="442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shd w:val="clear" w:color="auto" w:fill="auto"/>
            <w:vAlign w:val="center"/>
          </w:tcPr>
          <w:p w14:paraId="0F1100F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颜色</w:t>
            </w:r>
          </w:p>
        </w:tc>
        <w:tc>
          <w:tcPr>
            <w:tcW w:w="6168" w:type="dxa"/>
            <w:shd w:val="clear" w:color="auto" w:fill="auto"/>
            <w:vAlign w:val="center"/>
          </w:tcPr>
          <w:p w14:paraId="1AA5CA5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工程黄</w:t>
            </w:r>
          </w:p>
        </w:tc>
      </w:tr>
      <w:tr w14:paraId="0D94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0DBE476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材质</w:t>
            </w:r>
          </w:p>
        </w:tc>
        <w:tc>
          <w:tcPr>
            <w:tcW w:w="6168" w:type="dxa"/>
            <w:vAlign w:val="center"/>
          </w:tcPr>
          <w:p w14:paraId="5AD1C97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kern w:val="0"/>
                <w:sz w:val="30"/>
                <w:szCs w:val="30"/>
                <w:highlight w:val="none"/>
                <w:u w:val="none"/>
                <w:lang w:val="en-US" w:eastAsia="zh-CN" w:bidi="ar"/>
              </w:rPr>
              <w:t>箱体为</w:t>
            </w:r>
            <w:r>
              <w:rPr>
                <w:rFonts w:hint="eastAsia" w:ascii="仿宋_GB2312" w:hAnsi="仿宋_GB2312" w:eastAsia="仿宋_GB2312" w:cs="仿宋_GB2312"/>
                <w:sz w:val="30"/>
                <w:szCs w:val="30"/>
                <w:highlight w:val="none"/>
                <w:lang w:val="en-US" w:eastAsia="zh-CN"/>
              </w:rPr>
              <w:t>Q345材质</w:t>
            </w:r>
            <w:r>
              <w:rPr>
                <w:rFonts w:hint="eastAsia" w:ascii="仿宋_GB2312" w:hAnsi="仿宋_GB2312" w:eastAsia="仿宋_GB2312" w:cs="仿宋_GB2312"/>
                <w:i w:val="0"/>
                <w:iCs w:val="0"/>
                <w:color w:val="000000"/>
                <w:kern w:val="0"/>
                <w:sz w:val="30"/>
                <w:szCs w:val="30"/>
                <w:highlight w:val="none"/>
                <w:u w:val="none"/>
                <w:lang w:val="en-US" w:eastAsia="zh-CN" w:bidi="ar"/>
              </w:rPr>
              <w:t>5mm厚钢板，支撑由6mm厚80×120mm的</w:t>
            </w:r>
            <w:r>
              <w:rPr>
                <w:rFonts w:hint="eastAsia" w:ascii="仿宋_GB2312" w:hAnsi="仿宋_GB2312" w:eastAsia="仿宋_GB2312" w:cs="仿宋_GB2312"/>
                <w:sz w:val="30"/>
                <w:szCs w:val="30"/>
                <w:highlight w:val="none"/>
                <w:lang w:val="en-US" w:eastAsia="zh-CN"/>
              </w:rPr>
              <w:t>Q345材质</w:t>
            </w:r>
            <w:r>
              <w:rPr>
                <w:rFonts w:hint="eastAsia" w:ascii="仿宋_GB2312" w:hAnsi="仿宋_GB2312" w:eastAsia="仿宋_GB2312" w:cs="仿宋_GB2312"/>
                <w:i w:val="0"/>
                <w:iCs w:val="0"/>
                <w:color w:val="000000"/>
                <w:kern w:val="0"/>
                <w:sz w:val="30"/>
                <w:szCs w:val="30"/>
                <w:highlight w:val="none"/>
                <w:u w:val="none"/>
                <w:lang w:val="en-US" w:eastAsia="zh-CN" w:bidi="ar"/>
              </w:rPr>
              <w:t>方钢，中间3段隔板</w:t>
            </w:r>
          </w:p>
        </w:tc>
      </w:tr>
      <w:tr w14:paraId="4E79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shd w:val="clear" w:color="auto" w:fill="auto"/>
            <w:vAlign w:val="center"/>
          </w:tcPr>
          <w:p w14:paraId="44AB193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yellow"/>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容积</w:t>
            </w:r>
          </w:p>
        </w:tc>
        <w:tc>
          <w:tcPr>
            <w:tcW w:w="6168" w:type="dxa"/>
            <w:shd w:val="clear" w:color="auto" w:fill="auto"/>
            <w:vAlign w:val="center"/>
          </w:tcPr>
          <w:p w14:paraId="17035B5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yellow"/>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14m³</w:t>
            </w:r>
          </w:p>
        </w:tc>
      </w:tr>
      <w:tr w14:paraId="0E4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shd w:val="clear" w:color="auto" w:fill="auto"/>
            <w:vAlign w:val="center"/>
          </w:tcPr>
          <w:p w14:paraId="3617C97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箱体尺寸</w:t>
            </w:r>
          </w:p>
        </w:tc>
        <w:tc>
          <w:tcPr>
            <w:tcW w:w="6168" w:type="dxa"/>
            <w:shd w:val="clear" w:color="auto" w:fill="auto"/>
            <w:vAlign w:val="center"/>
          </w:tcPr>
          <w:p w14:paraId="5271B78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b w:val="0"/>
                <w:bCs w:val="0"/>
                <w:i w:val="0"/>
                <w:iCs w:val="0"/>
                <w:color w:val="000000"/>
                <w:kern w:val="0"/>
                <w:sz w:val="30"/>
                <w:szCs w:val="30"/>
                <w:highlight w:val="none"/>
                <w:u w:val="none"/>
                <w:lang w:val="en-US" w:eastAsia="zh-CN" w:bidi="ar"/>
              </w:rPr>
              <w:t>6160mm</w:t>
            </w:r>
            <w:r>
              <w:rPr>
                <w:rFonts w:hint="default" w:ascii="仿宋_GB2312" w:hAnsi="仿宋_GB2312" w:eastAsia="仿宋_GB2312" w:cs="仿宋_GB2312"/>
                <w:i w:val="0"/>
                <w:iCs w:val="0"/>
                <w:color w:val="000000"/>
                <w:kern w:val="0"/>
                <w:sz w:val="30"/>
                <w:szCs w:val="30"/>
                <w:highlight w:val="none"/>
                <w:u w:val="none"/>
                <w:lang w:val="en-US" w:eastAsia="zh-CN" w:bidi="ar"/>
              </w:rPr>
              <w:t>×</w:t>
            </w:r>
            <w:r>
              <w:rPr>
                <w:rFonts w:hint="eastAsia" w:ascii="仿宋_GB2312" w:hAnsi="仿宋_GB2312" w:eastAsia="仿宋_GB2312" w:cs="仿宋_GB2312"/>
                <w:i w:val="0"/>
                <w:iCs w:val="0"/>
                <w:color w:val="000000"/>
                <w:kern w:val="0"/>
                <w:sz w:val="30"/>
                <w:szCs w:val="30"/>
                <w:highlight w:val="none"/>
                <w:u w:val="none"/>
                <w:lang w:val="en-US" w:eastAsia="zh-CN" w:bidi="ar"/>
              </w:rPr>
              <w:t>2460mm</w:t>
            </w:r>
            <w:r>
              <w:rPr>
                <w:rFonts w:hint="default" w:ascii="仿宋_GB2312" w:hAnsi="仿宋_GB2312" w:eastAsia="仿宋_GB2312" w:cs="仿宋_GB2312"/>
                <w:i w:val="0"/>
                <w:iCs w:val="0"/>
                <w:color w:val="000000"/>
                <w:kern w:val="0"/>
                <w:sz w:val="30"/>
                <w:szCs w:val="30"/>
                <w:highlight w:val="none"/>
                <w:u w:val="none"/>
                <w:lang w:val="en-US" w:eastAsia="zh-CN" w:bidi="ar"/>
              </w:rPr>
              <w:t>×</w:t>
            </w:r>
            <w:r>
              <w:rPr>
                <w:rFonts w:hint="eastAsia" w:ascii="仿宋_GB2312" w:hAnsi="仿宋_GB2312" w:eastAsia="仿宋_GB2312" w:cs="仿宋_GB2312"/>
                <w:i w:val="0"/>
                <w:iCs w:val="0"/>
                <w:color w:val="000000"/>
                <w:kern w:val="0"/>
                <w:sz w:val="30"/>
                <w:szCs w:val="30"/>
                <w:highlight w:val="none"/>
                <w:u w:val="none"/>
                <w:lang w:val="en-US" w:eastAsia="zh-CN" w:bidi="ar"/>
              </w:rPr>
              <w:t>1950mm</w:t>
            </w:r>
          </w:p>
        </w:tc>
      </w:tr>
      <w:tr w14:paraId="6123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2206" w:type="dxa"/>
            <w:vAlign w:val="center"/>
          </w:tcPr>
          <w:p w14:paraId="3DFB717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加装</w:t>
            </w:r>
          </w:p>
        </w:tc>
        <w:tc>
          <w:tcPr>
            <w:tcW w:w="6168" w:type="dxa"/>
            <w:vAlign w:val="center"/>
          </w:tcPr>
          <w:p w14:paraId="7CAA18C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箱体顶部开2个可开合的透气孔，尾部开一个可开合的清理窗口，尾部左右下方各开一个65的进出水口（参考图片如下）。</w:t>
            </w:r>
          </w:p>
          <w:p w14:paraId="7DBD29B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drawing>
                <wp:inline distT="0" distB="0" distL="114300" distR="114300">
                  <wp:extent cx="1199515" cy="861695"/>
                  <wp:effectExtent l="0" t="0" r="635" b="14605"/>
                  <wp:docPr id="4" name="图片 4" descr="a40138eab958f0984c7aaf4d3dfa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0138eab958f0984c7aaf4d3dfaa3f"/>
                          <pic:cNvPicPr>
                            <a:picLocks noChangeAspect="1"/>
                          </pic:cNvPicPr>
                        </pic:nvPicPr>
                        <pic:blipFill>
                          <a:blip r:embed="rId5"/>
                          <a:srcRect t="39450"/>
                          <a:stretch>
                            <a:fillRect/>
                          </a:stretch>
                        </pic:blipFill>
                        <pic:spPr>
                          <a:xfrm>
                            <a:off x="0" y="0"/>
                            <a:ext cx="1199515" cy="861695"/>
                          </a:xfrm>
                          <a:prstGeom prst="rect">
                            <a:avLst/>
                          </a:prstGeom>
                        </pic:spPr>
                      </pic:pic>
                    </a:graphicData>
                  </a:graphic>
                </wp:inline>
              </w:drawing>
            </w:r>
            <w:r>
              <w:rPr>
                <w:rFonts w:hint="eastAsia" w:ascii="仿宋_GB2312" w:hAnsi="仿宋_GB2312" w:eastAsia="仿宋_GB2312" w:cs="仿宋_GB2312"/>
                <w:i w:val="0"/>
                <w:iCs w:val="0"/>
                <w:color w:val="000000"/>
                <w:kern w:val="0"/>
                <w:sz w:val="30"/>
                <w:szCs w:val="30"/>
                <w:highlight w:val="none"/>
                <w:u w:val="none"/>
                <w:lang w:val="en-US" w:eastAsia="zh-CN" w:bidi="ar"/>
              </w:rPr>
              <w:drawing>
                <wp:inline distT="0" distB="0" distL="114300" distR="114300">
                  <wp:extent cx="1198880" cy="899795"/>
                  <wp:effectExtent l="0" t="0" r="1270" b="14605"/>
                  <wp:docPr id="5" name="图片 5" descr="9d07b1284339033bcee7a99a76a5f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d07b1284339033bcee7a99a76a5f52"/>
                          <pic:cNvPicPr>
                            <a:picLocks noChangeAspect="1"/>
                          </pic:cNvPicPr>
                        </pic:nvPicPr>
                        <pic:blipFill>
                          <a:blip r:embed="rId6"/>
                          <a:stretch>
                            <a:fillRect/>
                          </a:stretch>
                        </pic:blipFill>
                        <pic:spPr>
                          <a:xfrm>
                            <a:off x="0" y="0"/>
                            <a:ext cx="1198880" cy="899795"/>
                          </a:xfrm>
                          <a:prstGeom prst="rect">
                            <a:avLst/>
                          </a:prstGeom>
                        </pic:spPr>
                      </pic:pic>
                    </a:graphicData>
                  </a:graphic>
                </wp:inline>
              </w:drawing>
            </w:r>
            <w:r>
              <w:rPr>
                <w:rFonts w:hint="eastAsia" w:ascii="仿宋_GB2312" w:hAnsi="仿宋_GB2312" w:eastAsia="仿宋_GB2312" w:cs="仿宋_GB2312"/>
                <w:i w:val="0"/>
                <w:iCs w:val="0"/>
                <w:color w:val="000000"/>
                <w:kern w:val="0"/>
                <w:sz w:val="30"/>
                <w:szCs w:val="30"/>
                <w:highlight w:val="none"/>
                <w:u w:val="none"/>
                <w:lang w:val="en-US" w:eastAsia="zh-CN" w:bidi="ar"/>
              </w:rPr>
              <w:drawing>
                <wp:inline distT="0" distB="0" distL="114300" distR="114300">
                  <wp:extent cx="1199515" cy="899795"/>
                  <wp:effectExtent l="0" t="0" r="635" b="14605"/>
                  <wp:docPr id="1" name="图片 1" descr="3cdf852b6cb341eb595c5a604b96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cdf852b6cb341eb595c5a604b961ca"/>
                          <pic:cNvPicPr>
                            <a:picLocks noChangeAspect="1"/>
                          </pic:cNvPicPr>
                        </pic:nvPicPr>
                        <pic:blipFill>
                          <a:blip r:embed="rId7"/>
                          <a:stretch>
                            <a:fillRect/>
                          </a:stretch>
                        </pic:blipFill>
                        <pic:spPr>
                          <a:xfrm>
                            <a:off x="0" y="0"/>
                            <a:ext cx="1199515" cy="899795"/>
                          </a:xfrm>
                          <a:prstGeom prst="rect">
                            <a:avLst/>
                          </a:prstGeom>
                        </pic:spPr>
                      </pic:pic>
                    </a:graphicData>
                  </a:graphic>
                </wp:inline>
              </w:drawing>
            </w:r>
          </w:p>
          <w:p w14:paraId="38E5590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p>
        </w:tc>
      </w:tr>
      <w:tr w14:paraId="74D0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718330B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质保期</w:t>
            </w:r>
          </w:p>
        </w:tc>
        <w:tc>
          <w:tcPr>
            <w:tcW w:w="6168" w:type="dxa"/>
            <w:vAlign w:val="center"/>
          </w:tcPr>
          <w:p w14:paraId="6D7FCA5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1年</w:t>
            </w:r>
          </w:p>
        </w:tc>
      </w:tr>
      <w:tr w14:paraId="3D8B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76F95FD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生产日期</w:t>
            </w:r>
          </w:p>
        </w:tc>
        <w:tc>
          <w:tcPr>
            <w:tcW w:w="6168" w:type="dxa"/>
            <w:vAlign w:val="center"/>
          </w:tcPr>
          <w:p w14:paraId="6E41845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成交日期前半年内</w:t>
            </w:r>
          </w:p>
        </w:tc>
      </w:tr>
      <w:tr w14:paraId="10C7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6C51189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w:t>
            </w:r>
            <w:r>
              <w:rPr>
                <w:rFonts w:hint="eastAsia" w:ascii="仿宋_GB2312" w:hAnsi="仿宋_GB2312" w:eastAsia="仿宋_GB2312" w:cs="仿宋_GB2312"/>
                <w:i w:val="0"/>
                <w:iCs w:val="0"/>
                <w:color w:val="000000"/>
                <w:kern w:val="0"/>
                <w:sz w:val="30"/>
                <w:szCs w:val="30"/>
                <w:u w:val="none"/>
                <w:lang w:val="en-US" w:eastAsia="zh-CN" w:bidi="ar"/>
              </w:rPr>
              <w:t>其他要求</w:t>
            </w:r>
          </w:p>
        </w:tc>
        <w:tc>
          <w:tcPr>
            <w:tcW w:w="6168" w:type="dxa"/>
            <w:vAlign w:val="center"/>
          </w:tcPr>
          <w:p w14:paraId="0ED3840C">
            <w:pPr>
              <w:keepNext w:val="0"/>
              <w:keepLines w:val="0"/>
              <w:pageBreakBefore w:val="0"/>
              <w:widowControl/>
              <w:suppressLineNumbers w:val="0"/>
              <w:kinsoku/>
              <w:wordWrap/>
              <w:overflowPunct/>
              <w:topLinePunct w:val="0"/>
              <w:autoSpaceDE/>
              <w:autoSpaceDN/>
              <w:bidi w:val="0"/>
              <w:adjustRightInd/>
              <w:snapToGrid/>
              <w:spacing w:line="400" w:lineRule="atLeast"/>
              <w:ind w:firstLine="1500" w:firstLineChars="500"/>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箱体需按照勾臂车能吊装的尺寸制作</w:t>
            </w:r>
          </w:p>
        </w:tc>
      </w:tr>
    </w:tbl>
    <w:p w14:paraId="0475648D">
      <w:pPr>
        <w:numPr>
          <w:ilvl w:val="-1"/>
          <w:numId w:val="0"/>
        </w:numPr>
        <w:spacing w:line="360" w:lineRule="auto"/>
        <w:ind w:leftChars="200" w:firstLine="0" w:firstLineChars="0"/>
        <w:rPr>
          <w:rFonts w:hint="eastAsia" w:ascii="仿宋_GB2312" w:hAnsi="仿宋_GB2312" w:eastAsia="仿宋_GB2312" w:cs="仿宋_GB2312"/>
          <w:b/>
          <w:bCs/>
          <w:sz w:val="30"/>
          <w:szCs w:val="30"/>
          <w:lang w:val="en-US" w:eastAsia="zh-CN"/>
        </w:rPr>
      </w:pPr>
    </w:p>
    <w:p w14:paraId="6A20BB2C">
      <w:pPr>
        <w:numPr>
          <w:ilvl w:val="0"/>
          <w:numId w:val="1"/>
        </w:num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供货及安装地址：</w:t>
      </w:r>
      <w:r>
        <w:rPr>
          <w:rFonts w:hint="eastAsia" w:ascii="仿宋_GB2312" w:hAnsi="仿宋_GB2312" w:eastAsia="仿宋_GB2312" w:cs="仿宋_GB2312"/>
          <w:b w:val="0"/>
          <w:bCs w:val="0"/>
          <w:sz w:val="30"/>
          <w:szCs w:val="30"/>
          <w:lang w:val="en-US" w:eastAsia="zh-CN"/>
        </w:rPr>
        <w:t>东莞市内，具体以采购人通知为准。</w:t>
      </w:r>
    </w:p>
    <w:p w14:paraId="5945F8C7">
      <w:pPr>
        <w:numPr>
          <w:ilvl w:val="0"/>
          <w:numId w:val="1"/>
        </w:num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highlight w:val="none"/>
          <w:lang w:val="en-US" w:eastAsia="zh-CN"/>
        </w:rPr>
        <w:t>采购文件中图片仅供参考，</w:t>
      </w:r>
      <w:r>
        <w:rPr>
          <w:rFonts w:hint="eastAsia" w:ascii="仿宋_GB2312" w:hAnsi="仿宋_GB2312" w:eastAsia="仿宋_GB2312" w:cs="仿宋_GB2312"/>
          <w:strike w:val="0"/>
          <w:sz w:val="30"/>
          <w:szCs w:val="30"/>
          <w:highlight w:val="none"/>
          <w:lang w:eastAsia="zh-CN"/>
        </w:rPr>
        <w:t>报价人</w:t>
      </w:r>
      <w:r>
        <w:rPr>
          <w:rFonts w:hint="eastAsia" w:ascii="仿宋_GB2312" w:hAnsi="仿宋_GB2312" w:eastAsia="仿宋_GB2312" w:cs="仿宋_GB2312"/>
          <w:strike w:val="0"/>
          <w:sz w:val="30"/>
          <w:szCs w:val="30"/>
          <w:highlight w:val="none"/>
        </w:rPr>
        <w:t>需</w:t>
      </w:r>
      <w:r>
        <w:rPr>
          <w:rFonts w:hint="eastAsia" w:ascii="仿宋_GB2312" w:hAnsi="仿宋_GB2312" w:eastAsia="仿宋_GB2312" w:cs="仿宋_GB2312"/>
          <w:strike w:val="0"/>
          <w:sz w:val="30"/>
          <w:szCs w:val="30"/>
          <w:highlight w:val="none"/>
          <w:lang w:val="en-US" w:eastAsia="zh-CN"/>
        </w:rPr>
        <w:t>按照采购文件规格</w:t>
      </w:r>
      <w:r>
        <w:rPr>
          <w:rFonts w:hint="eastAsia" w:ascii="仿宋_GB2312" w:hAnsi="仿宋_GB2312" w:eastAsia="仿宋_GB2312" w:cs="仿宋_GB2312"/>
          <w:strike w:val="0"/>
          <w:sz w:val="30"/>
          <w:szCs w:val="30"/>
          <w:highlight w:val="none"/>
        </w:rPr>
        <w:t>要求</w:t>
      </w:r>
      <w:r>
        <w:rPr>
          <w:rFonts w:hint="eastAsia" w:ascii="仿宋_GB2312" w:hAnsi="仿宋_GB2312" w:eastAsia="仿宋_GB2312" w:cs="仿宋_GB2312"/>
          <w:strike w:val="0"/>
          <w:sz w:val="30"/>
          <w:szCs w:val="30"/>
          <w:highlight w:val="none"/>
          <w:lang w:val="en-US" w:eastAsia="zh-CN"/>
        </w:rPr>
        <w:t>进行供货及安装</w:t>
      </w:r>
      <w:r>
        <w:rPr>
          <w:rFonts w:hint="eastAsia" w:ascii="仿宋_GB2312" w:hAnsi="仿宋_GB2312" w:eastAsia="仿宋_GB2312" w:cs="仿宋_GB2312"/>
          <w:strike w:val="0"/>
          <w:sz w:val="30"/>
          <w:szCs w:val="30"/>
          <w:highlight w:val="none"/>
        </w:rPr>
        <w:t>，否则采购人有权取消成交人资格</w:t>
      </w:r>
      <w:r>
        <w:rPr>
          <w:rFonts w:hint="eastAsia" w:ascii="仿宋_GB2312" w:hAnsi="仿宋_GB2312" w:eastAsia="仿宋_GB2312" w:cs="仿宋_GB2312"/>
          <w:strike w:val="0"/>
          <w:sz w:val="30"/>
          <w:szCs w:val="30"/>
          <w:highlight w:val="none"/>
          <w:lang w:eastAsia="zh-CN"/>
        </w:rPr>
        <w:t>。</w:t>
      </w:r>
    </w:p>
    <w:p w14:paraId="06C8EDAA">
      <w:pPr>
        <w:numPr>
          <w:ilvl w:val="0"/>
          <w:numId w:val="1"/>
        </w:num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货物必须为全新的合格产品，</w:t>
      </w:r>
      <w:r>
        <w:rPr>
          <w:rFonts w:hint="eastAsia" w:ascii="仿宋_GB2312" w:hAnsi="仿宋_GB2312" w:eastAsia="仿宋_GB2312" w:cs="仿宋_GB2312"/>
          <w:sz w:val="30"/>
          <w:szCs w:val="30"/>
          <w:lang w:val="en-US" w:eastAsia="zh-CN"/>
        </w:rPr>
        <w:t>材质</w:t>
      </w:r>
      <w:r>
        <w:rPr>
          <w:rFonts w:hint="eastAsia" w:ascii="仿宋_GB2312" w:hAnsi="仿宋_GB2312" w:eastAsia="仿宋_GB2312" w:cs="仿宋_GB2312"/>
          <w:sz w:val="30"/>
          <w:szCs w:val="30"/>
        </w:rPr>
        <w:t>需符合采购人要求且符合国家相关标准。（供货时</w:t>
      </w:r>
      <w:r>
        <w:rPr>
          <w:rFonts w:hint="eastAsia" w:ascii="仿宋_GB2312" w:hAnsi="仿宋_GB2312" w:eastAsia="仿宋_GB2312" w:cs="仿宋_GB2312"/>
          <w:sz w:val="30"/>
          <w:szCs w:val="30"/>
          <w:lang w:val="en-US" w:eastAsia="zh-CN"/>
        </w:rPr>
        <w:t>采购人有权要求成交人</w:t>
      </w:r>
      <w:r>
        <w:rPr>
          <w:rFonts w:hint="eastAsia" w:ascii="仿宋_GB2312" w:hAnsi="仿宋_GB2312" w:eastAsia="仿宋_GB2312" w:cs="仿宋_GB2312"/>
          <w:sz w:val="30"/>
          <w:szCs w:val="30"/>
        </w:rPr>
        <w:t>出具合格有效的出厂证明、合格证、检测证明等相关文件）。</w:t>
      </w:r>
    </w:p>
    <w:p w14:paraId="7CC253AB">
      <w:pPr>
        <w:numPr>
          <w:ilvl w:val="0"/>
          <w:numId w:val="1"/>
        </w:num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验收要求：</w:t>
      </w:r>
    </w:p>
    <w:p w14:paraId="4039E34C">
      <w:pPr>
        <w:numPr>
          <w:ilvl w:val="-1"/>
          <w:numId w:val="0"/>
        </w:numPr>
        <w:spacing w:line="360" w:lineRule="auto"/>
        <w:ind w:leftChars="0"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1.箱体查验：箱体制作完成后需进行箱体尺寸测量查验，尺寸查验完成后需进行箱体注水密封查验。</w:t>
      </w:r>
    </w:p>
    <w:p w14:paraId="211039D7">
      <w:pPr>
        <w:widowControl/>
        <w:numPr>
          <w:ilvl w:val="-1"/>
          <w:numId w:val="0"/>
        </w:numPr>
        <w:spacing w:line="360" w:lineRule="auto"/>
        <w:ind w:leftChars="0" w:firstLine="600" w:firstLineChars="200"/>
        <w:jc w:val="left"/>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sz w:val="30"/>
          <w:szCs w:val="30"/>
          <w:lang w:val="en-US" w:eastAsia="zh-CN"/>
        </w:rPr>
        <w:t>2.箱体交付：箱体验收合格后，由成交人送货上门安装。</w:t>
      </w:r>
    </w:p>
    <w:p w14:paraId="103AD08B">
      <w:pPr>
        <w:widowControl/>
        <w:numPr>
          <w:ilvl w:val="0"/>
          <w:numId w:val="1"/>
        </w:numPr>
        <w:spacing w:line="360" w:lineRule="auto"/>
        <w:ind w:leftChars="0" w:firstLine="600" w:firstLineChars="200"/>
        <w:jc w:val="left"/>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质保期：</w:t>
      </w:r>
      <w:r>
        <w:rPr>
          <w:rFonts w:hint="eastAsia" w:ascii="仿宋_GB2312" w:hAnsi="仿宋_GB2312" w:eastAsia="仿宋_GB2312" w:cs="仿宋_GB2312"/>
          <w:i w:val="0"/>
          <w:iCs w:val="0"/>
          <w:caps w:val="0"/>
          <w:color w:val="auto"/>
          <w:spacing w:val="0"/>
          <w:sz w:val="30"/>
          <w:szCs w:val="30"/>
          <w:highlight w:val="none"/>
        </w:rPr>
        <w:t>自验收合格之日起</w:t>
      </w:r>
      <w:r>
        <w:rPr>
          <w:rFonts w:hint="eastAsia" w:ascii="仿宋_GB2312" w:hAnsi="仿宋_GB2312" w:eastAsia="仿宋_GB2312" w:cs="仿宋_GB2312"/>
          <w:i w:val="0"/>
          <w:iCs w:val="0"/>
          <w:caps w:val="0"/>
          <w:color w:val="auto"/>
          <w:spacing w:val="0"/>
          <w:sz w:val="30"/>
          <w:szCs w:val="30"/>
          <w:highlight w:val="none"/>
          <w:lang w:val="en-US" w:eastAsia="zh-CN"/>
        </w:rPr>
        <w:t>质保</w:t>
      </w:r>
      <w:r>
        <w:rPr>
          <w:rFonts w:hint="eastAsia" w:ascii="仿宋_GB2312" w:hAnsi="仿宋_GB2312" w:eastAsia="仿宋_GB2312" w:cs="仿宋_GB2312"/>
          <w:i w:val="0"/>
          <w:iCs w:val="0"/>
          <w:caps w:val="0"/>
          <w:color w:val="auto"/>
          <w:spacing w:val="0"/>
          <w:sz w:val="30"/>
          <w:szCs w:val="30"/>
          <w:highlight w:val="none"/>
        </w:rPr>
        <w:t>壹年</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b w:val="0"/>
          <w:bCs w:val="0"/>
          <w:color w:val="auto"/>
          <w:kern w:val="2"/>
          <w:sz w:val="30"/>
          <w:szCs w:val="30"/>
          <w:highlight w:val="none"/>
          <w:lang w:val="en-US" w:eastAsia="zh-CN" w:bidi="ar-SA"/>
        </w:rPr>
        <w:t>如技术规格书或厂家对单体产品有更高要求的，遵循更高要求。质保期内成交人提供24小时电话服务热线，保证在接到故障电话（或书面通知）即时响应（即能提供满足用户需要的解决方法），1小时内与采购人协商给出合理解决方案，并在采购人指定时间内予以修理或更换。</w:t>
      </w:r>
    </w:p>
    <w:p w14:paraId="145386A6">
      <w:pPr>
        <w:widowControl/>
        <w:numPr>
          <w:ilvl w:val="0"/>
          <w:numId w:val="1"/>
        </w:numPr>
        <w:spacing w:line="360" w:lineRule="auto"/>
        <w:ind w:leftChars="0" w:firstLine="600" w:firstLineChars="200"/>
        <w:jc w:val="left"/>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有其他技术疑问请咨询刘工：13192403575。</w:t>
      </w:r>
    </w:p>
    <w:p w14:paraId="6BD39CF2">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五、完成时间</w:t>
      </w:r>
    </w:p>
    <w:p w14:paraId="4205FFD0">
      <w:pPr>
        <w:adjustRightInd/>
        <w:snapToGrid/>
        <w:spacing w:line="360" w:lineRule="auto"/>
        <w:ind w:firstLine="600" w:firstLineChars="200"/>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成交人收到采购人发出的结果确认函之日起10个日历日内完成供货及安装并经采购人验收合格</w:t>
      </w:r>
      <w:r>
        <w:rPr>
          <w:rFonts w:hint="eastAsia" w:ascii="仿宋_GB2312" w:hAnsi="仿宋_GB2312" w:eastAsia="仿宋_GB2312" w:cs="仿宋_GB2312"/>
          <w:sz w:val="30"/>
          <w:szCs w:val="30"/>
          <w:lang w:eastAsia="zh-CN"/>
        </w:rPr>
        <w:t>。</w:t>
      </w:r>
    </w:p>
    <w:p w14:paraId="2BCE8AD9">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六、支付方式</w:t>
      </w:r>
    </w:p>
    <w:p w14:paraId="3C3C008D">
      <w:pPr>
        <w:spacing w:line="360" w:lineRule="auto"/>
        <w:ind w:firstLine="600" w:firstLineChars="200"/>
        <w:rPr>
          <w:rFonts w:hint="eastAsia" w:ascii="仿宋_GB2312" w:hAnsi="仿宋_GB2312" w:eastAsia="仿宋_GB2312" w:cs="仿宋_GB2312"/>
          <w:sz w:val="30"/>
          <w:szCs w:val="30"/>
        </w:rPr>
      </w:pPr>
      <w:bookmarkStart w:id="0" w:name="_Hlk63759280"/>
      <w:bookmarkStart w:id="1" w:name="_Hlk57795626"/>
      <w:r>
        <w:rPr>
          <w:rFonts w:hint="eastAsia" w:ascii="仿宋_GB2312" w:hAnsi="仿宋_GB2312" w:eastAsia="仿宋_GB2312" w:cs="仿宋_GB2312"/>
          <w:sz w:val="30"/>
          <w:szCs w:val="30"/>
        </w:rPr>
        <w:t>成交人完成供货</w:t>
      </w:r>
      <w:r>
        <w:rPr>
          <w:rFonts w:hint="eastAsia" w:ascii="仿宋_GB2312" w:hAnsi="仿宋_GB2312" w:eastAsia="仿宋_GB2312" w:cs="仿宋_GB2312"/>
          <w:sz w:val="30"/>
          <w:szCs w:val="30"/>
          <w:lang w:val="en-US" w:eastAsia="zh-CN"/>
        </w:rPr>
        <w:t>及安装并</w:t>
      </w:r>
      <w:r>
        <w:rPr>
          <w:rFonts w:hint="eastAsia" w:ascii="仿宋_GB2312" w:hAnsi="仿宋_GB2312" w:eastAsia="仿宋_GB2312" w:cs="仿宋_GB2312"/>
          <w:sz w:val="30"/>
          <w:szCs w:val="30"/>
        </w:rPr>
        <w:t>经</w:t>
      </w:r>
      <w:r>
        <w:rPr>
          <w:rFonts w:hint="eastAsia" w:ascii="仿宋_GB2312" w:hAnsi="仿宋_GB2312" w:eastAsia="仿宋_GB2312" w:cs="仿宋_GB2312"/>
          <w:sz w:val="30"/>
          <w:szCs w:val="30"/>
          <w:lang w:val="en-US" w:eastAsia="zh-CN"/>
        </w:rPr>
        <w:t>采购人</w:t>
      </w:r>
      <w:r>
        <w:rPr>
          <w:rFonts w:hint="eastAsia" w:ascii="仿宋_GB2312" w:hAnsi="仿宋_GB2312" w:eastAsia="仿宋_GB2312" w:cs="仿宋_GB2312"/>
          <w:sz w:val="30"/>
          <w:szCs w:val="30"/>
        </w:rPr>
        <w:t>验收合格后，成交人提交增值税专用发票及请款资料，采购人在收到有效资料的三十个日历日内</w:t>
      </w:r>
      <w:r>
        <w:rPr>
          <w:rFonts w:hint="eastAsia" w:ascii="仿宋_GB2312" w:hAnsi="仿宋_GB2312" w:eastAsia="仿宋_GB2312" w:cs="仿宋_GB2312"/>
          <w:sz w:val="30"/>
          <w:szCs w:val="30"/>
          <w:lang w:val="en-US" w:eastAsia="zh-CN"/>
        </w:rPr>
        <w:t>全额付款</w:t>
      </w:r>
      <w:r>
        <w:rPr>
          <w:rFonts w:hint="eastAsia" w:ascii="仿宋_GB2312" w:hAnsi="仿宋_GB2312" w:eastAsia="仿宋_GB2312" w:cs="仿宋_GB2312"/>
          <w:sz w:val="30"/>
          <w:szCs w:val="30"/>
          <w:lang w:eastAsia="zh-CN"/>
        </w:rPr>
        <w:t>。</w:t>
      </w:r>
    </w:p>
    <w:bookmarkEnd w:id="0"/>
    <w:bookmarkEnd w:id="1"/>
    <w:p w14:paraId="4EBB2047">
      <w:pPr>
        <w:spacing w:line="360" w:lineRule="auto"/>
        <w:ind w:firstLine="602" w:firstLineChars="200"/>
        <w:outlineLvl w:val="9"/>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七、报价</w:t>
      </w:r>
    </w:p>
    <w:p w14:paraId="3033734A">
      <w:pPr>
        <w:spacing w:line="360" w:lineRule="auto"/>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采购限价</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b/>
          <w:bCs/>
          <w:sz w:val="30"/>
          <w:szCs w:val="30"/>
          <w:highlight w:val="none"/>
          <w:lang w:eastAsia="zh-CN"/>
        </w:rPr>
        <w:t>¥59,900.00元（含税）</w:t>
      </w:r>
    </w:p>
    <w:p w14:paraId="7B5676DE">
      <w:pPr>
        <w:spacing w:line="360" w:lineRule="auto"/>
        <w:ind w:firstLine="600" w:firstLineChars="200"/>
        <w:outlineLvl w:val="1"/>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本项目发包方式为固定总价包干，实行固定价格报价，包括但不限于：完成本项目的成本、利润、税金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auto"/>
          <w:sz w:val="30"/>
          <w:szCs w:val="30"/>
          <w:highlight w:val="none"/>
        </w:rPr>
        <w:t>货物及所需附件设备价</w:t>
      </w:r>
      <w:r>
        <w:rPr>
          <w:rFonts w:hint="eastAsia" w:ascii="仿宋_GB2312" w:hAnsi="仿宋_GB2312" w:eastAsia="仿宋_GB2312" w:cs="仿宋_GB2312"/>
          <w:color w:val="auto"/>
          <w:sz w:val="30"/>
          <w:szCs w:val="30"/>
          <w:highlight w:val="none"/>
          <w:lang w:val="en-US" w:eastAsia="zh-CN"/>
        </w:rPr>
        <w:t>格</w:t>
      </w:r>
      <w:r>
        <w:rPr>
          <w:rFonts w:hint="eastAsia" w:ascii="仿宋_GB2312" w:hAnsi="仿宋_GB2312" w:eastAsia="仿宋_GB2312" w:cs="仿宋_GB2312"/>
          <w:color w:val="auto"/>
          <w:sz w:val="30"/>
          <w:szCs w:val="30"/>
          <w:highlight w:val="none"/>
        </w:rPr>
        <w:t>及运输费（含运输至采购</w:t>
      </w:r>
      <w:r>
        <w:rPr>
          <w:rFonts w:hint="eastAsia" w:ascii="仿宋_GB2312" w:hAnsi="仿宋_GB2312" w:eastAsia="仿宋_GB2312" w:cs="仿宋_GB2312"/>
          <w:color w:val="auto"/>
          <w:sz w:val="30"/>
          <w:szCs w:val="30"/>
          <w:highlight w:val="none"/>
          <w:lang w:val="en-US" w:eastAsia="zh-CN"/>
        </w:rPr>
        <w:t>人</w:t>
      </w:r>
      <w:r>
        <w:rPr>
          <w:rFonts w:hint="eastAsia" w:ascii="仿宋_GB2312" w:hAnsi="仿宋_GB2312" w:eastAsia="仿宋_GB2312" w:cs="仿宋_GB2312"/>
          <w:color w:val="auto"/>
          <w:sz w:val="30"/>
          <w:szCs w:val="30"/>
          <w:highlight w:val="none"/>
        </w:rPr>
        <w:t>指定交货地点的运输费）、安装、调试、检验、技术服务和培训等</w:t>
      </w:r>
      <w:r>
        <w:rPr>
          <w:rFonts w:hint="eastAsia" w:ascii="仿宋_GB2312" w:hAnsi="仿宋_GB2312" w:eastAsia="仿宋_GB2312" w:cs="仿宋_GB2312"/>
          <w:sz w:val="30"/>
          <w:szCs w:val="30"/>
        </w:rPr>
        <w:t>在项目过程中可能产生的一切费用。</w:t>
      </w:r>
      <w:r>
        <w:rPr>
          <w:rFonts w:hint="eastAsia" w:ascii="仿宋_GB2312" w:hAnsi="仿宋_GB2312" w:eastAsia="仿宋_GB2312" w:cs="仿宋_GB2312"/>
          <w:sz w:val="30"/>
          <w:szCs w:val="30"/>
          <w:lang w:eastAsia="zh-CN"/>
        </w:rPr>
        <w:t>报价人</w:t>
      </w:r>
      <w:r>
        <w:rPr>
          <w:rFonts w:hint="eastAsia" w:ascii="仿宋_GB2312" w:hAnsi="仿宋_GB2312" w:eastAsia="仿宋_GB2312" w:cs="仿宋_GB2312"/>
          <w:sz w:val="30"/>
          <w:szCs w:val="30"/>
        </w:rPr>
        <w:t>已充分考虑了本项目</w:t>
      </w:r>
      <w:r>
        <w:rPr>
          <w:rFonts w:hint="eastAsia" w:ascii="仿宋_GB2312" w:hAnsi="仿宋_GB2312" w:eastAsia="仿宋_GB2312" w:cs="仿宋_GB2312"/>
          <w:sz w:val="30"/>
          <w:szCs w:val="30"/>
          <w:lang w:val="en-US" w:eastAsia="zh-CN"/>
        </w:rPr>
        <w:t>供货</w:t>
      </w:r>
      <w:r>
        <w:rPr>
          <w:rFonts w:hint="eastAsia" w:ascii="仿宋_GB2312" w:hAnsi="仿宋_GB2312" w:eastAsia="仿宋_GB2312" w:cs="仿宋_GB2312"/>
          <w:sz w:val="30"/>
          <w:szCs w:val="30"/>
        </w:rPr>
        <w:t>内容及要求描述工作量可能与最终实际工作量存在差距的风险，结算时不做调整。要求</w:t>
      </w:r>
      <w:r>
        <w:rPr>
          <w:rFonts w:hint="eastAsia" w:ascii="仿宋_GB2312" w:hAnsi="仿宋_GB2312" w:eastAsia="仿宋_GB2312" w:cs="仿宋_GB2312"/>
          <w:sz w:val="30"/>
          <w:szCs w:val="30"/>
          <w:lang w:eastAsia="zh-CN"/>
        </w:rPr>
        <w:t>报价人</w:t>
      </w:r>
      <w:r>
        <w:rPr>
          <w:rFonts w:hint="eastAsia" w:ascii="仿宋_GB2312" w:hAnsi="仿宋_GB2312" w:eastAsia="仿宋_GB2312" w:cs="仿宋_GB2312"/>
          <w:sz w:val="30"/>
          <w:szCs w:val="30"/>
        </w:rPr>
        <w:t>提供总价及分项报价，</w:t>
      </w:r>
      <w:r>
        <w:rPr>
          <w:rFonts w:hint="eastAsia" w:ascii="仿宋_GB2312" w:hAnsi="仿宋_GB2312" w:eastAsia="仿宋_GB2312" w:cs="仿宋_GB2312"/>
          <w:color w:val="auto"/>
          <w:sz w:val="30"/>
          <w:szCs w:val="30"/>
          <w:highlight w:val="none"/>
        </w:rPr>
        <w:t>分项包括：</w:t>
      </w:r>
      <w:r>
        <w:rPr>
          <w:rFonts w:hint="eastAsia" w:ascii="仿宋_GB2312" w:hAnsi="仿宋_GB2312" w:eastAsia="仿宋_GB2312" w:cs="仿宋_GB2312"/>
          <w:sz w:val="30"/>
          <w:szCs w:val="30"/>
          <w:lang w:val="en-US" w:eastAsia="zh-CN"/>
        </w:rPr>
        <w:t>报价人</w:t>
      </w:r>
      <w:r>
        <w:rPr>
          <w:rFonts w:hint="eastAsia" w:ascii="仿宋_GB2312" w:hAnsi="仿宋_GB2312" w:eastAsia="仿宋_GB2312" w:cs="仿宋_GB2312"/>
          <w:color w:val="auto"/>
          <w:sz w:val="30"/>
          <w:szCs w:val="30"/>
          <w:highlight w:val="none"/>
          <w:lang w:val="en-US" w:eastAsia="zh-CN"/>
        </w:rPr>
        <w:t>参考采购清单</w:t>
      </w:r>
      <w:r>
        <w:rPr>
          <w:rFonts w:hint="eastAsia" w:ascii="仿宋_GB2312" w:hAnsi="仿宋_GB2312" w:eastAsia="仿宋_GB2312" w:cs="仿宋_GB2312"/>
          <w:sz w:val="30"/>
          <w:szCs w:val="30"/>
          <w:lang w:val="en-US" w:eastAsia="zh-CN"/>
        </w:rPr>
        <w:t>自拟。</w:t>
      </w:r>
    </w:p>
    <w:p w14:paraId="2E7C7D06">
      <w:pPr>
        <w:spacing w:line="360" w:lineRule="auto"/>
        <w:ind w:firstLine="600" w:firstLineChars="20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报价人</w:t>
      </w:r>
      <w:r>
        <w:rPr>
          <w:rFonts w:hint="eastAsia" w:ascii="仿宋_GB2312" w:hAnsi="仿宋_GB2312" w:eastAsia="仿宋_GB2312" w:cs="仿宋_GB2312"/>
          <w:sz w:val="30"/>
          <w:szCs w:val="30"/>
        </w:rPr>
        <w:t>所报价格不得高于采购限价。</w:t>
      </w:r>
    </w:p>
    <w:p w14:paraId="68174235">
      <w:pPr>
        <w:adjustRightInd w:val="0"/>
        <w:snapToGrid w:val="0"/>
        <w:spacing w:line="600" w:lineRule="exact"/>
        <w:ind w:left="0" w:leftChars="0" w:firstLine="600"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i w:val="0"/>
          <w:iCs w:val="0"/>
          <w:caps w:val="0"/>
          <w:color w:val="auto"/>
          <w:spacing w:val="0"/>
          <w:sz w:val="30"/>
          <w:szCs w:val="30"/>
          <w:highlight w:val="none"/>
          <w:lang w:val="en-US" w:eastAsia="zh-CN"/>
        </w:rPr>
        <w:t xml:space="preserve"> </w:t>
      </w:r>
      <w:r>
        <w:rPr>
          <w:rFonts w:hint="eastAsia" w:ascii="仿宋_GB2312" w:hAnsi="仿宋_GB2312" w:eastAsia="仿宋_GB2312" w:cs="仿宋_GB2312"/>
          <w:b/>
          <w:bCs/>
          <w:color w:val="000000"/>
          <w:sz w:val="30"/>
          <w:szCs w:val="30"/>
        </w:rPr>
        <w:t>八、定标</w:t>
      </w:r>
    </w:p>
    <w:p w14:paraId="0D7E3C1B">
      <w:pPr>
        <w:spacing w:line="360" w:lineRule="auto"/>
        <w:ind w:firstLine="600" w:firstLineChars="20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本次项目采用询价方式进行采购，</w:t>
      </w: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小组对各供应商响应文件进行审核，并根据质量和服务均能满足采购文件实质性响应要求且含税报价最低的原则，推荐成交候选供应商。</w:t>
      </w:r>
    </w:p>
    <w:p w14:paraId="511F5056">
      <w:pPr>
        <w:spacing w:line="360" w:lineRule="auto"/>
        <w:ind w:firstLine="600" w:firstLineChars="200"/>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询价结束后，采购小组将相关询价情况按程序审批并确定成交人。</w:t>
      </w:r>
    </w:p>
    <w:p w14:paraId="4DD2D0D4">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本项目如发生多次采购，根据以下情况可以申请转换采购方式继续采购：</w:t>
      </w:r>
    </w:p>
    <w:p w14:paraId="5879BA2A">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（1）当有效报价人只有2家时，经</w:t>
      </w:r>
      <w:r>
        <w:rPr>
          <w:rFonts w:hint="eastAsia" w:ascii="仿宋_GB2312" w:hAnsi="仿宋_GB2312" w:eastAsia="仿宋_GB2312" w:cs="仿宋_GB2312"/>
          <w:color w:val="auto"/>
          <w:sz w:val="30"/>
          <w:szCs w:val="30"/>
          <w:highlight w:val="none"/>
          <w:lang w:eastAsia="zh-CN"/>
        </w:rPr>
        <w:t>采购小组</w:t>
      </w:r>
      <w:r>
        <w:rPr>
          <w:rFonts w:hint="eastAsia" w:ascii="仿宋_GB2312" w:hAnsi="仿宋_GB2312" w:eastAsia="仿宋_GB2312" w:cs="仿宋_GB2312"/>
          <w:color w:val="auto"/>
          <w:sz w:val="30"/>
          <w:szCs w:val="30"/>
          <w:highlight w:val="none"/>
        </w:rPr>
        <w:t>论证，采购文件没有不合理条款、采购程序符合规定的，经采购人和作出实质性响应的报价人代表同意后，可现场更改为2家报价人继续竞争性谈判采购。</w:t>
      </w:r>
    </w:p>
    <w:p w14:paraId="4865E6CD">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（2）当有效报价人只有1家时，经</w:t>
      </w:r>
      <w:r>
        <w:rPr>
          <w:rFonts w:hint="eastAsia" w:ascii="仿宋_GB2312" w:hAnsi="仿宋_GB2312" w:eastAsia="仿宋_GB2312" w:cs="仿宋_GB2312"/>
          <w:color w:val="auto"/>
          <w:sz w:val="30"/>
          <w:szCs w:val="30"/>
          <w:highlight w:val="none"/>
          <w:lang w:eastAsia="zh-CN"/>
        </w:rPr>
        <w:t>采购小组</w:t>
      </w:r>
      <w:r>
        <w:rPr>
          <w:rFonts w:hint="eastAsia" w:ascii="仿宋_GB2312" w:hAnsi="仿宋_GB2312" w:eastAsia="仿宋_GB2312" w:cs="仿宋_GB2312"/>
          <w:color w:val="auto"/>
          <w:sz w:val="30"/>
          <w:szCs w:val="30"/>
          <w:highlight w:val="none"/>
        </w:rPr>
        <w:t>论证，采购文件没有不合理条款、采购程序符合规定的，经采购人和作出实质性响应的报价人代表同意后，可现场更改为1家报价人继续定向谈判采购。</w:t>
      </w:r>
    </w:p>
    <w:p w14:paraId="36C01FD6">
      <w:pPr>
        <w:spacing w:line="360" w:lineRule="auto"/>
        <w:ind w:firstLine="600" w:firstLineChars="200"/>
        <w:outlineLvl w:val="1"/>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rPr>
        <w:t>如采购人对采购标的整体或主要部件有约定多个品牌且采购项目采用最低评标价法的，提供相同品牌产品的不同报价人参加同一合同项下报价，以其中通过资格审查、符合性审查且报价最低的报价人参加评标（或参与转方式采购）；如以上报价人报价相同的，则采取随机抽取方式确定参加评标（或参与转方式采购）的报价人，其他报价人报价无效。</w:t>
      </w:r>
    </w:p>
    <w:p w14:paraId="7EE8D924">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九、采取的合同文本</w:t>
      </w:r>
    </w:p>
    <w:p w14:paraId="55C2198A">
      <w:pPr>
        <w:spacing w:line="360" w:lineRule="auto"/>
        <w:ind w:firstLine="600" w:firstLineChars="200"/>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合同签订的依据为询价函、响应文件及补充说明等。确定成交单位后，成交</w:t>
      </w:r>
      <w:r>
        <w:rPr>
          <w:rFonts w:hint="eastAsia" w:ascii="仿宋_GB2312" w:hAnsi="仿宋_GB2312" w:eastAsia="仿宋_GB2312" w:cs="仿宋_GB2312"/>
          <w:sz w:val="30"/>
          <w:szCs w:val="30"/>
          <w:lang w:val="en-US" w:eastAsia="zh-CN"/>
        </w:rPr>
        <w:t>人</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天内与采购人签订合同（详见附件合同模板）。</w:t>
      </w:r>
    </w:p>
    <w:p w14:paraId="13BCB2EB">
      <w:pPr>
        <w:adjustRightInd w:val="0"/>
        <w:snapToGrid w:val="0"/>
        <w:spacing w:line="600" w:lineRule="exact"/>
        <w:ind w:firstLine="602" w:firstLineChars="200"/>
        <w:outlineLvl w:val="1"/>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sym w:font="Wingdings" w:char="F0AB"/>
      </w:r>
      <w:r>
        <w:rPr>
          <w:rFonts w:hint="eastAsia" w:ascii="仿宋_GB2312" w:hAnsi="仿宋_GB2312" w:eastAsia="仿宋_GB2312" w:cs="仿宋_GB2312"/>
          <w:b/>
          <w:bCs/>
          <w:color w:val="000000"/>
          <w:sz w:val="30"/>
          <w:szCs w:val="30"/>
        </w:rPr>
        <w:t>十、响应文件的组成部分（响应文件本项资料如有不全，则作无效报价处理）</w:t>
      </w:r>
    </w:p>
    <w:p w14:paraId="609B1321">
      <w:pPr>
        <w:numPr>
          <w:ilvl w:val="0"/>
          <w:numId w:val="0"/>
        </w:numPr>
        <w:spacing w:line="360" w:lineRule="auto"/>
        <w:ind w:left="30" w:firstLine="6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1、</w:t>
      </w:r>
      <w:r>
        <w:rPr>
          <w:rFonts w:hint="eastAsia" w:ascii="仿宋_GB2312" w:hAnsi="仿宋_GB2312" w:eastAsia="仿宋_GB2312" w:cs="仿宋_GB2312"/>
          <w:color w:val="auto"/>
          <w:sz w:val="30"/>
          <w:szCs w:val="30"/>
          <w:highlight w:val="none"/>
        </w:rPr>
        <w:t>报价函（模板）及报价清单（清单自拟）（加盖公章）；</w:t>
      </w:r>
    </w:p>
    <w:p w14:paraId="0B52DF3F">
      <w:pPr>
        <w:numPr>
          <w:ilvl w:val="0"/>
          <w:numId w:val="0"/>
        </w:numPr>
        <w:spacing w:line="360" w:lineRule="auto"/>
        <w:ind w:left="30" w:firstLine="6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2、</w:t>
      </w:r>
      <w:r>
        <w:rPr>
          <w:rFonts w:hint="eastAsia" w:ascii="仿宋_GB2312" w:hAnsi="仿宋_GB2312" w:eastAsia="仿宋_GB2312" w:cs="仿宋_GB2312"/>
          <w:color w:val="auto"/>
          <w:sz w:val="30"/>
          <w:szCs w:val="30"/>
          <w:highlight w:val="none"/>
          <w:lang w:eastAsia="zh-CN"/>
        </w:rPr>
        <w:t>报价人营业执照复印件或《事业单位法人证书》复印件或其他主体证书复印件（加盖公章）；</w:t>
      </w:r>
    </w:p>
    <w:p w14:paraId="07B39A5C">
      <w:pPr>
        <w:numPr>
          <w:ilvl w:val="0"/>
          <w:numId w:val="0"/>
        </w:numPr>
        <w:spacing w:line="360" w:lineRule="auto"/>
        <w:ind w:left="30" w:firstLine="6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3、</w:t>
      </w:r>
      <w:r>
        <w:rPr>
          <w:rFonts w:hint="eastAsia" w:ascii="仿宋_GB2312" w:hAnsi="仿宋_GB2312" w:eastAsia="仿宋_GB2312" w:cs="仿宋_GB2312"/>
          <w:color w:val="auto"/>
          <w:sz w:val="30"/>
          <w:szCs w:val="30"/>
          <w:highlight w:val="none"/>
          <w:lang w:val="en-US" w:eastAsia="zh-CN"/>
        </w:rPr>
        <w:t>法定代表人身份</w:t>
      </w:r>
      <w:r>
        <w:rPr>
          <w:rFonts w:hint="eastAsia" w:ascii="仿宋_GB2312" w:hAnsi="仿宋_GB2312" w:eastAsia="仿宋_GB2312" w:cs="仿宋_GB2312"/>
          <w:color w:val="auto"/>
          <w:sz w:val="30"/>
          <w:szCs w:val="30"/>
          <w:highlight w:val="none"/>
        </w:rPr>
        <w:t>证明（模板）以及</w:t>
      </w:r>
      <w:r>
        <w:rPr>
          <w:rFonts w:hint="eastAsia" w:ascii="仿宋_GB2312" w:hAnsi="仿宋_GB2312" w:eastAsia="仿宋_GB2312" w:cs="仿宋_GB2312"/>
          <w:color w:val="auto"/>
          <w:sz w:val="30"/>
          <w:szCs w:val="30"/>
          <w:highlight w:val="none"/>
          <w:lang w:val="en-US" w:eastAsia="zh-CN"/>
        </w:rPr>
        <w:t>法定代表人</w:t>
      </w:r>
      <w:r>
        <w:rPr>
          <w:rFonts w:hint="eastAsia" w:ascii="仿宋_GB2312" w:hAnsi="仿宋_GB2312" w:eastAsia="仿宋_GB2312" w:cs="仿宋_GB2312"/>
          <w:color w:val="auto"/>
          <w:sz w:val="30"/>
          <w:szCs w:val="30"/>
          <w:highlight w:val="none"/>
        </w:rPr>
        <w:t>身份证复印件（加盖公章）；</w:t>
      </w:r>
    </w:p>
    <w:p w14:paraId="2C1BC8F7">
      <w:pPr>
        <w:numPr>
          <w:ilvl w:val="0"/>
          <w:numId w:val="2"/>
        </w:numPr>
        <w:spacing w:line="360" w:lineRule="auto"/>
        <w:ind w:left="30" w:firstLine="600"/>
        <w:outlineLvl w:val="1"/>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highlight w:val="none"/>
        </w:rPr>
        <w:t>法人授权书（模板）及被委托人身份证复印件（加盖公章）（法</w:t>
      </w:r>
      <w:r>
        <w:rPr>
          <w:rFonts w:hint="eastAsia" w:ascii="仿宋_GB2312" w:hAnsi="仿宋_GB2312" w:eastAsia="仿宋_GB2312" w:cs="仿宋_GB2312"/>
          <w:color w:val="auto"/>
          <w:sz w:val="30"/>
          <w:szCs w:val="30"/>
          <w:highlight w:val="none"/>
          <w:lang w:val="en-US" w:eastAsia="zh-CN"/>
        </w:rPr>
        <w:t>定代表</w:t>
      </w:r>
      <w:r>
        <w:rPr>
          <w:rFonts w:hint="eastAsia" w:ascii="仿宋_GB2312" w:hAnsi="仿宋_GB2312" w:eastAsia="仿宋_GB2312" w:cs="仿宋_GB2312"/>
          <w:color w:val="auto"/>
          <w:sz w:val="30"/>
          <w:szCs w:val="30"/>
          <w:highlight w:val="none"/>
        </w:rPr>
        <w:t>人本人参加报价活动不需提供）；</w:t>
      </w:r>
    </w:p>
    <w:p w14:paraId="0556C0EA">
      <w:pPr>
        <w:numPr>
          <w:ilvl w:val="0"/>
          <w:numId w:val="0"/>
        </w:numPr>
        <w:spacing w:line="360" w:lineRule="auto"/>
        <w:ind w:left="30" w:firstLine="6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5、</w:t>
      </w:r>
      <w:r>
        <w:rPr>
          <w:rFonts w:hint="eastAsia" w:ascii="仿宋_GB2312" w:hAnsi="仿宋_GB2312" w:eastAsia="仿宋_GB2312" w:cs="仿宋_GB2312"/>
          <w:color w:val="auto"/>
          <w:sz w:val="30"/>
          <w:szCs w:val="30"/>
          <w:highlight w:val="none"/>
          <w:lang w:val="en-US" w:eastAsia="zh-CN"/>
        </w:rPr>
        <w:t>承诺函</w:t>
      </w:r>
      <w:r>
        <w:rPr>
          <w:rFonts w:hint="eastAsia" w:ascii="仿宋_GB2312" w:hAnsi="仿宋_GB2312" w:eastAsia="仿宋_GB2312" w:cs="仿宋_GB2312"/>
          <w:color w:val="auto"/>
          <w:sz w:val="30"/>
          <w:szCs w:val="30"/>
          <w:highlight w:val="none"/>
        </w:rPr>
        <w:t>（加盖公章）；</w:t>
      </w:r>
    </w:p>
    <w:p w14:paraId="6AB9A646">
      <w:pPr>
        <w:numPr>
          <w:ilvl w:val="0"/>
          <w:numId w:val="0"/>
        </w:numPr>
        <w:spacing w:line="360" w:lineRule="auto"/>
        <w:ind w:left="30" w:firstLine="6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6、</w:t>
      </w:r>
      <w:r>
        <w:rPr>
          <w:rFonts w:hint="eastAsia" w:ascii="仿宋_GB2312" w:hAnsi="仿宋_GB2312" w:eastAsia="仿宋_GB2312" w:cs="仿宋_GB2312"/>
          <w:color w:val="auto"/>
          <w:sz w:val="30"/>
          <w:szCs w:val="30"/>
          <w:highlight w:val="none"/>
        </w:rPr>
        <w:t>报价截止日前6个月内任意1个月依法缴纳税收和无欠税证明的材料。如依法免税的，须提供相应证明材料。（提供相应证明材料加盖公章）；</w:t>
      </w:r>
    </w:p>
    <w:p w14:paraId="1DEC87F8">
      <w:pPr>
        <w:widowControl/>
        <w:numPr>
          <w:ilvl w:val="0"/>
          <w:numId w:val="0"/>
        </w:numPr>
        <w:spacing w:line="360" w:lineRule="auto"/>
        <w:ind w:left="30" w:firstLine="6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7、</w:t>
      </w:r>
      <w:r>
        <w:rPr>
          <w:rFonts w:hint="eastAsia" w:ascii="仿宋_GB2312" w:hAnsi="仿宋_GB2312" w:eastAsia="仿宋_GB2312" w:cs="仿宋_GB2312"/>
          <w:color w:val="auto"/>
          <w:sz w:val="30"/>
          <w:szCs w:val="30"/>
          <w:highlight w:val="none"/>
        </w:rPr>
        <w:t>在经营活动中没有重大违法记录的书面声明（模板，详见附件）（加盖公章）；</w:t>
      </w:r>
    </w:p>
    <w:p w14:paraId="38B61EE2">
      <w:pPr>
        <w:numPr>
          <w:ilvl w:val="0"/>
          <w:numId w:val="0"/>
        </w:numPr>
        <w:spacing w:line="360" w:lineRule="auto"/>
        <w:ind w:left="30" w:firstLine="6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8、</w:t>
      </w:r>
      <w:r>
        <w:rPr>
          <w:rFonts w:hint="eastAsia" w:ascii="仿宋_GB2312" w:hAnsi="仿宋_GB2312" w:eastAsia="仿宋_GB2312" w:cs="仿宋_GB2312"/>
          <w:color w:val="auto"/>
          <w:sz w:val="30"/>
          <w:szCs w:val="30"/>
          <w:highlight w:val="none"/>
        </w:rPr>
        <w:t>本项目</w:t>
      </w:r>
      <w:r>
        <w:rPr>
          <w:rFonts w:hint="eastAsia" w:ascii="仿宋_GB2312" w:hAnsi="仿宋_GB2312" w:eastAsia="仿宋_GB2312" w:cs="仿宋_GB2312"/>
          <w:color w:val="auto"/>
          <w:sz w:val="30"/>
          <w:szCs w:val="30"/>
          <w:highlight w:val="none"/>
          <w:lang w:val="en-US" w:eastAsia="zh-CN"/>
        </w:rPr>
        <w:t>采购</w:t>
      </w:r>
      <w:r>
        <w:rPr>
          <w:rFonts w:hint="eastAsia" w:ascii="仿宋_GB2312" w:hAnsi="仿宋_GB2312" w:eastAsia="仿宋_GB2312" w:cs="仿宋_GB2312"/>
          <w:color w:val="auto"/>
          <w:sz w:val="30"/>
          <w:szCs w:val="30"/>
          <w:highlight w:val="none"/>
        </w:rPr>
        <w:t>文件要求或</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认为应补充的其他资料（如有）。</w:t>
      </w:r>
    </w:p>
    <w:p w14:paraId="7BEDBA5D">
      <w:pPr>
        <w:numPr>
          <w:ilvl w:val="-1"/>
          <w:numId w:val="0"/>
        </w:numPr>
        <w:spacing w:line="360" w:lineRule="auto"/>
        <w:ind w:firstLine="602" w:firstLineChars="200"/>
        <w:outlineLvl w:val="1"/>
        <w:rPr>
          <w:rFonts w:hint="eastAsia" w:ascii="仿宋_GB2312" w:hAnsi="仿宋_GB2312" w:eastAsia="仿宋_GB2312" w:cs="仿宋_GB2312"/>
          <w:b/>
          <w:bCs/>
          <w:i w:val="0"/>
          <w:iCs w:val="0"/>
          <w:caps w:val="0"/>
          <w:color w:val="auto"/>
          <w:spacing w:val="0"/>
          <w:sz w:val="30"/>
          <w:szCs w:val="30"/>
          <w:highlight w:val="none"/>
        </w:rPr>
      </w:pPr>
      <w:r>
        <w:rPr>
          <w:rFonts w:hint="eastAsia" w:ascii="仿宋_GB2312" w:hAnsi="仿宋_GB2312" w:eastAsia="仿宋_GB2312" w:cs="仿宋_GB2312"/>
          <w:b/>
          <w:bCs/>
          <w:i w:val="0"/>
          <w:iCs w:val="0"/>
          <w:caps w:val="0"/>
          <w:color w:val="auto"/>
          <w:spacing w:val="0"/>
          <w:sz w:val="30"/>
          <w:szCs w:val="30"/>
          <w:highlight w:val="none"/>
        </w:rPr>
        <w:t>★十</w:t>
      </w:r>
      <w:r>
        <w:rPr>
          <w:rFonts w:hint="eastAsia" w:ascii="仿宋_GB2312" w:hAnsi="仿宋_GB2312" w:eastAsia="仿宋_GB2312" w:cs="仿宋_GB2312"/>
          <w:b/>
          <w:bCs/>
          <w:i w:val="0"/>
          <w:iCs w:val="0"/>
          <w:caps w:val="0"/>
          <w:color w:val="auto"/>
          <w:spacing w:val="0"/>
          <w:sz w:val="30"/>
          <w:szCs w:val="30"/>
          <w:highlight w:val="none"/>
          <w:lang w:val="en-US" w:eastAsia="zh-CN"/>
        </w:rPr>
        <w:t>一</w:t>
      </w:r>
      <w:r>
        <w:rPr>
          <w:rFonts w:hint="eastAsia" w:ascii="仿宋_GB2312" w:hAnsi="仿宋_GB2312" w:eastAsia="仿宋_GB2312" w:cs="仿宋_GB2312"/>
          <w:b/>
          <w:bCs/>
          <w:i w:val="0"/>
          <w:iCs w:val="0"/>
          <w:caps w:val="0"/>
          <w:color w:val="auto"/>
          <w:spacing w:val="0"/>
          <w:sz w:val="30"/>
          <w:szCs w:val="30"/>
          <w:highlight w:val="none"/>
        </w:rPr>
        <w:t>、响应要求</w:t>
      </w:r>
    </w:p>
    <w:p w14:paraId="5253F7DE">
      <w:pPr>
        <w:numPr>
          <w:ilvl w:val="-1"/>
          <w:numId w:val="0"/>
        </w:numPr>
        <w:spacing w:line="360" w:lineRule="auto"/>
        <w:ind w:firstLine="602" w:firstLineChars="200"/>
        <w:outlineLvl w:val="1"/>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本项目实行线上报价方式，报价人需严格按照要求进行报价</w:t>
      </w:r>
      <w:r>
        <w:rPr>
          <w:rFonts w:hint="eastAsia" w:ascii="仿宋_GB2312" w:hAnsi="仿宋_GB2312" w:eastAsia="仿宋_GB2312" w:cs="仿宋_GB2312"/>
          <w:b w:val="0"/>
          <w:bCs w:val="0"/>
          <w:color w:val="auto"/>
          <w:sz w:val="30"/>
          <w:szCs w:val="30"/>
          <w:highlight w:val="none"/>
          <w:lang w:val="en-US" w:eastAsia="zh-CN"/>
        </w:rPr>
        <w:t>。</w:t>
      </w:r>
    </w:p>
    <w:p w14:paraId="45B7CE27">
      <w:pPr>
        <w:pStyle w:val="5"/>
        <w:numPr>
          <w:ilvl w:val="0"/>
          <w:numId w:val="3"/>
        </w:numPr>
        <w:ind w:firstLine="42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线上报价</w:t>
      </w:r>
    </w:p>
    <w:p w14:paraId="4FF76951">
      <w:pPr>
        <w:pStyle w:val="5"/>
        <w:numPr>
          <w:ilvl w:val="-1"/>
          <w:numId w:val="0"/>
        </w:numPr>
        <w:ind w:left="420" w:firstLine="300" w:firstLineChars="1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平台登录：广东东实环境股份有限公司官网（http://dshuanbao.com.cn/）→招标采购→招采平台→供应商注册→填写（点击下一步，完善供应商信息）→注册成功→返回招采平台主界面登录→投标。（详见东实环境招采平台门户https://pur.yonyou.com/GDDSE“帮助中心”板块的文件《供应商投标操作指引》）</w:t>
      </w:r>
    </w:p>
    <w:p w14:paraId="2555BBD6">
      <w:pPr>
        <w:pStyle w:val="5"/>
        <w:numPr>
          <w:ilvl w:val="-1"/>
          <w:numId w:val="0"/>
        </w:numPr>
        <w:spacing w:line="360" w:lineRule="auto"/>
        <w:ind w:left="420" w:firstLine="300" w:firstLineChars="1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2.→报价人须严格按照系统提示要求提供资料并进行报价（报价文件的组成部分详见本文件第十条）。</w:t>
      </w:r>
    </w:p>
    <w:p w14:paraId="0DC99D12">
      <w:pPr>
        <w:pStyle w:val="5"/>
        <w:numPr>
          <w:ilvl w:val="0"/>
          <w:numId w:val="3"/>
        </w:numPr>
        <w:ind w:firstLine="42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报价文件编制要求：</w:t>
      </w:r>
    </w:p>
    <w:p w14:paraId="0C4ED26A">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须严格按照招标平台采购人提供的表单格式及要求报价</w:t>
      </w:r>
      <w:r>
        <w:rPr>
          <w:rFonts w:hint="eastAsia" w:ascii="仿宋_GB2312" w:hAnsi="仿宋_GB2312" w:eastAsia="仿宋_GB2312" w:cs="仿宋_GB2312"/>
          <w:color w:val="auto"/>
          <w:sz w:val="30"/>
          <w:szCs w:val="30"/>
          <w:highlight w:val="none"/>
          <w:lang w:val="en-US" w:eastAsia="zh-CN"/>
        </w:rPr>
        <w:t>（报价文件的组成部分详见本文件第十条）</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b/>
          <w:bCs/>
          <w:color w:val="auto"/>
          <w:sz w:val="30"/>
          <w:szCs w:val="30"/>
          <w:highlight w:val="none"/>
        </w:rPr>
        <w:t>响应文件必须每页加盖公章</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bCs/>
          <w:color w:val="auto"/>
          <w:sz w:val="30"/>
          <w:szCs w:val="30"/>
          <w:highlight w:val="none"/>
        </w:rPr>
        <w:t>以PDF形式上传到线上招采平台</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lang w:val="en-US" w:eastAsia="zh-CN"/>
        </w:rPr>
        <w:t>PDF需为彩色盖章扫描件</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rPr>
        <w:t>。</w:t>
      </w:r>
    </w:p>
    <w:p w14:paraId="6D217615">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2、报价文件必须按要求加密。</w:t>
      </w:r>
    </w:p>
    <w:p w14:paraId="00936ADA">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3、不符合本项要求的报价文件为</w:t>
      </w:r>
      <w:r>
        <w:rPr>
          <w:rFonts w:hint="eastAsia" w:ascii="仿宋_GB2312" w:hAnsi="仿宋_GB2312" w:eastAsia="仿宋_GB2312" w:cs="仿宋_GB2312"/>
          <w:b w:val="0"/>
          <w:bCs w:val="0"/>
          <w:color w:val="auto"/>
          <w:sz w:val="30"/>
          <w:szCs w:val="30"/>
          <w:highlight w:val="none"/>
        </w:rPr>
        <w:t>无效报价</w:t>
      </w:r>
      <w:r>
        <w:rPr>
          <w:rFonts w:hint="eastAsia" w:ascii="仿宋_GB2312" w:hAnsi="仿宋_GB2312" w:eastAsia="仿宋_GB2312" w:cs="仿宋_GB2312"/>
          <w:color w:val="auto"/>
          <w:sz w:val="30"/>
          <w:szCs w:val="30"/>
          <w:highlight w:val="none"/>
        </w:rPr>
        <w:t>。</w:t>
      </w:r>
    </w:p>
    <w:p w14:paraId="0DEC6342">
      <w:pPr>
        <w:numPr>
          <w:ilvl w:val="-1"/>
          <w:numId w:val="0"/>
        </w:numPr>
        <w:spacing w:line="360" w:lineRule="auto"/>
        <w:ind w:firstLine="602" w:firstLineChars="200"/>
        <w:outlineLvl w:val="1"/>
        <w:rPr>
          <w:rFonts w:hint="eastAsia" w:ascii="仿宋_GB2312" w:hAnsi="仿宋_GB2312" w:eastAsia="仿宋_GB2312" w:cs="仿宋_GB2312"/>
          <w:b/>
          <w:bCs/>
          <w:i w:val="0"/>
          <w:iCs w:val="0"/>
          <w:caps w:val="0"/>
          <w:color w:val="auto"/>
          <w:spacing w:val="0"/>
          <w:sz w:val="30"/>
          <w:szCs w:val="30"/>
          <w:highlight w:val="none"/>
          <w:lang w:val="en-US" w:eastAsia="zh-CN"/>
        </w:rPr>
      </w:pPr>
      <w:r>
        <w:rPr>
          <w:rFonts w:hint="eastAsia" w:ascii="仿宋_GB2312" w:hAnsi="仿宋_GB2312" w:eastAsia="仿宋_GB2312" w:cs="仿宋_GB2312"/>
          <w:b/>
          <w:bCs/>
          <w:i w:val="0"/>
          <w:iCs w:val="0"/>
          <w:caps w:val="0"/>
          <w:color w:val="auto"/>
          <w:spacing w:val="0"/>
          <w:sz w:val="30"/>
          <w:szCs w:val="30"/>
          <w:highlight w:val="none"/>
          <w:lang w:val="en-US" w:eastAsia="zh-CN"/>
        </w:rPr>
        <w:t>十二、</w:t>
      </w:r>
      <w:r>
        <w:rPr>
          <w:rFonts w:hint="eastAsia" w:ascii="仿宋_GB2312" w:hAnsi="仿宋_GB2312" w:eastAsia="仿宋_GB2312" w:cs="仿宋_GB2312"/>
          <w:b/>
          <w:bCs/>
          <w:i w:val="0"/>
          <w:iCs w:val="0"/>
          <w:caps w:val="0"/>
          <w:color w:val="auto"/>
          <w:spacing w:val="0"/>
          <w:sz w:val="30"/>
          <w:szCs w:val="30"/>
          <w:highlight w:val="none"/>
        </w:rPr>
        <w:t>保证金金额及缴纳方式</w:t>
      </w:r>
    </w:p>
    <w:p w14:paraId="55D19BFC">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开标结束，成交人需在收到结果确认函后缴存</w:t>
      </w:r>
      <w:r>
        <w:rPr>
          <w:rFonts w:hint="eastAsia" w:ascii="仿宋_GB2312" w:hAnsi="仿宋_GB2312" w:eastAsia="仿宋_GB2312" w:cs="仿宋_GB2312"/>
          <w:color w:val="auto"/>
          <w:sz w:val="30"/>
          <w:szCs w:val="30"/>
          <w:highlight w:val="none"/>
          <w:lang w:val="en-US" w:eastAsia="zh-CN"/>
        </w:rPr>
        <w:t>¥1,198.00元（限价2%）</w:t>
      </w:r>
      <w:r>
        <w:rPr>
          <w:rFonts w:hint="eastAsia" w:ascii="仿宋_GB2312" w:hAnsi="仿宋_GB2312" w:eastAsia="仿宋_GB2312" w:cs="仿宋_GB2312"/>
          <w:color w:val="auto"/>
          <w:sz w:val="30"/>
          <w:szCs w:val="30"/>
          <w:highlight w:val="none"/>
        </w:rPr>
        <w:t>的报价保证金到</w:t>
      </w:r>
      <w:r>
        <w:rPr>
          <w:rFonts w:hint="eastAsia" w:ascii="仿宋_GB2312" w:hAnsi="仿宋_GB2312" w:eastAsia="仿宋_GB2312" w:cs="仿宋_GB2312"/>
          <w:color w:val="auto"/>
          <w:sz w:val="30"/>
          <w:szCs w:val="30"/>
          <w:highlight w:val="none"/>
          <w:lang w:eastAsia="zh-CN"/>
        </w:rPr>
        <w:t>东莞市东凤环境服务有限公司（成交人与缴纳人名称必须一致，不接受个人名义转账）。</w:t>
      </w:r>
      <w:r>
        <w:rPr>
          <w:rFonts w:hint="eastAsia" w:ascii="仿宋_GB2312" w:hAnsi="仿宋_GB2312" w:eastAsia="仿宋_GB2312" w:cs="仿宋_GB2312"/>
          <w:color w:val="auto"/>
          <w:sz w:val="30"/>
          <w:szCs w:val="30"/>
          <w:highlight w:val="none"/>
        </w:rPr>
        <w:t>报价保证金在双方签订合同后转为履约保证金，作为成交人在</w:t>
      </w:r>
      <w:r>
        <w:rPr>
          <w:rFonts w:hint="eastAsia" w:ascii="仿宋_GB2312" w:hAnsi="仿宋_GB2312" w:eastAsia="仿宋_GB2312" w:cs="仿宋_GB2312"/>
          <w:color w:val="auto"/>
          <w:sz w:val="30"/>
          <w:szCs w:val="30"/>
          <w:highlight w:val="none"/>
          <w:lang w:val="en-US" w:eastAsia="zh-CN"/>
        </w:rPr>
        <w:t>本项目</w:t>
      </w:r>
      <w:r>
        <w:rPr>
          <w:rFonts w:hint="eastAsia" w:ascii="仿宋_GB2312" w:hAnsi="仿宋_GB2312" w:eastAsia="仿宋_GB2312" w:cs="仿宋_GB2312"/>
          <w:color w:val="auto"/>
          <w:sz w:val="30"/>
          <w:szCs w:val="30"/>
          <w:highlight w:val="none"/>
        </w:rPr>
        <w:t>履约过程中违约金或罚款的扣罚来源之一。</w:t>
      </w:r>
      <w:r>
        <w:rPr>
          <w:rFonts w:hint="eastAsia" w:ascii="仿宋_GB2312" w:hAnsi="仿宋_GB2312" w:eastAsia="仿宋_GB2312" w:cs="仿宋_GB2312"/>
          <w:color w:val="auto"/>
          <w:sz w:val="30"/>
          <w:szCs w:val="30"/>
          <w:highlight w:val="none"/>
          <w:lang w:eastAsia="zh-CN"/>
        </w:rPr>
        <w:t>履约保证金申请返还时间为所有货物质保期满之日，成交人没有任何违约的情况下由成交人提交退款申请，收到成交人申请后30个日历</w:t>
      </w:r>
      <w:r>
        <w:rPr>
          <w:rFonts w:hint="eastAsia" w:ascii="仿宋_GB2312" w:hAnsi="仿宋_GB2312" w:eastAsia="仿宋_GB2312" w:cs="仿宋_GB2312"/>
          <w:color w:val="auto"/>
          <w:sz w:val="30"/>
          <w:szCs w:val="30"/>
          <w:highlight w:val="none"/>
          <w:lang w:val="en-US" w:eastAsia="zh-CN"/>
        </w:rPr>
        <w:t>日内</w:t>
      </w:r>
      <w:r>
        <w:rPr>
          <w:rFonts w:hint="eastAsia" w:ascii="仿宋_GB2312" w:hAnsi="仿宋_GB2312" w:eastAsia="仿宋_GB2312" w:cs="仿宋_GB2312"/>
          <w:color w:val="auto"/>
          <w:sz w:val="30"/>
          <w:szCs w:val="30"/>
          <w:highlight w:val="none"/>
          <w:lang w:eastAsia="zh-CN"/>
        </w:rPr>
        <w:t>，采购人一次性无息退回。</w:t>
      </w:r>
    </w:p>
    <w:p w14:paraId="7B2AAEAE">
      <w:pPr>
        <w:spacing w:line="360" w:lineRule="auto"/>
        <w:ind w:firstLine="0" w:firstLineChars="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报价保证金收款账户信息：</w:t>
      </w:r>
    </w:p>
    <w:p w14:paraId="72EFDDE9">
      <w:pPr>
        <w:spacing w:line="360" w:lineRule="auto"/>
        <w:ind w:firstLine="600" w:firstLineChars="20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账</w:t>
      </w:r>
      <w:r>
        <w:rPr>
          <w:rFonts w:hint="eastAsia" w:ascii="仿宋_GB2312" w:hAnsi="仿宋_GB2312" w:eastAsia="仿宋_GB2312" w:cs="仿宋_GB2312"/>
          <w:color w:val="auto"/>
          <w:sz w:val="30"/>
          <w:szCs w:val="30"/>
          <w:highlight w:val="none"/>
        </w:rPr>
        <w:t>户名称：</w:t>
      </w:r>
      <w:r>
        <w:rPr>
          <w:rFonts w:hint="eastAsia" w:ascii="仿宋_GB2312" w:hAnsi="仿宋_GB2312" w:eastAsia="仿宋_GB2312" w:cs="仿宋_GB2312"/>
          <w:color w:val="auto"/>
          <w:sz w:val="30"/>
          <w:szCs w:val="30"/>
          <w:highlight w:val="none"/>
          <w:lang w:eastAsia="zh-CN"/>
        </w:rPr>
        <w:t>东莞市东凤环境服务有限公司</w:t>
      </w:r>
    </w:p>
    <w:p w14:paraId="7A608760">
      <w:pPr>
        <w:spacing w:line="360" w:lineRule="auto"/>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开户银行：</w:t>
      </w:r>
      <w:r>
        <w:rPr>
          <w:rFonts w:hint="eastAsia" w:ascii="仿宋_GB2312" w:hAnsi="仿宋_GB2312" w:eastAsia="仿宋_GB2312" w:cs="仿宋_GB2312"/>
          <w:color w:val="auto"/>
          <w:sz w:val="30"/>
          <w:szCs w:val="30"/>
          <w:highlight w:val="none"/>
          <w:lang w:eastAsia="zh-CN"/>
        </w:rPr>
        <w:t>中信银行股份有限公司东莞凤岗支行</w:t>
      </w:r>
    </w:p>
    <w:p w14:paraId="14CBED3F">
      <w:pPr>
        <w:spacing w:line="360" w:lineRule="auto"/>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银行</w:t>
      </w:r>
      <w:r>
        <w:rPr>
          <w:rFonts w:hint="eastAsia" w:ascii="仿宋_GB2312" w:hAnsi="仿宋_GB2312" w:eastAsia="仿宋_GB2312" w:cs="仿宋_GB2312"/>
          <w:color w:val="auto"/>
          <w:sz w:val="30"/>
          <w:szCs w:val="30"/>
          <w:highlight w:val="none"/>
          <w:lang w:val="en-US" w:eastAsia="zh-CN"/>
        </w:rPr>
        <w:t>账</w:t>
      </w:r>
      <w:r>
        <w:rPr>
          <w:rFonts w:hint="eastAsia" w:ascii="仿宋_GB2312" w:hAnsi="仿宋_GB2312" w:eastAsia="仿宋_GB2312" w:cs="仿宋_GB2312"/>
          <w:color w:val="auto"/>
          <w:sz w:val="30"/>
          <w:szCs w:val="30"/>
          <w:highlight w:val="none"/>
        </w:rPr>
        <w:t>号：</w:t>
      </w:r>
      <w:r>
        <w:rPr>
          <w:rFonts w:hint="eastAsia" w:ascii="仿宋_GB2312" w:hAnsi="仿宋_GB2312" w:eastAsia="仿宋_GB2312" w:cs="仿宋_GB2312"/>
          <w:color w:val="auto"/>
          <w:sz w:val="30"/>
          <w:szCs w:val="30"/>
          <w:highlight w:val="none"/>
          <w:lang w:eastAsia="zh-CN"/>
        </w:rPr>
        <w:t>8110901012401734041</w:t>
      </w:r>
    </w:p>
    <w:p w14:paraId="7865BAA0">
      <w:pPr>
        <w:numPr>
          <w:ilvl w:val="-1"/>
          <w:numId w:val="0"/>
        </w:numPr>
        <w:spacing w:line="360" w:lineRule="auto"/>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如因成交人</w:t>
      </w:r>
      <w:r>
        <w:rPr>
          <w:rFonts w:hint="eastAsia" w:ascii="仿宋_GB2312" w:hAnsi="仿宋_GB2312" w:eastAsia="仿宋_GB2312" w:cs="仿宋_GB2312"/>
          <w:sz w:val="30"/>
          <w:szCs w:val="30"/>
          <w:highlight w:val="none"/>
        </w:rPr>
        <w:t>报价保证金汇错账号或不足额均作无效处理</w:t>
      </w:r>
      <w:r>
        <w:rPr>
          <w:rFonts w:hint="eastAsia" w:ascii="仿宋_GB2312" w:hAnsi="仿宋_GB2312" w:eastAsia="仿宋_GB2312" w:cs="仿宋_GB2312"/>
          <w:sz w:val="30"/>
          <w:szCs w:val="30"/>
          <w:highlight w:val="none"/>
          <w:lang w:eastAsia="zh-CN"/>
        </w:rPr>
        <w:t>。</w:t>
      </w:r>
    </w:p>
    <w:p w14:paraId="34ADD464">
      <w:pPr>
        <w:pStyle w:val="5"/>
        <w:ind w:firstLine="6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十</w:t>
      </w:r>
      <w:r>
        <w:rPr>
          <w:rFonts w:hint="eastAsia" w:ascii="仿宋_GB2312" w:hAnsi="仿宋_GB2312" w:eastAsia="仿宋_GB2312" w:cs="仿宋_GB2312"/>
          <w:b/>
          <w:bCs/>
          <w:color w:val="auto"/>
          <w:sz w:val="30"/>
          <w:szCs w:val="30"/>
          <w:lang w:val="en-US" w:eastAsia="zh-CN"/>
        </w:rPr>
        <w:t>三</w:t>
      </w:r>
      <w:r>
        <w:rPr>
          <w:rFonts w:hint="eastAsia" w:ascii="仿宋_GB2312" w:hAnsi="仿宋_GB2312" w:eastAsia="仿宋_GB2312" w:cs="仿宋_GB2312"/>
          <w:b/>
          <w:bCs/>
          <w:color w:val="auto"/>
          <w:sz w:val="30"/>
          <w:szCs w:val="30"/>
        </w:rPr>
        <w:t>、开标时间及地址</w:t>
      </w:r>
    </w:p>
    <w:p w14:paraId="529D8D67">
      <w:pPr>
        <w:spacing w:line="360" w:lineRule="auto"/>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开标时间：202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日（星期</w:t>
      </w:r>
      <w:r>
        <w:rPr>
          <w:rFonts w:hint="eastAsia" w:ascii="仿宋_GB2312" w:hAnsi="仿宋_GB2312" w:eastAsia="仿宋_GB2312" w:cs="仿宋_GB2312"/>
          <w:color w:val="auto"/>
          <w:sz w:val="30"/>
          <w:szCs w:val="30"/>
          <w:highlight w:val="none"/>
          <w:lang w:val="en-US" w:eastAsia="zh-CN"/>
        </w:rPr>
        <w:t>三</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上</w:t>
      </w:r>
      <w:r>
        <w:rPr>
          <w:rFonts w:hint="eastAsia" w:ascii="仿宋_GB2312" w:hAnsi="仿宋_GB2312" w:eastAsia="仿宋_GB2312" w:cs="仿宋_GB2312"/>
          <w:color w:val="auto"/>
          <w:sz w:val="30"/>
          <w:szCs w:val="30"/>
          <w:highlight w:val="none"/>
        </w:rPr>
        <w:t>午</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0。</w:t>
      </w:r>
    </w:p>
    <w:p w14:paraId="363DF614">
      <w:pPr>
        <w:keepNext w:val="0"/>
        <w:keepLines w:val="0"/>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开标地址：广东东实环境股份有限公司线上招采平台。</w:t>
      </w:r>
    </w:p>
    <w:p w14:paraId="09C85CE9">
      <w:pPr>
        <w:spacing w:line="360" w:lineRule="auto"/>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联系人：</w:t>
      </w:r>
      <w:r>
        <w:rPr>
          <w:rFonts w:hint="eastAsia" w:ascii="仿宋_GB2312" w:hAnsi="仿宋_GB2312" w:eastAsia="仿宋_GB2312" w:cs="仿宋_GB2312"/>
          <w:color w:val="auto"/>
          <w:sz w:val="30"/>
          <w:szCs w:val="30"/>
          <w:highlight w:val="none"/>
        </w:rPr>
        <w:t>梁</w:t>
      </w:r>
      <w:r>
        <w:rPr>
          <w:rFonts w:hint="eastAsia" w:ascii="仿宋_GB2312" w:hAnsi="仿宋_GB2312" w:eastAsia="仿宋_GB2312" w:cs="仿宋_GB2312"/>
          <w:color w:val="auto"/>
          <w:sz w:val="30"/>
          <w:szCs w:val="30"/>
          <w:highlight w:val="none"/>
          <w:lang w:val="en-US" w:eastAsia="zh-CN"/>
        </w:rPr>
        <w:t>先生</w:t>
      </w:r>
    </w:p>
    <w:p w14:paraId="609F3BBF">
      <w:pPr>
        <w:spacing w:line="360" w:lineRule="auto"/>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联系电话：</w:t>
      </w:r>
      <w:r>
        <w:rPr>
          <w:rFonts w:hint="eastAsia" w:ascii="仿宋_GB2312" w:hAnsi="仿宋_GB2312" w:eastAsia="仿宋_GB2312" w:cs="仿宋_GB2312"/>
          <w:color w:val="auto"/>
          <w:sz w:val="30"/>
          <w:szCs w:val="30"/>
          <w:highlight w:val="none"/>
        </w:rPr>
        <w:t>13662979803</w:t>
      </w:r>
    </w:p>
    <w:p w14:paraId="0F83DACE">
      <w:pPr>
        <w:ind w:firstLine="602" w:firstLineChars="2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十</w:t>
      </w:r>
      <w:r>
        <w:rPr>
          <w:rFonts w:hint="eastAsia" w:ascii="仿宋_GB2312" w:hAnsi="仿宋_GB2312" w:eastAsia="仿宋_GB2312" w:cs="仿宋_GB2312"/>
          <w:b/>
          <w:bCs/>
          <w:color w:val="auto"/>
          <w:sz w:val="30"/>
          <w:szCs w:val="30"/>
          <w:lang w:val="en-US" w:eastAsia="zh-CN"/>
        </w:rPr>
        <w:t>四</w:t>
      </w:r>
      <w:r>
        <w:rPr>
          <w:rFonts w:hint="eastAsia" w:ascii="仿宋_GB2312" w:hAnsi="仿宋_GB2312" w:eastAsia="仿宋_GB2312" w:cs="仿宋_GB2312"/>
          <w:b/>
          <w:bCs/>
          <w:color w:val="auto"/>
          <w:sz w:val="30"/>
          <w:szCs w:val="30"/>
        </w:rPr>
        <w:t>、注意事项</w:t>
      </w:r>
    </w:p>
    <w:p w14:paraId="21BBABC6">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1、若</w:t>
      </w:r>
      <w:r>
        <w:rPr>
          <w:rFonts w:hint="eastAsia" w:ascii="仿宋_GB2312" w:hAnsi="仿宋_GB2312" w:eastAsia="仿宋_GB2312" w:cs="仿宋_GB2312"/>
          <w:color w:val="000000"/>
          <w:sz w:val="30"/>
          <w:szCs w:val="30"/>
          <w:lang w:val="en-US" w:eastAsia="zh-CN"/>
        </w:rPr>
        <w:t>报价人</w:t>
      </w:r>
      <w:r>
        <w:rPr>
          <w:rFonts w:hint="eastAsia" w:ascii="仿宋_GB2312" w:hAnsi="仿宋_GB2312" w:eastAsia="仿宋_GB2312" w:cs="仿宋_GB2312"/>
          <w:color w:val="000000"/>
          <w:sz w:val="30"/>
          <w:szCs w:val="30"/>
        </w:rPr>
        <w:t>未按规定时间进行线上</w:t>
      </w:r>
      <w:r>
        <w:rPr>
          <w:rFonts w:hint="eastAsia" w:ascii="仿宋_GB2312" w:hAnsi="仿宋_GB2312" w:eastAsia="仿宋_GB2312" w:cs="仿宋_GB2312"/>
          <w:color w:val="000000"/>
          <w:sz w:val="30"/>
          <w:szCs w:val="30"/>
          <w:lang w:val="en-US" w:eastAsia="zh-CN"/>
        </w:rPr>
        <w:t>响应</w:t>
      </w:r>
      <w:r>
        <w:rPr>
          <w:rFonts w:hint="eastAsia" w:ascii="仿宋_GB2312" w:hAnsi="仿宋_GB2312" w:eastAsia="仿宋_GB2312" w:cs="仿宋_GB2312"/>
          <w:color w:val="000000"/>
          <w:sz w:val="30"/>
          <w:szCs w:val="30"/>
        </w:rPr>
        <w:t>，视为放弃报价资格。</w:t>
      </w:r>
    </w:p>
    <w:p w14:paraId="76E1A6D6">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2、成交人如未按要求缴纳</w:t>
      </w:r>
      <w:r>
        <w:rPr>
          <w:rFonts w:hint="eastAsia" w:ascii="仿宋_GB2312" w:hAnsi="仿宋_GB2312" w:eastAsia="仿宋_GB2312" w:cs="仿宋_GB2312"/>
          <w:color w:val="000000"/>
          <w:sz w:val="30"/>
          <w:szCs w:val="30"/>
          <w:lang w:val="en-US" w:eastAsia="zh-CN"/>
        </w:rPr>
        <w:t>报价</w:t>
      </w:r>
      <w:r>
        <w:rPr>
          <w:rFonts w:hint="eastAsia" w:ascii="仿宋_GB2312" w:hAnsi="仿宋_GB2312" w:eastAsia="仿宋_GB2312" w:cs="仿宋_GB2312"/>
          <w:color w:val="000000"/>
          <w:sz w:val="30"/>
          <w:szCs w:val="30"/>
        </w:rPr>
        <w:t>保证金，则视为放弃中标资格。</w:t>
      </w:r>
    </w:p>
    <w:p w14:paraId="3E12D5E1">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3、采购人向</w:t>
      </w:r>
      <w:r>
        <w:rPr>
          <w:rFonts w:hint="eastAsia" w:ascii="仿宋_GB2312" w:hAnsi="仿宋_GB2312" w:eastAsia="仿宋_GB2312" w:cs="仿宋_GB2312"/>
          <w:color w:val="000000"/>
          <w:sz w:val="30"/>
          <w:szCs w:val="30"/>
          <w:lang w:val="en-US" w:eastAsia="zh-CN"/>
        </w:rPr>
        <w:t>报价人</w:t>
      </w:r>
      <w:r>
        <w:rPr>
          <w:rFonts w:hint="eastAsia" w:ascii="仿宋_GB2312" w:hAnsi="仿宋_GB2312" w:eastAsia="仿宋_GB2312" w:cs="仿宋_GB2312"/>
          <w:color w:val="000000"/>
          <w:sz w:val="30"/>
          <w:szCs w:val="30"/>
        </w:rPr>
        <w:t>提供的有关资料和数据，是采购人现有的能使</w:t>
      </w:r>
      <w:r>
        <w:rPr>
          <w:rFonts w:hint="eastAsia" w:ascii="仿宋_GB2312" w:hAnsi="仿宋_GB2312" w:eastAsia="仿宋_GB2312" w:cs="仿宋_GB2312"/>
          <w:color w:val="000000"/>
          <w:sz w:val="30"/>
          <w:szCs w:val="30"/>
          <w:lang w:val="en-US" w:eastAsia="zh-CN"/>
        </w:rPr>
        <w:t>报价人</w:t>
      </w:r>
      <w:r>
        <w:rPr>
          <w:rFonts w:hint="eastAsia" w:ascii="仿宋_GB2312" w:hAnsi="仿宋_GB2312" w:eastAsia="仿宋_GB2312" w:cs="仿宋_GB2312"/>
          <w:color w:val="000000"/>
          <w:sz w:val="30"/>
          <w:szCs w:val="30"/>
        </w:rPr>
        <w:t>利用的资料，采购人对</w:t>
      </w:r>
      <w:r>
        <w:rPr>
          <w:rFonts w:hint="eastAsia" w:ascii="仿宋_GB2312" w:hAnsi="仿宋_GB2312" w:eastAsia="仿宋_GB2312" w:cs="仿宋_GB2312"/>
          <w:color w:val="000000"/>
          <w:sz w:val="30"/>
          <w:szCs w:val="30"/>
          <w:lang w:val="en-US" w:eastAsia="zh-CN"/>
        </w:rPr>
        <w:t>报价人</w:t>
      </w:r>
      <w:r>
        <w:rPr>
          <w:rFonts w:hint="eastAsia" w:ascii="仿宋_GB2312" w:hAnsi="仿宋_GB2312" w:eastAsia="仿宋_GB2312" w:cs="仿宋_GB2312"/>
          <w:color w:val="000000"/>
          <w:sz w:val="30"/>
          <w:szCs w:val="30"/>
        </w:rPr>
        <w:t>由此而做出的推论、理解和结论概不负责。</w:t>
      </w:r>
    </w:p>
    <w:p w14:paraId="13FC8B97">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4、本项目执行过程中将遵循国家、省、市有关法律、法规、标准、技术规范和规范性文件的最新规定。</w:t>
      </w:r>
    </w:p>
    <w:p w14:paraId="036F7B0F">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5、本项目仅可提交一个</w:t>
      </w:r>
      <w:r>
        <w:rPr>
          <w:rFonts w:hint="eastAsia" w:ascii="仿宋_GB2312" w:hAnsi="仿宋_GB2312" w:eastAsia="仿宋_GB2312" w:cs="仿宋_GB2312"/>
          <w:color w:val="000000"/>
          <w:sz w:val="30"/>
          <w:szCs w:val="30"/>
          <w:lang w:val="en-US" w:eastAsia="zh-CN"/>
        </w:rPr>
        <w:t>响应</w:t>
      </w:r>
      <w:r>
        <w:rPr>
          <w:rFonts w:hint="eastAsia" w:ascii="仿宋_GB2312" w:hAnsi="仿宋_GB2312" w:eastAsia="仿宋_GB2312" w:cs="仿宋_GB2312"/>
          <w:color w:val="000000"/>
          <w:sz w:val="30"/>
          <w:szCs w:val="30"/>
        </w:rPr>
        <w:t>方案，提交两个或以上</w:t>
      </w:r>
      <w:r>
        <w:rPr>
          <w:rFonts w:hint="eastAsia" w:ascii="仿宋_GB2312" w:hAnsi="仿宋_GB2312" w:eastAsia="仿宋_GB2312" w:cs="仿宋_GB2312"/>
          <w:color w:val="000000"/>
          <w:sz w:val="30"/>
          <w:szCs w:val="30"/>
          <w:lang w:val="en-US" w:eastAsia="zh-CN"/>
        </w:rPr>
        <w:t>响应</w:t>
      </w:r>
      <w:r>
        <w:rPr>
          <w:rFonts w:hint="eastAsia" w:ascii="仿宋_GB2312" w:hAnsi="仿宋_GB2312" w:eastAsia="仿宋_GB2312" w:cs="仿宋_GB2312"/>
          <w:color w:val="000000"/>
          <w:sz w:val="30"/>
          <w:szCs w:val="30"/>
        </w:rPr>
        <w:t>方案的</w:t>
      </w:r>
      <w:r>
        <w:rPr>
          <w:rFonts w:hint="eastAsia" w:ascii="仿宋_GB2312" w:hAnsi="仿宋_GB2312" w:eastAsia="仿宋_GB2312" w:cs="仿宋_GB2312"/>
          <w:color w:val="000000"/>
          <w:sz w:val="30"/>
          <w:szCs w:val="30"/>
          <w:lang w:val="en-US" w:eastAsia="zh-CN"/>
        </w:rPr>
        <w:t>报价人</w:t>
      </w:r>
      <w:r>
        <w:rPr>
          <w:rFonts w:hint="eastAsia" w:ascii="仿宋_GB2312" w:hAnsi="仿宋_GB2312" w:eastAsia="仿宋_GB2312" w:cs="仿宋_GB2312"/>
          <w:color w:val="000000"/>
          <w:sz w:val="30"/>
          <w:szCs w:val="30"/>
        </w:rPr>
        <w:t>视为无效</w:t>
      </w:r>
      <w:r>
        <w:rPr>
          <w:rFonts w:hint="eastAsia" w:ascii="仿宋_GB2312" w:hAnsi="仿宋_GB2312" w:eastAsia="仿宋_GB2312" w:cs="仿宋_GB2312"/>
          <w:color w:val="000000"/>
          <w:sz w:val="30"/>
          <w:szCs w:val="30"/>
          <w:lang w:val="en-US" w:eastAsia="zh-CN"/>
        </w:rPr>
        <w:t>响应</w:t>
      </w:r>
      <w:r>
        <w:rPr>
          <w:rFonts w:hint="eastAsia" w:ascii="仿宋_GB2312" w:hAnsi="仿宋_GB2312" w:eastAsia="仿宋_GB2312" w:cs="仿宋_GB2312"/>
          <w:color w:val="000000"/>
          <w:sz w:val="30"/>
          <w:szCs w:val="30"/>
        </w:rPr>
        <w:t>。</w:t>
      </w:r>
    </w:p>
    <w:p w14:paraId="07E7AD81">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6、本项目不接受</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其他附加条件。</w:t>
      </w:r>
    </w:p>
    <w:p w14:paraId="3D916FC0">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7、有下列情形之一的，保证金将被没收（如有），并纳入采购人供应商黑名单：</w:t>
      </w:r>
    </w:p>
    <w:p w14:paraId="4C9508D7">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（1）中标后无正当理由放弃中标或不与采购人签订合同</w:t>
      </w:r>
      <w:r>
        <w:rPr>
          <w:rFonts w:hint="eastAsia" w:ascii="仿宋_GB2312" w:hAnsi="仿宋_GB2312" w:eastAsia="仿宋_GB2312" w:cs="仿宋_GB2312"/>
          <w:color w:val="000000"/>
          <w:sz w:val="30"/>
          <w:szCs w:val="30"/>
          <w:lang w:eastAsia="zh-CN"/>
        </w:rPr>
        <w:t>；</w:t>
      </w:r>
    </w:p>
    <w:p w14:paraId="0771CB43">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（2）成交人将本项目转让给他人，或者在</w:t>
      </w:r>
      <w:r>
        <w:rPr>
          <w:rFonts w:hint="eastAsia" w:ascii="仿宋_GB2312" w:hAnsi="仿宋_GB2312" w:eastAsia="仿宋_GB2312" w:cs="仿宋_GB2312"/>
          <w:color w:val="000000"/>
          <w:sz w:val="30"/>
          <w:szCs w:val="30"/>
          <w:lang w:eastAsia="zh-CN"/>
        </w:rPr>
        <w:t>响应文件</w:t>
      </w:r>
      <w:r>
        <w:rPr>
          <w:rFonts w:hint="eastAsia" w:ascii="仿宋_GB2312" w:hAnsi="仿宋_GB2312" w:eastAsia="仿宋_GB2312" w:cs="仿宋_GB2312"/>
          <w:color w:val="000000"/>
          <w:sz w:val="30"/>
          <w:szCs w:val="30"/>
        </w:rPr>
        <w:t>中未说明，且未经采购人同意，将中标项目分包给他人</w:t>
      </w:r>
      <w:r>
        <w:rPr>
          <w:rFonts w:hint="eastAsia" w:ascii="仿宋_GB2312" w:hAnsi="仿宋_GB2312" w:eastAsia="仿宋_GB2312" w:cs="仿宋_GB2312"/>
          <w:color w:val="000000"/>
          <w:sz w:val="30"/>
          <w:szCs w:val="30"/>
          <w:lang w:eastAsia="zh-CN"/>
        </w:rPr>
        <w:t>；</w:t>
      </w:r>
    </w:p>
    <w:p w14:paraId="260BE1E0">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提供虚假</w:t>
      </w:r>
      <w:r>
        <w:rPr>
          <w:rFonts w:hint="eastAsia" w:ascii="仿宋_GB2312" w:hAnsi="仿宋_GB2312" w:eastAsia="仿宋_GB2312" w:cs="仿宋_GB2312"/>
          <w:color w:val="000000"/>
          <w:sz w:val="30"/>
          <w:szCs w:val="30"/>
          <w:lang w:eastAsia="zh-CN"/>
        </w:rPr>
        <w:t>响应文件</w:t>
      </w:r>
      <w:r>
        <w:rPr>
          <w:rFonts w:hint="eastAsia" w:ascii="仿宋_GB2312" w:hAnsi="仿宋_GB2312" w:eastAsia="仿宋_GB2312" w:cs="仿宋_GB2312"/>
          <w:color w:val="000000"/>
          <w:sz w:val="30"/>
          <w:szCs w:val="30"/>
        </w:rPr>
        <w:t>或虚假补充文件</w:t>
      </w:r>
      <w:r>
        <w:rPr>
          <w:rFonts w:hint="eastAsia" w:ascii="仿宋_GB2312" w:hAnsi="仿宋_GB2312" w:eastAsia="仿宋_GB2312" w:cs="仿宋_GB2312"/>
          <w:color w:val="000000"/>
          <w:sz w:val="30"/>
          <w:szCs w:val="30"/>
          <w:lang w:eastAsia="zh-CN"/>
        </w:rPr>
        <w:t>；</w:t>
      </w:r>
    </w:p>
    <w:p w14:paraId="6100BA74">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（4）成交人在签订合同后，未按合同约定缴纳履约保证金。</w:t>
      </w:r>
    </w:p>
    <w:p w14:paraId="229643A3">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8、有下列情形之一的，视为</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串通询价，其响应无效</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并将被纳入采购人供应商黑名单</w:t>
      </w:r>
      <w:r>
        <w:rPr>
          <w:rFonts w:hint="eastAsia" w:ascii="仿宋_GB2312" w:hAnsi="仿宋_GB2312" w:eastAsia="仿宋_GB2312" w:cs="仿宋_GB2312"/>
          <w:color w:val="000000"/>
          <w:sz w:val="30"/>
          <w:szCs w:val="30"/>
        </w:rPr>
        <w:t>：</w:t>
      </w:r>
    </w:p>
    <w:p w14:paraId="25DBD7ED">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的响应文件由同一单位或者个人编制；</w:t>
      </w:r>
    </w:p>
    <w:p w14:paraId="7018C068">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委托同一单位或者个人办理响应事宜；</w:t>
      </w:r>
    </w:p>
    <w:p w14:paraId="27A6FF9F">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的响应文件载明的项目管理成员或者联系人员为同一人；</w:t>
      </w:r>
    </w:p>
    <w:p w14:paraId="1B2B1D03">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的响应文件异常一致或者响应报价呈规律性差异；</w:t>
      </w:r>
    </w:p>
    <w:p w14:paraId="40FB5A0B">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的响应文件相互混装；</w:t>
      </w:r>
    </w:p>
    <w:p w14:paraId="2A788E08">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的响应保证金从同一单位或者个人的账户转出</w:t>
      </w:r>
      <w:r>
        <w:rPr>
          <w:rFonts w:hint="eastAsia" w:ascii="仿宋_GB2312" w:hAnsi="仿宋_GB2312" w:eastAsia="仿宋_GB2312" w:cs="仿宋_GB2312"/>
          <w:color w:val="000000"/>
          <w:sz w:val="30"/>
          <w:szCs w:val="30"/>
          <w:lang w:eastAsia="zh-CN"/>
        </w:rPr>
        <w:t>；</w:t>
      </w:r>
    </w:p>
    <w:p w14:paraId="653EFD87">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的响应IP地址一样。</w:t>
      </w:r>
    </w:p>
    <w:p w14:paraId="6AF7CD9F">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9、已列入采购人及上级单位部门黑名单的</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视为无效报价。</w:t>
      </w:r>
    </w:p>
    <w:p w14:paraId="29258894">
      <w:pPr>
        <w:spacing w:line="600" w:lineRule="exact"/>
        <w:ind w:firstLine="600" w:firstLineChars="200"/>
        <w:jc w:val="right"/>
        <w:rPr>
          <w:rFonts w:hint="eastAsia" w:ascii="仿宋_GB2312" w:hAnsi="仿宋_GB2312" w:eastAsia="仿宋_GB2312" w:cs="仿宋_GB2312"/>
          <w:color w:val="auto"/>
          <w:sz w:val="30"/>
          <w:szCs w:val="30"/>
          <w:highlight w:val="none"/>
          <w:lang w:eastAsia="zh-CN"/>
        </w:rPr>
      </w:pPr>
    </w:p>
    <w:p w14:paraId="48DCF1C0">
      <w:pPr>
        <w:spacing w:line="600" w:lineRule="exact"/>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lang w:eastAsia="zh-CN"/>
        </w:rPr>
        <w:t>东莞市东凤环境服务有限公司</w:t>
      </w:r>
      <w:r>
        <w:rPr>
          <w:rFonts w:hint="eastAsia" w:ascii="仿宋_GB2312" w:hAnsi="仿宋_GB2312" w:eastAsia="仿宋_GB2312" w:cs="仿宋_GB2312"/>
          <w:color w:val="auto"/>
          <w:sz w:val="30"/>
          <w:szCs w:val="30"/>
          <w:highlight w:val="none"/>
        </w:rPr>
        <w:t xml:space="preserve">                              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日</w:t>
      </w:r>
    </w:p>
    <w:p w14:paraId="722BAAB9">
      <w:pPr>
        <w:widowControl/>
        <w:spacing w:line="600" w:lineRule="exact"/>
        <w:ind w:firstLine="600" w:firstLineChars="200"/>
        <w:jc w:val="left"/>
        <w:rPr>
          <w:rFonts w:hint="eastAsia" w:ascii="仿宋_GB2312" w:hAnsi="仿宋_GB2312" w:eastAsia="仿宋_GB2312" w:cs="仿宋_GB2312"/>
          <w:color w:val="000000"/>
          <w:sz w:val="30"/>
          <w:szCs w:val="30"/>
        </w:rPr>
        <w:sectPr>
          <w:headerReference r:id="rId3" w:type="default"/>
          <w:pgSz w:w="11906" w:h="16838"/>
          <w:pgMar w:top="1240" w:right="1800" w:bottom="1440" w:left="1800" w:header="851" w:footer="992" w:gutter="0"/>
          <w:cols w:space="720" w:num="1"/>
          <w:docGrid w:type="lines" w:linePitch="312" w:charSpace="0"/>
        </w:sectPr>
      </w:pPr>
    </w:p>
    <w:p w14:paraId="0178D00E">
      <w:pPr>
        <w:pStyle w:val="15"/>
        <w:ind w:firstLine="0" w:firstLineChars="0"/>
        <w:jc w:val="left"/>
        <w:outlineLvl w:val="1"/>
        <w:rPr>
          <w:rFonts w:hint="eastAsia" w:ascii="仿宋_GB2312" w:hAnsi="仿宋_GB2312" w:eastAsia="仿宋_GB2312" w:cs="仿宋_GB2312"/>
          <w:color w:val="000000"/>
          <w:sz w:val="28"/>
          <w:szCs w:val="44"/>
        </w:rPr>
      </w:pPr>
      <w:r>
        <w:rPr>
          <w:rFonts w:hint="eastAsia" w:ascii="仿宋_GB2312" w:hAnsi="仿宋_GB2312" w:eastAsia="仿宋_GB2312" w:cs="仿宋_GB2312"/>
          <w:color w:val="000000"/>
          <w:sz w:val="28"/>
          <w:szCs w:val="44"/>
        </w:rPr>
        <w:t>附件一 响应须知</w:t>
      </w:r>
    </w:p>
    <w:p w14:paraId="30E1FD46">
      <w:pPr>
        <w:jc w:val="center"/>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响应须知</w:t>
      </w:r>
    </w:p>
    <w:tbl>
      <w:tblPr>
        <w:tblStyle w:val="12"/>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057D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50B131E8">
            <w:pPr>
              <w:pStyle w:val="10"/>
              <w:spacing w:after="0" w:line="360" w:lineRule="auto"/>
              <w:ind w:firstLine="0" w:firstLineChars="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项号</w:t>
            </w:r>
          </w:p>
        </w:tc>
        <w:tc>
          <w:tcPr>
            <w:tcW w:w="2275" w:type="dxa"/>
            <w:tcBorders>
              <w:top w:val="double" w:color="auto" w:sz="4" w:space="0"/>
            </w:tcBorders>
            <w:vAlign w:val="center"/>
          </w:tcPr>
          <w:p w14:paraId="0B7EADC5">
            <w:pPr>
              <w:pStyle w:val="10"/>
              <w:spacing w:after="0" w:line="360" w:lineRule="auto"/>
              <w:ind w:firstLine="32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内容</w:t>
            </w:r>
          </w:p>
        </w:tc>
        <w:tc>
          <w:tcPr>
            <w:tcW w:w="5942" w:type="dxa"/>
            <w:tcBorders>
              <w:top w:val="double" w:color="auto" w:sz="4" w:space="0"/>
            </w:tcBorders>
            <w:vAlign w:val="center"/>
          </w:tcPr>
          <w:p w14:paraId="7F247920">
            <w:pPr>
              <w:pStyle w:val="10"/>
              <w:spacing w:after="0" w:line="360" w:lineRule="auto"/>
              <w:ind w:firstLine="32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说明与要求</w:t>
            </w:r>
          </w:p>
        </w:tc>
      </w:tr>
      <w:tr w14:paraId="1EEBA7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5227BB6">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p>
        </w:tc>
        <w:tc>
          <w:tcPr>
            <w:tcW w:w="2275" w:type="dxa"/>
            <w:vAlign w:val="center"/>
          </w:tcPr>
          <w:p w14:paraId="2B46FC80">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项目名称</w:t>
            </w:r>
          </w:p>
        </w:tc>
        <w:tc>
          <w:tcPr>
            <w:tcW w:w="5942" w:type="dxa"/>
            <w:vAlign w:val="center"/>
          </w:tcPr>
          <w:p w14:paraId="1247115B">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东凤公司垃圾转运站渗滤液转运箱采购项目（重新采购）。</w:t>
            </w:r>
          </w:p>
        </w:tc>
      </w:tr>
      <w:tr w14:paraId="01AFC0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455FE1">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p>
        </w:tc>
        <w:tc>
          <w:tcPr>
            <w:tcW w:w="2275" w:type="dxa"/>
            <w:vAlign w:val="center"/>
          </w:tcPr>
          <w:p w14:paraId="407FCFC8">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供货</w:t>
            </w:r>
            <w:r>
              <w:rPr>
                <w:rFonts w:hint="eastAsia" w:ascii="仿宋_GB2312" w:hAnsi="仿宋_GB2312" w:eastAsia="仿宋_GB2312" w:cs="仿宋_GB2312"/>
                <w:color w:val="000000"/>
                <w:sz w:val="30"/>
                <w:szCs w:val="30"/>
              </w:rPr>
              <w:t>地点</w:t>
            </w:r>
          </w:p>
        </w:tc>
        <w:tc>
          <w:tcPr>
            <w:tcW w:w="5942" w:type="dxa"/>
            <w:vAlign w:val="center"/>
          </w:tcPr>
          <w:p w14:paraId="7898B1FC">
            <w:pPr>
              <w:spacing w:line="360" w:lineRule="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东莞市内，具体以采购人通知为准。</w:t>
            </w:r>
          </w:p>
        </w:tc>
      </w:tr>
      <w:tr w14:paraId="4B46FC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AFA173F">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w:t>
            </w:r>
          </w:p>
        </w:tc>
        <w:tc>
          <w:tcPr>
            <w:tcW w:w="2275" w:type="dxa"/>
            <w:vAlign w:val="center"/>
          </w:tcPr>
          <w:p w14:paraId="156632C7">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项目性质</w:t>
            </w:r>
          </w:p>
        </w:tc>
        <w:tc>
          <w:tcPr>
            <w:tcW w:w="5942" w:type="dxa"/>
            <w:vAlign w:val="center"/>
          </w:tcPr>
          <w:p w14:paraId="3A8120B4">
            <w:pPr>
              <w:spacing w:line="360" w:lineRule="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货物</w:t>
            </w:r>
          </w:p>
        </w:tc>
      </w:tr>
      <w:tr w14:paraId="42494B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BE05D7">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w:t>
            </w:r>
          </w:p>
        </w:tc>
        <w:tc>
          <w:tcPr>
            <w:tcW w:w="2275" w:type="dxa"/>
            <w:vAlign w:val="center"/>
          </w:tcPr>
          <w:p w14:paraId="01EF3D4F">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发包要求</w:t>
            </w:r>
          </w:p>
        </w:tc>
        <w:tc>
          <w:tcPr>
            <w:tcW w:w="5942" w:type="dxa"/>
            <w:vAlign w:val="center"/>
          </w:tcPr>
          <w:p w14:paraId="6DEED5CA">
            <w:pPr>
              <w:spacing w:line="360" w:lineRule="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固定总价包干</w:t>
            </w:r>
          </w:p>
        </w:tc>
      </w:tr>
      <w:tr w14:paraId="2564A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6C28605">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w:t>
            </w:r>
          </w:p>
        </w:tc>
        <w:tc>
          <w:tcPr>
            <w:tcW w:w="2275" w:type="dxa"/>
            <w:vAlign w:val="center"/>
          </w:tcPr>
          <w:p w14:paraId="200599C6">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质量标准</w:t>
            </w:r>
          </w:p>
        </w:tc>
        <w:tc>
          <w:tcPr>
            <w:tcW w:w="5942" w:type="dxa"/>
            <w:vAlign w:val="center"/>
          </w:tcPr>
          <w:p w14:paraId="7C6EC4F5">
            <w:pPr>
              <w:jc w:val="lef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详见采购文件</w:t>
            </w:r>
          </w:p>
        </w:tc>
      </w:tr>
      <w:tr w14:paraId="515E88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F9CD0AC">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w:t>
            </w:r>
          </w:p>
        </w:tc>
        <w:tc>
          <w:tcPr>
            <w:tcW w:w="2275" w:type="dxa"/>
            <w:vAlign w:val="center"/>
          </w:tcPr>
          <w:p w14:paraId="19B26BE0">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供货</w:t>
            </w:r>
            <w:r>
              <w:rPr>
                <w:rFonts w:hint="eastAsia" w:ascii="仿宋_GB2312" w:hAnsi="仿宋_GB2312" w:eastAsia="仿宋_GB2312" w:cs="仿宋_GB2312"/>
                <w:color w:val="000000"/>
                <w:sz w:val="30"/>
                <w:szCs w:val="30"/>
              </w:rPr>
              <w:t>期要求</w:t>
            </w:r>
          </w:p>
        </w:tc>
        <w:tc>
          <w:tcPr>
            <w:tcW w:w="5942" w:type="dxa"/>
            <w:vAlign w:val="center"/>
          </w:tcPr>
          <w:p w14:paraId="0CE35C5C">
            <w:pPr>
              <w:spacing w:line="360" w:lineRule="auto"/>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详见采购文件</w:t>
            </w:r>
          </w:p>
        </w:tc>
      </w:tr>
      <w:tr w14:paraId="4BE07E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CA8AD99">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w:t>
            </w:r>
          </w:p>
        </w:tc>
        <w:tc>
          <w:tcPr>
            <w:tcW w:w="2275" w:type="dxa"/>
            <w:vAlign w:val="center"/>
          </w:tcPr>
          <w:p w14:paraId="6091557E">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单位资质要求</w:t>
            </w:r>
          </w:p>
        </w:tc>
        <w:tc>
          <w:tcPr>
            <w:tcW w:w="5942" w:type="dxa"/>
            <w:vAlign w:val="center"/>
          </w:tcPr>
          <w:p w14:paraId="11723004">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详见采购文件</w:t>
            </w:r>
          </w:p>
        </w:tc>
      </w:tr>
      <w:tr w14:paraId="185737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8A30C6">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w:t>
            </w:r>
          </w:p>
        </w:tc>
        <w:tc>
          <w:tcPr>
            <w:tcW w:w="2275" w:type="dxa"/>
          </w:tcPr>
          <w:p w14:paraId="216FA4BE">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询价保证金金额及缴纳方式</w:t>
            </w:r>
          </w:p>
        </w:tc>
        <w:tc>
          <w:tcPr>
            <w:tcW w:w="5942" w:type="dxa"/>
            <w:vAlign w:val="center"/>
          </w:tcPr>
          <w:p w14:paraId="6C38B01C">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详见采购文件</w:t>
            </w:r>
          </w:p>
        </w:tc>
      </w:tr>
      <w:tr w14:paraId="0A2DF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668D17">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w:t>
            </w:r>
          </w:p>
        </w:tc>
        <w:tc>
          <w:tcPr>
            <w:tcW w:w="2275" w:type="dxa"/>
          </w:tcPr>
          <w:p w14:paraId="11B689EE">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询价有效期</w:t>
            </w:r>
          </w:p>
        </w:tc>
        <w:tc>
          <w:tcPr>
            <w:tcW w:w="5942" w:type="dxa"/>
            <w:vAlign w:val="center"/>
          </w:tcPr>
          <w:p w14:paraId="0607B03E">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90天</w:t>
            </w:r>
          </w:p>
        </w:tc>
      </w:tr>
      <w:tr w14:paraId="194F08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593BC11">
            <w:pPr>
              <w:spacing w:line="36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w:t>
            </w:r>
          </w:p>
        </w:tc>
        <w:tc>
          <w:tcPr>
            <w:tcW w:w="2275" w:type="dxa"/>
            <w:vAlign w:val="center"/>
          </w:tcPr>
          <w:p w14:paraId="6B6B2CED">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不得存在的情形</w:t>
            </w:r>
          </w:p>
        </w:tc>
        <w:tc>
          <w:tcPr>
            <w:tcW w:w="5942" w:type="dxa"/>
            <w:vAlign w:val="center"/>
          </w:tcPr>
          <w:p w14:paraId="09DCB10D">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不得存在下列情形之一，否则采购人有权取消其参与响应资格或成交资格：</w:t>
            </w:r>
          </w:p>
          <w:p w14:paraId="4E64D802">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（1）为采购人不具有独立法人资格的附属机构（单位）；</w:t>
            </w:r>
          </w:p>
          <w:p w14:paraId="0A0851E7">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（2）被责令停业的； </w:t>
            </w:r>
          </w:p>
          <w:p w14:paraId="4F217107">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（3）被暂停或取消投标资格的； </w:t>
            </w:r>
          </w:p>
          <w:p w14:paraId="34E493C5">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（4）财产被接管或冻结的；</w:t>
            </w:r>
          </w:p>
          <w:p w14:paraId="01FEF53B">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（5）在最近三年内有骗取中标、严重违约、重大质量或安全问题的；</w:t>
            </w:r>
          </w:p>
          <w:p w14:paraId="487AEE7B">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（6）法律法规规定的其他情形；</w:t>
            </w:r>
          </w:p>
          <w:p w14:paraId="266AFD96">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（7）询价文件规定的其他情形：见询价公告或询价响应须知前附表。</w:t>
            </w:r>
          </w:p>
          <w:p w14:paraId="3D7B454C">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在询价活动中有下列行为之一的，应视情节轻重，暂停或取消其参与采购人及</w:t>
            </w:r>
            <w:r>
              <w:rPr>
                <w:rFonts w:hint="eastAsia" w:ascii="仿宋_GB2312" w:hAnsi="仿宋_GB2312" w:eastAsia="仿宋_GB2312" w:cs="仿宋_GB2312"/>
                <w:color w:val="000000"/>
                <w:sz w:val="30"/>
                <w:szCs w:val="30"/>
                <w:lang w:val="en-US" w:eastAsia="zh-CN"/>
              </w:rPr>
              <w:t>本公司及下属公司</w:t>
            </w:r>
            <w:r>
              <w:rPr>
                <w:rFonts w:hint="eastAsia" w:ascii="仿宋_GB2312" w:hAnsi="仿宋_GB2312" w:eastAsia="仿宋_GB2312" w:cs="仿宋_GB2312"/>
                <w:color w:val="000000"/>
                <w:sz w:val="30"/>
                <w:szCs w:val="30"/>
              </w:rPr>
              <w:t>采购项目的资格：</w:t>
            </w:r>
          </w:p>
          <w:p w14:paraId="1DD6B409">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之间相互串通、或与采购人、代理机构、评审委员会成员串通询价，损害采购人或者其他</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 xml:space="preserve">的合法权益的； </w:t>
            </w:r>
          </w:p>
          <w:p w14:paraId="159128AF">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（2）向采购人、代理机构、评审委会成员或其他相关工作人员行贿的； </w:t>
            </w:r>
          </w:p>
          <w:p w14:paraId="1ABAA536">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（3）以他人名义询价或以其他方式弄虚作假，骗取成交的； </w:t>
            </w:r>
          </w:p>
          <w:p w14:paraId="0F16EEF9">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（4）成交人私自将成交项目转让给他人的，将成交项目肢解后分别转让给他人的； </w:t>
            </w:r>
          </w:p>
          <w:p w14:paraId="7AD85B5D">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（5）成交人无正当理由不与采购人订立合同，在签订合同时向采购人提出附加条件，或者不按照询价文件要求提交履约担保的；</w:t>
            </w:r>
          </w:p>
          <w:p w14:paraId="6A226783">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 xml:space="preserve">捏造事实、伪造材料或者以非法手段取得证明材料进行投诉，给他人造成损失的； </w:t>
            </w:r>
          </w:p>
          <w:p w14:paraId="089DF0ED">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（7）相关工作人员应当回避而不回避的； </w:t>
            </w:r>
          </w:p>
          <w:p w14:paraId="632CB44C">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（8）其他违法违规的行为。</w:t>
            </w:r>
          </w:p>
          <w:p w14:paraId="522BF0B8">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3、有下列情形之一的，视为</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串通询价，其响应无效：</w:t>
            </w:r>
          </w:p>
          <w:p w14:paraId="1766B2DA">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的响应文件由同一单位或者个人编制；</w:t>
            </w:r>
          </w:p>
          <w:p w14:paraId="6AC26E0E">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委托同一单位或者个人办理响应事宜；</w:t>
            </w:r>
          </w:p>
          <w:p w14:paraId="5781CF31">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的响应文件载明的项目管理成员或者联系人员为同一人；</w:t>
            </w:r>
          </w:p>
          <w:p w14:paraId="46DB1B84">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的响应文件异常一致或者响应报价呈规律性差异；</w:t>
            </w:r>
          </w:p>
          <w:p w14:paraId="673B0343">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的响应文件相互混装；</w:t>
            </w:r>
          </w:p>
          <w:p w14:paraId="118D03B3">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（6）不同</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的响应保证金从同一单位或者个人的账户转出。</w:t>
            </w:r>
          </w:p>
          <w:p w14:paraId="480ABBDF">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4、使用通过受让或者租借等方式获取的资格、资质证书响应的，属于以他人名义询价，其响应无效：</w:t>
            </w:r>
          </w:p>
          <w:p w14:paraId="1D3292AA">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5、有下列情形之一的，属于以其他方式弄虚作假的行为，其响应无效：</w:t>
            </w:r>
          </w:p>
          <w:p w14:paraId="5F008411">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（1）使用伪造、变造的许可证件；</w:t>
            </w:r>
          </w:p>
          <w:p w14:paraId="05B48633">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（2）提供虚假的财务状况或者业绩； </w:t>
            </w:r>
          </w:p>
          <w:p w14:paraId="4C0E0A1B">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（3）提供虚假的项目负责人或者主要技术人员简历、劳动关系证明； </w:t>
            </w:r>
          </w:p>
          <w:p w14:paraId="45EDD8C0">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（4）提供虚假的信用状况；</w:t>
            </w:r>
          </w:p>
          <w:p w14:paraId="3A3B2675">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（5）其他弄虚作假的行为。</w:t>
            </w:r>
          </w:p>
          <w:p w14:paraId="5EAC4520">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lang w:eastAsia="zh-CN"/>
              </w:rPr>
              <w:t>报价人</w:t>
            </w:r>
            <w:r>
              <w:rPr>
                <w:rFonts w:hint="eastAsia" w:ascii="仿宋_GB2312" w:hAnsi="仿宋_GB2312" w:eastAsia="仿宋_GB2312" w:cs="仿宋_GB2312"/>
                <w:color w:val="000000"/>
                <w:sz w:val="30"/>
                <w:szCs w:val="30"/>
              </w:rPr>
              <w:t xml:space="preserve">相关工作人员与采购人或采购代理机构有以下利害关系之一的，应当回避： </w:t>
            </w:r>
          </w:p>
          <w:p w14:paraId="7DC6D9CF">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（一）是其主要负责人的近亲属的；</w:t>
            </w:r>
          </w:p>
          <w:p w14:paraId="4A46DA3C">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（二）询价活动前3年内与其存在劳动关系，担任其董事、监事，是其控股股东或实际控制人，或存在其他经济利益关系，可能影响询价活动公平公正的；</w:t>
            </w:r>
          </w:p>
          <w:p w14:paraId="3532BDF9">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（三）其他可能影响询价活动公平、公正进行的关系。</w:t>
            </w:r>
          </w:p>
        </w:tc>
      </w:tr>
    </w:tbl>
    <w:p w14:paraId="7E24A7D5">
      <w:pPr>
        <w:rPr>
          <w:rFonts w:hint="eastAsia" w:ascii="仿宋_GB2312" w:hAnsi="仿宋_GB2312" w:eastAsia="仿宋_GB2312" w:cs="仿宋_GB2312"/>
          <w:color w:val="000000"/>
          <w:sz w:val="32"/>
          <w:szCs w:val="32"/>
        </w:rPr>
      </w:pPr>
    </w:p>
    <w:p w14:paraId="71673CB1">
      <w:pPr>
        <w:rPr>
          <w:rFonts w:hint="eastAsia" w:ascii="仿宋_GB2312" w:hAnsi="仿宋_GB2312" w:eastAsia="仿宋_GB2312" w:cs="仿宋_GB2312"/>
          <w:color w:val="000000"/>
          <w:sz w:val="32"/>
          <w:szCs w:val="32"/>
        </w:rPr>
      </w:pPr>
    </w:p>
    <w:p w14:paraId="3D29B60D">
      <w:pPr>
        <w:rPr>
          <w:rFonts w:hint="eastAsia" w:ascii="仿宋_GB2312" w:hAnsi="仿宋_GB2312" w:eastAsia="仿宋_GB2312" w:cs="仿宋_GB2312"/>
          <w:color w:val="000000"/>
          <w:sz w:val="32"/>
          <w:szCs w:val="32"/>
        </w:rPr>
      </w:pPr>
    </w:p>
    <w:p w14:paraId="368B7B16">
      <w:pPr>
        <w:rPr>
          <w:rFonts w:hint="eastAsia" w:ascii="仿宋_GB2312" w:hAnsi="仿宋_GB2312" w:eastAsia="仿宋_GB2312" w:cs="仿宋_GB2312"/>
          <w:color w:val="000000"/>
          <w:sz w:val="32"/>
          <w:szCs w:val="32"/>
        </w:rPr>
      </w:pPr>
    </w:p>
    <w:p w14:paraId="46BEDEC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14:paraId="7CD08DD5">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bookmarkStart w:id="2" w:name="_Hlk524442005"/>
      <w:r>
        <w:rPr>
          <w:rFonts w:hint="eastAsia" w:ascii="仿宋_GB2312" w:hAnsi="仿宋_GB2312" w:eastAsia="仿宋_GB2312" w:cs="仿宋_GB2312"/>
          <w:b/>
          <w:bCs/>
          <w:color w:val="auto"/>
          <w:sz w:val="28"/>
          <w:szCs w:val="44"/>
          <w:highlight w:val="none"/>
        </w:rPr>
        <w:t>密封文件袋封面</w:t>
      </w:r>
    </w:p>
    <w:p w14:paraId="7F3C9043">
      <w:pPr>
        <w:rPr>
          <w:rFonts w:hint="eastAsia" w:ascii="仿宋_GB2312" w:hAnsi="仿宋_GB2312" w:eastAsia="仿宋_GB2312" w:cs="仿宋_GB2312"/>
          <w:color w:val="auto"/>
          <w:sz w:val="32"/>
          <w:szCs w:val="32"/>
          <w:highlight w:val="none"/>
        </w:rPr>
      </w:pPr>
    </w:p>
    <w:p w14:paraId="4C564916">
      <w:pPr>
        <w:rPr>
          <w:rFonts w:hint="eastAsia" w:ascii="仿宋_GB2312" w:hAnsi="仿宋_GB2312" w:eastAsia="仿宋_GB2312" w:cs="仿宋_GB2312"/>
          <w:color w:val="auto"/>
          <w:sz w:val="32"/>
          <w:szCs w:val="32"/>
          <w:highlight w:val="none"/>
        </w:rPr>
      </w:pPr>
    </w:p>
    <w:p w14:paraId="5A311E7A">
      <w:pPr>
        <w:jc w:val="center"/>
        <w:rPr>
          <w:rFonts w:hint="eastAsia" w:ascii="仿宋_GB2312" w:hAnsi="仿宋_GB2312" w:eastAsia="仿宋_GB2312" w:cs="仿宋_GB2312"/>
          <w:b/>
          <w:bCs/>
          <w:color w:val="auto"/>
          <w:sz w:val="52"/>
          <w:szCs w:val="52"/>
          <w:highlight w:val="none"/>
        </w:rPr>
      </w:pPr>
      <w:r>
        <w:rPr>
          <w:rFonts w:hint="eastAsia" w:ascii="仿宋_GB2312" w:hAnsi="仿宋_GB2312" w:eastAsia="仿宋_GB2312" w:cs="仿宋_GB2312"/>
          <w:b/>
          <w:bCs/>
          <w:color w:val="auto"/>
          <w:sz w:val="52"/>
          <w:szCs w:val="52"/>
          <w:highlight w:val="none"/>
          <w:lang w:eastAsia="zh-CN"/>
        </w:rPr>
        <w:t>东凤公司垃圾转运站渗滤液转运箱采购项目（重新采购）</w:t>
      </w:r>
      <w:r>
        <w:rPr>
          <w:rFonts w:hint="eastAsia" w:ascii="仿宋_GB2312" w:hAnsi="仿宋_GB2312" w:eastAsia="仿宋_GB2312" w:cs="仿宋_GB2312"/>
          <w:b/>
          <w:bCs/>
          <w:color w:val="auto"/>
          <w:sz w:val="52"/>
          <w:szCs w:val="52"/>
          <w:highlight w:val="none"/>
        </w:rPr>
        <w:t>报价文件</w:t>
      </w:r>
    </w:p>
    <w:p w14:paraId="3C5A2A02">
      <w:pPr>
        <w:rPr>
          <w:rFonts w:hint="eastAsia" w:ascii="仿宋_GB2312" w:hAnsi="仿宋_GB2312" w:eastAsia="仿宋_GB2312" w:cs="仿宋_GB2312"/>
          <w:color w:val="auto"/>
          <w:sz w:val="32"/>
          <w:szCs w:val="32"/>
          <w:highlight w:val="none"/>
        </w:rPr>
      </w:pPr>
    </w:p>
    <w:p w14:paraId="61F534A5">
      <w:pPr>
        <w:rPr>
          <w:rFonts w:hint="eastAsia" w:ascii="仿宋_GB2312" w:hAnsi="仿宋_GB2312" w:eastAsia="仿宋_GB2312" w:cs="仿宋_GB2312"/>
          <w:color w:val="auto"/>
          <w:sz w:val="32"/>
          <w:szCs w:val="32"/>
          <w:highlight w:val="none"/>
        </w:rPr>
      </w:pPr>
    </w:p>
    <w:p w14:paraId="424E0AA8">
      <w:pPr>
        <w:rPr>
          <w:rFonts w:hint="eastAsia" w:ascii="仿宋_GB2312" w:hAnsi="仿宋_GB2312" w:eastAsia="仿宋_GB2312" w:cs="仿宋_GB2312"/>
          <w:color w:val="auto"/>
          <w:sz w:val="32"/>
          <w:szCs w:val="32"/>
          <w:highlight w:val="none"/>
        </w:rPr>
      </w:pPr>
    </w:p>
    <w:p w14:paraId="4C67F18E">
      <w:pPr>
        <w:rPr>
          <w:rFonts w:hint="eastAsia" w:ascii="仿宋_GB2312" w:hAnsi="仿宋_GB2312" w:eastAsia="仿宋_GB2312" w:cs="仿宋_GB2312"/>
          <w:color w:val="auto"/>
          <w:sz w:val="32"/>
          <w:szCs w:val="32"/>
          <w:highlight w:val="none"/>
        </w:rPr>
      </w:pPr>
    </w:p>
    <w:p w14:paraId="196CA8CE">
      <w:pPr>
        <w:rPr>
          <w:rFonts w:hint="eastAsia" w:ascii="仿宋_GB2312" w:hAnsi="仿宋_GB2312" w:eastAsia="仿宋_GB2312" w:cs="仿宋_GB2312"/>
          <w:color w:val="auto"/>
          <w:sz w:val="32"/>
          <w:szCs w:val="32"/>
          <w:highlight w:val="none"/>
        </w:rPr>
      </w:pPr>
    </w:p>
    <w:p w14:paraId="5B22E4A3">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r>
        <w:rPr>
          <w:rFonts w:hint="eastAsia" w:ascii="仿宋_GB2312" w:hAnsi="仿宋_GB2312" w:eastAsia="仿宋_GB2312" w:cs="仿宋_GB2312"/>
          <w:color w:val="auto"/>
          <w:sz w:val="32"/>
          <w:szCs w:val="32"/>
          <w:highlight w:val="none"/>
          <w:u w:val="single"/>
        </w:rPr>
        <w:t xml:space="preserve">                         </w:t>
      </w:r>
    </w:p>
    <w:p w14:paraId="569C41B5">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u w:val="single"/>
        </w:rPr>
        <w:t xml:space="preserve">                         </w:t>
      </w:r>
    </w:p>
    <w:p w14:paraId="421BA8B8">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rPr>
        <w:t xml:space="preserve">                         </w:t>
      </w:r>
    </w:p>
    <w:p w14:paraId="749BFB88">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p>
    <w:p w14:paraId="2F524AD3">
      <w:pPr>
        <w:widowControl/>
        <w:jc w:val="left"/>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br w:type="page"/>
      </w:r>
    </w:p>
    <w:p w14:paraId="0E6E9D3A">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t>报价函</w:t>
      </w:r>
    </w:p>
    <w:p w14:paraId="6E25A969">
      <w:pPr>
        <w:spacing w:line="360" w:lineRule="auto"/>
        <w:jc w:val="center"/>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报价函</w:t>
      </w:r>
    </w:p>
    <w:p w14:paraId="582A4DC5">
      <w:pPr>
        <w:spacing w:line="360" w:lineRule="auto"/>
        <w:ind w:firstLine="560"/>
        <w:jc w:val="center"/>
        <w:rPr>
          <w:rFonts w:hint="eastAsia" w:ascii="仿宋_GB2312" w:hAnsi="仿宋_GB2312" w:eastAsia="仿宋_GB2312" w:cs="仿宋_GB2312"/>
          <w:color w:val="auto"/>
          <w:sz w:val="32"/>
          <w:szCs w:val="32"/>
          <w:highlight w:val="none"/>
        </w:rPr>
      </w:pPr>
    </w:p>
    <w:p w14:paraId="4AC71FDF">
      <w:pPr>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东莞市东凤环境服务有限公司</w:t>
      </w:r>
      <w:r>
        <w:rPr>
          <w:rFonts w:hint="eastAsia" w:ascii="仿宋_GB2312" w:hAnsi="仿宋_GB2312" w:eastAsia="仿宋_GB2312" w:cs="仿宋_GB2312"/>
          <w:color w:val="auto"/>
          <w:sz w:val="32"/>
          <w:szCs w:val="32"/>
          <w:highlight w:val="none"/>
        </w:rPr>
        <w:t>：</w:t>
      </w:r>
    </w:p>
    <w:p w14:paraId="40544C22">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针对贵司关于</w:t>
      </w:r>
      <w:r>
        <w:rPr>
          <w:rFonts w:hint="eastAsia" w:ascii="仿宋_GB2312" w:hAnsi="仿宋_GB2312" w:eastAsia="仿宋_GB2312" w:cs="仿宋_GB2312"/>
          <w:color w:val="auto"/>
          <w:sz w:val="32"/>
          <w:szCs w:val="32"/>
          <w:highlight w:val="none"/>
          <w:lang w:eastAsia="zh-CN"/>
        </w:rPr>
        <w:t>东凤公司垃圾转运站渗滤液转运箱采购项目（重新采购）</w:t>
      </w:r>
      <w:r>
        <w:rPr>
          <w:rFonts w:hint="eastAsia" w:ascii="仿宋_GB2312" w:hAnsi="仿宋_GB2312" w:eastAsia="仿宋_GB2312" w:cs="仿宋_GB2312"/>
          <w:color w:val="auto"/>
          <w:sz w:val="32"/>
          <w:szCs w:val="32"/>
          <w:highlight w:val="none"/>
        </w:rPr>
        <w:t>，我司愿意以价税合计人民币</w:t>
      </w:r>
      <w:r>
        <w:rPr>
          <w:rFonts w:hint="eastAsia" w:ascii="仿宋_GB2312" w:hAnsi="仿宋_GB2312" w:eastAsia="仿宋_GB2312" w:cs="仿宋_GB2312"/>
          <w:color w:val="auto"/>
          <w:sz w:val="32"/>
          <w:szCs w:val="32"/>
          <w:highlight w:val="none"/>
          <w:u w:val="single"/>
        </w:rPr>
        <w:t>xxxx元</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rPr>
        <w:t>¥xxx.00（</w:t>
      </w:r>
      <w:r>
        <w:rPr>
          <w:rFonts w:hint="eastAsia" w:ascii="仿宋_GB2312" w:hAnsi="仿宋_GB2312" w:eastAsia="仿宋_GB2312" w:cs="仿宋_GB2312"/>
          <w:color w:val="auto"/>
          <w:sz w:val="32"/>
          <w:szCs w:val="32"/>
          <w:highlight w:val="none"/>
        </w:rPr>
        <w:t>小写），承接此项目的供货及</w:t>
      </w:r>
      <w:r>
        <w:rPr>
          <w:rFonts w:hint="eastAsia" w:ascii="仿宋_GB2312" w:hAnsi="仿宋_GB2312" w:eastAsia="仿宋_GB2312" w:cs="仿宋_GB2312"/>
          <w:color w:val="auto"/>
          <w:sz w:val="32"/>
          <w:szCs w:val="32"/>
          <w:highlight w:val="none"/>
          <w:lang w:val="en-US" w:eastAsia="zh-CN"/>
        </w:rPr>
        <w:t>安装</w:t>
      </w:r>
      <w:r>
        <w:rPr>
          <w:rFonts w:hint="eastAsia" w:ascii="仿宋_GB2312" w:hAnsi="仿宋_GB2312" w:eastAsia="仿宋_GB2312" w:cs="仿宋_GB2312"/>
          <w:color w:val="auto"/>
          <w:sz w:val="32"/>
          <w:szCs w:val="32"/>
          <w:highlight w:val="none"/>
        </w:rPr>
        <w:t>服务工作。</w:t>
      </w:r>
    </w:p>
    <w:p w14:paraId="1A211B78">
      <w:pPr>
        <w:spacing w:line="360" w:lineRule="auto"/>
        <w:ind w:firstLine="640" w:firstLineChars="200"/>
        <w:rPr>
          <w:rFonts w:hint="eastAsia" w:ascii="仿宋_GB2312" w:hAnsi="仿宋_GB2312" w:eastAsia="仿宋_GB2312" w:cs="仿宋_GB2312"/>
          <w:color w:val="auto"/>
          <w:sz w:val="32"/>
          <w:szCs w:val="32"/>
          <w:highlight w:val="none"/>
        </w:rPr>
      </w:pPr>
    </w:p>
    <w:p w14:paraId="55245F2E">
      <w:pPr>
        <w:spacing w:line="360" w:lineRule="auto"/>
        <w:ind w:firstLine="640" w:firstLineChars="200"/>
        <w:rPr>
          <w:rFonts w:hint="eastAsia" w:ascii="仿宋_GB2312" w:hAnsi="仿宋_GB2312" w:eastAsia="仿宋_GB2312" w:cs="仿宋_GB2312"/>
          <w:color w:val="auto"/>
          <w:sz w:val="32"/>
          <w:szCs w:val="32"/>
          <w:highlight w:val="none"/>
        </w:rPr>
      </w:pPr>
    </w:p>
    <w:p w14:paraId="5AB2396E">
      <w:pPr>
        <w:spacing w:line="360" w:lineRule="auto"/>
        <w:ind w:firstLine="640" w:firstLineChars="200"/>
        <w:rPr>
          <w:rFonts w:hint="eastAsia" w:ascii="仿宋_GB2312" w:hAnsi="仿宋_GB2312" w:eastAsia="仿宋_GB2312" w:cs="仿宋_GB2312"/>
          <w:color w:val="auto"/>
          <w:sz w:val="32"/>
          <w:szCs w:val="32"/>
          <w:highlight w:val="none"/>
        </w:rPr>
      </w:pPr>
    </w:p>
    <w:p w14:paraId="55855E48">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p>
    <w:p w14:paraId="652073E8">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法定代表人或被授权委托人（签名或盖章）：</w:t>
      </w:r>
    </w:p>
    <w:p w14:paraId="1E2EB567">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p w14:paraId="37DD1141">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14:paraId="600C02ED">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rPr>
        <w:br w:type="page"/>
      </w:r>
    </w:p>
    <w:p w14:paraId="0AB61948">
      <w:pPr>
        <w:spacing w:line="360" w:lineRule="auto"/>
        <w:ind w:firstLine="0" w:firstLineChars="0"/>
        <w:jc w:val="center"/>
        <w:rPr>
          <w:rFonts w:hint="eastAsia" w:ascii="仿宋_GB2312" w:hAnsi="仿宋_GB2312" w:eastAsia="仿宋_GB2312" w:cs="仿宋_GB2312"/>
          <w:b w:val="0"/>
          <w:bCs w:val="0"/>
          <w:color w:val="auto"/>
          <w:sz w:val="44"/>
          <w:szCs w:val="44"/>
          <w:highlight w:val="none"/>
        </w:rPr>
        <w:sectPr>
          <w:pgSz w:w="11906" w:h="16838"/>
          <w:pgMar w:top="1020" w:right="1489" w:bottom="1440" w:left="1797" w:header="851" w:footer="992" w:gutter="0"/>
          <w:cols w:space="720" w:num="1"/>
          <w:docGrid w:type="linesAndChars" w:linePitch="312" w:charSpace="0"/>
        </w:sectPr>
      </w:pPr>
    </w:p>
    <w:p w14:paraId="7BAC921E">
      <w:pPr>
        <w:spacing w:line="360" w:lineRule="auto"/>
        <w:ind w:firstLine="0" w:firstLineChars="0"/>
        <w:jc w:val="center"/>
        <w:rPr>
          <w:rFonts w:hint="eastAsia" w:ascii="仿宋_GB2312" w:hAnsi="仿宋_GB2312" w:eastAsia="仿宋_GB2312" w:cs="仿宋_GB2312"/>
          <w:b/>
          <w:bCs/>
          <w:color w:val="auto"/>
          <w:sz w:val="40"/>
          <w:szCs w:val="40"/>
          <w:highlight w:val="none"/>
          <w:lang w:val="en-US" w:eastAsia="zh-CN"/>
        </w:rPr>
      </w:pPr>
      <w:r>
        <w:rPr>
          <w:rFonts w:hint="eastAsia" w:ascii="仿宋_GB2312" w:hAnsi="仿宋_GB2312" w:eastAsia="仿宋_GB2312" w:cs="仿宋_GB2312"/>
          <w:b/>
          <w:bCs/>
          <w:color w:val="auto"/>
          <w:sz w:val="40"/>
          <w:szCs w:val="40"/>
          <w:highlight w:val="none"/>
          <w:lang w:val="en-US" w:eastAsia="zh-CN"/>
        </w:rPr>
        <w:t>分项报价清单（报价人可根据实际情况自拟）</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607"/>
        <w:gridCol w:w="8025"/>
        <w:gridCol w:w="1260"/>
        <w:gridCol w:w="1305"/>
        <w:gridCol w:w="1685"/>
      </w:tblGrid>
      <w:tr w14:paraId="394E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71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EA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65C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default" w:ascii="仿宋_GB2312" w:hAnsi="仿宋_GB2312" w:eastAsia="仿宋_GB2312" w:cs="仿宋_GB2312"/>
                <w:b w:val="0"/>
                <w:bCs w:val="0"/>
                <w:i w:val="0"/>
                <w:iCs w:val="0"/>
                <w:color w:val="000000"/>
                <w:kern w:val="0"/>
                <w:sz w:val="24"/>
                <w:szCs w:val="24"/>
                <w:u w:val="none"/>
                <w:lang w:val="en-US" w:eastAsia="zh-CN" w:bidi="ar"/>
              </w:rPr>
              <w:t>技术参数</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1B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7F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单价（元）</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5E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总价（元）</w:t>
            </w:r>
          </w:p>
        </w:tc>
      </w:tr>
      <w:tr w14:paraId="74BD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0D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59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sz w:val="24"/>
                <w:szCs w:val="24"/>
              </w:rPr>
              <w:t>渗滤液转运箱</w:t>
            </w: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9952">
            <w:pPr>
              <w:keepNext w:val="0"/>
              <w:keepLines w:val="0"/>
              <w:widowControl/>
              <w:numPr>
                <w:ilvl w:val="0"/>
                <w:numId w:val="5"/>
              </w:numPr>
              <w:suppressLineNumbers w:val="0"/>
              <w:jc w:val="both"/>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颜色：工程黄</w:t>
            </w:r>
          </w:p>
          <w:p w14:paraId="5798DA89">
            <w:pPr>
              <w:keepNext w:val="0"/>
              <w:keepLines w:val="0"/>
              <w:widowControl/>
              <w:numPr>
                <w:ilvl w:val="0"/>
                <w:numId w:val="5"/>
              </w:numPr>
              <w:suppressLineNumbers w:val="0"/>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sz w:val="24"/>
                <w:szCs w:val="24"/>
                <w:u w:val="none"/>
                <w:lang w:val="en-US" w:eastAsia="zh-CN"/>
              </w:rPr>
              <w:t>材质：箱体为Q345材质5mm厚钢板，支撑由6mm厚80×120mm的Q345材质方钢，中间3段隔板</w:t>
            </w:r>
          </w:p>
          <w:p w14:paraId="7FB40754">
            <w:pPr>
              <w:keepNext w:val="0"/>
              <w:keepLines w:val="0"/>
              <w:widowControl/>
              <w:numPr>
                <w:ilvl w:val="-1"/>
                <w:numId w:val="0"/>
              </w:numPr>
              <w:suppressLineNumbers w:val="0"/>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sz w:val="24"/>
                <w:szCs w:val="24"/>
                <w:u w:val="none"/>
                <w:lang w:val="en-US" w:eastAsia="zh-CN"/>
              </w:rPr>
              <w:t>（3）容积：14m³</w:t>
            </w:r>
          </w:p>
          <w:p w14:paraId="03CF35C1">
            <w:pPr>
              <w:keepNext w:val="0"/>
              <w:keepLines w:val="0"/>
              <w:widowControl/>
              <w:numPr>
                <w:ilvl w:val="-1"/>
                <w:numId w:val="0"/>
              </w:numPr>
              <w:suppressLineNumbers w:val="0"/>
              <w:jc w:val="both"/>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（4）箱体尺寸：6160mm×2460mm×1950mm</w:t>
            </w:r>
          </w:p>
          <w:p w14:paraId="279480DA">
            <w:pPr>
              <w:keepNext w:val="0"/>
              <w:keepLines w:val="0"/>
              <w:widowControl/>
              <w:numPr>
                <w:ilvl w:val="-1"/>
                <w:numId w:val="0"/>
              </w:numPr>
              <w:suppressLineNumbers w:val="0"/>
              <w:jc w:val="both"/>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（5）加装：箱体顶部开2个可开合的透气孔，尾部开一个可开合的清理窗口，尾部左右下方各开一个65的进出水口</w:t>
            </w:r>
          </w:p>
          <w:p w14:paraId="25D31603">
            <w:pPr>
              <w:keepNext w:val="0"/>
              <w:keepLines w:val="0"/>
              <w:widowControl/>
              <w:numPr>
                <w:ilvl w:val="-1"/>
                <w:numId w:val="0"/>
              </w:numPr>
              <w:suppressLineNumbers w:val="0"/>
              <w:jc w:val="both"/>
              <w:textAlignment w:val="center"/>
              <w:rPr>
                <w:rFonts w:hint="default"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（6）其他要求：箱体需按照勾臂车能吊装的尺寸制作</w:t>
            </w:r>
          </w:p>
          <w:p w14:paraId="49F7D26D">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DC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3890">
            <w:pPr>
              <w:jc w:val="center"/>
              <w:rPr>
                <w:rFonts w:hint="eastAsia" w:ascii="仿宋_GB2312" w:hAnsi="仿宋_GB2312" w:eastAsia="仿宋_GB2312" w:cs="仿宋_GB2312"/>
                <w:b w:val="0"/>
                <w:bCs w:val="0"/>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D178">
            <w:pPr>
              <w:jc w:val="center"/>
              <w:rPr>
                <w:rFonts w:hint="eastAsia" w:ascii="仿宋_GB2312" w:hAnsi="仿宋_GB2312" w:eastAsia="仿宋_GB2312" w:cs="仿宋_GB2312"/>
                <w:b w:val="0"/>
                <w:bCs w:val="0"/>
                <w:i w:val="0"/>
                <w:iCs w:val="0"/>
                <w:color w:val="000000"/>
                <w:sz w:val="24"/>
                <w:szCs w:val="24"/>
                <w:u w:val="none"/>
              </w:rPr>
            </w:pPr>
          </w:p>
        </w:tc>
      </w:tr>
      <w:tr w14:paraId="7D01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F7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3D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安装调试费</w:t>
            </w: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4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8C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C3A8">
            <w:pPr>
              <w:jc w:val="center"/>
              <w:rPr>
                <w:rFonts w:hint="eastAsia" w:ascii="仿宋_GB2312" w:hAnsi="仿宋_GB2312" w:eastAsia="仿宋_GB2312" w:cs="仿宋_GB2312"/>
                <w:b w:val="0"/>
                <w:bCs w:val="0"/>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5A5C">
            <w:pPr>
              <w:jc w:val="center"/>
              <w:rPr>
                <w:rFonts w:hint="eastAsia" w:ascii="仿宋_GB2312" w:hAnsi="仿宋_GB2312" w:eastAsia="仿宋_GB2312" w:cs="仿宋_GB2312"/>
                <w:b w:val="0"/>
                <w:bCs w:val="0"/>
                <w:i w:val="0"/>
                <w:iCs w:val="0"/>
                <w:color w:val="000000"/>
                <w:sz w:val="24"/>
                <w:szCs w:val="24"/>
                <w:u w:val="none"/>
              </w:rPr>
            </w:pPr>
          </w:p>
        </w:tc>
      </w:tr>
      <w:tr w14:paraId="2B34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4D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42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运输费</w:t>
            </w: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C4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52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1ED7">
            <w:pPr>
              <w:jc w:val="center"/>
              <w:rPr>
                <w:rFonts w:hint="eastAsia" w:ascii="仿宋_GB2312" w:hAnsi="仿宋_GB2312" w:eastAsia="仿宋_GB2312" w:cs="仿宋_GB2312"/>
                <w:b w:val="0"/>
                <w:bCs w:val="0"/>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6C66">
            <w:pPr>
              <w:jc w:val="center"/>
              <w:rPr>
                <w:rFonts w:hint="eastAsia" w:ascii="仿宋_GB2312" w:hAnsi="仿宋_GB2312" w:eastAsia="仿宋_GB2312" w:cs="仿宋_GB2312"/>
                <w:b w:val="0"/>
                <w:bCs w:val="0"/>
                <w:i w:val="0"/>
                <w:iCs w:val="0"/>
                <w:color w:val="000000"/>
                <w:sz w:val="24"/>
                <w:szCs w:val="24"/>
                <w:u w:val="none"/>
              </w:rPr>
            </w:pPr>
          </w:p>
        </w:tc>
      </w:tr>
      <w:tr w14:paraId="37AA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48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F9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0D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57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D288">
            <w:pPr>
              <w:jc w:val="center"/>
              <w:rPr>
                <w:rFonts w:hint="eastAsia" w:ascii="仿宋_GB2312" w:hAnsi="仿宋_GB2312" w:eastAsia="仿宋_GB2312" w:cs="仿宋_GB2312"/>
                <w:b w:val="0"/>
                <w:bCs w:val="0"/>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02CB">
            <w:pPr>
              <w:jc w:val="center"/>
              <w:rPr>
                <w:rFonts w:hint="eastAsia" w:ascii="仿宋_GB2312" w:hAnsi="仿宋_GB2312" w:eastAsia="仿宋_GB2312" w:cs="仿宋_GB2312"/>
                <w:b w:val="0"/>
                <w:bCs w:val="0"/>
                <w:i w:val="0"/>
                <w:iCs w:val="0"/>
                <w:color w:val="000000"/>
                <w:sz w:val="24"/>
                <w:szCs w:val="24"/>
                <w:u w:val="none"/>
              </w:rPr>
            </w:pPr>
          </w:p>
        </w:tc>
      </w:tr>
      <w:tr w14:paraId="3776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2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E1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以上合计含税总价金额大写人民币</w:t>
            </w:r>
            <w:r>
              <w:rPr>
                <w:rFonts w:hint="eastAsia" w:ascii="仿宋_GB2312" w:hAnsi="仿宋_GB2312" w:eastAsia="仿宋_GB2312" w:cs="仿宋_GB2312"/>
                <w:b w:val="0"/>
                <w:bCs w:val="0"/>
                <w:i w:val="0"/>
                <w:iCs w:val="0"/>
                <w:color w:val="000000"/>
                <w:kern w:val="0"/>
                <w:sz w:val="24"/>
                <w:szCs w:val="24"/>
                <w:u w:val="single"/>
                <w:lang w:val="en-US" w:eastAsia="zh-CN" w:bidi="ar"/>
              </w:rPr>
              <w:t xml:space="preserve">            </w:t>
            </w:r>
            <w:r>
              <w:rPr>
                <w:rFonts w:hint="eastAsia" w:ascii="仿宋_GB2312" w:hAnsi="仿宋_GB2312" w:eastAsia="仿宋_GB2312" w:cs="仿宋_GB2312"/>
                <w:b w:val="0"/>
                <w:bCs w:val="0"/>
                <w:i w:val="0"/>
                <w:iCs w:val="0"/>
                <w:color w:val="000000"/>
                <w:kern w:val="0"/>
                <w:sz w:val="24"/>
                <w:szCs w:val="24"/>
                <w:u w:val="none"/>
                <w:lang w:val="en-US" w:eastAsia="zh-CN" w:bidi="ar"/>
              </w:rPr>
              <w:t>，开具增值税专用发票，税率为</w:t>
            </w:r>
            <w:r>
              <w:rPr>
                <w:rFonts w:hint="eastAsia" w:ascii="仿宋_GB2312" w:hAnsi="仿宋_GB2312" w:eastAsia="仿宋_GB2312" w:cs="仿宋_GB2312"/>
                <w:b w:val="0"/>
                <w:bCs w:val="0"/>
                <w:i w:val="0"/>
                <w:iCs w:val="0"/>
                <w:color w:val="000000"/>
                <w:kern w:val="0"/>
                <w:sz w:val="24"/>
                <w:szCs w:val="24"/>
                <w:u w:val="single"/>
                <w:lang w:val="en-US" w:eastAsia="zh-CN" w:bidi="ar"/>
              </w:rPr>
              <w:t xml:space="preserve">     </w:t>
            </w: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5642">
            <w:pPr>
              <w:keepNext w:val="0"/>
              <w:keepLines w:val="0"/>
              <w:widowControl/>
              <w:suppressLineNumbers w:val="0"/>
              <w:jc w:val="left"/>
              <w:textAlignment w:val="center"/>
              <w:rPr>
                <w:rFonts w:hint="default" w:ascii="仿宋_GB2312" w:hAnsi="仿宋_GB2312" w:eastAsia="仿宋_GB2312" w:cs="仿宋_GB2312"/>
                <w:b w:val="0"/>
                <w:bCs w:val="0"/>
                <w:i w:val="0"/>
                <w:iCs w:val="0"/>
                <w:color w:val="000000"/>
                <w:sz w:val="24"/>
                <w:szCs w:val="24"/>
                <w:u w:val="single"/>
              </w:rPr>
            </w:pPr>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i w:val="0"/>
                <w:iCs w:val="0"/>
                <w:color w:val="000000"/>
                <w:kern w:val="0"/>
                <w:sz w:val="24"/>
                <w:szCs w:val="24"/>
                <w:u w:val="single"/>
                <w:lang w:val="en-US" w:eastAsia="zh-CN" w:bidi="ar"/>
              </w:rPr>
              <w:t xml:space="preserve">          </w:t>
            </w:r>
          </w:p>
        </w:tc>
      </w:tr>
    </w:tbl>
    <w:p w14:paraId="6E5C8CDB">
      <w:pPr>
        <w:pStyle w:val="5"/>
        <w:rPr>
          <w:rFonts w:hint="eastAsia" w:ascii="仿宋_GB2312" w:hAnsi="仿宋_GB2312" w:eastAsia="仿宋_GB2312" w:cs="仿宋_GB2312"/>
          <w:lang w:val="en-US" w:eastAsia="zh-CN"/>
        </w:rPr>
      </w:pPr>
    </w:p>
    <w:p w14:paraId="26B7B2DB">
      <w:pPr>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报价人</w:t>
      </w:r>
      <w:r>
        <w:rPr>
          <w:rFonts w:hint="eastAsia" w:ascii="仿宋_GB2312" w:hAnsi="仿宋_GB2312" w:eastAsia="仿宋_GB2312" w:cs="仿宋_GB2312"/>
          <w:b w:val="0"/>
          <w:bCs w:val="0"/>
          <w:color w:val="auto"/>
          <w:sz w:val="32"/>
          <w:szCs w:val="32"/>
          <w:highlight w:val="none"/>
        </w:rPr>
        <w:t>名称（加盖公章）：</w:t>
      </w:r>
    </w:p>
    <w:p w14:paraId="190EB04F">
      <w:pPr>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报价人</w:t>
      </w:r>
      <w:r>
        <w:rPr>
          <w:rFonts w:hint="eastAsia" w:ascii="仿宋_GB2312" w:hAnsi="仿宋_GB2312" w:eastAsia="仿宋_GB2312" w:cs="仿宋_GB2312"/>
          <w:b w:val="0"/>
          <w:bCs w:val="0"/>
          <w:color w:val="auto"/>
          <w:sz w:val="32"/>
          <w:szCs w:val="32"/>
          <w:highlight w:val="none"/>
        </w:rPr>
        <w:t>地址：</w:t>
      </w:r>
    </w:p>
    <w:p w14:paraId="443093D4">
      <w:pPr>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法定代表人或被授权委托人（签名或盖私章）：</w:t>
      </w:r>
    </w:p>
    <w:p w14:paraId="1D5AA8EA">
      <w:pPr>
        <w:pStyle w:val="5"/>
        <w:rPr>
          <w:rFonts w:hint="eastAsia" w:ascii="仿宋_GB2312" w:hAnsi="仿宋_GB2312" w:eastAsia="仿宋_GB2312" w:cs="仿宋_GB2312"/>
          <w:b w:val="0"/>
          <w:bCs w:val="0"/>
          <w:color w:val="auto"/>
          <w:sz w:val="32"/>
          <w:szCs w:val="32"/>
          <w:highlight w:val="none"/>
        </w:rPr>
        <w:sectPr>
          <w:pgSz w:w="16838" w:h="11906" w:orient="landscape"/>
          <w:pgMar w:top="1797" w:right="1020" w:bottom="1491" w:left="1440" w:header="851" w:footer="992" w:gutter="0"/>
          <w:cols w:space="0" w:num="1"/>
          <w:rtlGutter w:val="0"/>
          <w:docGrid w:type="linesAndChars" w:linePitch="319" w:charSpace="39"/>
        </w:sectPr>
      </w:pPr>
    </w:p>
    <w:p w14:paraId="6BB12AB3">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lang w:val="en-US" w:eastAsia="zh-CN"/>
        </w:rPr>
        <w:t>营业执照复印件（加盖公章）</w:t>
      </w:r>
    </w:p>
    <w:p w14:paraId="149A1D70">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r>
        <w:rPr>
          <w:rFonts w:hint="eastAsia" w:ascii="仿宋_GB2312" w:hAnsi="仿宋_GB2312" w:eastAsia="仿宋_GB2312" w:cs="仿宋_GB2312"/>
          <w:b/>
          <w:bCs/>
          <w:color w:val="auto"/>
          <w:sz w:val="28"/>
          <w:szCs w:val="44"/>
          <w:highlight w:val="none"/>
          <w:lang w:val="en-US" w:eastAsia="zh-CN"/>
        </w:rPr>
        <w:t>（提供《营业执照》复印件或《事业单位法人证书》复印件或其他主体证书复印件（加盖公章））</w:t>
      </w:r>
    </w:p>
    <w:p w14:paraId="6CFE949E">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lang w:val="en-US" w:eastAsia="zh-CN"/>
        </w:rPr>
      </w:pPr>
    </w:p>
    <w:p w14:paraId="6090597B">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lang w:val="en-US" w:eastAsia="zh-CN"/>
        </w:rPr>
      </w:pPr>
    </w:p>
    <w:p w14:paraId="1D32A7CD">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lang w:val="en-US" w:eastAsia="zh-CN"/>
        </w:rPr>
      </w:pPr>
    </w:p>
    <w:p w14:paraId="65346492">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r>
        <w:rPr>
          <w:rFonts w:hint="eastAsia"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-222885</wp:posOffset>
                </wp:positionV>
                <wp:extent cx="4829175" cy="245745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4829175" cy="2457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86890E">
                            <w:pPr>
                              <w:pStyle w:val="23"/>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复印件</w:t>
                            </w: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lang w:val="en-US" w:eastAsia="zh-CN"/>
                              </w:rPr>
                              <w:t>盖章</w:t>
                            </w:r>
                            <w:r>
                              <w:rPr>
                                <w:rFonts w:hint="eastAsia" w:ascii="Times New Roman" w:hAnsi="Times New Roman" w:eastAsia="仿宋" w:cs="Times New Roman"/>
                                <w:b/>
                                <w:bCs/>
                                <w:i w:val="0"/>
                                <w:iCs w:val="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5pt;margin-top:-17.55pt;height:193.5pt;width:380.25pt;z-index:251659264;mso-width-relative:page;mso-height-relative:page;" fillcolor="#FFFFFF [3201]" filled="t" stroked="t" coordsize="21600,21600" o:gfxdata="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0lCfdcA&#10;AAAKAQAADwAAAAAAAAABACAAAAAiAAAAZHJzL2Rvd25yZXYueG1sUEsBAhQAFAAAAAgAh07iQLEE&#10;uW1ZAgAAugQAAA4AAAAAAAAAAQAgAAAAJgEAAGRycy9lMm9Eb2MueG1sUEsFBgAAAAAGAAYAWQEA&#10;APEFAAAAAA==&#10;">
                <v:fill on="t" focussize="0,0"/>
                <v:stroke weight="0.5pt" color="#000000 [3204]" joinstyle="round"/>
                <v:imagedata o:title=""/>
                <o:lock v:ext="edit" aspectratio="f"/>
                <v:textbox>
                  <w:txbxContent>
                    <w:p w14:paraId="3086890E">
                      <w:pPr>
                        <w:pStyle w:val="23"/>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复印件</w:t>
                      </w: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lang w:val="en-US" w:eastAsia="zh-CN"/>
                        </w:rPr>
                        <w:t>盖章</w:t>
                      </w:r>
                      <w:r>
                        <w:rPr>
                          <w:rFonts w:hint="eastAsia" w:ascii="Times New Roman" w:hAnsi="Times New Roman" w:eastAsia="仿宋" w:cs="Times New Roman"/>
                          <w:b/>
                          <w:bCs/>
                          <w:i w:val="0"/>
                          <w:iCs w:val="0"/>
                          <w:sz w:val="28"/>
                          <w:szCs w:val="28"/>
                          <w:lang w:eastAsia="zh-CN"/>
                        </w:rPr>
                        <w:t>）</w:t>
                      </w:r>
                    </w:p>
                  </w:txbxContent>
                </v:textbox>
              </v:shape>
            </w:pict>
          </mc:Fallback>
        </mc:AlternateContent>
      </w:r>
    </w:p>
    <w:p w14:paraId="19C65954">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625E6D03">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09959E9A">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66B853DA">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7B2DC251">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0629A20D">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4DF8141E">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3FE86D9B">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5A9A896B">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7DA02CBA">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3CDF920D">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43824AF5">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756F85DD">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00F69DFE">
      <w:pPr>
        <w:spacing w:line="360" w:lineRule="auto"/>
        <w:ind w:left="0" w:firstLineChars="0"/>
        <w:jc w:val="left"/>
        <w:outlineLvl w:val="1"/>
        <w:rPr>
          <w:rFonts w:hint="eastAsia" w:ascii="仿宋_GB2312" w:hAnsi="仿宋_GB2312" w:eastAsia="仿宋_GB2312" w:cs="仿宋_GB2312"/>
          <w:color w:val="auto"/>
          <w:sz w:val="28"/>
          <w:szCs w:val="44"/>
          <w:highlight w:val="none"/>
        </w:rPr>
      </w:pPr>
    </w:p>
    <w:p w14:paraId="4E4D59D5">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t>法人证明</w:t>
      </w:r>
    </w:p>
    <w:p w14:paraId="2A166274">
      <w:pPr>
        <w:spacing w:line="360" w:lineRule="auto"/>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法定代表人身份证明书及法定代表人身份证复印件</w:t>
      </w:r>
    </w:p>
    <w:p w14:paraId="4CE7DC8B">
      <w:pPr>
        <w:spacing w:line="360" w:lineRule="auto"/>
        <w:ind w:firstLine="640" w:firstLineChars="200"/>
        <w:rPr>
          <w:rFonts w:hint="eastAsia" w:ascii="仿宋_GB2312" w:hAnsi="仿宋_GB2312" w:eastAsia="仿宋_GB2312" w:cs="仿宋_GB2312"/>
          <w:color w:val="auto"/>
          <w:sz w:val="32"/>
          <w:szCs w:val="32"/>
          <w:highlight w:val="none"/>
        </w:rPr>
      </w:pPr>
    </w:p>
    <w:p w14:paraId="2342D07B">
      <w:pPr>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东莞市东凤环境服务有限公司</w:t>
      </w:r>
      <w:r>
        <w:rPr>
          <w:rFonts w:hint="eastAsia" w:ascii="仿宋_GB2312" w:hAnsi="仿宋_GB2312" w:eastAsia="仿宋_GB2312" w:cs="仿宋_GB2312"/>
          <w:color w:val="auto"/>
          <w:sz w:val="32"/>
          <w:szCs w:val="32"/>
          <w:highlight w:val="none"/>
        </w:rPr>
        <w:t>：</w:t>
      </w:r>
    </w:p>
    <w:p w14:paraId="521C872C">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本证明书声明：注册于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（国家名称）的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名称）在下面签字的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（法定代表人姓名、职务）为本公司的合法代表人（须附法定代表人身份证复印件）。</w:t>
      </w:r>
    </w:p>
    <w:p w14:paraId="38C87015">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76253754">
      <w:pPr>
        <w:spacing w:line="360" w:lineRule="auto"/>
        <w:ind w:firstLine="640" w:firstLineChars="200"/>
        <w:rPr>
          <w:rFonts w:hint="eastAsia" w:ascii="仿宋_GB2312" w:hAnsi="仿宋_GB2312" w:eastAsia="仿宋_GB2312" w:cs="仿宋_GB2312"/>
          <w:color w:val="auto"/>
          <w:sz w:val="32"/>
          <w:szCs w:val="32"/>
          <w:highlight w:val="none"/>
        </w:rPr>
      </w:pPr>
    </w:p>
    <w:p w14:paraId="79746911">
      <w:pPr>
        <w:spacing w:line="360" w:lineRule="auto"/>
        <w:ind w:firstLine="640" w:firstLineChars="200"/>
        <w:rPr>
          <w:rFonts w:hint="eastAsia" w:ascii="仿宋_GB2312" w:hAnsi="仿宋_GB2312" w:eastAsia="仿宋_GB2312" w:cs="仿宋_GB2312"/>
          <w:color w:val="auto"/>
          <w:sz w:val="32"/>
          <w:szCs w:val="32"/>
          <w:highlight w:val="none"/>
        </w:rPr>
      </w:pPr>
    </w:p>
    <w:p w14:paraId="7B3177F9">
      <w:pPr>
        <w:spacing w:line="360" w:lineRule="auto"/>
        <w:ind w:firstLine="640" w:firstLineChars="200"/>
        <w:rPr>
          <w:rFonts w:hint="eastAsia" w:ascii="仿宋_GB2312" w:hAnsi="仿宋_GB2312" w:eastAsia="仿宋_GB2312" w:cs="仿宋_GB2312"/>
          <w:color w:val="auto"/>
          <w:sz w:val="32"/>
          <w:szCs w:val="32"/>
          <w:highlight w:val="none"/>
        </w:rPr>
      </w:pPr>
    </w:p>
    <w:p w14:paraId="2CE78B4F">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p>
    <w:p w14:paraId="2AE5AD13">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地址：</w:t>
      </w:r>
    </w:p>
    <w:p w14:paraId="4A6533F7">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法定代表人（签名或盖私章）：</w:t>
      </w:r>
    </w:p>
    <w:p w14:paraId="2CDFF751">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4155"/>
      </w:tblGrid>
      <w:tr w14:paraId="6F40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677" w:type="dxa"/>
            <w:tcBorders>
              <w:top w:val="single" w:color="auto" w:sz="4" w:space="0"/>
              <w:left w:val="single" w:color="auto" w:sz="4" w:space="0"/>
              <w:bottom w:val="single" w:color="auto" w:sz="4" w:space="0"/>
              <w:right w:val="nil"/>
            </w:tcBorders>
          </w:tcPr>
          <w:p w14:paraId="5BC54640">
            <w:pPr>
              <w:widowControl/>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（法定代表人身份证复印件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盖章</w:t>
            </w:r>
            <w:r>
              <w:rPr>
                <w:rFonts w:hint="eastAsia" w:ascii="仿宋_GB2312" w:hAnsi="仿宋_GB2312" w:eastAsia="仿宋_GB2312" w:cs="仿宋_GB2312"/>
                <w:b/>
                <w:bCs/>
                <w:sz w:val="28"/>
                <w:szCs w:val="28"/>
              </w:rPr>
              <w:t>）</w:t>
            </w:r>
          </w:p>
        </w:tc>
        <w:tc>
          <w:tcPr>
            <w:tcW w:w="4155" w:type="dxa"/>
            <w:tcBorders>
              <w:top w:val="single" w:color="auto" w:sz="4" w:space="0"/>
              <w:left w:val="nil"/>
              <w:bottom w:val="single" w:color="auto" w:sz="4" w:space="0"/>
              <w:right w:val="single" w:color="auto" w:sz="4" w:space="0"/>
            </w:tcBorders>
          </w:tcPr>
          <w:p w14:paraId="175A2F44">
            <w:pPr>
              <w:widowControl/>
              <w:spacing w:line="360" w:lineRule="auto"/>
              <w:rPr>
                <w:rFonts w:hint="eastAsia" w:ascii="仿宋_GB2312" w:hAnsi="仿宋_GB2312" w:eastAsia="仿宋_GB2312" w:cs="仿宋_GB2312"/>
                <w:b/>
                <w:bCs/>
                <w:sz w:val="28"/>
                <w:szCs w:val="28"/>
              </w:rPr>
            </w:pPr>
          </w:p>
        </w:tc>
      </w:tr>
    </w:tbl>
    <w:p w14:paraId="24103FA2">
      <w:pPr>
        <w:widowControl/>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bookmarkStart w:id="3" w:name="_Toc384752807"/>
    </w:p>
    <w:p w14:paraId="560638C5">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t>法人授权书</w:t>
      </w:r>
    </w:p>
    <w:p w14:paraId="750ED248">
      <w:pPr>
        <w:spacing w:line="360" w:lineRule="auto"/>
        <w:ind w:firstLine="640"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授权委托书</w:t>
      </w:r>
      <w:bookmarkEnd w:id="3"/>
    </w:p>
    <w:p w14:paraId="78874E9C">
      <w:pPr>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东莞市东凤环境服务有限公司</w:t>
      </w:r>
      <w:r>
        <w:rPr>
          <w:rFonts w:hint="eastAsia" w:ascii="仿宋_GB2312" w:hAnsi="仿宋_GB2312" w:eastAsia="仿宋_GB2312" w:cs="仿宋_GB2312"/>
          <w:color w:val="auto"/>
          <w:sz w:val="32"/>
          <w:szCs w:val="32"/>
          <w:highlight w:val="none"/>
        </w:rPr>
        <w:t>：</w:t>
      </w:r>
    </w:p>
    <w:p w14:paraId="71713DC2">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本委托书声明：在下面签字的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（填写法定代表人姓名、职务）代表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名称）委托在下面签字的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（填写受委托人的姓名、职务）为本公司的合法代表人，就</w:t>
      </w:r>
      <w:r>
        <w:rPr>
          <w:rFonts w:hint="eastAsia" w:ascii="仿宋_GB2312" w:hAnsi="仿宋_GB2312" w:eastAsia="仿宋_GB2312" w:cs="仿宋_GB2312"/>
          <w:color w:val="auto"/>
          <w:sz w:val="32"/>
          <w:szCs w:val="32"/>
          <w:highlight w:val="none"/>
          <w:lang w:eastAsia="zh-CN"/>
        </w:rPr>
        <w:t>东凤公司垃圾转运站渗滤液转运箱采购项目（重新采购）</w:t>
      </w:r>
      <w:r>
        <w:rPr>
          <w:rFonts w:hint="eastAsia" w:ascii="仿宋_GB2312" w:hAnsi="仿宋_GB2312" w:eastAsia="仿宋_GB2312" w:cs="仿宋_GB2312"/>
          <w:color w:val="auto"/>
          <w:sz w:val="32"/>
          <w:szCs w:val="32"/>
          <w:highlight w:val="none"/>
        </w:rPr>
        <w:t>等相关供货、服务的报价、谈判和合同的签订、执行，以我方的名义处理一切与之有关的事宜（相关身份证复印件须附后）。</w:t>
      </w:r>
    </w:p>
    <w:p w14:paraId="2527BAF7">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本委托书于</w:t>
      </w:r>
      <w:r>
        <w:rPr>
          <w:rFonts w:hint="eastAsia" w:ascii="仿宋_GB2312" w:hAnsi="仿宋_GB2312" w:eastAsia="仿宋_GB2312" w:cs="仿宋_GB2312"/>
          <w:i/>
          <w:i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日签字生效，特此声明。（有效期不得少于90个日历日）</w:t>
      </w:r>
    </w:p>
    <w:p w14:paraId="3EB8C9CD">
      <w:pPr>
        <w:spacing w:line="360" w:lineRule="auto"/>
        <w:ind w:firstLine="0" w:firstLineChars="0"/>
        <w:rPr>
          <w:rFonts w:hint="eastAsia" w:ascii="仿宋_GB2312" w:hAnsi="仿宋_GB2312" w:eastAsia="仿宋_GB2312" w:cs="仿宋_GB2312"/>
          <w:color w:val="auto"/>
          <w:sz w:val="32"/>
          <w:szCs w:val="32"/>
          <w:highlight w:val="none"/>
        </w:rPr>
      </w:pPr>
    </w:p>
    <w:p w14:paraId="5871EBE2">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p>
    <w:p w14:paraId="4C988424">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地址：</w:t>
      </w:r>
    </w:p>
    <w:p w14:paraId="64911C2B">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42DB5755">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65E476EA">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受委托人（签字或盖章）：</w:t>
      </w:r>
    </w:p>
    <w:p w14:paraId="3BCAFE86">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736E9FC9">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bookmarkEnd w:id="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7005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258" w:type="dxa"/>
            <w:tcBorders>
              <w:top w:val="single" w:color="auto" w:sz="4" w:space="0"/>
              <w:left w:val="single" w:color="auto" w:sz="4" w:space="0"/>
              <w:bottom w:val="single" w:color="auto" w:sz="4" w:space="0"/>
              <w:right w:val="nil"/>
            </w:tcBorders>
          </w:tcPr>
          <w:p w14:paraId="46DFA0C3">
            <w:pPr>
              <w:widowControl/>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（受委托人身份证复印件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盖章</w:t>
            </w:r>
            <w:r>
              <w:rPr>
                <w:rFonts w:hint="eastAsia" w:ascii="仿宋_GB2312" w:hAnsi="仿宋_GB2312" w:eastAsia="仿宋_GB2312" w:cs="仿宋_GB2312"/>
                <w:b/>
                <w:bCs/>
                <w:sz w:val="28"/>
                <w:szCs w:val="28"/>
              </w:rPr>
              <w:t>）</w:t>
            </w:r>
          </w:p>
        </w:tc>
        <w:tc>
          <w:tcPr>
            <w:tcW w:w="4258" w:type="dxa"/>
            <w:tcBorders>
              <w:top w:val="single" w:color="auto" w:sz="4" w:space="0"/>
              <w:left w:val="nil"/>
              <w:bottom w:val="single" w:color="auto" w:sz="4" w:space="0"/>
              <w:right w:val="single" w:color="auto" w:sz="4" w:space="0"/>
            </w:tcBorders>
          </w:tcPr>
          <w:p w14:paraId="519019AD">
            <w:pPr>
              <w:widowControl/>
              <w:spacing w:line="360" w:lineRule="auto"/>
              <w:rPr>
                <w:rFonts w:hint="eastAsia" w:ascii="仿宋_GB2312" w:hAnsi="仿宋_GB2312" w:eastAsia="仿宋_GB2312" w:cs="仿宋_GB2312"/>
                <w:b/>
                <w:bCs/>
                <w:sz w:val="28"/>
                <w:szCs w:val="28"/>
              </w:rPr>
            </w:pPr>
          </w:p>
        </w:tc>
      </w:tr>
    </w:tbl>
    <w:p w14:paraId="39158D30">
      <w:pPr>
        <w:rPr>
          <w:rFonts w:hint="eastAsia" w:ascii="仿宋_GB2312" w:hAnsi="仿宋_GB2312" w:eastAsia="仿宋_GB2312" w:cs="仿宋_GB2312"/>
          <w:sz w:val="28"/>
          <w:szCs w:val="44"/>
        </w:rPr>
      </w:pPr>
    </w:p>
    <w:p w14:paraId="041AAC65">
      <w:pPr>
        <w:rPr>
          <w:rFonts w:hint="eastAsia" w:ascii="仿宋_GB2312" w:hAnsi="仿宋_GB2312" w:eastAsia="仿宋_GB2312" w:cs="仿宋_GB2312"/>
          <w:sz w:val="28"/>
          <w:szCs w:val="44"/>
        </w:rPr>
      </w:pPr>
    </w:p>
    <w:p w14:paraId="5C1F136F">
      <w:pPr>
        <w:rPr>
          <w:rFonts w:hint="eastAsia" w:ascii="仿宋_GB2312" w:hAnsi="仿宋_GB2312" w:eastAsia="仿宋_GB2312" w:cs="仿宋_GB2312"/>
          <w:sz w:val="28"/>
          <w:szCs w:val="44"/>
        </w:rPr>
      </w:pPr>
    </w:p>
    <w:p w14:paraId="4545632E">
      <w:pPr>
        <w:rPr>
          <w:rFonts w:hint="eastAsia" w:ascii="仿宋_GB2312" w:hAnsi="仿宋_GB2312" w:eastAsia="仿宋_GB2312" w:cs="仿宋_GB2312"/>
          <w:sz w:val="28"/>
          <w:szCs w:val="44"/>
        </w:rPr>
      </w:pPr>
    </w:p>
    <w:p w14:paraId="05A71400">
      <w:pPr>
        <w:rPr>
          <w:rFonts w:hint="eastAsia" w:ascii="仿宋_GB2312" w:hAnsi="仿宋_GB2312" w:eastAsia="仿宋_GB2312" w:cs="仿宋_GB2312"/>
          <w:sz w:val="28"/>
          <w:szCs w:val="44"/>
        </w:rPr>
      </w:pPr>
    </w:p>
    <w:p w14:paraId="64F2FF2E">
      <w:pPr>
        <w:rPr>
          <w:rFonts w:hint="eastAsia" w:ascii="仿宋_GB2312" w:hAnsi="仿宋_GB2312" w:eastAsia="仿宋_GB2312" w:cs="仿宋_GB2312"/>
          <w:sz w:val="28"/>
          <w:szCs w:val="44"/>
        </w:rPr>
      </w:pPr>
    </w:p>
    <w:p w14:paraId="71E0AE1E">
      <w:pPr>
        <w:rPr>
          <w:rFonts w:hint="eastAsia" w:ascii="仿宋_GB2312" w:hAnsi="仿宋_GB2312" w:eastAsia="仿宋_GB2312" w:cs="仿宋_GB2312"/>
          <w:sz w:val="28"/>
          <w:szCs w:val="44"/>
        </w:rPr>
      </w:pPr>
    </w:p>
    <w:p w14:paraId="63C9B8F0">
      <w:pPr>
        <w:rPr>
          <w:rFonts w:hint="eastAsia" w:ascii="仿宋_GB2312" w:hAnsi="仿宋_GB2312" w:eastAsia="仿宋_GB2312" w:cs="仿宋_GB2312"/>
          <w:sz w:val="28"/>
          <w:szCs w:val="44"/>
        </w:rPr>
      </w:pPr>
    </w:p>
    <w:p w14:paraId="56B0BCB0">
      <w:pPr>
        <w:rPr>
          <w:rFonts w:hint="eastAsia" w:ascii="仿宋_GB2312" w:hAnsi="仿宋_GB2312" w:eastAsia="仿宋_GB2312" w:cs="仿宋_GB2312"/>
          <w:sz w:val="28"/>
          <w:szCs w:val="44"/>
        </w:rPr>
      </w:pPr>
    </w:p>
    <w:p w14:paraId="2308E23C">
      <w:pPr>
        <w:rPr>
          <w:rFonts w:hint="eastAsia" w:ascii="仿宋_GB2312" w:hAnsi="仿宋_GB2312" w:eastAsia="仿宋_GB2312" w:cs="仿宋_GB2312"/>
          <w:sz w:val="28"/>
          <w:szCs w:val="44"/>
        </w:rPr>
      </w:pPr>
    </w:p>
    <w:p w14:paraId="46ACC263">
      <w:pPr>
        <w:rPr>
          <w:rFonts w:hint="eastAsia" w:ascii="仿宋_GB2312" w:hAnsi="仿宋_GB2312" w:eastAsia="仿宋_GB2312" w:cs="仿宋_GB2312"/>
          <w:sz w:val="28"/>
          <w:szCs w:val="44"/>
        </w:rPr>
      </w:pPr>
    </w:p>
    <w:p w14:paraId="09A83551">
      <w:pPr>
        <w:rPr>
          <w:rFonts w:hint="eastAsia" w:ascii="仿宋_GB2312" w:hAnsi="仿宋_GB2312" w:eastAsia="仿宋_GB2312" w:cs="仿宋_GB2312"/>
          <w:sz w:val="28"/>
          <w:szCs w:val="44"/>
        </w:rPr>
      </w:pPr>
    </w:p>
    <w:p w14:paraId="34E8AD43">
      <w:pPr>
        <w:rPr>
          <w:rFonts w:hint="eastAsia" w:ascii="仿宋_GB2312" w:hAnsi="仿宋_GB2312" w:eastAsia="仿宋_GB2312" w:cs="仿宋_GB2312"/>
          <w:sz w:val="28"/>
          <w:szCs w:val="44"/>
        </w:rPr>
      </w:pPr>
    </w:p>
    <w:p w14:paraId="1C23B0CD">
      <w:pPr>
        <w:rPr>
          <w:rFonts w:hint="eastAsia" w:ascii="仿宋_GB2312" w:hAnsi="仿宋_GB2312" w:eastAsia="仿宋_GB2312" w:cs="仿宋_GB2312"/>
          <w:sz w:val="28"/>
          <w:szCs w:val="44"/>
        </w:rPr>
      </w:pPr>
    </w:p>
    <w:p w14:paraId="5B83010F">
      <w:pPr>
        <w:rPr>
          <w:rFonts w:hint="eastAsia" w:ascii="仿宋_GB2312" w:hAnsi="仿宋_GB2312" w:eastAsia="仿宋_GB2312" w:cs="仿宋_GB2312"/>
          <w:sz w:val="28"/>
          <w:szCs w:val="44"/>
        </w:rPr>
      </w:pPr>
    </w:p>
    <w:p w14:paraId="5166D806">
      <w:pPr>
        <w:rPr>
          <w:rFonts w:hint="eastAsia" w:ascii="仿宋_GB2312" w:hAnsi="仿宋_GB2312" w:eastAsia="仿宋_GB2312" w:cs="仿宋_GB2312"/>
          <w:sz w:val="28"/>
          <w:szCs w:val="44"/>
        </w:rPr>
      </w:pPr>
    </w:p>
    <w:p w14:paraId="71EC4886">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sz w:val="28"/>
          <w:szCs w:val="44"/>
        </w:rPr>
      </w:pPr>
      <w:r>
        <w:rPr>
          <w:rFonts w:hint="eastAsia" w:ascii="仿宋_GB2312" w:hAnsi="仿宋_GB2312" w:eastAsia="仿宋_GB2312" w:cs="仿宋_GB2312"/>
          <w:b/>
          <w:bCs/>
          <w:sz w:val="28"/>
          <w:szCs w:val="44"/>
          <w:lang w:val="en-US" w:eastAsia="zh-CN"/>
        </w:rPr>
        <w:t>依法缴纳税收证明材料（提供报价截止日前6个月内任意1个月下列2项证明材料：①依法缴纳税收；②无欠税证明。如依法免税的，须提供相应证明材料）（加盖公章）</w:t>
      </w:r>
    </w:p>
    <w:p w14:paraId="355BB67E">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sz w:val="28"/>
          <w:szCs w:val="44"/>
        </w:rPr>
      </w:pPr>
      <w:r>
        <w:rPr>
          <w:rFonts w:hint="eastAsia" w:ascii="仿宋_GB2312" w:hAnsi="仿宋_GB2312" w:eastAsia="仿宋_GB2312" w:cs="仿宋_GB2312"/>
        </w:rPr>
        <w:drawing>
          <wp:inline distT="0" distB="0" distL="114300" distR="114300">
            <wp:extent cx="5610860" cy="3404235"/>
            <wp:effectExtent l="0" t="0" r="8890" b="571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5610860" cy="3404235"/>
                    </a:xfrm>
                    <a:prstGeom prst="rect">
                      <a:avLst/>
                    </a:prstGeom>
                    <a:noFill/>
                    <a:ln>
                      <a:noFill/>
                    </a:ln>
                  </pic:spPr>
                </pic:pic>
              </a:graphicData>
            </a:graphic>
          </wp:inline>
        </w:drawing>
      </w:r>
    </w:p>
    <w:p w14:paraId="507CDBD7">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402646AE">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0ECF6016">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7286595D">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63D61717">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30334BB8">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66FC3284">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1062E351">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11E43006">
      <w:pPr>
        <w:spacing w:line="240" w:lineRule="auto"/>
        <w:rPr>
          <w:rFonts w:hint="eastAsia" w:ascii="仿宋_GB2312" w:hAnsi="仿宋_GB2312" w:eastAsia="仿宋_GB2312" w:cs="仿宋_GB2312"/>
          <w:color w:val="auto"/>
          <w:sz w:val="28"/>
          <w:szCs w:val="44"/>
          <w:highlight w:val="none"/>
        </w:rPr>
      </w:pPr>
    </w:p>
    <w:p w14:paraId="05EFB8AC">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lang w:val="en-US" w:eastAsia="zh-CN"/>
        </w:rPr>
        <w:t>承诺函</w:t>
      </w:r>
    </w:p>
    <w:p w14:paraId="794744A7">
      <w:pPr>
        <w:pStyle w:val="15"/>
        <w:numPr>
          <w:ilvl w:val="-1"/>
          <w:numId w:val="0"/>
        </w:numPr>
        <w:spacing w:line="360" w:lineRule="auto"/>
        <w:ind w:left="0" w:firstLine="0" w:firstLineChars="0"/>
        <w:jc w:val="center"/>
        <w:outlineLvl w:val="1"/>
        <w:rPr>
          <w:rFonts w:hint="eastAsia" w:ascii="仿宋_GB2312" w:hAnsi="仿宋_GB2312" w:eastAsia="仿宋_GB2312" w:cs="仿宋_GB2312"/>
          <w:color w:val="auto"/>
          <w:sz w:val="28"/>
          <w:szCs w:val="44"/>
          <w:highlight w:val="none"/>
        </w:rPr>
      </w:pPr>
      <w:r>
        <w:rPr>
          <w:rFonts w:hint="eastAsia" w:ascii="仿宋_GB2312" w:hAnsi="仿宋_GB2312" w:eastAsia="仿宋_GB2312" w:cs="仿宋_GB2312"/>
          <w:b/>
          <w:bCs/>
          <w:color w:val="auto"/>
          <w:sz w:val="28"/>
          <w:szCs w:val="44"/>
          <w:highlight w:val="none"/>
        </w:rPr>
        <w:t>承诺函</w:t>
      </w:r>
    </w:p>
    <w:p w14:paraId="7198BF52">
      <w:pPr>
        <w:spacing w:line="360" w:lineRule="auto"/>
        <w:ind w:firstLine="0" w:firstLineChars="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lang w:eastAsia="zh-CN"/>
        </w:rPr>
        <w:t>东莞市东凤环境服务有限公司：</w:t>
      </w:r>
    </w:p>
    <w:p w14:paraId="60FDAA83">
      <w:pPr>
        <w:spacing w:line="360" w:lineRule="auto"/>
        <w:ind w:firstLine="640" w:firstLineChars="20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lang w:eastAsia="zh-CN"/>
        </w:rPr>
        <w:t>我公司在此郑重承诺，我</w:t>
      </w:r>
      <w:r>
        <w:rPr>
          <w:rFonts w:hint="eastAsia" w:ascii="仿宋_GB2312" w:hAnsi="仿宋_GB2312" w:eastAsia="仿宋_GB2312" w:cs="仿宋_GB2312"/>
          <w:bCs w:val="0"/>
          <w:color w:val="auto"/>
          <w:kern w:val="2"/>
          <w:sz w:val="32"/>
          <w:szCs w:val="32"/>
          <w:highlight w:val="none"/>
          <w:lang w:val="en-US" w:eastAsia="zh-CN"/>
        </w:rPr>
        <w:t>司提供</w:t>
      </w:r>
      <w:r>
        <w:rPr>
          <w:rFonts w:hint="eastAsia" w:ascii="仿宋_GB2312" w:hAnsi="仿宋_GB2312" w:eastAsia="仿宋_GB2312" w:cs="仿宋_GB2312"/>
          <w:bCs w:val="0"/>
          <w:color w:val="auto"/>
          <w:kern w:val="2"/>
          <w:sz w:val="32"/>
          <w:szCs w:val="32"/>
          <w:highlight w:val="none"/>
          <w:lang w:eastAsia="zh-CN"/>
        </w:rPr>
        <w:t>的产品</w:t>
      </w:r>
      <w:r>
        <w:rPr>
          <w:rFonts w:hint="eastAsia" w:ascii="仿宋_GB2312" w:hAnsi="仿宋_GB2312" w:eastAsia="仿宋_GB2312" w:cs="仿宋_GB2312"/>
          <w:b w:val="0"/>
          <w:bCs w:val="0"/>
          <w:color w:val="auto"/>
          <w:kern w:val="2"/>
          <w:sz w:val="32"/>
          <w:szCs w:val="32"/>
          <w:highlight w:val="none"/>
          <w:lang w:val="en-US" w:eastAsia="zh-CN" w:bidi="ar-SA"/>
        </w:rPr>
        <w:t>自贵司验收合格之日起</w:t>
      </w:r>
      <w:r>
        <w:rPr>
          <w:rFonts w:hint="eastAsia" w:ascii="仿宋_GB2312" w:hAnsi="仿宋_GB2312" w:eastAsia="仿宋_GB2312" w:cs="仿宋_GB2312"/>
          <w:i w:val="0"/>
          <w:iCs w:val="0"/>
          <w:caps w:val="0"/>
          <w:color w:val="auto"/>
          <w:spacing w:val="0"/>
          <w:sz w:val="32"/>
          <w:szCs w:val="32"/>
          <w:highlight w:val="none"/>
        </w:rPr>
        <w:t>质保</w:t>
      </w:r>
      <w:r>
        <w:rPr>
          <w:rFonts w:hint="eastAsia" w:ascii="仿宋_GB2312" w:hAnsi="仿宋_GB2312" w:eastAsia="仿宋_GB2312" w:cs="仿宋_GB2312"/>
          <w:i w:val="0"/>
          <w:iCs w:val="0"/>
          <w:caps w:val="0"/>
          <w:color w:val="auto"/>
          <w:spacing w:val="0"/>
          <w:sz w:val="32"/>
          <w:szCs w:val="32"/>
          <w:highlight w:val="none"/>
          <w:lang w:val="en-US" w:eastAsia="zh-CN"/>
        </w:rPr>
        <w:t>壹年</w:t>
      </w:r>
      <w:r>
        <w:rPr>
          <w:rFonts w:hint="eastAsia" w:ascii="仿宋_GB2312" w:hAnsi="仿宋_GB2312" w:eastAsia="仿宋_GB2312" w:cs="仿宋_GB2312"/>
          <w:b w:val="0"/>
          <w:bCs w:val="0"/>
          <w:color w:val="auto"/>
          <w:kern w:val="2"/>
          <w:sz w:val="32"/>
          <w:szCs w:val="32"/>
          <w:highlight w:val="none"/>
          <w:lang w:val="en-US" w:eastAsia="zh-CN" w:bidi="ar-SA"/>
        </w:rPr>
        <w:t>（如技术规格书或厂家对单体产品有更高要求的，遵循更高要求）。质保期</w:t>
      </w:r>
      <w:r>
        <w:rPr>
          <w:rFonts w:hint="eastAsia" w:ascii="仿宋_GB2312" w:hAnsi="仿宋_GB2312" w:eastAsia="仿宋_GB2312" w:cs="仿宋_GB2312"/>
          <w:bCs w:val="0"/>
          <w:color w:val="auto"/>
          <w:kern w:val="2"/>
          <w:sz w:val="32"/>
          <w:szCs w:val="32"/>
          <w:highlight w:val="none"/>
          <w:lang w:val="en-US" w:eastAsia="zh-CN"/>
        </w:rPr>
        <w:t>内将</w:t>
      </w:r>
      <w:r>
        <w:rPr>
          <w:rFonts w:hint="eastAsia" w:ascii="仿宋_GB2312" w:hAnsi="仿宋_GB2312" w:eastAsia="仿宋_GB2312" w:cs="仿宋_GB2312"/>
          <w:b w:val="0"/>
          <w:bCs w:val="0"/>
          <w:color w:val="auto"/>
          <w:kern w:val="2"/>
          <w:sz w:val="32"/>
          <w:szCs w:val="32"/>
          <w:highlight w:val="none"/>
          <w:lang w:val="en-US" w:eastAsia="zh-CN" w:bidi="ar-SA"/>
        </w:rPr>
        <w:t>提供24小时电话服务热线，保证在接到故障电话（或书面通知）即时响应（即能提供满足用户需要的解决方法），1小时内与采购人协商给出合理解决方案，并在采购人指定时间内予以修理或更换。</w:t>
      </w:r>
      <w:r>
        <w:rPr>
          <w:rFonts w:hint="eastAsia" w:ascii="仿宋_GB2312" w:hAnsi="仿宋_GB2312" w:eastAsia="仿宋_GB2312" w:cs="仿宋_GB2312"/>
          <w:bCs w:val="0"/>
          <w:color w:val="auto"/>
          <w:kern w:val="2"/>
          <w:sz w:val="32"/>
          <w:szCs w:val="32"/>
          <w:highlight w:val="none"/>
          <w:lang w:eastAsia="zh-CN"/>
        </w:rPr>
        <w:t>如果我司售后服务达不到要求，我公司愿承担一切后果责任。</w:t>
      </w:r>
    </w:p>
    <w:p w14:paraId="14C16543">
      <w:pPr>
        <w:spacing w:line="360" w:lineRule="auto"/>
        <w:ind w:firstLine="640" w:firstLineChars="0"/>
        <w:jc w:val="left"/>
        <w:rPr>
          <w:rFonts w:hint="eastAsia" w:ascii="仿宋_GB2312" w:hAnsi="仿宋_GB2312" w:eastAsia="仿宋_GB2312" w:cs="仿宋_GB2312"/>
          <w:bCs w:val="0"/>
          <w:color w:val="auto"/>
          <w:kern w:val="2"/>
          <w:sz w:val="32"/>
          <w:szCs w:val="32"/>
          <w:highlight w:val="none"/>
          <w:lang w:eastAsia="zh-CN"/>
        </w:rPr>
      </w:pPr>
    </w:p>
    <w:p w14:paraId="062CA1E4">
      <w:pPr>
        <w:spacing w:line="360" w:lineRule="auto"/>
        <w:ind w:firstLine="640" w:firstLineChars="0"/>
        <w:jc w:val="left"/>
        <w:rPr>
          <w:rFonts w:hint="eastAsia" w:ascii="仿宋_GB2312" w:hAnsi="仿宋_GB2312" w:eastAsia="仿宋_GB2312" w:cs="仿宋_GB2312"/>
          <w:bCs w:val="0"/>
          <w:color w:val="auto"/>
          <w:kern w:val="2"/>
          <w:sz w:val="32"/>
          <w:szCs w:val="32"/>
          <w:highlight w:val="none"/>
          <w:lang w:eastAsia="zh-CN"/>
        </w:rPr>
      </w:pPr>
    </w:p>
    <w:p w14:paraId="3079A3C2">
      <w:pPr>
        <w:spacing w:line="360" w:lineRule="auto"/>
        <w:ind w:firstLine="64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val="0"/>
          <w:color w:val="auto"/>
          <w:kern w:val="2"/>
          <w:sz w:val="32"/>
          <w:szCs w:val="32"/>
          <w:highlight w:val="none"/>
          <w:lang w:eastAsia="zh-CN"/>
        </w:rPr>
        <w:t>售后服务联系电话：</w:t>
      </w:r>
    </w:p>
    <w:p w14:paraId="412FB1CF">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报价人</w:t>
      </w:r>
      <w:r>
        <w:rPr>
          <w:rFonts w:hint="eastAsia" w:ascii="仿宋_GB2312" w:hAnsi="仿宋_GB2312" w:eastAsia="仿宋_GB2312" w:cs="仿宋_GB2312"/>
          <w:b w:val="0"/>
          <w:bCs w:val="0"/>
          <w:color w:val="auto"/>
          <w:sz w:val="32"/>
          <w:szCs w:val="32"/>
          <w:highlight w:val="none"/>
        </w:rPr>
        <w:t>名称（加盖公章）：</w:t>
      </w:r>
    </w:p>
    <w:p w14:paraId="40A05040">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w:t>
      </w:r>
      <w:r>
        <w:rPr>
          <w:rFonts w:hint="eastAsia" w:ascii="仿宋_GB2312" w:hAnsi="仿宋_GB2312" w:eastAsia="仿宋_GB2312" w:cs="仿宋_GB2312"/>
          <w:b w:val="0"/>
          <w:bCs w:val="0"/>
          <w:kern w:val="2"/>
          <w:sz w:val="32"/>
          <w:szCs w:val="32"/>
          <w:highlight w:val="none"/>
          <w:lang w:val="en-US" w:eastAsia="zh-CN" w:bidi="ar"/>
        </w:rPr>
        <w:t>或被授权委托人</w:t>
      </w:r>
      <w:r>
        <w:rPr>
          <w:rFonts w:hint="eastAsia" w:ascii="仿宋_GB2312" w:hAnsi="仿宋_GB2312" w:eastAsia="仿宋_GB2312" w:cs="仿宋_GB2312"/>
          <w:b w:val="0"/>
          <w:bCs w:val="0"/>
          <w:color w:val="auto"/>
          <w:sz w:val="32"/>
          <w:szCs w:val="32"/>
          <w:highlight w:val="none"/>
        </w:rPr>
        <w:t>（签字或盖章）：</w:t>
      </w:r>
    </w:p>
    <w:p w14:paraId="1E1A0DB5">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p>
    <w:p w14:paraId="07C1A29E">
      <w:pPr>
        <w:pStyle w:val="5"/>
        <w:rPr>
          <w:rFonts w:hint="eastAsia" w:ascii="仿宋_GB2312" w:hAnsi="仿宋_GB2312" w:eastAsia="仿宋_GB2312" w:cs="仿宋_GB2312"/>
          <w:color w:val="auto"/>
          <w:sz w:val="28"/>
          <w:szCs w:val="44"/>
          <w:highlight w:val="none"/>
        </w:rPr>
      </w:pPr>
    </w:p>
    <w:p w14:paraId="45464CDB">
      <w:pPr>
        <w:rPr>
          <w:rFonts w:hint="eastAsia" w:ascii="仿宋_GB2312" w:hAnsi="仿宋_GB2312" w:eastAsia="仿宋_GB2312" w:cs="仿宋_GB2312"/>
          <w:color w:val="auto"/>
          <w:sz w:val="28"/>
          <w:szCs w:val="44"/>
          <w:highlight w:val="none"/>
        </w:rPr>
      </w:pPr>
    </w:p>
    <w:p w14:paraId="7CB68A8F">
      <w:pPr>
        <w:rPr>
          <w:rFonts w:hint="eastAsia" w:ascii="仿宋_GB2312" w:hAnsi="仿宋_GB2312" w:eastAsia="仿宋_GB2312" w:cs="仿宋_GB2312"/>
          <w:color w:val="auto"/>
          <w:sz w:val="28"/>
          <w:szCs w:val="44"/>
          <w:highlight w:val="none"/>
        </w:rPr>
      </w:pPr>
    </w:p>
    <w:p w14:paraId="124AC04E">
      <w:pPr>
        <w:rPr>
          <w:rFonts w:hint="eastAsia" w:ascii="仿宋_GB2312" w:hAnsi="仿宋_GB2312" w:eastAsia="仿宋_GB2312" w:cs="仿宋_GB2312"/>
          <w:color w:val="auto"/>
          <w:sz w:val="28"/>
          <w:szCs w:val="44"/>
          <w:highlight w:val="none"/>
        </w:rPr>
      </w:pPr>
    </w:p>
    <w:p w14:paraId="74254B89">
      <w:pPr>
        <w:rPr>
          <w:rFonts w:hint="eastAsia" w:ascii="仿宋_GB2312" w:hAnsi="仿宋_GB2312" w:eastAsia="仿宋_GB2312" w:cs="仿宋_GB2312"/>
          <w:color w:val="auto"/>
          <w:sz w:val="28"/>
          <w:szCs w:val="44"/>
          <w:highlight w:val="none"/>
        </w:rPr>
      </w:pPr>
    </w:p>
    <w:p w14:paraId="3817059D">
      <w:pPr>
        <w:rPr>
          <w:rFonts w:hint="eastAsia" w:ascii="仿宋_GB2312" w:hAnsi="仿宋_GB2312" w:eastAsia="仿宋_GB2312" w:cs="仿宋_GB2312"/>
          <w:color w:val="auto"/>
          <w:sz w:val="28"/>
          <w:szCs w:val="44"/>
          <w:highlight w:val="none"/>
        </w:rPr>
      </w:pPr>
    </w:p>
    <w:p w14:paraId="7D5A62DA">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t>在经营活动中没有重大违法记录的书面声明</w:t>
      </w:r>
    </w:p>
    <w:p w14:paraId="492039DA">
      <w:pPr>
        <w:pStyle w:val="15"/>
        <w:numPr>
          <w:ilvl w:val="-1"/>
          <w:numId w:val="0"/>
        </w:numPr>
        <w:spacing w:line="360" w:lineRule="auto"/>
        <w:ind w:left="0" w:firstLine="0" w:firstLineChars="0"/>
        <w:jc w:val="center"/>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t>报价人在经营活动中前三年内未有重大违法记录、没有不良信用记录的声明函</w:t>
      </w:r>
    </w:p>
    <w:p w14:paraId="4D83C8DB">
      <w:pPr>
        <w:spacing w:line="360" w:lineRule="auto"/>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东莞市东凤环境服务有限公司</w:t>
      </w:r>
      <w:r>
        <w:rPr>
          <w:rFonts w:hint="eastAsia" w:ascii="仿宋_GB2312" w:hAnsi="仿宋_GB2312" w:eastAsia="仿宋_GB2312" w:cs="仿宋_GB2312"/>
          <w:color w:val="auto"/>
          <w:sz w:val="32"/>
          <w:szCs w:val="32"/>
          <w:highlight w:val="none"/>
          <w:u w:val="none"/>
        </w:rPr>
        <w:t>：</w:t>
      </w:r>
    </w:p>
    <w:p w14:paraId="44ED689A">
      <w:pPr>
        <w:spacing w:line="360" w:lineRule="auto"/>
        <w:ind w:firstLine="640" w:firstLineChars="200"/>
        <w:jc w:val="left"/>
        <w:rPr>
          <w:rFonts w:hint="eastAsia" w:ascii="仿宋_GB2312" w:hAnsi="仿宋_GB2312" w:eastAsia="仿宋_GB2312" w:cs="仿宋_GB2312"/>
          <w:color w:val="auto"/>
          <w:sz w:val="32"/>
          <w:szCs w:val="32"/>
          <w:highlight w:val="none"/>
          <w:u w:val="none"/>
          <w:lang w:bidi="zh-CN"/>
        </w:rPr>
      </w:pPr>
      <w:r>
        <w:rPr>
          <w:rFonts w:hint="eastAsia" w:ascii="仿宋_GB2312" w:hAnsi="仿宋_GB2312" w:eastAsia="仿宋_GB2312" w:cs="仿宋_GB2312"/>
          <w:color w:val="auto"/>
          <w:sz w:val="32"/>
          <w:szCs w:val="32"/>
          <w:highlight w:val="none"/>
          <w:u w:val="none"/>
          <w:lang w:bidi="zh-CN"/>
        </w:rPr>
        <w:t>我公司郑重承诺：在参加“</w:t>
      </w:r>
      <w:r>
        <w:rPr>
          <w:rFonts w:hint="eastAsia" w:ascii="仿宋_GB2312" w:hAnsi="仿宋_GB2312" w:eastAsia="仿宋_GB2312" w:cs="仿宋_GB2312"/>
          <w:color w:val="auto"/>
          <w:sz w:val="32"/>
          <w:szCs w:val="32"/>
          <w:highlight w:val="none"/>
          <w:u w:val="none"/>
          <w:lang w:eastAsia="zh-CN"/>
        </w:rPr>
        <w:t>东凤公司垃圾转运站渗滤液转运箱采购项目（重新采购）</w:t>
      </w:r>
      <w:r>
        <w:rPr>
          <w:rFonts w:hint="eastAsia" w:ascii="仿宋_GB2312" w:hAnsi="仿宋_GB2312" w:eastAsia="仿宋_GB2312" w:cs="仿宋_GB2312"/>
          <w:color w:val="auto"/>
          <w:sz w:val="32"/>
          <w:szCs w:val="32"/>
          <w:highlight w:val="none"/>
          <w:u w:val="none"/>
          <w:lang w:bidi="zh-CN"/>
        </w:rPr>
        <w:t>”采购活动前三年内（设立不满三年的从设立之日计算），在经营活动中没有重大违法记录；至本项目提交报价文件截止时间止未被列入“信用中国”网站失信被执行人、重大税收违法失信主体、政府采购严重违法失信行为记录名单。</w:t>
      </w:r>
    </w:p>
    <w:p w14:paraId="755BA5D1">
      <w:pPr>
        <w:spacing w:line="360" w:lineRule="auto"/>
        <w:ind w:firstLine="0" w:firstLineChars="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bidi="zh-CN"/>
        </w:rPr>
        <w:t>我公司以上承诺均为真实有效，绝无任何虚假、伪造的成份，否则，愿承担相应的后果和法律责任。</w:t>
      </w:r>
    </w:p>
    <w:p w14:paraId="5CBB806F">
      <w:pPr>
        <w:spacing w:line="360" w:lineRule="auto"/>
        <w:ind w:firstLine="0" w:firstLineChars="0"/>
        <w:jc w:val="left"/>
        <w:rPr>
          <w:rFonts w:hint="eastAsia" w:ascii="仿宋_GB2312" w:hAnsi="仿宋_GB2312" w:eastAsia="仿宋_GB2312" w:cs="仿宋_GB2312"/>
          <w:color w:val="auto"/>
          <w:sz w:val="32"/>
          <w:szCs w:val="32"/>
          <w:highlight w:val="none"/>
          <w:u w:val="none"/>
        </w:rPr>
      </w:pPr>
    </w:p>
    <w:p w14:paraId="3D349549">
      <w:pPr>
        <w:spacing w:line="360" w:lineRule="auto"/>
        <w:jc w:val="left"/>
        <w:rPr>
          <w:rFonts w:hint="eastAsia" w:ascii="仿宋_GB2312" w:hAnsi="仿宋_GB2312" w:eastAsia="仿宋_GB2312" w:cs="仿宋_GB2312"/>
          <w:color w:val="auto"/>
          <w:sz w:val="32"/>
          <w:szCs w:val="32"/>
          <w:highlight w:val="none"/>
          <w:u w:val="none"/>
        </w:rPr>
      </w:pPr>
    </w:p>
    <w:p w14:paraId="5BC22708">
      <w:pPr>
        <w:spacing w:line="360" w:lineRule="auto"/>
        <w:ind w:firstLine="0" w:firstLineChars="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报价人</w:t>
      </w:r>
      <w:r>
        <w:rPr>
          <w:rFonts w:hint="eastAsia" w:ascii="仿宋_GB2312" w:hAnsi="仿宋_GB2312" w:eastAsia="仿宋_GB2312" w:cs="仿宋_GB2312"/>
          <w:color w:val="auto"/>
          <w:sz w:val="32"/>
          <w:szCs w:val="32"/>
          <w:highlight w:val="none"/>
          <w:u w:val="none"/>
        </w:rPr>
        <w:t>名称（盖章）：</w:t>
      </w:r>
    </w:p>
    <w:p w14:paraId="149CEF60">
      <w:pPr>
        <w:spacing w:line="360" w:lineRule="auto"/>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日期：</w:t>
      </w:r>
    </w:p>
    <w:p w14:paraId="0F1C2339">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Cs w:val="0"/>
          <w:color w:val="auto"/>
          <w:sz w:val="28"/>
          <w:szCs w:val="44"/>
          <w:highlight w:val="none"/>
        </w:rPr>
        <w:br w:type="page"/>
      </w:r>
      <w:r>
        <w:rPr>
          <w:rFonts w:hint="eastAsia" w:ascii="仿宋_GB2312" w:hAnsi="仿宋_GB2312" w:eastAsia="仿宋_GB2312" w:cs="仿宋_GB2312"/>
          <w:b/>
          <w:bCs/>
          <w:color w:val="auto"/>
          <w:sz w:val="28"/>
          <w:szCs w:val="44"/>
          <w:highlight w:val="none"/>
          <w:lang w:val="en-US" w:eastAsia="zh-CN"/>
        </w:rPr>
        <w:t>其他（本项目采购文件要求或报价人认为应补充的其他资料（如有）（加盖公章）</w:t>
      </w:r>
    </w:p>
    <w:p w14:paraId="3A6A6220">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36497178">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0E36B30B">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220E3509">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77C47C16">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06274A5A">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6595057D">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0430D639">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59B55F48">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7A5CDF03">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54BFFAD8">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4B7BBA97">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27AA77E7">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68ECCF96">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0570A6F5">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63C749D8">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76FF8D6D">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lang w:val="en-US" w:eastAsia="zh-CN"/>
        </w:rPr>
      </w:pPr>
    </w:p>
    <w:p w14:paraId="0818A559">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416D91BD">
      <w:pPr>
        <w:pStyle w:val="15"/>
        <w:numPr>
          <w:ilvl w:val="-1"/>
          <w:numId w:val="0"/>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p>
    <w:p w14:paraId="362A708F">
      <w:pPr>
        <w:pStyle w:val="15"/>
        <w:numPr>
          <w:ilvl w:val="0"/>
          <w:numId w:val="4"/>
        </w:numPr>
        <w:spacing w:line="360" w:lineRule="auto"/>
        <w:ind w:left="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t>合同模板</w:t>
      </w:r>
    </w:p>
    <w:p w14:paraId="509884ED">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甲方合同编号：</w:t>
      </w:r>
    </w:p>
    <w:p w14:paraId="776C1BFD">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乙方合同编号：</w:t>
      </w:r>
    </w:p>
    <w:p w14:paraId="5A8FE76E">
      <w:pPr>
        <w:pStyle w:val="5"/>
        <w:rPr>
          <w:rFonts w:hint="eastAsia" w:ascii="仿宋_GB2312" w:hAnsi="仿宋_GB2312" w:eastAsia="仿宋_GB2312" w:cs="仿宋_GB2312"/>
          <w:color w:val="auto"/>
          <w:highlight w:val="none"/>
        </w:rPr>
      </w:pPr>
    </w:p>
    <w:p w14:paraId="23B27156">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东凤公司垃圾转运站渗滤液转运箱采购项目（重新采购）</w:t>
      </w:r>
      <w:r>
        <w:rPr>
          <w:rFonts w:hint="eastAsia" w:ascii="仿宋_GB2312" w:hAnsi="仿宋_GB2312" w:eastAsia="仿宋_GB2312" w:cs="仿宋_GB2312"/>
          <w:b/>
          <w:color w:val="auto"/>
          <w:sz w:val="32"/>
          <w:szCs w:val="32"/>
          <w:highlight w:val="none"/>
        </w:rPr>
        <w:t>合同</w:t>
      </w:r>
    </w:p>
    <w:p w14:paraId="0C8343D4">
      <w:pPr>
        <w:pStyle w:val="5"/>
        <w:rPr>
          <w:rFonts w:hint="eastAsia" w:ascii="仿宋_GB2312" w:hAnsi="仿宋_GB2312" w:eastAsia="仿宋_GB2312" w:cs="仿宋_GB2312"/>
          <w:color w:val="auto"/>
          <w:highlight w:val="none"/>
        </w:rPr>
      </w:pPr>
    </w:p>
    <w:p w14:paraId="46B9953A">
      <w:pPr>
        <w:spacing w:line="360" w:lineRule="auto"/>
        <w:ind w:firstLine="480" w:firstLineChars="200"/>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rPr>
        <w:t>甲方：</w:t>
      </w:r>
      <w:r>
        <w:rPr>
          <w:rFonts w:hint="eastAsia" w:ascii="仿宋_GB2312" w:hAnsi="仿宋_GB2312" w:eastAsia="仿宋_GB2312" w:cs="仿宋_GB2312"/>
          <w:bCs/>
          <w:color w:val="auto"/>
          <w:kern w:val="0"/>
          <w:sz w:val="24"/>
          <w:szCs w:val="24"/>
          <w:highlight w:val="none"/>
          <w:lang w:eastAsia="zh-CN"/>
        </w:rPr>
        <w:t>东莞市东凤环境服务有限公司</w:t>
      </w:r>
    </w:p>
    <w:p w14:paraId="4DF9D890">
      <w:pPr>
        <w:spacing w:line="360" w:lineRule="auto"/>
        <w:ind w:firstLine="480" w:firstLineChars="200"/>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统一社会信用代码：</w:t>
      </w:r>
    </w:p>
    <w:p w14:paraId="6C7198E4">
      <w:pPr>
        <w:spacing w:line="360" w:lineRule="auto"/>
        <w:ind w:firstLine="480" w:firstLineChars="200"/>
        <w:rPr>
          <w:rFonts w:hint="eastAsia" w:ascii="仿宋_GB2312" w:hAnsi="仿宋_GB2312" w:eastAsia="仿宋_GB2312" w:cs="仿宋_GB2312"/>
          <w:bCs/>
          <w:color w:val="auto"/>
          <w:kern w:val="0"/>
          <w:sz w:val="24"/>
          <w:szCs w:val="24"/>
          <w:highlight w:val="none"/>
        </w:rPr>
      </w:pPr>
    </w:p>
    <w:p w14:paraId="0100A3B9">
      <w:pPr>
        <w:spacing w:line="360" w:lineRule="auto"/>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bCs/>
          <w:color w:val="auto"/>
          <w:kern w:val="0"/>
          <w:sz w:val="24"/>
          <w:szCs w:val="24"/>
          <w:highlight w:val="none"/>
        </w:rPr>
        <w:t>乙方：XXX有限公司</w:t>
      </w:r>
    </w:p>
    <w:p w14:paraId="35608C0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统一社会信用代码：</w:t>
      </w:r>
    </w:p>
    <w:p w14:paraId="5DD5724F">
      <w:pPr>
        <w:spacing w:line="360" w:lineRule="auto"/>
        <w:ind w:firstLine="480" w:firstLineChars="200"/>
        <w:rPr>
          <w:rFonts w:hint="eastAsia" w:ascii="仿宋_GB2312" w:hAnsi="仿宋_GB2312" w:eastAsia="仿宋_GB2312" w:cs="仿宋_GB2312"/>
          <w:color w:val="auto"/>
          <w:sz w:val="24"/>
          <w:szCs w:val="24"/>
          <w:highlight w:val="none"/>
        </w:rPr>
      </w:pPr>
    </w:p>
    <w:p w14:paraId="58ED19A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甲、乙双方根据《中华人民共和国民法典》及其他有关法律、法规，遵循平等、自愿、公平和诚实信用的原则，就</w:t>
      </w:r>
      <w:r>
        <w:rPr>
          <w:rFonts w:hint="eastAsia" w:ascii="仿宋_GB2312" w:hAnsi="仿宋_GB2312" w:eastAsia="仿宋_GB2312" w:cs="仿宋_GB2312"/>
          <w:color w:val="auto"/>
          <w:sz w:val="24"/>
          <w:szCs w:val="24"/>
          <w:highlight w:val="none"/>
          <w:lang w:eastAsia="zh-CN"/>
        </w:rPr>
        <w:t>东凤公司垃圾转运站渗滤液转运箱采购项目（重新采购）</w:t>
      </w:r>
      <w:r>
        <w:rPr>
          <w:rFonts w:hint="eastAsia" w:ascii="仿宋_GB2312" w:hAnsi="仿宋_GB2312" w:eastAsia="仿宋_GB2312" w:cs="仿宋_GB2312"/>
          <w:color w:val="auto"/>
          <w:sz w:val="24"/>
          <w:szCs w:val="24"/>
          <w:highlight w:val="none"/>
        </w:rPr>
        <w:t>的相关供货</w:t>
      </w:r>
      <w:r>
        <w:rPr>
          <w:rFonts w:hint="eastAsia" w:ascii="仿宋_GB2312" w:hAnsi="仿宋_GB2312" w:eastAsia="仿宋_GB2312" w:cs="仿宋_GB2312"/>
          <w:color w:val="auto"/>
          <w:sz w:val="24"/>
          <w:szCs w:val="24"/>
          <w:highlight w:val="none"/>
          <w:lang w:val="en-US" w:eastAsia="zh-CN"/>
        </w:rPr>
        <w:t>及安装</w:t>
      </w:r>
      <w:r>
        <w:rPr>
          <w:rFonts w:hint="eastAsia" w:ascii="仿宋_GB2312" w:hAnsi="仿宋_GB2312" w:eastAsia="仿宋_GB2312" w:cs="仿宋_GB2312"/>
          <w:color w:val="auto"/>
          <w:sz w:val="24"/>
          <w:szCs w:val="24"/>
          <w:highlight w:val="none"/>
        </w:rPr>
        <w:t>事宜协商一致，特订立本合同，以资共同遵守：</w:t>
      </w:r>
    </w:p>
    <w:p w14:paraId="0C48BEEB">
      <w:pPr>
        <w:spacing w:line="360"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一、货物及合同价款</w:t>
      </w:r>
    </w:p>
    <w:p w14:paraId="5E5416DE">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1.1本合同</w:t>
      </w:r>
      <w:r>
        <w:rPr>
          <w:rFonts w:hint="eastAsia" w:ascii="仿宋_GB2312" w:hAnsi="仿宋_GB2312" w:eastAsia="仿宋_GB2312" w:cs="仿宋_GB2312"/>
          <w:color w:val="auto"/>
          <w:sz w:val="24"/>
          <w:szCs w:val="24"/>
          <w:highlight w:val="none"/>
          <w:lang w:val="en-US" w:eastAsia="zh-CN"/>
        </w:rPr>
        <w:t>含税</w:t>
      </w:r>
      <w:r>
        <w:rPr>
          <w:rFonts w:hint="eastAsia" w:ascii="仿宋_GB2312" w:hAnsi="仿宋_GB2312" w:eastAsia="仿宋_GB2312" w:cs="仿宋_GB2312"/>
          <w:color w:val="auto"/>
          <w:sz w:val="24"/>
          <w:szCs w:val="24"/>
          <w:highlight w:val="none"/>
        </w:rPr>
        <w:t>总价为</w:t>
      </w:r>
      <w:r>
        <w:rPr>
          <w:rFonts w:hint="eastAsia" w:ascii="仿宋_GB2312" w:hAnsi="仿宋_GB2312" w:eastAsia="仿宋_GB2312" w:cs="仿宋_GB2312"/>
          <w:color w:val="auto"/>
          <w:sz w:val="24"/>
          <w:szCs w:val="24"/>
          <w:highlight w:val="none"/>
          <w:u w:val="single"/>
        </w:rPr>
        <w:t>人民币大写         （小写：¥      元）</w:t>
      </w:r>
      <w:r>
        <w:rPr>
          <w:rFonts w:hint="eastAsia" w:ascii="仿宋_GB2312" w:hAnsi="仿宋_GB2312" w:eastAsia="仿宋_GB2312" w:cs="仿宋_GB2312"/>
          <w:color w:val="auto"/>
          <w:sz w:val="24"/>
          <w:szCs w:val="24"/>
          <w:highlight w:val="none"/>
        </w:rPr>
        <w:t>，其中：增值税税率为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%，税金</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元，不含税合同总价款为</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包干总价包含完成本项目的成本、利润、税金、货物及所需附件设备价格及运输费（含运输至甲方指定交货地点的运输费）、安装、调试、检验、技术服务和培训等在项目过程中可能产生的一切费用。如遇国家调整税率，不含税合同款不予调整，税金按调整后税率及相关细则执行。</w:t>
      </w:r>
    </w:p>
    <w:p w14:paraId="5CCA4F0A">
      <w:pPr>
        <w:widowControl/>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1.2货物具体要求详见合同2.5货物要求。</w:t>
      </w:r>
    </w:p>
    <w:p w14:paraId="3E33A9B6">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1.3合同价款形式（请在选择的括号中打“√”，</w:t>
      </w:r>
      <w:bookmarkStart w:id="4" w:name="_Hlk79676021"/>
      <w:r>
        <w:rPr>
          <w:rFonts w:hint="eastAsia" w:ascii="仿宋_GB2312" w:hAnsi="仿宋_GB2312" w:eastAsia="仿宋_GB2312" w:cs="仿宋_GB2312"/>
          <w:color w:val="auto"/>
          <w:kern w:val="0"/>
          <w:sz w:val="24"/>
          <w:szCs w:val="24"/>
          <w:highlight w:val="none"/>
        </w:rPr>
        <w:t>不选择的括号中打“×”</w:t>
      </w:r>
      <w:bookmarkEnd w:id="4"/>
      <w:r>
        <w:rPr>
          <w:rFonts w:hint="eastAsia" w:ascii="仿宋_GB2312" w:hAnsi="仿宋_GB2312" w:eastAsia="仿宋_GB2312" w:cs="仿宋_GB2312"/>
          <w:color w:val="auto"/>
          <w:kern w:val="0"/>
          <w:sz w:val="24"/>
          <w:szCs w:val="24"/>
          <w:highlight w:val="none"/>
        </w:rPr>
        <w:t>）：</w:t>
      </w:r>
    </w:p>
    <w:p w14:paraId="49013715">
      <w:pPr>
        <w:widowControl/>
        <w:spacing w:line="360" w:lineRule="auto"/>
        <w:ind w:firstLine="720" w:firstLineChars="3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(×)暂定总价，以单价结算，按合同综合单价和签证数量结算。</w:t>
      </w:r>
    </w:p>
    <w:p w14:paraId="2C5216A0">
      <w:pPr>
        <w:spacing w:line="360" w:lineRule="auto"/>
        <w:ind w:firstLine="720" w:firstLineChars="3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(√)以固定总价包干，合同履行期间不调整价格。</w:t>
      </w:r>
    </w:p>
    <w:p w14:paraId="0F7C5EB2">
      <w:pPr>
        <w:spacing w:line="360" w:lineRule="auto"/>
        <w:ind w:firstLine="480" w:firstLineChars="20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二、供货及安装时间、地点</w:t>
      </w:r>
    </w:p>
    <w:p w14:paraId="559C6D6A">
      <w:pPr>
        <w:spacing w:line="360" w:lineRule="auto"/>
        <w:ind w:firstLine="48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kern w:val="0"/>
          <w:sz w:val="24"/>
          <w:szCs w:val="24"/>
          <w:highlight w:val="none"/>
        </w:rPr>
        <w:t>2.1</w:t>
      </w:r>
      <w:r>
        <w:rPr>
          <w:rFonts w:hint="eastAsia" w:ascii="仿宋_GB2312" w:hAnsi="仿宋_GB2312" w:eastAsia="仿宋_GB2312" w:cs="仿宋_GB2312"/>
          <w:color w:val="auto"/>
          <w:kern w:val="0"/>
          <w:sz w:val="24"/>
          <w:szCs w:val="24"/>
          <w:highlight w:val="none"/>
          <w:lang w:val="en-US" w:eastAsia="zh-CN"/>
        </w:rPr>
        <w:t>乙方收到甲方发出的结果确认函之日起10个日历日内完成供货及安装并经甲方验收合格</w:t>
      </w:r>
      <w:r>
        <w:rPr>
          <w:rFonts w:hint="eastAsia" w:ascii="仿宋_GB2312" w:hAnsi="仿宋_GB2312" w:eastAsia="仿宋_GB2312" w:cs="仿宋_GB2312"/>
          <w:color w:val="auto"/>
          <w:kern w:val="0"/>
          <w:sz w:val="24"/>
          <w:szCs w:val="24"/>
          <w:highlight w:val="none"/>
          <w:lang w:eastAsia="zh-CN"/>
        </w:rPr>
        <w:t>。</w:t>
      </w:r>
    </w:p>
    <w:p w14:paraId="34676D58">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如果甲方根据实际情况需要提前或延迟供货</w:t>
      </w:r>
      <w:r>
        <w:rPr>
          <w:rFonts w:hint="eastAsia" w:ascii="仿宋_GB2312" w:hAnsi="仿宋_GB2312" w:eastAsia="仿宋_GB2312" w:cs="仿宋_GB2312"/>
          <w:color w:val="auto"/>
          <w:kern w:val="0"/>
          <w:sz w:val="24"/>
          <w:szCs w:val="24"/>
          <w:highlight w:val="none"/>
          <w:lang w:val="en-US" w:eastAsia="zh-CN"/>
        </w:rPr>
        <w:t>安装</w:t>
      </w:r>
      <w:r>
        <w:rPr>
          <w:rFonts w:hint="eastAsia" w:ascii="仿宋_GB2312" w:hAnsi="仿宋_GB2312" w:eastAsia="仿宋_GB2312" w:cs="仿宋_GB2312"/>
          <w:color w:val="auto"/>
          <w:kern w:val="0"/>
          <w:sz w:val="24"/>
          <w:szCs w:val="24"/>
          <w:highlight w:val="none"/>
        </w:rPr>
        <w:t>的，甲方应在合同规定供货</w:t>
      </w:r>
      <w:r>
        <w:rPr>
          <w:rFonts w:hint="eastAsia" w:ascii="仿宋_GB2312" w:hAnsi="仿宋_GB2312" w:eastAsia="仿宋_GB2312" w:cs="仿宋_GB2312"/>
          <w:color w:val="auto"/>
          <w:kern w:val="0"/>
          <w:sz w:val="24"/>
          <w:szCs w:val="24"/>
          <w:highlight w:val="none"/>
          <w:lang w:val="en-US" w:eastAsia="zh-CN"/>
        </w:rPr>
        <w:t>安装</w:t>
      </w:r>
      <w:r>
        <w:rPr>
          <w:rFonts w:hint="eastAsia" w:ascii="仿宋_GB2312" w:hAnsi="仿宋_GB2312" w:eastAsia="仿宋_GB2312" w:cs="仿宋_GB2312"/>
          <w:color w:val="auto"/>
          <w:kern w:val="0"/>
          <w:sz w:val="24"/>
          <w:szCs w:val="24"/>
          <w:highlight w:val="none"/>
        </w:rPr>
        <w:t>期前1个日历日内</w:t>
      </w:r>
      <w:r>
        <w:rPr>
          <w:rFonts w:hint="eastAsia" w:ascii="仿宋_GB2312" w:hAnsi="仿宋_GB2312" w:eastAsia="仿宋_GB2312" w:cs="仿宋_GB2312"/>
          <w:color w:val="auto"/>
          <w:kern w:val="0"/>
          <w:sz w:val="24"/>
          <w:szCs w:val="24"/>
          <w:highlight w:val="none"/>
          <w:lang w:val="en-US" w:eastAsia="zh-CN"/>
        </w:rPr>
        <w:t>书面</w:t>
      </w:r>
      <w:r>
        <w:rPr>
          <w:rFonts w:hint="eastAsia" w:ascii="仿宋_GB2312" w:hAnsi="仿宋_GB2312" w:eastAsia="仿宋_GB2312" w:cs="仿宋_GB2312"/>
          <w:color w:val="auto"/>
          <w:kern w:val="0"/>
          <w:sz w:val="24"/>
          <w:szCs w:val="24"/>
          <w:highlight w:val="none"/>
        </w:rPr>
        <w:t>通知乙方，乙方不得因此增加费用。乙方需提前交货</w:t>
      </w:r>
      <w:r>
        <w:rPr>
          <w:rFonts w:hint="eastAsia" w:ascii="仿宋_GB2312" w:hAnsi="仿宋_GB2312" w:eastAsia="仿宋_GB2312" w:cs="仿宋_GB2312"/>
          <w:color w:val="auto"/>
          <w:kern w:val="0"/>
          <w:sz w:val="24"/>
          <w:szCs w:val="24"/>
          <w:highlight w:val="none"/>
          <w:lang w:val="en-US" w:eastAsia="zh-CN"/>
        </w:rPr>
        <w:t>安装</w:t>
      </w:r>
      <w:r>
        <w:rPr>
          <w:rFonts w:hint="eastAsia" w:ascii="仿宋_GB2312" w:hAnsi="仿宋_GB2312" w:eastAsia="仿宋_GB2312" w:cs="仿宋_GB2312"/>
          <w:color w:val="auto"/>
          <w:kern w:val="0"/>
          <w:sz w:val="24"/>
          <w:szCs w:val="24"/>
          <w:highlight w:val="none"/>
        </w:rPr>
        <w:t>或延迟供货</w:t>
      </w:r>
      <w:r>
        <w:rPr>
          <w:rFonts w:hint="eastAsia" w:ascii="仿宋_GB2312" w:hAnsi="仿宋_GB2312" w:eastAsia="仿宋_GB2312" w:cs="仿宋_GB2312"/>
          <w:color w:val="auto"/>
          <w:kern w:val="0"/>
          <w:sz w:val="24"/>
          <w:szCs w:val="24"/>
          <w:highlight w:val="none"/>
          <w:lang w:val="en-US" w:eastAsia="zh-CN"/>
        </w:rPr>
        <w:t>安装</w:t>
      </w:r>
      <w:r>
        <w:rPr>
          <w:rFonts w:hint="eastAsia" w:ascii="仿宋_GB2312" w:hAnsi="仿宋_GB2312" w:eastAsia="仿宋_GB2312" w:cs="仿宋_GB2312"/>
          <w:color w:val="auto"/>
          <w:kern w:val="0"/>
          <w:sz w:val="24"/>
          <w:szCs w:val="24"/>
          <w:highlight w:val="none"/>
        </w:rPr>
        <w:t>的，须经甲方书面同意。</w:t>
      </w:r>
    </w:p>
    <w:p w14:paraId="4254E5F4">
      <w:p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2.2供货及安装地点：</w:t>
      </w:r>
      <w:r>
        <w:rPr>
          <w:rFonts w:hint="eastAsia" w:ascii="仿宋_GB2312" w:hAnsi="仿宋_GB2312" w:eastAsia="仿宋_GB2312" w:cs="仿宋_GB2312"/>
          <w:b w:val="0"/>
          <w:bCs w:val="0"/>
          <w:color w:val="auto"/>
          <w:kern w:val="0"/>
          <w:sz w:val="24"/>
          <w:szCs w:val="24"/>
          <w:highlight w:val="none"/>
          <w:lang w:val="en-US" w:eastAsia="zh-CN"/>
        </w:rPr>
        <w:t>东莞市内，具体以甲方通知为准。</w:t>
      </w:r>
    </w:p>
    <w:p w14:paraId="1DE17EAD">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bookmarkStart w:id="5" w:name="_Hlk79677037"/>
      <w:r>
        <w:rPr>
          <w:rFonts w:hint="eastAsia" w:ascii="仿宋_GB2312" w:hAnsi="仿宋_GB2312" w:eastAsia="仿宋_GB2312" w:cs="仿宋_GB2312"/>
          <w:color w:val="auto"/>
          <w:kern w:val="0"/>
          <w:sz w:val="24"/>
          <w:szCs w:val="24"/>
          <w:highlight w:val="none"/>
        </w:rPr>
        <w:t>3如货物随附装箱清单、产品合格证明书、产品质量鉴定书原件、图纸资料、技术文件等文件资料的，乙方应于交货时一并交付，并确保资料包封完好。如为进口货物的，乙方须向甲方提交货物原产地证明、原厂质量合格证书、进口海关关单及税票之复印件（同时须提供正本由甲方查实后交还乙方）、商检局颁发的商检合格证书、完整的原厂资料、中文资料及图纸（所有翻译由乙方负责）等。</w:t>
      </w:r>
      <w:bookmarkEnd w:id="5"/>
    </w:p>
    <w:p w14:paraId="10E814CB">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2.4</w:t>
      </w:r>
      <w:r>
        <w:rPr>
          <w:rFonts w:hint="eastAsia" w:ascii="仿宋_GB2312" w:hAnsi="仿宋_GB2312" w:eastAsia="仿宋_GB2312" w:cs="仿宋_GB2312"/>
          <w:color w:val="auto"/>
          <w:kern w:val="0"/>
          <w:sz w:val="24"/>
          <w:szCs w:val="24"/>
          <w:highlight w:val="none"/>
        </w:rPr>
        <w:t>乙方的货物包装应有乙方名称（或标志），乙方必须采取防潮、防雨、防锈、防震、防腐蚀等保护措施以保证满足货物质量、数量、性能的要求。</w:t>
      </w:r>
    </w:p>
    <w:p w14:paraId="0DCCEDAC">
      <w:pPr>
        <w:keepNext w:val="0"/>
        <w:keepLines w:val="0"/>
        <w:widowControl/>
        <w:numPr>
          <w:ilvl w:val="0"/>
          <w:numId w:val="0"/>
        </w:numPr>
        <w:suppressLineNumbers w:val="0"/>
        <w:spacing w:line="360" w:lineRule="auto"/>
        <w:ind w:firstLine="480" w:firstLineChars="200"/>
        <w:jc w:val="left"/>
        <w:rPr>
          <w:rFonts w:hint="eastAsia" w:ascii="仿宋_GB2312" w:hAnsi="仿宋_GB2312" w:eastAsia="仿宋_GB2312" w:cs="仿宋_GB2312"/>
          <w:b w:val="0"/>
          <w:bCs w:val="0"/>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rPr>
        <w:t>2.5</w:t>
      </w:r>
      <w:r>
        <w:rPr>
          <w:rFonts w:hint="eastAsia" w:ascii="仿宋_GB2312" w:hAnsi="仿宋_GB2312" w:eastAsia="仿宋_GB2312" w:cs="仿宋_GB2312"/>
          <w:b w:val="0"/>
          <w:bCs w:val="0"/>
          <w:color w:val="auto"/>
          <w:kern w:val="0"/>
          <w:sz w:val="24"/>
          <w:szCs w:val="24"/>
          <w:highlight w:val="none"/>
          <w:vertAlign w:val="baseline"/>
          <w:lang w:val="en-US" w:eastAsia="zh-CN" w:bidi="ar"/>
        </w:rPr>
        <w:t>货物要求：</w:t>
      </w:r>
    </w:p>
    <w:tbl>
      <w:tblPr>
        <w:tblStyle w:val="12"/>
        <w:tblpPr w:leftFromText="180" w:rightFromText="180" w:vertAnchor="text" w:horzAnchor="page" w:tblpX="1842" w:tblpY="6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6168"/>
      </w:tblGrid>
      <w:tr w14:paraId="07E2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06" w:type="dxa"/>
            <w:vAlign w:val="center"/>
          </w:tcPr>
          <w:p w14:paraId="087E8AE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设备名称</w:t>
            </w:r>
          </w:p>
        </w:tc>
        <w:tc>
          <w:tcPr>
            <w:tcW w:w="6168" w:type="dxa"/>
            <w:vAlign w:val="center"/>
          </w:tcPr>
          <w:p w14:paraId="53E527D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渗滤液转运箱</w:t>
            </w:r>
          </w:p>
        </w:tc>
      </w:tr>
      <w:tr w14:paraId="1534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4C7A2B3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数量</w:t>
            </w:r>
          </w:p>
        </w:tc>
        <w:tc>
          <w:tcPr>
            <w:tcW w:w="6168" w:type="dxa"/>
            <w:vAlign w:val="center"/>
          </w:tcPr>
          <w:p w14:paraId="1D7095C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14:paraId="6ACA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shd w:val="clear" w:color="auto" w:fill="auto"/>
            <w:vAlign w:val="center"/>
          </w:tcPr>
          <w:p w14:paraId="552AC03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颜色</w:t>
            </w:r>
          </w:p>
        </w:tc>
        <w:tc>
          <w:tcPr>
            <w:tcW w:w="6168" w:type="dxa"/>
            <w:shd w:val="clear" w:color="auto" w:fill="auto"/>
            <w:vAlign w:val="center"/>
          </w:tcPr>
          <w:p w14:paraId="776F34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工程黄</w:t>
            </w:r>
          </w:p>
        </w:tc>
      </w:tr>
      <w:tr w14:paraId="1124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37BC23D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材质</w:t>
            </w:r>
          </w:p>
        </w:tc>
        <w:tc>
          <w:tcPr>
            <w:tcW w:w="6168" w:type="dxa"/>
            <w:vAlign w:val="center"/>
          </w:tcPr>
          <w:p w14:paraId="11F1874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箱体为</w:t>
            </w:r>
            <w:r>
              <w:rPr>
                <w:rFonts w:hint="eastAsia" w:ascii="仿宋_GB2312" w:hAnsi="仿宋_GB2312" w:eastAsia="仿宋_GB2312" w:cs="仿宋_GB2312"/>
                <w:sz w:val="24"/>
                <w:szCs w:val="24"/>
                <w:highlight w:val="none"/>
                <w:lang w:val="en-US" w:eastAsia="zh-CN"/>
              </w:rPr>
              <w:t>Q345材质</w:t>
            </w:r>
            <w:r>
              <w:rPr>
                <w:rFonts w:hint="eastAsia" w:ascii="仿宋_GB2312" w:hAnsi="仿宋_GB2312" w:eastAsia="仿宋_GB2312" w:cs="仿宋_GB2312"/>
                <w:i w:val="0"/>
                <w:iCs w:val="0"/>
                <w:color w:val="000000"/>
                <w:kern w:val="0"/>
                <w:sz w:val="24"/>
                <w:szCs w:val="24"/>
                <w:highlight w:val="none"/>
                <w:u w:val="none"/>
                <w:lang w:val="en-US" w:eastAsia="zh-CN" w:bidi="ar"/>
              </w:rPr>
              <w:t>5mm厚钢板，支撑由6mm厚80×120mm的</w:t>
            </w:r>
            <w:r>
              <w:rPr>
                <w:rFonts w:hint="eastAsia" w:ascii="仿宋_GB2312" w:hAnsi="仿宋_GB2312" w:eastAsia="仿宋_GB2312" w:cs="仿宋_GB2312"/>
                <w:sz w:val="24"/>
                <w:szCs w:val="24"/>
                <w:highlight w:val="none"/>
                <w:lang w:val="en-US" w:eastAsia="zh-CN"/>
              </w:rPr>
              <w:t>Q345材质</w:t>
            </w:r>
            <w:r>
              <w:rPr>
                <w:rFonts w:hint="eastAsia" w:ascii="仿宋_GB2312" w:hAnsi="仿宋_GB2312" w:eastAsia="仿宋_GB2312" w:cs="仿宋_GB2312"/>
                <w:i w:val="0"/>
                <w:iCs w:val="0"/>
                <w:color w:val="000000"/>
                <w:kern w:val="0"/>
                <w:sz w:val="24"/>
                <w:szCs w:val="24"/>
                <w:highlight w:val="none"/>
                <w:u w:val="none"/>
                <w:lang w:val="en-US" w:eastAsia="zh-CN" w:bidi="ar"/>
              </w:rPr>
              <w:t>方钢，中间3段隔板</w:t>
            </w:r>
          </w:p>
        </w:tc>
      </w:tr>
      <w:tr w14:paraId="68B7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shd w:val="clear" w:color="auto" w:fill="auto"/>
            <w:vAlign w:val="center"/>
          </w:tcPr>
          <w:p w14:paraId="32CF14D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yellow"/>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容积</w:t>
            </w:r>
          </w:p>
        </w:tc>
        <w:tc>
          <w:tcPr>
            <w:tcW w:w="6168" w:type="dxa"/>
            <w:shd w:val="clear" w:color="auto" w:fill="auto"/>
            <w:vAlign w:val="center"/>
          </w:tcPr>
          <w:p w14:paraId="4844DD7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yellow"/>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14m³</w:t>
            </w:r>
          </w:p>
        </w:tc>
      </w:tr>
      <w:tr w14:paraId="0818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shd w:val="clear" w:color="auto" w:fill="auto"/>
            <w:vAlign w:val="center"/>
          </w:tcPr>
          <w:p w14:paraId="6F84A82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箱体尺寸</w:t>
            </w:r>
          </w:p>
        </w:tc>
        <w:tc>
          <w:tcPr>
            <w:tcW w:w="6168" w:type="dxa"/>
            <w:shd w:val="clear" w:color="auto" w:fill="auto"/>
            <w:vAlign w:val="center"/>
          </w:tcPr>
          <w:p w14:paraId="1655A33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6160mm</w:t>
            </w:r>
            <w:r>
              <w:rPr>
                <w:rFonts w:hint="default"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2460mm</w:t>
            </w:r>
            <w:r>
              <w:rPr>
                <w:rFonts w:hint="default"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1950mm</w:t>
            </w:r>
          </w:p>
        </w:tc>
      </w:tr>
      <w:tr w14:paraId="2BED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2206" w:type="dxa"/>
            <w:vAlign w:val="center"/>
          </w:tcPr>
          <w:p w14:paraId="1068A4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加装</w:t>
            </w:r>
          </w:p>
        </w:tc>
        <w:tc>
          <w:tcPr>
            <w:tcW w:w="6168" w:type="dxa"/>
            <w:vAlign w:val="center"/>
          </w:tcPr>
          <w:p w14:paraId="3C04AA4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箱体顶部开2个可开合的透气孔，尾部开一个可开合的清理窗口，尾部左右下方各开一个65的进出水口（参考图片如下）。</w:t>
            </w:r>
          </w:p>
          <w:p w14:paraId="27427CB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drawing>
                <wp:inline distT="0" distB="0" distL="114300" distR="114300">
                  <wp:extent cx="1199515" cy="861695"/>
                  <wp:effectExtent l="0" t="0" r="635" b="14605"/>
                  <wp:docPr id="14" name="图片 14" descr="a40138eab958f0984c7aaf4d3dfa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40138eab958f0984c7aaf4d3dfaa3f"/>
                          <pic:cNvPicPr>
                            <a:picLocks noChangeAspect="1"/>
                          </pic:cNvPicPr>
                        </pic:nvPicPr>
                        <pic:blipFill>
                          <a:blip r:embed="rId5"/>
                          <a:srcRect t="39450"/>
                          <a:stretch>
                            <a:fillRect/>
                          </a:stretch>
                        </pic:blipFill>
                        <pic:spPr>
                          <a:xfrm>
                            <a:off x="0" y="0"/>
                            <a:ext cx="1199515" cy="861695"/>
                          </a:xfrm>
                          <a:prstGeom prst="rect">
                            <a:avLst/>
                          </a:prstGeom>
                        </pic:spPr>
                      </pic:pic>
                    </a:graphicData>
                  </a:graphic>
                </wp:inline>
              </w:drawing>
            </w:r>
            <w:r>
              <w:rPr>
                <w:rFonts w:hint="eastAsia" w:ascii="仿宋_GB2312" w:hAnsi="仿宋_GB2312" w:eastAsia="仿宋_GB2312" w:cs="仿宋_GB2312"/>
                <w:i w:val="0"/>
                <w:iCs w:val="0"/>
                <w:color w:val="000000"/>
                <w:kern w:val="0"/>
                <w:sz w:val="24"/>
                <w:szCs w:val="24"/>
                <w:highlight w:val="none"/>
                <w:u w:val="none"/>
                <w:lang w:val="en-US" w:eastAsia="zh-CN" w:bidi="ar"/>
              </w:rPr>
              <w:drawing>
                <wp:inline distT="0" distB="0" distL="114300" distR="114300">
                  <wp:extent cx="1198880" cy="899795"/>
                  <wp:effectExtent l="0" t="0" r="1270" b="14605"/>
                  <wp:docPr id="15" name="图片 15" descr="9d07b1284339033bcee7a99a76a5f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d07b1284339033bcee7a99a76a5f52"/>
                          <pic:cNvPicPr>
                            <a:picLocks noChangeAspect="1"/>
                          </pic:cNvPicPr>
                        </pic:nvPicPr>
                        <pic:blipFill>
                          <a:blip r:embed="rId6"/>
                          <a:stretch>
                            <a:fillRect/>
                          </a:stretch>
                        </pic:blipFill>
                        <pic:spPr>
                          <a:xfrm>
                            <a:off x="0" y="0"/>
                            <a:ext cx="1198880" cy="899795"/>
                          </a:xfrm>
                          <a:prstGeom prst="rect">
                            <a:avLst/>
                          </a:prstGeom>
                        </pic:spPr>
                      </pic:pic>
                    </a:graphicData>
                  </a:graphic>
                </wp:inline>
              </w:drawing>
            </w:r>
            <w:r>
              <w:rPr>
                <w:rFonts w:hint="eastAsia" w:ascii="仿宋_GB2312" w:hAnsi="仿宋_GB2312" w:eastAsia="仿宋_GB2312" w:cs="仿宋_GB2312"/>
                <w:i w:val="0"/>
                <w:iCs w:val="0"/>
                <w:color w:val="000000"/>
                <w:kern w:val="0"/>
                <w:sz w:val="24"/>
                <w:szCs w:val="24"/>
                <w:highlight w:val="none"/>
                <w:u w:val="none"/>
                <w:lang w:val="en-US" w:eastAsia="zh-CN" w:bidi="ar"/>
              </w:rPr>
              <w:drawing>
                <wp:inline distT="0" distB="0" distL="114300" distR="114300">
                  <wp:extent cx="1199515" cy="899795"/>
                  <wp:effectExtent l="0" t="0" r="635" b="14605"/>
                  <wp:docPr id="16" name="图片 16" descr="3cdf852b6cb341eb595c5a604b96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cdf852b6cb341eb595c5a604b961ca"/>
                          <pic:cNvPicPr>
                            <a:picLocks noChangeAspect="1"/>
                          </pic:cNvPicPr>
                        </pic:nvPicPr>
                        <pic:blipFill>
                          <a:blip r:embed="rId7"/>
                          <a:stretch>
                            <a:fillRect/>
                          </a:stretch>
                        </pic:blipFill>
                        <pic:spPr>
                          <a:xfrm>
                            <a:off x="0" y="0"/>
                            <a:ext cx="1199515" cy="899795"/>
                          </a:xfrm>
                          <a:prstGeom prst="rect">
                            <a:avLst/>
                          </a:prstGeom>
                        </pic:spPr>
                      </pic:pic>
                    </a:graphicData>
                  </a:graphic>
                </wp:inline>
              </w:drawing>
            </w:r>
          </w:p>
          <w:p w14:paraId="4D9BE77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14:paraId="2161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166205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质保期</w:t>
            </w:r>
          </w:p>
        </w:tc>
        <w:tc>
          <w:tcPr>
            <w:tcW w:w="6168" w:type="dxa"/>
            <w:vAlign w:val="center"/>
          </w:tcPr>
          <w:p w14:paraId="5C22DEC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1年</w:t>
            </w:r>
          </w:p>
        </w:tc>
      </w:tr>
      <w:tr w14:paraId="1D48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45866CC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生产日期</w:t>
            </w:r>
          </w:p>
        </w:tc>
        <w:tc>
          <w:tcPr>
            <w:tcW w:w="6168" w:type="dxa"/>
            <w:vAlign w:val="center"/>
          </w:tcPr>
          <w:p w14:paraId="3C52A7F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成交日期前半年内</w:t>
            </w:r>
          </w:p>
        </w:tc>
      </w:tr>
      <w:tr w14:paraId="60BF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0DBB588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其他要求</w:t>
            </w:r>
          </w:p>
        </w:tc>
        <w:tc>
          <w:tcPr>
            <w:tcW w:w="6168" w:type="dxa"/>
            <w:vAlign w:val="center"/>
          </w:tcPr>
          <w:p w14:paraId="60BB979B">
            <w:pPr>
              <w:keepNext w:val="0"/>
              <w:keepLines w:val="0"/>
              <w:pageBreakBefore w:val="0"/>
              <w:widowControl/>
              <w:suppressLineNumbers w:val="0"/>
              <w:kinsoku/>
              <w:wordWrap/>
              <w:overflowPunct/>
              <w:topLinePunct w:val="0"/>
              <w:autoSpaceDE/>
              <w:autoSpaceDN/>
              <w:bidi w:val="0"/>
              <w:adjustRightInd/>
              <w:snapToGrid/>
              <w:spacing w:line="400" w:lineRule="atLeast"/>
              <w:ind w:firstLine="1200" w:firstLineChars="50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箱体需按照勾臂车能吊装的尺寸制作</w:t>
            </w:r>
          </w:p>
        </w:tc>
      </w:tr>
    </w:tbl>
    <w:p w14:paraId="3F277016">
      <w:pPr>
        <w:widowControl/>
        <w:numPr>
          <w:ilvl w:val="0"/>
          <w:numId w:val="0"/>
        </w:numPr>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2.6验收要求：</w:t>
      </w:r>
    </w:p>
    <w:p w14:paraId="1A435094">
      <w:pPr>
        <w:spacing w:line="360" w:lineRule="auto"/>
        <w:ind w:firstLine="480" w:firstLineChars="200"/>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2.6.1箱体查验：箱体制作完成后需进行箱体尺寸测量查验，尺寸查验完成后需进行箱体注水密封查验。</w:t>
      </w:r>
    </w:p>
    <w:p w14:paraId="42DDB57D">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2.6.2箱体交付：箱体验收合格后，由</w:t>
      </w:r>
      <w:r>
        <w:rPr>
          <w:rFonts w:hint="eastAsia" w:ascii="仿宋_GB2312" w:hAnsi="仿宋_GB2312" w:eastAsia="仿宋_GB2312" w:cs="仿宋_GB2312"/>
          <w:bCs w:val="0"/>
          <w:color w:val="auto"/>
          <w:kern w:val="2"/>
          <w:sz w:val="24"/>
          <w:szCs w:val="24"/>
          <w:highlight w:val="none"/>
        </w:rPr>
        <w:t>乙方</w:t>
      </w:r>
      <w:r>
        <w:rPr>
          <w:rFonts w:hint="eastAsia" w:ascii="仿宋_GB2312" w:hAnsi="仿宋_GB2312" w:eastAsia="仿宋_GB2312" w:cs="仿宋_GB2312"/>
          <w:color w:val="auto"/>
          <w:kern w:val="2"/>
          <w:sz w:val="24"/>
          <w:szCs w:val="24"/>
          <w:highlight w:val="none"/>
          <w:lang w:val="en-US" w:eastAsia="zh-CN"/>
        </w:rPr>
        <w:t>送货上门安装。</w:t>
      </w:r>
    </w:p>
    <w:p w14:paraId="5C1B302F">
      <w:pPr>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三、合同付款方式</w:t>
      </w:r>
      <w:r>
        <w:rPr>
          <w:rFonts w:hint="eastAsia" w:ascii="仿宋_GB2312" w:hAnsi="仿宋_GB2312" w:eastAsia="仿宋_GB2312" w:cs="仿宋_GB2312"/>
          <w:color w:val="auto"/>
          <w:sz w:val="24"/>
          <w:szCs w:val="24"/>
          <w:highlight w:val="none"/>
        </w:rPr>
        <w:t>：</w:t>
      </w:r>
    </w:p>
    <w:p w14:paraId="2E0BBDF5">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i w:val="0"/>
          <w:iCs w:val="0"/>
          <w:caps w:val="0"/>
          <w:color w:val="auto"/>
          <w:spacing w:val="0"/>
          <w:sz w:val="24"/>
          <w:szCs w:val="24"/>
          <w:highlight w:val="none"/>
          <w:lang w:eastAsia="zh-CN"/>
        </w:rPr>
        <w:t>合同签订完成后，乙方完成供货及安装并经</w:t>
      </w:r>
      <w:r>
        <w:rPr>
          <w:rFonts w:hint="eastAsia" w:ascii="仿宋_GB2312" w:hAnsi="仿宋_GB2312" w:eastAsia="仿宋_GB2312" w:cs="仿宋_GB2312"/>
          <w:i w:val="0"/>
          <w:iCs w:val="0"/>
          <w:caps w:val="0"/>
          <w:color w:val="auto"/>
          <w:spacing w:val="0"/>
          <w:sz w:val="24"/>
          <w:szCs w:val="24"/>
          <w:highlight w:val="none"/>
          <w:lang w:val="en-US" w:eastAsia="zh-CN"/>
        </w:rPr>
        <w:t>甲方</w:t>
      </w:r>
      <w:r>
        <w:rPr>
          <w:rFonts w:hint="eastAsia" w:ascii="仿宋_GB2312" w:hAnsi="仿宋_GB2312" w:eastAsia="仿宋_GB2312" w:cs="仿宋_GB2312"/>
          <w:i w:val="0"/>
          <w:iCs w:val="0"/>
          <w:caps w:val="0"/>
          <w:color w:val="auto"/>
          <w:spacing w:val="0"/>
          <w:sz w:val="24"/>
          <w:szCs w:val="24"/>
          <w:highlight w:val="none"/>
          <w:lang w:eastAsia="zh-CN"/>
        </w:rPr>
        <w:t>验收合格后，乙方提交增值税专用发票及请款资料，甲方在收到有效资料的三十个日历日内</w:t>
      </w:r>
      <w:r>
        <w:rPr>
          <w:rFonts w:hint="eastAsia" w:ascii="仿宋_GB2312" w:hAnsi="仿宋_GB2312" w:eastAsia="仿宋_GB2312" w:cs="仿宋_GB2312"/>
          <w:i w:val="0"/>
          <w:iCs w:val="0"/>
          <w:caps w:val="0"/>
          <w:color w:val="auto"/>
          <w:spacing w:val="0"/>
          <w:sz w:val="24"/>
          <w:szCs w:val="24"/>
          <w:highlight w:val="none"/>
          <w:lang w:val="en-US" w:eastAsia="zh-CN"/>
        </w:rPr>
        <w:t>全额</w:t>
      </w:r>
      <w:r>
        <w:rPr>
          <w:rFonts w:hint="eastAsia" w:ascii="仿宋_GB2312" w:hAnsi="仿宋_GB2312" w:eastAsia="仿宋_GB2312" w:cs="仿宋_GB2312"/>
          <w:i w:val="0"/>
          <w:iCs w:val="0"/>
          <w:caps w:val="0"/>
          <w:color w:val="auto"/>
          <w:spacing w:val="0"/>
          <w:sz w:val="24"/>
          <w:szCs w:val="24"/>
          <w:highlight w:val="none"/>
          <w:lang w:eastAsia="zh-CN"/>
        </w:rPr>
        <w:t>付款。</w:t>
      </w:r>
    </w:p>
    <w:p w14:paraId="3465FFAD">
      <w:pPr>
        <w:widowControl/>
        <w:spacing w:line="360" w:lineRule="auto"/>
        <w:ind w:firstLine="480" w:firstLineChars="2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若乙方未能提交符合要求的发票、有效请款资料的，甲方有权拒绝付款，无需承担任何违约责任。</w:t>
      </w:r>
    </w:p>
    <w:p w14:paraId="3A9EE13B">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3.3 乙方的收款账户如下：</w:t>
      </w:r>
    </w:p>
    <w:p w14:paraId="2DC165E1">
      <w:pPr>
        <w:widowControl/>
        <w:spacing w:line="360" w:lineRule="auto"/>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开户银行地址：          </w:t>
      </w:r>
    </w:p>
    <w:p w14:paraId="548619C4">
      <w:pPr>
        <w:widowControl/>
        <w:spacing w:line="360" w:lineRule="auto"/>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收款单位账号： </w:t>
      </w:r>
    </w:p>
    <w:p w14:paraId="4765DE1B">
      <w:pPr>
        <w:widowControl/>
        <w:spacing w:line="360" w:lineRule="auto"/>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收款单位名称：  </w:t>
      </w:r>
    </w:p>
    <w:p w14:paraId="30D71425">
      <w:pPr>
        <w:spacing w:line="56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因乙方提供的收款账户信息错误或乙方擅自变更收款账户信息而未及时书面通知甲方，导致甲方付款迟延的，甲方无需承担迟延付款责任。</w:t>
      </w:r>
    </w:p>
    <w:p w14:paraId="20A90A3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 乙方需在收到结果确认函后向甲方缴纳的</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保证金¥</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元（大写：人民币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作为本项目履约的担保。乙方无任何违约情形的，可在所有货物质保期满后，向甲方提交退款申请，甲方在收到乙方申请后30个日历日内一次性无息退回。若因乙方原因导致本合同提前终止或解除的，甲方有权没收乙方的履约保证金。</w:t>
      </w:r>
    </w:p>
    <w:p w14:paraId="4BB85D75">
      <w:p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四、双方权利义务</w:t>
      </w:r>
    </w:p>
    <w:p w14:paraId="6A4BA50E">
      <w:p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4.1甲方权利义务</w:t>
      </w:r>
    </w:p>
    <w:p w14:paraId="25ACA770">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4.1.1 按合同规定日期向乙方支付合同款；</w:t>
      </w:r>
    </w:p>
    <w:p w14:paraId="6FC41130">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4.1.2 依据本协议约定对货物进行验收及试验，验收及试验单位为甲方或甲方委托的第三方单位；</w:t>
      </w:r>
    </w:p>
    <w:p w14:paraId="4A80EF6F">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4.1.3 </w:t>
      </w:r>
      <w:r>
        <w:rPr>
          <w:rFonts w:hint="eastAsia" w:ascii="仿宋_GB2312" w:hAnsi="仿宋_GB2312" w:eastAsia="仿宋_GB2312" w:cs="仿宋_GB2312"/>
          <w:color w:val="auto"/>
          <w:kern w:val="0"/>
          <w:sz w:val="24"/>
          <w:szCs w:val="24"/>
          <w:highlight w:val="none"/>
        </w:rPr>
        <w:t>乙方按合同或甲方供货</w:t>
      </w:r>
      <w:r>
        <w:rPr>
          <w:rFonts w:hint="eastAsia" w:ascii="仿宋_GB2312" w:hAnsi="仿宋_GB2312" w:eastAsia="仿宋_GB2312" w:cs="仿宋_GB2312"/>
          <w:color w:val="auto"/>
          <w:kern w:val="0"/>
          <w:sz w:val="24"/>
          <w:szCs w:val="24"/>
          <w:highlight w:val="none"/>
          <w:lang w:val="en-US" w:eastAsia="zh-CN"/>
        </w:rPr>
        <w:t>安装</w:t>
      </w:r>
      <w:r>
        <w:rPr>
          <w:rFonts w:hint="eastAsia" w:ascii="仿宋_GB2312" w:hAnsi="仿宋_GB2312" w:eastAsia="仿宋_GB2312" w:cs="仿宋_GB2312"/>
          <w:color w:val="auto"/>
          <w:kern w:val="0"/>
          <w:sz w:val="24"/>
          <w:szCs w:val="24"/>
          <w:highlight w:val="none"/>
        </w:rPr>
        <w:t>通知要求的时间将货物运到指定地点，货物</w:t>
      </w:r>
      <w:r>
        <w:rPr>
          <w:rFonts w:hint="eastAsia" w:ascii="仿宋_GB2312" w:hAnsi="仿宋_GB2312" w:eastAsia="仿宋_GB2312" w:cs="仿宋_GB2312"/>
          <w:color w:val="auto"/>
          <w:kern w:val="0"/>
          <w:sz w:val="24"/>
          <w:szCs w:val="24"/>
          <w:highlight w:val="none"/>
          <w:lang w:val="en-US" w:eastAsia="zh-CN"/>
        </w:rPr>
        <w:t>安装</w:t>
      </w:r>
      <w:r>
        <w:rPr>
          <w:rFonts w:hint="eastAsia" w:ascii="仿宋_GB2312" w:hAnsi="仿宋_GB2312" w:eastAsia="仿宋_GB2312" w:cs="仿宋_GB2312"/>
          <w:color w:val="auto"/>
          <w:kern w:val="0"/>
          <w:sz w:val="24"/>
          <w:szCs w:val="24"/>
          <w:highlight w:val="none"/>
        </w:rPr>
        <w:t>前通知甲方；货物</w:t>
      </w:r>
      <w:r>
        <w:rPr>
          <w:rFonts w:hint="eastAsia" w:ascii="仿宋_GB2312" w:hAnsi="仿宋_GB2312" w:eastAsia="仿宋_GB2312" w:cs="仿宋_GB2312"/>
          <w:color w:val="auto"/>
          <w:kern w:val="0"/>
          <w:sz w:val="24"/>
          <w:szCs w:val="24"/>
          <w:highlight w:val="none"/>
          <w:lang w:val="en-US" w:eastAsia="zh-CN"/>
        </w:rPr>
        <w:t>安装完成</w:t>
      </w:r>
      <w:r>
        <w:rPr>
          <w:rFonts w:hint="eastAsia" w:ascii="仿宋_GB2312" w:hAnsi="仿宋_GB2312" w:eastAsia="仿宋_GB2312" w:cs="仿宋_GB2312"/>
          <w:color w:val="auto"/>
          <w:kern w:val="0"/>
          <w:sz w:val="24"/>
          <w:szCs w:val="24"/>
          <w:highlight w:val="none"/>
        </w:rPr>
        <w:t>后，甲方应在合理时间内清点和检查验收；乙方应同时提供产地证明、装箱单、产品出厂合格证、质量保证书等交甲方确认，甲方按本合同约定对产品的外观、数量、型号进行初验,并予以签收确认，但甲方的初验结果不免除乙方因货物质量问题应承担的责任；</w:t>
      </w:r>
    </w:p>
    <w:p w14:paraId="498EFFD3">
      <w:pPr>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4.1.4 对乙方提请确认的内容，甲方应在48小时内给以确认或提出修改意见。如在48小时内不能确认，</w:t>
      </w:r>
      <w:r>
        <w:rPr>
          <w:rFonts w:hint="eastAsia" w:ascii="仿宋_GB2312" w:hAnsi="仿宋_GB2312" w:eastAsia="仿宋_GB2312" w:cs="仿宋_GB2312"/>
          <w:color w:val="auto"/>
          <w:sz w:val="24"/>
          <w:szCs w:val="24"/>
          <w:highlight w:val="none"/>
          <w:lang w:val="en-US" w:eastAsia="zh-CN"/>
        </w:rPr>
        <w:t>则</w:t>
      </w:r>
      <w:r>
        <w:rPr>
          <w:rFonts w:hint="eastAsia" w:ascii="仿宋_GB2312" w:hAnsi="仿宋_GB2312" w:eastAsia="仿宋_GB2312" w:cs="仿宋_GB2312"/>
          <w:color w:val="auto"/>
          <w:sz w:val="24"/>
          <w:szCs w:val="24"/>
          <w:highlight w:val="none"/>
        </w:rPr>
        <w:t>供货时间得以顺延。</w:t>
      </w:r>
    </w:p>
    <w:p w14:paraId="04E3D045">
      <w:pPr>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4.1.5乙方</w:t>
      </w:r>
      <w:r>
        <w:rPr>
          <w:rFonts w:hint="eastAsia" w:ascii="仿宋_GB2312" w:hAnsi="仿宋_GB2312" w:eastAsia="仿宋_GB2312" w:cs="仿宋_GB2312"/>
          <w:color w:val="auto"/>
          <w:sz w:val="24"/>
          <w:szCs w:val="24"/>
          <w:highlight w:val="none"/>
          <w:lang w:eastAsia="zh-CN"/>
        </w:rPr>
        <w:t>在</w:t>
      </w:r>
      <w:r>
        <w:rPr>
          <w:rFonts w:hint="eastAsia" w:ascii="仿宋_GB2312" w:hAnsi="仿宋_GB2312" w:eastAsia="仿宋_GB2312" w:cs="仿宋_GB2312"/>
          <w:color w:val="auto"/>
          <w:sz w:val="24"/>
          <w:szCs w:val="24"/>
          <w:highlight w:val="none"/>
          <w:lang w:val="en-US" w:eastAsia="zh-CN"/>
        </w:rPr>
        <w:t>运输及安装调试过程中的</w:t>
      </w:r>
      <w:r>
        <w:rPr>
          <w:rFonts w:hint="eastAsia" w:ascii="仿宋_GB2312" w:hAnsi="仿宋_GB2312" w:eastAsia="仿宋_GB2312" w:cs="仿宋_GB2312"/>
          <w:color w:val="auto"/>
          <w:sz w:val="24"/>
          <w:szCs w:val="24"/>
          <w:highlight w:val="none"/>
        </w:rPr>
        <w:t>一切险和第三者责任险，所需的保险费已包含在合同价中。</w:t>
      </w:r>
    </w:p>
    <w:p w14:paraId="212B3C5B">
      <w:pPr>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一切与</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相关的</w:t>
      </w:r>
      <w:r>
        <w:rPr>
          <w:rFonts w:hint="eastAsia" w:ascii="仿宋_GB2312" w:hAnsi="仿宋_GB2312" w:eastAsia="仿宋_GB2312" w:cs="仿宋_GB2312"/>
          <w:color w:val="auto"/>
          <w:sz w:val="24"/>
          <w:szCs w:val="24"/>
          <w:highlight w:val="none"/>
          <w:lang w:val="en-US" w:eastAsia="zh-CN"/>
        </w:rPr>
        <w:t>费用</w:t>
      </w:r>
      <w:r>
        <w:rPr>
          <w:rFonts w:hint="eastAsia" w:ascii="仿宋_GB2312" w:hAnsi="仿宋_GB2312" w:eastAsia="仿宋_GB2312" w:cs="仿宋_GB2312"/>
          <w:color w:val="auto"/>
          <w:sz w:val="24"/>
          <w:szCs w:val="24"/>
          <w:highlight w:val="none"/>
        </w:rPr>
        <w:t>已含在合同价中。</w:t>
      </w:r>
    </w:p>
    <w:p w14:paraId="2EC1A9FE">
      <w:p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4.2 乙方权利义务</w:t>
      </w:r>
    </w:p>
    <w:p w14:paraId="02EAA9B9">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 乙方应按本合同的约定时间及标准完成供货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安装调试</w:t>
      </w:r>
      <w:r>
        <w:rPr>
          <w:rFonts w:hint="eastAsia" w:ascii="仿宋_GB2312" w:hAnsi="仿宋_GB2312" w:eastAsia="仿宋_GB2312" w:cs="仿宋_GB2312"/>
          <w:color w:val="auto"/>
          <w:sz w:val="24"/>
          <w:szCs w:val="24"/>
          <w:highlight w:val="none"/>
        </w:rPr>
        <w:t>及保修服务；</w:t>
      </w:r>
    </w:p>
    <w:p w14:paraId="69AAB5F7">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 乙方应确保货物在</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情况下完好。凡由于</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不良造成的损失和由此产生的费用均由乙方承担；</w:t>
      </w:r>
    </w:p>
    <w:p w14:paraId="4BA759E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4.2.3 乙方应确保货物的质量符合国家及地方有关的规定、规范、行业标准，符合甲方需求以及本合同相关约定（如前述标准不一致的，以较高标准为准），且乙方保证所提供的产品是全新的、未使用过的、且为产品生产厂家原厂生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如甲方在货物验收过程中或货物验收后的使用过程中发现货物不符合上述要求的，甲方有权要求更换或退货。如甲方选择更换的，乙方应在十个日历日内以同等或更优的货物予以更换</w:t>
      </w:r>
      <w:r>
        <w:rPr>
          <w:rFonts w:hint="eastAsia" w:ascii="仿宋_GB2312" w:hAnsi="仿宋_GB2312" w:eastAsia="仿宋_GB2312" w:cs="仿宋_GB2312"/>
          <w:color w:val="auto"/>
          <w:sz w:val="24"/>
          <w:szCs w:val="24"/>
          <w:highlight w:val="none"/>
          <w:lang w:val="en-US" w:eastAsia="zh-CN"/>
        </w:rPr>
        <w:t>及安装</w:t>
      </w:r>
      <w:r>
        <w:rPr>
          <w:rFonts w:hint="eastAsia" w:ascii="仿宋_GB2312" w:hAnsi="仿宋_GB2312" w:eastAsia="仿宋_GB2312" w:cs="仿宋_GB2312"/>
          <w:color w:val="auto"/>
          <w:sz w:val="24"/>
          <w:szCs w:val="24"/>
          <w:highlight w:val="none"/>
        </w:rPr>
        <w:t>并承担因此产生的费用或甲方损失。如甲、乙双方对设备是否存在质量问题无法达成一致的，甲方有权聘请第三方机构进行检测，如检测结果为设备存在质量问题，则检测费用由乙方承担。</w:t>
      </w:r>
    </w:p>
    <w:p w14:paraId="5DBB665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4.2.4 乙方应保证本项目货物、</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仿宋_GB2312" w:hAnsi="仿宋_GB2312" w:eastAsia="仿宋_GB2312" w:cs="仿宋_GB2312"/>
          <w:color w:val="auto"/>
          <w:kern w:val="0"/>
          <w:sz w:val="24"/>
          <w:szCs w:val="24"/>
          <w:highlight w:val="none"/>
        </w:rPr>
        <w:t>本条款为独立条款，不受合同效力的限制。</w:t>
      </w:r>
    </w:p>
    <w:p w14:paraId="483C7652">
      <w:pPr>
        <w:numPr>
          <w:ilvl w:val="0"/>
          <w:numId w:val="6"/>
        </w:num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货物质保</w:t>
      </w:r>
    </w:p>
    <w:p w14:paraId="37C5F35C">
      <w:pPr>
        <w:numPr>
          <w:ilvl w:val="-1"/>
          <w:numId w:val="0"/>
        </w:num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 质保期：自验收合格之日起，</w:t>
      </w:r>
      <w:r>
        <w:rPr>
          <w:rFonts w:hint="eastAsia" w:ascii="仿宋_GB2312" w:hAnsi="仿宋_GB2312" w:eastAsia="仿宋_GB2312" w:cs="仿宋_GB2312"/>
          <w:i w:val="0"/>
          <w:iCs w:val="0"/>
          <w:caps w:val="0"/>
          <w:color w:val="auto"/>
          <w:spacing w:val="0"/>
          <w:sz w:val="24"/>
          <w:szCs w:val="24"/>
          <w:highlight w:val="none"/>
          <w:lang w:val="en-US" w:eastAsia="zh-CN"/>
        </w:rPr>
        <w:t>质保</w:t>
      </w:r>
      <w:r>
        <w:rPr>
          <w:rFonts w:hint="eastAsia" w:ascii="仿宋_GB2312" w:hAnsi="仿宋_GB2312" w:eastAsia="仿宋_GB2312" w:cs="仿宋_GB2312"/>
          <w:i w:val="0"/>
          <w:iCs w:val="0"/>
          <w:caps w:val="0"/>
          <w:color w:val="auto"/>
          <w:spacing w:val="0"/>
          <w:sz w:val="24"/>
          <w:szCs w:val="24"/>
          <w:highlight w:val="none"/>
        </w:rPr>
        <w:t>壹年。</w:t>
      </w:r>
      <w:r>
        <w:rPr>
          <w:rFonts w:hint="eastAsia" w:ascii="仿宋_GB2312" w:hAnsi="仿宋_GB2312" w:eastAsia="仿宋_GB2312" w:cs="仿宋_GB2312"/>
          <w:i w:val="0"/>
          <w:iCs w:val="0"/>
          <w:caps w:val="0"/>
          <w:color w:val="auto"/>
          <w:spacing w:val="0"/>
          <w:sz w:val="24"/>
          <w:szCs w:val="24"/>
          <w:highlight w:val="none"/>
          <w:lang w:val="en-US" w:eastAsia="zh-CN"/>
        </w:rPr>
        <w:t>如技术规格书或厂家对单体产品有更高要求的，遵循更高要求。质保期内乙方</w:t>
      </w:r>
      <w:r>
        <w:rPr>
          <w:rFonts w:hint="eastAsia" w:ascii="仿宋_GB2312" w:hAnsi="仿宋_GB2312" w:eastAsia="仿宋_GB2312" w:cs="仿宋_GB2312"/>
          <w:i w:val="0"/>
          <w:iCs w:val="0"/>
          <w:caps w:val="0"/>
          <w:color w:val="auto"/>
          <w:spacing w:val="0"/>
          <w:sz w:val="24"/>
          <w:szCs w:val="24"/>
          <w:highlight w:val="none"/>
        </w:rPr>
        <w:t>提供24小时电话服务热线，保证在接到故障电话（或书面通知）即时响应（即能提供满足用户需要的解决方法），1小时内与甲方协商给出合理解决方案，并在</w:t>
      </w:r>
      <w:r>
        <w:rPr>
          <w:rFonts w:hint="eastAsia" w:ascii="仿宋_GB2312" w:hAnsi="仿宋_GB2312" w:eastAsia="仿宋_GB2312" w:cs="仿宋_GB2312"/>
          <w:i w:val="0"/>
          <w:iCs w:val="0"/>
          <w:caps w:val="0"/>
          <w:color w:val="auto"/>
          <w:spacing w:val="0"/>
          <w:sz w:val="24"/>
          <w:szCs w:val="24"/>
          <w:highlight w:val="none"/>
          <w:lang w:val="en-US" w:eastAsia="zh-CN"/>
        </w:rPr>
        <w:t>甲方</w:t>
      </w:r>
      <w:r>
        <w:rPr>
          <w:rFonts w:hint="eastAsia" w:ascii="仿宋_GB2312" w:hAnsi="仿宋_GB2312" w:eastAsia="仿宋_GB2312" w:cs="仿宋_GB2312"/>
          <w:i w:val="0"/>
          <w:iCs w:val="0"/>
          <w:caps w:val="0"/>
          <w:color w:val="auto"/>
          <w:spacing w:val="0"/>
          <w:sz w:val="24"/>
          <w:szCs w:val="24"/>
          <w:highlight w:val="none"/>
        </w:rPr>
        <w:t>指定时间内予以修理或更换。</w:t>
      </w:r>
    </w:p>
    <w:p w14:paraId="58A581F5">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 质保期内，如货物出现质量问题的，乙方应在收到甲方售后通知后 1 小时内响应，并在甲方指定时间内予以修理或更换，</w:t>
      </w:r>
      <w:r>
        <w:rPr>
          <w:rFonts w:hint="eastAsia" w:ascii="仿宋_GB2312" w:hAnsi="仿宋_GB2312" w:eastAsia="仿宋_GB2312" w:cs="仿宋_GB2312"/>
          <w:color w:val="auto"/>
          <w:sz w:val="24"/>
          <w:szCs w:val="24"/>
          <w:highlight w:val="none"/>
          <w:lang w:val="en-US" w:eastAsia="zh-CN"/>
        </w:rPr>
        <w:t>所产生的相关</w:t>
      </w:r>
      <w:r>
        <w:rPr>
          <w:rFonts w:hint="eastAsia" w:ascii="仿宋_GB2312" w:hAnsi="仿宋_GB2312" w:eastAsia="仿宋_GB2312" w:cs="仿宋_GB2312"/>
          <w:color w:val="auto"/>
          <w:sz w:val="24"/>
          <w:szCs w:val="24"/>
          <w:highlight w:val="none"/>
        </w:rPr>
        <w:t>费用</w:t>
      </w:r>
      <w:r>
        <w:rPr>
          <w:rFonts w:hint="eastAsia" w:ascii="仿宋_GB2312" w:hAnsi="仿宋_GB2312" w:eastAsia="仿宋_GB2312" w:cs="仿宋_GB2312"/>
          <w:color w:val="auto"/>
          <w:sz w:val="24"/>
          <w:szCs w:val="24"/>
          <w:highlight w:val="none"/>
          <w:lang w:val="en-US" w:eastAsia="zh-CN"/>
        </w:rPr>
        <w:t>均</w:t>
      </w:r>
      <w:r>
        <w:rPr>
          <w:rFonts w:hint="eastAsia" w:ascii="仿宋_GB2312" w:hAnsi="仿宋_GB2312" w:eastAsia="仿宋_GB2312" w:cs="仿宋_GB2312"/>
          <w:color w:val="auto"/>
          <w:sz w:val="24"/>
          <w:szCs w:val="24"/>
          <w:highlight w:val="none"/>
        </w:rPr>
        <w:t>由乙方承担。否则，乙方除承担修理或更换费用外，还需按 500 元/次</w:t>
      </w:r>
      <w:r>
        <w:rPr>
          <w:rFonts w:hint="eastAsia" w:ascii="仿宋_GB2312" w:hAnsi="仿宋_GB2312" w:eastAsia="仿宋_GB2312" w:cs="仿宋_GB2312"/>
          <w:color w:val="auto"/>
          <w:sz w:val="24"/>
          <w:szCs w:val="24"/>
          <w:highlight w:val="none"/>
          <w:lang w:val="en-US" w:eastAsia="zh-CN"/>
        </w:rPr>
        <w:t>的标准</w:t>
      </w:r>
      <w:r>
        <w:rPr>
          <w:rFonts w:hint="eastAsia" w:ascii="仿宋_GB2312" w:hAnsi="仿宋_GB2312" w:eastAsia="仿宋_GB2312" w:cs="仿宋_GB2312"/>
          <w:color w:val="auto"/>
          <w:sz w:val="24"/>
          <w:szCs w:val="24"/>
          <w:highlight w:val="none"/>
        </w:rPr>
        <w:t>向甲方支付违约金。</w:t>
      </w:r>
    </w:p>
    <w:p w14:paraId="2430D496">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 质保期内，如乙方未按要求提供质保服务或拖延提供质保服务达五个工作日的，甲方有权委托第三方处理并从质保金或履约保证金中直接扣除相应费用。</w:t>
      </w:r>
    </w:p>
    <w:p w14:paraId="5E1FE3D3">
      <w:pPr>
        <w:spacing w:line="360" w:lineRule="auto"/>
        <w:ind w:right="210" w:rightChars="100"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六、违约责任</w:t>
      </w:r>
    </w:p>
    <w:p w14:paraId="14FFD39A">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6.1乙方未按时供货</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（包括相关的技术资料）的违约责任：</w:t>
      </w:r>
    </w:p>
    <w:p w14:paraId="5D931658">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（1）逾期</w:t>
      </w:r>
      <w:r>
        <w:rPr>
          <w:rFonts w:hint="eastAsia" w:ascii="仿宋_GB2312" w:hAnsi="仿宋_GB2312" w:eastAsia="仿宋_GB2312" w:cs="仿宋_GB2312"/>
          <w:color w:val="auto"/>
          <w:sz w:val="24"/>
          <w:szCs w:val="24"/>
          <w:highlight w:val="none"/>
          <w:lang w:val="en-US" w:eastAsia="zh-CN"/>
        </w:rPr>
        <w:t>第</w:t>
      </w:r>
      <w:r>
        <w:rPr>
          <w:rFonts w:hint="eastAsia" w:ascii="仿宋_GB2312" w:hAnsi="仿宋_GB2312" w:eastAsia="仿宋_GB2312" w:cs="仿宋_GB2312"/>
          <w:color w:val="auto"/>
          <w:sz w:val="24"/>
          <w:szCs w:val="24"/>
          <w:highlight w:val="none"/>
        </w:rPr>
        <w:t>1~5日历日，每延误一日按</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总价的0.4%计算违约金；</w:t>
      </w:r>
    </w:p>
    <w:p w14:paraId="1E21E6FA">
      <w:pPr>
        <w:spacing w:line="360" w:lineRule="auto"/>
        <w:ind w:left="420" w:leftChars="200" w:right="210" w:right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（2）逾期</w:t>
      </w:r>
      <w:r>
        <w:rPr>
          <w:rFonts w:hint="eastAsia" w:ascii="仿宋_GB2312" w:hAnsi="仿宋_GB2312" w:eastAsia="仿宋_GB2312" w:cs="仿宋_GB2312"/>
          <w:color w:val="auto"/>
          <w:sz w:val="24"/>
          <w:szCs w:val="24"/>
          <w:highlight w:val="none"/>
          <w:lang w:val="en-US" w:eastAsia="zh-CN"/>
        </w:rPr>
        <w:t>第</w:t>
      </w:r>
      <w:r>
        <w:rPr>
          <w:rFonts w:hint="eastAsia" w:ascii="仿宋_GB2312" w:hAnsi="仿宋_GB2312" w:eastAsia="仿宋_GB2312" w:cs="仿宋_GB2312"/>
          <w:color w:val="auto"/>
          <w:sz w:val="24"/>
          <w:szCs w:val="24"/>
          <w:highlight w:val="none"/>
        </w:rPr>
        <w:t>6~10日历日，每延误一日按</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 xml:space="preserve">总价的0.7%计算违约金； </w:t>
      </w:r>
    </w:p>
    <w:p w14:paraId="72D24DC3">
      <w:pPr>
        <w:spacing w:line="360" w:lineRule="auto"/>
        <w:ind w:left="420" w:leftChars="200" w:right="210" w:right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（3）逾期</w:t>
      </w:r>
      <w:r>
        <w:rPr>
          <w:rFonts w:hint="eastAsia" w:ascii="仿宋_GB2312" w:hAnsi="仿宋_GB2312" w:eastAsia="仿宋_GB2312" w:cs="仿宋_GB2312"/>
          <w:color w:val="auto"/>
          <w:sz w:val="24"/>
          <w:szCs w:val="24"/>
          <w:highlight w:val="none"/>
          <w:lang w:val="en-US" w:eastAsia="zh-CN"/>
        </w:rPr>
        <w:t>第</w:t>
      </w:r>
      <w:r>
        <w:rPr>
          <w:rFonts w:hint="eastAsia" w:ascii="仿宋_GB2312" w:hAnsi="仿宋_GB2312" w:eastAsia="仿宋_GB2312" w:cs="仿宋_GB2312"/>
          <w:color w:val="auto"/>
          <w:sz w:val="24"/>
          <w:szCs w:val="24"/>
          <w:highlight w:val="none"/>
        </w:rPr>
        <w:t>11~15日历日，每延误一日按</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 xml:space="preserve">总价的0.9%计算违约金。 </w:t>
      </w:r>
    </w:p>
    <w:p w14:paraId="090A8971">
      <w:pPr>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注：以上违约金分段累计。</w:t>
      </w:r>
    </w:p>
    <w:p w14:paraId="3DBFDE2C">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约金不足以弥补因此给甲方造成的损失的，乙方还应补足；乙方支付违约金，并不解除乙方按照合同继续交货的义务；若延误累计超出15日历日的，甲方有权没收合同履约保证金（如有），且单方面解除合同。同时，造成甲方损失（包括但不限于经济损失等），均由乙方承担。</w:t>
      </w:r>
    </w:p>
    <w:p w14:paraId="4F3B3512">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如果经甲方同意给予了延长期，那么，根据本款应缴纳的违约金从延期后的工期到期日开始计算。</w:t>
      </w:r>
    </w:p>
    <w:p w14:paraId="30AC23B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6.2乙方提供的货物不满足本合同约定的质量要求导致甲方退货的，甲方有权另行委托第三方完成供货</w:t>
      </w:r>
      <w:r>
        <w:rPr>
          <w:rFonts w:hint="eastAsia" w:ascii="仿宋_GB2312" w:hAnsi="仿宋_GB2312" w:eastAsia="仿宋_GB2312" w:cs="仿宋_GB2312"/>
          <w:color w:val="auto"/>
          <w:sz w:val="24"/>
          <w:szCs w:val="24"/>
          <w:highlight w:val="none"/>
          <w:lang w:val="en-US" w:eastAsia="zh-CN"/>
        </w:rPr>
        <w:t>及安装</w:t>
      </w:r>
      <w:r>
        <w:rPr>
          <w:rFonts w:hint="eastAsia" w:ascii="仿宋_GB2312" w:hAnsi="仿宋_GB2312" w:eastAsia="仿宋_GB2312" w:cs="仿宋_GB2312"/>
          <w:color w:val="auto"/>
          <w:sz w:val="24"/>
          <w:szCs w:val="24"/>
          <w:highlight w:val="none"/>
        </w:rPr>
        <w:t>。甲方无须向乙方支付相应货款，如甲方已付相应货款的，乙方应予以退还。同时，乙方应支付甲方合同总金额</w:t>
      </w:r>
      <w:r>
        <w:rPr>
          <w:rFonts w:hint="eastAsia" w:ascii="仿宋_GB2312" w:hAnsi="仿宋_GB2312" w:eastAsia="仿宋_GB2312" w:cs="仿宋_GB2312"/>
          <w:color w:val="auto"/>
          <w:sz w:val="24"/>
          <w:szCs w:val="24"/>
          <w:highlight w:val="none"/>
          <w:u w:val="single"/>
        </w:rPr>
        <w:t>20%</w:t>
      </w:r>
      <w:r>
        <w:rPr>
          <w:rFonts w:hint="eastAsia" w:ascii="仿宋_GB2312" w:hAnsi="仿宋_GB2312" w:eastAsia="仿宋_GB2312" w:cs="仿宋_GB2312"/>
          <w:color w:val="auto"/>
          <w:sz w:val="24"/>
          <w:szCs w:val="24"/>
          <w:highlight w:val="none"/>
        </w:rPr>
        <w:t>的违约金，违约金不足以赔偿因此给甲方造成的损失的，乙方应补足。</w:t>
      </w:r>
    </w:p>
    <w:p w14:paraId="40D92E55">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6.3甲方未按时付款且经乙方书面催告后仍未支付的，应按应付未付款金额以一年期LPR计算逾期付款违约金，甲方承担的各项违约金总额不超过应付未付合同金额的20%。</w:t>
      </w:r>
    </w:p>
    <w:p w14:paraId="3D988860">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6.4乙方在履约过程中因违约应承担违约金、罚款或甲方损失的，甲方有权直接从履约保证金中扣除相应金额。如履约保证金不足以扣除的，乙方应当补足</w:t>
      </w:r>
      <w:r>
        <w:rPr>
          <w:rFonts w:hint="eastAsia" w:ascii="仿宋_GB2312" w:hAnsi="仿宋_GB2312" w:eastAsia="仿宋_GB2312" w:cs="仿宋_GB2312"/>
          <w:sz w:val="24"/>
          <w:szCs w:val="24"/>
        </w:rPr>
        <w:t>，乙方未在甲方通知的时间内补足的，甲方有权从未支付货款中扣除，不足部分，</w:t>
      </w:r>
      <w:r>
        <w:rPr>
          <w:rFonts w:hint="eastAsia" w:ascii="仿宋_GB2312" w:hAnsi="仿宋_GB2312" w:eastAsia="仿宋_GB2312" w:cs="仿宋_GB2312"/>
          <w:color w:val="auto"/>
          <w:sz w:val="24"/>
          <w:szCs w:val="24"/>
          <w:highlight w:val="none"/>
        </w:rPr>
        <w:t>甲方有权另行追偿。</w:t>
      </w:r>
    </w:p>
    <w:p w14:paraId="0DE416D5">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6.5 因一方或双方遇不可抗力不能继续履行合同时，双方互免承担违约责任，可在结清已发生费用后解除合同。</w:t>
      </w:r>
    </w:p>
    <w:p w14:paraId="10335733">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 xml:space="preserve">6.6 </w:t>
      </w:r>
      <w:r>
        <w:rPr>
          <w:rFonts w:hint="eastAsia" w:ascii="仿宋_GB2312" w:hAnsi="仿宋_GB2312" w:eastAsia="仿宋_GB2312" w:cs="仿宋_GB2312"/>
          <w:color w:val="auto"/>
          <w:kern w:val="0"/>
          <w:sz w:val="24"/>
          <w:szCs w:val="24"/>
          <w:highlight w:val="none"/>
        </w:rPr>
        <w:t>在甲方场所，乙方履行合同应当遵守甲方对于场所的各项管理规定，造成甲方或第三方人身安全或财产经济损失的，由乙方负责全额赔偿（甲方可直接在甲方应付款中扣除）。</w:t>
      </w:r>
    </w:p>
    <w:p w14:paraId="0B048F40">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6.7 乙方无正当理由拒不履行本合同约定，经甲方书面通知后，仍未在限期内整改的，甲方有权解除合同，乙方应向甲方退回所有已收取款项，且应按合同总付款的20%向甲方支付违约金。</w:t>
      </w:r>
    </w:p>
    <w:p w14:paraId="3D150F8C">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6.8 甲方依法律相关规定或本合同约定解除合同的，乙方所有人员、产品必须在甲方解除合同书面通知送达之日起3个工作日内撤离，逾期未撤离的，乙方应向甲方支付场地占用</w:t>
      </w:r>
      <w:r>
        <w:rPr>
          <w:rFonts w:hint="eastAsia" w:ascii="仿宋_GB2312" w:hAnsi="仿宋_GB2312" w:eastAsia="仿宋_GB2312" w:cs="仿宋_GB2312"/>
          <w:color w:val="auto"/>
          <w:kern w:val="0"/>
          <w:sz w:val="24"/>
          <w:szCs w:val="24"/>
          <w:highlight w:val="none"/>
          <w:u w:val="single"/>
        </w:rPr>
        <w:t>费500元/日</w:t>
      </w:r>
      <w:r>
        <w:rPr>
          <w:rFonts w:hint="eastAsia" w:ascii="仿宋_GB2312" w:hAnsi="仿宋_GB2312" w:eastAsia="仿宋_GB2312" w:cs="仿宋_GB2312"/>
          <w:color w:val="auto"/>
          <w:kern w:val="0"/>
          <w:sz w:val="24"/>
          <w:szCs w:val="24"/>
          <w:highlight w:val="none"/>
        </w:rPr>
        <w:t>。解除合同书面通知送达之日起，甲方无须对乙方的产品负保管义务和责任，若相关产品损坏或损毁，均由乙方自行承担损失。</w:t>
      </w:r>
    </w:p>
    <w:p w14:paraId="6C51E347">
      <w:pPr>
        <w:spacing w:line="360" w:lineRule="auto"/>
        <w:ind w:right="210" w:rightChars="100"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6.9因乙方违约而甲方主张权利产生的包括但不限于律师费、诉讼费、保全费、保全担保费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鉴定费、评估费、公证费</w:t>
      </w:r>
      <w:r>
        <w:rPr>
          <w:rFonts w:hint="eastAsia" w:ascii="仿宋_GB2312" w:hAnsi="仿宋_GB2312" w:eastAsia="仿宋_GB2312" w:cs="仿宋_GB2312"/>
          <w:color w:val="auto"/>
          <w:kern w:val="0"/>
          <w:sz w:val="24"/>
          <w:szCs w:val="24"/>
          <w:highlight w:val="none"/>
        </w:rPr>
        <w:t>等一切费用，均由乙方承担。</w:t>
      </w:r>
    </w:p>
    <w:p w14:paraId="7C1C554E">
      <w:pPr>
        <w:spacing w:line="360" w:lineRule="auto"/>
        <w:ind w:right="210" w:rightChars="100" w:firstLine="480"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七、不可抗力</w:t>
      </w:r>
      <w:r>
        <w:rPr>
          <w:rFonts w:hint="eastAsia" w:ascii="仿宋_GB2312" w:hAnsi="仿宋_GB2312" w:eastAsia="仿宋_GB2312" w:cs="仿宋_GB2312"/>
          <w:b/>
          <w:bCs/>
          <w:color w:val="auto"/>
          <w:sz w:val="24"/>
          <w:szCs w:val="24"/>
          <w:highlight w:val="none"/>
          <w:lang w:val="en-US" w:eastAsia="zh-CN"/>
        </w:rPr>
        <w:t>与保密</w:t>
      </w:r>
    </w:p>
    <w:p w14:paraId="58387A14">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7.1</w:t>
      </w:r>
      <w:r>
        <w:rPr>
          <w:rFonts w:hint="eastAsia" w:ascii="仿宋_GB2312" w:hAnsi="仿宋_GB2312" w:eastAsia="仿宋_GB2312" w:cs="仿宋_GB2312"/>
          <w:color w:val="auto"/>
          <w:sz w:val="24"/>
          <w:szCs w:val="24"/>
          <w:highlight w:val="none"/>
        </w:rPr>
        <w:t>甲乙双方中任何一方由于不可抗力影响合同执行时，发生不可抗力一方应在24小时内通知另一方。在此情况下，乙方仍然有责任采取必要的措施加速供货，双方应通过友好协商尽快解决本合同的执行问题。</w:t>
      </w:r>
    </w:p>
    <w:p w14:paraId="4B9E2E5C">
      <w:pPr>
        <w:spacing w:line="360" w:lineRule="auto"/>
        <w:ind w:right="210" w:rightChars="100"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4"/>
          <w:szCs w:val="24"/>
          <w:highlight w:val="none"/>
          <w:lang w:val="en-US" w:eastAsia="zh-CN"/>
        </w:rPr>
        <w:t>7.2</w:t>
      </w:r>
      <w:r>
        <w:rPr>
          <w:rFonts w:hint="eastAsia" w:ascii="仿宋_GB2312" w:hAnsi="仿宋_GB2312" w:eastAsia="仿宋_GB2312" w:cs="仿宋_GB2312"/>
          <w:bCs w:val="0"/>
          <w:color w:val="auto"/>
          <w:sz w:val="24"/>
          <w:szCs w:val="24"/>
          <w:highlight w:val="none"/>
        </w:rPr>
        <w:t>除本</w:t>
      </w:r>
      <w:r>
        <w:rPr>
          <w:rFonts w:hint="eastAsia" w:ascii="仿宋_GB2312" w:hAnsi="仿宋_GB2312" w:eastAsia="仿宋_GB2312" w:cs="仿宋_GB2312"/>
          <w:bCs w:val="0"/>
          <w:color w:val="auto"/>
          <w:sz w:val="24"/>
          <w:szCs w:val="24"/>
          <w:highlight w:val="none"/>
          <w:lang w:val="en-US" w:eastAsia="zh-CN"/>
        </w:rPr>
        <w:t>合同</w:t>
      </w:r>
      <w:r>
        <w:rPr>
          <w:rFonts w:hint="eastAsia" w:ascii="仿宋_GB2312" w:hAnsi="仿宋_GB2312" w:eastAsia="仿宋_GB2312" w:cs="仿宋_GB2312"/>
          <w:bCs w:val="0"/>
          <w:color w:val="auto"/>
          <w:sz w:val="24"/>
          <w:szCs w:val="24"/>
          <w:highlight w:val="none"/>
        </w:rPr>
        <w:t>另有约定或为履行本协</w:t>
      </w:r>
      <w:r>
        <w:rPr>
          <w:rFonts w:hint="eastAsia" w:ascii="仿宋_GB2312" w:hAnsi="仿宋_GB2312" w:eastAsia="仿宋_GB2312" w:cs="仿宋_GB2312"/>
          <w:bCs w:val="0"/>
          <w:color w:val="auto"/>
          <w:sz w:val="24"/>
          <w:szCs w:val="24"/>
          <w:highlight w:val="none"/>
          <w:lang w:val="en-US" w:eastAsia="zh-CN"/>
        </w:rPr>
        <w:t>合同</w:t>
      </w:r>
      <w:r>
        <w:rPr>
          <w:rFonts w:hint="eastAsia" w:ascii="仿宋_GB2312" w:hAnsi="仿宋_GB2312" w:eastAsia="仿宋_GB2312" w:cs="仿宋_GB2312"/>
          <w:bCs w:val="0"/>
          <w:color w:val="auto"/>
          <w:sz w:val="24"/>
          <w:szCs w:val="24"/>
          <w:highlight w:val="none"/>
        </w:rPr>
        <w:t>的需要外，</w:t>
      </w:r>
      <w:r>
        <w:rPr>
          <w:rFonts w:hint="eastAsia" w:ascii="仿宋_GB2312" w:hAnsi="仿宋_GB2312" w:eastAsia="仿宋_GB2312" w:cs="仿宋_GB2312"/>
          <w:bCs w:val="0"/>
          <w:color w:val="auto"/>
          <w:sz w:val="24"/>
          <w:szCs w:val="24"/>
          <w:highlight w:val="none"/>
          <w:lang w:val="en-US" w:eastAsia="zh-CN"/>
        </w:rPr>
        <w:t>乙</w:t>
      </w:r>
      <w:r>
        <w:rPr>
          <w:rFonts w:hint="eastAsia" w:ascii="仿宋_GB2312" w:hAnsi="仿宋_GB2312" w:eastAsia="仿宋_GB2312" w:cs="仿宋_GB2312"/>
          <w:bCs w:val="0"/>
          <w:color w:val="auto"/>
          <w:sz w:val="24"/>
          <w:szCs w:val="24"/>
          <w:highlight w:val="none"/>
        </w:rPr>
        <w:t>方应对其通过工作接触和履行合同过程中得知的有关</w:t>
      </w:r>
      <w:r>
        <w:rPr>
          <w:rFonts w:hint="eastAsia" w:ascii="仿宋_GB2312" w:hAnsi="仿宋_GB2312" w:eastAsia="仿宋_GB2312" w:cs="仿宋_GB2312"/>
          <w:bCs w:val="0"/>
          <w:color w:val="auto"/>
          <w:sz w:val="24"/>
          <w:szCs w:val="24"/>
          <w:highlight w:val="none"/>
          <w:lang w:val="en-US" w:eastAsia="zh-CN"/>
        </w:rPr>
        <w:t>甲</w:t>
      </w:r>
      <w:r>
        <w:rPr>
          <w:rFonts w:hint="eastAsia" w:ascii="仿宋_GB2312" w:hAnsi="仿宋_GB2312" w:eastAsia="仿宋_GB2312" w:cs="仿宋_GB2312"/>
          <w:bCs w:val="0"/>
          <w:color w:val="auto"/>
          <w:sz w:val="24"/>
          <w:szCs w:val="24"/>
          <w:highlight w:val="none"/>
        </w:rPr>
        <w:t>方的商业</w:t>
      </w:r>
      <w:r>
        <w:rPr>
          <w:rFonts w:hint="eastAsia" w:ascii="仿宋_GB2312" w:hAnsi="仿宋_GB2312" w:eastAsia="仿宋_GB2312" w:cs="仿宋_GB2312"/>
          <w:bCs w:val="0"/>
          <w:color w:val="auto"/>
          <w:sz w:val="24"/>
          <w:szCs w:val="24"/>
          <w:highlight w:val="none"/>
          <w:lang w:val="en-US" w:eastAsia="zh-CN"/>
        </w:rPr>
        <w:t>信息</w:t>
      </w:r>
      <w:r>
        <w:rPr>
          <w:rFonts w:hint="eastAsia" w:ascii="仿宋_GB2312" w:hAnsi="仿宋_GB2312" w:eastAsia="仿宋_GB2312" w:cs="仿宋_GB2312"/>
          <w:bCs w:val="0"/>
          <w:color w:val="auto"/>
          <w:sz w:val="24"/>
          <w:szCs w:val="24"/>
          <w:highlight w:val="none"/>
        </w:rPr>
        <w:t>严格保密，未经</w:t>
      </w:r>
      <w:r>
        <w:rPr>
          <w:rFonts w:hint="eastAsia" w:ascii="仿宋_GB2312" w:hAnsi="仿宋_GB2312" w:eastAsia="仿宋_GB2312" w:cs="仿宋_GB2312"/>
          <w:bCs w:val="0"/>
          <w:color w:val="auto"/>
          <w:sz w:val="24"/>
          <w:szCs w:val="24"/>
          <w:highlight w:val="none"/>
          <w:lang w:val="en-US" w:eastAsia="zh-CN"/>
        </w:rPr>
        <w:t>甲</w:t>
      </w:r>
      <w:r>
        <w:rPr>
          <w:rFonts w:hint="eastAsia" w:ascii="仿宋_GB2312" w:hAnsi="仿宋_GB2312" w:eastAsia="仿宋_GB2312" w:cs="仿宋_GB2312"/>
          <w:bCs w:val="0"/>
          <w:color w:val="auto"/>
          <w:sz w:val="24"/>
          <w:szCs w:val="24"/>
          <w:highlight w:val="none"/>
        </w:rPr>
        <w:t>方事先书面同意，不得向其他人披露</w:t>
      </w:r>
      <w:r>
        <w:rPr>
          <w:rFonts w:hint="eastAsia" w:ascii="仿宋_GB2312" w:hAnsi="仿宋_GB2312" w:eastAsia="仿宋_GB2312" w:cs="仿宋_GB2312"/>
          <w:bCs w:val="0"/>
          <w:color w:val="auto"/>
          <w:sz w:val="24"/>
          <w:szCs w:val="24"/>
          <w:highlight w:val="none"/>
          <w:lang w:eastAsia="zh-CN"/>
        </w:rPr>
        <w:t>，</w:t>
      </w:r>
      <w:r>
        <w:rPr>
          <w:rFonts w:hint="eastAsia" w:ascii="仿宋_GB2312" w:hAnsi="仿宋_GB2312" w:eastAsia="仿宋_GB2312" w:cs="仿宋_GB2312"/>
          <w:bCs w:val="0"/>
          <w:color w:val="auto"/>
          <w:sz w:val="24"/>
          <w:szCs w:val="24"/>
          <w:highlight w:val="none"/>
          <w:lang w:val="en-US" w:eastAsia="zh-CN"/>
        </w:rPr>
        <w:t>乙</w:t>
      </w:r>
      <w:r>
        <w:rPr>
          <w:rFonts w:hint="eastAsia" w:ascii="仿宋_GB2312" w:hAnsi="仿宋_GB2312" w:eastAsia="仿宋_GB2312" w:cs="仿宋_GB2312"/>
          <w:bCs w:val="0"/>
          <w:color w:val="auto"/>
          <w:sz w:val="24"/>
          <w:szCs w:val="24"/>
          <w:highlight w:val="none"/>
        </w:rPr>
        <w:t>方违反上述保密义务，造成</w:t>
      </w:r>
      <w:r>
        <w:rPr>
          <w:rFonts w:hint="eastAsia" w:ascii="仿宋_GB2312" w:hAnsi="仿宋_GB2312" w:eastAsia="仿宋_GB2312" w:cs="仿宋_GB2312"/>
          <w:bCs w:val="0"/>
          <w:color w:val="auto"/>
          <w:sz w:val="24"/>
          <w:szCs w:val="24"/>
          <w:highlight w:val="none"/>
          <w:lang w:val="en-US" w:eastAsia="zh-CN"/>
        </w:rPr>
        <w:t>甲</w:t>
      </w:r>
      <w:r>
        <w:rPr>
          <w:rFonts w:hint="eastAsia" w:ascii="仿宋_GB2312" w:hAnsi="仿宋_GB2312" w:eastAsia="仿宋_GB2312" w:cs="仿宋_GB2312"/>
          <w:bCs w:val="0"/>
          <w:color w:val="auto"/>
          <w:sz w:val="24"/>
          <w:szCs w:val="24"/>
          <w:highlight w:val="none"/>
        </w:rPr>
        <w:t>方损失的，应向</w:t>
      </w:r>
      <w:r>
        <w:rPr>
          <w:rFonts w:hint="eastAsia" w:ascii="仿宋_GB2312" w:hAnsi="仿宋_GB2312" w:eastAsia="仿宋_GB2312" w:cs="仿宋_GB2312"/>
          <w:bCs w:val="0"/>
          <w:color w:val="auto"/>
          <w:sz w:val="24"/>
          <w:szCs w:val="24"/>
          <w:highlight w:val="none"/>
          <w:lang w:val="en-US" w:eastAsia="zh-CN"/>
        </w:rPr>
        <w:t>甲方支付20万元/次的违约金</w:t>
      </w:r>
      <w:r>
        <w:rPr>
          <w:rFonts w:hint="eastAsia" w:ascii="仿宋_GB2312" w:hAnsi="仿宋_GB2312" w:eastAsia="仿宋_GB2312" w:cs="仿宋_GB2312"/>
          <w:bCs w:val="0"/>
          <w:color w:val="auto"/>
          <w:sz w:val="24"/>
          <w:szCs w:val="24"/>
          <w:highlight w:val="none"/>
        </w:rPr>
        <w:t>。保密义务不因本合同</w:t>
      </w:r>
      <w:r>
        <w:rPr>
          <w:rFonts w:hint="eastAsia" w:ascii="仿宋_GB2312" w:hAnsi="仿宋_GB2312" w:eastAsia="仿宋_GB2312" w:cs="仿宋_GB2312"/>
          <w:bCs w:val="0"/>
          <w:color w:val="auto"/>
          <w:sz w:val="24"/>
          <w:szCs w:val="24"/>
          <w:highlight w:val="none"/>
          <w:lang w:val="en-US" w:eastAsia="zh-CN"/>
        </w:rPr>
        <w:t>终止</w:t>
      </w:r>
      <w:r>
        <w:rPr>
          <w:rFonts w:hint="eastAsia" w:ascii="仿宋_GB2312" w:hAnsi="仿宋_GB2312" w:eastAsia="仿宋_GB2312" w:cs="仿宋_GB2312"/>
          <w:bCs w:val="0"/>
          <w:color w:val="auto"/>
          <w:sz w:val="24"/>
          <w:szCs w:val="24"/>
          <w:highlight w:val="none"/>
        </w:rPr>
        <w:t>而终止。</w:t>
      </w:r>
    </w:p>
    <w:p w14:paraId="22369E4D">
      <w:pPr>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八、争议的解决</w:t>
      </w:r>
    </w:p>
    <w:p w14:paraId="1161C816">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因履行本合同发生的任何争议，双方本着友好互利的原则协商解决。协商不成时应向甲方所在地人民法院提起诉讼。除有争议的部分外，双方应继续履行本合同所约定的义务。</w:t>
      </w:r>
    </w:p>
    <w:p w14:paraId="115543DB">
      <w:pPr>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九、其它约定</w:t>
      </w:r>
    </w:p>
    <w:p w14:paraId="3FE6169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9.1本合同任何内容的修改，须由双方进行协商，并另行签订补充协议或书面文件。合同中未尽事项，由双方协商另行签订补充协议。</w:t>
      </w:r>
    </w:p>
    <w:p w14:paraId="32161E3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9.2任何一方未经另一方的书面同意，均不得将本合同的权利、义务转让给第三方。</w:t>
      </w:r>
    </w:p>
    <w:p w14:paraId="6443D486">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9.3本合同一式陆份，甲方执肆份、乙方执贰份。本合同自双方法定代表人或委托代理人签字并加合同章（或公章）后生效</w:t>
      </w:r>
      <w:r>
        <w:rPr>
          <w:rFonts w:hint="eastAsia" w:ascii="仿宋_GB2312" w:hAnsi="仿宋_GB2312" w:eastAsia="仿宋_GB2312" w:cs="仿宋_GB2312"/>
          <w:color w:val="auto"/>
          <w:sz w:val="24"/>
          <w:szCs w:val="24"/>
          <w:highlight w:val="none"/>
          <w:lang w:eastAsia="zh-CN"/>
        </w:rPr>
        <w:t>。</w:t>
      </w:r>
    </w:p>
    <w:p w14:paraId="550A300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9.4本合同附件：</w:t>
      </w:r>
    </w:p>
    <w:p w14:paraId="2526B21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附件1：报价清单</w:t>
      </w:r>
    </w:p>
    <w:p w14:paraId="7EBBA4B7">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附件2：结果确认函</w:t>
      </w:r>
    </w:p>
    <w:p w14:paraId="6A0CCA8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：阳光合作协议</w:t>
      </w:r>
    </w:p>
    <w:p w14:paraId="1D898727">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附件4：订购单模板</w:t>
      </w:r>
    </w:p>
    <w:p w14:paraId="7519C99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附件5：送货单模板</w:t>
      </w:r>
    </w:p>
    <w:p w14:paraId="14D0ED0D">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（以下无正文）</w:t>
      </w:r>
    </w:p>
    <w:p w14:paraId="7D8D4C62">
      <w:pPr>
        <w:spacing w:line="360" w:lineRule="auto"/>
        <w:ind w:firstLine="480" w:firstLineChars="200"/>
        <w:rPr>
          <w:rFonts w:hint="eastAsia" w:ascii="仿宋_GB2312" w:hAnsi="仿宋_GB2312" w:eastAsia="仿宋_GB2312" w:cs="仿宋_GB2312"/>
          <w:color w:val="auto"/>
          <w:sz w:val="24"/>
          <w:szCs w:val="24"/>
          <w:highlight w:val="none"/>
        </w:rPr>
      </w:pPr>
    </w:p>
    <w:p w14:paraId="427CF787">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甲方（盖章）：                     乙方（盖章）：</w:t>
      </w:r>
    </w:p>
    <w:p w14:paraId="7D60E419">
      <w:pPr>
        <w:spacing w:line="360" w:lineRule="auto"/>
        <w:ind w:firstLine="240" w:firstLineChars="100"/>
        <w:rPr>
          <w:rFonts w:hint="eastAsia" w:ascii="仿宋_GB2312" w:hAnsi="仿宋_GB2312" w:eastAsia="仿宋_GB2312" w:cs="仿宋_GB2312"/>
          <w:color w:val="auto"/>
          <w:sz w:val="24"/>
          <w:szCs w:val="24"/>
          <w:highlight w:val="none"/>
        </w:rPr>
      </w:pPr>
    </w:p>
    <w:p w14:paraId="2F8BA91F">
      <w:pP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w:t>
      </w:r>
      <w:r>
        <w:rPr>
          <w:rFonts w:hint="eastAsia" w:ascii="仿宋_GB2312" w:hAnsi="仿宋_GB2312" w:eastAsia="仿宋_GB2312" w:cs="仿宋_GB2312"/>
          <w:color w:val="auto"/>
          <w:sz w:val="24"/>
          <w:szCs w:val="24"/>
          <w:highlight w:val="none"/>
          <w:lang w:val="en-US" w:eastAsia="zh-CN"/>
        </w:rPr>
        <w:t>字/签章</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法定代表人（签</w:t>
      </w:r>
      <w:r>
        <w:rPr>
          <w:rFonts w:hint="eastAsia" w:ascii="仿宋_GB2312" w:hAnsi="仿宋_GB2312" w:eastAsia="仿宋_GB2312" w:cs="仿宋_GB2312"/>
          <w:color w:val="auto"/>
          <w:sz w:val="24"/>
          <w:szCs w:val="24"/>
          <w:highlight w:val="none"/>
          <w:lang w:val="en-US" w:eastAsia="zh-CN"/>
        </w:rPr>
        <w:t>字/签章</w:t>
      </w:r>
      <w:r>
        <w:rPr>
          <w:rFonts w:hint="eastAsia" w:ascii="仿宋_GB2312" w:hAnsi="仿宋_GB2312" w:eastAsia="仿宋_GB2312" w:cs="仿宋_GB2312"/>
          <w:color w:val="auto"/>
          <w:sz w:val="24"/>
          <w:szCs w:val="24"/>
          <w:highlight w:val="none"/>
        </w:rPr>
        <w:t>）：</w:t>
      </w:r>
    </w:p>
    <w:p w14:paraId="63365528">
      <w:pPr>
        <w:spacing w:line="360" w:lineRule="auto"/>
        <w:ind w:firstLine="240" w:firstLineChars="100"/>
        <w:rPr>
          <w:rFonts w:hint="eastAsia" w:ascii="仿宋_GB2312" w:hAnsi="仿宋_GB2312" w:eastAsia="仿宋_GB2312" w:cs="仿宋_GB2312"/>
          <w:color w:val="auto"/>
          <w:sz w:val="24"/>
          <w:szCs w:val="24"/>
          <w:highlight w:val="none"/>
        </w:rPr>
      </w:pPr>
    </w:p>
    <w:p w14:paraId="3664E297">
      <w:pP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或授权代表人（签字）：             或授权代表人（签字）：</w:t>
      </w:r>
    </w:p>
    <w:p w14:paraId="6DC1786C">
      <w:pPr>
        <w:spacing w:line="360" w:lineRule="auto"/>
        <w:ind w:left="4290" w:leftChars="100" w:hanging="4080" w:hangingChars="1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BDECFB3">
      <w:pPr>
        <w:spacing w:line="360" w:lineRule="auto"/>
        <w:ind w:right="240" w:firstLine="240" w:firstLineChars="1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签约地点：东莞市</w:t>
      </w:r>
    </w:p>
    <w:p w14:paraId="5C8CDD0C">
      <w:pPr>
        <w:spacing w:line="360" w:lineRule="auto"/>
        <w:ind w:right="960" w:firstLine="240" w:firstLineChars="10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签订时间：</w:t>
      </w:r>
      <w:r>
        <w:rPr>
          <w:rFonts w:hint="eastAsia" w:ascii="仿宋_GB2312" w:hAnsi="仿宋_GB2312" w:eastAsia="仿宋_GB2312" w:cs="仿宋_GB2312"/>
          <w:color w:val="auto"/>
          <w:sz w:val="24"/>
          <w:szCs w:val="24"/>
          <w:highlight w:val="none"/>
          <w:lang w:val="en-US" w:eastAsia="zh-CN"/>
        </w:rPr>
        <w:t>2026年  月  日</w:t>
      </w:r>
    </w:p>
    <w:p w14:paraId="2F41E2F7">
      <w:pPr>
        <w:widowControl/>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14:paraId="17DC64A5">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附件1：报价清单、技术规范书</w:t>
      </w:r>
    </w:p>
    <w:p w14:paraId="246F7F45">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53CF99DB">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3CF5FEFB">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5FEFD276">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560A638F">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97AD6BF">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37A8D925">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E40E2F7">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39C716B">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186FC4EC">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5621A5F8">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50B38A1">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586C9EF3">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446E3BFE">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E646D99">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707C4040">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85F82E1">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F0B0984">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1738F5A7">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43BF49BA">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60908666">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44C084E1">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6D44DF50">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585CD80">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1900B33">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3F0D0CC4">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510078FC">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444C7B1E">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200E29E6">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rPr>
      </w:pPr>
    </w:p>
    <w:p w14:paraId="6D6B59C9">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附件2：</w:t>
      </w:r>
      <w:r>
        <w:rPr>
          <w:rFonts w:hint="eastAsia" w:ascii="仿宋_GB2312" w:hAnsi="仿宋_GB2312" w:eastAsia="仿宋_GB2312" w:cs="仿宋_GB2312"/>
          <w:b/>
          <w:color w:val="auto"/>
          <w:sz w:val="24"/>
          <w:szCs w:val="24"/>
          <w:highlight w:val="none"/>
          <w:lang w:val="en-US" w:eastAsia="zh-CN"/>
        </w:rPr>
        <w:t>结果确认函</w:t>
      </w:r>
    </w:p>
    <w:p w14:paraId="08B1B363">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32A45ADB">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594FBB8E">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12A3D22C">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6A4738C8">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4D19F932">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6EC5FABD">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107BE8D8">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1EB97317">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337E29E4">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5C5411F4">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578D6292">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08CB4BF8">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11176FF9">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333CA60D">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4B2C965F">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45F3BC32">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4CA5D102">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739F8FA2">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0EA9FB51">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74574273">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730DDA07">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00F5DFD8">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1609193C">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7C2E5533">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0F1D3DEC">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402149E1">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14BEA093">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5A654A24">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0CC1EEA8">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附件3：阳光合作协议</w:t>
      </w:r>
    </w:p>
    <w:p w14:paraId="56523260">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阳光合作协议</w:t>
      </w:r>
    </w:p>
    <w:p w14:paraId="4AD0D9DD">
      <w:pPr>
        <w:spacing w:line="360" w:lineRule="auto"/>
        <w:jc w:val="center"/>
        <w:rPr>
          <w:rFonts w:hint="eastAsia" w:ascii="仿宋_GB2312" w:hAnsi="仿宋_GB2312" w:eastAsia="仿宋_GB2312" w:cs="仿宋_GB2312"/>
          <w:b/>
          <w:color w:val="auto"/>
          <w:sz w:val="24"/>
          <w:szCs w:val="24"/>
          <w:highlight w:val="none"/>
        </w:rPr>
      </w:pPr>
    </w:p>
    <w:p w14:paraId="6344041F">
      <w:pPr>
        <w:spacing w:before="159" w:beforeLines="50" w:after="159" w:afterLines="50" w:line="480" w:lineRule="exact"/>
        <w:ind w:firstLine="420" w:firstLineChars="200"/>
        <w:contextualSpacing/>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color w:val="auto"/>
          <w:highlight w:val="none"/>
        </w:rPr>
        <w:t>甲方（采购方全称）：</w:t>
      </w:r>
      <w:r>
        <w:rPr>
          <w:rFonts w:hint="eastAsia" w:ascii="仿宋_GB2312" w:hAnsi="仿宋_GB2312" w:eastAsia="仿宋_GB2312" w:cs="仿宋_GB2312"/>
          <w:bCs w:val="0"/>
          <w:color w:val="auto"/>
          <w:kern w:val="2"/>
          <w:sz w:val="21"/>
          <w:szCs w:val="20"/>
          <w:highlight w:val="none"/>
          <w:lang w:eastAsia="zh-CN"/>
        </w:rPr>
        <w:t>东莞市东凤环境服务有限公司</w:t>
      </w:r>
    </w:p>
    <w:p w14:paraId="6ED54D43">
      <w:pPr>
        <w:spacing w:before="159" w:beforeLines="50" w:after="159" w:afterLines="50" w:line="480" w:lineRule="exact"/>
        <w:ind w:firstLine="420" w:firstLineChars="200"/>
        <w:contextualSpacing/>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rPr>
        <w:t xml:space="preserve">乙方（供应方全称）： </w:t>
      </w:r>
    </w:p>
    <w:p w14:paraId="05FC538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color w:val="auto"/>
          <w:highlight w:val="none"/>
        </w:rPr>
        <w:t>甲乙双方于</w:t>
      </w:r>
      <w:r>
        <w:rPr>
          <w:rFonts w:hint="eastAsia" w:ascii="仿宋_GB2312" w:hAnsi="仿宋_GB2312" w:eastAsia="仿宋_GB2312" w:cs="仿宋_GB2312"/>
          <w:color w:val="auto"/>
          <w:highlight w:val="none"/>
          <w:u w:val="none"/>
          <w:lang w:val="en-US" w:eastAsia="zh-CN"/>
        </w:rPr>
        <w:t>2026</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日签署了《</w:t>
      </w:r>
      <w:r>
        <w:rPr>
          <w:rFonts w:hint="eastAsia" w:ascii="仿宋_GB2312" w:hAnsi="仿宋_GB2312" w:eastAsia="仿宋_GB2312" w:cs="仿宋_GB2312"/>
          <w:color w:val="auto"/>
          <w:highlight w:val="none"/>
          <w:lang w:eastAsia="zh-CN"/>
        </w:rPr>
        <w:t>东凤公司垃圾转运站渗滤液转运箱采购项目（重新采购）</w:t>
      </w:r>
      <w:r>
        <w:rPr>
          <w:rFonts w:hint="eastAsia" w:ascii="仿宋_GB2312" w:hAnsi="仿宋_GB2312" w:eastAsia="仿宋_GB2312" w:cs="仿宋_GB2312"/>
          <w:color w:val="auto"/>
          <w:highlight w:val="none"/>
        </w:rPr>
        <w:t>合同</w:t>
      </w:r>
      <w:r>
        <w:rPr>
          <w:rFonts w:hint="eastAsia" w:ascii="仿宋_GB2312" w:hAnsi="仿宋_GB2312" w:eastAsia="仿宋_GB2312" w:cs="仿宋_GB2312"/>
          <w:color w:val="auto"/>
          <w:highlight w:val="none"/>
          <w:lang w:val="en-US" w:eastAsia="zh-CN"/>
        </w:rPr>
        <w:t>合同</w:t>
      </w:r>
      <w:r>
        <w:rPr>
          <w:rFonts w:hint="eastAsia" w:ascii="仿宋_GB2312" w:hAnsi="仿宋_GB2312" w:eastAsia="仿宋_GB2312" w:cs="仿宋_GB2312"/>
          <w:color w:val="auto"/>
          <w:highlight w:val="none"/>
        </w:rPr>
        <w:t>》</w:t>
      </w:r>
      <w:r>
        <w:rPr>
          <w:rFonts w:hint="eastAsia" w:ascii="仿宋_GB2312" w:hAnsi="仿宋_GB2312" w:eastAsia="仿宋_GB2312" w:cs="仿宋_GB2312"/>
        </w:rPr>
        <w:t>（以下简称原合同），为加强双方阳光合作，保证职员职业安全，甲乙双方经协商签订本协议并作为双方共同遵守的阳光合作行为准则。</w:t>
      </w:r>
    </w:p>
    <w:p w14:paraId="19818026">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rPr>
      </w:pPr>
      <w:r>
        <w:rPr>
          <w:rFonts w:hint="eastAsia" w:ascii="仿宋_GB2312" w:hAnsi="仿宋_GB2312" w:eastAsia="仿宋_GB2312" w:cs="仿宋_GB2312"/>
          <w:b/>
          <w:lang w:val="en-US" w:eastAsia="zh-CN"/>
        </w:rPr>
        <w:t>一、</w:t>
      </w:r>
      <w:r>
        <w:rPr>
          <w:rFonts w:hint="eastAsia" w:ascii="仿宋_GB2312" w:hAnsi="仿宋_GB2312" w:eastAsia="仿宋_GB2312" w:cs="仿宋_GB2312"/>
          <w:b/>
        </w:rPr>
        <w:t>甲方责任</w:t>
      </w:r>
    </w:p>
    <w:p w14:paraId="660CA6F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1.甲方有责任向乙方介绍本单位有关采购管理通用原则和本协议的规定。</w:t>
      </w:r>
    </w:p>
    <w:p w14:paraId="4F04FBD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2.甲方有责任对本单位相关人员进行阳光合作教育。</w:t>
      </w:r>
    </w:p>
    <w:p w14:paraId="6FE215C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E38BCA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4.甲方人员如违反阳光合作管理制度及本协议规定，甲方视情节轻重、影响大小给予行政及经济处罚。</w:t>
      </w:r>
    </w:p>
    <w:p w14:paraId="681C64E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5．对于乙方举报甲方人员违反阳光合作规定的情况，甲方应及时进行调查，根据调查情况进行处理，并将调查结果向乙方反馈。</w:t>
      </w:r>
    </w:p>
    <w:p w14:paraId="2FD437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6.接受举报的一方应为举报方保密，不得对举报方进行报复，对举报属实和严格遵守《阳光合作协议》的合作方，在同等条件下给予后续合作的优先权。</w:t>
      </w:r>
    </w:p>
    <w:p w14:paraId="725862AB">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rPr>
      </w:pPr>
      <w:r>
        <w:rPr>
          <w:rFonts w:hint="eastAsia" w:ascii="仿宋_GB2312" w:hAnsi="仿宋_GB2312" w:eastAsia="仿宋_GB2312" w:cs="仿宋_GB2312"/>
          <w:b/>
          <w:lang w:val="en-US" w:eastAsia="zh-CN"/>
        </w:rPr>
        <w:t>二、</w:t>
      </w:r>
      <w:r>
        <w:rPr>
          <w:rFonts w:hint="eastAsia" w:ascii="仿宋_GB2312" w:hAnsi="仿宋_GB2312" w:eastAsia="仿宋_GB2312" w:cs="仿宋_GB2312"/>
          <w:b/>
        </w:rPr>
        <w:t>乙方责任</w:t>
      </w:r>
    </w:p>
    <w:p w14:paraId="6596F4E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1.乙方应保证乙方人员了解甲方有关采购管理通用原则和及本协议的规定，并遵照执行。</w:t>
      </w:r>
    </w:p>
    <w:p w14:paraId="29A518F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2.乙方不得以任何形式给予甲方人员回扣、赠送实物、现金、有价证券、礼券等有价物品或提供旅游等其他可能影响职务行为公正履行的活动（以下统称“财物”）。</w:t>
      </w:r>
    </w:p>
    <w:p w14:paraId="038DE4C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3.乙方有责任接受甲方对乙方在合作期间阳光合作管理执行情况的监督，并对甲方相关调查工作主动配合。</w:t>
      </w:r>
    </w:p>
    <w:p w14:paraId="19185CC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4.乙方有义务就甲方人员任何形式的索取或收受财物行为及时向甲方（直接联系人为东莞实业投资控股集团有限公司</w:t>
      </w:r>
      <w:r>
        <w:rPr>
          <w:rFonts w:hint="eastAsia" w:ascii="仿宋_GB2312" w:hAnsi="仿宋_GB2312" w:eastAsia="仿宋_GB2312" w:cs="仿宋_GB2312"/>
          <w:color w:val="FF0000"/>
          <w:lang w:val="en-US" w:eastAsia="zh-CN"/>
        </w:rPr>
        <w:t>风控法务部</w:t>
      </w:r>
      <w:r>
        <w:rPr>
          <w:rFonts w:hint="eastAsia" w:ascii="仿宋_GB2312" w:hAnsi="仿宋_GB2312" w:eastAsia="仿宋_GB2312" w:cs="仿宋_GB2312"/>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AD3934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5．甲方接受乙方实名或匿名举报，保证为举报者的信息保密，常设举报部门及电</w:t>
      </w:r>
      <w:r>
        <w:rPr>
          <w:rFonts w:hint="eastAsia" w:ascii="仿宋_GB2312" w:hAnsi="仿宋_GB2312" w:eastAsia="仿宋_GB2312" w:cs="仿宋_GB2312"/>
          <w:lang w:val="en-US" w:eastAsia="zh-CN"/>
        </w:rPr>
        <w:t>话</w:t>
      </w:r>
      <w:r>
        <w:rPr>
          <w:rFonts w:hint="eastAsia" w:ascii="仿宋_GB2312" w:hAnsi="仿宋_GB2312" w:eastAsia="仿宋_GB2312" w:cs="仿宋_GB2312"/>
        </w:rPr>
        <w:t xml:space="preserve">： </w:t>
      </w:r>
    </w:p>
    <w:p w14:paraId="34A95B6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举报受理部门：东莞实业投资控股集团有限公司</w:t>
      </w:r>
      <w:r>
        <w:rPr>
          <w:rFonts w:hint="eastAsia" w:ascii="仿宋_GB2312" w:hAnsi="仿宋_GB2312" w:eastAsia="仿宋_GB2312" w:cs="仿宋_GB2312"/>
          <w:color w:val="FF0000"/>
          <w:lang w:val="en-US" w:eastAsia="zh-CN"/>
        </w:rPr>
        <w:t>风控法务部</w:t>
      </w:r>
    </w:p>
    <w:p w14:paraId="75560BA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东实集团举报邮箱：</w:t>
      </w:r>
      <w:r>
        <w:rPr>
          <w:rFonts w:hint="eastAsia" w:ascii="仿宋_GB2312" w:hAnsi="仿宋_GB2312" w:eastAsia="仿宋_GB2312" w:cs="仿宋_GB2312"/>
          <w:color w:val="FF0000"/>
        </w:rPr>
        <w:t>dgsyxf@163.com</w:t>
      </w:r>
    </w:p>
    <w:p w14:paraId="37CE50B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东实集团举报电话：0769-</w:t>
      </w:r>
      <w:r>
        <w:rPr>
          <w:rFonts w:hint="eastAsia" w:ascii="仿宋_GB2312" w:hAnsi="仿宋_GB2312" w:eastAsia="仿宋_GB2312" w:cs="仿宋_GB2312"/>
          <w:color w:val="FF0000"/>
        </w:rPr>
        <w:t>28820703</w:t>
      </w:r>
      <w:r>
        <w:rPr>
          <w:rFonts w:hint="eastAsia" w:ascii="仿宋_GB2312" w:hAnsi="仿宋_GB2312" w:eastAsia="仿宋_GB2312" w:cs="仿宋_GB2312"/>
        </w:rPr>
        <w:t>（周一至周五9:00-12:00和14:00-18:00）</w:t>
      </w:r>
    </w:p>
    <w:p w14:paraId="65869F2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邮寄地址：东莞市东城区八一路1号机关二号大院9号楼，东莞实业投资控股集团有限公司</w:t>
      </w:r>
      <w:r>
        <w:rPr>
          <w:rFonts w:hint="eastAsia" w:ascii="仿宋_GB2312" w:hAnsi="仿宋_GB2312" w:eastAsia="仿宋_GB2312" w:cs="仿宋_GB2312"/>
          <w:color w:val="FF0000"/>
          <w:lang w:val="en-US" w:eastAsia="zh-CN"/>
        </w:rPr>
        <w:t>风控法务部</w:t>
      </w:r>
      <w:r>
        <w:rPr>
          <w:rFonts w:hint="eastAsia" w:ascii="仿宋_GB2312" w:hAnsi="仿宋_GB2312" w:eastAsia="仿宋_GB2312" w:cs="仿宋_GB2312"/>
        </w:rPr>
        <w:t>收，邮编523000。</w:t>
      </w:r>
    </w:p>
    <w:p w14:paraId="3F9DAE9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rPr>
      </w:pPr>
      <w:r>
        <w:rPr>
          <w:rFonts w:hint="eastAsia" w:ascii="仿宋_GB2312" w:hAnsi="仿宋_GB2312" w:eastAsia="仿宋_GB2312" w:cs="仿宋_GB2312"/>
          <w:b/>
          <w:lang w:val="en-US" w:eastAsia="zh-CN"/>
        </w:rPr>
        <w:t>三、</w:t>
      </w:r>
      <w:r>
        <w:rPr>
          <w:rFonts w:hint="eastAsia" w:ascii="仿宋_GB2312" w:hAnsi="仿宋_GB2312" w:eastAsia="仿宋_GB2312" w:cs="仿宋_GB2312"/>
          <w:b/>
        </w:rPr>
        <w:t>其他</w:t>
      </w:r>
    </w:p>
    <w:p w14:paraId="00E5A33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1.本协议是原合同的补充协议，与原合同有同等法律效力。</w:t>
      </w:r>
    </w:p>
    <w:p w14:paraId="311FE75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2.本协议一式</w:t>
      </w:r>
      <w:r>
        <w:rPr>
          <w:rFonts w:hint="eastAsia" w:ascii="仿宋_GB2312" w:hAnsi="仿宋_GB2312" w:eastAsia="仿宋_GB2312" w:cs="仿宋_GB2312"/>
          <w:lang w:val="en-US" w:eastAsia="zh-CN"/>
        </w:rPr>
        <w:t>陆</w:t>
      </w:r>
      <w:r>
        <w:rPr>
          <w:rFonts w:hint="eastAsia" w:ascii="仿宋_GB2312" w:hAnsi="仿宋_GB2312" w:eastAsia="仿宋_GB2312" w:cs="仿宋_GB2312"/>
        </w:rPr>
        <w:t>份，甲方执</w:t>
      </w:r>
      <w:r>
        <w:rPr>
          <w:rFonts w:hint="eastAsia" w:ascii="仿宋_GB2312" w:hAnsi="仿宋_GB2312" w:eastAsia="仿宋_GB2312" w:cs="仿宋_GB2312"/>
          <w:lang w:val="en-US" w:eastAsia="zh-CN"/>
        </w:rPr>
        <w:t>肆</w:t>
      </w:r>
      <w:r>
        <w:rPr>
          <w:rFonts w:hint="eastAsia" w:ascii="仿宋_GB2312" w:hAnsi="仿宋_GB2312" w:eastAsia="仿宋_GB2312" w:cs="仿宋_GB2312"/>
        </w:rPr>
        <w:t>份，乙方执贰份,具有同等法律效力。</w:t>
      </w:r>
    </w:p>
    <w:p w14:paraId="70E643E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3.本协议经双方签署后生效。</w:t>
      </w:r>
    </w:p>
    <w:p w14:paraId="56795C4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rPr>
      </w:pPr>
    </w:p>
    <w:p w14:paraId="52DF7624">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 xml:space="preserve">甲方（盖章）：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乙方（盖章）： </w:t>
      </w:r>
    </w:p>
    <w:p w14:paraId="3D3FE50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rPr>
      </w:pPr>
    </w:p>
    <w:p w14:paraId="66ABCC9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rPr>
        <w:t>法定代表人</w:t>
      </w:r>
      <w:r>
        <w:rPr>
          <w:rFonts w:hint="eastAsia" w:ascii="仿宋_GB2312" w:hAnsi="仿宋_GB2312" w:eastAsia="仿宋_GB2312" w:cs="仿宋_GB2312"/>
          <w:lang w:val="en-US" w:eastAsia="zh-CN"/>
        </w:rPr>
        <w:t>/</w:t>
      </w:r>
      <w:r>
        <w:rPr>
          <w:rFonts w:hint="eastAsia" w:ascii="仿宋_GB2312" w:hAnsi="仿宋_GB2312" w:eastAsia="仿宋_GB2312" w:cs="仿宋_GB2312"/>
        </w:rPr>
        <w:t>授权代表</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签字）</w:t>
      </w:r>
      <w:r>
        <w:rPr>
          <w:rFonts w:hint="eastAsia" w:ascii="仿宋_GB2312" w:hAnsi="仿宋_GB2312" w:eastAsia="仿宋_GB2312" w:cs="仿宋_GB2312"/>
        </w:rPr>
        <w:t>：</w:t>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法定代表人</w:t>
      </w:r>
      <w:r>
        <w:rPr>
          <w:rFonts w:hint="eastAsia" w:ascii="仿宋_GB2312" w:hAnsi="仿宋_GB2312" w:eastAsia="仿宋_GB2312" w:cs="仿宋_GB2312"/>
          <w:lang w:val="en-US" w:eastAsia="zh-CN"/>
        </w:rPr>
        <w:t>/</w:t>
      </w:r>
      <w:r>
        <w:rPr>
          <w:rFonts w:hint="eastAsia" w:ascii="仿宋_GB2312" w:hAnsi="仿宋_GB2312" w:eastAsia="仿宋_GB2312" w:cs="仿宋_GB2312"/>
        </w:rPr>
        <w:t>授权代表</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签字）</w:t>
      </w:r>
      <w:r>
        <w:rPr>
          <w:rFonts w:hint="eastAsia" w:ascii="仿宋_GB2312" w:hAnsi="仿宋_GB2312" w:eastAsia="仿宋_GB2312" w:cs="仿宋_GB2312"/>
        </w:rPr>
        <w:t>：</w:t>
      </w:r>
    </w:p>
    <w:p w14:paraId="51FB6BB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rPr>
      </w:pPr>
    </w:p>
    <w:p w14:paraId="3D35A365">
      <w:pPr>
        <w:kinsoku/>
        <w:autoSpaceDE/>
        <w:autoSpaceDN/>
        <w:adjustRightInd/>
        <w:snapToGrid/>
        <w:spacing w:before="120" w:beforeLines="50" w:after="120" w:afterLines="50" w:line="360" w:lineRule="auto"/>
        <w:ind w:firstLine="420" w:firstLineChars="200"/>
        <w:contextualSpacing/>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rPr>
        <w:t>签约日期：</w:t>
      </w:r>
      <w:bookmarkStart w:id="6" w:name="设计变更通知单"/>
      <w:bookmarkEnd w:id="6"/>
      <w:bookmarkStart w:id="7" w:name="现场签证通知单"/>
      <w:bookmarkEnd w:id="7"/>
      <w:r>
        <w:rPr>
          <w:rFonts w:hint="eastAsia" w:ascii="仿宋_GB2312" w:hAnsi="仿宋_GB2312" w:eastAsia="仿宋_GB2312" w:cs="仿宋_GB2312"/>
          <w:color w:val="auto"/>
          <w:sz w:val="24"/>
          <w:szCs w:val="24"/>
          <w:highlight w:val="none"/>
          <w:lang w:val="en-US" w:eastAsia="zh-CN"/>
        </w:rPr>
        <w:t xml:space="preserve">2026年  月  日   </w:t>
      </w:r>
      <w:r>
        <w:rPr>
          <w:rFonts w:hint="eastAsia" w:ascii="仿宋_GB2312" w:hAnsi="仿宋_GB2312" w:eastAsia="仿宋_GB2312" w:cs="仿宋_GB2312"/>
        </w:rPr>
        <w:tab/>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签约日期：</w:t>
      </w:r>
      <w:r>
        <w:rPr>
          <w:rFonts w:hint="eastAsia" w:ascii="仿宋_GB2312" w:hAnsi="仿宋_GB2312" w:eastAsia="仿宋_GB2312" w:cs="仿宋_GB2312"/>
          <w:color w:val="auto"/>
          <w:sz w:val="24"/>
          <w:szCs w:val="24"/>
          <w:highlight w:val="none"/>
          <w:lang w:val="en-US" w:eastAsia="zh-CN"/>
        </w:rPr>
        <w:t>2026年  月  日</w:t>
      </w:r>
    </w:p>
    <w:p w14:paraId="750874BE">
      <w:pPr>
        <w:kinsoku/>
        <w:autoSpaceDE/>
        <w:autoSpaceDN/>
        <w:adjustRightInd/>
        <w:snapToGrid/>
        <w:spacing w:before="120" w:beforeLines="50" w:after="120" w:afterLines="50" w:line="360" w:lineRule="auto"/>
        <w:ind w:firstLine="480" w:firstLineChars="200"/>
        <w:contextualSpacing/>
        <w:textAlignment w:val="auto"/>
        <w:rPr>
          <w:rFonts w:hint="eastAsia" w:ascii="仿宋_GB2312" w:hAnsi="仿宋_GB2312" w:eastAsia="仿宋_GB2312" w:cs="仿宋_GB2312"/>
          <w:color w:val="auto"/>
          <w:sz w:val="24"/>
          <w:szCs w:val="24"/>
          <w:highlight w:val="none"/>
          <w:lang w:val="en-US" w:eastAsia="zh-CN"/>
        </w:rPr>
      </w:pPr>
    </w:p>
    <w:p w14:paraId="42F9B923">
      <w:pPr>
        <w:kinsoku/>
        <w:autoSpaceDE/>
        <w:autoSpaceDN/>
        <w:adjustRightInd/>
        <w:snapToGrid/>
        <w:spacing w:before="120" w:beforeLines="50" w:after="120" w:afterLines="50" w:line="360" w:lineRule="auto"/>
        <w:ind w:firstLine="480" w:firstLineChars="200"/>
        <w:contextualSpacing/>
        <w:textAlignment w:val="auto"/>
        <w:rPr>
          <w:rFonts w:hint="eastAsia" w:ascii="仿宋_GB2312" w:hAnsi="仿宋_GB2312" w:eastAsia="仿宋_GB2312" w:cs="仿宋_GB2312"/>
          <w:color w:val="auto"/>
          <w:sz w:val="24"/>
          <w:szCs w:val="24"/>
          <w:highlight w:val="none"/>
          <w:lang w:val="en-US" w:eastAsia="zh-CN"/>
        </w:rPr>
      </w:pPr>
    </w:p>
    <w:p w14:paraId="798FCDBD">
      <w:pPr>
        <w:kinsoku/>
        <w:autoSpaceDE/>
        <w:autoSpaceDN/>
        <w:adjustRightInd/>
        <w:snapToGrid/>
        <w:spacing w:before="120" w:beforeLines="50" w:after="120" w:afterLines="50" w:line="360" w:lineRule="auto"/>
        <w:ind w:firstLine="480" w:firstLineChars="200"/>
        <w:contextualSpacing/>
        <w:textAlignment w:val="auto"/>
        <w:rPr>
          <w:rFonts w:hint="eastAsia" w:ascii="仿宋_GB2312" w:hAnsi="仿宋_GB2312" w:eastAsia="仿宋_GB2312" w:cs="仿宋_GB2312"/>
          <w:color w:val="auto"/>
          <w:sz w:val="24"/>
          <w:szCs w:val="24"/>
          <w:highlight w:val="none"/>
          <w:lang w:val="en-US" w:eastAsia="zh-CN"/>
        </w:rPr>
      </w:pPr>
    </w:p>
    <w:p w14:paraId="35B56F5F">
      <w:pPr>
        <w:kinsoku/>
        <w:autoSpaceDE/>
        <w:autoSpaceDN/>
        <w:adjustRightInd/>
        <w:snapToGrid/>
        <w:spacing w:before="120" w:beforeLines="50" w:after="120" w:afterLines="50" w:line="360" w:lineRule="auto"/>
        <w:ind w:firstLine="480" w:firstLineChars="200"/>
        <w:contextualSpacing/>
        <w:textAlignment w:val="auto"/>
        <w:rPr>
          <w:rFonts w:hint="eastAsia" w:ascii="仿宋_GB2312" w:hAnsi="仿宋_GB2312" w:eastAsia="仿宋_GB2312" w:cs="仿宋_GB2312"/>
          <w:color w:val="auto"/>
          <w:sz w:val="24"/>
          <w:szCs w:val="24"/>
          <w:highlight w:val="none"/>
          <w:lang w:val="en-US" w:eastAsia="zh-CN"/>
        </w:rPr>
      </w:pPr>
    </w:p>
    <w:p w14:paraId="597745A3">
      <w:pPr>
        <w:kinsoku/>
        <w:autoSpaceDE/>
        <w:autoSpaceDN/>
        <w:adjustRightInd/>
        <w:snapToGrid/>
        <w:spacing w:before="120" w:beforeLines="50" w:after="120" w:afterLines="50" w:line="360" w:lineRule="auto"/>
        <w:ind w:firstLine="0" w:firstLineChars="0"/>
        <w:contextualSpacing/>
        <w:textAlignment w:val="auto"/>
        <w:rPr>
          <w:rFonts w:hint="eastAsia" w:ascii="仿宋_GB2312" w:hAnsi="仿宋_GB2312" w:eastAsia="仿宋_GB2312" w:cs="仿宋_GB2312"/>
          <w:color w:val="auto"/>
          <w:sz w:val="24"/>
          <w:szCs w:val="24"/>
          <w:highlight w:val="none"/>
          <w:lang w:val="en-US" w:eastAsia="zh-CN"/>
        </w:rPr>
      </w:pPr>
    </w:p>
    <w:p w14:paraId="2E59B81A">
      <w:pPr>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附件4：订购单模板</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932"/>
        <w:gridCol w:w="859"/>
        <w:gridCol w:w="671"/>
        <w:gridCol w:w="550"/>
        <w:gridCol w:w="791"/>
        <w:gridCol w:w="736"/>
        <w:gridCol w:w="635"/>
        <w:gridCol w:w="625"/>
        <w:gridCol w:w="902"/>
        <w:gridCol w:w="745"/>
        <w:gridCol w:w="618"/>
      </w:tblGrid>
      <w:tr w14:paraId="0798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00" w:type="pct"/>
            <w:gridSpan w:val="12"/>
            <w:tcBorders>
              <w:top w:val="nil"/>
              <w:left w:val="nil"/>
              <w:bottom w:val="nil"/>
              <w:right w:val="nil"/>
            </w:tcBorders>
            <w:shd w:val="clear" w:color="auto" w:fill="auto"/>
            <w:vAlign w:val="center"/>
          </w:tcPr>
          <w:p w14:paraId="58A922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highlight w:val="none"/>
                <w:u w:val="none"/>
              </w:rPr>
            </w:pPr>
            <w:r>
              <w:rPr>
                <w:rFonts w:hint="eastAsia" w:ascii="仿宋_GB2312" w:hAnsi="仿宋_GB2312" w:eastAsia="仿宋_GB2312" w:cs="仿宋_GB2312"/>
                <w:b/>
                <w:bCs/>
                <w:i w:val="0"/>
                <w:iCs w:val="0"/>
                <w:color w:val="000000"/>
                <w:kern w:val="0"/>
                <w:sz w:val="32"/>
                <w:szCs w:val="32"/>
                <w:highlight w:val="none"/>
                <w:u w:val="none"/>
                <w:lang w:val="en-US" w:eastAsia="zh-CN" w:bidi="ar"/>
              </w:rPr>
              <w:t>东莞市XXXX有限公司</w:t>
            </w:r>
          </w:p>
        </w:tc>
      </w:tr>
      <w:tr w14:paraId="238C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000" w:type="pct"/>
            <w:gridSpan w:val="12"/>
            <w:tcBorders>
              <w:top w:val="nil"/>
              <w:left w:val="nil"/>
              <w:bottom w:val="nil"/>
              <w:right w:val="nil"/>
            </w:tcBorders>
            <w:shd w:val="clear" w:color="auto" w:fill="auto"/>
            <w:vAlign w:val="center"/>
          </w:tcPr>
          <w:p w14:paraId="6CB9CA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6"/>
                <w:szCs w:val="26"/>
                <w:highlight w:val="none"/>
                <w:u w:val="none"/>
              </w:rPr>
            </w:pPr>
            <w:r>
              <w:rPr>
                <w:rFonts w:hint="eastAsia" w:ascii="仿宋_GB2312" w:hAnsi="仿宋_GB2312" w:eastAsia="仿宋_GB2312" w:cs="仿宋_GB2312"/>
                <w:b/>
                <w:bCs/>
                <w:i w:val="0"/>
                <w:iCs w:val="0"/>
                <w:color w:val="000000"/>
                <w:kern w:val="0"/>
                <w:sz w:val="26"/>
                <w:szCs w:val="26"/>
                <w:highlight w:val="none"/>
                <w:u w:val="none"/>
                <w:lang w:val="en-US" w:eastAsia="zh-CN" w:bidi="ar"/>
              </w:rPr>
              <w:t>订购单</w:t>
            </w:r>
          </w:p>
        </w:tc>
      </w:tr>
      <w:tr w14:paraId="0CBD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3" w:type="pct"/>
            <w:tcBorders>
              <w:top w:val="nil"/>
              <w:left w:val="nil"/>
              <w:bottom w:val="nil"/>
              <w:right w:val="nil"/>
            </w:tcBorders>
            <w:shd w:val="clear" w:color="auto" w:fill="auto"/>
            <w:vAlign w:val="center"/>
          </w:tcPr>
          <w:p w14:paraId="42E0F8D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单号：</w:t>
            </w:r>
          </w:p>
        </w:tc>
        <w:tc>
          <w:tcPr>
            <w:tcW w:w="1376" w:type="pct"/>
            <w:gridSpan w:val="3"/>
            <w:tcBorders>
              <w:top w:val="nil"/>
              <w:left w:val="nil"/>
              <w:bottom w:val="nil"/>
              <w:right w:val="nil"/>
            </w:tcBorders>
            <w:shd w:val="clear" w:color="auto" w:fill="auto"/>
            <w:vAlign w:val="center"/>
          </w:tcPr>
          <w:p w14:paraId="500FD1E8">
            <w:pPr>
              <w:widowControl/>
              <w:jc w:val="right"/>
              <w:textAlignment w:val="center"/>
              <w:rPr>
                <w:rFonts w:hint="eastAsia" w:ascii="仿宋_GB2312" w:hAnsi="仿宋_GB2312" w:eastAsia="仿宋_GB2312" w:cs="仿宋_GB2312"/>
                <w:i w:val="0"/>
                <w:iCs w:val="0"/>
                <w:color w:val="000000"/>
                <w:kern w:val="0"/>
                <w:sz w:val="16"/>
                <w:szCs w:val="16"/>
                <w:highlight w:val="none"/>
                <w:u w:val="none"/>
                <w:lang w:bidi="ar"/>
              </w:rPr>
            </w:pPr>
          </w:p>
        </w:tc>
        <w:tc>
          <w:tcPr>
            <w:tcW w:w="307" w:type="pct"/>
            <w:tcBorders>
              <w:top w:val="nil"/>
              <w:left w:val="nil"/>
              <w:bottom w:val="nil"/>
              <w:right w:val="nil"/>
            </w:tcBorders>
            <w:shd w:val="clear" w:color="auto" w:fill="auto"/>
            <w:vAlign w:val="center"/>
          </w:tcPr>
          <w:p w14:paraId="5AF0298F">
            <w:pPr>
              <w:jc w:val="right"/>
              <w:rPr>
                <w:rFonts w:hint="eastAsia" w:ascii="仿宋_GB2312" w:hAnsi="仿宋_GB2312" w:eastAsia="仿宋_GB2312" w:cs="仿宋_GB2312"/>
                <w:i w:val="0"/>
                <w:iCs w:val="0"/>
                <w:color w:val="000000"/>
                <w:sz w:val="16"/>
                <w:szCs w:val="16"/>
                <w:highlight w:val="none"/>
                <w:u w:val="none"/>
              </w:rPr>
            </w:pPr>
          </w:p>
        </w:tc>
        <w:tc>
          <w:tcPr>
            <w:tcW w:w="853" w:type="pct"/>
            <w:gridSpan w:val="2"/>
            <w:tcBorders>
              <w:top w:val="nil"/>
              <w:left w:val="nil"/>
              <w:bottom w:val="nil"/>
              <w:right w:val="nil"/>
            </w:tcBorders>
            <w:shd w:val="clear" w:color="auto" w:fill="auto"/>
            <w:vAlign w:val="center"/>
          </w:tcPr>
          <w:p w14:paraId="31EF9F34">
            <w:pPr>
              <w:jc w:val="center"/>
              <w:rPr>
                <w:rFonts w:hint="eastAsia" w:ascii="仿宋_GB2312" w:hAnsi="仿宋_GB2312" w:eastAsia="仿宋_GB2312" w:cs="仿宋_GB2312"/>
                <w:i w:val="0"/>
                <w:iCs w:val="0"/>
                <w:color w:val="000000"/>
                <w:sz w:val="24"/>
                <w:szCs w:val="24"/>
                <w:highlight w:val="none"/>
                <w:u w:val="none"/>
              </w:rPr>
            </w:pPr>
          </w:p>
        </w:tc>
        <w:tc>
          <w:tcPr>
            <w:tcW w:w="1208" w:type="pct"/>
            <w:gridSpan w:val="3"/>
            <w:tcBorders>
              <w:top w:val="nil"/>
              <w:left w:val="nil"/>
              <w:bottom w:val="nil"/>
              <w:right w:val="nil"/>
            </w:tcBorders>
            <w:shd w:val="clear" w:color="auto" w:fill="auto"/>
            <w:vAlign w:val="center"/>
          </w:tcPr>
          <w:p w14:paraId="0BADE43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订购日期：</w:t>
            </w:r>
          </w:p>
        </w:tc>
        <w:tc>
          <w:tcPr>
            <w:tcW w:w="761" w:type="pct"/>
            <w:gridSpan w:val="2"/>
            <w:tcBorders>
              <w:top w:val="nil"/>
              <w:left w:val="nil"/>
              <w:bottom w:val="nil"/>
              <w:right w:val="nil"/>
            </w:tcBorders>
            <w:shd w:val="clear" w:color="auto" w:fill="auto"/>
            <w:vAlign w:val="center"/>
          </w:tcPr>
          <w:p w14:paraId="6CA84B01">
            <w:pPr>
              <w:jc w:val="left"/>
              <w:rPr>
                <w:rFonts w:hint="eastAsia" w:ascii="仿宋_GB2312" w:hAnsi="仿宋_GB2312" w:eastAsia="仿宋_GB2312" w:cs="仿宋_GB2312"/>
                <w:i w:val="0"/>
                <w:iCs w:val="0"/>
                <w:color w:val="000000"/>
                <w:sz w:val="16"/>
                <w:szCs w:val="16"/>
                <w:highlight w:val="none"/>
                <w:u w:val="none"/>
              </w:rPr>
            </w:pPr>
          </w:p>
        </w:tc>
      </w:tr>
      <w:tr w14:paraId="1D25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3" w:type="pct"/>
            <w:tcBorders>
              <w:top w:val="nil"/>
              <w:left w:val="nil"/>
              <w:bottom w:val="nil"/>
              <w:right w:val="nil"/>
            </w:tcBorders>
            <w:shd w:val="clear" w:color="auto" w:fill="auto"/>
            <w:vAlign w:val="center"/>
          </w:tcPr>
          <w:p w14:paraId="70F2802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供应商：</w:t>
            </w:r>
          </w:p>
        </w:tc>
        <w:tc>
          <w:tcPr>
            <w:tcW w:w="1376" w:type="pct"/>
            <w:gridSpan w:val="3"/>
            <w:tcBorders>
              <w:top w:val="nil"/>
              <w:left w:val="nil"/>
              <w:bottom w:val="nil"/>
              <w:right w:val="nil"/>
            </w:tcBorders>
            <w:shd w:val="clear" w:color="auto" w:fill="auto"/>
            <w:vAlign w:val="center"/>
          </w:tcPr>
          <w:p w14:paraId="29D523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XXXX公司</w:t>
            </w:r>
          </w:p>
        </w:tc>
        <w:tc>
          <w:tcPr>
            <w:tcW w:w="307" w:type="pct"/>
            <w:tcBorders>
              <w:top w:val="nil"/>
              <w:left w:val="nil"/>
              <w:bottom w:val="nil"/>
              <w:right w:val="nil"/>
            </w:tcBorders>
            <w:shd w:val="clear" w:color="auto" w:fill="auto"/>
            <w:vAlign w:val="center"/>
          </w:tcPr>
          <w:p w14:paraId="047C1214">
            <w:pPr>
              <w:jc w:val="right"/>
              <w:rPr>
                <w:rFonts w:hint="eastAsia" w:ascii="仿宋_GB2312" w:hAnsi="仿宋_GB2312" w:eastAsia="仿宋_GB2312" w:cs="仿宋_GB2312"/>
                <w:i w:val="0"/>
                <w:iCs w:val="0"/>
                <w:color w:val="000000"/>
                <w:sz w:val="16"/>
                <w:szCs w:val="16"/>
                <w:highlight w:val="none"/>
                <w:u w:val="none"/>
              </w:rPr>
            </w:pPr>
          </w:p>
        </w:tc>
        <w:tc>
          <w:tcPr>
            <w:tcW w:w="853" w:type="pct"/>
            <w:gridSpan w:val="2"/>
            <w:tcBorders>
              <w:top w:val="nil"/>
              <w:left w:val="nil"/>
              <w:bottom w:val="nil"/>
              <w:right w:val="nil"/>
            </w:tcBorders>
            <w:shd w:val="clear" w:color="auto" w:fill="auto"/>
            <w:vAlign w:val="center"/>
          </w:tcPr>
          <w:p w14:paraId="5BC009B0">
            <w:pPr>
              <w:jc w:val="center"/>
              <w:rPr>
                <w:rFonts w:hint="eastAsia" w:ascii="仿宋_GB2312" w:hAnsi="仿宋_GB2312" w:eastAsia="仿宋_GB2312" w:cs="仿宋_GB2312"/>
                <w:i w:val="0"/>
                <w:iCs w:val="0"/>
                <w:color w:val="000000"/>
                <w:sz w:val="24"/>
                <w:szCs w:val="24"/>
                <w:highlight w:val="none"/>
                <w:u w:val="none"/>
              </w:rPr>
            </w:pPr>
          </w:p>
        </w:tc>
        <w:tc>
          <w:tcPr>
            <w:tcW w:w="1208" w:type="pct"/>
            <w:gridSpan w:val="3"/>
            <w:tcBorders>
              <w:top w:val="nil"/>
              <w:left w:val="nil"/>
              <w:bottom w:val="nil"/>
              <w:right w:val="nil"/>
            </w:tcBorders>
            <w:shd w:val="clear" w:color="auto" w:fill="auto"/>
            <w:vAlign w:val="center"/>
          </w:tcPr>
          <w:p w14:paraId="3893D5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highlight w:val="none"/>
                <w:u w:val="none"/>
                <w:lang w:val="en-US" w:eastAsia="zh-CN" w:bidi="ar"/>
              </w:rPr>
              <w:t>是否协议物资：</w:t>
            </w:r>
          </w:p>
        </w:tc>
        <w:tc>
          <w:tcPr>
            <w:tcW w:w="761" w:type="pct"/>
            <w:gridSpan w:val="2"/>
            <w:tcBorders>
              <w:top w:val="nil"/>
              <w:left w:val="nil"/>
              <w:bottom w:val="nil"/>
              <w:right w:val="nil"/>
            </w:tcBorders>
            <w:shd w:val="clear" w:color="auto" w:fill="auto"/>
            <w:vAlign w:val="center"/>
          </w:tcPr>
          <w:p w14:paraId="5066A7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rPr>
            </w:pPr>
          </w:p>
        </w:tc>
      </w:tr>
      <w:tr w14:paraId="55D4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3" w:type="pct"/>
            <w:tcBorders>
              <w:top w:val="nil"/>
              <w:left w:val="nil"/>
              <w:bottom w:val="nil"/>
              <w:right w:val="nil"/>
            </w:tcBorders>
            <w:shd w:val="clear" w:color="auto" w:fill="auto"/>
            <w:vAlign w:val="center"/>
          </w:tcPr>
          <w:p w14:paraId="0C8B525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采购员：</w:t>
            </w:r>
          </w:p>
        </w:tc>
        <w:tc>
          <w:tcPr>
            <w:tcW w:w="1376" w:type="pct"/>
            <w:gridSpan w:val="3"/>
            <w:tcBorders>
              <w:top w:val="nil"/>
              <w:left w:val="nil"/>
              <w:bottom w:val="nil"/>
              <w:right w:val="nil"/>
            </w:tcBorders>
            <w:shd w:val="clear" w:color="auto" w:fill="auto"/>
            <w:vAlign w:val="center"/>
          </w:tcPr>
          <w:p w14:paraId="3231F460">
            <w:pPr>
              <w:widowControl/>
              <w:jc w:val="right"/>
              <w:textAlignment w:val="center"/>
              <w:rPr>
                <w:rFonts w:hint="eastAsia" w:ascii="仿宋_GB2312" w:hAnsi="仿宋_GB2312" w:eastAsia="仿宋_GB2312" w:cs="仿宋_GB2312"/>
                <w:i w:val="0"/>
                <w:iCs w:val="0"/>
                <w:color w:val="000000"/>
                <w:kern w:val="0"/>
                <w:sz w:val="16"/>
                <w:szCs w:val="16"/>
                <w:highlight w:val="none"/>
                <w:u w:val="none"/>
                <w:lang w:bidi="ar"/>
              </w:rPr>
            </w:pPr>
          </w:p>
        </w:tc>
        <w:tc>
          <w:tcPr>
            <w:tcW w:w="307" w:type="pct"/>
            <w:tcBorders>
              <w:top w:val="nil"/>
              <w:left w:val="nil"/>
              <w:bottom w:val="nil"/>
              <w:right w:val="nil"/>
            </w:tcBorders>
            <w:shd w:val="clear" w:color="auto" w:fill="auto"/>
            <w:vAlign w:val="center"/>
          </w:tcPr>
          <w:p w14:paraId="06F57CDD">
            <w:pPr>
              <w:jc w:val="right"/>
              <w:rPr>
                <w:rFonts w:hint="eastAsia" w:ascii="仿宋_GB2312" w:hAnsi="仿宋_GB2312" w:eastAsia="仿宋_GB2312" w:cs="仿宋_GB2312"/>
                <w:i w:val="0"/>
                <w:iCs w:val="0"/>
                <w:color w:val="000000"/>
                <w:sz w:val="16"/>
                <w:szCs w:val="16"/>
                <w:highlight w:val="none"/>
                <w:u w:val="none"/>
              </w:rPr>
            </w:pPr>
          </w:p>
        </w:tc>
        <w:tc>
          <w:tcPr>
            <w:tcW w:w="853" w:type="pct"/>
            <w:gridSpan w:val="2"/>
            <w:tcBorders>
              <w:top w:val="nil"/>
              <w:left w:val="nil"/>
              <w:bottom w:val="nil"/>
              <w:right w:val="nil"/>
            </w:tcBorders>
            <w:shd w:val="clear" w:color="auto" w:fill="auto"/>
            <w:vAlign w:val="center"/>
          </w:tcPr>
          <w:p w14:paraId="1647B488">
            <w:pPr>
              <w:jc w:val="center"/>
              <w:rPr>
                <w:rFonts w:hint="eastAsia" w:ascii="仿宋_GB2312" w:hAnsi="仿宋_GB2312" w:eastAsia="仿宋_GB2312" w:cs="仿宋_GB2312"/>
                <w:i w:val="0"/>
                <w:iCs w:val="0"/>
                <w:color w:val="000000"/>
                <w:sz w:val="24"/>
                <w:szCs w:val="24"/>
                <w:highlight w:val="none"/>
                <w:u w:val="none"/>
              </w:rPr>
            </w:pPr>
          </w:p>
        </w:tc>
        <w:tc>
          <w:tcPr>
            <w:tcW w:w="1208" w:type="pct"/>
            <w:gridSpan w:val="3"/>
            <w:tcBorders>
              <w:top w:val="nil"/>
              <w:left w:val="nil"/>
              <w:bottom w:val="nil"/>
              <w:right w:val="nil"/>
            </w:tcBorders>
            <w:shd w:val="clear" w:color="auto" w:fill="auto"/>
            <w:vAlign w:val="center"/>
          </w:tcPr>
          <w:p w14:paraId="051362A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FR：</w:t>
            </w:r>
          </w:p>
        </w:tc>
        <w:tc>
          <w:tcPr>
            <w:tcW w:w="761" w:type="pct"/>
            <w:gridSpan w:val="2"/>
            <w:tcBorders>
              <w:top w:val="nil"/>
              <w:left w:val="nil"/>
              <w:bottom w:val="nil"/>
              <w:right w:val="nil"/>
            </w:tcBorders>
            <w:shd w:val="clear" w:color="auto" w:fill="auto"/>
            <w:vAlign w:val="center"/>
          </w:tcPr>
          <w:p w14:paraId="185274AE">
            <w:pPr>
              <w:jc w:val="left"/>
              <w:rPr>
                <w:rFonts w:hint="eastAsia" w:ascii="仿宋_GB2312" w:hAnsi="仿宋_GB2312" w:eastAsia="仿宋_GB2312" w:cs="仿宋_GB2312"/>
                <w:i w:val="0"/>
                <w:iCs w:val="0"/>
                <w:color w:val="000000"/>
                <w:sz w:val="16"/>
                <w:szCs w:val="16"/>
                <w:highlight w:val="none"/>
                <w:u w:val="none"/>
              </w:rPr>
            </w:pPr>
          </w:p>
        </w:tc>
      </w:tr>
      <w:tr w14:paraId="7397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493" w:type="pct"/>
            <w:tcBorders>
              <w:top w:val="nil"/>
              <w:left w:val="nil"/>
              <w:bottom w:val="nil"/>
              <w:right w:val="nil"/>
            </w:tcBorders>
            <w:shd w:val="clear" w:color="auto" w:fill="auto"/>
            <w:vAlign w:val="center"/>
          </w:tcPr>
          <w:p w14:paraId="1C21A9C9">
            <w:pPr>
              <w:jc w:val="center"/>
              <w:rPr>
                <w:rFonts w:hint="eastAsia" w:ascii="仿宋_GB2312" w:hAnsi="仿宋_GB2312" w:eastAsia="仿宋_GB2312" w:cs="仿宋_GB2312"/>
                <w:i w:val="0"/>
                <w:iCs w:val="0"/>
                <w:color w:val="000000"/>
                <w:sz w:val="24"/>
                <w:szCs w:val="24"/>
                <w:highlight w:val="none"/>
                <w:u w:val="none"/>
              </w:rPr>
            </w:pPr>
          </w:p>
        </w:tc>
        <w:tc>
          <w:tcPr>
            <w:tcW w:w="521" w:type="pct"/>
            <w:tcBorders>
              <w:top w:val="nil"/>
              <w:left w:val="nil"/>
              <w:bottom w:val="nil"/>
              <w:right w:val="nil"/>
            </w:tcBorders>
            <w:shd w:val="clear" w:color="auto" w:fill="auto"/>
            <w:vAlign w:val="center"/>
          </w:tcPr>
          <w:p w14:paraId="0E57131C">
            <w:pPr>
              <w:jc w:val="center"/>
              <w:rPr>
                <w:rFonts w:hint="eastAsia" w:ascii="仿宋_GB2312" w:hAnsi="仿宋_GB2312" w:eastAsia="仿宋_GB2312" w:cs="仿宋_GB2312"/>
                <w:i w:val="0"/>
                <w:iCs w:val="0"/>
                <w:color w:val="000000"/>
                <w:sz w:val="24"/>
                <w:szCs w:val="24"/>
                <w:highlight w:val="none"/>
                <w:u w:val="none"/>
              </w:rPr>
            </w:pPr>
          </w:p>
        </w:tc>
        <w:tc>
          <w:tcPr>
            <w:tcW w:w="479" w:type="pct"/>
            <w:tcBorders>
              <w:top w:val="nil"/>
              <w:left w:val="nil"/>
              <w:bottom w:val="nil"/>
              <w:right w:val="nil"/>
            </w:tcBorders>
            <w:shd w:val="clear" w:color="auto" w:fill="auto"/>
            <w:vAlign w:val="center"/>
          </w:tcPr>
          <w:p w14:paraId="6AD7C562">
            <w:pPr>
              <w:jc w:val="center"/>
              <w:rPr>
                <w:rFonts w:hint="eastAsia" w:ascii="仿宋_GB2312" w:hAnsi="仿宋_GB2312" w:eastAsia="仿宋_GB2312" w:cs="仿宋_GB2312"/>
                <w:i w:val="0"/>
                <w:iCs w:val="0"/>
                <w:color w:val="000000"/>
                <w:sz w:val="24"/>
                <w:szCs w:val="24"/>
                <w:highlight w:val="none"/>
                <w:u w:val="none"/>
              </w:rPr>
            </w:pPr>
          </w:p>
        </w:tc>
        <w:tc>
          <w:tcPr>
            <w:tcW w:w="375" w:type="pct"/>
            <w:tcBorders>
              <w:top w:val="nil"/>
              <w:left w:val="nil"/>
              <w:bottom w:val="nil"/>
              <w:right w:val="nil"/>
            </w:tcBorders>
            <w:shd w:val="clear" w:color="auto" w:fill="auto"/>
            <w:vAlign w:val="center"/>
          </w:tcPr>
          <w:p w14:paraId="2C7A1248">
            <w:pPr>
              <w:jc w:val="center"/>
              <w:rPr>
                <w:rFonts w:hint="eastAsia" w:ascii="仿宋_GB2312" w:hAnsi="仿宋_GB2312" w:eastAsia="仿宋_GB2312" w:cs="仿宋_GB2312"/>
                <w:i w:val="0"/>
                <w:iCs w:val="0"/>
                <w:color w:val="000000"/>
                <w:sz w:val="24"/>
                <w:szCs w:val="24"/>
                <w:highlight w:val="none"/>
                <w:u w:val="none"/>
              </w:rPr>
            </w:pPr>
          </w:p>
        </w:tc>
        <w:tc>
          <w:tcPr>
            <w:tcW w:w="307" w:type="pct"/>
            <w:tcBorders>
              <w:top w:val="nil"/>
              <w:left w:val="nil"/>
              <w:bottom w:val="nil"/>
              <w:right w:val="nil"/>
            </w:tcBorders>
            <w:shd w:val="clear" w:color="auto" w:fill="auto"/>
            <w:vAlign w:val="center"/>
          </w:tcPr>
          <w:p w14:paraId="7F0F9B86">
            <w:pPr>
              <w:jc w:val="center"/>
              <w:rPr>
                <w:rFonts w:hint="eastAsia" w:ascii="仿宋_GB2312" w:hAnsi="仿宋_GB2312" w:eastAsia="仿宋_GB2312" w:cs="仿宋_GB2312"/>
                <w:i w:val="0"/>
                <w:iCs w:val="0"/>
                <w:color w:val="000000"/>
                <w:sz w:val="24"/>
                <w:szCs w:val="24"/>
                <w:highlight w:val="none"/>
                <w:u w:val="none"/>
              </w:rPr>
            </w:pPr>
          </w:p>
        </w:tc>
        <w:tc>
          <w:tcPr>
            <w:tcW w:w="442" w:type="pct"/>
            <w:tcBorders>
              <w:top w:val="nil"/>
              <w:left w:val="nil"/>
              <w:bottom w:val="nil"/>
              <w:right w:val="nil"/>
            </w:tcBorders>
            <w:shd w:val="clear" w:color="auto" w:fill="auto"/>
            <w:vAlign w:val="center"/>
          </w:tcPr>
          <w:p w14:paraId="7A43852A">
            <w:pPr>
              <w:jc w:val="center"/>
              <w:rPr>
                <w:rFonts w:hint="eastAsia" w:ascii="仿宋_GB2312" w:hAnsi="仿宋_GB2312" w:eastAsia="仿宋_GB2312" w:cs="仿宋_GB2312"/>
                <w:i w:val="0"/>
                <w:iCs w:val="0"/>
                <w:color w:val="000000"/>
                <w:sz w:val="24"/>
                <w:szCs w:val="24"/>
                <w:highlight w:val="none"/>
                <w:u w:val="none"/>
              </w:rPr>
            </w:pPr>
          </w:p>
        </w:tc>
        <w:tc>
          <w:tcPr>
            <w:tcW w:w="411" w:type="pct"/>
            <w:tcBorders>
              <w:top w:val="nil"/>
              <w:left w:val="nil"/>
              <w:bottom w:val="nil"/>
              <w:right w:val="nil"/>
            </w:tcBorders>
            <w:shd w:val="clear" w:color="auto" w:fill="auto"/>
            <w:vAlign w:val="center"/>
          </w:tcPr>
          <w:p w14:paraId="760B2C26">
            <w:pPr>
              <w:jc w:val="center"/>
              <w:rPr>
                <w:rFonts w:hint="eastAsia" w:ascii="仿宋_GB2312" w:hAnsi="仿宋_GB2312" w:eastAsia="仿宋_GB2312" w:cs="仿宋_GB2312"/>
                <w:i w:val="0"/>
                <w:iCs w:val="0"/>
                <w:color w:val="000000"/>
                <w:sz w:val="24"/>
                <w:szCs w:val="24"/>
                <w:highlight w:val="none"/>
                <w:u w:val="none"/>
              </w:rPr>
            </w:pPr>
          </w:p>
        </w:tc>
        <w:tc>
          <w:tcPr>
            <w:tcW w:w="354" w:type="pct"/>
            <w:tcBorders>
              <w:top w:val="nil"/>
              <w:left w:val="nil"/>
              <w:bottom w:val="nil"/>
              <w:right w:val="nil"/>
            </w:tcBorders>
            <w:shd w:val="clear" w:color="auto" w:fill="auto"/>
            <w:vAlign w:val="center"/>
          </w:tcPr>
          <w:p w14:paraId="1C634257">
            <w:pPr>
              <w:jc w:val="center"/>
              <w:rPr>
                <w:rFonts w:hint="eastAsia" w:ascii="仿宋_GB2312" w:hAnsi="仿宋_GB2312" w:eastAsia="仿宋_GB2312" w:cs="仿宋_GB2312"/>
                <w:i w:val="0"/>
                <w:iCs w:val="0"/>
                <w:color w:val="000000"/>
                <w:sz w:val="24"/>
                <w:szCs w:val="24"/>
                <w:highlight w:val="none"/>
                <w:u w:val="none"/>
              </w:rPr>
            </w:pPr>
          </w:p>
        </w:tc>
        <w:tc>
          <w:tcPr>
            <w:tcW w:w="349" w:type="pct"/>
            <w:tcBorders>
              <w:top w:val="nil"/>
              <w:left w:val="nil"/>
              <w:bottom w:val="nil"/>
              <w:right w:val="nil"/>
            </w:tcBorders>
            <w:shd w:val="clear" w:color="auto" w:fill="auto"/>
            <w:vAlign w:val="center"/>
          </w:tcPr>
          <w:p w14:paraId="60D4EFAD">
            <w:pPr>
              <w:jc w:val="center"/>
              <w:rPr>
                <w:rFonts w:hint="eastAsia" w:ascii="仿宋_GB2312" w:hAnsi="仿宋_GB2312" w:eastAsia="仿宋_GB2312" w:cs="仿宋_GB2312"/>
                <w:i w:val="0"/>
                <w:iCs w:val="0"/>
                <w:color w:val="000000"/>
                <w:sz w:val="24"/>
                <w:szCs w:val="24"/>
                <w:highlight w:val="none"/>
                <w:u w:val="none"/>
              </w:rPr>
            </w:pPr>
          </w:p>
        </w:tc>
        <w:tc>
          <w:tcPr>
            <w:tcW w:w="504" w:type="pct"/>
            <w:tcBorders>
              <w:top w:val="nil"/>
              <w:left w:val="nil"/>
              <w:bottom w:val="nil"/>
              <w:right w:val="nil"/>
            </w:tcBorders>
            <w:shd w:val="clear" w:color="auto" w:fill="auto"/>
            <w:vAlign w:val="center"/>
          </w:tcPr>
          <w:p w14:paraId="7D03863E">
            <w:pPr>
              <w:jc w:val="center"/>
              <w:rPr>
                <w:rFonts w:hint="eastAsia" w:ascii="仿宋_GB2312" w:hAnsi="仿宋_GB2312" w:eastAsia="仿宋_GB2312" w:cs="仿宋_GB2312"/>
                <w:i w:val="0"/>
                <w:iCs w:val="0"/>
                <w:color w:val="000000"/>
                <w:sz w:val="24"/>
                <w:szCs w:val="24"/>
                <w:highlight w:val="none"/>
                <w:u w:val="none"/>
              </w:rPr>
            </w:pPr>
          </w:p>
        </w:tc>
        <w:tc>
          <w:tcPr>
            <w:tcW w:w="416" w:type="pct"/>
            <w:tcBorders>
              <w:top w:val="nil"/>
              <w:left w:val="nil"/>
              <w:bottom w:val="nil"/>
              <w:right w:val="nil"/>
            </w:tcBorders>
            <w:shd w:val="clear" w:color="auto" w:fill="auto"/>
            <w:vAlign w:val="center"/>
          </w:tcPr>
          <w:p w14:paraId="4258B590">
            <w:pPr>
              <w:jc w:val="center"/>
              <w:rPr>
                <w:rFonts w:hint="eastAsia" w:ascii="仿宋_GB2312" w:hAnsi="仿宋_GB2312" w:eastAsia="仿宋_GB2312" w:cs="仿宋_GB2312"/>
                <w:i w:val="0"/>
                <w:iCs w:val="0"/>
                <w:color w:val="000000"/>
                <w:sz w:val="24"/>
                <w:szCs w:val="24"/>
                <w:highlight w:val="none"/>
                <w:u w:val="none"/>
              </w:rPr>
            </w:pPr>
          </w:p>
        </w:tc>
        <w:tc>
          <w:tcPr>
            <w:tcW w:w="345" w:type="pct"/>
            <w:tcBorders>
              <w:top w:val="nil"/>
              <w:left w:val="nil"/>
              <w:bottom w:val="nil"/>
              <w:right w:val="nil"/>
            </w:tcBorders>
            <w:shd w:val="clear" w:color="auto" w:fill="auto"/>
            <w:vAlign w:val="center"/>
          </w:tcPr>
          <w:p w14:paraId="0BF62995">
            <w:pPr>
              <w:jc w:val="center"/>
              <w:rPr>
                <w:rFonts w:hint="eastAsia" w:ascii="仿宋_GB2312" w:hAnsi="仿宋_GB2312" w:eastAsia="仿宋_GB2312" w:cs="仿宋_GB2312"/>
                <w:i w:val="0"/>
                <w:iCs w:val="0"/>
                <w:color w:val="000000"/>
                <w:sz w:val="24"/>
                <w:szCs w:val="24"/>
                <w:highlight w:val="none"/>
                <w:u w:val="none"/>
              </w:rPr>
            </w:pPr>
          </w:p>
        </w:tc>
      </w:tr>
      <w:tr w14:paraId="1A6E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663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行号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9EE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物料编码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2C7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物料名称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01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E4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6F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单价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8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税率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CF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金额</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1D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到货日期</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18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需求部门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51A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保质期</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5A4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备注</w:t>
            </w:r>
          </w:p>
        </w:tc>
      </w:tr>
      <w:tr w14:paraId="15D7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0997">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69C7">
            <w:pPr>
              <w:jc w:val="left"/>
              <w:rPr>
                <w:rFonts w:hint="eastAsia" w:ascii="仿宋_GB2312" w:hAnsi="仿宋_GB2312" w:eastAsia="仿宋_GB2312" w:cs="仿宋_GB2312"/>
                <w:i w:val="0"/>
                <w:iCs w:val="0"/>
                <w:color w:val="000000"/>
                <w:sz w:val="16"/>
                <w:szCs w:val="16"/>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6E3A">
            <w:pPr>
              <w:jc w:val="left"/>
              <w:rPr>
                <w:rFonts w:hint="eastAsia" w:ascii="仿宋_GB2312" w:hAnsi="仿宋_GB2312" w:eastAsia="仿宋_GB2312" w:cs="仿宋_GB2312"/>
                <w:i w:val="0"/>
                <w:iCs w:val="0"/>
                <w:color w:val="000000"/>
                <w:sz w:val="16"/>
                <w:szCs w:val="16"/>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B5BB">
            <w:pPr>
              <w:jc w:val="center"/>
              <w:rPr>
                <w:rFonts w:hint="eastAsia" w:ascii="仿宋_GB2312" w:hAnsi="仿宋_GB2312" w:eastAsia="仿宋_GB2312" w:cs="仿宋_GB2312"/>
                <w:i w:val="0"/>
                <w:iCs w:val="0"/>
                <w:color w:val="000000"/>
                <w:sz w:val="16"/>
                <w:szCs w:val="16"/>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78CF">
            <w:pPr>
              <w:jc w:val="center"/>
              <w:rPr>
                <w:rFonts w:hint="eastAsia" w:ascii="仿宋_GB2312" w:hAnsi="仿宋_GB2312" w:eastAsia="仿宋_GB2312" w:cs="仿宋_GB2312"/>
                <w:i w:val="0"/>
                <w:iCs w:val="0"/>
                <w:color w:val="000000"/>
                <w:sz w:val="16"/>
                <w:szCs w:val="16"/>
                <w:highlight w:val="none"/>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6B4D">
            <w:pPr>
              <w:jc w:val="center"/>
              <w:rPr>
                <w:rFonts w:hint="eastAsia" w:ascii="仿宋_GB2312" w:hAnsi="仿宋_GB2312" w:eastAsia="仿宋_GB2312" w:cs="仿宋_GB2312"/>
                <w:i w:val="0"/>
                <w:iCs w:val="0"/>
                <w:color w:val="000000"/>
                <w:sz w:val="16"/>
                <w:szCs w:val="16"/>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49C9">
            <w:pPr>
              <w:jc w:val="center"/>
              <w:rPr>
                <w:rFonts w:hint="eastAsia" w:ascii="仿宋_GB2312" w:hAnsi="仿宋_GB2312" w:eastAsia="仿宋_GB2312" w:cs="仿宋_GB2312"/>
                <w:i w:val="0"/>
                <w:iCs w:val="0"/>
                <w:color w:val="000000"/>
                <w:sz w:val="16"/>
                <w:szCs w:val="16"/>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C51F">
            <w:pPr>
              <w:jc w:val="center"/>
              <w:rPr>
                <w:rFonts w:hint="eastAsia" w:ascii="仿宋_GB2312" w:hAnsi="仿宋_GB2312" w:eastAsia="仿宋_GB2312" w:cs="仿宋_GB2312"/>
                <w:i w:val="0"/>
                <w:iCs w:val="0"/>
                <w:color w:val="000000"/>
                <w:sz w:val="16"/>
                <w:szCs w:val="16"/>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AB22">
            <w:pPr>
              <w:jc w:val="center"/>
              <w:rPr>
                <w:rFonts w:hint="eastAsia" w:ascii="仿宋_GB2312" w:hAnsi="仿宋_GB2312" w:eastAsia="仿宋_GB2312" w:cs="仿宋_GB2312"/>
                <w:i w:val="0"/>
                <w:iCs w:val="0"/>
                <w:color w:val="000000"/>
                <w:sz w:val="16"/>
                <w:szCs w:val="16"/>
                <w:highlight w:val="none"/>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E9BC">
            <w:pPr>
              <w:jc w:val="center"/>
              <w:rPr>
                <w:rFonts w:hint="eastAsia" w:ascii="仿宋_GB2312" w:hAnsi="仿宋_GB2312" w:eastAsia="仿宋_GB2312" w:cs="仿宋_GB2312"/>
                <w:i w:val="0"/>
                <w:iCs w:val="0"/>
                <w:color w:val="000000"/>
                <w:sz w:val="16"/>
                <w:szCs w:val="16"/>
                <w:highlight w:val="none"/>
                <w:u w:val="none"/>
              </w:rPr>
            </w:pPr>
          </w:p>
        </w:tc>
        <w:tc>
          <w:tcPr>
            <w:tcW w:w="416" w:type="pct"/>
            <w:tcBorders>
              <w:top w:val="nil"/>
              <w:left w:val="single" w:color="000000" w:sz="4" w:space="0"/>
              <w:bottom w:val="single" w:color="000000" w:sz="4" w:space="0"/>
              <w:right w:val="single" w:color="000000" w:sz="4" w:space="0"/>
            </w:tcBorders>
            <w:shd w:val="clear" w:color="auto" w:fill="auto"/>
            <w:vAlign w:val="center"/>
          </w:tcPr>
          <w:p w14:paraId="3BC9811D">
            <w:pPr>
              <w:jc w:val="left"/>
              <w:rPr>
                <w:rFonts w:hint="eastAsia" w:ascii="仿宋_GB2312" w:hAnsi="仿宋_GB2312" w:eastAsia="仿宋_GB2312" w:cs="仿宋_GB2312"/>
                <w:i w:val="0"/>
                <w:iCs w:val="0"/>
                <w:color w:val="000000"/>
                <w:sz w:val="16"/>
                <w:szCs w:val="16"/>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A1AA">
            <w:pPr>
              <w:jc w:val="center"/>
              <w:rPr>
                <w:rFonts w:hint="eastAsia" w:ascii="仿宋_GB2312" w:hAnsi="仿宋_GB2312" w:eastAsia="仿宋_GB2312" w:cs="仿宋_GB2312"/>
                <w:i w:val="0"/>
                <w:iCs w:val="0"/>
                <w:color w:val="000000"/>
                <w:sz w:val="16"/>
                <w:szCs w:val="16"/>
                <w:highlight w:val="none"/>
                <w:u w:val="none"/>
              </w:rPr>
            </w:pPr>
          </w:p>
        </w:tc>
      </w:tr>
      <w:tr w14:paraId="50F9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C1F3">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4DB7">
            <w:pPr>
              <w:jc w:val="left"/>
              <w:rPr>
                <w:rFonts w:hint="eastAsia" w:ascii="仿宋_GB2312" w:hAnsi="仿宋_GB2312" w:eastAsia="仿宋_GB2312" w:cs="仿宋_GB2312"/>
                <w:i w:val="0"/>
                <w:iCs w:val="0"/>
                <w:color w:val="000000"/>
                <w:sz w:val="16"/>
                <w:szCs w:val="16"/>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A887">
            <w:pPr>
              <w:jc w:val="left"/>
              <w:rPr>
                <w:rFonts w:hint="eastAsia" w:ascii="仿宋_GB2312" w:hAnsi="仿宋_GB2312" w:eastAsia="仿宋_GB2312" w:cs="仿宋_GB2312"/>
                <w:i w:val="0"/>
                <w:iCs w:val="0"/>
                <w:color w:val="000000"/>
                <w:sz w:val="16"/>
                <w:szCs w:val="16"/>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F74A">
            <w:pPr>
              <w:jc w:val="center"/>
              <w:rPr>
                <w:rFonts w:hint="eastAsia" w:ascii="仿宋_GB2312" w:hAnsi="仿宋_GB2312" w:eastAsia="仿宋_GB2312" w:cs="仿宋_GB2312"/>
                <w:i w:val="0"/>
                <w:iCs w:val="0"/>
                <w:color w:val="000000"/>
                <w:sz w:val="16"/>
                <w:szCs w:val="16"/>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F315">
            <w:pPr>
              <w:jc w:val="center"/>
              <w:rPr>
                <w:rFonts w:hint="eastAsia" w:ascii="仿宋_GB2312" w:hAnsi="仿宋_GB2312" w:eastAsia="仿宋_GB2312" w:cs="仿宋_GB2312"/>
                <w:i w:val="0"/>
                <w:iCs w:val="0"/>
                <w:color w:val="000000"/>
                <w:sz w:val="16"/>
                <w:szCs w:val="16"/>
                <w:highlight w:val="none"/>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02CA">
            <w:pPr>
              <w:jc w:val="center"/>
              <w:rPr>
                <w:rFonts w:hint="eastAsia" w:ascii="仿宋_GB2312" w:hAnsi="仿宋_GB2312" w:eastAsia="仿宋_GB2312" w:cs="仿宋_GB2312"/>
                <w:i w:val="0"/>
                <w:iCs w:val="0"/>
                <w:color w:val="000000"/>
                <w:sz w:val="16"/>
                <w:szCs w:val="16"/>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B6DC">
            <w:pPr>
              <w:jc w:val="center"/>
              <w:rPr>
                <w:rFonts w:hint="eastAsia" w:ascii="仿宋_GB2312" w:hAnsi="仿宋_GB2312" w:eastAsia="仿宋_GB2312" w:cs="仿宋_GB2312"/>
                <w:i w:val="0"/>
                <w:iCs w:val="0"/>
                <w:color w:val="000000"/>
                <w:sz w:val="16"/>
                <w:szCs w:val="16"/>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2B60">
            <w:pPr>
              <w:jc w:val="center"/>
              <w:rPr>
                <w:rFonts w:hint="eastAsia" w:ascii="仿宋_GB2312" w:hAnsi="仿宋_GB2312" w:eastAsia="仿宋_GB2312" w:cs="仿宋_GB2312"/>
                <w:i w:val="0"/>
                <w:iCs w:val="0"/>
                <w:color w:val="000000"/>
                <w:sz w:val="16"/>
                <w:szCs w:val="16"/>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95F3">
            <w:pPr>
              <w:jc w:val="center"/>
              <w:rPr>
                <w:rFonts w:hint="eastAsia" w:ascii="仿宋_GB2312" w:hAnsi="仿宋_GB2312" w:eastAsia="仿宋_GB2312" w:cs="仿宋_GB2312"/>
                <w:i w:val="0"/>
                <w:iCs w:val="0"/>
                <w:color w:val="000000"/>
                <w:sz w:val="16"/>
                <w:szCs w:val="16"/>
                <w:highlight w:val="none"/>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5BDD">
            <w:pPr>
              <w:jc w:val="center"/>
              <w:rPr>
                <w:rFonts w:hint="eastAsia" w:ascii="仿宋_GB2312" w:hAnsi="仿宋_GB2312" w:eastAsia="仿宋_GB2312" w:cs="仿宋_GB2312"/>
                <w:i w:val="0"/>
                <w:iCs w:val="0"/>
                <w:color w:val="000000"/>
                <w:sz w:val="16"/>
                <w:szCs w:val="16"/>
                <w:highlight w:val="none"/>
                <w:u w:val="none"/>
              </w:rPr>
            </w:pPr>
          </w:p>
        </w:tc>
        <w:tc>
          <w:tcPr>
            <w:tcW w:w="416" w:type="pct"/>
            <w:tcBorders>
              <w:top w:val="nil"/>
              <w:left w:val="single" w:color="000000" w:sz="4" w:space="0"/>
              <w:bottom w:val="single" w:color="000000" w:sz="4" w:space="0"/>
              <w:right w:val="single" w:color="000000" w:sz="4" w:space="0"/>
            </w:tcBorders>
            <w:shd w:val="clear" w:color="auto" w:fill="auto"/>
            <w:vAlign w:val="center"/>
          </w:tcPr>
          <w:p w14:paraId="4D24034E">
            <w:pPr>
              <w:jc w:val="left"/>
              <w:rPr>
                <w:rFonts w:hint="eastAsia" w:ascii="仿宋_GB2312" w:hAnsi="仿宋_GB2312" w:eastAsia="仿宋_GB2312" w:cs="仿宋_GB2312"/>
                <w:i w:val="0"/>
                <w:iCs w:val="0"/>
                <w:color w:val="000000"/>
                <w:sz w:val="16"/>
                <w:szCs w:val="16"/>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B71B">
            <w:pPr>
              <w:jc w:val="center"/>
              <w:rPr>
                <w:rFonts w:hint="eastAsia" w:ascii="仿宋_GB2312" w:hAnsi="仿宋_GB2312" w:eastAsia="仿宋_GB2312" w:cs="仿宋_GB2312"/>
                <w:i w:val="0"/>
                <w:iCs w:val="0"/>
                <w:color w:val="000000"/>
                <w:sz w:val="16"/>
                <w:szCs w:val="16"/>
                <w:highlight w:val="none"/>
                <w:u w:val="none"/>
              </w:rPr>
            </w:pPr>
          </w:p>
        </w:tc>
      </w:tr>
      <w:tr w14:paraId="4609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93" w:type="pct"/>
            <w:tcBorders>
              <w:top w:val="nil"/>
              <w:left w:val="single" w:color="000000" w:sz="4" w:space="0"/>
              <w:bottom w:val="single" w:color="000000" w:sz="4" w:space="0"/>
              <w:right w:val="nil"/>
            </w:tcBorders>
            <w:shd w:val="clear" w:color="auto" w:fill="auto"/>
            <w:vAlign w:val="center"/>
          </w:tcPr>
          <w:p w14:paraId="47E5873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合计</w:t>
            </w:r>
          </w:p>
        </w:tc>
        <w:tc>
          <w:tcPr>
            <w:tcW w:w="521" w:type="pct"/>
            <w:tcBorders>
              <w:top w:val="nil"/>
              <w:left w:val="nil"/>
              <w:bottom w:val="single" w:color="000000" w:sz="4" w:space="0"/>
              <w:right w:val="nil"/>
            </w:tcBorders>
            <w:shd w:val="clear" w:color="auto" w:fill="auto"/>
            <w:vAlign w:val="center"/>
          </w:tcPr>
          <w:p w14:paraId="2B26CA05">
            <w:pPr>
              <w:jc w:val="center"/>
              <w:rPr>
                <w:rFonts w:hint="eastAsia" w:ascii="仿宋_GB2312" w:hAnsi="仿宋_GB2312" w:eastAsia="仿宋_GB2312" w:cs="仿宋_GB2312"/>
                <w:i w:val="0"/>
                <w:iCs w:val="0"/>
                <w:color w:val="000000"/>
                <w:sz w:val="24"/>
                <w:szCs w:val="24"/>
                <w:highlight w:val="none"/>
                <w:u w:val="none"/>
              </w:rPr>
            </w:pPr>
          </w:p>
        </w:tc>
        <w:tc>
          <w:tcPr>
            <w:tcW w:w="479" w:type="pct"/>
            <w:tcBorders>
              <w:top w:val="nil"/>
              <w:left w:val="nil"/>
              <w:bottom w:val="single" w:color="000000" w:sz="4" w:space="0"/>
              <w:right w:val="nil"/>
            </w:tcBorders>
            <w:shd w:val="clear" w:color="auto" w:fill="auto"/>
            <w:vAlign w:val="center"/>
          </w:tcPr>
          <w:p w14:paraId="57C2A2B7">
            <w:pPr>
              <w:jc w:val="center"/>
              <w:rPr>
                <w:rFonts w:hint="eastAsia" w:ascii="仿宋_GB2312" w:hAnsi="仿宋_GB2312" w:eastAsia="仿宋_GB2312" w:cs="仿宋_GB2312"/>
                <w:i w:val="0"/>
                <w:iCs w:val="0"/>
                <w:color w:val="000000"/>
                <w:sz w:val="24"/>
                <w:szCs w:val="24"/>
                <w:highlight w:val="none"/>
                <w:u w:val="none"/>
              </w:rPr>
            </w:pPr>
          </w:p>
        </w:tc>
        <w:tc>
          <w:tcPr>
            <w:tcW w:w="375" w:type="pct"/>
            <w:tcBorders>
              <w:top w:val="nil"/>
              <w:left w:val="nil"/>
              <w:bottom w:val="single" w:color="000000" w:sz="4" w:space="0"/>
              <w:right w:val="nil"/>
            </w:tcBorders>
            <w:shd w:val="clear" w:color="auto" w:fill="auto"/>
            <w:vAlign w:val="center"/>
          </w:tcPr>
          <w:p w14:paraId="71434534">
            <w:pPr>
              <w:jc w:val="center"/>
              <w:rPr>
                <w:rFonts w:hint="eastAsia" w:ascii="仿宋_GB2312" w:hAnsi="仿宋_GB2312" w:eastAsia="仿宋_GB2312" w:cs="仿宋_GB2312"/>
                <w:i w:val="0"/>
                <w:iCs w:val="0"/>
                <w:color w:val="000000"/>
                <w:sz w:val="16"/>
                <w:szCs w:val="16"/>
                <w:highlight w:val="none"/>
                <w:u w:val="none"/>
              </w:rPr>
            </w:pPr>
          </w:p>
        </w:tc>
        <w:tc>
          <w:tcPr>
            <w:tcW w:w="307" w:type="pct"/>
            <w:tcBorders>
              <w:top w:val="nil"/>
              <w:left w:val="nil"/>
              <w:bottom w:val="single" w:color="000000" w:sz="4" w:space="0"/>
              <w:right w:val="nil"/>
            </w:tcBorders>
            <w:shd w:val="clear" w:color="auto" w:fill="auto"/>
            <w:vAlign w:val="center"/>
          </w:tcPr>
          <w:p w14:paraId="52D33346">
            <w:pPr>
              <w:jc w:val="center"/>
              <w:rPr>
                <w:rFonts w:hint="eastAsia" w:ascii="仿宋_GB2312" w:hAnsi="仿宋_GB2312" w:eastAsia="仿宋_GB2312" w:cs="仿宋_GB2312"/>
                <w:i w:val="0"/>
                <w:iCs w:val="0"/>
                <w:color w:val="000000"/>
                <w:sz w:val="24"/>
                <w:szCs w:val="24"/>
                <w:highlight w:val="none"/>
                <w:u w:val="none"/>
              </w:rPr>
            </w:pPr>
          </w:p>
        </w:tc>
        <w:tc>
          <w:tcPr>
            <w:tcW w:w="442" w:type="pct"/>
            <w:tcBorders>
              <w:top w:val="nil"/>
              <w:left w:val="nil"/>
              <w:bottom w:val="single" w:color="000000" w:sz="4" w:space="0"/>
              <w:right w:val="nil"/>
            </w:tcBorders>
            <w:shd w:val="clear" w:color="auto" w:fill="auto"/>
            <w:vAlign w:val="center"/>
          </w:tcPr>
          <w:p w14:paraId="003C2E9B">
            <w:pPr>
              <w:jc w:val="center"/>
              <w:rPr>
                <w:rFonts w:hint="eastAsia" w:ascii="仿宋_GB2312" w:hAnsi="仿宋_GB2312" w:eastAsia="仿宋_GB2312" w:cs="仿宋_GB2312"/>
                <w:i w:val="0"/>
                <w:iCs w:val="0"/>
                <w:color w:val="000000"/>
                <w:sz w:val="24"/>
                <w:szCs w:val="24"/>
                <w:highlight w:val="none"/>
                <w:u w:val="none"/>
              </w:rPr>
            </w:pPr>
          </w:p>
        </w:tc>
        <w:tc>
          <w:tcPr>
            <w:tcW w:w="411" w:type="pct"/>
            <w:tcBorders>
              <w:top w:val="nil"/>
              <w:left w:val="nil"/>
              <w:bottom w:val="single" w:color="000000" w:sz="4" w:space="0"/>
              <w:right w:val="nil"/>
            </w:tcBorders>
            <w:shd w:val="clear" w:color="auto" w:fill="auto"/>
            <w:vAlign w:val="center"/>
          </w:tcPr>
          <w:p w14:paraId="7B4014AE">
            <w:pPr>
              <w:jc w:val="center"/>
              <w:rPr>
                <w:rFonts w:hint="eastAsia" w:ascii="仿宋_GB2312" w:hAnsi="仿宋_GB2312" w:eastAsia="仿宋_GB2312" w:cs="仿宋_GB2312"/>
                <w:i w:val="0"/>
                <w:iCs w:val="0"/>
                <w:color w:val="000000"/>
                <w:sz w:val="24"/>
                <w:szCs w:val="24"/>
                <w:highlight w:val="none"/>
                <w:u w:val="none"/>
              </w:rPr>
            </w:pPr>
          </w:p>
        </w:tc>
        <w:tc>
          <w:tcPr>
            <w:tcW w:w="354" w:type="pct"/>
            <w:tcBorders>
              <w:top w:val="nil"/>
              <w:left w:val="nil"/>
              <w:bottom w:val="single" w:color="000000" w:sz="4" w:space="0"/>
              <w:right w:val="nil"/>
            </w:tcBorders>
            <w:shd w:val="clear" w:color="auto" w:fill="auto"/>
            <w:vAlign w:val="center"/>
          </w:tcPr>
          <w:p w14:paraId="40D93C9D">
            <w:pPr>
              <w:jc w:val="center"/>
              <w:rPr>
                <w:rFonts w:hint="eastAsia" w:ascii="仿宋_GB2312" w:hAnsi="仿宋_GB2312" w:eastAsia="仿宋_GB2312" w:cs="仿宋_GB2312"/>
                <w:i w:val="0"/>
                <w:iCs w:val="0"/>
                <w:color w:val="000000"/>
                <w:sz w:val="16"/>
                <w:szCs w:val="16"/>
                <w:highlight w:val="none"/>
                <w:u w:val="none"/>
              </w:rPr>
            </w:pPr>
          </w:p>
        </w:tc>
        <w:tc>
          <w:tcPr>
            <w:tcW w:w="349" w:type="pct"/>
            <w:tcBorders>
              <w:top w:val="nil"/>
              <w:left w:val="nil"/>
              <w:bottom w:val="single" w:color="000000" w:sz="4" w:space="0"/>
              <w:right w:val="nil"/>
            </w:tcBorders>
            <w:shd w:val="clear" w:color="auto" w:fill="auto"/>
            <w:vAlign w:val="center"/>
          </w:tcPr>
          <w:p w14:paraId="64A1F67F">
            <w:pPr>
              <w:jc w:val="center"/>
              <w:rPr>
                <w:rFonts w:hint="eastAsia" w:ascii="仿宋_GB2312" w:hAnsi="仿宋_GB2312" w:eastAsia="仿宋_GB2312" w:cs="仿宋_GB2312"/>
                <w:i w:val="0"/>
                <w:iCs w:val="0"/>
                <w:color w:val="000000"/>
                <w:sz w:val="24"/>
                <w:szCs w:val="24"/>
                <w:highlight w:val="none"/>
                <w:u w:val="none"/>
              </w:rPr>
            </w:pPr>
          </w:p>
        </w:tc>
        <w:tc>
          <w:tcPr>
            <w:tcW w:w="504" w:type="pct"/>
            <w:tcBorders>
              <w:top w:val="nil"/>
              <w:left w:val="nil"/>
              <w:bottom w:val="single" w:color="000000" w:sz="4" w:space="0"/>
              <w:right w:val="nil"/>
            </w:tcBorders>
            <w:shd w:val="clear" w:color="auto" w:fill="auto"/>
            <w:vAlign w:val="center"/>
          </w:tcPr>
          <w:p w14:paraId="00D01658">
            <w:pPr>
              <w:jc w:val="center"/>
              <w:rPr>
                <w:rFonts w:hint="eastAsia" w:ascii="仿宋_GB2312" w:hAnsi="仿宋_GB2312" w:eastAsia="仿宋_GB2312" w:cs="仿宋_GB2312"/>
                <w:i w:val="0"/>
                <w:iCs w:val="0"/>
                <w:color w:val="000000"/>
                <w:sz w:val="24"/>
                <w:szCs w:val="24"/>
                <w:highlight w:val="none"/>
                <w:u w:val="none"/>
              </w:rPr>
            </w:pPr>
          </w:p>
        </w:tc>
        <w:tc>
          <w:tcPr>
            <w:tcW w:w="416" w:type="pct"/>
            <w:tcBorders>
              <w:top w:val="nil"/>
              <w:left w:val="nil"/>
              <w:bottom w:val="single" w:color="000000" w:sz="4" w:space="0"/>
              <w:right w:val="nil"/>
            </w:tcBorders>
            <w:shd w:val="clear" w:color="auto" w:fill="auto"/>
            <w:vAlign w:val="center"/>
          </w:tcPr>
          <w:p w14:paraId="7C57DB22">
            <w:pPr>
              <w:jc w:val="center"/>
              <w:rPr>
                <w:rFonts w:hint="eastAsia" w:ascii="仿宋_GB2312" w:hAnsi="仿宋_GB2312" w:eastAsia="仿宋_GB2312" w:cs="仿宋_GB2312"/>
                <w:i w:val="0"/>
                <w:iCs w:val="0"/>
                <w:color w:val="000000"/>
                <w:sz w:val="24"/>
                <w:szCs w:val="24"/>
                <w:highlight w:val="none"/>
                <w:u w:val="none"/>
              </w:rPr>
            </w:pPr>
          </w:p>
        </w:tc>
        <w:tc>
          <w:tcPr>
            <w:tcW w:w="345" w:type="pct"/>
            <w:tcBorders>
              <w:top w:val="nil"/>
              <w:left w:val="nil"/>
              <w:bottom w:val="single" w:color="000000" w:sz="4" w:space="0"/>
              <w:right w:val="single" w:color="000000" w:sz="4" w:space="0"/>
            </w:tcBorders>
            <w:shd w:val="clear" w:color="auto" w:fill="auto"/>
            <w:vAlign w:val="center"/>
          </w:tcPr>
          <w:p w14:paraId="40D1121F">
            <w:pPr>
              <w:jc w:val="center"/>
              <w:rPr>
                <w:rFonts w:hint="eastAsia" w:ascii="仿宋_GB2312" w:hAnsi="仿宋_GB2312" w:eastAsia="仿宋_GB2312" w:cs="仿宋_GB2312"/>
                <w:i w:val="0"/>
                <w:iCs w:val="0"/>
                <w:color w:val="000000"/>
                <w:sz w:val="24"/>
                <w:szCs w:val="24"/>
                <w:highlight w:val="none"/>
                <w:u w:val="none"/>
              </w:rPr>
            </w:pPr>
          </w:p>
        </w:tc>
      </w:tr>
      <w:tr w14:paraId="1AA8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4" w:type="pct"/>
            <w:gridSpan w:val="2"/>
            <w:tcBorders>
              <w:top w:val="nil"/>
              <w:left w:val="single" w:color="000000" w:sz="4" w:space="0"/>
              <w:bottom w:val="single" w:color="000000" w:sz="4" w:space="0"/>
              <w:right w:val="nil"/>
            </w:tcBorders>
            <w:shd w:val="clear" w:color="auto" w:fill="auto"/>
            <w:vAlign w:val="center"/>
          </w:tcPr>
          <w:p w14:paraId="6662E446">
            <w:pPr>
              <w:keepNext w:val="0"/>
              <w:keepLines w:val="0"/>
              <w:widowControl/>
              <w:suppressLineNumbers w:val="0"/>
              <w:jc w:val="right"/>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合计金额(大写)：</w:t>
            </w:r>
          </w:p>
        </w:tc>
        <w:tc>
          <w:tcPr>
            <w:tcW w:w="3985" w:type="pct"/>
            <w:gridSpan w:val="10"/>
            <w:tcBorders>
              <w:top w:val="nil"/>
              <w:left w:val="nil"/>
              <w:bottom w:val="single" w:color="000000" w:sz="4" w:space="0"/>
              <w:right w:val="single" w:color="000000" w:sz="4" w:space="0"/>
            </w:tcBorders>
            <w:shd w:val="clear" w:color="auto" w:fill="auto"/>
            <w:vAlign w:val="center"/>
          </w:tcPr>
          <w:p w14:paraId="5C084A03">
            <w:pPr>
              <w:jc w:val="left"/>
              <w:rPr>
                <w:rFonts w:hint="eastAsia" w:ascii="仿宋_GB2312" w:hAnsi="仿宋_GB2312" w:eastAsia="仿宋_GB2312" w:cs="仿宋_GB2312"/>
                <w:i w:val="0"/>
                <w:iCs w:val="0"/>
                <w:color w:val="000000"/>
                <w:sz w:val="16"/>
                <w:szCs w:val="16"/>
                <w:highlight w:val="none"/>
                <w:u w:val="none"/>
              </w:rPr>
            </w:pPr>
          </w:p>
        </w:tc>
      </w:tr>
      <w:tr w14:paraId="3668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000" w:type="pct"/>
            <w:gridSpan w:val="12"/>
            <w:tcBorders>
              <w:top w:val="nil"/>
              <w:left w:val="nil"/>
              <w:bottom w:val="nil"/>
              <w:right w:val="nil"/>
            </w:tcBorders>
            <w:shd w:val="clear" w:color="auto" w:fill="auto"/>
            <w:vAlign w:val="center"/>
          </w:tcPr>
          <w:p w14:paraId="08D3572C">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一、质量要求及验收标准</w:t>
            </w:r>
          </w:p>
        </w:tc>
      </w:tr>
      <w:tr w14:paraId="3FD7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000" w:type="pct"/>
            <w:gridSpan w:val="12"/>
            <w:tcBorders>
              <w:top w:val="nil"/>
              <w:left w:val="nil"/>
              <w:bottom w:val="nil"/>
              <w:right w:val="nil"/>
            </w:tcBorders>
            <w:shd w:val="clear" w:color="auto" w:fill="auto"/>
            <w:vAlign w:val="center"/>
          </w:tcPr>
          <w:p w14:paraId="47FB8DFD">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1、货物质量须达到国家相关标准、相关行业标准及双方协定验收标准(以最优标准为准)，否则需方有权退货或要求供方3个日历内更换。</w:t>
            </w:r>
          </w:p>
        </w:tc>
      </w:tr>
      <w:tr w14:paraId="4DFF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2"/>
            <w:tcBorders>
              <w:top w:val="nil"/>
              <w:left w:val="nil"/>
              <w:bottom w:val="nil"/>
              <w:right w:val="nil"/>
            </w:tcBorders>
            <w:shd w:val="clear" w:color="auto" w:fill="auto"/>
            <w:vAlign w:val="center"/>
          </w:tcPr>
          <w:p w14:paraId="01D9308C">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2、结算数量以需方实际验收合格收货量为准。</w:t>
            </w:r>
          </w:p>
        </w:tc>
      </w:tr>
      <w:tr w14:paraId="7D6A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color="auto" w:fill="auto"/>
            <w:vAlign w:val="center"/>
          </w:tcPr>
          <w:p w14:paraId="46D1D8EB">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3、供方保证所有货物为全新未使用过的原厂出产正品且不存在第三方权利请求、对货物的使用不构成对第三方的侵权(供货时出具合格有效的出场证明、合格证、检测证明等相关文件)，否则，需方有权实行退换货处理，直至合格。</w:t>
            </w:r>
          </w:p>
        </w:tc>
      </w:tr>
      <w:tr w14:paraId="2F5B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000" w:type="pct"/>
            <w:gridSpan w:val="12"/>
            <w:tcBorders>
              <w:top w:val="nil"/>
              <w:left w:val="nil"/>
              <w:bottom w:val="nil"/>
              <w:right w:val="nil"/>
            </w:tcBorders>
            <w:shd w:val="clear" w:color="auto" w:fill="auto"/>
            <w:vAlign w:val="center"/>
          </w:tcPr>
          <w:p w14:paraId="17676033">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4、化学品类货物在需方地磅过磅后，双方共同见证取样封样，如需方检测不合格则按需方要求实行退换货处理直至合格或折量处理。</w:t>
            </w:r>
          </w:p>
        </w:tc>
      </w:tr>
      <w:tr w14:paraId="20CD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000" w:type="pct"/>
            <w:gridSpan w:val="12"/>
            <w:tcBorders>
              <w:top w:val="nil"/>
              <w:left w:val="nil"/>
              <w:bottom w:val="nil"/>
              <w:right w:val="nil"/>
            </w:tcBorders>
            <w:shd w:val="clear" w:color="auto" w:fill="auto"/>
            <w:vAlign w:val="center"/>
          </w:tcPr>
          <w:p w14:paraId="51BDAE61">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5、因供方原因导致的退换货，因此产生的一切费用由供方承担。货物的所有权和风险自货物验收合格并交付给需方后转移至需方。</w:t>
            </w:r>
          </w:p>
        </w:tc>
      </w:tr>
      <w:tr w14:paraId="7103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000" w:type="pct"/>
            <w:gridSpan w:val="12"/>
            <w:tcBorders>
              <w:top w:val="nil"/>
              <w:left w:val="nil"/>
              <w:bottom w:val="nil"/>
              <w:right w:val="nil"/>
            </w:tcBorders>
            <w:shd w:val="clear" w:color="auto" w:fill="auto"/>
            <w:vAlign w:val="center"/>
          </w:tcPr>
          <w:p w14:paraId="18D6B3D4">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二、以上产品价格均含增值税专用发票，固定单价包干，固定单价包含货物、运输费、人工费、配件费、装卸费、服务费、税费等需方为实现合同目的而需向供方支付的一切费用。</w:t>
            </w:r>
          </w:p>
        </w:tc>
      </w:tr>
      <w:tr w14:paraId="14E5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shd w:val="clear" w:color="auto" w:fill="auto"/>
            <w:vAlign w:val="center"/>
          </w:tcPr>
          <w:p w14:paraId="2C0CC46E">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lang w:val="en-US"/>
              </w:rPr>
            </w:pPr>
            <w:r>
              <w:rPr>
                <w:rFonts w:hint="eastAsia" w:ascii="仿宋_GB2312" w:hAnsi="仿宋_GB2312" w:eastAsia="仿宋_GB2312" w:cs="仿宋_GB2312"/>
                <w:i w:val="0"/>
                <w:iCs w:val="0"/>
                <w:color w:val="000000"/>
                <w:kern w:val="0"/>
                <w:sz w:val="16"/>
                <w:szCs w:val="16"/>
                <w:highlight w:val="none"/>
                <w:u w:val="none"/>
                <w:lang w:val="en-US" w:eastAsia="zh-CN" w:bidi="ar"/>
              </w:rPr>
              <w:t>三、交货地点，见备注栏。</w:t>
            </w:r>
          </w:p>
        </w:tc>
      </w:tr>
      <w:tr w14:paraId="41D1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000" w:type="pct"/>
            <w:gridSpan w:val="12"/>
            <w:tcBorders>
              <w:top w:val="nil"/>
              <w:left w:val="nil"/>
              <w:bottom w:val="nil"/>
              <w:right w:val="nil"/>
            </w:tcBorders>
            <w:shd w:val="clear" w:color="auto" w:fill="auto"/>
            <w:vAlign w:val="center"/>
          </w:tcPr>
          <w:p w14:paraId="27CA6BEA">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四、结算方式及时间：每月3日前，供方向需方提交上月供货对账单，供需双方对验收合格入库的货物数量及金额核对无误后，供方在三个工作日内向需方提交合法有效的等额增值税专用发票，需方收到前述发票后在当月27日前向供方支付经双方确认的上月入库货物金额的100%。供方逾期递交对账单或发票的，需方有权延迟一个月付款。</w:t>
            </w:r>
          </w:p>
        </w:tc>
      </w:tr>
      <w:tr w14:paraId="3415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00" w:type="pct"/>
            <w:gridSpan w:val="12"/>
            <w:tcBorders>
              <w:top w:val="nil"/>
              <w:left w:val="nil"/>
              <w:bottom w:val="nil"/>
              <w:right w:val="nil"/>
            </w:tcBorders>
            <w:shd w:val="clear" w:color="auto" w:fill="auto"/>
            <w:vAlign w:val="center"/>
          </w:tcPr>
          <w:p w14:paraId="1AB640EC">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五、供方未经需方同意逾期交货的，需方可没收供方全部履约保证金(如有)并要求供方按订购单总价1%/天支付违约金。逾期超过5天，需方有权解除合同。</w:t>
            </w:r>
          </w:p>
        </w:tc>
      </w:tr>
      <w:tr w14:paraId="382F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00" w:type="pct"/>
            <w:gridSpan w:val="12"/>
            <w:tcBorders>
              <w:top w:val="nil"/>
              <w:left w:val="nil"/>
              <w:bottom w:val="nil"/>
              <w:right w:val="nil"/>
            </w:tcBorders>
            <w:shd w:val="clear" w:color="auto" w:fill="auto"/>
            <w:vAlign w:val="center"/>
          </w:tcPr>
          <w:p w14:paraId="69E6B364">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六、供方交货品质、价格、交期、服务等方面的表现将作为需方年度供应商评审重要依据。</w:t>
            </w:r>
          </w:p>
        </w:tc>
      </w:tr>
      <w:tr w14:paraId="4442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12"/>
            <w:tcBorders>
              <w:top w:val="nil"/>
              <w:left w:val="nil"/>
              <w:bottom w:val="nil"/>
              <w:right w:val="nil"/>
            </w:tcBorders>
            <w:shd w:val="clear" w:color="auto" w:fill="auto"/>
            <w:vAlign w:val="center"/>
          </w:tcPr>
          <w:p w14:paraId="12E1DAE2">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七、本订购单经双方盖公章或合同章后生效，合同复印件或传真件与原件具有同等法律效力。</w:t>
            </w:r>
          </w:p>
        </w:tc>
      </w:tr>
      <w:tr w14:paraId="30EB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000" w:type="pct"/>
            <w:gridSpan w:val="12"/>
            <w:tcBorders>
              <w:top w:val="nil"/>
              <w:left w:val="nil"/>
              <w:bottom w:val="nil"/>
              <w:right w:val="nil"/>
            </w:tcBorders>
            <w:shd w:val="clear" w:color="auto" w:fill="auto"/>
            <w:vAlign w:val="center"/>
          </w:tcPr>
          <w:p w14:paraId="3756EA98">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八、双方同意纠纷提交东莞市第一人民法院处理。</w:t>
            </w:r>
          </w:p>
        </w:tc>
      </w:tr>
      <w:tr w14:paraId="2CA6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3D1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需方</w:t>
            </w:r>
          </w:p>
        </w:tc>
        <w:tc>
          <w:tcPr>
            <w:tcW w:w="160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94F6B">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B1B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供方</w:t>
            </w:r>
          </w:p>
        </w:tc>
        <w:tc>
          <w:tcPr>
            <w:tcW w:w="12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048E">
            <w:pPr>
              <w:jc w:val="center"/>
              <w:rPr>
                <w:rFonts w:hint="eastAsia" w:ascii="仿宋_GB2312" w:hAnsi="仿宋_GB2312" w:eastAsia="仿宋_GB2312" w:cs="仿宋_GB2312"/>
                <w:i w:val="0"/>
                <w:iCs w:val="0"/>
                <w:color w:val="000000"/>
                <w:sz w:val="24"/>
                <w:szCs w:val="24"/>
                <w:highlight w:val="none"/>
                <w:u w:val="none"/>
              </w:rPr>
            </w:pPr>
          </w:p>
        </w:tc>
      </w:tr>
      <w:tr w14:paraId="6EE2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D14A">
            <w:pPr>
              <w:jc w:val="center"/>
              <w:rPr>
                <w:rFonts w:hint="eastAsia" w:ascii="仿宋_GB2312" w:hAnsi="仿宋_GB2312" w:eastAsia="仿宋_GB2312" w:cs="仿宋_GB2312"/>
                <w:i w:val="0"/>
                <w:iCs w:val="0"/>
                <w:color w:val="000000"/>
                <w:sz w:val="20"/>
                <w:szCs w:val="20"/>
                <w:highlight w:val="none"/>
                <w:u w:val="none"/>
              </w:rPr>
            </w:pPr>
          </w:p>
        </w:tc>
        <w:tc>
          <w:tcPr>
            <w:tcW w:w="16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8827">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599B">
            <w:pPr>
              <w:jc w:val="center"/>
              <w:rPr>
                <w:rFonts w:hint="eastAsia" w:ascii="仿宋_GB2312" w:hAnsi="仿宋_GB2312" w:eastAsia="仿宋_GB2312" w:cs="仿宋_GB2312"/>
                <w:i w:val="0"/>
                <w:iCs w:val="0"/>
                <w:color w:val="000000"/>
                <w:sz w:val="20"/>
                <w:szCs w:val="20"/>
                <w:highlight w:val="none"/>
                <w:u w:val="none"/>
              </w:rPr>
            </w:pPr>
          </w:p>
        </w:tc>
        <w:tc>
          <w:tcPr>
            <w:tcW w:w="12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D6D1">
            <w:pPr>
              <w:jc w:val="center"/>
              <w:rPr>
                <w:rFonts w:hint="eastAsia" w:ascii="仿宋_GB2312" w:hAnsi="仿宋_GB2312" w:eastAsia="仿宋_GB2312" w:cs="仿宋_GB2312"/>
                <w:i w:val="0"/>
                <w:iCs w:val="0"/>
                <w:color w:val="000000"/>
                <w:sz w:val="24"/>
                <w:szCs w:val="24"/>
                <w:highlight w:val="none"/>
                <w:u w:val="none"/>
              </w:rPr>
            </w:pPr>
          </w:p>
        </w:tc>
      </w:tr>
      <w:tr w14:paraId="7CAB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9283">
            <w:pPr>
              <w:jc w:val="center"/>
              <w:rPr>
                <w:rFonts w:hint="eastAsia" w:ascii="仿宋_GB2312" w:hAnsi="仿宋_GB2312" w:eastAsia="仿宋_GB2312" w:cs="仿宋_GB2312"/>
                <w:i w:val="0"/>
                <w:iCs w:val="0"/>
                <w:color w:val="000000"/>
                <w:sz w:val="20"/>
                <w:szCs w:val="20"/>
                <w:highlight w:val="none"/>
                <w:u w:val="none"/>
              </w:rPr>
            </w:pPr>
          </w:p>
        </w:tc>
        <w:tc>
          <w:tcPr>
            <w:tcW w:w="16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00CE">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D4E3">
            <w:pPr>
              <w:jc w:val="center"/>
              <w:rPr>
                <w:rFonts w:hint="eastAsia" w:ascii="仿宋_GB2312" w:hAnsi="仿宋_GB2312" w:eastAsia="仿宋_GB2312" w:cs="仿宋_GB2312"/>
                <w:i w:val="0"/>
                <w:iCs w:val="0"/>
                <w:color w:val="000000"/>
                <w:sz w:val="20"/>
                <w:szCs w:val="20"/>
                <w:highlight w:val="none"/>
                <w:u w:val="none"/>
              </w:rPr>
            </w:pPr>
          </w:p>
        </w:tc>
        <w:tc>
          <w:tcPr>
            <w:tcW w:w="12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46B6">
            <w:pPr>
              <w:jc w:val="center"/>
              <w:rPr>
                <w:rFonts w:hint="eastAsia" w:ascii="仿宋_GB2312" w:hAnsi="仿宋_GB2312" w:eastAsia="仿宋_GB2312" w:cs="仿宋_GB2312"/>
                <w:i w:val="0"/>
                <w:iCs w:val="0"/>
                <w:color w:val="000000"/>
                <w:sz w:val="24"/>
                <w:szCs w:val="24"/>
                <w:highlight w:val="none"/>
                <w:u w:val="none"/>
              </w:rPr>
            </w:pPr>
          </w:p>
        </w:tc>
      </w:tr>
      <w:tr w14:paraId="0DAF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0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D934">
            <w:pPr>
              <w:jc w:val="center"/>
              <w:rPr>
                <w:rFonts w:hint="eastAsia" w:ascii="仿宋_GB2312" w:hAnsi="仿宋_GB2312" w:eastAsia="仿宋_GB2312" w:cs="仿宋_GB2312"/>
                <w:i w:val="0"/>
                <w:iCs w:val="0"/>
                <w:color w:val="000000"/>
                <w:sz w:val="20"/>
                <w:szCs w:val="20"/>
                <w:highlight w:val="none"/>
                <w:u w:val="none"/>
              </w:rPr>
            </w:pPr>
          </w:p>
        </w:tc>
        <w:tc>
          <w:tcPr>
            <w:tcW w:w="16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BC21">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6714">
            <w:pPr>
              <w:jc w:val="center"/>
              <w:rPr>
                <w:rFonts w:hint="eastAsia" w:ascii="仿宋_GB2312" w:hAnsi="仿宋_GB2312" w:eastAsia="仿宋_GB2312" w:cs="仿宋_GB2312"/>
                <w:i w:val="0"/>
                <w:iCs w:val="0"/>
                <w:color w:val="000000"/>
                <w:sz w:val="20"/>
                <w:szCs w:val="20"/>
                <w:highlight w:val="none"/>
                <w:u w:val="none"/>
              </w:rPr>
            </w:pPr>
          </w:p>
        </w:tc>
        <w:tc>
          <w:tcPr>
            <w:tcW w:w="12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4BCA">
            <w:pPr>
              <w:jc w:val="center"/>
              <w:rPr>
                <w:rFonts w:hint="eastAsia" w:ascii="仿宋_GB2312" w:hAnsi="仿宋_GB2312" w:eastAsia="仿宋_GB2312" w:cs="仿宋_GB2312"/>
                <w:i w:val="0"/>
                <w:iCs w:val="0"/>
                <w:color w:val="000000"/>
                <w:sz w:val="24"/>
                <w:szCs w:val="24"/>
                <w:highlight w:val="none"/>
                <w:u w:val="none"/>
              </w:rPr>
            </w:pPr>
          </w:p>
        </w:tc>
      </w:tr>
    </w:tbl>
    <w:p w14:paraId="1E405233">
      <w:pPr>
        <w:spacing w:line="360" w:lineRule="auto"/>
        <w:ind w:firstLine="0" w:firstLineChars="0"/>
        <w:rPr>
          <w:rFonts w:hint="eastAsia" w:ascii="仿宋_GB2312" w:hAnsi="仿宋_GB2312" w:eastAsia="仿宋_GB2312" w:cs="仿宋_GB2312"/>
          <w:color w:val="auto"/>
          <w:sz w:val="24"/>
          <w:szCs w:val="24"/>
          <w:highlight w:val="none"/>
          <w:lang w:val="en-US" w:eastAsia="zh-CN"/>
        </w:rPr>
      </w:pPr>
    </w:p>
    <w:p w14:paraId="576E12E6">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p>
    <w:p w14:paraId="1321DFF0">
      <w:pPr>
        <w:adjustRightInd w:val="0"/>
        <w:snapToGrid w:val="0"/>
        <w:spacing w:line="360" w:lineRule="auto"/>
        <w:ind w:firstLine="480" w:firstLineChars="20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附件5：送货单模板</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21"/>
        <w:gridCol w:w="1180"/>
        <w:gridCol w:w="1180"/>
        <w:gridCol w:w="1287"/>
        <w:gridCol w:w="698"/>
        <w:gridCol w:w="1180"/>
        <w:gridCol w:w="1304"/>
      </w:tblGrid>
      <w:tr w14:paraId="1BEE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auto" w:fill="auto"/>
            <w:noWrap/>
            <w:vAlign w:val="bottom"/>
          </w:tcPr>
          <w:p w14:paraId="11A897E2">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公司名称：XXX</w:t>
            </w:r>
          </w:p>
        </w:tc>
      </w:tr>
      <w:tr w14:paraId="4636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00" w:type="pct"/>
            <w:gridSpan w:val="8"/>
            <w:tcBorders>
              <w:top w:val="nil"/>
              <w:left w:val="nil"/>
              <w:bottom w:val="nil"/>
              <w:right w:val="nil"/>
            </w:tcBorders>
            <w:shd w:val="clear" w:color="auto" w:fill="auto"/>
            <w:noWrap/>
            <w:vAlign w:val="bottom"/>
          </w:tcPr>
          <w:p w14:paraId="17250EF7">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电话：XXX    传真：XXX   地址：XXX</w:t>
            </w:r>
          </w:p>
        </w:tc>
      </w:tr>
      <w:tr w14:paraId="3B3D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8"/>
            <w:vMerge w:val="restart"/>
            <w:tcBorders>
              <w:top w:val="nil"/>
              <w:left w:val="nil"/>
              <w:bottom w:val="nil"/>
              <w:right w:val="nil"/>
            </w:tcBorders>
            <w:shd w:val="clear" w:color="auto" w:fill="auto"/>
            <w:noWrap/>
            <w:vAlign w:val="center"/>
          </w:tcPr>
          <w:p w14:paraId="321BA2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送  货  单</w:t>
            </w:r>
          </w:p>
        </w:tc>
      </w:tr>
      <w:tr w14:paraId="1862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000" w:type="pct"/>
            <w:gridSpan w:val="8"/>
            <w:vMerge w:val="continue"/>
            <w:tcBorders>
              <w:top w:val="nil"/>
              <w:left w:val="nil"/>
              <w:bottom w:val="nil"/>
              <w:right w:val="nil"/>
            </w:tcBorders>
            <w:shd w:val="clear" w:color="auto" w:fill="auto"/>
            <w:noWrap/>
            <w:vAlign w:val="center"/>
          </w:tcPr>
          <w:p w14:paraId="11453856">
            <w:pPr>
              <w:jc w:val="center"/>
              <w:rPr>
                <w:rFonts w:hint="eastAsia" w:ascii="仿宋_GB2312" w:hAnsi="仿宋_GB2312" w:eastAsia="仿宋_GB2312" w:cs="仿宋_GB2312"/>
                <w:b/>
                <w:bCs/>
                <w:i w:val="0"/>
                <w:iCs w:val="0"/>
                <w:color w:val="000000"/>
                <w:sz w:val="24"/>
                <w:szCs w:val="24"/>
                <w:u w:val="none"/>
              </w:rPr>
            </w:pPr>
          </w:p>
        </w:tc>
      </w:tr>
      <w:tr w14:paraId="0879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91" w:type="pct"/>
            <w:gridSpan w:val="6"/>
            <w:tcBorders>
              <w:top w:val="nil"/>
              <w:left w:val="nil"/>
              <w:bottom w:val="nil"/>
              <w:right w:val="nil"/>
            </w:tcBorders>
            <w:shd w:val="clear" w:color="auto" w:fill="auto"/>
            <w:vAlign w:val="center"/>
          </w:tcPr>
          <w:p w14:paraId="5F56218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客户名称：</w:t>
            </w:r>
          </w:p>
        </w:tc>
        <w:tc>
          <w:tcPr>
            <w:tcW w:w="1408" w:type="pct"/>
            <w:gridSpan w:val="2"/>
            <w:tcBorders>
              <w:top w:val="nil"/>
              <w:left w:val="nil"/>
              <w:bottom w:val="nil"/>
              <w:right w:val="nil"/>
            </w:tcBorders>
            <w:shd w:val="clear" w:color="auto" w:fill="auto"/>
            <w:noWrap/>
            <w:vAlign w:val="bottom"/>
          </w:tcPr>
          <w:p w14:paraId="27F3CA1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送货单号：XXX</w:t>
            </w:r>
          </w:p>
        </w:tc>
      </w:tr>
      <w:tr w14:paraId="5A87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08" w:type="pct"/>
            <w:gridSpan w:val="5"/>
            <w:tcBorders>
              <w:top w:val="nil"/>
              <w:left w:val="nil"/>
              <w:bottom w:val="nil"/>
              <w:right w:val="nil"/>
            </w:tcBorders>
            <w:shd w:val="clear" w:color="auto" w:fill="auto"/>
            <w:vAlign w:val="center"/>
          </w:tcPr>
          <w:p w14:paraId="3A5285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客户地址：</w:t>
            </w:r>
          </w:p>
        </w:tc>
        <w:tc>
          <w:tcPr>
            <w:tcW w:w="1791" w:type="pct"/>
            <w:gridSpan w:val="3"/>
            <w:tcBorders>
              <w:top w:val="nil"/>
              <w:left w:val="nil"/>
              <w:bottom w:val="nil"/>
              <w:right w:val="nil"/>
            </w:tcBorders>
            <w:shd w:val="clear" w:color="auto" w:fill="auto"/>
            <w:noWrap/>
            <w:vAlign w:val="center"/>
          </w:tcPr>
          <w:p w14:paraId="64A871AA">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交货时间：20XX-XX-XX</w:t>
            </w:r>
          </w:p>
        </w:tc>
      </w:tr>
      <w:tr w14:paraId="0D13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2"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3C2590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779" w:type="pct"/>
            <w:tcBorders>
              <w:top w:val="single" w:color="000000" w:sz="8" w:space="0"/>
              <w:left w:val="nil"/>
              <w:bottom w:val="single" w:color="000000" w:sz="4" w:space="0"/>
              <w:right w:val="single" w:color="000000" w:sz="4" w:space="0"/>
            </w:tcBorders>
            <w:shd w:val="clear" w:color="auto" w:fill="auto"/>
            <w:noWrap/>
            <w:vAlign w:val="center"/>
          </w:tcPr>
          <w:p w14:paraId="5E263D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订购单编号</w:t>
            </w:r>
          </w:p>
        </w:tc>
        <w:tc>
          <w:tcPr>
            <w:tcW w:w="647" w:type="pct"/>
            <w:tcBorders>
              <w:top w:val="single" w:color="000000" w:sz="8" w:space="0"/>
              <w:left w:val="nil"/>
              <w:bottom w:val="single" w:color="000000" w:sz="4" w:space="0"/>
              <w:right w:val="single" w:color="000000" w:sz="4" w:space="0"/>
            </w:tcBorders>
            <w:shd w:val="clear" w:color="auto" w:fill="auto"/>
            <w:noWrap/>
            <w:vAlign w:val="center"/>
          </w:tcPr>
          <w:p w14:paraId="77703A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物资编码</w:t>
            </w:r>
          </w:p>
        </w:tc>
        <w:tc>
          <w:tcPr>
            <w:tcW w:w="647"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9491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物资名称</w:t>
            </w:r>
          </w:p>
        </w:tc>
        <w:tc>
          <w:tcPr>
            <w:tcW w:w="752"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B2D134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382"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AA9DC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647"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322E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需求部门</w:t>
            </w:r>
          </w:p>
        </w:tc>
        <w:tc>
          <w:tcPr>
            <w:tcW w:w="761"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3611F57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7B24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AAE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6712">
            <w:pPr>
              <w:jc w:val="center"/>
              <w:rPr>
                <w:rFonts w:hint="eastAsia" w:ascii="仿宋_GB2312" w:hAnsi="仿宋_GB2312" w:eastAsia="仿宋_GB2312" w:cs="仿宋_GB2312"/>
                <w:i w:val="0"/>
                <w:iCs w:val="0"/>
                <w:color w:val="000000"/>
                <w:sz w:val="24"/>
                <w:szCs w:val="24"/>
                <w:u w:val="none"/>
              </w:rPr>
            </w:pPr>
          </w:p>
        </w:tc>
        <w:tc>
          <w:tcPr>
            <w:tcW w:w="647" w:type="pct"/>
            <w:tcBorders>
              <w:top w:val="single" w:color="000000" w:sz="4" w:space="0"/>
              <w:left w:val="nil"/>
              <w:bottom w:val="single" w:color="000000" w:sz="4" w:space="0"/>
              <w:right w:val="single" w:color="000000" w:sz="4" w:space="0"/>
            </w:tcBorders>
            <w:shd w:val="clear" w:color="auto" w:fill="auto"/>
            <w:noWrap/>
            <w:vAlign w:val="center"/>
          </w:tcPr>
          <w:p w14:paraId="0F6F7028">
            <w:pPr>
              <w:jc w:val="center"/>
              <w:rPr>
                <w:rFonts w:hint="eastAsia" w:ascii="仿宋_GB2312" w:hAnsi="仿宋_GB2312" w:eastAsia="仿宋_GB2312" w:cs="仿宋_GB2312"/>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3F9E">
            <w:pPr>
              <w:jc w:val="center"/>
              <w:rPr>
                <w:rFonts w:hint="eastAsia" w:ascii="仿宋_GB2312" w:hAnsi="仿宋_GB2312" w:eastAsia="仿宋_GB2312" w:cs="仿宋_GB2312"/>
                <w:i w:val="0"/>
                <w:iCs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422C">
            <w:pPr>
              <w:jc w:val="center"/>
              <w:rPr>
                <w:rFonts w:hint="eastAsia" w:ascii="仿宋_GB2312" w:hAnsi="仿宋_GB2312" w:eastAsia="仿宋_GB2312" w:cs="仿宋_GB2312"/>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BADD">
            <w:pPr>
              <w:jc w:val="center"/>
              <w:rPr>
                <w:rFonts w:hint="eastAsia" w:ascii="仿宋_GB2312" w:hAnsi="仿宋_GB2312" w:eastAsia="仿宋_GB2312" w:cs="仿宋_GB2312"/>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0F11">
            <w:pPr>
              <w:jc w:val="center"/>
              <w:rPr>
                <w:rFonts w:hint="eastAsia" w:ascii="仿宋_GB2312" w:hAnsi="仿宋_GB2312" w:eastAsia="仿宋_GB2312" w:cs="仿宋_GB2312"/>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6495">
            <w:pPr>
              <w:jc w:val="center"/>
              <w:rPr>
                <w:rFonts w:hint="eastAsia" w:ascii="仿宋_GB2312" w:hAnsi="仿宋_GB2312" w:eastAsia="仿宋_GB2312" w:cs="仿宋_GB2312"/>
                <w:b/>
                <w:bCs/>
                <w:i w:val="0"/>
                <w:iCs w:val="0"/>
                <w:color w:val="000000"/>
                <w:sz w:val="24"/>
                <w:szCs w:val="24"/>
                <w:u w:val="none"/>
              </w:rPr>
            </w:pPr>
          </w:p>
        </w:tc>
      </w:tr>
      <w:tr w14:paraId="0250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2" w:type="pct"/>
            <w:tcBorders>
              <w:top w:val="nil"/>
              <w:left w:val="single" w:color="000000" w:sz="8" w:space="0"/>
              <w:bottom w:val="single" w:color="000000" w:sz="8" w:space="0"/>
              <w:right w:val="nil"/>
            </w:tcBorders>
            <w:shd w:val="clear" w:color="auto" w:fill="auto"/>
            <w:noWrap/>
            <w:vAlign w:val="center"/>
          </w:tcPr>
          <w:p w14:paraId="7ED83BFA">
            <w:pPr>
              <w:rPr>
                <w:rFonts w:hint="eastAsia" w:ascii="仿宋_GB2312" w:hAnsi="仿宋_GB2312" w:eastAsia="仿宋_GB2312" w:cs="仿宋_GB2312"/>
                <w:b/>
                <w:bCs/>
                <w:i w:val="0"/>
                <w:iCs w:val="0"/>
                <w:color w:val="000000"/>
                <w:sz w:val="24"/>
                <w:szCs w:val="24"/>
                <w:u w:val="none"/>
              </w:rPr>
            </w:pPr>
          </w:p>
        </w:tc>
        <w:tc>
          <w:tcPr>
            <w:tcW w:w="2073" w:type="pct"/>
            <w:gridSpan w:val="3"/>
            <w:tcBorders>
              <w:top w:val="nil"/>
              <w:left w:val="nil"/>
              <w:bottom w:val="single" w:color="000000" w:sz="8" w:space="0"/>
              <w:right w:val="nil"/>
            </w:tcBorders>
            <w:shd w:val="clear" w:color="auto" w:fill="auto"/>
            <w:noWrap/>
            <w:vAlign w:val="center"/>
          </w:tcPr>
          <w:p w14:paraId="12585FF9">
            <w:pPr>
              <w:jc w:val="left"/>
              <w:rPr>
                <w:rFonts w:hint="eastAsia" w:ascii="仿宋_GB2312" w:hAnsi="仿宋_GB2312" w:eastAsia="仿宋_GB2312" w:cs="仿宋_GB2312"/>
                <w:b/>
                <w:bCs/>
                <w:i w:val="0"/>
                <w:iCs w:val="0"/>
                <w:color w:val="000000"/>
                <w:sz w:val="24"/>
                <w:szCs w:val="24"/>
                <w:u w:val="none"/>
              </w:rPr>
            </w:pPr>
          </w:p>
        </w:tc>
        <w:tc>
          <w:tcPr>
            <w:tcW w:w="752" w:type="pct"/>
            <w:tcBorders>
              <w:top w:val="nil"/>
              <w:left w:val="single" w:color="000000" w:sz="4" w:space="0"/>
              <w:bottom w:val="single" w:color="000000" w:sz="8" w:space="0"/>
              <w:right w:val="single" w:color="000000" w:sz="4" w:space="0"/>
            </w:tcBorders>
            <w:shd w:val="clear" w:color="auto" w:fill="auto"/>
            <w:noWrap/>
            <w:vAlign w:val="center"/>
          </w:tcPr>
          <w:p w14:paraId="652159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382" w:type="pct"/>
            <w:tcBorders>
              <w:top w:val="nil"/>
              <w:left w:val="nil"/>
              <w:bottom w:val="single" w:color="000000" w:sz="8" w:space="0"/>
              <w:right w:val="nil"/>
            </w:tcBorders>
            <w:shd w:val="clear" w:color="auto" w:fill="auto"/>
            <w:noWrap/>
            <w:vAlign w:val="center"/>
          </w:tcPr>
          <w:p w14:paraId="03B1F19A">
            <w:pPr>
              <w:jc w:val="center"/>
              <w:rPr>
                <w:rFonts w:hint="eastAsia" w:ascii="仿宋_GB2312" w:hAnsi="仿宋_GB2312" w:eastAsia="仿宋_GB2312" w:cs="仿宋_GB2312"/>
                <w:b/>
                <w:bCs/>
                <w:i w:val="0"/>
                <w:iCs w:val="0"/>
                <w:color w:val="000000"/>
                <w:sz w:val="24"/>
                <w:szCs w:val="24"/>
                <w:u w:val="none"/>
              </w:rPr>
            </w:pPr>
          </w:p>
        </w:tc>
        <w:tc>
          <w:tcPr>
            <w:tcW w:w="647" w:type="pct"/>
            <w:tcBorders>
              <w:top w:val="nil"/>
              <w:left w:val="single" w:color="000000" w:sz="4" w:space="0"/>
              <w:bottom w:val="single" w:color="000000" w:sz="8" w:space="0"/>
              <w:right w:val="single" w:color="000000" w:sz="4" w:space="0"/>
            </w:tcBorders>
            <w:shd w:val="clear" w:color="auto" w:fill="auto"/>
            <w:noWrap/>
            <w:vAlign w:val="center"/>
          </w:tcPr>
          <w:p w14:paraId="0A770F8D">
            <w:pPr>
              <w:jc w:val="center"/>
              <w:rPr>
                <w:rFonts w:hint="eastAsia" w:ascii="仿宋_GB2312" w:hAnsi="仿宋_GB2312" w:eastAsia="仿宋_GB2312" w:cs="仿宋_GB2312"/>
                <w:b/>
                <w:bCs/>
                <w:i w:val="0"/>
                <w:iCs w:val="0"/>
                <w:color w:val="000000"/>
                <w:sz w:val="24"/>
                <w:szCs w:val="24"/>
                <w:u w:val="none"/>
              </w:rPr>
            </w:pPr>
          </w:p>
        </w:tc>
        <w:tc>
          <w:tcPr>
            <w:tcW w:w="761" w:type="pct"/>
            <w:tcBorders>
              <w:top w:val="nil"/>
              <w:left w:val="single" w:color="000000" w:sz="4" w:space="0"/>
              <w:bottom w:val="single" w:color="000000" w:sz="8" w:space="0"/>
              <w:right w:val="single" w:color="000000" w:sz="8" w:space="0"/>
            </w:tcBorders>
            <w:shd w:val="clear" w:color="auto" w:fill="auto"/>
            <w:noWrap/>
            <w:vAlign w:val="center"/>
          </w:tcPr>
          <w:p w14:paraId="62CFDCE3">
            <w:pPr>
              <w:jc w:val="center"/>
              <w:rPr>
                <w:rFonts w:hint="eastAsia" w:ascii="仿宋_GB2312" w:hAnsi="仿宋_GB2312" w:eastAsia="仿宋_GB2312" w:cs="仿宋_GB2312"/>
                <w:b/>
                <w:bCs/>
                <w:i w:val="0"/>
                <w:iCs w:val="0"/>
                <w:color w:val="000000"/>
                <w:sz w:val="24"/>
                <w:szCs w:val="24"/>
                <w:u w:val="none"/>
              </w:rPr>
            </w:pPr>
          </w:p>
        </w:tc>
      </w:tr>
      <w:tr w14:paraId="4060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shd w:val="clear" w:color="auto" w:fill="auto"/>
            <w:noWrap/>
            <w:vAlign w:val="center"/>
          </w:tcPr>
          <w:p w14:paraId="4981D34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注：一式两份，供应商与项目各一份</w:t>
            </w:r>
          </w:p>
        </w:tc>
      </w:tr>
      <w:tr w14:paraId="0751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2" w:type="pct"/>
            <w:vMerge w:val="restart"/>
            <w:tcBorders>
              <w:top w:val="nil"/>
              <w:left w:val="nil"/>
              <w:bottom w:val="nil"/>
              <w:right w:val="nil"/>
            </w:tcBorders>
            <w:shd w:val="clear" w:color="auto" w:fill="auto"/>
            <w:vAlign w:val="center"/>
          </w:tcPr>
          <w:p w14:paraId="258F449E">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p>
        </w:tc>
        <w:tc>
          <w:tcPr>
            <w:tcW w:w="779" w:type="pct"/>
            <w:vMerge w:val="restart"/>
            <w:tcBorders>
              <w:top w:val="nil"/>
              <w:left w:val="nil"/>
              <w:bottom w:val="nil"/>
              <w:right w:val="nil"/>
            </w:tcBorders>
            <w:shd w:val="clear" w:color="auto" w:fill="auto"/>
            <w:vAlign w:val="center"/>
          </w:tcPr>
          <w:p w14:paraId="5B79E1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c>
          <w:tcPr>
            <w:tcW w:w="647" w:type="pct"/>
            <w:tcBorders>
              <w:top w:val="nil"/>
              <w:left w:val="nil"/>
              <w:bottom w:val="nil"/>
              <w:right w:val="nil"/>
            </w:tcBorders>
            <w:shd w:val="clear" w:color="auto" w:fill="auto"/>
            <w:vAlign w:val="center"/>
          </w:tcPr>
          <w:p w14:paraId="1609D00B">
            <w:pP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送货单位</w:t>
            </w:r>
          </w:p>
        </w:tc>
        <w:tc>
          <w:tcPr>
            <w:tcW w:w="647" w:type="pct"/>
            <w:vMerge w:val="restart"/>
            <w:tcBorders>
              <w:top w:val="nil"/>
              <w:left w:val="nil"/>
              <w:bottom w:val="nil"/>
              <w:right w:val="nil"/>
            </w:tcBorders>
            <w:shd w:val="clear" w:color="auto" w:fill="auto"/>
            <w:vAlign w:val="center"/>
          </w:tcPr>
          <w:p w14:paraId="78F388B1">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（签章）</w:t>
            </w:r>
          </w:p>
        </w:tc>
        <w:tc>
          <w:tcPr>
            <w:tcW w:w="1782" w:type="pct"/>
            <w:gridSpan w:val="3"/>
            <w:vMerge w:val="restart"/>
            <w:tcBorders>
              <w:top w:val="nil"/>
              <w:left w:val="nil"/>
              <w:bottom w:val="nil"/>
              <w:right w:val="nil"/>
            </w:tcBorders>
            <w:shd w:val="clear" w:color="auto" w:fill="auto"/>
            <w:noWrap/>
            <w:vAlign w:val="center"/>
          </w:tcPr>
          <w:p w14:paraId="1AAA372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c>
          <w:tcPr>
            <w:tcW w:w="761" w:type="pct"/>
            <w:vMerge w:val="restart"/>
            <w:tcBorders>
              <w:top w:val="nil"/>
              <w:left w:val="nil"/>
              <w:bottom w:val="nil"/>
              <w:right w:val="nil"/>
            </w:tcBorders>
            <w:shd w:val="clear" w:color="auto" w:fill="auto"/>
            <w:noWrap/>
            <w:vAlign w:val="center"/>
          </w:tcPr>
          <w:p w14:paraId="163E857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r>
      <w:tr w14:paraId="4B05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2" w:type="pct"/>
            <w:vMerge w:val="continue"/>
            <w:tcBorders>
              <w:top w:val="nil"/>
              <w:left w:val="nil"/>
              <w:bottom w:val="nil"/>
              <w:right w:val="nil"/>
            </w:tcBorders>
            <w:shd w:val="clear" w:color="auto" w:fill="auto"/>
            <w:vAlign w:val="center"/>
          </w:tcPr>
          <w:p w14:paraId="0FCDE7B1">
            <w:pPr>
              <w:jc w:val="right"/>
              <w:rPr>
                <w:rFonts w:hint="eastAsia" w:ascii="仿宋_GB2312" w:hAnsi="仿宋_GB2312" w:eastAsia="仿宋_GB2312" w:cs="仿宋_GB2312"/>
                <w:i w:val="0"/>
                <w:iCs w:val="0"/>
                <w:color w:val="000000"/>
                <w:sz w:val="24"/>
                <w:szCs w:val="24"/>
                <w:u w:val="none"/>
              </w:rPr>
            </w:pPr>
          </w:p>
        </w:tc>
        <w:tc>
          <w:tcPr>
            <w:tcW w:w="779" w:type="pct"/>
            <w:vMerge w:val="continue"/>
            <w:tcBorders>
              <w:top w:val="nil"/>
              <w:left w:val="nil"/>
              <w:bottom w:val="nil"/>
              <w:right w:val="nil"/>
            </w:tcBorders>
            <w:shd w:val="clear" w:color="auto" w:fill="auto"/>
            <w:vAlign w:val="center"/>
          </w:tcPr>
          <w:p w14:paraId="7905DE71">
            <w:pPr>
              <w:jc w:val="left"/>
              <w:rPr>
                <w:rFonts w:hint="eastAsia" w:ascii="仿宋_GB2312" w:hAnsi="仿宋_GB2312" w:eastAsia="仿宋_GB2312" w:cs="仿宋_GB2312"/>
                <w:i w:val="0"/>
                <w:iCs w:val="0"/>
                <w:color w:val="000000"/>
                <w:sz w:val="24"/>
                <w:szCs w:val="24"/>
                <w:u w:val="none"/>
              </w:rPr>
            </w:pPr>
          </w:p>
        </w:tc>
        <w:tc>
          <w:tcPr>
            <w:tcW w:w="647" w:type="pct"/>
            <w:tcBorders>
              <w:top w:val="nil"/>
              <w:left w:val="nil"/>
              <w:bottom w:val="nil"/>
              <w:right w:val="nil"/>
            </w:tcBorders>
            <w:shd w:val="clear" w:color="auto" w:fill="auto"/>
            <w:vAlign w:val="center"/>
          </w:tcPr>
          <w:p w14:paraId="597FB9C5">
            <w:pP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及经手人</w:t>
            </w:r>
          </w:p>
        </w:tc>
        <w:tc>
          <w:tcPr>
            <w:tcW w:w="647" w:type="pct"/>
            <w:vMerge w:val="continue"/>
            <w:tcBorders>
              <w:top w:val="nil"/>
              <w:left w:val="nil"/>
              <w:bottom w:val="nil"/>
              <w:right w:val="nil"/>
            </w:tcBorders>
            <w:shd w:val="clear" w:color="auto" w:fill="auto"/>
            <w:vAlign w:val="center"/>
          </w:tcPr>
          <w:p w14:paraId="5416AC92">
            <w:pPr>
              <w:jc w:val="right"/>
              <w:rPr>
                <w:rFonts w:hint="eastAsia" w:ascii="仿宋_GB2312" w:hAnsi="仿宋_GB2312" w:eastAsia="仿宋_GB2312" w:cs="仿宋_GB2312"/>
                <w:i w:val="0"/>
                <w:iCs w:val="0"/>
                <w:color w:val="000000"/>
                <w:sz w:val="24"/>
                <w:szCs w:val="24"/>
                <w:u w:val="none"/>
              </w:rPr>
            </w:pPr>
          </w:p>
        </w:tc>
        <w:tc>
          <w:tcPr>
            <w:tcW w:w="1782" w:type="pct"/>
            <w:gridSpan w:val="3"/>
            <w:vMerge w:val="continue"/>
            <w:tcBorders>
              <w:top w:val="nil"/>
              <w:left w:val="nil"/>
              <w:bottom w:val="nil"/>
              <w:right w:val="nil"/>
            </w:tcBorders>
            <w:shd w:val="clear" w:color="auto" w:fill="auto"/>
            <w:noWrap/>
            <w:vAlign w:val="center"/>
          </w:tcPr>
          <w:p w14:paraId="71B567F4">
            <w:pPr>
              <w:jc w:val="left"/>
              <w:rPr>
                <w:rFonts w:hint="eastAsia" w:ascii="仿宋_GB2312" w:hAnsi="仿宋_GB2312" w:eastAsia="仿宋_GB2312" w:cs="仿宋_GB2312"/>
                <w:i w:val="0"/>
                <w:iCs w:val="0"/>
                <w:color w:val="000000"/>
                <w:sz w:val="24"/>
                <w:szCs w:val="24"/>
                <w:u w:val="none"/>
              </w:rPr>
            </w:pPr>
          </w:p>
        </w:tc>
        <w:tc>
          <w:tcPr>
            <w:tcW w:w="761" w:type="pct"/>
            <w:vMerge w:val="continue"/>
            <w:tcBorders>
              <w:top w:val="nil"/>
              <w:left w:val="nil"/>
              <w:bottom w:val="nil"/>
              <w:right w:val="nil"/>
            </w:tcBorders>
            <w:shd w:val="clear" w:color="auto" w:fill="auto"/>
            <w:noWrap/>
            <w:vAlign w:val="center"/>
          </w:tcPr>
          <w:p w14:paraId="34FE4A58">
            <w:pPr>
              <w:jc w:val="left"/>
              <w:rPr>
                <w:rFonts w:hint="eastAsia" w:ascii="仿宋_GB2312" w:hAnsi="仿宋_GB2312" w:eastAsia="仿宋_GB2312" w:cs="仿宋_GB2312"/>
                <w:i w:val="0"/>
                <w:iCs w:val="0"/>
                <w:color w:val="000000"/>
                <w:sz w:val="24"/>
                <w:szCs w:val="24"/>
                <w:u w:val="none"/>
              </w:rPr>
            </w:pPr>
          </w:p>
        </w:tc>
      </w:tr>
    </w:tbl>
    <w:p w14:paraId="7A343B51">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p>
    <w:p w14:paraId="30B608EA">
      <w:pPr>
        <w:kinsoku/>
        <w:autoSpaceDE/>
        <w:autoSpaceDN/>
        <w:adjustRightInd/>
        <w:snapToGrid/>
        <w:spacing w:before="120" w:beforeLines="50" w:after="120" w:afterLines="50" w:line="360" w:lineRule="auto"/>
        <w:ind w:firstLine="0" w:firstLineChars="0"/>
        <w:contextualSpacing/>
        <w:textAlignment w:val="auto"/>
        <w:rPr>
          <w:rFonts w:hint="default" w:ascii="仿宋_GB2312" w:hAnsi="仿宋_GB2312" w:eastAsia="仿宋_GB2312" w:cs="仿宋_GB2312"/>
          <w:color w:val="auto"/>
          <w:sz w:val="24"/>
          <w:szCs w:val="24"/>
          <w:highlight w:val="none"/>
          <w:lang w:val="en-US" w:eastAsia="zh-CN"/>
        </w:rPr>
      </w:pPr>
    </w:p>
    <w:p w14:paraId="754623DD">
      <w:pPr>
        <w:kinsoku/>
        <w:autoSpaceDE/>
        <w:autoSpaceDN/>
        <w:adjustRightInd/>
        <w:snapToGrid/>
        <w:spacing w:before="120" w:beforeLines="50" w:after="120" w:afterLines="50" w:line="360" w:lineRule="auto"/>
        <w:ind w:firstLine="420" w:firstLineChars="200"/>
        <w:contextualSpacing/>
        <w:textAlignment w:val="auto"/>
        <w:rPr>
          <w:rFonts w:hint="eastAsia" w:ascii="仿宋_GB2312" w:hAnsi="仿宋_GB2312" w:eastAsia="仿宋_GB2312" w:cs="仿宋_GB2312"/>
        </w:rPr>
      </w:pPr>
    </w:p>
    <w:p w14:paraId="69606D25">
      <w:pPr>
        <w:kinsoku/>
        <w:autoSpaceDE/>
        <w:autoSpaceDN/>
        <w:adjustRightInd/>
        <w:snapToGrid/>
        <w:spacing w:before="120" w:beforeLines="50" w:after="120" w:afterLines="50" w:line="360" w:lineRule="auto"/>
        <w:ind w:firstLine="420" w:firstLineChars="200"/>
        <w:contextualSpacing/>
        <w:textAlignment w:val="auto"/>
        <w:rPr>
          <w:rFonts w:hint="eastAsia" w:ascii="仿宋_GB2312" w:hAnsi="仿宋_GB2312" w:eastAsia="仿宋_GB2312" w:cs="仿宋_GB2312"/>
        </w:rPr>
      </w:pPr>
    </w:p>
    <w:p w14:paraId="63058852">
      <w:pPr>
        <w:pStyle w:val="7"/>
        <w:rPr>
          <w:rFonts w:hint="eastAsia" w:ascii="仿宋_GB2312" w:hAnsi="仿宋_GB2312" w:eastAsia="仿宋_GB2312" w:cs="仿宋_GB2312"/>
          <w:sz w:val="32"/>
          <w:szCs w:val="32"/>
        </w:rPr>
      </w:pPr>
    </w:p>
    <w:p w14:paraId="31223E78">
      <w:pPr>
        <w:rPr>
          <w:rFonts w:hint="eastAsia" w:ascii="仿宋_GB2312" w:hAnsi="仿宋_GB2312" w:eastAsia="仿宋_GB2312" w:cs="仿宋_GB2312"/>
        </w:rPr>
      </w:pPr>
    </w:p>
    <w:sectPr>
      <w:pgSz w:w="11907" w:h="16840"/>
      <w:pgMar w:top="1440" w:right="1588" w:bottom="1440" w:left="1587"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715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B14A8"/>
    <w:multiLevelType w:val="singleLevel"/>
    <w:tmpl w:val="D2DB14A8"/>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183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E5075A"/>
    <w:multiLevelType w:val="singleLevel"/>
    <w:tmpl w:val="12E5075A"/>
    <w:lvl w:ilvl="0" w:tentative="0">
      <w:start w:val="1"/>
      <w:numFmt w:val="chineseCounting"/>
      <w:suff w:val="nothing"/>
      <w:lvlText w:val="（%1）"/>
      <w:lvlJc w:val="left"/>
      <w:pPr>
        <w:ind w:left="0" w:firstLine="420"/>
      </w:pPr>
      <w:rPr>
        <w:rFonts w:hint="eastAsia"/>
      </w:rPr>
    </w:lvl>
  </w:abstractNum>
  <w:abstractNum w:abstractNumId="3">
    <w:nsid w:val="5233B866"/>
    <w:multiLevelType w:val="singleLevel"/>
    <w:tmpl w:val="5233B866"/>
    <w:lvl w:ilvl="0" w:tentative="0">
      <w:start w:val="1"/>
      <w:numFmt w:val="decimal"/>
      <w:suff w:val="nothing"/>
      <w:lvlText w:val="（%1）"/>
      <w:lvlJc w:val="left"/>
    </w:lvl>
  </w:abstractNum>
  <w:abstractNum w:abstractNumId="4">
    <w:nsid w:val="5AE4F9BF"/>
    <w:multiLevelType w:val="singleLevel"/>
    <w:tmpl w:val="5AE4F9BF"/>
    <w:lvl w:ilvl="0" w:tentative="0">
      <w:start w:val="4"/>
      <w:numFmt w:val="decimal"/>
      <w:suff w:val="nothing"/>
      <w:lvlText w:val="%1、"/>
      <w:lvlJc w:val="left"/>
    </w:lvl>
  </w:abstractNum>
  <w:abstractNum w:abstractNumId="5">
    <w:nsid w:val="787F0D00"/>
    <w:multiLevelType w:val="singleLevel"/>
    <w:tmpl w:val="787F0D00"/>
    <w:lvl w:ilvl="0" w:tentative="0">
      <w:start w:val="5"/>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jVlNWRjM2ZmNzk3M2IzOWQzZDA2ODBiYjc2OTIifQ=="/>
  </w:docVars>
  <w:rsids>
    <w:rsidRoot w:val="00000000"/>
    <w:rsid w:val="00413B60"/>
    <w:rsid w:val="041B0A5C"/>
    <w:rsid w:val="04FE44D8"/>
    <w:rsid w:val="05FE31C8"/>
    <w:rsid w:val="060C68AF"/>
    <w:rsid w:val="06316315"/>
    <w:rsid w:val="06D0743C"/>
    <w:rsid w:val="06DF3EBD"/>
    <w:rsid w:val="07A31495"/>
    <w:rsid w:val="0A481E7F"/>
    <w:rsid w:val="0D72469C"/>
    <w:rsid w:val="0F2F1860"/>
    <w:rsid w:val="109C51D1"/>
    <w:rsid w:val="125725B2"/>
    <w:rsid w:val="155E6F64"/>
    <w:rsid w:val="1A2A1118"/>
    <w:rsid w:val="1A8C45FD"/>
    <w:rsid w:val="1BEA0AC8"/>
    <w:rsid w:val="1C956453"/>
    <w:rsid w:val="1DBC69B5"/>
    <w:rsid w:val="1DE9727C"/>
    <w:rsid w:val="1E4552BD"/>
    <w:rsid w:val="1EBB4EBE"/>
    <w:rsid w:val="1EC513D9"/>
    <w:rsid w:val="1F0E079B"/>
    <w:rsid w:val="200F0628"/>
    <w:rsid w:val="23B161B4"/>
    <w:rsid w:val="23F21382"/>
    <w:rsid w:val="259D3570"/>
    <w:rsid w:val="25F669F2"/>
    <w:rsid w:val="27AF15DB"/>
    <w:rsid w:val="28E03E9F"/>
    <w:rsid w:val="28E9232B"/>
    <w:rsid w:val="29A02378"/>
    <w:rsid w:val="2BB46F1D"/>
    <w:rsid w:val="2D8D1BA0"/>
    <w:rsid w:val="2ED66896"/>
    <w:rsid w:val="2F1859F6"/>
    <w:rsid w:val="2FA15A0A"/>
    <w:rsid w:val="30F93CAB"/>
    <w:rsid w:val="326A1AC9"/>
    <w:rsid w:val="32FF4F22"/>
    <w:rsid w:val="3464195E"/>
    <w:rsid w:val="34E268A9"/>
    <w:rsid w:val="38BD38B5"/>
    <w:rsid w:val="38EF28B9"/>
    <w:rsid w:val="39B06F76"/>
    <w:rsid w:val="3A5D03EE"/>
    <w:rsid w:val="3C2950DB"/>
    <w:rsid w:val="3C5D1AEF"/>
    <w:rsid w:val="3C8B7031"/>
    <w:rsid w:val="3D903A2C"/>
    <w:rsid w:val="3DFE5C0C"/>
    <w:rsid w:val="40132C82"/>
    <w:rsid w:val="41200C88"/>
    <w:rsid w:val="42A41642"/>
    <w:rsid w:val="432D5F6F"/>
    <w:rsid w:val="444F35A2"/>
    <w:rsid w:val="45B85B30"/>
    <w:rsid w:val="461C4640"/>
    <w:rsid w:val="46876EE6"/>
    <w:rsid w:val="49F20EE5"/>
    <w:rsid w:val="4AE50A49"/>
    <w:rsid w:val="50F5135A"/>
    <w:rsid w:val="51DF2696"/>
    <w:rsid w:val="53F12495"/>
    <w:rsid w:val="54015C9E"/>
    <w:rsid w:val="54357D56"/>
    <w:rsid w:val="54761C1D"/>
    <w:rsid w:val="548902C6"/>
    <w:rsid w:val="56C43C09"/>
    <w:rsid w:val="57415259"/>
    <w:rsid w:val="583059FA"/>
    <w:rsid w:val="59DB1995"/>
    <w:rsid w:val="5A953288"/>
    <w:rsid w:val="5B307280"/>
    <w:rsid w:val="5EEB3B46"/>
    <w:rsid w:val="5F0C0575"/>
    <w:rsid w:val="61616C24"/>
    <w:rsid w:val="627B0159"/>
    <w:rsid w:val="629D33EF"/>
    <w:rsid w:val="62DB1B87"/>
    <w:rsid w:val="670769EC"/>
    <w:rsid w:val="68676EBB"/>
    <w:rsid w:val="69D62D27"/>
    <w:rsid w:val="6B4A427B"/>
    <w:rsid w:val="6BDB4DE4"/>
    <w:rsid w:val="6BE40B7D"/>
    <w:rsid w:val="6CD22E88"/>
    <w:rsid w:val="6CD329C4"/>
    <w:rsid w:val="6DDA0547"/>
    <w:rsid w:val="6F1763F1"/>
    <w:rsid w:val="73826488"/>
    <w:rsid w:val="73EC6F6B"/>
    <w:rsid w:val="75BA46FD"/>
    <w:rsid w:val="762D63CE"/>
    <w:rsid w:val="76890A91"/>
    <w:rsid w:val="76C21265"/>
    <w:rsid w:val="77487FAA"/>
    <w:rsid w:val="78046F40"/>
    <w:rsid w:val="78A668C1"/>
    <w:rsid w:val="78D87374"/>
    <w:rsid w:val="793563D5"/>
    <w:rsid w:val="79453FCC"/>
    <w:rsid w:val="798464A5"/>
    <w:rsid w:val="79D33FDF"/>
    <w:rsid w:val="7A2A0472"/>
    <w:rsid w:val="7AC1456A"/>
    <w:rsid w:val="7C667DCA"/>
    <w:rsid w:val="7DBF63C0"/>
    <w:rsid w:val="7ECD2214"/>
    <w:rsid w:val="7F750603"/>
    <w:rsid w:val="D6BF4B03"/>
    <w:rsid w:val="EFDD8879"/>
    <w:rsid w:val="EFF33FDD"/>
    <w:rsid w:val="F33616E6"/>
    <w:rsid w:val="F7D3B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keepLines w:val="0"/>
      <w:snapToGrid w:val="0"/>
      <w:spacing w:line="480" w:lineRule="atLeast"/>
      <w:ind w:firstLine="480" w:firstLineChars="200"/>
      <w:outlineLvl w:val="0"/>
    </w:pPr>
    <w:rPr>
      <w:rFonts w:ascii="楷体_GB2312"/>
      <w:color w:val="000000"/>
    </w:rPr>
  </w:style>
  <w:style w:type="paragraph" w:styleId="4">
    <w:name w:val="annotation text"/>
    <w:basedOn w:val="1"/>
    <w:autoRedefine/>
    <w:qFormat/>
    <w:uiPriority w:val="0"/>
    <w:pPr>
      <w:jc w:val="left"/>
    </w:pPr>
  </w:style>
  <w:style w:type="paragraph" w:styleId="5">
    <w:name w:val="Body Text"/>
    <w:basedOn w:val="1"/>
    <w:next w:val="1"/>
    <w:autoRedefine/>
    <w:qFormat/>
    <w:uiPriority w:val="99"/>
    <w:pPr>
      <w:spacing w:after="120"/>
    </w:pPr>
  </w:style>
  <w:style w:type="paragraph" w:styleId="6">
    <w:name w:val="Body Text Indent"/>
    <w:basedOn w:val="1"/>
    <w:next w:val="7"/>
    <w:autoRedefine/>
    <w:qFormat/>
    <w:uiPriority w:val="0"/>
    <w:pPr>
      <w:spacing w:line="520" w:lineRule="exact"/>
      <w:ind w:left="570"/>
    </w:pPr>
    <w:rPr>
      <w:rFonts w:ascii="方正仿宋简体" w:hAnsi="创艺简仿宋" w:eastAsia="方正仿宋简体"/>
      <w:sz w:val="24"/>
    </w:rPr>
  </w:style>
  <w:style w:type="paragraph" w:styleId="7">
    <w:name w:val="envelope return"/>
    <w:basedOn w:val="1"/>
    <w:autoRedefine/>
    <w:qFormat/>
    <w:uiPriority w:val="0"/>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autoRedefine/>
    <w:qFormat/>
    <w:uiPriority w:val="99"/>
    <w:pPr>
      <w:widowControl/>
      <w:ind w:firstLine="420" w:firstLineChars="100"/>
    </w:pPr>
    <w:rPr>
      <w:rFonts w:ascii="Calibri" w:hAnsi="Calibri" w:cs="宋体"/>
      <w:szCs w:val="22"/>
    </w:rPr>
  </w:style>
  <w:style w:type="paragraph" w:styleId="11">
    <w:name w:val="Body Text First Indent 2"/>
    <w:basedOn w:val="6"/>
    <w:autoRedefine/>
    <w:unhideWhenUsed/>
    <w:qFormat/>
    <w:uiPriority w:val="0"/>
    <w:pPr>
      <w:tabs>
        <w:tab w:val="left" w:pos="930"/>
      </w:tabs>
      <w:ind w:firstLine="420"/>
    </w:pPr>
    <w:rPr>
      <w:kern w:val="0"/>
      <w:sz w:val="20"/>
    </w:rPr>
  </w:style>
  <w:style w:type="table" w:styleId="13">
    <w:name w:val="Table Grid"/>
    <w:basedOn w:val="12"/>
    <w:autoRedefine/>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autoRedefine/>
    <w:qFormat/>
    <w:uiPriority w:val="99"/>
    <w:pPr>
      <w:ind w:firstLine="420" w:firstLineChars="200"/>
    </w:pPr>
  </w:style>
  <w:style w:type="paragraph" w:styleId="16">
    <w:name w:val="List Paragraph"/>
    <w:basedOn w:val="1"/>
    <w:autoRedefine/>
    <w:qFormat/>
    <w:uiPriority w:val="99"/>
    <w:pPr>
      <w:ind w:firstLine="420" w:firstLineChars="200"/>
    </w:pPr>
  </w:style>
  <w:style w:type="character" w:customStyle="1" w:styleId="17">
    <w:name w:val="font51"/>
    <w:basedOn w:val="14"/>
    <w:autoRedefine/>
    <w:qFormat/>
    <w:uiPriority w:val="0"/>
    <w:rPr>
      <w:rFonts w:hint="eastAsia" w:ascii="宋体" w:hAnsi="宋体" w:eastAsia="宋体" w:cs="宋体"/>
      <w:color w:val="000000"/>
      <w:sz w:val="22"/>
      <w:szCs w:val="22"/>
      <w:u w:val="single"/>
    </w:rPr>
  </w:style>
  <w:style w:type="character" w:customStyle="1" w:styleId="18">
    <w:name w:val="font41"/>
    <w:basedOn w:val="14"/>
    <w:autoRedefine/>
    <w:qFormat/>
    <w:uiPriority w:val="0"/>
    <w:rPr>
      <w:rFonts w:hint="eastAsia" w:ascii="宋体" w:hAnsi="宋体" w:eastAsia="宋体" w:cs="宋体"/>
      <w:color w:val="000000"/>
      <w:sz w:val="22"/>
      <w:szCs w:val="22"/>
      <w:u w:val="none"/>
    </w:rPr>
  </w:style>
  <w:style w:type="character" w:customStyle="1" w:styleId="19">
    <w:name w:val="font91"/>
    <w:basedOn w:val="14"/>
    <w:autoRedefine/>
    <w:qFormat/>
    <w:uiPriority w:val="0"/>
    <w:rPr>
      <w:rFonts w:hint="eastAsia" w:ascii="宋体" w:hAnsi="宋体" w:eastAsia="宋体" w:cs="宋体"/>
      <w:b/>
      <w:bCs/>
      <w:color w:val="000000"/>
      <w:sz w:val="20"/>
      <w:szCs w:val="20"/>
      <w:u w:val="none"/>
    </w:rPr>
  </w:style>
  <w:style w:type="character" w:customStyle="1" w:styleId="20">
    <w:name w:val="font101"/>
    <w:basedOn w:val="14"/>
    <w:autoRedefine/>
    <w:qFormat/>
    <w:uiPriority w:val="0"/>
    <w:rPr>
      <w:rFonts w:hint="eastAsia" w:ascii="宋体" w:hAnsi="宋体" w:eastAsia="宋体" w:cs="宋体"/>
      <w:b/>
      <w:bCs/>
      <w:color w:val="000000"/>
      <w:sz w:val="20"/>
      <w:szCs w:val="20"/>
      <w:u w:val="single"/>
    </w:rPr>
  </w:style>
  <w:style w:type="character" w:customStyle="1" w:styleId="21">
    <w:name w:val="font11"/>
    <w:basedOn w:val="14"/>
    <w:autoRedefine/>
    <w:qFormat/>
    <w:uiPriority w:val="0"/>
    <w:rPr>
      <w:rFonts w:hint="eastAsia" w:ascii="宋体" w:hAnsi="宋体" w:eastAsia="宋体" w:cs="宋体"/>
      <w:color w:val="000000"/>
      <w:sz w:val="21"/>
      <w:szCs w:val="21"/>
      <w:u w:val="none"/>
    </w:rPr>
  </w:style>
  <w:style w:type="paragraph" w:customStyle="1" w:styleId="22">
    <w:name w:val="样式 正文首行缩进 + 首行缩进:  1 字符"/>
    <w:basedOn w:val="1"/>
    <w:next w:val="1"/>
    <w:autoRedefine/>
    <w:qFormat/>
    <w:uiPriority w:val="0"/>
    <w:pPr>
      <w:ind w:firstLine="200" w:firstLineChars="200"/>
    </w:pPr>
    <w:rPr>
      <w:rFonts w:cs="宋体"/>
      <w:szCs w:val="20"/>
    </w:rPr>
  </w:style>
  <w:style w:type="paragraph" w:customStyle="1" w:styleId="23">
    <w:name w:val="正文缩进2格"/>
    <w:basedOn w:val="1"/>
    <w:autoRedefine/>
    <w:qFormat/>
    <w:uiPriority w:val="0"/>
    <w:pPr>
      <w:ind w:firstLine="639" w:firstLineChars="206"/>
    </w:pPr>
    <w:rPr>
      <w:rFonts w:ascii="仿宋_GB2312" w:hAnsi="宋体" w:eastAsia="仿宋_GB2312" w:cs="仿宋_GB2312"/>
      <w:sz w:val="31"/>
      <w:szCs w:val="3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7475</Words>
  <Characters>7820</Characters>
  <Lines>0</Lines>
  <Paragraphs>0</Paragraphs>
  <TotalTime>20</TotalTime>
  <ScaleCrop>false</ScaleCrop>
  <LinksUpToDate>false</LinksUpToDate>
  <CharactersWithSpaces>8085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2023-08-15T06:29:00Z</dcterms:created>
  <dc:creator>LI</dc:creator>
  <cp:lastModifiedBy>梁文轩</cp:lastModifiedBy>
  <cp:lastPrinted>2026-01-20T08:13:00Z</cp:lastPrinted>
  <dcterms:modified xsi:type="dcterms:W3CDTF">2026-06-03T09:39:33Z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CF352415DAD2476797AA4E029E844034_13</vt:lpwstr>
  </property>
  <property fmtid="{D5CDD505-2E9C-101B-9397-08002B2CF9AE}" pid="4" name="KSOTemplateDocerSaveRecord">
    <vt:lpwstr>eyJoZGlkIjoiYzg4NjVlNWRjM2ZmNzk3M2IzOWQzZDA2ODBiYjc2OTIiLCJ1c2VySWQiOiIxNjE3MTYyODEzIn0=</vt:lpwstr>
  </property>
</Properties>
</file>