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5937">
      <w:pPr>
        <w:adjustRightInd w:val="0"/>
        <w:snapToGrid w:val="0"/>
        <w:spacing w:before="120" w:after="120" w:line="276" w:lineRule="auto"/>
        <w:jc w:val="center"/>
        <w:rPr>
          <w:rFonts w:eastAsia="华文中宋"/>
          <w:color w:val="auto"/>
          <w:sz w:val="44"/>
          <w:szCs w:val="44"/>
          <w:highlight w:val="none"/>
        </w:rPr>
      </w:pPr>
      <w:bookmarkStart w:id="9" w:name="_GoBack"/>
      <w:r>
        <w:rPr>
          <w:rFonts w:hint="eastAsia" w:eastAsia="华文中宋"/>
          <w:color w:val="auto"/>
          <w:sz w:val="44"/>
          <w:szCs w:val="44"/>
          <w:highlight w:val="none"/>
        </w:rPr>
        <w:t>竞争性磋商文件</w:t>
      </w:r>
    </w:p>
    <w:p w14:paraId="23C6291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需采购一家</w:t>
      </w:r>
      <w:r>
        <w:rPr>
          <w:rFonts w:hint="eastAsia" w:eastAsia="仿宋_GB2312"/>
          <w:color w:val="auto"/>
          <w:sz w:val="32"/>
          <w:szCs w:val="32"/>
          <w:highlight w:val="none"/>
          <w:u w:val="single"/>
          <w:lang w:eastAsia="zh-CN"/>
        </w:rPr>
        <w:t>前期策划咨询服务</w:t>
      </w:r>
      <w:r>
        <w:rPr>
          <w:rFonts w:hint="eastAsia" w:eastAsia="仿宋_GB2312"/>
          <w:color w:val="auto"/>
          <w:sz w:val="32"/>
          <w:szCs w:val="32"/>
          <w:highlight w:val="none"/>
        </w:rPr>
        <w:t>单位</w:t>
      </w:r>
      <w:r>
        <w:rPr>
          <w:rFonts w:hint="eastAsia" w:eastAsia="仿宋_GB2312"/>
          <w:color w:val="auto"/>
          <w:sz w:val="32"/>
          <w:szCs w:val="32"/>
          <w:highlight w:val="none"/>
        </w:rPr>
        <w:t>，现将相关情况介绍如下：</w:t>
      </w:r>
    </w:p>
    <w:p w14:paraId="3FA23D39">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29737D6F">
      <w:pPr>
        <w:adjustRightInd w:val="0"/>
        <w:snapToGrid w:val="0"/>
        <w:spacing w:line="276" w:lineRule="auto"/>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eastAsia="zh-CN"/>
        </w:rPr>
        <w:t>东莞市松山湖高新区园区旗筑城市综合体前期策划咨询服务</w:t>
      </w:r>
      <w:r>
        <w:rPr>
          <w:rFonts w:hint="eastAsia" w:eastAsia="仿宋_GB2312"/>
          <w:color w:val="auto"/>
          <w:sz w:val="32"/>
          <w:szCs w:val="32"/>
          <w:highlight w:val="none"/>
          <w:u w:val="single"/>
        </w:rPr>
        <w:t>；</w:t>
      </w:r>
    </w:p>
    <w:p w14:paraId="7E7E23BD">
      <w:pPr>
        <w:keepNext w:val="0"/>
        <w:keepLines w:val="0"/>
        <w:pageBreakBefore w:val="0"/>
        <w:widowControl w:val="0"/>
        <w:kinsoku/>
        <w:wordWrap/>
        <w:overflowPunct/>
        <w:topLinePunct w:val="0"/>
        <w:autoSpaceDE/>
        <w:autoSpaceDN/>
        <w:bidi w:val="0"/>
        <w:adjustRightInd w:val="0"/>
        <w:snapToGrid w:val="0"/>
        <w:spacing w:line="276" w:lineRule="auto"/>
        <w:ind w:firstLine="640" w:firstLineChars="200"/>
        <w:textAlignment w:val="auto"/>
        <w:rPr>
          <w:rFonts w:hint="eastAsia"/>
          <w:color w:val="auto"/>
          <w:highlight w:val="none"/>
          <w:lang w:val="en-US" w:eastAsia="zh-CN"/>
        </w:rPr>
      </w:pPr>
      <w:bookmarkStart w:id="0" w:name="OLE_LINK1"/>
      <w:bookmarkStart w:id="1" w:name="OLE_LINK2"/>
      <w:r>
        <w:rPr>
          <w:rFonts w:hint="eastAsia" w:eastAsia="仿宋_GB2312"/>
          <w:color w:val="auto"/>
          <w:sz w:val="32"/>
          <w:szCs w:val="32"/>
          <w:highlight w:val="none"/>
          <w:lang w:val="en-US" w:eastAsia="zh-CN"/>
        </w:rPr>
        <w:t>2、</w:t>
      </w:r>
      <w:r>
        <w:rPr>
          <w:rFonts w:hint="eastAsia" w:eastAsia="仿宋_GB2312"/>
          <w:color w:val="auto"/>
          <w:sz w:val="32"/>
          <w:szCs w:val="32"/>
          <w:highlight w:val="none"/>
          <w:u w:val="none"/>
          <w:lang w:val="en-US" w:eastAsia="zh-CN"/>
        </w:rPr>
        <w:t>服务内容：</w:t>
      </w:r>
      <w:bookmarkEnd w:id="0"/>
      <w:bookmarkEnd w:id="1"/>
      <w:r>
        <w:rPr>
          <w:rFonts w:hint="eastAsia" w:eastAsia="仿宋_GB2312"/>
          <w:color w:val="auto"/>
          <w:sz w:val="32"/>
          <w:szCs w:val="32"/>
          <w:highlight w:val="none"/>
          <w:u w:val="none"/>
          <w:lang w:val="en-US" w:eastAsia="zh-CN"/>
        </w:rPr>
        <w:t>从</w:t>
      </w:r>
      <w:r>
        <w:rPr>
          <w:rFonts w:hint="eastAsia" w:eastAsia="仿宋_GB2312"/>
          <w:color w:val="auto"/>
          <w:sz w:val="32"/>
          <w:szCs w:val="32"/>
          <w:highlight w:val="none"/>
          <w:u w:val="single"/>
          <w:lang w:eastAsia="zh-CN"/>
        </w:rPr>
        <w:t>区域市场分析、客群分析与项目定位、业态规划与产品建议、招商策略与执行方案、运营思路与管理方案、财务测算与投资分析、专项对接服务</w:t>
      </w:r>
      <w:r>
        <w:rPr>
          <w:rFonts w:hint="eastAsia" w:eastAsia="仿宋_GB2312"/>
          <w:color w:val="auto"/>
          <w:sz w:val="32"/>
          <w:szCs w:val="32"/>
          <w:highlight w:val="none"/>
          <w:u w:val="single"/>
          <w:lang w:val="en-US" w:eastAsia="zh-CN"/>
        </w:rPr>
        <w:t>等方面进行策划，按附件及采购人要求完成前期策划咨询服务，详见用户需求书。</w:t>
      </w:r>
    </w:p>
    <w:p w14:paraId="2F1595C2">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、项目地点：</w:t>
      </w:r>
      <w:r>
        <w:rPr>
          <w:rFonts w:hint="eastAsia" w:eastAsia="仿宋_GB2312"/>
          <w:color w:val="auto"/>
          <w:sz w:val="32"/>
          <w:szCs w:val="32"/>
          <w:highlight w:val="none"/>
          <w:u w:val="single"/>
        </w:rPr>
        <w:t>东莞市</w:t>
      </w:r>
      <w:r>
        <w:rPr>
          <w:rFonts w:hint="eastAsia" w:eastAsia="仿宋_GB2312"/>
          <w:color w:val="auto"/>
          <w:sz w:val="32"/>
          <w:szCs w:val="32"/>
          <w:highlight w:val="none"/>
          <w:u w:val="single"/>
          <w:lang w:val="en-US" w:eastAsia="zh-CN"/>
        </w:rPr>
        <w:t>；</w:t>
      </w:r>
    </w:p>
    <w:p w14:paraId="568341BB">
      <w:pPr>
        <w:adjustRightInd w:val="0"/>
        <w:snapToGrid w:val="0"/>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、服务时间（供货时间</w:t>
      </w:r>
      <w:r>
        <w:rPr>
          <w:rFonts w:eastAsia="仿宋_GB2312"/>
          <w:color w:val="auto"/>
          <w:sz w:val="32"/>
          <w:szCs w:val="32"/>
          <w:highlight w:val="none"/>
        </w:rPr>
        <w:t>/</w:t>
      </w:r>
      <w:r>
        <w:rPr>
          <w:rFonts w:hint="eastAsia" w:eastAsia="仿宋_GB2312"/>
          <w:color w:val="auto"/>
          <w:sz w:val="32"/>
          <w:szCs w:val="32"/>
          <w:highlight w:val="none"/>
        </w:rPr>
        <w:t>工期）：</w:t>
      </w:r>
      <w:r>
        <w:rPr>
          <w:rFonts w:hint="eastAsia" w:eastAsia="仿宋_GB2312"/>
          <w:color w:val="auto"/>
          <w:sz w:val="32"/>
          <w:szCs w:val="32"/>
          <w:highlight w:val="none"/>
          <w:u w:val="single"/>
        </w:rPr>
        <w:t>详见磋商文件第三部分《合同文本》；</w:t>
      </w:r>
    </w:p>
    <w:p w14:paraId="22064AB3">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1871EEC8">
      <w:pPr>
        <w:adjustRightInd w:val="0"/>
        <w:snapToGrid w:val="0"/>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w:t>
      </w:r>
      <w:r>
        <w:rPr>
          <w:rFonts w:eastAsia="仿宋_GB2312"/>
          <w:color w:val="auto"/>
          <w:sz w:val="32"/>
          <w:szCs w:val="32"/>
          <w:highlight w:val="none"/>
        </w:rPr>
        <w:t>http://www.dgsy.com.cn/</w:t>
      </w:r>
      <w:r>
        <w:rPr>
          <w:rFonts w:hint="eastAsia" w:eastAsia="仿宋_GB2312"/>
          <w:color w:val="auto"/>
          <w:sz w:val="32"/>
          <w:szCs w:val="32"/>
          <w:highlight w:val="none"/>
        </w:rPr>
        <w:t>）发布。</w:t>
      </w:r>
    </w:p>
    <w:p w14:paraId="008848E0">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7C633DB6">
      <w:pPr>
        <w:adjustRightInd w:val="0"/>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1、响应人须为在中华人民共和国境内登记注册的具有独立承担民事责任能力的法人或其他组织。</w:t>
      </w:r>
      <w:r>
        <w:rPr>
          <w:rFonts w:hint="eastAsia" w:ascii="仿宋" w:hAnsi="仿宋" w:eastAsia="仿宋"/>
          <w:b/>
          <w:bCs/>
          <w:color w:val="auto"/>
          <w:sz w:val="32"/>
          <w:szCs w:val="32"/>
          <w:highlight w:val="none"/>
        </w:rPr>
        <w:t>营业执照经营范围须包含房地产咨询</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rPr>
        <w:t>【提供《营业执照》复印件（加盖公章）或《事业单位法人证书》复印件（加盖公章）或其他主体证书复印件（加盖公章）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以</w:t>
      </w:r>
      <w:r>
        <w:rPr>
          <w:rFonts w:hint="eastAsia" w:ascii="仿宋" w:hAnsi="仿宋" w:eastAsia="仿宋"/>
          <w:color w:val="auto"/>
          <w:sz w:val="32"/>
          <w:szCs w:val="32"/>
          <w:highlight w:val="none"/>
        </w:rPr>
        <w:t>分支机构投标的，</w:t>
      </w:r>
      <w:r>
        <w:rPr>
          <w:rFonts w:hint="eastAsia" w:ascii="仿宋" w:hAnsi="仿宋" w:eastAsia="仿宋"/>
          <w:color w:val="auto"/>
          <w:sz w:val="32"/>
          <w:szCs w:val="32"/>
          <w:highlight w:val="none"/>
          <w:lang w:val="en-US" w:eastAsia="zh-CN"/>
        </w:rPr>
        <w:t>投标单位</w:t>
      </w:r>
      <w:r>
        <w:rPr>
          <w:rFonts w:hint="eastAsia" w:ascii="仿宋" w:hAnsi="仿宋" w:eastAsia="仿宋"/>
          <w:color w:val="auto"/>
          <w:sz w:val="32"/>
          <w:szCs w:val="32"/>
          <w:highlight w:val="none"/>
        </w:rPr>
        <w:t>须提供总公司和分公司营业执照副本复印件，</w:t>
      </w:r>
      <w:r>
        <w:rPr>
          <w:rFonts w:hint="eastAsia" w:ascii="仿宋" w:hAnsi="仿宋" w:eastAsia="仿宋"/>
          <w:color w:val="auto"/>
          <w:sz w:val="32"/>
          <w:szCs w:val="32"/>
          <w:highlight w:val="none"/>
          <w:lang w:val="en-US" w:eastAsia="zh-CN"/>
        </w:rPr>
        <w:t>以及</w:t>
      </w:r>
      <w:r>
        <w:rPr>
          <w:rFonts w:hint="eastAsia" w:ascii="仿宋" w:hAnsi="仿宋" w:eastAsia="仿宋"/>
          <w:color w:val="auto"/>
          <w:sz w:val="32"/>
          <w:szCs w:val="32"/>
          <w:highlight w:val="none"/>
        </w:rPr>
        <w:t>总公司出具给分支机构的授权书。】</w:t>
      </w:r>
    </w:p>
    <w:p w14:paraId="31C72AEF">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2、资质要求：响应人须具备 </w:t>
      </w:r>
      <w:r>
        <w:rPr>
          <w:rFonts w:hint="eastAsia"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资质且在有效期内。【提供资质证书复印件（加盖公章）】</w:t>
      </w:r>
    </w:p>
    <w:p w14:paraId="7A63EDAB">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3、业绩要求：具备</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项目经验，要求</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日起至</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日，完成至少</w:t>
      </w:r>
      <w:r>
        <w:rPr>
          <w:rFonts w:ascii="仿宋" w:hAnsi="仿宋" w:eastAsia="仿宋"/>
          <w:color w:val="auto"/>
          <w:sz w:val="32"/>
          <w:szCs w:val="32"/>
          <w:highlight w:val="none"/>
        </w:rPr>
        <w:t>1</w:t>
      </w:r>
      <w:r>
        <w:rPr>
          <w:rFonts w:hint="eastAsia" w:ascii="仿宋" w:hAnsi="仿宋" w:eastAsia="仿宋"/>
          <w:color w:val="auto"/>
          <w:sz w:val="32"/>
          <w:szCs w:val="32"/>
          <w:highlight w:val="none"/>
        </w:rPr>
        <w:t>个</w:t>
      </w:r>
      <w:r>
        <w:rPr>
          <w:rFonts w:ascii="仿宋" w:hAnsi="仿宋" w:eastAsia="仿宋"/>
          <w:color w:val="auto"/>
          <w:sz w:val="32"/>
          <w:szCs w:val="32"/>
          <w:highlight w:val="none"/>
          <w:u w:val="single"/>
        </w:rPr>
        <w:t xml:space="preserve">   / </w:t>
      </w:r>
      <w:r>
        <w:rPr>
          <w:rFonts w:hint="eastAsia" w:ascii="仿宋" w:hAnsi="仿宋" w:eastAsia="仿宋"/>
          <w:color w:val="auto"/>
          <w:sz w:val="32"/>
          <w:szCs w:val="32"/>
          <w:highlight w:val="none"/>
        </w:rPr>
        <w:t>业绩。【按合同签订时间为准，须提供合同关键页复印件（包含但不限于合同首页、合同金额页、合同签字页等）、该合同期内任意一期发票复印件，并加盖投标人公章。】</w:t>
      </w:r>
    </w:p>
    <w:p w14:paraId="59C18927">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4、人员要求：响应人拟派项目负责人须具备</w:t>
      </w:r>
      <w:r>
        <w:rPr>
          <w:rFonts w:hint="eastAsia" w:ascii="仿宋" w:hAnsi="仿宋" w:eastAsia="仿宋"/>
          <w:b/>
          <w:bCs/>
          <w:color w:val="auto"/>
          <w:sz w:val="32"/>
          <w:szCs w:val="32"/>
          <w:highlight w:val="none"/>
          <w:u w:val="single"/>
        </w:rPr>
        <w:t>8年以上商业地产咨询行业经验且全程负责</w:t>
      </w:r>
      <w:r>
        <w:rPr>
          <w:rFonts w:hint="eastAsia" w:ascii="仿宋" w:hAnsi="仿宋" w:eastAsia="仿宋"/>
          <w:b/>
          <w:bCs/>
          <w:color w:val="auto"/>
          <w:sz w:val="32"/>
          <w:szCs w:val="32"/>
          <w:highlight w:val="none"/>
        </w:rPr>
        <w:t>。【提供</w:t>
      </w:r>
      <w:r>
        <w:rPr>
          <w:rFonts w:hint="eastAsia" w:ascii="仿宋" w:hAnsi="仿宋" w:eastAsia="仿宋"/>
          <w:b/>
          <w:bCs/>
          <w:color w:val="auto"/>
          <w:sz w:val="32"/>
          <w:szCs w:val="32"/>
          <w:highlight w:val="none"/>
          <w:u w:val="single"/>
          <w:lang w:val="en-US" w:eastAsia="zh-CN"/>
        </w:rPr>
        <w:t>项目负责人</w:t>
      </w:r>
      <w:r>
        <w:rPr>
          <w:rFonts w:hint="eastAsia" w:ascii="仿宋" w:hAnsi="仿宋" w:eastAsia="仿宋"/>
          <w:b/>
          <w:bCs/>
          <w:color w:val="auto"/>
          <w:sz w:val="32"/>
          <w:szCs w:val="32"/>
          <w:highlight w:val="none"/>
          <w:u w:val="single"/>
        </w:rPr>
        <w:t>简历、</w:t>
      </w:r>
      <w:r>
        <w:rPr>
          <w:rFonts w:hint="eastAsia" w:ascii="仿宋" w:hAnsi="仿宋" w:eastAsia="仿宋"/>
          <w:b/>
          <w:bCs/>
          <w:color w:val="auto"/>
          <w:sz w:val="32"/>
          <w:szCs w:val="32"/>
          <w:highlight w:val="none"/>
          <w:u w:val="single"/>
          <w:lang w:val="en-US" w:eastAsia="zh-CN"/>
        </w:rPr>
        <w:t>毕业</w:t>
      </w:r>
      <w:r>
        <w:rPr>
          <w:rFonts w:hint="eastAsia" w:ascii="仿宋" w:hAnsi="仿宋" w:eastAsia="仿宋"/>
          <w:b/>
          <w:bCs/>
          <w:color w:val="auto"/>
          <w:sz w:val="32"/>
          <w:szCs w:val="32"/>
          <w:highlight w:val="none"/>
          <w:u w:val="single"/>
        </w:rPr>
        <w:t>证书材料</w:t>
      </w:r>
      <w:r>
        <w:rPr>
          <w:rFonts w:hint="eastAsia" w:ascii="仿宋" w:hAnsi="仿宋" w:eastAsia="仿宋"/>
          <w:b/>
          <w:bCs/>
          <w:color w:val="auto"/>
          <w:sz w:val="32"/>
          <w:szCs w:val="32"/>
          <w:highlight w:val="none"/>
        </w:rPr>
        <w:t>（加盖公章）】</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rPr>
        <w:t>响应人拟派项目团队内需至少1名成员满足以下任一条件：</w:t>
      </w:r>
      <w:r>
        <w:rPr>
          <w:rFonts w:hint="eastAsia" w:ascii="仿宋" w:hAnsi="仿宋" w:eastAsia="仿宋"/>
          <w:b/>
          <w:bCs/>
          <w:color w:val="auto"/>
          <w:sz w:val="32"/>
          <w:szCs w:val="32"/>
          <w:highlight w:val="none"/>
          <w:u w:val="single"/>
        </w:rPr>
        <w:t>城市规划、建筑设计、市场营销、经济学等房地产及商科</w:t>
      </w:r>
      <w:r>
        <w:rPr>
          <w:rFonts w:hint="eastAsia" w:ascii="仿宋" w:hAnsi="仿宋" w:eastAsia="仿宋"/>
          <w:b/>
          <w:bCs/>
          <w:color w:val="auto"/>
          <w:sz w:val="32"/>
          <w:szCs w:val="32"/>
          <w:highlight w:val="none"/>
          <w:u w:val="single"/>
          <w:lang w:val="en-US" w:eastAsia="zh-CN"/>
        </w:rPr>
        <w:t>专</w:t>
      </w:r>
      <w:r>
        <w:rPr>
          <w:rFonts w:hint="eastAsia" w:ascii="仿宋" w:hAnsi="仿宋" w:eastAsia="仿宋"/>
          <w:b/>
          <w:bCs/>
          <w:color w:val="auto"/>
          <w:sz w:val="32"/>
          <w:szCs w:val="32"/>
          <w:highlight w:val="none"/>
          <w:u w:val="single"/>
        </w:rPr>
        <w:t>科以上专业背景。</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u w:val="single"/>
        </w:rPr>
        <w:t>须提供对应</w:t>
      </w:r>
      <w:r>
        <w:rPr>
          <w:rFonts w:hint="eastAsia" w:ascii="仿宋" w:hAnsi="仿宋" w:eastAsia="仿宋"/>
          <w:b/>
          <w:bCs/>
          <w:color w:val="auto"/>
          <w:sz w:val="32"/>
          <w:szCs w:val="32"/>
          <w:highlight w:val="none"/>
          <w:u w:val="single"/>
          <w:lang w:val="en-US" w:eastAsia="zh-CN"/>
        </w:rPr>
        <w:t>毕业</w:t>
      </w:r>
      <w:r>
        <w:rPr>
          <w:rFonts w:hint="eastAsia" w:ascii="仿宋" w:hAnsi="仿宋" w:eastAsia="仿宋"/>
          <w:b/>
          <w:bCs/>
          <w:color w:val="auto"/>
          <w:sz w:val="32"/>
          <w:szCs w:val="32"/>
          <w:highlight w:val="none"/>
          <w:u w:val="single"/>
        </w:rPr>
        <w:t>证书材料</w:t>
      </w:r>
      <w:r>
        <w:rPr>
          <w:rFonts w:hint="eastAsia" w:ascii="仿宋" w:hAnsi="仿宋" w:eastAsia="仿宋"/>
          <w:b/>
          <w:bCs/>
          <w:color w:val="auto"/>
          <w:sz w:val="32"/>
          <w:szCs w:val="32"/>
          <w:highlight w:val="none"/>
        </w:rPr>
        <w:t>（加盖公章）</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rPr>
        <w:t>】</w:t>
      </w:r>
    </w:p>
    <w:p w14:paraId="248FE143">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color w:val="auto"/>
          <w:sz w:val="32"/>
          <w:szCs w:val="32"/>
          <w:highlight w:val="none"/>
        </w:rPr>
        <w:t>未被列入东实集团及下属</w:t>
      </w:r>
      <w:r>
        <w:rPr>
          <w:rFonts w:hint="eastAsia" w:ascii="Times New Roman" w:hAnsi="Times New Roman" w:eastAsia="仿宋_GB2312" w:cs="Times New Roman"/>
          <w:color w:val="auto"/>
          <w:sz w:val="32"/>
          <w:szCs w:val="32"/>
          <w:highlight w:val="none"/>
        </w:rPr>
        <w:t>企业</w:t>
      </w:r>
      <w:r>
        <w:rPr>
          <w:rFonts w:hint="eastAsia" w:ascii="Times New Roman" w:hAnsi="Times New Roman"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rPr>
        <w:t>领域</w:t>
      </w:r>
      <w:r>
        <w:rPr>
          <w:rFonts w:hint="eastAsia" w:eastAsia="仿宋_GB2312"/>
          <w:color w:val="auto"/>
          <w:sz w:val="32"/>
          <w:szCs w:val="32"/>
          <w:highlight w:val="none"/>
        </w:rPr>
        <w:t>黑名单。【以东莞实业投资控股集团有限公司发文（东实通〔2021〕44号）、（东实通〔2021〕98号）</w:t>
      </w:r>
      <w:r>
        <w:rPr>
          <w:rFonts w:hint="eastAsia" w:eastAsia="仿宋_GB2312"/>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（东实通〔2022〕75号）（东实通〔2023〕37号）</w:t>
      </w:r>
      <w:r>
        <w:rPr>
          <w:rFonts w:hint="eastAsia" w:eastAsia="仿宋" w:cs="Times New Roman"/>
          <w:color w:val="auto"/>
          <w:sz w:val="32"/>
          <w:szCs w:val="32"/>
          <w:highlight w:val="none"/>
          <w:lang w:val="en-US" w:eastAsia="zh-CN"/>
        </w:rPr>
        <w:t>、（东实通〔2024〕163号）、（东实通〔2024〕195号）、（东实通</w:t>
      </w:r>
      <w:r>
        <w:rPr>
          <w:rFonts w:hint="default" w:eastAsia="仿宋" w:cs="Times New Roman"/>
          <w:color w:val="auto"/>
          <w:sz w:val="32"/>
          <w:szCs w:val="32"/>
          <w:highlight w:val="none"/>
          <w:lang w:val="en-US" w:eastAsia="zh-CN"/>
        </w:rPr>
        <w:t>[2025</w:t>
      </w:r>
      <w:r>
        <w:rPr>
          <w:rFonts w:hint="eastAsia" w:eastAsia="仿宋" w:cs="Times New Roman"/>
          <w:color w:val="auto"/>
          <w:sz w:val="32"/>
          <w:szCs w:val="32"/>
          <w:highlight w:val="none"/>
          <w:lang w:val="en-US" w:eastAsia="zh-CN"/>
        </w:rPr>
        <w:t>〕</w:t>
      </w:r>
      <w:r>
        <w:rPr>
          <w:rFonts w:hint="default" w:eastAsia="仿宋" w:cs="Times New Roman"/>
          <w:color w:val="auto"/>
          <w:sz w:val="32"/>
          <w:szCs w:val="32"/>
          <w:highlight w:val="none"/>
          <w:lang w:val="en-US" w:eastAsia="zh-CN"/>
        </w:rPr>
        <w:t>157</w:t>
      </w:r>
      <w:r>
        <w:rPr>
          <w:rFonts w:hint="eastAsia" w:eastAsia="仿宋" w:cs="Times New Roman"/>
          <w:color w:val="auto"/>
          <w:sz w:val="32"/>
          <w:szCs w:val="32"/>
          <w:highlight w:val="none"/>
          <w:lang w:val="en-US" w:eastAsia="zh-CN"/>
        </w:rPr>
        <w:t>）为准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如有最新发文通知，按最新文件执行。</w:t>
      </w:r>
      <w:r>
        <w:rPr>
          <w:rFonts w:hint="eastAsia" w:eastAsia="仿宋_GB2312"/>
          <w:color w:val="auto"/>
          <w:sz w:val="32"/>
          <w:szCs w:val="32"/>
          <w:highlight w:val="none"/>
        </w:rPr>
        <w:t>】</w:t>
      </w:r>
    </w:p>
    <w:p w14:paraId="584310D7">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3847CE49">
      <w:pPr>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具体要求详见本磋商文件</w:t>
      </w:r>
      <w:r>
        <w:rPr>
          <w:rFonts w:hint="eastAsia" w:eastAsia="仿宋_GB2312"/>
          <w:color w:val="auto"/>
          <w:sz w:val="32"/>
          <w:szCs w:val="32"/>
          <w:highlight w:val="none"/>
        </w:rPr>
        <w:t>。响应人须仔细阅读本磋商文件，因未详细了解本磋商文件造成报价项目遗漏，由响应人自行负责。</w:t>
      </w:r>
    </w:p>
    <w:p w14:paraId="7E82AAA8">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5BBD728C">
      <w:pPr>
        <w:spacing w:line="276" w:lineRule="auto"/>
        <w:ind w:firstLine="640" w:firstLineChars="200"/>
        <w:rPr>
          <w:rFonts w:eastAsia="仿宋_GB2312"/>
          <w:color w:val="auto"/>
          <w:sz w:val="32"/>
          <w:szCs w:val="32"/>
          <w:highlight w:val="none"/>
        </w:rPr>
      </w:pPr>
      <w:bookmarkStart w:id="2" w:name="_Hlk38897553"/>
      <w:r>
        <w:rPr>
          <w:rFonts w:hint="eastAsia" w:eastAsia="仿宋_GB2312"/>
          <w:color w:val="auto"/>
          <w:sz w:val="32"/>
          <w:szCs w:val="32"/>
          <w:highlight w:val="none"/>
          <w:u w:val="single"/>
        </w:rPr>
        <w:t>详见磋商文件第三部分《合同文本》</w:t>
      </w:r>
      <w:r>
        <w:rPr>
          <w:rFonts w:hint="eastAsia" w:eastAsia="仿宋_GB2312"/>
          <w:color w:val="auto"/>
          <w:sz w:val="32"/>
          <w:szCs w:val="32"/>
          <w:highlight w:val="none"/>
        </w:rPr>
        <w:t>。</w:t>
      </w:r>
      <w:bookmarkEnd w:id="2"/>
    </w:p>
    <w:p w14:paraId="0DE86336">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六、支付方式</w:t>
      </w:r>
    </w:p>
    <w:p w14:paraId="1A2F962B">
      <w:pPr>
        <w:spacing w:line="276" w:lineRule="auto"/>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1</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完成前期策划报告市场调研部分初稿，且乙方向甲方送达符合约定的对应付款发票后15个工作日内，支付合同总价的30%。</w:t>
      </w:r>
    </w:p>
    <w:p w14:paraId="0158DCCF">
      <w:pPr>
        <w:spacing w:line="276" w:lineRule="auto"/>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2</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前期策划报告初稿及投资回报测算通过甲方评审通过，且乙方向甲方送达符合约定的对应付款发票后15个工作日内，支付合同总价的50%。</w:t>
      </w:r>
    </w:p>
    <w:p w14:paraId="16195503">
      <w:pPr>
        <w:spacing w:line="276" w:lineRule="auto"/>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3</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合同尾款</w:t>
      </w:r>
      <w:r>
        <w:rPr>
          <w:rFonts w:hint="eastAsia" w:eastAsia="仿宋_GB2312"/>
          <w:color w:val="auto"/>
          <w:sz w:val="32"/>
          <w:szCs w:val="32"/>
          <w:highlight w:val="none"/>
          <w:u w:val="single"/>
          <w:lang w:val="en-US" w:eastAsia="zh-CN"/>
        </w:rPr>
        <w:t>:</w:t>
      </w:r>
      <w:r>
        <w:rPr>
          <w:rFonts w:hint="eastAsia" w:eastAsia="仿宋_GB2312"/>
          <w:color w:val="auto"/>
          <w:sz w:val="32"/>
          <w:szCs w:val="32"/>
          <w:highlight w:val="none"/>
          <w:u w:val="single"/>
        </w:rPr>
        <w:t>提交最终深化报告及投资回报测算，最终成果提交甲方审查通过后办理结算，结算完成且乙方向甲方送达符合约定的对应金额发票后15个工作日内，支付至结算总价的100%。如最终方案不能获得甲方或其上级单位审查通过的，须按甲方要求修改直至最终方案审查通过，否则合同尾款不予支付。</w:t>
      </w:r>
    </w:p>
    <w:p w14:paraId="761227B1">
      <w:pPr>
        <w:adjustRightInd w:val="0"/>
        <w:snapToGrid w:val="0"/>
        <w:spacing w:line="276" w:lineRule="auto"/>
        <w:ind w:firstLine="640" w:firstLineChars="200"/>
        <w:outlineLvl w:val="1"/>
        <w:rPr>
          <w:rFonts w:hint="eastAsia" w:eastAsia="黑体"/>
          <w:color w:val="auto"/>
          <w:sz w:val="32"/>
          <w:szCs w:val="32"/>
          <w:highlight w:val="none"/>
        </w:rPr>
      </w:pPr>
      <w:r>
        <w:rPr>
          <w:rFonts w:hint="eastAsia" w:eastAsia="黑体"/>
          <w:color w:val="auto"/>
          <w:sz w:val="32"/>
          <w:szCs w:val="32"/>
          <w:highlight w:val="none"/>
        </w:rPr>
        <w:t>七、报价</w:t>
      </w:r>
    </w:p>
    <w:p w14:paraId="38C0954C">
      <w:pPr>
        <w:spacing w:line="276" w:lineRule="auto"/>
        <w:ind w:firstLine="643" w:firstLineChars="200"/>
        <w:rPr>
          <w:rFonts w:eastAsia="仿宋_GB2312"/>
          <w:b/>
          <w:bCs/>
          <w:color w:val="auto"/>
          <w:sz w:val="32"/>
          <w:szCs w:val="32"/>
          <w:highlight w:val="none"/>
        </w:rPr>
      </w:pPr>
      <w:r>
        <w:rPr>
          <w:rFonts w:hint="eastAsia" w:eastAsia="仿宋_GB2312"/>
          <w:b/>
          <w:bCs/>
          <w:color w:val="auto"/>
          <w:sz w:val="32"/>
          <w:szCs w:val="32"/>
          <w:highlight w:val="none"/>
        </w:rPr>
        <w:t>采购限价：</w:t>
      </w:r>
      <w:r>
        <w:rPr>
          <w:rFonts w:eastAsia="仿宋_GB2312"/>
          <w:b/>
          <w:bCs/>
          <w:color w:val="auto"/>
          <w:sz w:val="32"/>
          <w:szCs w:val="32"/>
          <w:highlight w:val="none"/>
        </w:rPr>
        <w:t>¥</w:t>
      </w:r>
      <w:r>
        <w:rPr>
          <w:rFonts w:eastAsia="仿宋_GB2312"/>
          <w:b/>
          <w:bCs/>
          <w:color w:val="auto"/>
          <w:sz w:val="32"/>
          <w:szCs w:val="32"/>
          <w:highlight w:val="none"/>
          <w:u w:val="single"/>
        </w:rPr>
        <w:t xml:space="preserve"> </w:t>
      </w:r>
      <w:r>
        <w:rPr>
          <w:rFonts w:hint="eastAsia" w:eastAsia="仿宋_GB2312"/>
          <w:b/>
          <w:bCs/>
          <w:color w:val="auto"/>
          <w:sz w:val="32"/>
          <w:szCs w:val="32"/>
          <w:highlight w:val="none"/>
          <w:u w:val="single"/>
          <w:lang w:val="en-US" w:eastAsia="zh-CN"/>
        </w:rPr>
        <w:t>780000.00</w:t>
      </w:r>
      <w:r>
        <w:rPr>
          <w:rFonts w:hint="eastAsia" w:eastAsia="仿宋_GB2312"/>
          <w:b/>
          <w:bCs/>
          <w:color w:val="auto"/>
          <w:sz w:val="32"/>
          <w:szCs w:val="32"/>
          <w:highlight w:val="none"/>
        </w:rPr>
        <w:t>元</w:t>
      </w:r>
      <w:r>
        <w:rPr>
          <w:rFonts w:hint="eastAsia" w:eastAsia="仿宋_GB2312"/>
          <w:b/>
          <w:bCs/>
          <w:color w:val="auto"/>
          <w:sz w:val="32"/>
          <w:szCs w:val="32"/>
          <w:highlight w:val="none"/>
          <w:lang w:val="en-US" w:eastAsia="zh-CN"/>
        </w:rPr>
        <w:t>（含税）</w:t>
      </w:r>
      <w:r>
        <w:rPr>
          <w:rFonts w:hint="eastAsia" w:eastAsia="仿宋_GB2312"/>
          <w:b/>
          <w:bCs/>
          <w:color w:val="auto"/>
          <w:sz w:val="32"/>
          <w:szCs w:val="32"/>
          <w:highlight w:val="none"/>
        </w:rPr>
        <w:t>。</w:t>
      </w:r>
    </w:p>
    <w:p w14:paraId="083E6BE9">
      <w:pPr>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3BF1497B">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八、评标、定标</w:t>
      </w:r>
    </w:p>
    <w:p w14:paraId="3B61E3A9">
      <w:pPr>
        <w:spacing w:line="276" w:lineRule="auto"/>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1、开标：采购人代表主持，各响应人现场参与（磋商小组回避）。</w:t>
      </w:r>
    </w:p>
    <w:p w14:paraId="2BCA565C">
      <w:pPr>
        <w:spacing w:line="56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2、评审：（1）、采购人组建的磋商小组对各响应文件进行资格、符合性审查。（2）、磋商小组与各响应人一一就采购人要求的服务内容及响应文件进行磋商；然后采购人就各响应人反馈的意见进行统一的澄清，澄清后由各响应人进行第二次密封报价（第二次报价原则上不应高于第一次报价）。在磋商过程中，磋商小组可以根据磋商文件和磋商情况实质性变动采购需求中的技术、服务要求以及合同草案条款，但不得变动磋商文件中的其他内容，并以书面形式通知所有参加磋商的响应人。</w:t>
      </w:r>
    </w:p>
    <w:p w14:paraId="1EF756EB">
      <w:pPr>
        <w:spacing w:line="56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3、定标原则：采取综合评标办法。按照本磋商文件中规定的评审方法和标准，对符合性审查合格的响应文件进行价格、商务和技术的评估，综合比较与评价（详见第二部分 评分标准）。将各响应人的商务得分、技术得分和价格得分相加得出其综合得分；将各综合得分由高到低顺序排列，综合得分最高的响应人为第一成交候选人，综合得分次高的响应人为第二成交候选人。</w:t>
      </w:r>
    </w:p>
    <w:p w14:paraId="6C307FF3">
      <w:pPr>
        <w:spacing w:line="56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磋商完成后，招标采购工作小组将相关磋商情况按程序审批并确定成交人。</w:t>
      </w:r>
    </w:p>
    <w:p w14:paraId="6C31175D">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703887DE">
      <w:pPr>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合同签订的依据为磋商文件、响应文件及补充说明等。确定成交人后，成交人在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1A36963C">
      <w:pPr>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成交人收款前需向采购人提供请款材料和开具合法有效等额的增值税专用发票，否则采购人有权拒绝付款。</w:t>
      </w:r>
    </w:p>
    <w:p w14:paraId="0C56B435">
      <w:pPr>
        <w:adjustRightInd w:val="0"/>
        <w:snapToGrid w:val="0"/>
        <w:spacing w:line="276" w:lineRule="auto"/>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266982DC">
      <w:pPr>
        <w:keepNext w:val="0"/>
        <w:keepLines w:val="0"/>
        <w:pageBreakBefore w:val="0"/>
        <w:numPr>
          <w:ilvl w:val="0"/>
          <w:numId w:val="6"/>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价格部分（</w:t>
      </w:r>
      <w:r>
        <w:rPr>
          <w:rFonts w:hint="eastAsia" w:eastAsia="仿宋_GB2312"/>
          <w:color w:val="auto"/>
          <w:sz w:val="32"/>
          <w:szCs w:val="32"/>
          <w:highlight w:val="none"/>
        </w:rPr>
        <w:t>报价函（模板）</w:t>
      </w:r>
      <w:r>
        <w:rPr>
          <w:rFonts w:hint="eastAsia" w:eastAsia="仿宋_GB2312"/>
          <w:color w:val="auto"/>
          <w:sz w:val="32"/>
          <w:szCs w:val="32"/>
          <w:highlight w:val="none"/>
          <w:lang w:eastAsia="zh-CN"/>
        </w:rPr>
        <w:t>）</w:t>
      </w:r>
      <w:r>
        <w:rPr>
          <w:rFonts w:hint="eastAsia" w:eastAsia="仿宋_GB2312"/>
          <w:color w:val="auto"/>
          <w:sz w:val="32"/>
          <w:szCs w:val="32"/>
          <w:highlight w:val="none"/>
        </w:rPr>
        <w:t>；</w:t>
      </w:r>
    </w:p>
    <w:p w14:paraId="278BDB50">
      <w:pPr>
        <w:keepNext w:val="0"/>
        <w:keepLines w:val="0"/>
        <w:pageBreakBefore w:val="0"/>
        <w:numPr>
          <w:ilvl w:val="0"/>
          <w:numId w:val="6"/>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商务部分（相关要求详见第二部分评分标准要求）；</w:t>
      </w:r>
    </w:p>
    <w:p w14:paraId="5B6B8A8B">
      <w:pPr>
        <w:keepNext w:val="0"/>
        <w:keepLines w:val="0"/>
        <w:pageBreakBefore w:val="0"/>
        <w:numPr>
          <w:ilvl w:val="0"/>
          <w:numId w:val="6"/>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技术部分（相关要求详见第二部分评分标准要求）；</w:t>
      </w:r>
    </w:p>
    <w:p w14:paraId="1ADEEF2B">
      <w:pPr>
        <w:keepNext w:val="0"/>
        <w:keepLines w:val="0"/>
        <w:pageBreakBefore w:val="0"/>
        <w:numPr>
          <w:ilvl w:val="0"/>
          <w:numId w:val="6"/>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60CFFAED">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授权书（模板）及被委托人身份证复印件；</w:t>
      </w:r>
    </w:p>
    <w:p w14:paraId="2881A965">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6、承诺函（模板）；</w:t>
      </w:r>
    </w:p>
    <w:p w14:paraId="18A66064">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7、响应人认为需要提供的其他资料。</w:t>
      </w:r>
    </w:p>
    <w:p w14:paraId="4D3C8EA4">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响应人须严格按照采购人提供的表单格式报价，响应文件必须装订完整，于骑缝处加盖投标单位企业公章。装有响应文件的文件袋须贴有密封条，于骑缝处加盖企业公章。</w:t>
      </w:r>
      <w:r>
        <w:rPr>
          <w:rFonts w:hint="eastAsia" w:eastAsia="仿宋_GB2312"/>
          <w:b/>
          <w:bCs/>
          <w:color w:val="auto"/>
          <w:sz w:val="32"/>
          <w:szCs w:val="32"/>
          <w:highlight w:val="none"/>
        </w:rPr>
        <w:t>价格部分、商务部分、技术部分必须单独密封（按以上密封要求执行），否则按密封性不符合要求处理，采购人将拒绝接收响应文件。</w:t>
      </w:r>
    </w:p>
    <w:p w14:paraId="5F7B2C74">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32067B1B">
      <w:pPr>
        <w:spacing w:line="276"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正本一份，并提供响应文件扫描件（盖章版）电子版（U盘）。</w:t>
      </w:r>
    </w:p>
    <w:p w14:paraId="53EE6CBB">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十二、开标时间及地址</w:t>
      </w:r>
    </w:p>
    <w:p w14:paraId="2D36B947">
      <w:pPr>
        <w:spacing w:line="276" w:lineRule="auto"/>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w:t>
      </w:r>
      <w:r>
        <w:rPr>
          <w:rFonts w:hint="eastAsia" w:eastAsia="仿宋_GB2312"/>
          <w:b/>
          <w:color w:val="auto"/>
          <w:sz w:val="32"/>
          <w:szCs w:val="32"/>
          <w:highlight w:val="none"/>
          <w:u w:val="single"/>
          <w:lang w:val="en-US" w:eastAsia="zh-CN"/>
        </w:rPr>
        <w:t>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5</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28</w:t>
      </w:r>
      <w:r>
        <w:rPr>
          <w:rFonts w:hint="eastAsia" w:eastAsia="仿宋_GB2312"/>
          <w:b/>
          <w:color w:val="auto"/>
          <w:sz w:val="32"/>
          <w:szCs w:val="32"/>
          <w:highlight w:val="none"/>
        </w:rPr>
        <w:t>日（星期</w:t>
      </w:r>
      <w:r>
        <w:rPr>
          <w:rFonts w:hint="eastAsia" w:eastAsia="仿宋_GB2312"/>
          <w:b/>
          <w:color w:val="auto"/>
          <w:sz w:val="32"/>
          <w:szCs w:val="32"/>
          <w:highlight w:val="none"/>
          <w:u w:val="single"/>
          <w:lang w:val="en-US" w:eastAsia="zh-CN"/>
        </w:rPr>
        <w:t>四</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 xml:space="preserve"> 14:00 </w:t>
      </w:r>
      <w:r>
        <w:rPr>
          <w:rFonts w:hint="eastAsia" w:eastAsia="仿宋_GB2312"/>
          <w:b/>
          <w:color w:val="auto"/>
          <w:sz w:val="32"/>
          <w:szCs w:val="32"/>
          <w:highlight w:val="none"/>
        </w:rPr>
        <w:t>。</w:t>
      </w:r>
    </w:p>
    <w:p w14:paraId="706843BD">
      <w:pPr>
        <w:spacing w:line="276" w:lineRule="auto"/>
        <w:ind w:firstLine="643"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hint="eastAsia" w:eastAsia="仿宋_GB2312"/>
          <w:b/>
          <w:color w:val="auto"/>
          <w:sz w:val="32"/>
          <w:szCs w:val="32"/>
          <w:highlight w:val="none"/>
          <w:u w:val="single"/>
        </w:rPr>
        <w:t>东莞市东城区八一路1号机关二号大院9号楼</w:t>
      </w:r>
      <w:r>
        <w:rPr>
          <w:rFonts w:hint="eastAsia" w:eastAsia="仿宋_GB2312"/>
          <w:b/>
          <w:color w:val="auto"/>
          <w:sz w:val="32"/>
          <w:szCs w:val="32"/>
          <w:highlight w:val="none"/>
          <w:u w:val="single"/>
          <w:lang w:val="en-US" w:eastAsia="zh-CN"/>
        </w:rPr>
        <w:t>103</w:t>
      </w:r>
      <w:r>
        <w:rPr>
          <w:rFonts w:hint="eastAsia" w:eastAsia="仿宋_GB2312"/>
          <w:b/>
          <w:color w:val="auto"/>
          <w:sz w:val="32"/>
          <w:szCs w:val="32"/>
          <w:highlight w:val="none"/>
          <w:u w:val="single"/>
        </w:rPr>
        <w:t>室</w:t>
      </w:r>
    </w:p>
    <w:p w14:paraId="2BA4AE47">
      <w:pPr>
        <w:spacing w:line="600" w:lineRule="exact"/>
        <w:ind w:firstLine="640" w:firstLineChars="200"/>
        <w:rPr>
          <w:rFonts w:hint="default" w:eastAsia="仿宋_GB2312"/>
          <w:color w:val="auto"/>
          <w:sz w:val="32"/>
          <w:szCs w:val="32"/>
          <w:highlight w:val="none"/>
          <w:u w:val="single"/>
          <w:lang w:val="en-US"/>
        </w:rPr>
      </w:pPr>
      <w:r>
        <w:rPr>
          <w:rFonts w:hint="eastAsia" w:eastAsia="仿宋_GB2312"/>
          <w:color w:val="auto"/>
          <w:sz w:val="32"/>
          <w:szCs w:val="32"/>
          <w:highlight w:val="none"/>
        </w:rPr>
        <w:t>联系人：</w:t>
      </w:r>
      <w:r>
        <w:rPr>
          <w:rFonts w:hint="eastAsia" w:eastAsia="仿宋_GB2312"/>
          <w:color w:val="auto"/>
          <w:sz w:val="32"/>
          <w:szCs w:val="32"/>
          <w:highlight w:val="none"/>
          <w:u w:val="single"/>
          <w:lang w:val="en-US" w:eastAsia="zh-CN"/>
        </w:rPr>
        <w:t>吴工</w:t>
      </w:r>
    </w:p>
    <w:p w14:paraId="0FD8F8C6">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rPr>
        <w:t>联系电话：</w:t>
      </w:r>
      <w:r>
        <w:rPr>
          <w:rFonts w:hint="eastAsia" w:eastAsia="仿宋_GB2312"/>
          <w:color w:val="auto"/>
          <w:sz w:val="32"/>
          <w:szCs w:val="32"/>
          <w:highlight w:val="none"/>
          <w:u w:val="single"/>
          <w:lang w:val="en-US" w:eastAsia="zh-CN"/>
        </w:rPr>
        <w:t>18126818023</w:t>
      </w:r>
    </w:p>
    <w:p w14:paraId="0E47892A">
      <w:pPr>
        <w:adjustRightInd w:val="0"/>
        <w:snapToGrid w:val="0"/>
        <w:spacing w:line="276"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十三、注意事项</w:t>
      </w:r>
    </w:p>
    <w:p w14:paraId="4F2F4328">
      <w:pPr>
        <w:spacing w:line="276" w:lineRule="auto"/>
        <w:ind w:firstLine="640" w:firstLineChars="200"/>
        <w:rPr>
          <w:rFonts w:eastAsia="仿宋_GB2312"/>
          <w:color w:val="auto"/>
          <w:sz w:val="32"/>
          <w:szCs w:val="32"/>
          <w:highlight w:val="none"/>
        </w:rPr>
      </w:pPr>
      <w:bookmarkStart w:id="3"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7B66A29D">
      <w:pPr>
        <w:spacing w:line="276" w:lineRule="auto"/>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369316E3">
      <w:pPr>
        <w:spacing w:line="276" w:lineRule="auto"/>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3"/>
    </w:p>
    <w:p w14:paraId="61A0E00A">
      <w:pPr>
        <w:widowControl/>
        <w:spacing w:line="276" w:lineRule="auto"/>
        <w:ind w:firstLine="640" w:firstLineChars="200"/>
        <w:jc w:val="left"/>
        <w:rPr>
          <w:rFonts w:hint="eastAsia"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1C2210A8">
      <w:pPr>
        <w:widowControl/>
        <w:spacing w:line="276" w:lineRule="auto"/>
        <w:ind w:firstLine="640" w:firstLineChars="200"/>
        <w:jc w:val="left"/>
        <w:rPr>
          <w:rFonts w:hint="eastAsia" w:eastAsia="仿宋_GB2312"/>
          <w:color w:val="auto"/>
          <w:sz w:val="32"/>
          <w:szCs w:val="32"/>
          <w:highlight w:val="none"/>
        </w:rPr>
      </w:pPr>
    </w:p>
    <w:p w14:paraId="57F09DB3">
      <w:pPr>
        <w:wordWrap w:val="0"/>
        <w:spacing w:line="600" w:lineRule="exact"/>
        <w:ind w:firstLine="640" w:firstLineChars="200"/>
        <w:jc w:val="right"/>
        <w:rPr>
          <w:rFonts w:hint="eastAsia" w:eastAsia="仿宋_GB2312"/>
          <w:color w:val="auto"/>
          <w:sz w:val="32"/>
          <w:szCs w:val="32"/>
          <w:highlight w:val="none"/>
          <w:u w:val="single"/>
          <w:lang w:eastAsia="zh-CN"/>
        </w:rPr>
      </w:pPr>
      <w:r>
        <w:rPr>
          <w:rFonts w:hint="eastAsia" w:eastAsia="仿宋_GB2312"/>
          <w:color w:val="auto"/>
          <w:sz w:val="32"/>
          <w:szCs w:val="32"/>
          <w:highlight w:val="none"/>
          <w:u w:val="single"/>
          <w:lang w:eastAsia="zh-CN"/>
        </w:rPr>
        <w:t>东莞市松山湖旗筑置业有限公司</w:t>
      </w:r>
    </w:p>
    <w:p w14:paraId="7479C5D7">
      <w:pPr>
        <w:wordWrap w:val="0"/>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rPr>
        <w:t>2</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5</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19</w:t>
      </w:r>
      <w:r>
        <w:rPr>
          <w:rFonts w:hint="eastAsia" w:eastAsia="仿宋_GB2312"/>
          <w:color w:val="auto"/>
          <w:sz w:val="32"/>
          <w:szCs w:val="32"/>
          <w:highlight w:val="none"/>
        </w:rPr>
        <w:t>日</w:t>
      </w:r>
    </w:p>
    <w:p w14:paraId="4F22FC38">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486" w:bottom="1440" w:left="1800" w:header="851" w:footer="992" w:gutter="0"/>
          <w:cols w:space="720" w:num="1"/>
          <w:docGrid w:type="lines" w:linePitch="312" w:charSpace="0"/>
        </w:sectPr>
      </w:pPr>
    </w:p>
    <w:p w14:paraId="1A7CD678">
      <w:pPr>
        <w:pStyle w:val="49"/>
        <w:ind w:firstLine="0" w:firstLineChars="0"/>
        <w:jc w:val="center"/>
        <w:outlineLvl w:val="1"/>
        <w:rPr>
          <w:rFonts w:eastAsia="黑体"/>
          <w:color w:val="auto"/>
          <w:sz w:val="32"/>
          <w:szCs w:val="48"/>
          <w:highlight w:val="none"/>
        </w:rPr>
      </w:pPr>
      <w:r>
        <w:rPr>
          <w:rFonts w:hint="eastAsia" w:eastAsia="黑体"/>
          <w:color w:val="auto"/>
          <w:sz w:val="32"/>
          <w:szCs w:val="48"/>
          <w:highlight w:val="none"/>
        </w:rPr>
        <w:t>第一部分 投标须知</w:t>
      </w:r>
    </w:p>
    <w:p w14:paraId="31429FE3">
      <w:pPr>
        <w:pStyle w:val="49"/>
        <w:ind w:firstLine="880"/>
        <w:jc w:val="center"/>
        <w:outlineLvl w:val="1"/>
        <w:rPr>
          <w:rFonts w:eastAsia="华文中宋"/>
          <w:color w:val="auto"/>
          <w:sz w:val="44"/>
          <w:szCs w:val="44"/>
          <w:highlight w:val="none"/>
        </w:rPr>
      </w:pPr>
      <w:r>
        <w:rPr>
          <w:rFonts w:hint="eastAsia" w:eastAsia="华文中宋"/>
          <w:color w:val="auto"/>
          <w:sz w:val="44"/>
          <w:szCs w:val="44"/>
          <w:highlight w:val="none"/>
        </w:rPr>
        <w:t>投标须知</w:t>
      </w:r>
    </w:p>
    <w:tbl>
      <w:tblPr>
        <w:tblStyle w:val="26"/>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04F72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1E30F533">
            <w:pPr>
              <w:pStyle w:val="12"/>
              <w:spacing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0459AE9C">
            <w:pPr>
              <w:pStyle w:val="12"/>
              <w:spacing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002861FE">
            <w:pPr>
              <w:pStyle w:val="12"/>
              <w:spacing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10EC8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A749BEE">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4D506F3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tcPr>
          <w:p w14:paraId="6FC7F3AB">
            <w:pPr>
              <w:adjustRightInd w:val="0"/>
              <w:snapToGrid w:val="0"/>
              <w:spacing w:line="560" w:lineRule="exact"/>
              <w:rPr>
                <w:rFonts w:hint="eastAsia" w:eastAsia="仿宋_GB2312"/>
                <w:color w:val="auto"/>
                <w:sz w:val="32"/>
                <w:szCs w:val="32"/>
                <w:highlight w:val="none"/>
                <w:lang w:eastAsia="zh-CN"/>
              </w:rPr>
            </w:pPr>
            <w:r>
              <w:rPr>
                <w:rFonts w:hint="eastAsia" w:eastAsia="仿宋_GB2312"/>
                <w:color w:val="auto"/>
                <w:sz w:val="32"/>
                <w:szCs w:val="32"/>
                <w:highlight w:val="none"/>
                <w:u w:val="single"/>
                <w:lang w:eastAsia="zh-CN"/>
              </w:rPr>
              <w:t>东莞市松山湖高新区园区旗筑城市综合体前期策划咨询服务</w:t>
            </w:r>
          </w:p>
        </w:tc>
      </w:tr>
      <w:tr w14:paraId="79CC24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94C9147">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278CC26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tcPr>
          <w:p w14:paraId="03B77270">
            <w:pPr>
              <w:spacing w:line="360" w:lineRule="auto"/>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东莞市</w:t>
            </w:r>
          </w:p>
        </w:tc>
      </w:tr>
      <w:tr w14:paraId="5FDBCF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964DB32">
            <w:pPr>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vAlign w:val="center"/>
          </w:tcPr>
          <w:p w14:paraId="2A0A545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tcPr>
          <w:p w14:paraId="168DB112">
            <w:pPr>
              <w:spacing w:line="360" w:lineRule="auto"/>
              <w:rPr>
                <w:rFonts w:eastAsia="仿宋_GB2312"/>
                <w:color w:val="auto"/>
                <w:sz w:val="32"/>
                <w:szCs w:val="32"/>
                <w:highlight w:val="none"/>
              </w:rPr>
            </w:pPr>
            <w:r>
              <w:rPr>
                <w:rFonts w:hint="eastAsia" w:eastAsia="仿宋_GB2312"/>
                <w:color w:val="auto"/>
                <w:sz w:val="32"/>
                <w:szCs w:val="32"/>
                <w:highlight w:val="none"/>
              </w:rPr>
              <w:t>/</w:t>
            </w:r>
          </w:p>
        </w:tc>
      </w:tr>
      <w:tr w14:paraId="243241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FA1B196">
            <w:pPr>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14:paraId="1AA479D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tcPr>
          <w:p w14:paraId="0B79EE94">
            <w:pPr>
              <w:spacing w:line="360" w:lineRule="auto"/>
              <w:rPr>
                <w:rFonts w:eastAsia="仿宋_GB2312"/>
                <w:color w:val="auto"/>
                <w:sz w:val="32"/>
                <w:szCs w:val="32"/>
                <w:highlight w:val="none"/>
              </w:rPr>
            </w:pPr>
            <w:r>
              <w:rPr>
                <w:rFonts w:hint="eastAsia" w:eastAsia="仿宋_GB2312"/>
                <w:color w:val="auto"/>
                <w:sz w:val="32"/>
                <w:szCs w:val="32"/>
                <w:highlight w:val="none"/>
              </w:rPr>
              <w:t>详见第三部分《合同文本》</w:t>
            </w:r>
          </w:p>
        </w:tc>
      </w:tr>
      <w:tr w14:paraId="467CE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575025">
            <w:pPr>
              <w:spacing w:line="360" w:lineRule="auto"/>
              <w:jc w:val="center"/>
              <w:rPr>
                <w:rFonts w:eastAsia="仿宋_GB2312"/>
                <w:color w:val="auto"/>
                <w:sz w:val="32"/>
                <w:szCs w:val="32"/>
                <w:highlight w:val="none"/>
              </w:rPr>
            </w:pPr>
            <w:r>
              <w:rPr>
                <w:rFonts w:eastAsia="仿宋_GB2312"/>
                <w:color w:val="auto"/>
                <w:sz w:val="32"/>
                <w:szCs w:val="32"/>
                <w:highlight w:val="none"/>
              </w:rPr>
              <w:t>5</w:t>
            </w:r>
          </w:p>
        </w:tc>
        <w:tc>
          <w:tcPr>
            <w:tcW w:w="2275" w:type="dxa"/>
            <w:vAlign w:val="center"/>
          </w:tcPr>
          <w:p w14:paraId="72DA3486">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质量标准</w:t>
            </w:r>
          </w:p>
        </w:tc>
        <w:tc>
          <w:tcPr>
            <w:tcW w:w="5942" w:type="dxa"/>
          </w:tcPr>
          <w:p w14:paraId="47F5DECD">
            <w:pPr>
              <w:spacing w:line="360" w:lineRule="auto"/>
              <w:rPr>
                <w:rFonts w:eastAsia="仿宋_GB2312"/>
                <w:color w:val="auto"/>
                <w:sz w:val="32"/>
                <w:szCs w:val="32"/>
                <w:highlight w:val="none"/>
              </w:rPr>
            </w:pPr>
            <w:r>
              <w:rPr>
                <w:rFonts w:hint="eastAsia" w:eastAsia="仿宋_GB2312"/>
                <w:color w:val="auto"/>
                <w:sz w:val="32"/>
                <w:szCs w:val="32"/>
                <w:highlight w:val="none"/>
              </w:rPr>
              <w:t>详见第三部分《合同文本》</w:t>
            </w:r>
          </w:p>
        </w:tc>
      </w:tr>
      <w:tr w14:paraId="782CC6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278BDA0">
            <w:pPr>
              <w:spacing w:line="360" w:lineRule="auto"/>
              <w:jc w:val="center"/>
              <w:rPr>
                <w:rFonts w:eastAsia="仿宋_GB2312"/>
                <w:color w:val="auto"/>
                <w:sz w:val="32"/>
                <w:szCs w:val="32"/>
                <w:highlight w:val="none"/>
              </w:rPr>
            </w:pPr>
            <w:r>
              <w:rPr>
                <w:rFonts w:eastAsia="仿宋_GB2312"/>
                <w:color w:val="auto"/>
                <w:sz w:val="32"/>
                <w:szCs w:val="32"/>
                <w:highlight w:val="none"/>
              </w:rPr>
              <w:t>6</w:t>
            </w:r>
          </w:p>
        </w:tc>
        <w:tc>
          <w:tcPr>
            <w:tcW w:w="2275" w:type="dxa"/>
            <w:vAlign w:val="center"/>
          </w:tcPr>
          <w:p w14:paraId="70723F12">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tcPr>
          <w:p w14:paraId="29B7D6DC">
            <w:pPr>
              <w:spacing w:line="360" w:lineRule="auto"/>
              <w:rPr>
                <w:rFonts w:eastAsia="仿宋_GB2312"/>
                <w:color w:val="auto"/>
                <w:sz w:val="32"/>
                <w:szCs w:val="32"/>
                <w:highlight w:val="none"/>
              </w:rPr>
            </w:pPr>
            <w:r>
              <w:rPr>
                <w:rFonts w:hint="eastAsia" w:eastAsia="仿宋_GB2312"/>
                <w:color w:val="auto"/>
                <w:sz w:val="32"/>
                <w:szCs w:val="32"/>
                <w:highlight w:val="none"/>
              </w:rPr>
              <w:t>详见第三部分《合同文本》</w:t>
            </w:r>
          </w:p>
        </w:tc>
      </w:tr>
      <w:tr w14:paraId="482C9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437E252">
            <w:pPr>
              <w:spacing w:line="360" w:lineRule="auto"/>
              <w:jc w:val="center"/>
              <w:rPr>
                <w:rFonts w:eastAsia="仿宋_GB2312"/>
                <w:color w:val="auto"/>
                <w:sz w:val="32"/>
                <w:szCs w:val="32"/>
                <w:highlight w:val="none"/>
              </w:rPr>
            </w:pPr>
            <w:r>
              <w:rPr>
                <w:rFonts w:eastAsia="仿宋_GB2312"/>
                <w:color w:val="auto"/>
                <w:sz w:val="32"/>
                <w:szCs w:val="32"/>
                <w:highlight w:val="none"/>
              </w:rPr>
              <w:t>7</w:t>
            </w:r>
          </w:p>
        </w:tc>
        <w:tc>
          <w:tcPr>
            <w:tcW w:w="2275" w:type="dxa"/>
            <w:vAlign w:val="center"/>
          </w:tcPr>
          <w:p w14:paraId="6687C38C">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14:paraId="421F5641">
            <w:pPr>
              <w:adjustRightInd w:val="0"/>
              <w:snapToGrid w:val="0"/>
              <w:spacing w:line="560" w:lineRule="exact"/>
              <w:rPr>
                <w:rFonts w:eastAsia="仿宋_GB2312"/>
                <w:b/>
                <w:color w:val="auto"/>
                <w:sz w:val="32"/>
                <w:szCs w:val="32"/>
                <w:highlight w:val="none"/>
              </w:rPr>
            </w:pPr>
            <w:r>
              <w:rPr>
                <w:rFonts w:hint="eastAsia" w:eastAsia="仿宋_GB2312"/>
                <w:color w:val="auto"/>
                <w:sz w:val="32"/>
                <w:szCs w:val="32"/>
                <w:highlight w:val="none"/>
              </w:rPr>
              <w:t>/</w:t>
            </w:r>
          </w:p>
        </w:tc>
      </w:tr>
      <w:tr w14:paraId="772BB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CCAF58E">
            <w:pPr>
              <w:spacing w:line="360" w:lineRule="auto"/>
              <w:jc w:val="center"/>
              <w:rPr>
                <w:rFonts w:eastAsia="仿宋_GB2312"/>
                <w:color w:val="auto"/>
                <w:sz w:val="32"/>
                <w:szCs w:val="32"/>
                <w:highlight w:val="none"/>
              </w:rPr>
            </w:pPr>
            <w:r>
              <w:rPr>
                <w:rFonts w:eastAsia="仿宋_GB2312"/>
                <w:color w:val="auto"/>
                <w:sz w:val="32"/>
                <w:szCs w:val="32"/>
                <w:highlight w:val="none"/>
              </w:rPr>
              <w:t>8</w:t>
            </w:r>
          </w:p>
        </w:tc>
        <w:tc>
          <w:tcPr>
            <w:tcW w:w="2275" w:type="dxa"/>
          </w:tcPr>
          <w:p w14:paraId="708201A1">
            <w:pPr>
              <w:spacing w:line="360" w:lineRule="auto"/>
              <w:jc w:val="center"/>
              <w:rPr>
                <w:rFonts w:eastAsia="仿宋_GB2312"/>
                <w:color w:val="auto"/>
                <w:sz w:val="32"/>
                <w:szCs w:val="32"/>
                <w:highlight w:val="none"/>
              </w:rPr>
            </w:pPr>
            <w:r>
              <w:rPr>
                <w:rFonts w:hint="eastAsia" w:eastAsia="仿宋_GB2312"/>
                <w:color w:val="auto"/>
                <w:sz w:val="32"/>
                <w:szCs w:val="32"/>
                <w:highlight w:val="none"/>
              </w:rPr>
              <w:t>报价保证金</w:t>
            </w:r>
          </w:p>
        </w:tc>
        <w:tc>
          <w:tcPr>
            <w:tcW w:w="5942" w:type="dxa"/>
            <w:vAlign w:val="center"/>
          </w:tcPr>
          <w:p w14:paraId="5F0A9C1F">
            <w:pPr>
              <w:spacing w:line="500" w:lineRule="exact"/>
              <w:jc w:val="left"/>
              <w:rPr>
                <w:rFonts w:eastAsia="仿宋_GB2312"/>
                <w:color w:val="auto"/>
                <w:sz w:val="32"/>
                <w:szCs w:val="32"/>
                <w:highlight w:val="none"/>
              </w:rPr>
            </w:pPr>
            <w:r>
              <w:rPr>
                <w:rFonts w:hint="eastAsia" w:eastAsia="仿宋_GB2312"/>
                <w:color w:val="auto"/>
                <w:sz w:val="32"/>
                <w:szCs w:val="32"/>
                <w:highlight w:val="none"/>
              </w:rPr>
              <w:t>1、响应人应按采购文件规定的金额和期限交纳报价保证金，报价保证金作为响应文件的组成部分。响应人与交款人名称必须一致，非响应人缴纳的报价保证金无效。</w:t>
            </w:r>
          </w:p>
          <w:p w14:paraId="2F1BFF9E">
            <w:pPr>
              <w:spacing w:line="500" w:lineRule="exact"/>
              <w:jc w:val="left"/>
              <w:rPr>
                <w:rFonts w:hint="eastAsia" w:eastAsia="仿宋_GB2312"/>
                <w:color w:val="auto"/>
                <w:sz w:val="32"/>
                <w:szCs w:val="32"/>
                <w:highlight w:val="none"/>
                <w:lang w:val="en-US" w:eastAsia="zh-CN"/>
              </w:rPr>
            </w:pPr>
            <w:r>
              <w:rPr>
                <w:rFonts w:hint="eastAsia" w:eastAsia="仿宋_GB2312"/>
                <w:color w:val="auto"/>
                <w:sz w:val="32"/>
                <w:szCs w:val="32"/>
                <w:highlight w:val="none"/>
              </w:rPr>
              <w:t>2、报价保证金金额：人民币</w:t>
            </w:r>
            <w:r>
              <w:rPr>
                <w:rFonts w:hint="eastAsia" w:eastAsia="仿宋_GB2312"/>
                <w:color w:val="auto"/>
                <w:sz w:val="32"/>
                <w:szCs w:val="32"/>
                <w:highlight w:val="none"/>
                <w:lang w:val="en-US" w:eastAsia="zh-CN"/>
              </w:rPr>
              <w:t>15600.00</w:t>
            </w:r>
            <w:r>
              <w:rPr>
                <w:rFonts w:hint="eastAsia" w:eastAsia="仿宋_GB2312"/>
                <w:color w:val="auto"/>
                <w:sz w:val="32"/>
                <w:szCs w:val="32"/>
                <w:highlight w:val="none"/>
              </w:rPr>
              <w:t>元。</w:t>
            </w:r>
          </w:p>
          <w:p w14:paraId="3E47714E">
            <w:pPr>
              <w:spacing w:line="500" w:lineRule="exact"/>
              <w:jc w:val="left"/>
              <w:rPr>
                <w:rFonts w:eastAsia="仿宋_GB2312"/>
                <w:color w:val="auto"/>
                <w:sz w:val="32"/>
                <w:szCs w:val="32"/>
                <w:highlight w:val="none"/>
              </w:rPr>
            </w:pPr>
            <w:r>
              <w:rPr>
                <w:rFonts w:hint="eastAsia" w:eastAsia="仿宋_GB2312"/>
                <w:color w:val="auto"/>
                <w:sz w:val="32"/>
                <w:szCs w:val="32"/>
                <w:highlight w:val="none"/>
              </w:rPr>
              <w:t>3、报价保证金缴纳期限：响应文件递交截止时间前（报价保证金汇错账号、迟到或不足额均作无效处理）。</w:t>
            </w:r>
          </w:p>
          <w:p w14:paraId="5C4C027A">
            <w:pPr>
              <w:spacing w:line="500" w:lineRule="exact"/>
              <w:jc w:val="left"/>
              <w:rPr>
                <w:rFonts w:eastAsia="仿宋_GB2312"/>
                <w:color w:val="auto"/>
                <w:sz w:val="32"/>
                <w:szCs w:val="32"/>
                <w:highlight w:val="none"/>
              </w:rPr>
            </w:pPr>
            <w:r>
              <w:rPr>
                <w:rFonts w:hint="eastAsia" w:eastAsia="仿宋_GB2312"/>
                <w:color w:val="auto"/>
                <w:sz w:val="32"/>
                <w:szCs w:val="32"/>
                <w:highlight w:val="none"/>
              </w:rPr>
              <w:t>4、投标保证金缴纳方式：转帐。</w:t>
            </w:r>
          </w:p>
          <w:p w14:paraId="367A6641">
            <w:pPr>
              <w:spacing w:line="500" w:lineRule="exact"/>
              <w:jc w:val="left"/>
              <w:rPr>
                <w:rFonts w:eastAsia="仿宋_GB2312"/>
                <w:color w:val="auto"/>
                <w:sz w:val="32"/>
                <w:szCs w:val="32"/>
                <w:highlight w:val="none"/>
              </w:rPr>
            </w:pPr>
            <w:r>
              <w:rPr>
                <w:rFonts w:hint="eastAsia" w:eastAsia="仿宋_GB2312"/>
                <w:color w:val="auto"/>
                <w:sz w:val="32"/>
                <w:szCs w:val="32"/>
                <w:highlight w:val="none"/>
              </w:rPr>
              <w:t>5、报价保证金收款账户信息：</w:t>
            </w:r>
          </w:p>
          <w:p w14:paraId="1C9224E2">
            <w:pPr>
              <w:adjustRightInd w:val="0"/>
              <w:snapToGrid w:val="0"/>
              <w:spacing w:line="560" w:lineRule="exact"/>
              <w:rPr>
                <w:rFonts w:hint="eastAsia"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账户名称：</w:t>
            </w:r>
            <w:r>
              <w:rPr>
                <w:rFonts w:hint="eastAsia" w:eastAsia="仿宋_GB2312" w:cs="Times New Roman"/>
                <w:color w:val="auto"/>
                <w:sz w:val="32"/>
                <w:szCs w:val="32"/>
                <w:highlight w:val="none"/>
                <w:u w:val="single"/>
                <w:lang w:val="en-US" w:eastAsia="zh-CN"/>
              </w:rPr>
              <w:t>东莞市松山湖旗筑置业有限公司</w:t>
            </w:r>
          </w:p>
          <w:p w14:paraId="16973501">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银行账号：</w:t>
            </w:r>
            <w:r>
              <w:rPr>
                <w:rFonts w:hint="eastAsia" w:eastAsia="仿宋_GB2312" w:cs="Times New Roman"/>
                <w:color w:val="auto"/>
                <w:sz w:val="32"/>
                <w:szCs w:val="32"/>
                <w:highlight w:val="none"/>
                <w:u w:val="single"/>
                <w:lang w:val="en-US" w:eastAsia="zh-CN"/>
              </w:rPr>
              <w:t>769915051810001</w:t>
            </w:r>
            <w:r>
              <w:rPr>
                <w:rFonts w:hint="eastAsia" w:ascii="Times New Roman" w:hAnsi="Times New Roman" w:eastAsia="仿宋_GB2312" w:cs="Times New Roman"/>
                <w:color w:val="auto"/>
                <w:sz w:val="32"/>
                <w:szCs w:val="32"/>
                <w:highlight w:val="none"/>
                <w:u w:val="single"/>
                <w:lang w:val="en-US" w:eastAsia="zh-CN"/>
              </w:rPr>
              <w:t xml:space="preserve"> </w:t>
            </w:r>
          </w:p>
          <w:p w14:paraId="658DDD31">
            <w:pPr>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开户银行：</w:t>
            </w:r>
            <w:r>
              <w:rPr>
                <w:rFonts w:hint="eastAsia" w:ascii="Times New Roman" w:hAnsi="Times New Roman" w:eastAsia="仿宋_GB2312" w:cs="Times New Roman"/>
                <w:color w:val="auto"/>
                <w:sz w:val="32"/>
                <w:szCs w:val="32"/>
                <w:highlight w:val="none"/>
                <w:u w:val="single"/>
                <w:lang w:val="en-US" w:eastAsia="zh-CN"/>
              </w:rPr>
              <w:t>招商银行东莞松山湖支行</w:t>
            </w:r>
          </w:p>
          <w:p w14:paraId="7CB37043">
            <w:pPr>
              <w:adjustRightInd w:val="0"/>
              <w:snapToGrid w:val="0"/>
              <w:spacing w:line="560" w:lineRule="exact"/>
              <w:rPr>
                <w:color w:val="auto"/>
                <w:highlight w:val="none"/>
              </w:rPr>
            </w:pPr>
            <w:r>
              <w:rPr>
                <w:rFonts w:hint="eastAsia" w:eastAsia="仿宋_GB2312"/>
                <w:color w:val="auto"/>
                <w:sz w:val="32"/>
                <w:szCs w:val="32"/>
                <w:highlight w:val="none"/>
              </w:rPr>
              <w:t>6、未成交的响应人报价保证金在开标结束后无息退还。成交人缴纳的报价保证金不退还，在双方签订合同后转为履约保证金，作为成交人在履约过程中违约金或罚款的扣罚来源之一。履约保证金申请返还时间为本项目服务结算之日，成交人没有任何违约的情况下由成交人提交退款申请，收到成交人申请后30个日历日内，采购人一次性无息退回。</w:t>
            </w:r>
          </w:p>
        </w:tc>
      </w:tr>
      <w:tr w14:paraId="6A38B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BC44C6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9</w:t>
            </w:r>
          </w:p>
        </w:tc>
        <w:tc>
          <w:tcPr>
            <w:tcW w:w="2275" w:type="dxa"/>
          </w:tcPr>
          <w:p w14:paraId="05EB06DF">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响应有效期</w:t>
            </w:r>
          </w:p>
        </w:tc>
        <w:tc>
          <w:tcPr>
            <w:tcW w:w="5942" w:type="dxa"/>
            <w:vAlign w:val="center"/>
          </w:tcPr>
          <w:p w14:paraId="6D4C2F9B">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5F84A8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5A9C9EC">
            <w:pPr>
              <w:spacing w:line="360" w:lineRule="auto"/>
              <w:jc w:val="center"/>
              <w:rPr>
                <w:rFonts w:eastAsia="仿宋_GB2312"/>
                <w:color w:val="auto"/>
                <w:sz w:val="32"/>
                <w:szCs w:val="32"/>
                <w:highlight w:val="none"/>
              </w:rPr>
            </w:pPr>
            <w:r>
              <w:rPr>
                <w:rFonts w:hint="eastAsia" w:eastAsia="仿宋_GB2312"/>
                <w:color w:val="auto"/>
                <w:sz w:val="32"/>
                <w:szCs w:val="32"/>
                <w:highlight w:val="none"/>
              </w:rPr>
              <w:t>10</w:t>
            </w:r>
          </w:p>
        </w:tc>
        <w:tc>
          <w:tcPr>
            <w:tcW w:w="2275" w:type="dxa"/>
            <w:vAlign w:val="center"/>
          </w:tcPr>
          <w:p w14:paraId="1D1E9146">
            <w:pPr>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0B33BF3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53A64F0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46F6BBE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2C197B5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4415F83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074DABE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0E3784A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671F9BC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）竞争性磋商文件规定的其他情形：见竞争性磋商公告或竞争性磋商响应须知前附表。</w:t>
            </w:r>
          </w:p>
          <w:p w14:paraId="17C026C9">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、响应人在竞争性磋商活动中有下列行为之一的，应视情节轻重，暂停或取消其参与采购人及东实集团旗下采购项目的资格：</w:t>
            </w:r>
          </w:p>
          <w:p w14:paraId="65A2B85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）响应人之间相互串通、或与采购人、代理机构、评审委员会成员串通磋商，损害采购人或者其他响应人的合法权益的；</w:t>
            </w:r>
            <w:r>
              <w:rPr>
                <w:rFonts w:eastAsia="仿宋_GB2312"/>
                <w:color w:val="auto"/>
                <w:sz w:val="32"/>
                <w:szCs w:val="32"/>
                <w:highlight w:val="none"/>
              </w:rPr>
              <w:t xml:space="preserve"> </w:t>
            </w:r>
          </w:p>
          <w:p w14:paraId="04BAFEB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7682059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）以他人名义磋商或以其他方式弄虚作假，骗取成交的；</w:t>
            </w:r>
            <w:r>
              <w:rPr>
                <w:rFonts w:eastAsia="仿宋_GB2312"/>
                <w:color w:val="auto"/>
                <w:sz w:val="32"/>
                <w:szCs w:val="32"/>
                <w:highlight w:val="none"/>
              </w:rPr>
              <w:t xml:space="preserve"> </w:t>
            </w:r>
          </w:p>
          <w:p w14:paraId="13F5805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428DD46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）成交人无正当理由不与采购人订立合同，在签订合同时向采购人提出附加条件，或者不按照竞争性磋商文件要求提交履约担保的；</w:t>
            </w:r>
          </w:p>
          <w:p w14:paraId="3448737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1BC1607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1D51EBF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36BC1F82">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、有下列情形之一的，视为响应人串通磋商，其响应无效：</w:t>
            </w:r>
          </w:p>
          <w:p w14:paraId="5FE4B6A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7BA6200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31BEC93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64B2509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04A53D0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300F4CA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31D16FC6">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、使用通过受让或者租借等方式获取的资格、资质证书响应的，属于以他人名义磋商，其响应无效：</w:t>
            </w:r>
          </w:p>
          <w:p w14:paraId="18C8CC64">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6231C0F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6E02593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22035E7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462C6CD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10ABCA6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49138BA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p>
          <w:p w14:paraId="2FEE550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17831FA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（二）竞争性磋商活动前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年内与其存在劳动关系，担任其董事、监事，是其控股股东或实际控制人，或存在其他经济利益关系，可能影响竞争性磋商活动公平公正的；</w:t>
            </w:r>
          </w:p>
          <w:p w14:paraId="6471FA6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（三）其他可能影响竞争性磋商活动公平、公正进行的关系。</w:t>
            </w:r>
          </w:p>
        </w:tc>
      </w:tr>
    </w:tbl>
    <w:p w14:paraId="25965D09">
      <w:pPr>
        <w:spacing w:line="360" w:lineRule="auto"/>
        <w:ind w:firstLine="640" w:firstLineChars="200"/>
        <w:jc w:val="center"/>
        <w:rPr>
          <w:rFonts w:ascii="仿宋_GB2312" w:hAnsi="仿宋_GB2312" w:eastAsia="仿宋_GB2312" w:cs="仿宋_GB2312"/>
          <w:b/>
          <w:bCs/>
          <w:color w:val="auto"/>
          <w:kern w:val="0"/>
          <w:sz w:val="32"/>
          <w:szCs w:val="32"/>
          <w:highlight w:val="none"/>
        </w:rPr>
      </w:pPr>
    </w:p>
    <w:p w14:paraId="5C67CFCD">
      <w:pPr>
        <w:spacing w:line="360" w:lineRule="auto"/>
        <w:ind w:firstLine="640" w:firstLineChars="200"/>
        <w:jc w:val="center"/>
        <w:rPr>
          <w:rFonts w:ascii="仿宋_GB2312" w:hAnsi="仿宋_GB2312" w:eastAsia="仿宋_GB2312" w:cs="仿宋_GB2312"/>
          <w:b/>
          <w:bCs/>
          <w:color w:val="auto"/>
          <w:kern w:val="0"/>
          <w:sz w:val="32"/>
          <w:szCs w:val="32"/>
          <w:highlight w:val="none"/>
        </w:rPr>
      </w:pPr>
    </w:p>
    <w:p w14:paraId="2318A770">
      <w:pPr>
        <w:rPr>
          <w:rFonts w:ascii="仿宋_GB2312" w:hAnsi="仿宋_GB2312" w:eastAsia="仿宋_GB2312" w:cs="仿宋_GB2312"/>
          <w:b/>
          <w:bCs/>
          <w:color w:val="auto"/>
          <w:kern w:val="0"/>
          <w:sz w:val="32"/>
          <w:szCs w:val="32"/>
          <w:highlight w:val="none"/>
        </w:rPr>
      </w:pPr>
      <w:r>
        <w:rPr>
          <w:rFonts w:ascii="仿宋_GB2312" w:hAnsi="仿宋_GB2312" w:eastAsia="仿宋_GB2312" w:cs="仿宋_GB2312"/>
          <w:b/>
          <w:bCs/>
          <w:color w:val="auto"/>
          <w:kern w:val="0"/>
          <w:sz w:val="32"/>
          <w:szCs w:val="32"/>
          <w:highlight w:val="none"/>
        </w:rPr>
        <w:br w:type="page"/>
      </w:r>
    </w:p>
    <w:p w14:paraId="2C013D50">
      <w:pPr>
        <w:pStyle w:val="49"/>
        <w:ind w:firstLine="640"/>
        <w:jc w:val="center"/>
        <w:outlineLvl w:val="1"/>
        <w:rPr>
          <w:rFonts w:eastAsia="黑体"/>
          <w:color w:val="auto"/>
          <w:sz w:val="28"/>
          <w:szCs w:val="44"/>
          <w:highlight w:val="none"/>
        </w:rPr>
      </w:pPr>
      <w:r>
        <w:rPr>
          <w:rFonts w:hint="eastAsia" w:eastAsia="黑体"/>
          <w:color w:val="auto"/>
          <w:sz w:val="32"/>
          <w:szCs w:val="48"/>
          <w:highlight w:val="none"/>
        </w:rPr>
        <w:t>第二部分 评分标准</w:t>
      </w:r>
    </w:p>
    <w:tbl>
      <w:tblPr>
        <w:tblStyle w:val="2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80"/>
        <w:gridCol w:w="2358"/>
        <w:gridCol w:w="2407"/>
        <w:gridCol w:w="2407"/>
      </w:tblGrid>
      <w:tr w14:paraId="228E8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06" w:type="pct"/>
            <w:vAlign w:val="center"/>
          </w:tcPr>
          <w:p w14:paraId="5A6D38DF">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评分项目</w:t>
            </w:r>
          </w:p>
        </w:tc>
        <w:tc>
          <w:tcPr>
            <w:tcW w:w="1247" w:type="pct"/>
            <w:vAlign w:val="center"/>
          </w:tcPr>
          <w:p w14:paraId="1E683742">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价格部分</w:t>
            </w:r>
          </w:p>
        </w:tc>
        <w:tc>
          <w:tcPr>
            <w:tcW w:w="1273" w:type="pct"/>
            <w:vAlign w:val="center"/>
          </w:tcPr>
          <w:p w14:paraId="05811314">
            <w:pPr>
              <w:jc w:val="center"/>
              <w:rPr>
                <w:rFonts w:hint="eastAsia" w:ascii="仿宋_GB2312" w:hAnsi="仿宋_GB2312" w:eastAsia="宋体" w:cs="仿宋_GB2312"/>
                <w:color w:val="auto"/>
                <w:sz w:val="24"/>
                <w:szCs w:val="22"/>
                <w:highlight w:val="none"/>
                <w:lang w:val="en-US" w:eastAsia="zh-CN"/>
              </w:rPr>
            </w:pPr>
            <w:r>
              <w:rPr>
                <w:rFonts w:hint="eastAsia" w:ascii="仿宋_GB2312" w:hAnsi="仿宋_GB2312" w:cs="仿宋_GB2312"/>
                <w:color w:val="auto"/>
                <w:sz w:val="24"/>
                <w:szCs w:val="22"/>
                <w:highlight w:val="none"/>
              </w:rPr>
              <w:t>商务</w:t>
            </w:r>
            <w:r>
              <w:rPr>
                <w:rFonts w:hint="eastAsia" w:ascii="仿宋_GB2312" w:hAnsi="仿宋_GB2312" w:cs="仿宋_GB2312"/>
                <w:color w:val="auto"/>
                <w:sz w:val="24"/>
                <w:szCs w:val="22"/>
                <w:highlight w:val="none"/>
                <w:lang w:val="en-US" w:eastAsia="zh-CN"/>
              </w:rPr>
              <w:t>部分</w:t>
            </w:r>
          </w:p>
        </w:tc>
        <w:tc>
          <w:tcPr>
            <w:tcW w:w="1273" w:type="pct"/>
            <w:vAlign w:val="center"/>
          </w:tcPr>
          <w:p w14:paraId="6B1C1EB9">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技术部分</w:t>
            </w:r>
          </w:p>
        </w:tc>
      </w:tr>
      <w:tr w14:paraId="3F132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06" w:type="pct"/>
            <w:vAlign w:val="center"/>
          </w:tcPr>
          <w:p w14:paraId="022848B0">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权重（</w:t>
            </w:r>
            <w:r>
              <w:rPr>
                <w:rFonts w:ascii="仿宋_GB2312" w:hAnsi="仿宋_GB2312" w:cs="仿宋_GB2312"/>
                <w:color w:val="auto"/>
                <w:sz w:val="24"/>
                <w:szCs w:val="22"/>
                <w:highlight w:val="none"/>
              </w:rPr>
              <w:t>%）</w:t>
            </w:r>
          </w:p>
        </w:tc>
        <w:tc>
          <w:tcPr>
            <w:tcW w:w="1247" w:type="pct"/>
            <w:vAlign w:val="center"/>
          </w:tcPr>
          <w:p w14:paraId="46BB92DE">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40</w:t>
            </w:r>
          </w:p>
        </w:tc>
        <w:tc>
          <w:tcPr>
            <w:tcW w:w="1273" w:type="pct"/>
            <w:vAlign w:val="center"/>
          </w:tcPr>
          <w:p w14:paraId="18D5446B">
            <w:pPr>
              <w:jc w:val="center"/>
              <w:rPr>
                <w:rFonts w:hint="default" w:ascii="仿宋_GB2312" w:hAnsi="仿宋_GB2312" w:eastAsia="宋体" w:cs="仿宋_GB2312"/>
                <w:color w:val="auto"/>
                <w:sz w:val="24"/>
                <w:szCs w:val="22"/>
                <w:highlight w:val="none"/>
                <w:lang w:val="en-US" w:eastAsia="zh-CN"/>
              </w:rPr>
            </w:pPr>
            <w:r>
              <w:rPr>
                <w:rFonts w:hint="eastAsia" w:ascii="仿宋_GB2312" w:hAnsi="仿宋_GB2312" w:cs="仿宋_GB2312"/>
                <w:color w:val="auto"/>
                <w:sz w:val="24"/>
                <w:szCs w:val="22"/>
                <w:highlight w:val="none"/>
                <w:lang w:val="en-US" w:eastAsia="zh-CN"/>
              </w:rPr>
              <w:t>20</w:t>
            </w:r>
          </w:p>
        </w:tc>
        <w:tc>
          <w:tcPr>
            <w:tcW w:w="1273" w:type="pct"/>
            <w:vAlign w:val="center"/>
          </w:tcPr>
          <w:p w14:paraId="4A725D89">
            <w:pPr>
              <w:jc w:val="center"/>
              <w:rPr>
                <w:rFonts w:hint="default" w:ascii="仿宋_GB2312" w:hAnsi="仿宋_GB2312" w:eastAsia="宋体" w:cs="仿宋_GB2312"/>
                <w:color w:val="auto"/>
                <w:sz w:val="24"/>
                <w:szCs w:val="22"/>
                <w:highlight w:val="none"/>
                <w:lang w:val="en-US" w:eastAsia="zh-CN"/>
              </w:rPr>
            </w:pPr>
            <w:r>
              <w:rPr>
                <w:rFonts w:hint="eastAsia" w:ascii="仿宋_GB2312" w:hAnsi="仿宋_GB2312" w:cs="仿宋_GB2312"/>
                <w:color w:val="auto"/>
                <w:sz w:val="24"/>
                <w:szCs w:val="22"/>
                <w:highlight w:val="none"/>
                <w:lang w:val="en-US" w:eastAsia="zh-CN"/>
              </w:rPr>
              <w:t>40</w:t>
            </w:r>
          </w:p>
        </w:tc>
      </w:tr>
    </w:tbl>
    <w:p w14:paraId="790CBB40">
      <w:pPr>
        <w:pStyle w:val="69"/>
        <w:numPr>
          <w:ilvl w:val="0"/>
          <w:numId w:val="7"/>
        </w:numPr>
        <w:spacing w:before="230" w:beforeLines="50" w:line="360" w:lineRule="auto"/>
        <w:ind w:firstLineChars="0"/>
        <w:rPr>
          <w:rFonts w:ascii="仿宋_GB2312" w:hAnsi="仿宋_GB2312" w:cs="仿宋_GB2312"/>
          <w:bCs/>
          <w:color w:val="auto"/>
          <w:szCs w:val="21"/>
          <w:highlight w:val="none"/>
        </w:rPr>
      </w:pPr>
      <w:r>
        <w:rPr>
          <w:rFonts w:hint="eastAsia" w:ascii="仿宋_GB2312" w:hAnsi="仿宋_GB2312" w:cs="仿宋_GB2312"/>
          <w:bCs/>
          <w:color w:val="auto"/>
          <w:szCs w:val="21"/>
          <w:highlight w:val="none"/>
        </w:rPr>
        <w:t>综合得分＝价格得分＋商务得分＋技术得分</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9"/>
        <w:gridCol w:w="671"/>
        <w:gridCol w:w="5727"/>
      </w:tblGrid>
      <w:tr w14:paraId="1509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2EDE77E">
            <w:pPr>
              <w:pStyle w:val="48"/>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序号</w:t>
            </w:r>
          </w:p>
        </w:tc>
        <w:tc>
          <w:tcPr>
            <w:tcW w:w="1449" w:type="dxa"/>
            <w:vAlign w:val="center"/>
          </w:tcPr>
          <w:p w14:paraId="1DD862AF">
            <w:pPr>
              <w:pStyle w:val="48"/>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评分内容</w:t>
            </w:r>
          </w:p>
        </w:tc>
        <w:tc>
          <w:tcPr>
            <w:tcW w:w="671" w:type="dxa"/>
            <w:vAlign w:val="center"/>
          </w:tcPr>
          <w:p w14:paraId="19944230">
            <w:pPr>
              <w:pStyle w:val="48"/>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分值</w:t>
            </w:r>
          </w:p>
        </w:tc>
        <w:tc>
          <w:tcPr>
            <w:tcW w:w="5727" w:type="dxa"/>
            <w:vAlign w:val="center"/>
          </w:tcPr>
          <w:p w14:paraId="52633BC9">
            <w:pPr>
              <w:pStyle w:val="48"/>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评审标准</w:t>
            </w:r>
          </w:p>
        </w:tc>
      </w:tr>
      <w:tr w14:paraId="426C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14:paraId="0461DA0B">
            <w:pPr>
              <w:pStyle w:val="48"/>
              <w:spacing w:line="360" w:lineRule="auto"/>
              <w:ind w:firstLine="0" w:firstLineChars="0"/>
              <w:jc w:val="center"/>
              <w:rPr>
                <w:rFonts w:hAnsi="仿宋_GB2312" w:cs="仿宋_GB2312"/>
                <w:b/>
                <w:color w:val="auto"/>
                <w:sz w:val="21"/>
                <w:szCs w:val="21"/>
                <w:highlight w:val="none"/>
              </w:rPr>
            </w:pPr>
            <w:r>
              <w:rPr>
                <w:rFonts w:hint="eastAsia" w:cs="宋体"/>
                <w:b/>
                <w:color w:val="auto"/>
                <w:sz w:val="21"/>
                <w:szCs w:val="21"/>
                <w:highlight w:val="none"/>
              </w:rPr>
              <w:t>价格评分（4</w:t>
            </w:r>
            <w:r>
              <w:rPr>
                <w:rFonts w:cs="宋体"/>
                <w:b/>
                <w:color w:val="auto"/>
                <w:sz w:val="21"/>
                <w:szCs w:val="21"/>
                <w:highlight w:val="none"/>
              </w:rPr>
              <w:t>0</w:t>
            </w:r>
            <w:r>
              <w:rPr>
                <w:rFonts w:hint="eastAsia" w:cs="宋体"/>
                <w:b/>
                <w:color w:val="auto"/>
                <w:sz w:val="21"/>
                <w:szCs w:val="21"/>
                <w:highlight w:val="none"/>
              </w:rPr>
              <w:t>分）</w:t>
            </w:r>
          </w:p>
        </w:tc>
      </w:tr>
      <w:tr w14:paraId="1368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B330AD5">
            <w:pPr>
              <w:pStyle w:val="48"/>
              <w:spacing w:line="360" w:lineRule="auto"/>
              <w:ind w:firstLine="0" w:firstLineChars="0"/>
              <w:jc w:val="center"/>
              <w:rPr>
                <w:rFonts w:hAnsi="仿宋_GB2312" w:cs="仿宋_GB2312"/>
                <w:b/>
                <w:color w:val="auto"/>
                <w:sz w:val="21"/>
                <w:szCs w:val="21"/>
                <w:highlight w:val="none"/>
              </w:rPr>
            </w:pPr>
            <w:r>
              <w:rPr>
                <w:rFonts w:hint="eastAsia" w:hAnsi="仿宋_GB2312" w:cs="仿宋_GB2312"/>
                <w:b w:val="0"/>
                <w:bCs/>
                <w:color w:val="auto"/>
                <w:sz w:val="21"/>
                <w:szCs w:val="21"/>
                <w:highlight w:val="none"/>
              </w:rPr>
              <w:t>1</w:t>
            </w:r>
          </w:p>
        </w:tc>
        <w:tc>
          <w:tcPr>
            <w:tcW w:w="1449" w:type="dxa"/>
            <w:vAlign w:val="center"/>
          </w:tcPr>
          <w:p w14:paraId="1405BD15">
            <w:pPr>
              <w:pStyle w:val="23"/>
              <w:jc w:val="center"/>
              <w:rPr>
                <w:color w:val="auto"/>
                <w:kern w:val="2"/>
                <w:sz w:val="21"/>
                <w:szCs w:val="21"/>
                <w:highlight w:val="none"/>
              </w:rPr>
            </w:pPr>
            <w:r>
              <w:rPr>
                <w:rFonts w:hint="eastAsia"/>
                <w:color w:val="auto"/>
                <w:kern w:val="2"/>
                <w:sz w:val="21"/>
                <w:szCs w:val="21"/>
                <w:highlight w:val="none"/>
              </w:rPr>
              <w:t>价格</w:t>
            </w:r>
          </w:p>
        </w:tc>
        <w:tc>
          <w:tcPr>
            <w:tcW w:w="671" w:type="dxa"/>
            <w:vAlign w:val="center"/>
          </w:tcPr>
          <w:p w14:paraId="47212A7B">
            <w:pPr>
              <w:pStyle w:val="23"/>
              <w:jc w:val="center"/>
              <w:rPr>
                <w:color w:val="auto"/>
                <w:kern w:val="2"/>
                <w:sz w:val="21"/>
                <w:szCs w:val="21"/>
                <w:highlight w:val="none"/>
              </w:rPr>
            </w:pPr>
            <w:r>
              <w:rPr>
                <w:rFonts w:hint="eastAsia"/>
                <w:color w:val="auto"/>
                <w:kern w:val="2"/>
                <w:sz w:val="21"/>
                <w:szCs w:val="21"/>
                <w:highlight w:val="none"/>
              </w:rPr>
              <w:t>40分</w:t>
            </w:r>
          </w:p>
        </w:tc>
        <w:tc>
          <w:tcPr>
            <w:tcW w:w="5727" w:type="dxa"/>
            <w:vAlign w:val="center"/>
          </w:tcPr>
          <w:p w14:paraId="6B8AFF2F">
            <w:pPr>
              <w:rPr>
                <w:rFonts w:ascii="宋体" w:hAnsi="宋体" w:cs="宋体"/>
                <w:color w:val="auto"/>
                <w:szCs w:val="21"/>
                <w:highlight w:val="none"/>
              </w:rPr>
            </w:pPr>
            <w:r>
              <w:rPr>
                <w:rFonts w:hint="eastAsia" w:ascii="宋体" w:hAnsi="宋体" w:cs="宋体"/>
                <w:color w:val="auto"/>
                <w:szCs w:val="21"/>
                <w:highlight w:val="none"/>
              </w:rPr>
              <w:t>价格分计算方法：满足磋商文件要求且磋商价格（含税报价）最低的磋商报价为评标基准价，其价格分为满分。其他投标人的价格分统一按照下列公式计算：磋商报价得分=(评标基准价／磋商报价)×价格权重×100。</w:t>
            </w:r>
          </w:p>
        </w:tc>
      </w:tr>
      <w:tr w14:paraId="489F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14:paraId="1BC23745">
            <w:pPr>
              <w:pStyle w:val="48"/>
              <w:spacing w:line="360" w:lineRule="auto"/>
              <w:ind w:firstLine="0" w:firstLineChars="0"/>
              <w:jc w:val="center"/>
              <w:rPr>
                <w:rFonts w:ascii="宋体" w:eastAsia="宋体" w:cs="宋体"/>
                <w:b/>
                <w:color w:val="auto"/>
                <w:sz w:val="21"/>
                <w:szCs w:val="21"/>
                <w:highlight w:val="none"/>
              </w:rPr>
            </w:pPr>
            <w:r>
              <w:rPr>
                <w:rFonts w:hint="eastAsia" w:cs="宋体"/>
                <w:b/>
                <w:color w:val="auto"/>
                <w:sz w:val="21"/>
                <w:szCs w:val="21"/>
                <w:highlight w:val="none"/>
              </w:rPr>
              <w:t>商务评分（</w:t>
            </w:r>
            <w:r>
              <w:rPr>
                <w:rFonts w:hint="eastAsia" w:cs="宋体"/>
                <w:b/>
                <w:color w:val="auto"/>
                <w:sz w:val="21"/>
                <w:szCs w:val="21"/>
                <w:highlight w:val="none"/>
                <w:lang w:val="en-US" w:eastAsia="zh-CN"/>
              </w:rPr>
              <w:t>2</w:t>
            </w:r>
            <w:r>
              <w:rPr>
                <w:rFonts w:hint="eastAsia" w:cs="宋体"/>
                <w:b/>
                <w:color w:val="auto"/>
                <w:sz w:val="21"/>
                <w:szCs w:val="21"/>
                <w:highlight w:val="none"/>
              </w:rPr>
              <w:t>0分）</w:t>
            </w:r>
          </w:p>
        </w:tc>
      </w:tr>
      <w:tr w14:paraId="512E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5" w:type="dxa"/>
            <w:vAlign w:val="center"/>
          </w:tcPr>
          <w:p w14:paraId="56A4DE44">
            <w:pPr>
              <w:jc w:val="center"/>
              <w:rPr>
                <w:rFonts w:hint="eastAsia" w:ascii="仿宋_GB2312" w:hAnsi="仿宋_GB2312" w:eastAsia="宋体" w:cs="仿宋_GB2312"/>
                <w:color w:val="auto"/>
                <w:szCs w:val="21"/>
                <w:highlight w:val="none"/>
                <w:lang w:eastAsia="zh-CN"/>
              </w:rPr>
            </w:pPr>
            <w:r>
              <w:rPr>
                <w:rFonts w:hint="eastAsia"/>
                <w:color w:val="auto"/>
                <w:sz w:val="24"/>
                <w:highlight w:val="none"/>
                <w:lang w:val="en-US" w:eastAsia="zh-CN"/>
              </w:rPr>
              <w:t>1</w:t>
            </w:r>
          </w:p>
        </w:tc>
        <w:tc>
          <w:tcPr>
            <w:tcW w:w="1449" w:type="dxa"/>
            <w:vAlign w:val="center"/>
          </w:tcPr>
          <w:p w14:paraId="130EF617">
            <w:pPr>
              <w:jc w:val="center"/>
              <w:rPr>
                <w:rFonts w:ascii="宋体" w:hAnsi="宋体" w:cs="宋体"/>
                <w:color w:val="auto"/>
                <w:szCs w:val="21"/>
                <w:highlight w:val="none"/>
              </w:rPr>
            </w:pPr>
            <w:r>
              <w:rPr>
                <w:rFonts w:hint="eastAsia" w:ascii="宋体" w:hAnsi="宋体" w:cs="宋体"/>
                <w:color w:val="auto"/>
                <w:szCs w:val="21"/>
                <w:highlight w:val="none"/>
              </w:rPr>
              <w:t>业绩情况</w:t>
            </w:r>
          </w:p>
        </w:tc>
        <w:tc>
          <w:tcPr>
            <w:tcW w:w="671" w:type="dxa"/>
            <w:vAlign w:val="center"/>
          </w:tcPr>
          <w:p w14:paraId="318191F7">
            <w:pPr>
              <w:widowControl/>
              <w:jc w:val="center"/>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w:t>
            </w:r>
          </w:p>
        </w:tc>
        <w:tc>
          <w:tcPr>
            <w:tcW w:w="5727" w:type="dxa"/>
            <w:vAlign w:val="center"/>
          </w:tcPr>
          <w:p w14:paraId="10ADDFE9">
            <w:pPr>
              <w:rPr>
                <w:rFonts w:ascii="宋体" w:hAnsi="宋体" w:cs="宋体"/>
                <w:color w:val="auto"/>
                <w:szCs w:val="21"/>
                <w:highlight w:val="none"/>
              </w:rPr>
            </w:pPr>
            <w:r>
              <w:rPr>
                <w:rFonts w:hint="eastAsia" w:ascii="宋体" w:hAnsi="宋体" w:cs="宋体"/>
                <w:color w:val="auto"/>
                <w:szCs w:val="21"/>
                <w:highlight w:val="none"/>
              </w:rPr>
              <w:t>投标人自2021年05月01日</w:t>
            </w:r>
            <w:r>
              <w:rPr>
                <w:rFonts w:hint="eastAsia" w:hAnsi="宋体"/>
                <w:color w:val="auto"/>
                <w:szCs w:val="21"/>
                <w:highlight w:val="none"/>
              </w:rPr>
              <w:t>至响应截止日前</w:t>
            </w:r>
            <w:r>
              <w:rPr>
                <w:rFonts w:hint="eastAsia" w:ascii="宋体" w:hAnsi="宋体" w:cs="宋体"/>
                <w:color w:val="auto"/>
                <w:szCs w:val="21"/>
                <w:highlight w:val="none"/>
              </w:rPr>
              <w:t>独立完成类似项目工作业绩（以签订合同时间为准）：</w:t>
            </w:r>
          </w:p>
          <w:p w14:paraId="3A157850">
            <w:pPr>
              <w:ind w:firstLine="420" w:firstLineChars="200"/>
              <w:rPr>
                <w:rFonts w:ascii="宋体" w:hAnsi="宋体" w:cs="宋体"/>
                <w:color w:val="auto"/>
                <w:szCs w:val="21"/>
                <w:highlight w:val="none"/>
              </w:rPr>
            </w:pPr>
            <w:r>
              <w:rPr>
                <w:rFonts w:hint="eastAsia" w:ascii="宋体" w:hAnsi="宋体" w:cs="宋体"/>
                <w:color w:val="auto"/>
                <w:szCs w:val="21"/>
                <w:highlight w:val="none"/>
              </w:rPr>
              <w:t>具有</w:t>
            </w:r>
            <w:r>
              <w:rPr>
                <w:rFonts w:hint="eastAsia" w:ascii="宋体" w:hAnsi="宋体" w:cs="宋体"/>
                <w:color w:val="auto"/>
                <w:szCs w:val="21"/>
                <w:highlight w:val="none"/>
              </w:rPr>
              <w:t>5万方（含）及以上规模的综合体商业（需含商业功能）前期策划顾问服务的业绩</w:t>
            </w:r>
            <w:r>
              <w:rPr>
                <w:rFonts w:hint="eastAsia" w:ascii="宋体" w:hAnsi="宋体" w:cs="宋体"/>
                <w:color w:val="auto"/>
                <w:szCs w:val="21"/>
                <w:highlight w:val="none"/>
              </w:rPr>
              <w:t>，每个得2分，最高14分。</w:t>
            </w:r>
          </w:p>
          <w:p w14:paraId="4CD296C1">
            <w:pPr>
              <w:ind w:firstLine="420"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注：1）每个项目不能重复计算，业绩证明文件如非使用中文必须翻译成中文，以中文为准；2）本项中提供的业绩，均须附有合同主要页复印件及提供与项目相关的发票（张数不限）复印件等材料并加盖投标人公章。</w:t>
            </w:r>
          </w:p>
        </w:tc>
      </w:tr>
      <w:tr w14:paraId="696E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066CBC8">
            <w:pPr>
              <w:jc w:val="center"/>
              <w:rPr>
                <w:rFonts w:hint="eastAsia" w:ascii="仿宋_GB2312" w:hAnsi="仿宋_GB2312" w:eastAsia="宋体" w:cs="仿宋_GB2312"/>
                <w:color w:val="auto"/>
                <w:szCs w:val="21"/>
                <w:highlight w:val="none"/>
                <w:lang w:eastAsia="zh-CN"/>
              </w:rPr>
            </w:pPr>
            <w:r>
              <w:rPr>
                <w:rFonts w:hint="eastAsia"/>
                <w:color w:val="auto"/>
                <w:sz w:val="24"/>
                <w:highlight w:val="none"/>
                <w:lang w:val="en-US" w:eastAsia="zh-CN"/>
              </w:rPr>
              <w:t>2</w:t>
            </w:r>
          </w:p>
        </w:tc>
        <w:tc>
          <w:tcPr>
            <w:tcW w:w="1449" w:type="dxa"/>
            <w:vAlign w:val="center"/>
          </w:tcPr>
          <w:p w14:paraId="77475216">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业绩</w:t>
            </w:r>
          </w:p>
        </w:tc>
        <w:tc>
          <w:tcPr>
            <w:tcW w:w="671" w:type="dxa"/>
            <w:vAlign w:val="center"/>
          </w:tcPr>
          <w:p w14:paraId="71FF194B">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727" w:type="dxa"/>
            <w:vAlign w:val="center"/>
          </w:tcPr>
          <w:p w14:paraId="56886B6D">
            <w:pPr>
              <w:jc w:val="left"/>
              <w:rPr>
                <w:rFonts w:hAnsi="宋体"/>
                <w:color w:val="auto"/>
                <w:szCs w:val="21"/>
                <w:highlight w:val="none"/>
              </w:rPr>
            </w:pPr>
            <w:r>
              <w:rPr>
                <w:rFonts w:hint="eastAsia" w:hAnsi="宋体"/>
                <w:color w:val="auto"/>
                <w:szCs w:val="21"/>
                <w:highlight w:val="none"/>
              </w:rPr>
              <w:t>项目负责人</w:t>
            </w:r>
            <w:r>
              <w:rPr>
                <w:rFonts w:hint="eastAsia" w:ascii="宋体" w:hAnsi="宋体" w:cs="宋体"/>
                <w:color w:val="auto"/>
                <w:szCs w:val="21"/>
                <w:highlight w:val="none"/>
              </w:rPr>
              <w:t>自2021年05月01日</w:t>
            </w:r>
            <w:r>
              <w:rPr>
                <w:rFonts w:hint="eastAsia" w:hAnsi="宋体"/>
                <w:color w:val="auto"/>
                <w:szCs w:val="21"/>
                <w:highlight w:val="none"/>
              </w:rPr>
              <w:t>至响应截止日前负责过</w:t>
            </w:r>
            <w:r>
              <w:rPr>
                <w:rFonts w:hint="eastAsia" w:ascii="宋体" w:hAnsi="宋体" w:cs="宋体"/>
                <w:color w:val="auto"/>
                <w:szCs w:val="21"/>
                <w:highlight w:val="none"/>
              </w:rPr>
              <w:t>5万方（含）及以上规模的综合体商业（需含商业功能）前期策划顾问服务的业绩</w:t>
            </w:r>
            <w:r>
              <w:rPr>
                <w:rFonts w:hint="eastAsia" w:ascii="宋体" w:hAnsi="宋体" w:cs="宋体"/>
                <w:color w:val="auto"/>
                <w:szCs w:val="21"/>
                <w:highlight w:val="none"/>
              </w:rPr>
              <w:t>的</w:t>
            </w:r>
            <w:r>
              <w:rPr>
                <w:rFonts w:hint="eastAsia" w:hAnsi="宋体"/>
                <w:color w:val="auto"/>
                <w:szCs w:val="21"/>
                <w:highlight w:val="none"/>
              </w:rPr>
              <w:t>，每提供一项目得1.5分，本小项最高4.5分。</w:t>
            </w:r>
          </w:p>
          <w:p w14:paraId="36DE3719">
            <w:pPr>
              <w:jc w:val="left"/>
              <w:rPr>
                <w:rFonts w:ascii="宋体" w:hAnsi="宋体" w:cs="宋体"/>
                <w:color w:val="auto"/>
                <w:szCs w:val="21"/>
                <w:highlight w:val="none"/>
              </w:rPr>
            </w:pPr>
            <w:r>
              <w:rPr>
                <w:rFonts w:hint="eastAsia" w:ascii="宋体" w:hAnsi="宋体" w:cs="宋体"/>
                <w:color w:val="auto"/>
                <w:szCs w:val="21"/>
                <w:highlight w:val="none"/>
              </w:rPr>
              <w:t>项目负责人拥有综合体商业（需含商业功能）前期策划顾问服务经验超10年（含），得1.5分。本小项最高1.5分。</w:t>
            </w:r>
          </w:p>
          <w:p w14:paraId="3F3E81E6">
            <w:pPr>
              <w:ind w:firstLine="420" w:firstLineChars="200"/>
              <w:rPr>
                <w:color w:val="auto"/>
                <w:highlight w:val="none"/>
              </w:rPr>
            </w:pPr>
            <w:r>
              <w:rPr>
                <w:rFonts w:hint="eastAsia" w:hAnsi="宋体"/>
                <w:b/>
                <w:bCs/>
                <w:color w:val="auto"/>
                <w:szCs w:val="21"/>
                <w:highlight w:val="none"/>
              </w:rPr>
              <w:t>注：①须提供近半年（不含开标当月）内供应商为其购买的连续不少于3个月购买社保证明并加盖公章，可以是在供应商总公司或分公司的社保缴纳证明文件。②业绩证明资料须提供合同（或协议书）关键页复印件，及与项目相关的发票（张数不限）。</w:t>
            </w:r>
            <w:r>
              <w:rPr>
                <w:rFonts w:hint="eastAsia" w:hAnsi="宋体"/>
                <w:b/>
                <w:bCs/>
                <w:color w:val="auto"/>
                <w:szCs w:val="21"/>
                <w:highlight w:val="none"/>
              </w:rPr>
              <w:t>服务经验须提供毕业证书及简历并加盖公章。</w:t>
            </w:r>
            <w:r>
              <w:rPr>
                <w:rFonts w:hint="eastAsia" w:hAnsi="宋体"/>
                <w:b/>
                <w:bCs/>
                <w:color w:val="auto"/>
                <w:szCs w:val="21"/>
                <w:highlight w:val="none"/>
              </w:rPr>
              <w:t>③时间以合同（或协议书）签订时间为准。④如提供的合同（或协议书）无法体现项目负责人的，可提供供应商另行出具的有效证明材料复印件。⑥同一项目的业绩不能重复计分，如重复时按高分值计取。</w:t>
            </w:r>
          </w:p>
        </w:tc>
      </w:tr>
      <w:tr w14:paraId="781C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14:paraId="3A9B1695">
            <w:pPr>
              <w:ind w:firstLine="420" w:firstLineChars="200"/>
              <w:jc w:val="center"/>
              <w:rPr>
                <w:rFonts w:hint="eastAsia" w:ascii="宋体" w:hAnsi="宋体" w:cs="宋体"/>
                <w:b/>
                <w:color w:val="auto"/>
                <w:szCs w:val="21"/>
                <w:highlight w:val="none"/>
                <w:u w:val="single"/>
              </w:rPr>
            </w:pPr>
            <w:r>
              <w:rPr>
                <w:rFonts w:hint="eastAsia" w:ascii="仿宋_GB2312" w:hAnsi="宋体" w:eastAsia="仿宋_GB2312" w:cs="宋体"/>
                <w:b/>
                <w:color w:val="auto"/>
                <w:kern w:val="0"/>
                <w:sz w:val="21"/>
                <w:szCs w:val="21"/>
                <w:highlight w:val="none"/>
                <w:lang w:val="en-US" w:eastAsia="zh-CN" w:bidi="ar-SA"/>
              </w:rPr>
              <w:t>技术评分（40分）</w:t>
            </w:r>
          </w:p>
        </w:tc>
      </w:tr>
      <w:tr w14:paraId="63D0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8C3FEFC">
            <w:pPr>
              <w:widowControl/>
              <w:spacing w:line="420" w:lineRule="exact"/>
              <w:jc w:val="center"/>
              <w:rPr>
                <w:rFonts w:hint="eastAsia" w:eastAsia="宋体"/>
                <w:color w:val="auto"/>
                <w:kern w:val="2"/>
                <w:sz w:val="21"/>
                <w:szCs w:val="21"/>
                <w:highlight w:val="none"/>
                <w:lang w:eastAsia="zh-CN"/>
              </w:rPr>
            </w:pPr>
            <w:r>
              <w:rPr>
                <w:rFonts w:hint="eastAsia" w:hAnsi="宋体"/>
                <w:color w:val="auto"/>
                <w:szCs w:val="21"/>
                <w:highlight w:val="none"/>
                <w:lang w:val="en-US" w:eastAsia="zh-CN"/>
              </w:rPr>
              <w:t>1</w:t>
            </w:r>
          </w:p>
        </w:tc>
        <w:tc>
          <w:tcPr>
            <w:tcW w:w="1449" w:type="dxa"/>
            <w:shd w:val="clear" w:color="auto" w:fill="auto"/>
            <w:vAlign w:val="center"/>
          </w:tcPr>
          <w:p w14:paraId="6B5451CF">
            <w:pPr>
              <w:widowControl/>
              <w:jc w:val="left"/>
              <w:rPr>
                <w:rFonts w:hint="default" w:ascii="Times New Roman"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对服务项目的理解</w:t>
            </w:r>
          </w:p>
        </w:tc>
        <w:tc>
          <w:tcPr>
            <w:tcW w:w="671" w:type="dxa"/>
            <w:shd w:val="clear" w:color="auto" w:fill="auto"/>
            <w:vAlign w:val="center"/>
          </w:tcPr>
          <w:p w14:paraId="5B381E43">
            <w:pPr>
              <w:widowControl/>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hAnsi="宋体"/>
                <w:color w:val="auto"/>
                <w:szCs w:val="21"/>
                <w:highlight w:val="none"/>
                <w:lang w:val="en-US" w:eastAsia="zh-CN"/>
              </w:rPr>
              <w:t>8</w:t>
            </w:r>
            <w:r>
              <w:rPr>
                <w:rFonts w:hint="eastAsia" w:hAnsi="宋体"/>
                <w:color w:val="auto"/>
                <w:szCs w:val="21"/>
                <w:highlight w:val="none"/>
              </w:rPr>
              <w:t>分</w:t>
            </w:r>
          </w:p>
        </w:tc>
        <w:tc>
          <w:tcPr>
            <w:tcW w:w="5727" w:type="dxa"/>
            <w:shd w:val="clear" w:color="auto" w:fill="auto"/>
            <w:vAlign w:val="center"/>
          </w:tcPr>
          <w:p w14:paraId="5DCCA3DB">
            <w:pPr>
              <w:spacing w:line="360" w:lineRule="auto"/>
              <w:rPr>
                <w:rFonts w:hAnsi="宋体"/>
                <w:color w:val="auto"/>
                <w:sz w:val="21"/>
                <w:szCs w:val="21"/>
                <w:highlight w:val="none"/>
              </w:rPr>
            </w:pPr>
            <w:r>
              <w:rPr>
                <w:rFonts w:hint="eastAsia" w:hAnsi="宋体"/>
                <w:color w:val="auto"/>
                <w:sz w:val="21"/>
                <w:szCs w:val="21"/>
                <w:highlight w:val="none"/>
              </w:rPr>
              <w:t>根据投标人对</w:t>
            </w:r>
            <w:r>
              <w:rPr>
                <w:rFonts w:hint="eastAsia" w:hAnsi="宋体"/>
                <w:color w:val="auto"/>
                <w:sz w:val="21"/>
                <w:szCs w:val="21"/>
                <w:highlight w:val="none"/>
              </w:rPr>
              <w:t>区域发展</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对项目周边市场、</w:t>
            </w:r>
            <w:r>
              <w:rPr>
                <w:rFonts w:hint="eastAsia" w:hAnsi="宋体"/>
                <w:color w:val="auto"/>
                <w:sz w:val="21"/>
                <w:szCs w:val="21"/>
                <w:highlight w:val="none"/>
              </w:rPr>
              <w:t>本地块发展设想策划方案的思路和框架</w:t>
            </w:r>
            <w:r>
              <w:rPr>
                <w:rFonts w:hint="eastAsia" w:hAnsi="宋体"/>
                <w:color w:val="auto"/>
                <w:sz w:val="21"/>
                <w:szCs w:val="21"/>
                <w:highlight w:val="none"/>
                <w:lang w:val="en-US" w:eastAsia="zh-CN"/>
              </w:rPr>
              <w:t>等方面的理解</w:t>
            </w:r>
            <w:r>
              <w:rPr>
                <w:rFonts w:hint="eastAsia" w:hAnsi="宋体"/>
                <w:color w:val="auto"/>
                <w:sz w:val="21"/>
                <w:szCs w:val="21"/>
                <w:highlight w:val="none"/>
              </w:rPr>
              <w:t>是否准确、认识是否深刻，以及对项目熟悉了解程度等进行横向对比评价：</w:t>
            </w:r>
          </w:p>
          <w:p w14:paraId="15D79A0D">
            <w:pPr>
              <w:spacing w:line="360" w:lineRule="auto"/>
              <w:rPr>
                <w:rFonts w:hAnsi="宋体"/>
                <w:color w:val="auto"/>
                <w:sz w:val="21"/>
                <w:szCs w:val="21"/>
                <w:highlight w:val="none"/>
              </w:rPr>
            </w:pPr>
            <w:r>
              <w:rPr>
                <w:rFonts w:hint="eastAsia" w:hAnsi="宋体"/>
                <w:color w:val="auto"/>
                <w:sz w:val="21"/>
                <w:szCs w:val="21"/>
                <w:highlight w:val="none"/>
              </w:rPr>
              <w:t>优：投标人对服务项目的完全理解，且方案完整合理、可行性强，完全满足或优于</w:t>
            </w:r>
            <w:r>
              <w:rPr>
                <w:rFonts w:hint="eastAsia" w:hAnsi="宋体"/>
                <w:color w:val="auto"/>
                <w:sz w:val="21"/>
                <w:szCs w:val="21"/>
                <w:highlight w:val="none"/>
                <w:lang w:val="en-US" w:eastAsia="zh-CN"/>
              </w:rPr>
              <w:t>招</w:t>
            </w:r>
            <w:r>
              <w:rPr>
                <w:rFonts w:hint="eastAsia" w:hAnsi="宋体"/>
                <w:color w:val="auto"/>
                <w:sz w:val="21"/>
                <w:szCs w:val="21"/>
                <w:highlight w:val="none"/>
              </w:rPr>
              <w:t>标文件要求，得</w:t>
            </w:r>
            <w:r>
              <w:rPr>
                <w:rFonts w:hint="eastAsia" w:hAnsi="宋体"/>
                <w:color w:val="auto"/>
                <w:sz w:val="21"/>
                <w:szCs w:val="21"/>
                <w:highlight w:val="none"/>
                <w:lang w:val="en-US" w:eastAsia="zh-CN"/>
              </w:rPr>
              <w:t>8</w:t>
            </w:r>
            <w:r>
              <w:rPr>
                <w:rFonts w:hint="eastAsia" w:hAnsi="宋体"/>
                <w:color w:val="auto"/>
                <w:sz w:val="21"/>
                <w:szCs w:val="21"/>
                <w:highlight w:val="none"/>
              </w:rPr>
              <w:t>分；</w:t>
            </w:r>
          </w:p>
          <w:p w14:paraId="0EFD8CDE">
            <w:pPr>
              <w:spacing w:line="360" w:lineRule="auto"/>
              <w:rPr>
                <w:rFonts w:hint="eastAsia" w:hAnsi="宋体"/>
                <w:color w:val="auto"/>
                <w:sz w:val="21"/>
                <w:szCs w:val="21"/>
                <w:highlight w:val="none"/>
              </w:rPr>
            </w:pPr>
            <w:r>
              <w:rPr>
                <w:rFonts w:hint="eastAsia" w:hAnsi="宋体"/>
                <w:color w:val="auto"/>
                <w:sz w:val="21"/>
                <w:szCs w:val="21"/>
                <w:highlight w:val="none"/>
              </w:rPr>
              <w:t>良：投标人对服务项目的理解准确，且方案完整、可行性较高，符合</w:t>
            </w:r>
            <w:r>
              <w:rPr>
                <w:rFonts w:hint="eastAsia" w:hAnsi="宋体"/>
                <w:color w:val="auto"/>
                <w:sz w:val="21"/>
                <w:szCs w:val="21"/>
                <w:highlight w:val="none"/>
                <w:lang w:val="en-US" w:eastAsia="zh-CN"/>
              </w:rPr>
              <w:t>招</w:t>
            </w:r>
            <w:r>
              <w:rPr>
                <w:rFonts w:hint="eastAsia" w:hAnsi="宋体"/>
                <w:color w:val="auto"/>
                <w:sz w:val="21"/>
                <w:szCs w:val="21"/>
                <w:highlight w:val="none"/>
              </w:rPr>
              <w:t>标文件要求，得</w:t>
            </w:r>
            <w:r>
              <w:rPr>
                <w:rFonts w:hint="eastAsia" w:hAnsi="宋体"/>
                <w:color w:val="auto"/>
                <w:sz w:val="21"/>
                <w:szCs w:val="21"/>
                <w:highlight w:val="none"/>
                <w:lang w:val="en-US" w:eastAsia="zh-CN"/>
              </w:rPr>
              <w:t>5</w:t>
            </w:r>
            <w:r>
              <w:rPr>
                <w:rFonts w:hint="eastAsia" w:hAnsi="宋体"/>
                <w:color w:val="auto"/>
                <w:sz w:val="21"/>
                <w:szCs w:val="21"/>
                <w:highlight w:val="none"/>
              </w:rPr>
              <w:t>分；</w:t>
            </w:r>
          </w:p>
          <w:p w14:paraId="4B097EBE">
            <w:pPr>
              <w:spacing w:line="360" w:lineRule="auto"/>
              <w:rPr>
                <w:rFonts w:hint="eastAsia" w:hAnsi="宋体"/>
                <w:color w:val="auto"/>
                <w:sz w:val="21"/>
                <w:szCs w:val="21"/>
                <w:highlight w:val="none"/>
              </w:rPr>
            </w:pPr>
            <w:r>
              <w:rPr>
                <w:rFonts w:hint="eastAsia" w:hAnsi="宋体"/>
                <w:color w:val="auto"/>
                <w:sz w:val="21"/>
                <w:szCs w:val="21"/>
                <w:highlight w:val="none"/>
              </w:rPr>
              <w:t>中：投标人对服务项目的理解基本准确，且方案完整、可行性一般，符合</w:t>
            </w:r>
            <w:r>
              <w:rPr>
                <w:rFonts w:hint="eastAsia" w:hAnsi="宋体"/>
                <w:color w:val="auto"/>
                <w:sz w:val="21"/>
                <w:szCs w:val="21"/>
                <w:highlight w:val="none"/>
                <w:lang w:val="en-US" w:eastAsia="zh-CN"/>
              </w:rPr>
              <w:t>招</w:t>
            </w:r>
            <w:r>
              <w:rPr>
                <w:rFonts w:hint="eastAsia" w:hAnsi="宋体"/>
                <w:color w:val="auto"/>
                <w:sz w:val="21"/>
                <w:szCs w:val="21"/>
                <w:highlight w:val="none"/>
              </w:rPr>
              <w:t>标文件要求，得</w:t>
            </w:r>
            <w:r>
              <w:rPr>
                <w:rFonts w:hint="eastAsia" w:hAnsi="宋体"/>
                <w:color w:val="auto"/>
                <w:sz w:val="21"/>
                <w:szCs w:val="21"/>
                <w:highlight w:val="none"/>
                <w:lang w:val="en-US" w:eastAsia="zh-CN"/>
              </w:rPr>
              <w:t>3</w:t>
            </w:r>
            <w:r>
              <w:rPr>
                <w:rFonts w:hint="eastAsia" w:hAnsi="宋体"/>
                <w:color w:val="auto"/>
                <w:sz w:val="21"/>
                <w:szCs w:val="21"/>
                <w:highlight w:val="none"/>
              </w:rPr>
              <w:t>分；</w:t>
            </w:r>
          </w:p>
          <w:p w14:paraId="0B5BC886">
            <w:pPr>
              <w:spacing w:line="360" w:lineRule="auto"/>
              <w:rPr>
                <w:rFonts w:hAnsi="宋体"/>
                <w:color w:val="auto"/>
                <w:sz w:val="21"/>
                <w:szCs w:val="21"/>
                <w:highlight w:val="none"/>
              </w:rPr>
            </w:pPr>
            <w:r>
              <w:rPr>
                <w:rFonts w:hint="eastAsia" w:hAnsi="宋体"/>
                <w:color w:val="auto"/>
                <w:sz w:val="21"/>
                <w:szCs w:val="21"/>
                <w:highlight w:val="none"/>
              </w:rPr>
              <w:t>差：投标人对本项目的基本不理解，提供对应方案较差，得1分。</w:t>
            </w:r>
          </w:p>
          <w:p w14:paraId="3E3E6018">
            <w:pPr>
              <w:widowControl/>
              <w:jc w:val="left"/>
              <w:rPr>
                <w:rFonts w:hint="eastAsia" w:ascii="Times New Roman"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未提供，不得分。</w:t>
            </w:r>
          </w:p>
        </w:tc>
      </w:tr>
      <w:tr w14:paraId="64E7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675" w:type="dxa"/>
            <w:vAlign w:val="center"/>
          </w:tcPr>
          <w:p w14:paraId="7FDB3FE9">
            <w:pPr>
              <w:widowControl/>
              <w:spacing w:line="420" w:lineRule="exact"/>
              <w:jc w:val="center"/>
              <w:rPr>
                <w:rFonts w:hint="default" w:hAnsi="宋体"/>
                <w:color w:val="auto"/>
                <w:szCs w:val="21"/>
                <w:highlight w:val="none"/>
                <w:lang w:val="en-US" w:eastAsia="zh-CN"/>
              </w:rPr>
            </w:pPr>
            <w:r>
              <w:rPr>
                <w:rFonts w:hint="eastAsia" w:hAnsi="宋体"/>
                <w:color w:val="auto"/>
                <w:szCs w:val="21"/>
                <w:highlight w:val="none"/>
                <w:lang w:val="en-US" w:eastAsia="zh-CN"/>
              </w:rPr>
              <w:t>2</w:t>
            </w:r>
          </w:p>
        </w:tc>
        <w:tc>
          <w:tcPr>
            <w:tcW w:w="1449" w:type="dxa"/>
            <w:shd w:val="clear" w:color="auto" w:fill="auto"/>
            <w:vAlign w:val="center"/>
          </w:tcPr>
          <w:p w14:paraId="31BF077E">
            <w:pPr>
              <w:rPr>
                <w:rFonts w:hint="eastAsia" w:hAnsi="宋体" w:eastAsia="宋体"/>
                <w:color w:val="auto"/>
                <w:sz w:val="21"/>
                <w:szCs w:val="21"/>
                <w:highlight w:val="none"/>
                <w:lang w:val="en-US" w:eastAsia="zh-CN"/>
              </w:rPr>
            </w:pPr>
            <w:r>
              <w:rPr>
                <w:rFonts w:hint="eastAsia" w:hAnsi="宋体"/>
                <w:color w:val="auto"/>
                <w:sz w:val="21"/>
                <w:szCs w:val="21"/>
                <w:highlight w:val="none"/>
              </w:rPr>
              <w:t>项目团队</w:t>
            </w:r>
            <w:r>
              <w:rPr>
                <w:rFonts w:hint="eastAsia" w:hAnsi="宋体"/>
                <w:color w:val="auto"/>
                <w:sz w:val="21"/>
                <w:szCs w:val="21"/>
                <w:highlight w:val="none"/>
                <w:lang w:val="en-US" w:eastAsia="zh-CN"/>
              </w:rPr>
              <w:t>配置</w:t>
            </w:r>
          </w:p>
        </w:tc>
        <w:tc>
          <w:tcPr>
            <w:tcW w:w="671" w:type="dxa"/>
            <w:shd w:val="clear" w:color="auto" w:fill="auto"/>
            <w:vAlign w:val="center"/>
          </w:tcPr>
          <w:p w14:paraId="4B9C8CAB">
            <w:pPr>
              <w:widowControl/>
              <w:spacing w:line="420" w:lineRule="exact"/>
              <w:jc w:val="center"/>
              <w:rPr>
                <w:rFonts w:hint="default" w:hAnsi="宋体"/>
                <w:color w:val="auto"/>
                <w:szCs w:val="21"/>
                <w:highlight w:val="none"/>
                <w:lang w:val="en-US" w:eastAsia="zh-CN"/>
              </w:rPr>
            </w:pPr>
            <w:r>
              <w:rPr>
                <w:rFonts w:hint="eastAsia" w:hAnsi="宋体"/>
                <w:color w:val="auto"/>
                <w:szCs w:val="21"/>
                <w:highlight w:val="none"/>
                <w:lang w:val="en-US" w:eastAsia="zh-CN"/>
              </w:rPr>
              <w:t>7分</w:t>
            </w:r>
          </w:p>
        </w:tc>
        <w:tc>
          <w:tcPr>
            <w:tcW w:w="5727" w:type="dxa"/>
            <w:shd w:val="clear" w:color="auto" w:fill="auto"/>
            <w:vAlign w:val="center"/>
          </w:tcPr>
          <w:p w14:paraId="62730EFF">
            <w:pPr>
              <w:spacing w:line="360" w:lineRule="auto"/>
              <w:rPr>
                <w:rFonts w:hAnsi="宋体"/>
                <w:color w:val="auto"/>
                <w:szCs w:val="21"/>
                <w:highlight w:val="none"/>
              </w:rPr>
            </w:pPr>
            <w:r>
              <w:rPr>
                <w:rFonts w:hint="eastAsia" w:hAnsi="宋体"/>
                <w:color w:val="auto"/>
                <w:szCs w:val="21"/>
                <w:highlight w:val="none"/>
              </w:rPr>
              <w:t>根据投标人的项目团队人员配备与团队成员专业度，具备城市规划、建筑设计、市场营销、经济学等房地产及商科商科专业背景或职称情况，团队架构是否清晰，进行评比：</w:t>
            </w:r>
          </w:p>
          <w:p w14:paraId="02FD3135">
            <w:pPr>
              <w:spacing w:line="360" w:lineRule="auto"/>
              <w:rPr>
                <w:rFonts w:hAnsi="宋体"/>
                <w:color w:val="auto"/>
                <w:szCs w:val="21"/>
                <w:highlight w:val="none"/>
              </w:rPr>
            </w:pPr>
            <w:r>
              <w:rPr>
                <w:rFonts w:hint="eastAsia" w:hAnsi="宋体"/>
                <w:color w:val="auto"/>
                <w:szCs w:val="21"/>
                <w:highlight w:val="none"/>
              </w:rPr>
              <w:t>优：团队成员专业度</w:t>
            </w:r>
            <w:r>
              <w:rPr>
                <w:rFonts w:hint="eastAsia" w:hAnsi="宋体"/>
                <w:color w:val="auto"/>
                <w:szCs w:val="21"/>
                <w:highlight w:val="none"/>
                <w:lang w:val="en-US" w:eastAsia="zh-CN"/>
              </w:rPr>
              <w:t>很</w:t>
            </w:r>
            <w:r>
              <w:rPr>
                <w:rFonts w:hint="eastAsia" w:hAnsi="宋体"/>
                <w:color w:val="auto"/>
                <w:szCs w:val="21"/>
                <w:highlight w:val="none"/>
              </w:rPr>
              <w:t>高，团队内4名或以上成员具备城市规划、建筑设计、市场营销、经济学等房地产及商科</w:t>
            </w:r>
            <w:r>
              <w:rPr>
                <w:rFonts w:hint="eastAsia" w:hAnsi="宋体"/>
                <w:color w:val="auto"/>
                <w:szCs w:val="21"/>
                <w:highlight w:val="none"/>
              </w:rPr>
              <w:t>本科以上</w:t>
            </w:r>
            <w:r>
              <w:rPr>
                <w:rFonts w:hint="eastAsia" w:hAnsi="宋体"/>
                <w:color w:val="auto"/>
                <w:szCs w:val="21"/>
                <w:highlight w:val="none"/>
              </w:rPr>
              <w:t>专业背景，或持有初级建筑工程师及以上建筑设计相关专业证书</w:t>
            </w:r>
            <w:r>
              <w:rPr>
                <w:rFonts w:hint="eastAsia" w:hAnsi="宋体"/>
                <w:color w:val="auto"/>
                <w:szCs w:val="21"/>
                <w:highlight w:val="none"/>
                <w:lang w:eastAsia="zh-CN"/>
              </w:rPr>
              <w:t>；</w:t>
            </w:r>
            <w:r>
              <w:rPr>
                <w:rFonts w:hint="eastAsia" w:hAnsi="宋体"/>
                <w:color w:val="auto"/>
                <w:szCs w:val="21"/>
                <w:highlight w:val="none"/>
              </w:rPr>
              <w:t>团队架构</w:t>
            </w:r>
            <w:r>
              <w:rPr>
                <w:rFonts w:hint="eastAsia" w:hAnsi="宋体"/>
                <w:color w:val="auto"/>
                <w:szCs w:val="21"/>
                <w:highlight w:val="none"/>
                <w:lang w:val="en-US" w:eastAsia="zh-CN"/>
              </w:rPr>
              <w:t>很</w:t>
            </w:r>
            <w:r>
              <w:rPr>
                <w:rFonts w:hint="eastAsia" w:hAnsi="宋体"/>
                <w:color w:val="auto"/>
                <w:szCs w:val="21"/>
                <w:highlight w:val="none"/>
              </w:rPr>
              <w:t>清晰</w:t>
            </w:r>
            <w:r>
              <w:rPr>
                <w:rFonts w:hint="eastAsia" w:hAnsi="宋体"/>
                <w:color w:val="auto"/>
                <w:szCs w:val="21"/>
                <w:highlight w:val="none"/>
                <w:lang w:eastAsia="zh-CN"/>
              </w:rPr>
              <w:t>；</w:t>
            </w:r>
            <w:r>
              <w:rPr>
                <w:rFonts w:hint="eastAsia" w:hAnsi="宋体"/>
                <w:color w:val="auto"/>
                <w:szCs w:val="21"/>
                <w:highlight w:val="none"/>
              </w:rPr>
              <w:t>且团队成员不少于7人的，得7分。</w:t>
            </w:r>
          </w:p>
          <w:p w14:paraId="56EE67A8">
            <w:pPr>
              <w:spacing w:line="360" w:lineRule="auto"/>
              <w:rPr>
                <w:rFonts w:hAnsi="宋体"/>
                <w:color w:val="auto"/>
                <w:szCs w:val="21"/>
                <w:highlight w:val="none"/>
              </w:rPr>
            </w:pPr>
            <w:r>
              <w:rPr>
                <w:rFonts w:hint="eastAsia" w:hAnsi="宋体"/>
                <w:color w:val="auto"/>
                <w:szCs w:val="21"/>
                <w:highlight w:val="none"/>
                <w:lang w:val="en-US" w:eastAsia="zh-CN"/>
              </w:rPr>
              <w:t>良</w:t>
            </w:r>
            <w:r>
              <w:rPr>
                <w:rFonts w:hint="eastAsia" w:hAnsi="宋体"/>
                <w:color w:val="auto"/>
                <w:szCs w:val="21"/>
                <w:highlight w:val="none"/>
              </w:rPr>
              <w:t>：团队成员具备较高的专业度，团队内3名或以上成员具备城市规划、建筑设计、市场营销、经济学等房地产及商科</w:t>
            </w:r>
            <w:r>
              <w:rPr>
                <w:rFonts w:hint="eastAsia" w:hAnsi="宋体"/>
                <w:color w:val="auto"/>
                <w:szCs w:val="21"/>
                <w:highlight w:val="none"/>
              </w:rPr>
              <w:t>本科以上</w:t>
            </w:r>
            <w:r>
              <w:rPr>
                <w:rFonts w:hint="eastAsia" w:hAnsi="宋体"/>
                <w:color w:val="auto"/>
                <w:szCs w:val="21"/>
                <w:highlight w:val="none"/>
              </w:rPr>
              <w:t>专业背景，或持有初级建筑工程师及以上建筑设计相关专业证书</w:t>
            </w:r>
            <w:r>
              <w:rPr>
                <w:rFonts w:hint="eastAsia" w:hAnsi="宋体"/>
                <w:color w:val="auto"/>
                <w:szCs w:val="21"/>
                <w:highlight w:val="none"/>
                <w:lang w:eastAsia="zh-CN"/>
              </w:rPr>
              <w:t>；</w:t>
            </w:r>
            <w:r>
              <w:rPr>
                <w:rFonts w:hint="eastAsia" w:hAnsi="宋体"/>
                <w:color w:val="auto"/>
                <w:szCs w:val="21"/>
                <w:highlight w:val="none"/>
              </w:rPr>
              <w:t>团队架构</w:t>
            </w:r>
            <w:r>
              <w:rPr>
                <w:rFonts w:hint="eastAsia" w:hAnsi="宋体"/>
                <w:color w:val="auto"/>
                <w:szCs w:val="21"/>
                <w:highlight w:val="none"/>
                <w:lang w:val="en-US" w:eastAsia="zh-CN"/>
              </w:rPr>
              <w:t>比较</w:t>
            </w:r>
            <w:r>
              <w:rPr>
                <w:rFonts w:hint="eastAsia" w:hAnsi="宋体"/>
                <w:color w:val="auto"/>
                <w:szCs w:val="21"/>
                <w:highlight w:val="none"/>
              </w:rPr>
              <w:t>清晰</w:t>
            </w:r>
            <w:r>
              <w:rPr>
                <w:rFonts w:hint="eastAsia" w:hAnsi="宋体"/>
                <w:color w:val="auto"/>
                <w:szCs w:val="21"/>
                <w:highlight w:val="none"/>
                <w:lang w:eastAsia="zh-CN"/>
              </w:rPr>
              <w:t>；</w:t>
            </w:r>
            <w:r>
              <w:rPr>
                <w:rFonts w:hint="eastAsia" w:hAnsi="宋体"/>
                <w:color w:val="auto"/>
                <w:szCs w:val="21"/>
                <w:highlight w:val="none"/>
              </w:rPr>
              <w:t>且团队成员不少于5人的，得5分。</w:t>
            </w:r>
          </w:p>
          <w:p w14:paraId="2E2EB704">
            <w:pPr>
              <w:numPr>
                <w:ilvl w:val="0"/>
                <w:numId w:val="0"/>
              </w:numPr>
              <w:spacing w:line="360" w:lineRule="auto"/>
              <w:rPr>
                <w:rFonts w:hAnsi="宋体"/>
                <w:color w:val="auto"/>
                <w:szCs w:val="21"/>
                <w:highlight w:val="none"/>
              </w:rPr>
            </w:pPr>
            <w:r>
              <w:rPr>
                <w:rFonts w:hint="eastAsia" w:hAnsi="宋体" w:cs="Times New Roman"/>
                <w:color w:val="auto"/>
                <w:kern w:val="2"/>
                <w:sz w:val="21"/>
                <w:szCs w:val="21"/>
                <w:highlight w:val="none"/>
                <w:lang w:val="en-US" w:eastAsia="zh-CN" w:bidi="ar-SA"/>
              </w:rPr>
              <w:t>中：</w:t>
            </w:r>
            <w:r>
              <w:rPr>
                <w:rFonts w:hint="eastAsia" w:hAnsi="宋体"/>
                <w:color w:val="auto"/>
                <w:szCs w:val="21"/>
                <w:highlight w:val="none"/>
              </w:rPr>
              <w:t>团队成员具备一定专业度，团队内2名成员或以上成员具备城市规划、建筑设计、市场营销、经济学等房地产及商科</w:t>
            </w:r>
            <w:r>
              <w:rPr>
                <w:rFonts w:hint="eastAsia" w:hAnsi="宋体"/>
                <w:color w:val="auto"/>
                <w:szCs w:val="21"/>
                <w:highlight w:val="none"/>
              </w:rPr>
              <w:t>本科以上</w:t>
            </w:r>
            <w:r>
              <w:rPr>
                <w:rFonts w:hint="eastAsia" w:hAnsi="宋体"/>
                <w:color w:val="auto"/>
                <w:szCs w:val="21"/>
                <w:highlight w:val="none"/>
              </w:rPr>
              <w:t>专业背景，或持有初级建筑工程师及以上建筑设计相关专业证书</w:t>
            </w:r>
            <w:r>
              <w:rPr>
                <w:rFonts w:hint="eastAsia" w:hAnsi="宋体"/>
                <w:color w:val="auto"/>
                <w:szCs w:val="21"/>
                <w:highlight w:val="none"/>
                <w:lang w:eastAsia="zh-CN"/>
              </w:rPr>
              <w:t>；</w:t>
            </w:r>
            <w:r>
              <w:rPr>
                <w:rFonts w:hint="eastAsia" w:hAnsi="宋体"/>
                <w:color w:val="auto"/>
                <w:szCs w:val="21"/>
                <w:highlight w:val="none"/>
              </w:rPr>
              <w:t>团队架构</w:t>
            </w:r>
            <w:r>
              <w:rPr>
                <w:rFonts w:hint="eastAsia" w:hAnsi="宋体"/>
                <w:color w:val="auto"/>
                <w:szCs w:val="21"/>
                <w:highlight w:val="none"/>
                <w:lang w:val="en-US" w:eastAsia="zh-CN"/>
              </w:rPr>
              <w:t>一般</w:t>
            </w:r>
            <w:r>
              <w:rPr>
                <w:rFonts w:hint="eastAsia" w:hAnsi="宋体"/>
                <w:color w:val="auto"/>
                <w:szCs w:val="21"/>
                <w:highlight w:val="none"/>
                <w:lang w:eastAsia="zh-CN"/>
              </w:rPr>
              <w:t>；</w:t>
            </w:r>
            <w:r>
              <w:rPr>
                <w:rFonts w:hint="eastAsia" w:hAnsi="宋体"/>
                <w:color w:val="auto"/>
                <w:szCs w:val="21"/>
                <w:highlight w:val="none"/>
              </w:rPr>
              <w:t>且团队成员不少于3人的，得3分。</w:t>
            </w:r>
          </w:p>
          <w:p w14:paraId="4A8E0808">
            <w:pPr>
              <w:numPr>
                <w:ilvl w:val="0"/>
                <w:numId w:val="0"/>
              </w:numPr>
              <w:spacing w:line="360" w:lineRule="auto"/>
              <w:rPr>
                <w:rFonts w:hAnsi="宋体"/>
                <w:color w:val="auto"/>
                <w:szCs w:val="21"/>
                <w:highlight w:val="none"/>
              </w:rPr>
            </w:pPr>
            <w:r>
              <w:rPr>
                <w:rFonts w:hint="eastAsia" w:hAnsi="宋体"/>
                <w:color w:val="auto"/>
                <w:szCs w:val="21"/>
                <w:highlight w:val="none"/>
                <w:lang w:val="en-US" w:eastAsia="zh-CN"/>
              </w:rPr>
              <w:t>差：</w:t>
            </w:r>
            <w:r>
              <w:rPr>
                <w:rFonts w:hint="eastAsia" w:hAnsi="宋体"/>
                <w:color w:val="auto"/>
                <w:szCs w:val="21"/>
                <w:highlight w:val="none"/>
              </w:rPr>
              <w:t>团队成员具备一定专业度，团队内</w:t>
            </w:r>
            <w:r>
              <w:rPr>
                <w:rFonts w:hint="eastAsia" w:hAnsi="宋体"/>
                <w:color w:val="auto"/>
                <w:szCs w:val="21"/>
                <w:highlight w:val="none"/>
                <w:lang w:val="en-US" w:eastAsia="zh-CN"/>
              </w:rPr>
              <w:t>仅有</w:t>
            </w:r>
            <w:r>
              <w:rPr>
                <w:rFonts w:hint="eastAsia" w:hAnsi="宋体"/>
                <w:color w:val="auto"/>
                <w:szCs w:val="21"/>
                <w:highlight w:val="none"/>
              </w:rPr>
              <w:t>1名成员满足以下任一条件：具备城市规划、建筑设计、市场营销、经济学等房地产及商科</w:t>
            </w:r>
            <w:r>
              <w:rPr>
                <w:rFonts w:hint="eastAsia" w:hAnsi="宋体"/>
                <w:color w:val="auto"/>
                <w:szCs w:val="21"/>
                <w:highlight w:val="none"/>
              </w:rPr>
              <w:t>本科以上</w:t>
            </w:r>
            <w:r>
              <w:rPr>
                <w:rFonts w:hint="eastAsia" w:hAnsi="宋体"/>
                <w:color w:val="auto"/>
                <w:szCs w:val="21"/>
                <w:highlight w:val="none"/>
              </w:rPr>
              <w:t>专业背景，或持有初级建筑工程师及以上建筑设计相关专业证书</w:t>
            </w:r>
            <w:r>
              <w:rPr>
                <w:rFonts w:hint="eastAsia" w:hAnsi="宋体"/>
                <w:color w:val="auto"/>
                <w:szCs w:val="21"/>
                <w:highlight w:val="none"/>
                <w:lang w:eastAsia="zh-CN"/>
              </w:rPr>
              <w:t>；</w:t>
            </w:r>
            <w:r>
              <w:rPr>
                <w:rFonts w:hint="eastAsia" w:hAnsi="宋体"/>
                <w:color w:val="auto"/>
                <w:szCs w:val="21"/>
                <w:highlight w:val="none"/>
              </w:rPr>
              <w:t>团队架构</w:t>
            </w:r>
            <w:r>
              <w:rPr>
                <w:rFonts w:hint="eastAsia" w:hAnsi="宋体"/>
                <w:color w:val="auto"/>
                <w:szCs w:val="21"/>
                <w:highlight w:val="none"/>
                <w:lang w:val="en-US" w:eastAsia="zh-CN"/>
              </w:rPr>
              <w:t>一般</w:t>
            </w:r>
            <w:r>
              <w:rPr>
                <w:rFonts w:hint="eastAsia" w:hAnsi="宋体"/>
                <w:color w:val="auto"/>
                <w:szCs w:val="21"/>
                <w:highlight w:val="none"/>
                <w:lang w:eastAsia="zh-CN"/>
              </w:rPr>
              <w:t>；</w:t>
            </w:r>
            <w:r>
              <w:rPr>
                <w:rFonts w:hint="eastAsia" w:hAnsi="宋体"/>
                <w:color w:val="auto"/>
                <w:szCs w:val="21"/>
                <w:highlight w:val="none"/>
                <w:lang w:val="en-US" w:eastAsia="zh-CN"/>
              </w:rPr>
              <w:t>且</w:t>
            </w:r>
            <w:r>
              <w:rPr>
                <w:rFonts w:hint="eastAsia" w:hAnsi="宋体"/>
                <w:color w:val="auto"/>
                <w:szCs w:val="21"/>
                <w:highlight w:val="none"/>
              </w:rPr>
              <w:t>团队成员</w:t>
            </w:r>
            <w:r>
              <w:rPr>
                <w:rFonts w:hint="eastAsia" w:hAnsi="宋体"/>
                <w:color w:val="auto"/>
                <w:szCs w:val="21"/>
                <w:highlight w:val="none"/>
                <w:lang w:val="en-US" w:eastAsia="zh-CN"/>
              </w:rPr>
              <w:t>不</w:t>
            </w:r>
            <w:r>
              <w:rPr>
                <w:rFonts w:hint="eastAsia" w:hAnsi="宋体"/>
                <w:color w:val="auto"/>
                <w:szCs w:val="21"/>
                <w:highlight w:val="none"/>
              </w:rPr>
              <w:t>少于3人</w:t>
            </w:r>
            <w:r>
              <w:rPr>
                <w:rFonts w:hint="eastAsia" w:hAnsi="宋体"/>
                <w:color w:val="auto"/>
                <w:szCs w:val="21"/>
                <w:highlight w:val="none"/>
                <w:lang w:val="en-US" w:eastAsia="zh-CN"/>
              </w:rPr>
              <w:t>的</w:t>
            </w:r>
            <w:r>
              <w:rPr>
                <w:rFonts w:hint="eastAsia" w:hAnsi="宋体"/>
                <w:color w:val="auto"/>
                <w:szCs w:val="21"/>
                <w:highlight w:val="none"/>
              </w:rPr>
              <w:t>，得1分。</w:t>
            </w:r>
          </w:p>
          <w:p w14:paraId="45CEDFED">
            <w:pPr>
              <w:spacing w:line="360" w:lineRule="auto"/>
              <w:rPr>
                <w:rFonts w:hAnsi="宋体"/>
                <w:color w:val="auto"/>
                <w:szCs w:val="21"/>
                <w:highlight w:val="none"/>
              </w:rPr>
            </w:pPr>
            <w:r>
              <w:rPr>
                <w:rFonts w:hint="eastAsia" w:hAnsi="宋体"/>
                <w:color w:val="auto"/>
                <w:szCs w:val="21"/>
                <w:highlight w:val="none"/>
                <w:lang w:val="en-US" w:eastAsia="zh-CN"/>
              </w:rPr>
              <w:t>团队成员少于3人或</w:t>
            </w:r>
            <w:r>
              <w:rPr>
                <w:rFonts w:hint="eastAsia" w:hAnsi="宋体"/>
                <w:color w:val="auto"/>
                <w:szCs w:val="21"/>
                <w:highlight w:val="none"/>
              </w:rPr>
              <w:t>未提供</w:t>
            </w:r>
            <w:r>
              <w:rPr>
                <w:rFonts w:hint="eastAsia" w:hAnsi="宋体"/>
                <w:color w:val="auto"/>
                <w:szCs w:val="21"/>
                <w:highlight w:val="none"/>
                <w:lang w:val="en-US" w:eastAsia="zh-CN"/>
              </w:rPr>
              <w:t>项目团队配置</w:t>
            </w:r>
            <w:r>
              <w:rPr>
                <w:rFonts w:hint="eastAsia" w:hAnsi="宋体"/>
                <w:color w:val="auto"/>
                <w:szCs w:val="21"/>
                <w:highlight w:val="none"/>
              </w:rPr>
              <w:t>，不得分。</w:t>
            </w:r>
          </w:p>
          <w:p w14:paraId="1CF6C8EF">
            <w:pPr>
              <w:rPr>
                <w:rFonts w:hint="eastAsia" w:hAnsi="宋体"/>
                <w:color w:val="auto"/>
                <w:sz w:val="21"/>
                <w:szCs w:val="21"/>
                <w:highlight w:val="none"/>
              </w:rPr>
            </w:pPr>
            <w:r>
              <w:rPr>
                <w:rFonts w:hint="eastAsia" w:hAnsi="宋体"/>
                <w:color w:val="auto"/>
                <w:szCs w:val="21"/>
                <w:highlight w:val="none"/>
              </w:rPr>
              <w:t>（注：①上述人员不能重复计算，证明文件如非使用中文必须翻译成中文，以中文为准。②项目团队须提供毕业证书</w:t>
            </w:r>
            <w:r>
              <w:rPr>
                <w:rFonts w:hint="eastAsia" w:hAnsi="宋体"/>
                <w:color w:val="auto"/>
                <w:szCs w:val="21"/>
                <w:highlight w:val="none"/>
                <w:lang w:eastAsia="zh-CN"/>
              </w:rPr>
              <w:t>、</w:t>
            </w:r>
            <w:r>
              <w:rPr>
                <w:rFonts w:hint="eastAsia" w:hAnsi="宋体"/>
                <w:color w:val="auto"/>
                <w:szCs w:val="21"/>
                <w:highlight w:val="none"/>
                <w:lang w:val="en-US" w:eastAsia="zh-CN"/>
              </w:rPr>
              <w:t>团队架构</w:t>
            </w:r>
            <w:r>
              <w:rPr>
                <w:rFonts w:hint="eastAsia" w:hAnsi="宋体"/>
                <w:color w:val="auto"/>
                <w:szCs w:val="21"/>
                <w:highlight w:val="none"/>
              </w:rPr>
              <w:t>及每个人的近三个月社保缴纳凭证等材料加盖公章。）</w:t>
            </w:r>
          </w:p>
        </w:tc>
      </w:tr>
      <w:tr w14:paraId="35F4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675" w:type="dxa"/>
            <w:vAlign w:val="center"/>
          </w:tcPr>
          <w:p w14:paraId="0749C6B4">
            <w:pPr>
              <w:widowControl/>
              <w:spacing w:line="420" w:lineRule="exact"/>
              <w:jc w:val="center"/>
              <w:rPr>
                <w:rFonts w:hint="eastAsia" w:eastAsia="宋体" w:cs="宋体"/>
                <w:color w:val="auto"/>
                <w:kern w:val="2"/>
                <w:sz w:val="21"/>
                <w:szCs w:val="21"/>
                <w:highlight w:val="none"/>
                <w:lang w:val="en-US" w:eastAsia="zh-CN"/>
              </w:rPr>
            </w:pPr>
            <w:r>
              <w:rPr>
                <w:rFonts w:hint="eastAsia" w:hAnsi="宋体"/>
                <w:color w:val="auto"/>
                <w:szCs w:val="21"/>
                <w:highlight w:val="none"/>
                <w:lang w:val="en-US" w:eastAsia="zh-CN"/>
              </w:rPr>
              <w:t>3</w:t>
            </w:r>
          </w:p>
        </w:tc>
        <w:tc>
          <w:tcPr>
            <w:tcW w:w="1449" w:type="dxa"/>
            <w:shd w:val="clear" w:color="auto" w:fill="auto"/>
            <w:vAlign w:val="center"/>
          </w:tcPr>
          <w:p w14:paraId="619F795C">
            <w:pPr>
              <w:rPr>
                <w:rFonts w:hint="eastAsia" w:ascii="Times New Roman"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服务方案</w:t>
            </w:r>
          </w:p>
        </w:tc>
        <w:tc>
          <w:tcPr>
            <w:tcW w:w="671" w:type="dxa"/>
            <w:shd w:val="clear" w:color="auto" w:fill="auto"/>
            <w:vAlign w:val="center"/>
          </w:tcPr>
          <w:p w14:paraId="45918901">
            <w:pPr>
              <w:widowControl/>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hAnsi="宋体"/>
                <w:color w:val="auto"/>
                <w:szCs w:val="21"/>
                <w:highlight w:val="none"/>
                <w:lang w:val="en-US" w:eastAsia="zh-CN"/>
              </w:rPr>
              <w:t>20</w:t>
            </w:r>
            <w:r>
              <w:rPr>
                <w:rFonts w:hint="eastAsia" w:hAnsi="宋体"/>
                <w:color w:val="auto"/>
                <w:szCs w:val="21"/>
                <w:highlight w:val="none"/>
              </w:rPr>
              <w:t>分</w:t>
            </w:r>
          </w:p>
        </w:tc>
        <w:tc>
          <w:tcPr>
            <w:tcW w:w="5727" w:type="dxa"/>
            <w:shd w:val="clear" w:color="auto" w:fill="auto"/>
            <w:vAlign w:val="center"/>
          </w:tcPr>
          <w:p w14:paraId="03C6C05A">
            <w:pPr>
              <w:spacing w:line="360" w:lineRule="auto"/>
              <w:rPr>
                <w:rFonts w:hAnsi="宋体"/>
                <w:color w:val="auto"/>
                <w:szCs w:val="21"/>
                <w:highlight w:val="none"/>
              </w:rPr>
            </w:pPr>
            <w:r>
              <w:rPr>
                <w:rFonts w:hint="eastAsia" w:hAnsi="宋体"/>
                <w:color w:val="auto"/>
                <w:szCs w:val="21"/>
                <w:highlight w:val="none"/>
              </w:rPr>
              <w:t>根据投标人提供的服务方案进行评分：</w:t>
            </w:r>
          </w:p>
          <w:p w14:paraId="0C95C72D">
            <w:pPr>
              <w:spacing w:line="360" w:lineRule="auto"/>
              <w:rPr>
                <w:rFonts w:hAnsi="宋体"/>
                <w:color w:val="auto"/>
                <w:szCs w:val="21"/>
                <w:highlight w:val="none"/>
              </w:rPr>
            </w:pPr>
            <w:r>
              <w:rPr>
                <w:rFonts w:hint="eastAsia" w:hAnsi="宋体"/>
                <w:color w:val="auto"/>
                <w:szCs w:val="21"/>
                <w:highlight w:val="none"/>
              </w:rPr>
              <w:t>优：服务方案周密合理，方案具有很强的针对性，可操作性强，对项目所在区域的发展规划理解深入、商业市场分析到位、项目规划逻辑清晰合理，得20分；</w:t>
            </w:r>
          </w:p>
          <w:p w14:paraId="040010D2">
            <w:pPr>
              <w:spacing w:line="360" w:lineRule="auto"/>
              <w:rPr>
                <w:rFonts w:hAnsi="宋体"/>
                <w:color w:val="auto"/>
                <w:szCs w:val="21"/>
                <w:highlight w:val="none"/>
              </w:rPr>
            </w:pPr>
            <w:r>
              <w:rPr>
                <w:rFonts w:hint="eastAsia" w:hAnsi="宋体"/>
                <w:color w:val="auto"/>
                <w:szCs w:val="21"/>
                <w:highlight w:val="none"/>
              </w:rPr>
              <w:t>良：服务方案较为周密合理，方案具有较强的针对性，可操作性较强，对项目所在区域的发展规划理解较好、商业市场分析较好、项目规划逻辑较完善，得15分；</w:t>
            </w:r>
          </w:p>
          <w:p w14:paraId="56845BA8">
            <w:pPr>
              <w:spacing w:line="360" w:lineRule="auto"/>
              <w:rPr>
                <w:rFonts w:hAnsi="宋体"/>
                <w:color w:val="auto"/>
                <w:szCs w:val="21"/>
                <w:highlight w:val="none"/>
              </w:rPr>
            </w:pPr>
            <w:r>
              <w:rPr>
                <w:rFonts w:hint="eastAsia" w:hAnsi="宋体"/>
                <w:color w:val="auto"/>
                <w:szCs w:val="21"/>
                <w:highlight w:val="none"/>
              </w:rPr>
              <w:t>中：服务方案一般，方案具有一定的针对性，可操作性一般，对项目所在区域的发展规划理解一般、商业市场分析一般、项目规划逻辑较一般，得10分。</w:t>
            </w:r>
          </w:p>
          <w:p w14:paraId="4C0FA0B3">
            <w:pPr>
              <w:spacing w:line="360" w:lineRule="auto"/>
              <w:rPr>
                <w:rFonts w:hAnsi="宋体"/>
                <w:color w:val="auto"/>
                <w:szCs w:val="21"/>
                <w:highlight w:val="none"/>
              </w:rPr>
            </w:pPr>
            <w:r>
              <w:rPr>
                <w:rFonts w:hint="eastAsia" w:hAnsi="宋体"/>
                <w:color w:val="auto"/>
                <w:szCs w:val="21"/>
                <w:highlight w:val="none"/>
              </w:rPr>
              <w:t>差：服务方案较差，方案不具有针对性，可操作性不强，对项目所在区域的发展规划理解不到位、商业市场分析存在明显缺陷、项目规划逻辑不合理，得5分。</w:t>
            </w:r>
          </w:p>
          <w:p w14:paraId="66FCBD47">
            <w:pPr>
              <w:spacing w:line="360" w:lineRule="auto"/>
              <w:rPr>
                <w:rFonts w:hint="default" w:hAnsi="宋体" w:eastAsia="宋体"/>
                <w:color w:val="auto"/>
                <w:szCs w:val="21"/>
                <w:highlight w:val="none"/>
                <w:lang w:val="en-US" w:eastAsia="zh-CN"/>
              </w:rPr>
            </w:pPr>
            <w:r>
              <w:rPr>
                <w:rFonts w:hint="eastAsia" w:hAnsi="宋体"/>
                <w:color w:val="auto"/>
                <w:szCs w:val="21"/>
                <w:highlight w:val="none"/>
              </w:rPr>
              <w:t>未提供，不得分。</w:t>
            </w:r>
          </w:p>
        </w:tc>
      </w:tr>
      <w:tr w14:paraId="392B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9C9F012">
            <w:pPr>
              <w:widowControl/>
              <w:spacing w:line="420" w:lineRule="exact"/>
              <w:jc w:val="center"/>
              <w:rPr>
                <w:rFonts w:hint="eastAsia" w:eastAsia="宋体"/>
                <w:color w:val="auto"/>
                <w:kern w:val="2"/>
                <w:sz w:val="21"/>
                <w:szCs w:val="21"/>
                <w:highlight w:val="none"/>
                <w:lang w:eastAsia="zh-CN"/>
              </w:rPr>
            </w:pPr>
            <w:r>
              <w:rPr>
                <w:rFonts w:hint="eastAsia" w:hAnsi="宋体"/>
                <w:color w:val="auto"/>
                <w:szCs w:val="21"/>
                <w:highlight w:val="none"/>
                <w:lang w:val="en-US" w:eastAsia="zh-CN"/>
              </w:rPr>
              <w:t>4</w:t>
            </w:r>
          </w:p>
        </w:tc>
        <w:tc>
          <w:tcPr>
            <w:tcW w:w="1449" w:type="dxa"/>
            <w:shd w:val="clear" w:color="auto" w:fill="auto"/>
            <w:vAlign w:val="center"/>
          </w:tcPr>
          <w:p w14:paraId="7AB10D3A">
            <w:pPr>
              <w:rPr>
                <w:rFonts w:hint="eastAsia" w:ascii="Times New Roman"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项目服务建议书</w:t>
            </w:r>
          </w:p>
        </w:tc>
        <w:tc>
          <w:tcPr>
            <w:tcW w:w="671" w:type="dxa"/>
            <w:shd w:val="clear" w:color="auto" w:fill="auto"/>
            <w:vAlign w:val="center"/>
          </w:tcPr>
          <w:p w14:paraId="50FDD450">
            <w:pPr>
              <w:widowControl/>
              <w:spacing w:line="420" w:lineRule="exact"/>
              <w:jc w:val="left"/>
              <w:rPr>
                <w:rFonts w:hint="eastAsia" w:ascii="宋体" w:hAnsi="宋体" w:eastAsia="宋体" w:cs="宋体"/>
                <w:color w:val="auto"/>
                <w:kern w:val="2"/>
                <w:sz w:val="21"/>
                <w:szCs w:val="21"/>
                <w:highlight w:val="none"/>
                <w:lang w:val="en-US" w:eastAsia="zh-CN" w:bidi="ar-SA"/>
              </w:rPr>
            </w:pPr>
            <w:r>
              <w:rPr>
                <w:rFonts w:hint="eastAsia" w:hAnsi="宋体"/>
                <w:color w:val="auto"/>
                <w:szCs w:val="21"/>
                <w:highlight w:val="none"/>
                <w:lang w:val="en-US" w:eastAsia="zh-CN"/>
              </w:rPr>
              <w:t>5</w:t>
            </w:r>
            <w:r>
              <w:rPr>
                <w:rFonts w:hint="eastAsia" w:hAnsi="宋体"/>
                <w:color w:val="auto"/>
                <w:szCs w:val="21"/>
                <w:highlight w:val="none"/>
              </w:rPr>
              <w:t>分</w:t>
            </w:r>
          </w:p>
        </w:tc>
        <w:tc>
          <w:tcPr>
            <w:tcW w:w="5727" w:type="dxa"/>
            <w:shd w:val="clear" w:color="auto" w:fill="auto"/>
            <w:vAlign w:val="center"/>
          </w:tcPr>
          <w:p w14:paraId="72B94957">
            <w:pPr>
              <w:spacing w:line="360" w:lineRule="auto"/>
              <w:rPr>
                <w:rFonts w:hAnsi="宋体"/>
                <w:color w:val="auto"/>
                <w:sz w:val="21"/>
                <w:szCs w:val="21"/>
                <w:highlight w:val="none"/>
              </w:rPr>
            </w:pPr>
            <w:r>
              <w:rPr>
                <w:rFonts w:hint="eastAsia" w:hAnsi="宋体"/>
                <w:color w:val="auto"/>
                <w:sz w:val="21"/>
                <w:szCs w:val="21"/>
                <w:highlight w:val="none"/>
              </w:rPr>
              <w:t>项目服务建议书能正确理解服务需求书要求，制定项目策划及租赁方案、招商业态及铺位划分、租售定价参考及建议、工作流程及工作协调安排，具备科学性、完备性、针对性、可实施性（可以图表及文字等方式表述）进行评分：</w:t>
            </w:r>
          </w:p>
          <w:p w14:paraId="3EB2B5F3">
            <w:pPr>
              <w:spacing w:line="360" w:lineRule="auto"/>
              <w:rPr>
                <w:rFonts w:hAnsi="宋体"/>
                <w:bCs/>
                <w:color w:val="auto"/>
                <w:sz w:val="21"/>
                <w:szCs w:val="21"/>
                <w:highlight w:val="none"/>
              </w:rPr>
            </w:pPr>
            <w:r>
              <w:rPr>
                <w:rFonts w:hint="eastAsia" w:hAnsi="宋体"/>
                <w:bCs/>
                <w:color w:val="auto"/>
                <w:sz w:val="21"/>
                <w:szCs w:val="21"/>
                <w:highlight w:val="none"/>
              </w:rPr>
              <w:t>优：</w:t>
            </w:r>
            <w:r>
              <w:rPr>
                <w:rFonts w:hint="eastAsia" w:hAnsi="宋体"/>
                <w:color w:val="auto"/>
                <w:sz w:val="21"/>
                <w:szCs w:val="21"/>
                <w:highlight w:val="none"/>
              </w:rPr>
              <w:t>项目服务建议书能正确理解</w:t>
            </w:r>
            <w:r>
              <w:rPr>
                <w:rFonts w:hint="eastAsia" w:hAnsi="宋体"/>
                <w:color w:val="auto"/>
                <w:sz w:val="21"/>
                <w:szCs w:val="21"/>
                <w:highlight w:val="none"/>
                <w:lang w:val="en-US" w:eastAsia="zh-CN"/>
              </w:rPr>
              <w:t>招</w:t>
            </w:r>
            <w:r>
              <w:rPr>
                <w:rFonts w:hint="eastAsia" w:hAnsi="宋体"/>
                <w:color w:val="auto"/>
                <w:sz w:val="21"/>
                <w:szCs w:val="21"/>
                <w:highlight w:val="none"/>
              </w:rPr>
              <w:t>标文件服务需求书要求，制定工作流程及工作协调安排，具备科学性、完备性、针对性、可实施性</w:t>
            </w:r>
            <w:r>
              <w:rPr>
                <w:rFonts w:hint="eastAsia" w:hAnsi="宋体"/>
                <w:bCs/>
                <w:color w:val="auto"/>
                <w:sz w:val="21"/>
                <w:szCs w:val="21"/>
                <w:highlight w:val="none"/>
              </w:rPr>
              <w:t>，得</w:t>
            </w:r>
            <w:r>
              <w:rPr>
                <w:rFonts w:hint="eastAsia" w:hAnsi="宋体"/>
                <w:bCs/>
                <w:color w:val="auto"/>
                <w:sz w:val="21"/>
                <w:szCs w:val="21"/>
                <w:highlight w:val="none"/>
                <w:lang w:val="en-US" w:eastAsia="zh-CN"/>
              </w:rPr>
              <w:t>5</w:t>
            </w:r>
            <w:r>
              <w:rPr>
                <w:rFonts w:hint="eastAsia" w:hAnsi="宋体"/>
                <w:bCs/>
                <w:color w:val="auto"/>
                <w:sz w:val="21"/>
                <w:szCs w:val="21"/>
                <w:highlight w:val="none"/>
              </w:rPr>
              <w:t>分；</w:t>
            </w:r>
          </w:p>
          <w:p w14:paraId="26425E4C">
            <w:pPr>
              <w:spacing w:line="360" w:lineRule="auto"/>
              <w:rPr>
                <w:rFonts w:hint="eastAsia" w:hAnsi="宋体"/>
                <w:bCs/>
                <w:color w:val="auto"/>
                <w:sz w:val="21"/>
                <w:szCs w:val="21"/>
                <w:highlight w:val="none"/>
              </w:rPr>
            </w:pPr>
            <w:r>
              <w:rPr>
                <w:rFonts w:hint="eastAsia" w:hAnsi="宋体"/>
                <w:bCs/>
                <w:color w:val="auto"/>
                <w:sz w:val="21"/>
                <w:szCs w:val="21"/>
                <w:highlight w:val="none"/>
              </w:rPr>
              <w:t>良：</w:t>
            </w:r>
            <w:r>
              <w:rPr>
                <w:rFonts w:hint="eastAsia" w:hAnsi="宋体"/>
                <w:color w:val="auto"/>
                <w:sz w:val="21"/>
                <w:szCs w:val="21"/>
                <w:highlight w:val="none"/>
              </w:rPr>
              <w:t>项目服务建议书较好地理解</w:t>
            </w:r>
            <w:r>
              <w:rPr>
                <w:rFonts w:hint="eastAsia" w:hAnsi="宋体"/>
                <w:color w:val="auto"/>
                <w:sz w:val="21"/>
                <w:szCs w:val="21"/>
                <w:highlight w:val="none"/>
                <w:lang w:val="en-US" w:eastAsia="zh-CN"/>
              </w:rPr>
              <w:t>招</w:t>
            </w:r>
            <w:r>
              <w:rPr>
                <w:rFonts w:hint="eastAsia" w:hAnsi="宋体"/>
                <w:color w:val="auto"/>
                <w:sz w:val="21"/>
                <w:szCs w:val="21"/>
                <w:highlight w:val="none"/>
              </w:rPr>
              <w:t>标文件服务需求书要求，制定工作流程及工作协调安排完善，合理可行</w:t>
            </w:r>
            <w:r>
              <w:rPr>
                <w:rFonts w:hint="eastAsia" w:hAnsi="宋体"/>
                <w:bCs/>
                <w:color w:val="auto"/>
                <w:sz w:val="21"/>
                <w:szCs w:val="21"/>
                <w:highlight w:val="none"/>
              </w:rPr>
              <w:t>，得</w:t>
            </w:r>
            <w:r>
              <w:rPr>
                <w:rFonts w:hint="eastAsia" w:hAnsi="宋体"/>
                <w:bCs/>
                <w:color w:val="auto"/>
                <w:sz w:val="21"/>
                <w:szCs w:val="21"/>
                <w:highlight w:val="none"/>
                <w:lang w:val="en-US" w:eastAsia="zh-CN"/>
              </w:rPr>
              <w:t>3</w:t>
            </w:r>
            <w:r>
              <w:rPr>
                <w:rFonts w:hint="eastAsia" w:hAnsi="宋体"/>
                <w:bCs/>
                <w:color w:val="auto"/>
                <w:sz w:val="21"/>
                <w:szCs w:val="21"/>
                <w:highlight w:val="none"/>
              </w:rPr>
              <w:t>分；</w:t>
            </w:r>
          </w:p>
          <w:p w14:paraId="22C430A3">
            <w:pPr>
              <w:spacing w:line="360" w:lineRule="auto"/>
              <w:rPr>
                <w:rFonts w:hint="eastAsia" w:hAnsi="宋体"/>
                <w:bCs/>
                <w:color w:val="auto"/>
                <w:sz w:val="21"/>
                <w:szCs w:val="21"/>
                <w:highlight w:val="none"/>
              </w:rPr>
            </w:pPr>
            <w:r>
              <w:rPr>
                <w:rFonts w:hint="eastAsia" w:hAnsi="宋体"/>
                <w:bCs/>
                <w:color w:val="auto"/>
                <w:sz w:val="21"/>
                <w:szCs w:val="21"/>
                <w:highlight w:val="none"/>
              </w:rPr>
              <w:t>中：</w:t>
            </w:r>
            <w:r>
              <w:rPr>
                <w:rFonts w:hint="eastAsia" w:hAnsi="宋体"/>
                <w:color w:val="auto"/>
                <w:sz w:val="21"/>
                <w:szCs w:val="21"/>
                <w:highlight w:val="none"/>
              </w:rPr>
              <w:t>项目服务建议书基本理解</w:t>
            </w:r>
            <w:r>
              <w:rPr>
                <w:rFonts w:hint="eastAsia" w:hAnsi="宋体"/>
                <w:color w:val="auto"/>
                <w:sz w:val="21"/>
                <w:szCs w:val="21"/>
                <w:highlight w:val="none"/>
                <w:lang w:val="en-US" w:eastAsia="zh-CN"/>
              </w:rPr>
              <w:t>招</w:t>
            </w:r>
            <w:r>
              <w:rPr>
                <w:rFonts w:hint="eastAsia" w:hAnsi="宋体"/>
                <w:color w:val="auto"/>
                <w:sz w:val="21"/>
                <w:szCs w:val="21"/>
                <w:highlight w:val="none"/>
              </w:rPr>
              <w:t>标文件服务需求书要求，制定工作流程及工作协调安排一般，基本可行</w:t>
            </w:r>
            <w:r>
              <w:rPr>
                <w:rFonts w:hint="eastAsia" w:hAnsi="宋体"/>
                <w:bCs/>
                <w:color w:val="auto"/>
                <w:sz w:val="21"/>
                <w:szCs w:val="21"/>
                <w:highlight w:val="none"/>
              </w:rPr>
              <w:t>，得</w:t>
            </w:r>
            <w:r>
              <w:rPr>
                <w:rFonts w:hint="eastAsia" w:hAnsi="宋体"/>
                <w:bCs/>
                <w:color w:val="auto"/>
                <w:sz w:val="21"/>
                <w:szCs w:val="21"/>
                <w:highlight w:val="none"/>
                <w:lang w:val="en-US" w:eastAsia="zh-CN"/>
              </w:rPr>
              <w:t>2</w:t>
            </w:r>
            <w:r>
              <w:rPr>
                <w:rFonts w:hint="eastAsia" w:hAnsi="宋体"/>
                <w:bCs/>
                <w:color w:val="auto"/>
                <w:sz w:val="21"/>
                <w:szCs w:val="21"/>
                <w:highlight w:val="none"/>
              </w:rPr>
              <w:t>分；</w:t>
            </w:r>
          </w:p>
          <w:p w14:paraId="7BB3C598">
            <w:pPr>
              <w:spacing w:line="360" w:lineRule="auto"/>
              <w:rPr>
                <w:rFonts w:hAnsi="宋体"/>
                <w:bCs/>
                <w:color w:val="auto"/>
                <w:sz w:val="21"/>
                <w:szCs w:val="21"/>
                <w:highlight w:val="none"/>
              </w:rPr>
            </w:pPr>
            <w:r>
              <w:rPr>
                <w:rFonts w:hint="eastAsia" w:hAnsi="宋体"/>
                <w:bCs/>
                <w:color w:val="auto"/>
                <w:sz w:val="21"/>
                <w:szCs w:val="21"/>
                <w:highlight w:val="none"/>
              </w:rPr>
              <w:t>差：</w:t>
            </w:r>
            <w:r>
              <w:rPr>
                <w:rFonts w:hint="eastAsia" w:hAnsi="宋体"/>
                <w:color w:val="auto"/>
                <w:sz w:val="21"/>
                <w:szCs w:val="21"/>
                <w:highlight w:val="none"/>
              </w:rPr>
              <w:t>项目服务建议书不能正确理解</w:t>
            </w:r>
            <w:r>
              <w:rPr>
                <w:rFonts w:hint="eastAsia" w:hAnsi="宋体"/>
                <w:color w:val="auto"/>
                <w:sz w:val="21"/>
                <w:szCs w:val="21"/>
                <w:highlight w:val="none"/>
                <w:lang w:val="en-US" w:eastAsia="zh-CN"/>
              </w:rPr>
              <w:t>招</w:t>
            </w:r>
            <w:r>
              <w:rPr>
                <w:rFonts w:hint="eastAsia" w:hAnsi="宋体"/>
                <w:color w:val="auto"/>
                <w:sz w:val="21"/>
                <w:szCs w:val="21"/>
                <w:highlight w:val="none"/>
              </w:rPr>
              <w:t>标文件服务需求书要求，制定工作流程及工作协调安排不完整，无针对性、实施性低</w:t>
            </w:r>
            <w:r>
              <w:rPr>
                <w:rFonts w:hint="eastAsia" w:hAnsi="宋体"/>
                <w:bCs/>
                <w:color w:val="auto"/>
                <w:sz w:val="21"/>
                <w:szCs w:val="21"/>
                <w:highlight w:val="none"/>
              </w:rPr>
              <w:t>，得</w:t>
            </w:r>
            <w:r>
              <w:rPr>
                <w:rFonts w:hAnsi="宋体"/>
                <w:bCs/>
                <w:color w:val="auto"/>
                <w:sz w:val="21"/>
                <w:szCs w:val="21"/>
                <w:highlight w:val="none"/>
              </w:rPr>
              <w:t>1</w:t>
            </w:r>
            <w:r>
              <w:rPr>
                <w:rFonts w:hint="eastAsia" w:hAnsi="宋体"/>
                <w:bCs/>
                <w:color w:val="auto"/>
                <w:sz w:val="21"/>
                <w:szCs w:val="21"/>
                <w:highlight w:val="none"/>
              </w:rPr>
              <w:t>分。</w:t>
            </w:r>
          </w:p>
          <w:p w14:paraId="3E031151">
            <w:pPr>
              <w:rPr>
                <w:rFonts w:hint="eastAsia" w:ascii="Times New Roman" w:hAnsi="宋体" w:eastAsia="宋体" w:cs="Times New Roman"/>
                <w:color w:val="auto"/>
                <w:kern w:val="2"/>
                <w:sz w:val="21"/>
                <w:szCs w:val="21"/>
                <w:highlight w:val="none"/>
                <w:lang w:val="en-US" w:eastAsia="zh-CN" w:bidi="ar-SA"/>
              </w:rPr>
            </w:pPr>
            <w:bookmarkStart w:id="4" w:name="_Toc55466995"/>
            <w:r>
              <w:rPr>
                <w:rFonts w:hint="eastAsia" w:hAnsi="宋体"/>
                <w:color w:val="auto"/>
                <w:sz w:val="21"/>
                <w:szCs w:val="21"/>
                <w:highlight w:val="none"/>
              </w:rPr>
              <w:t>未提供，不得分。</w:t>
            </w:r>
            <w:bookmarkEnd w:id="4"/>
          </w:p>
        </w:tc>
      </w:tr>
    </w:tbl>
    <w:p w14:paraId="1C3B3FC3">
      <w:pPr>
        <w:rPr>
          <w:rFonts w:eastAsia="黑体"/>
          <w:color w:val="auto"/>
          <w:sz w:val="32"/>
          <w:szCs w:val="48"/>
          <w:highlight w:val="none"/>
        </w:rPr>
      </w:pPr>
      <w:r>
        <w:rPr>
          <w:rFonts w:hint="eastAsia" w:eastAsia="黑体"/>
          <w:color w:val="auto"/>
          <w:sz w:val="32"/>
          <w:szCs w:val="48"/>
          <w:highlight w:val="none"/>
        </w:rPr>
        <w:br w:type="page"/>
      </w:r>
    </w:p>
    <w:p w14:paraId="7189EC74">
      <w:pPr>
        <w:pStyle w:val="49"/>
        <w:ind w:left="0" w:leftChars="0" w:firstLine="0" w:firstLineChars="0"/>
        <w:jc w:val="center"/>
        <w:outlineLvl w:val="1"/>
        <w:rPr>
          <w:rFonts w:eastAsia="黑体"/>
          <w:color w:val="auto"/>
          <w:sz w:val="28"/>
          <w:szCs w:val="44"/>
          <w:highlight w:val="none"/>
        </w:rPr>
      </w:pPr>
      <w:bookmarkStart w:id="5" w:name="_Hlk524442005"/>
      <w:r>
        <w:rPr>
          <w:rFonts w:hint="eastAsia" w:eastAsia="黑体"/>
          <w:color w:val="auto"/>
          <w:sz w:val="32"/>
          <w:szCs w:val="48"/>
          <w:highlight w:val="none"/>
        </w:rPr>
        <w:t>第三部分 合同文本</w:t>
      </w:r>
    </w:p>
    <w:p w14:paraId="52056836">
      <w:pPr>
        <w:jc w:val="left"/>
        <w:rPr>
          <w:color w:val="auto"/>
          <w:sz w:val="28"/>
          <w:highlight w:val="none"/>
        </w:rPr>
      </w:pPr>
      <w:bookmarkStart w:id="6" w:name="_Toc148265712"/>
      <w:bookmarkEnd w:id="6"/>
      <w:r>
        <w:rPr>
          <w:rFonts w:hint="eastAsia"/>
          <w:color w:val="auto"/>
          <w:sz w:val="28"/>
          <w:highlight w:val="none"/>
          <w:lang w:eastAsia="zh-CN"/>
        </w:rPr>
        <w:t>合同编号：</w:t>
      </w:r>
      <w:r>
        <w:rPr>
          <w:color w:val="auto"/>
          <w:sz w:val="28"/>
          <w:highlight w:val="none"/>
        </w:rPr>
        <w:t xml:space="preserve">      </w:t>
      </w:r>
    </w:p>
    <w:p w14:paraId="0CA94D06">
      <w:pPr>
        <w:jc w:val="center"/>
        <w:rPr>
          <w:color w:val="auto"/>
          <w:sz w:val="28"/>
          <w:highlight w:val="none"/>
        </w:rPr>
      </w:pPr>
    </w:p>
    <w:p w14:paraId="3A8B0170">
      <w:pPr>
        <w:snapToGrid w:val="0"/>
        <w:spacing w:line="360" w:lineRule="auto"/>
        <w:ind w:firstLine="6510" w:firstLineChars="3100"/>
        <w:rPr>
          <w:rFonts w:hint="default"/>
          <w:color w:val="auto"/>
          <w:szCs w:val="14"/>
          <w:highlight w:val="none"/>
          <w:lang w:val="en-US" w:eastAsia="zh-CN"/>
        </w:rPr>
      </w:pPr>
      <w:r>
        <w:rPr>
          <w:rFonts w:hint="eastAsia"/>
          <w:color w:val="auto"/>
          <w:szCs w:val="14"/>
          <w:highlight w:val="none"/>
          <w:lang w:val="en-US" w:eastAsia="zh-CN"/>
        </w:rPr>
        <w:t>合同编号：</w:t>
      </w:r>
    </w:p>
    <w:p w14:paraId="7E418405">
      <w:pPr>
        <w:pStyle w:val="49"/>
        <w:ind w:firstLine="640"/>
        <w:jc w:val="left"/>
        <w:outlineLvl w:val="1"/>
        <w:rPr>
          <w:rFonts w:hint="eastAsia" w:eastAsia="黑体"/>
          <w:color w:val="auto"/>
          <w:sz w:val="44"/>
          <w:szCs w:val="16"/>
          <w:highlight w:val="none"/>
          <w:u w:val="single"/>
          <w:lang w:val="en-US" w:eastAsia="zh-CN"/>
        </w:rPr>
      </w:pPr>
    </w:p>
    <w:p w14:paraId="394B4E45">
      <w:pPr>
        <w:pStyle w:val="49"/>
        <w:ind w:firstLine="0" w:firstLineChars="0"/>
        <w:jc w:val="center"/>
        <w:outlineLvl w:val="1"/>
        <w:rPr>
          <w:rFonts w:hint="eastAsia" w:eastAsia="黑体"/>
          <w:color w:val="auto"/>
          <w:sz w:val="44"/>
          <w:szCs w:val="72"/>
          <w:highlight w:val="none"/>
        </w:rPr>
      </w:pPr>
      <w:r>
        <w:rPr>
          <w:rFonts w:hint="eastAsia" w:eastAsia="黑体"/>
          <w:color w:val="auto"/>
          <w:sz w:val="44"/>
          <w:szCs w:val="16"/>
          <w:highlight w:val="none"/>
          <w:u w:val="single"/>
          <w:lang w:val="en-US" w:eastAsia="zh-CN"/>
        </w:rPr>
        <w:t>东莞市松山湖高新区园区旗筑城市综合体前期策划咨询</w:t>
      </w:r>
      <w:r>
        <w:rPr>
          <w:rFonts w:hint="eastAsia" w:eastAsia="黑体"/>
          <w:color w:val="auto"/>
          <w:sz w:val="44"/>
          <w:szCs w:val="16"/>
          <w:highlight w:val="none"/>
          <w:lang w:val="en-US" w:eastAsia="zh-CN"/>
        </w:rPr>
        <w:t>服务</w:t>
      </w:r>
      <w:r>
        <w:rPr>
          <w:rFonts w:hint="eastAsia" w:eastAsia="黑体"/>
          <w:color w:val="auto"/>
          <w:sz w:val="44"/>
          <w:szCs w:val="72"/>
          <w:highlight w:val="none"/>
        </w:rPr>
        <w:t>合同</w:t>
      </w:r>
    </w:p>
    <w:p w14:paraId="64CD5898">
      <w:pPr>
        <w:tabs>
          <w:tab w:val="left" w:pos="3800"/>
        </w:tabs>
        <w:spacing w:line="500" w:lineRule="exact"/>
        <w:jc w:val="center"/>
        <w:rPr>
          <w:color w:val="auto"/>
          <w:szCs w:val="21"/>
          <w:highlight w:val="none"/>
          <w:u w:val="single"/>
        </w:rPr>
      </w:pPr>
    </w:p>
    <w:p w14:paraId="7B5081BC">
      <w:pPr>
        <w:snapToGrid w:val="0"/>
        <w:spacing w:line="360" w:lineRule="auto"/>
        <w:rPr>
          <w:rFonts w:hint="eastAsia" w:ascii="宋体" w:hAnsi="宋体"/>
          <w:bCs/>
          <w:color w:val="auto"/>
          <w:szCs w:val="21"/>
          <w:highlight w:val="none"/>
        </w:rPr>
      </w:pPr>
      <w:r>
        <w:rPr>
          <w:rFonts w:hint="eastAsia"/>
          <w:color w:val="auto"/>
          <w:szCs w:val="14"/>
          <w:highlight w:val="none"/>
        </w:rPr>
        <w:t>甲方：</w:t>
      </w:r>
      <w:r>
        <w:rPr>
          <w:rFonts w:hint="eastAsia" w:ascii="宋体" w:hAnsi="宋体"/>
          <w:bCs/>
          <w:color w:val="auto"/>
          <w:szCs w:val="21"/>
          <w:highlight w:val="none"/>
        </w:rPr>
        <w:t xml:space="preserve">东莞市松山湖旗筑置业有限公司 </w:t>
      </w:r>
    </w:p>
    <w:p w14:paraId="2D88B8AE">
      <w:pPr>
        <w:snapToGrid w:val="0"/>
        <w:spacing w:line="360" w:lineRule="auto"/>
        <w:rPr>
          <w:rFonts w:hint="default" w:eastAsia="宋体"/>
          <w:color w:val="auto"/>
          <w:szCs w:val="14"/>
          <w:highlight w:val="none"/>
          <w:lang w:val="en-US" w:eastAsia="zh-CN"/>
        </w:rPr>
      </w:pPr>
      <w:r>
        <w:rPr>
          <w:rFonts w:hint="eastAsia"/>
          <w:color w:val="auto"/>
          <w:szCs w:val="14"/>
          <w:highlight w:val="none"/>
        </w:rPr>
        <w:t>法定代表人：</w:t>
      </w:r>
    </w:p>
    <w:p w14:paraId="6FA81381">
      <w:pPr>
        <w:snapToGrid w:val="0"/>
        <w:spacing w:line="360" w:lineRule="auto"/>
        <w:rPr>
          <w:rFonts w:hint="eastAsia" w:ascii="宋体" w:hAnsi="宋体"/>
          <w:bCs/>
          <w:color w:val="auto"/>
          <w:szCs w:val="21"/>
          <w:highlight w:val="none"/>
        </w:rPr>
      </w:pPr>
      <w:r>
        <w:rPr>
          <w:rFonts w:hint="eastAsia"/>
          <w:bCs/>
          <w:color w:val="auto"/>
          <w:szCs w:val="21"/>
          <w:highlight w:val="none"/>
        </w:rPr>
        <w:t>联系地址：</w:t>
      </w:r>
    </w:p>
    <w:p w14:paraId="1DE3EA0A">
      <w:pPr>
        <w:pStyle w:val="11"/>
        <w:rPr>
          <w:rFonts w:hint="eastAsia"/>
          <w:color w:val="auto"/>
          <w:highlight w:val="none"/>
        </w:rPr>
      </w:pPr>
    </w:p>
    <w:p w14:paraId="3843C141">
      <w:pPr>
        <w:snapToGrid w:val="0"/>
        <w:spacing w:line="360" w:lineRule="auto"/>
        <w:rPr>
          <w:rFonts w:hint="eastAsia"/>
          <w:color w:val="auto"/>
          <w:szCs w:val="14"/>
          <w:highlight w:val="none"/>
        </w:rPr>
      </w:pPr>
      <w:r>
        <w:rPr>
          <w:rFonts w:hint="eastAsia"/>
          <w:color w:val="auto"/>
          <w:szCs w:val="14"/>
          <w:highlight w:val="none"/>
        </w:rPr>
        <w:t>乙方：</w:t>
      </w:r>
    </w:p>
    <w:p w14:paraId="585EFFF5">
      <w:pPr>
        <w:snapToGrid w:val="0"/>
        <w:spacing w:line="360" w:lineRule="auto"/>
        <w:rPr>
          <w:rFonts w:hint="eastAsia"/>
          <w:color w:val="auto"/>
          <w:szCs w:val="14"/>
          <w:highlight w:val="none"/>
        </w:rPr>
      </w:pPr>
      <w:r>
        <w:rPr>
          <w:rFonts w:hint="eastAsia"/>
          <w:color w:val="auto"/>
          <w:szCs w:val="14"/>
          <w:highlight w:val="none"/>
        </w:rPr>
        <w:t>法定代表人：</w:t>
      </w:r>
    </w:p>
    <w:p w14:paraId="21DE0094">
      <w:pPr>
        <w:snapToGrid w:val="0"/>
        <w:spacing w:line="360" w:lineRule="auto"/>
        <w:rPr>
          <w:color w:val="auto"/>
          <w:szCs w:val="21"/>
          <w:highlight w:val="none"/>
        </w:rPr>
      </w:pPr>
      <w:r>
        <w:rPr>
          <w:rFonts w:hint="eastAsia"/>
          <w:bCs/>
          <w:color w:val="auto"/>
          <w:szCs w:val="21"/>
          <w:highlight w:val="none"/>
        </w:rPr>
        <w:t>联系地址：</w:t>
      </w:r>
    </w:p>
    <w:p w14:paraId="0F424496">
      <w:pPr>
        <w:snapToGrid w:val="0"/>
        <w:spacing w:line="360" w:lineRule="auto"/>
        <w:rPr>
          <w:rFonts w:hint="eastAsia" w:ascii="宋体" w:hAnsi="宋体"/>
          <w:b/>
          <w:color w:val="auto"/>
          <w:szCs w:val="21"/>
          <w:highlight w:val="none"/>
        </w:rPr>
      </w:pPr>
    </w:p>
    <w:p w14:paraId="40E929A1">
      <w:pPr>
        <w:pStyle w:val="15"/>
        <w:spacing w:line="500" w:lineRule="exact"/>
        <w:ind w:firstLine="420" w:firstLineChars="200"/>
        <w:rPr>
          <w:rFonts w:hAnsi="宋体"/>
          <w:bCs/>
          <w:color w:val="auto"/>
          <w:sz w:val="21"/>
          <w:highlight w:val="none"/>
        </w:rPr>
      </w:pPr>
      <w:r>
        <w:rPr>
          <w:rFonts w:hint="eastAsia" w:hAnsi="宋体"/>
          <w:b/>
          <w:color w:val="auto"/>
          <w:sz w:val="21"/>
          <w:highlight w:val="none"/>
        </w:rPr>
        <w:t>根据《中华人民共和国民法典》《中华人民共和国广告法》及相关</w:t>
      </w:r>
      <w:r>
        <w:rPr>
          <w:rFonts w:hint="eastAsia" w:hAnsi="宋体"/>
          <w:b/>
          <w:color w:val="auto"/>
          <w:sz w:val="21"/>
          <w:highlight w:val="none"/>
          <w:lang w:eastAsia="zh-Hans"/>
        </w:rPr>
        <w:t>法律法规之规定</w:t>
      </w:r>
      <w:r>
        <w:rPr>
          <w:rFonts w:hint="eastAsia" w:hAnsi="宋体"/>
          <w:b/>
          <w:color w:val="auto"/>
          <w:sz w:val="21"/>
          <w:highlight w:val="none"/>
        </w:rPr>
        <w:t>，</w:t>
      </w:r>
      <w:r>
        <w:rPr>
          <w:rFonts w:hAnsi="宋体"/>
          <w:b/>
          <w:color w:val="auto"/>
          <w:sz w:val="21"/>
          <w:highlight w:val="none"/>
        </w:rPr>
        <w:t>甲方委托乙方</w:t>
      </w:r>
      <w:r>
        <w:rPr>
          <w:rFonts w:hint="eastAsia" w:hAnsi="宋体"/>
          <w:bCs/>
          <w:color w:val="auto"/>
          <w:sz w:val="21"/>
          <w:highlight w:val="none"/>
        </w:rPr>
        <w:t>作为</w:t>
      </w:r>
      <w:r>
        <w:rPr>
          <w:rFonts w:hint="default" w:hAnsi="宋体" w:eastAsia="宋体"/>
          <w:bCs/>
          <w:color w:val="auto"/>
          <w:sz w:val="21"/>
          <w:szCs w:val="21"/>
          <w:highlight w:val="none"/>
          <w:u w:val="none"/>
          <w:lang w:val="en-US" w:eastAsia="zh-CN"/>
        </w:rPr>
        <w:t>东莞市松山湖高新区园区旗筑城市综合体前期策划咨询</w:t>
      </w:r>
      <w:r>
        <w:rPr>
          <w:rFonts w:hint="eastAsia" w:hAnsi="宋体"/>
          <w:bCs/>
          <w:color w:val="auto"/>
          <w:sz w:val="21"/>
          <w:highlight w:val="none"/>
        </w:rPr>
        <w:t>的服务单位，承担</w:t>
      </w:r>
      <w:r>
        <w:rPr>
          <w:rFonts w:hint="eastAsia" w:hAnsi="宋体"/>
          <w:bCs/>
          <w:color w:val="auto"/>
          <w:sz w:val="21"/>
          <w:highlight w:val="none"/>
          <w:lang w:val="en-US" w:eastAsia="zh-CN"/>
        </w:rPr>
        <w:t>前期策划咨询</w:t>
      </w:r>
      <w:r>
        <w:rPr>
          <w:rFonts w:hint="eastAsia" w:hAnsi="宋体"/>
          <w:bCs/>
          <w:color w:val="auto"/>
          <w:sz w:val="21"/>
          <w:highlight w:val="none"/>
        </w:rPr>
        <w:t>服务。乙方须服从甲方相关的管理体系机制，服从甲方的工作安排。</w:t>
      </w:r>
      <w:r>
        <w:rPr>
          <w:rFonts w:hAnsi="宋体"/>
          <w:bCs/>
          <w:color w:val="auto"/>
          <w:sz w:val="21"/>
          <w:highlight w:val="none"/>
        </w:rPr>
        <w:t>甲乙双方经协商一致，达成如下合同条款,以资双方共同遵守执行。</w:t>
      </w:r>
    </w:p>
    <w:p w14:paraId="0C164C87">
      <w:pPr>
        <w:pStyle w:val="15"/>
        <w:spacing w:line="500" w:lineRule="exact"/>
        <w:rPr>
          <w:rFonts w:hAnsi="宋体"/>
          <w:b/>
          <w:color w:val="auto"/>
          <w:sz w:val="21"/>
          <w:highlight w:val="none"/>
        </w:rPr>
      </w:pPr>
      <w:r>
        <w:rPr>
          <w:rFonts w:hint="eastAsia" w:hAnsi="宋体"/>
          <w:b/>
          <w:color w:val="auto"/>
          <w:sz w:val="21"/>
          <w:highlight w:val="none"/>
        </w:rPr>
        <w:t>一、项目概况及</w:t>
      </w:r>
      <w:r>
        <w:rPr>
          <w:rFonts w:hAnsi="宋体"/>
          <w:b/>
          <w:color w:val="auto"/>
          <w:sz w:val="21"/>
          <w:highlight w:val="none"/>
        </w:rPr>
        <w:t>服务范围：</w:t>
      </w:r>
    </w:p>
    <w:p w14:paraId="7CA0ACDB">
      <w:pPr>
        <w:pStyle w:val="15"/>
        <w:spacing w:line="500" w:lineRule="exact"/>
        <w:ind w:firstLine="420" w:firstLineChars="200"/>
        <w:rPr>
          <w:rFonts w:hint="eastAsia" w:hAnsi="宋体"/>
          <w:b/>
          <w:color w:val="auto"/>
          <w:sz w:val="21"/>
          <w:highlight w:val="none"/>
        </w:rPr>
      </w:pPr>
      <w:r>
        <w:rPr>
          <w:rFonts w:hint="eastAsia" w:hAnsi="宋体"/>
          <w:bCs/>
          <w:color w:val="auto"/>
          <w:sz w:val="21"/>
          <w:highlight w:val="none"/>
        </w:rPr>
        <w:t xml:space="preserve">1.1 </w:t>
      </w:r>
      <w:r>
        <w:rPr>
          <w:rFonts w:hint="eastAsia" w:hAnsi="宋体"/>
          <w:b/>
          <w:color w:val="auto"/>
          <w:sz w:val="21"/>
          <w:highlight w:val="none"/>
        </w:rPr>
        <w:t>项目名称：</w:t>
      </w:r>
      <w:r>
        <w:rPr>
          <w:rFonts w:hint="eastAsia" w:hAnsi="宋体" w:eastAsia="宋体"/>
          <w:bCs/>
          <w:color w:val="auto"/>
          <w:sz w:val="21"/>
          <w:szCs w:val="21"/>
          <w:highlight w:val="none"/>
          <w:u w:val="none"/>
          <w:lang w:val="en-US" w:eastAsia="zh-CN"/>
        </w:rPr>
        <w:t>东莞市松山湖高新区园区旗筑城市综合体前期策划咨询</w:t>
      </w:r>
      <w:r>
        <w:rPr>
          <w:rFonts w:hint="eastAsia" w:hAnsi="宋体"/>
          <w:b/>
          <w:color w:val="auto"/>
          <w:sz w:val="21"/>
          <w:highlight w:val="none"/>
        </w:rPr>
        <w:t>。</w:t>
      </w:r>
    </w:p>
    <w:p w14:paraId="76F9D4DB">
      <w:pPr>
        <w:pStyle w:val="15"/>
        <w:spacing w:line="500" w:lineRule="exact"/>
        <w:ind w:firstLine="420" w:firstLineChars="200"/>
        <w:rPr>
          <w:rFonts w:hint="eastAsia" w:hAnsi="宋体"/>
          <w:b/>
          <w:color w:val="auto"/>
          <w:sz w:val="21"/>
          <w:highlight w:val="none"/>
          <w:u w:val="single"/>
        </w:rPr>
      </w:pPr>
      <w:r>
        <w:rPr>
          <w:rFonts w:hint="eastAsia" w:hAnsi="宋体"/>
          <w:bCs/>
          <w:color w:val="auto"/>
          <w:sz w:val="21"/>
          <w:highlight w:val="none"/>
        </w:rPr>
        <w:t xml:space="preserve">1.2 </w:t>
      </w:r>
      <w:r>
        <w:rPr>
          <w:rFonts w:hint="eastAsia" w:hAnsi="宋体"/>
          <w:b/>
          <w:color w:val="auto"/>
          <w:sz w:val="21"/>
          <w:highlight w:val="none"/>
        </w:rPr>
        <w:t>项目位置：</w:t>
      </w:r>
      <w:r>
        <w:rPr>
          <w:rFonts w:hint="eastAsia" w:hAnsi="宋体"/>
          <w:b/>
          <w:color w:val="auto"/>
          <w:sz w:val="21"/>
          <w:highlight w:val="none"/>
          <w:u w:val="single"/>
        </w:rPr>
        <w:t xml:space="preserve"> </w:t>
      </w:r>
      <w:r>
        <w:rPr>
          <w:rFonts w:hint="eastAsia" w:hAnsi="宋体"/>
          <w:b w:val="0"/>
          <w:bCs/>
          <w:color w:val="auto"/>
          <w:sz w:val="21"/>
          <w:highlight w:val="none"/>
          <w:u w:val="none"/>
          <w:lang w:val="en-US" w:eastAsia="zh-CN"/>
        </w:rPr>
        <w:t>项目地块位于东莞市松山湖环湖路与南山路交汇处西南侧</w:t>
      </w:r>
      <w:r>
        <w:rPr>
          <w:rFonts w:hint="eastAsia" w:hAnsi="宋体"/>
          <w:b/>
          <w:color w:val="auto"/>
          <w:sz w:val="21"/>
          <w:highlight w:val="none"/>
          <w:u w:val="single"/>
        </w:rPr>
        <w:t>。</w:t>
      </w:r>
    </w:p>
    <w:p w14:paraId="3A6FF755">
      <w:pPr>
        <w:pStyle w:val="15"/>
        <w:spacing w:line="500" w:lineRule="exact"/>
        <w:ind w:firstLine="420" w:firstLineChars="200"/>
        <w:rPr>
          <w:rFonts w:hint="eastAsia" w:hAnsi="宋体"/>
          <w:bCs/>
          <w:color w:val="auto"/>
          <w:sz w:val="21"/>
          <w:highlight w:val="none"/>
        </w:rPr>
      </w:pPr>
      <w:r>
        <w:rPr>
          <w:rFonts w:hint="eastAsia" w:hAnsi="宋体"/>
          <w:bCs/>
          <w:color w:val="auto"/>
          <w:sz w:val="21"/>
          <w:highlight w:val="none"/>
        </w:rPr>
        <w:t>1.3</w:t>
      </w:r>
      <w:r>
        <w:rPr>
          <w:rFonts w:hint="eastAsia" w:hAnsi="宋体"/>
          <w:b/>
          <w:color w:val="auto"/>
          <w:sz w:val="21"/>
          <w:highlight w:val="none"/>
        </w:rPr>
        <w:t>服务内容及范围</w:t>
      </w:r>
      <w:r>
        <w:rPr>
          <w:rFonts w:hint="eastAsia" w:hAnsi="宋体"/>
          <w:bCs/>
          <w:color w:val="auto"/>
          <w:sz w:val="21"/>
          <w:highlight w:val="none"/>
        </w:rPr>
        <w:t>：附件2约定的全部工作内容。</w:t>
      </w:r>
    </w:p>
    <w:p w14:paraId="46A35EEF">
      <w:pPr>
        <w:pStyle w:val="15"/>
        <w:spacing w:line="500" w:lineRule="exact"/>
        <w:ind w:firstLine="420" w:firstLineChars="200"/>
        <w:rPr>
          <w:rFonts w:hint="default" w:hAnsi="宋体" w:eastAsia="宋体"/>
          <w:bCs/>
          <w:color w:val="auto"/>
          <w:sz w:val="21"/>
          <w:highlight w:val="none"/>
          <w:lang w:val="en-US" w:eastAsia="zh-CN"/>
        </w:rPr>
      </w:pPr>
      <w:r>
        <w:rPr>
          <w:rFonts w:hint="eastAsia" w:hAnsi="宋体"/>
          <w:bCs/>
          <w:color w:val="auto"/>
          <w:sz w:val="21"/>
          <w:highlight w:val="none"/>
        </w:rPr>
        <w:t xml:space="preserve">1.4 </w:t>
      </w:r>
      <w:r>
        <w:rPr>
          <w:rFonts w:hint="eastAsia" w:hAnsi="宋体"/>
          <w:b/>
          <w:color w:val="auto"/>
          <w:sz w:val="21"/>
          <w:highlight w:val="none"/>
          <w:lang w:val="en-US" w:eastAsia="zh-CN"/>
        </w:rPr>
        <w:t>工作</w:t>
      </w:r>
      <w:r>
        <w:rPr>
          <w:rFonts w:hint="eastAsia" w:hAnsi="宋体"/>
          <w:b/>
          <w:color w:val="auto"/>
          <w:sz w:val="21"/>
          <w:highlight w:val="none"/>
        </w:rPr>
        <w:t>成果要求：</w:t>
      </w:r>
      <w:r>
        <w:rPr>
          <w:rFonts w:hint="eastAsia" w:hAnsi="宋体"/>
          <w:b w:val="0"/>
          <w:bCs/>
          <w:color w:val="auto"/>
          <w:sz w:val="21"/>
          <w:highlight w:val="none"/>
        </w:rPr>
        <w:t>本次前期策划需客观数据化论证高端商业 + 专业音乐场馆”综合体模式的可行性；若不可行，需提供至少 2 套贴合区域市场、客群需求，且可落地、可招商、可运营的替代定位及业态方案</w:t>
      </w:r>
      <w:r>
        <w:rPr>
          <w:rFonts w:hint="eastAsia" w:hAnsi="宋体"/>
          <w:b w:val="0"/>
          <w:bCs/>
          <w:color w:val="auto"/>
          <w:sz w:val="21"/>
          <w:highlight w:val="none"/>
          <w:lang w:eastAsia="zh-CN"/>
        </w:rPr>
        <w:t>，</w:t>
      </w:r>
      <w:r>
        <w:rPr>
          <w:rFonts w:hint="eastAsia" w:hAnsi="宋体"/>
          <w:b w:val="0"/>
          <w:bCs/>
          <w:color w:val="auto"/>
          <w:sz w:val="21"/>
          <w:highlight w:val="none"/>
          <w:lang w:val="en-US" w:eastAsia="zh-CN"/>
        </w:rPr>
        <w:t>最终的策划方案需经甲方组织内部评审通过</w:t>
      </w:r>
      <w:r>
        <w:rPr>
          <w:rFonts w:hint="eastAsia" w:hAnsi="宋体"/>
          <w:b/>
          <w:color w:val="auto"/>
          <w:sz w:val="21"/>
          <w:highlight w:val="none"/>
        </w:rPr>
        <w:t>。</w:t>
      </w:r>
      <w:r>
        <w:rPr>
          <w:rFonts w:hint="eastAsia" w:hAnsi="宋体"/>
          <w:b/>
          <w:color w:val="auto"/>
          <w:sz w:val="21"/>
          <w:highlight w:val="none"/>
          <w:lang w:val="en-US" w:eastAsia="zh-CN"/>
        </w:rPr>
        <w:t>乙方提交每份报告纸质文档一式六份，电子版一份。</w:t>
      </w:r>
    </w:p>
    <w:p w14:paraId="25D663E5">
      <w:pPr>
        <w:widowControl/>
        <w:numPr>
          <w:ilvl w:val="0"/>
          <w:numId w:val="0"/>
        </w:numPr>
        <w:tabs>
          <w:tab w:val="left" w:pos="-105"/>
        </w:tabs>
        <w:spacing w:line="360" w:lineRule="auto"/>
        <w:ind w:firstLineChars="200"/>
        <w:jc w:val="left"/>
        <w:rPr>
          <w:rFonts w:hint="eastAsia" w:hAnsi="宋体"/>
          <w:bCs/>
          <w:color w:val="auto"/>
          <w:sz w:val="21"/>
          <w:highlight w:val="none"/>
          <w:lang w:val="en-US" w:eastAsia="zh-CN"/>
        </w:rPr>
      </w:pPr>
      <w:r>
        <w:rPr>
          <w:rFonts w:hint="eastAsia" w:hAnsi="宋体" w:eastAsia="宋体" w:cs="Times New Roman"/>
          <w:b w:val="0"/>
          <w:bCs/>
          <w:color w:val="auto"/>
          <w:sz w:val="21"/>
          <w:highlight w:val="none"/>
          <w:lang w:val="en-US" w:eastAsia="zh-CN"/>
        </w:rPr>
        <w:t>1.5</w:t>
      </w:r>
      <w:r>
        <w:rPr>
          <w:rFonts w:hint="eastAsia" w:hAnsi="宋体" w:eastAsia="宋体" w:cs="Times New Roman"/>
          <w:b/>
          <w:bCs w:val="0"/>
          <w:color w:val="auto"/>
          <w:sz w:val="21"/>
          <w:highlight w:val="none"/>
          <w:lang w:val="en-US" w:eastAsia="zh-CN"/>
        </w:rPr>
        <w:t>人员要求：</w:t>
      </w:r>
      <w:r>
        <w:rPr>
          <w:rFonts w:hint="eastAsia" w:hAnsi="宋体"/>
          <w:bCs/>
          <w:color w:val="auto"/>
          <w:sz w:val="21"/>
          <w:highlight w:val="none"/>
          <w:lang w:val="en-US" w:eastAsia="zh-CN"/>
        </w:rPr>
        <w:t>按附件1。</w:t>
      </w:r>
    </w:p>
    <w:p w14:paraId="1F08D58F">
      <w:pPr>
        <w:pStyle w:val="15"/>
        <w:spacing w:line="500" w:lineRule="exact"/>
        <w:rPr>
          <w:rFonts w:hint="default" w:hAnsi="宋体" w:eastAsia="宋体"/>
          <w:b/>
          <w:color w:val="auto"/>
          <w:sz w:val="21"/>
          <w:highlight w:val="none"/>
          <w:lang w:val="en-US" w:eastAsia="zh-CN"/>
        </w:rPr>
      </w:pPr>
      <w:r>
        <w:rPr>
          <w:rFonts w:hint="eastAsia" w:hAnsi="宋体"/>
          <w:b/>
          <w:color w:val="auto"/>
          <w:sz w:val="21"/>
          <w:highlight w:val="none"/>
        </w:rPr>
        <w:t>二、</w:t>
      </w:r>
      <w:r>
        <w:rPr>
          <w:rFonts w:hint="eastAsia" w:hAnsi="宋体"/>
          <w:b/>
          <w:color w:val="auto"/>
          <w:sz w:val="21"/>
          <w:highlight w:val="none"/>
          <w:lang w:val="en-US" w:eastAsia="zh-CN"/>
        </w:rPr>
        <w:t>工期要求：</w:t>
      </w:r>
    </w:p>
    <w:p w14:paraId="0F94B056">
      <w:pPr>
        <w:pStyle w:val="15"/>
        <w:spacing w:line="500" w:lineRule="exact"/>
        <w:ind w:firstLine="420" w:firstLineChars="200"/>
        <w:rPr>
          <w:rFonts w:hint="eastAsia" w:hAnsi="宋体"/>
          <w:bCs/>
          <w:color w:val="auto"/>
          <w:sz w:val="21"/>
          <w:highlight w:val="none"/>
          <w:u w:val="none"/>
          <w:lang w:val="en-US" w:eastAsia="zh-CN"/>
        </w:rPr>
      </w:pPr>
      <w:r>
        <w:rPr>
          <w:rFonts w:hint="eastAsia" w:hAnsi="宋体"/>
          <w:color w:val="auto"/>
          <w:sz w:val="21"/>
          <w:highlight w:val="none"/>
          <w:u w:val="none"/>
          <w:lang w:val="en-US" w:eastAsia="zh-CN"/>
        </w:rPr>
        <w:t>2.1</w:t>
      </w:r>
      <w:r>
        <w:rPr>
          <w:rFonts w:hint="eastAsia" w:hAnsi="宋体"/>
          <w:bCs/>
          <w:color w:val="auto"/>
          <w:sz w:val="21"/>
          <w:highlight w:val="none"/>
          <w:u w:val="none"/>
          <w:lang w:val="en-US" w:eastAsia="zh-CN"/>
        </w:rPr>
        <w:t xml:space="preserve"> 在双方签订合同后25天内完成前期策划报告及投资回报测算初稿。</w:t>
      </w:r>
    </w:p>
    <w:p w14:paraId="632B75FD">
      <w:pPr>
        <w:pStyle w:val="15"/>
        <w:spacing w:line="500" w:lineRule="exact"/>
        <w:ind w:firstLine="420" w:firstLineChars="200"/>
        <w:rPr>
          <w:rFonts w:hint="default" w:hAnsi="宋体" w:eastAsia="宋体"/>
          <w:bCs/>
          <w:color w:val="auto"/>
          <w:sz w:val="21"/>
          <w:highlight w:val="none"/>
          <w:u w:val="none"/>
          <w:lang w:val="en-US" w:eastAsia="zh-CN"/>
        </w:rPr>
      </w:pPr>
      <w:r>
        <w:rPr>
          <w:rFonts w:hint="eastAsia" w:hAnsi="宋体"/>
          <w:bCs/>
          <w:color w:val="auto"/>
          <w:sz w:val="21"/>
          <w:highlight w:val="none"/>
          <w:u w:val="none"/>
          <w:lang w:val="en-US" w:eastAsia="zh-CN"/>
        </w:rPr>
        <w:t>2.2.在双方签订合同后50天内提交最终深化报告及投资回报测算，并进行现场汇报，形成汇报文件。</w:t>
      </w:r>
    </w:p>
    <w:p w14:paraId="663277FD">
      <w:pPr>
        <w:pStyle w:val="15"/>
        <w:spacing w:line="500" w:lineRule="exact"/>
        <w:rPr>
          <w:rFonts w:hAnsi="宋体"/>
          <w:b/>
          <w:color w:val="auto"/>
          <w:sz w:val="21"/>
          <w:highlight w:val="none"/>
        </w:rPr>
      </w:pPr>
      <w:r>
        <w:rPr>
          <w:rFonts w:hint="eastAsia" w:hAnsi="宋体"/>
          <w:b/>
          <w:color w:val="auto"/>
          <w:sz w:val="21"/>
          <w:highlight w:val="none"/>
        </w:rPr>
        <w:t>三</w:t>
      </w:r>
      <w:r>
        <w:rPr>
          <w:rFonts w:hAnsi="宋体"/>
          <w:b/>
          <w:color w:val="auto"/>
          <w:sz w:val="21"/>
          <w:highlight w:val="none"/>
        </w:rPr>
        <w:t>、</w:t>
      </w:r>
      <w:r>
        <w:rPr>
          <w:rFonts w:hint="eastAsia" w:hAnsi="宋体"/>
          <w:b/>
          <w:color w:val="auto"/>
          <w:sz w:val="21"/>
          <w:highlight w:val="none"/>
        </w:rPr>
        <w:t>服务费用</w:t>
      </w:r>
    </w:p>
    <w:p w14:paraId="18072473">
      <w:pPr>
        <w:pStyle w:val="15"/>
        <w:spacing w:line="500" w:lineRule="exact"/>
        <w:ind w:firstLine="525" w:firstLineChars="250"/>
        <w:rPr>
          <w:rFonts w:hint="eastAsia" w:hAnsi="宋体"/>
          <w:bCs/>
          <w:color w:val="auto"/>
          <w:sz w:val="21"/>
          <w:highlight w:val="none"/>
        </w:rPr>
      </w:pPr>
      <w:r>
        <w:rPr>
          <w:rFonts w:hint="eastAsia" w:hAnsi="宋体"/>
          <w:bCs/>
          <w:color w:val="auto"/>
          <w:sz w:val="21"/>
          <w:highlight w:val="none"/>
        </w:rPr>
        <w:t>本合同约定的服务费用采用固定总价包干原则；本合同（含税）总价款为￥</w:t>
      </w:r>
      <w:r>
        <w:rPr>
          <w:rFonts w:hint="eastAsia" w:hAnsi="宋体"/>
          <w:bCs/>
          <w:color w:val="auto"/>
          <w:sz w:val="21"/>
          <w:highlight w:val="none"/>
          <w:u w:val="single"/>
        </w:rPr>
        <w:t xml:space="preserve">      </w:t>
      </w:r>
      <w:r>
        <w:rPr>
          <w:rFonts w:hint="eastAsia" w:hAnsi="宋体"/>
          <w:bCs/>
          <w:color w:val="auto"/>
          <w:sz w:val="21"/>
          <w:highlight w:val="none"/>
        </w:rPr>
        <w:t xml:space="preserve"> 元（大写人民币</w:t>
      </w:r>
      <w:r>
        <w:rPr>
          <w:rFonts w:hint="eastAsia" w:hAnsi="宋体"/>
          <w:bCs/>
          <w:color w:val="auto"/>
          <w:sz w:val="21"/>
          <w:highlight w:val="none"/>
          <w:u w:val="single"/>
        </w:rPr>
        <w:t xml:space="preserve">          </w:t>
      </w:r>
      <w:r>
        <w:rPr>
          <w:rFonts w:hint="eastAsia" w:hAnsi="宋体"/>
          <w:bCs/>
          <w:color w:val="auto"/>
          <w:sz w:val="21"/>
          <w:highlight w:val="none"/>
        </w:rPr>
        <w:t>元），其中：增值税率为</w:t>
      </w:r>
      <w:r>
        <w:rPr>
          <w:rFonts w:hint="eastAsia" w:hAnsi="宋体"/>
          <w:bCs/>
          <w:color w:val="auto"/>
          <w:sz w:val="21"/>
          <w:highlight w:val="none"/>
          <w:u w:val="single"/>
        </w:rPr>
        <w:t xml:space="preserve">   </w:t>
      </w:r>
      <w:r>
        <w:rPr>
          <w:rFonts w:hint="eastAsia" w:hAnsi="宋体"/>
          <w:bCs/>
          <w:color w:val="auto"/>
          <w:sz w:val="21"/>
          <w:highlight w:val="none"/>
        </w:rPr>
        <w:t xml:space="preserve"> %，税金金额￥</w:t>
      </w:r>
      <w:r>
        <w:rPr>
          <w:rFonts w:hint="eastAsia" w:hAnsi="宋体"/>
          <w:bCs/>
          <w:color w:val="auto"/>
          <w:sz w:val="21"/>
          <w:highlight w:val="none"/>
          <w:u w:val="single"/>
        </w:rPr>
        <w:t xml:space="preserve">      </w:t>
      </w:r>
      <w:r>
        <w:rPr>
          <w:rFonts w:hint="eastAsia" w:hAnsi="宋体"/>
          <w:bCs/>
          <w:color w:val="auto"/>
          <w:sz w:val="21"/>
          <w:highlight w:val="none"/>
        </w:rPr>
        <w:t xml:space="preserve"> 元，不含税合同总价款为￥ </w:t>
      </w:r>
      <w:r>
        <w:rPr>
          <w:rFonts w:hint="eastAsia" w:hAnsi="宋体"/>
          <w:bCs/>
          <w:color w:val="auto"/>
          <w:sz w:val="21"/>
          <w:highlight w:val="none"/>
          <w:u w:val="single"/>
        </w:rPr>
        <w:t xml:space="preserve">      </w:t>
      </w:r>
      <w:r>
        <w:rPr>
          <w:rFonts w:hint="eastAsia" w:hAnsi="宋体"/>
          <w:bCs/>
          <w:color w:val="auto"/>
          <w:sz w:val="21"/>
          <w:highlight w:val="none"/>
        </w:rPr>
        <w:t>元。上述合同价包括乙方为完成本合同项下全部工作的费用，该服务费用包括但不限于：完成项目所有的人工费、交通费、管理费、利润、税金、并形成正式工作成果所需的各项费用。</w:t>
      </w:r>
    </w:p>
    <w:p w14:paraId="6988C070">
      <w:pPr>
        <w:pStyle w:val="15"/>
        <w:spacing w:line="500" w:lineRule="exact"/>
        <w:rPr>
          <w:rFonts w:hAnsi="宋体"/>
          <w:b/>
          <w:color w:val="auto"/>
          <w:sz w:val="21"/>
          <w:highlight w:val="none"/>
        </w:rPr>
      </w:pPr>
      <w:r>
        <w:rPr>
          <w:rFonts w:hint="eastAsia" w:hAnsi="宋体"/>
          <w:b/>
          <w:color w:val="auto"/>
          <w:sz w:val="21"/>
          <w:highlight w:val="none"/>
        </w:rPr>
        <w:t>四</w:t>
      </w:r>
      <w:r>
        <w:rPr>
          <w:rFonts w:hAnsi="宋体"/>
          <w:b/>
          <w:color w:val="auto"/>
          <w:sz w:val="21"/>
          <w:highlight w:val="none"/>
        </w:rPr>
        <w:t>、付款方式</w:t>
      </w:r>
    </w:p>
    <w:p w14:paraId="107E4C4C">
      <w:pPr>
        <w:pStyle w:val="15"/>
        <w:spacing w:line="500" w:lineRule="exact"/>
        <w:ind w:firstLine="420" w:firstLineChars="200"/>
        <w:outlineLvl w:val="9"/>
        <w:rPr>
          <w:rFonts w:hint="eastAsia" w:hAnsi="宋体"/>
          <w:color w:val="auto"/>
          <w:kern w:val="0"/>
          <w:sz w:val="21"/>
          <w:highlight w:val="none"/>
          <w:u w:val="none"/>
          <w:lang w:val="en-US" w:eastAsia="zh-CN"/>
        </w:rPr>
      </w:pPr>
      <w:r>
        <w:rPr>
          <w:rFonts w:hint="eastAsia" w:hAnsi="宋体"/>
          <w:color w:val="auto"/>
          <w:kern w:val="0"/>
          <w:sz w:val="21"/>
          <w:highlight w:val="none"/>
          <w:u w:val="none"/>
        </w:rPr>
        <w:t>4.</w:t>
      </w:r>
      <w:r>
        <w:rPr>
          <w:rFonts w:hAnsi="宋体"/>
          <w:color w:val="auto"/>
          <w:kern w:val="0"/>
          <w:sz w:val="21"/>
          <w:highlight w:val="none"/>
          <w:u w:val="none"/>
        </w:rPr>
        <w:t>1</w:t>
      </w:r>
      <w:r>
        <w:rPr>
          <w:rFonts w:hint="eastAsia" w:hAnsi="宋体"/>
          <w:color w:val="auto"/>
          <w:kern w:val="0"/>
          <w:sz w:val="21"/>
          <w:highlight w:val="none"/>
          <w:u w:val="none"/>
        </w:rPr>
        <w:t xml:space="preserve"> 合同</w:t>
      </w:r>
      <w:r>
        <w:rPr>
          <w:rFonts w:hint="eastAsia" w:hAnsi="宋体"/>
          <w:color w:val="auto"/>
          <w:kern w:val="0"/>
          <w:sz w:val="21"/>
          <w:highlight w:val="none"/>
          <w:u w:val="none"/>
          <w:lang w:val="en-US" w:eastAsia="zh-CN"/>
        </w:rPr>
        <w:t>进度款</w:t>
      </w:r>
    </w:p>
    <w:p w14:paraId="7374970A">
      <w:pPr>
        <w:pStyle w:val="15"/>
        <w:spacing w:line="500" w:lineRule="exact"/>
        <w:ind w:firstLine="420" w:firstLineChars="200"/>
        <w:outlineLvl w:val="9"/>
        <w:rPr>
          <w:rFonts w:hint="eastAsia" w:hAnsi="宋体"/>
          <w:color w:val="auto"/>
          <w:kern w:val="0"/>
          <w:sz w:val="21"/>
          <w:highlight w:val="none"/>
          <w:u w:val="none"/>
        </w:rPr>
      </w:pPr>
      <w:r>
        <w:rPr>
          <w:rFonts w:hint="eastAsia" w:hAnsi="宋体"/>
          <w:color w:val="auto"/>
          <w:kern w:val="0"/>
          <w:sz w:val="21"/>
          <w:highlight w:val="none"/>
          <w:u w:val="none"/>
          <w:lang w:val="en-US" w:eastAsia="zh-CN"/>
        </w:rPr>
        <w:t>4.1.1完成</w:t>
      </w:r>
      <w:r>
        <w:rPr>
          <w:rFonts w:hint="eastAsia" w:hAnsi="宋体"/>
          <w:color w:val="auto"/>
          <w:kern w:val="0"/>
          <w:sz w:val="21"/>
          <w:highlight w:val="none"/>
          <w:u w:val="none"/>
        </w:rPr>
        <w:t>前期策划报告市场调研</w:t>
      </w:r>
      <w:r>
        <w:rPr>
          <w:rFonts w:hint="eastAsia" w:hAnsi="宋体"/>
          <w:color w:val="auto"/>
          <w:kern w:val="0"/>
          <w:sz w:val="21"/>
          <w:highlight w:val="none"/>
          <w:u w:val="none"/>
          <w:lang w:val="en-US" w:eastAsia="zh-CN"/>
        </w:rPr>
        <w:t>部分</w:t>
      </w:r>
      <w:r>
        <w:rPr>
          <w:rFonts w:hint="eastAsia" w:hAnsi="宋体"/>
          <w:color w:val="auto"/>
          <w:kern w:val="0"/>
          <w:sz w:val="21"/>
          <w:highlight w:val="none"/>
          <w:u w:val="none"/>
        </w:rPr>
        <w:t>初稿，且乙方向甲方送达符合约定的对应付款发票后15个工作日内，支付合同总价的</w:t>
      </w:r>
      <w:r>
        <w:rPr>
          <w:rFonts w:hint="eastAsia" w:hAnsi="宋体"/>
          <w:color w:val="auto"/>
          <w:kern w:val="0"/>
          <w:sz w:val="21"/>
          <w:highlight w:val="none"/>
          <w:u w:val="none"/>
          <w:lang w:val="en-US" w:eastAsia="zh-CN"/>
        </w:rPr>
        <w:t>3</w:t>
      </w:r>
      <w:r>
        <w:rPr>
          <w:rFonts w:hint="eastAsia" w:hAnsi="宋体"/>
          <w:color w:val="auto"/>
          <w:kern w:val="0"/>
          <w:sz w:val="21"/>
          <w:highlight w:val="none"/>
          <w:u w:val="none"/>
        </w:rPr>
        <w:t>0%。</w:t>
      </w:r>
    </w:p>
    <w:p w14:paraId="22B34455">
      <w:pPr>
        <w:pStyle w:val="15"/>
        <w:spacing w:line="500" w:lineRule="exact"/>
        <w:ind w:firstLine="420" w:firstLineChars="200"/>
        <w:outlineLvl w:val="9"/>
        <w:rPr>
          <w:rFonts w:hint="eastAsia" w:hAnsi="宋体"/>
          <w:color w:val="auto"/>
          <w:kern w:val="0"/>
          <w:sz w:val="21"/>
          <w:highlight w:val="none"/>
          <w:u w:val="none"/>
          <w:lang w:val="en-US" w:eastAsia="zh-CN"/>
        </w:rPr>
      </w:pPr>
      <w:r>
        <w:rPr>
          <w:rFonts w:hint="eastAsia" w:hAnsi="宋体"/>
          <w:color w:val="auto"/>
          <w:kern w:val="0"/>
          <w:sz w:val="21"/>
          <w:highlight w:val="none"/>
          <w:u w:val="none"/>
        </w:rPr>
        <w:t>4.</w:t>
      </w:r>
      <w:r>
        <w:rPr>
          <w:rFonts w:hint="eastAsia" w:hAnsi="宋体"/>
          <w:color w:val="auto"/>
          <w:kern w:val="0"/>
          <w:sz w:val="21"/>
          <w:highlight w:val="none"/>
          <w:u w:val="none"/>
          <w:lang w:val="en-US" w:eastAsia="zh-CN"/>
        </w:rPr>
        <w:t>1.2</w:t>
      </w:r>
      <w:r>
        <w:rPr>
          <w:rFonts w:hint="eastAsia" w:hAnsi="宋体"/>
          <w:color w:val="auto"/>
          <w:kern w:val="0"/>
          <w:sz w:val="21"/>
          <w:highlight w:val="none"/>
          <w:u w:val="none"/>
        </w:rPr>
        <w:t>前期策划报告</w:t>
      </w:r>
      <w:r>
        <w:rPr>
          <w:rFonts w:hint="eastAsia" w:hAnsi="宋体"/>
          <w:color w:val="auto"/>
          <w:kern w:val="0"/>
          <w:sz w:val="21"/>
          <w:highlight w:val="none"/>
          <w:u w:val="none"/>
          <w:lang w:val="en-US" w:eastAsia="zh-CN"/>
        </w:rPr>
        <w:t>初稿</w:t>
      </w:r>
      <w:r>
        <w:rPr>
          <w:rFonts w:hint="eastAsia" w:hAnsi="宋体"/>
          <w:color w:val="auto"/>
          <w:kern w:val="0"/>
          <w:sz w:val="21"/>
          <w:highlight w:val="none"/>
          <w:u w:val="none"/>
        </w:rPr>
        <w:t>及投资回报测算通过甲方评审通过，且乙方向甲方送达符合约定的对应付款发票后15个工作日内，支付合同总价</w:t>
      </w:r>
      <w:r>
        <w:rPr>
          <w:rFonts w:hint="eastAsia" w:hAnsi="宋体"/>
          <w:color w:val="auto"/>
          <w:kern w:val="0"/>
          <w:sz w:val="21"/>
          <w:highlight w:val="none"/>
          <w:u w:val="none"/>
          <w:lang w:val="en-US" w:eastAsia="zh-CN"/>
        </w:rPr>
        <w:t>的50%。</w:t>
      </w:r>
    </w:p>
    <w:p w14:paraId="60D4A0E3">
      <w:pPr>
        <w:pStyle w:val="15"/>
        <w:spacing w:line="500" w:lineRule="exact"/>
        <w:ind w:firstLine="420" w:firstLineChars="200"/>
        <w:outlineLvl w:val="9"/>
        <w:rPr>
          <w:rFonts w:hint="eastAsia" w:hAnsi="宋体"/>
          <w:color w:val="auto"/>
          <w:kern w:val="0"/>
          <w:sz w:val="21"/>
          <w:highlight w:val="none"/>
        </w:rPr>
      </w:pPr>
      <w:r>
        <w:rPr>
          <w:rFonts w:hint="eastAsia" w:hAnsi="宋体"/>
          <w:color w:val="auto"/>
          <w:kern w:val="0"/>
          <w:sz w:val="21"/>
          <w:highlight w:val="none"/>
        </w:rPr>
        <w:t>4.</w:t>
      </w:r>
      <w:r>
        <w:rPr>
          <w:rFonts w:hint="eastAsia" w:hAnsi="宋体"/>
          <w:color w:val="auto"/>
          <w:kern w:val="0"/>
          <w:sz w:val="21"/>
          <w:highlight w:val="none"/>
          <w:lang w:val="en-US" w:eastAsia="zh-CN"/>
        </w:rPr>
        <w:t>2</w:t>
      </w:r>
      <w:r>
        <w:rPr>
          <w:rFonts w:hint="eastAsia" w:hAnsi="宋体"/>
          <w:color w:val="auto"/>
          <w:kern w:val="0"/>
          <w:sz w:val="21"/>
          <w:highlight w:val="none"/>
        </w:rPr>
        <w:t xml:space="preserve"> 合同尾款</w:t>
      </w:r>
    </w:p>
    <w:p w14:paraId="6C596073">
      <w:pPr>
        <w:pStyle w:val="15"/>
        <w:spacing w:line="500" w:lineRule="exact"/>
        <w:ind w:firstLine="420" w:firstLineChars="200"/>
        <w:outlineLvl w:val="9"/>
        <w:rPr>
          <w:rFonts w:hint="eastAsia" w:hAnsi="宋体"/>
          <w:color w:val="auto"/>
          <w:kern w:val="0"/>
          <w:sz w:val="21"/>
          <w:highlight w:val="none"/>
        </w:rPr>
      </w:pPr>
      <w:r>
        <w:rPr>
          <w:rFonts w:hint="eastAsia" w:hAnsi="宋体"/>
          <w:color w:val="auto"/>
          <w:kern w:val="0"/>
          <w:sz w:val="21"/>
          <w:highlight w:val="none"/>
        </w:rPr>
        <w:t>提交最终深化报告及投资回报测算，最终成果提交甲方审查通过</w:t>
      </w:r>
      <w:r>
        <w:rPr>
          <w:rFonts w:hint="eastAsia" w:hAnsi="宋体"/>
          <w:color w:val="auto"/>
          <w:kern w:val="0"/>
          <w:sz w:val="21"/>
          <w:highlight w:val="none"/>
          <w:lang w:val="en-US" w:eastAsia="zh-CN"/>
        </w:rPr>
        <w:t>后办理结算，结算完成</w:t>
      </w:r>
      <w:r>
        <w:rPr>
          <w:rFonts w:hint="eastAsia" w:hAnsi="宋体"/>
          <w:color w:val="auto"/>
          <w:kern w:val="0"/>
          <w:sz w:val="21"/>
          <w:highlight w:val="none"/>
        </w:rPr>
        <w:t>且乙方向甲方送达符合约定的对应金额发票后15个工作日内，支付</w:t>
      </w:r>
      <w:r>
        <w:rPr>
          <w:rFonts w:hint="eastAsia" w:hAnsi="宋体"/>
          <w:color w:val="auto"/>
          <w:kern w:val="0"/>
          <w:sz w:val="21"/>
          <w:highlight w:val="none"/>
          <w:lang w:val="en-US" w:eastAsia="zh-CN"/>
        </w:rPr>
        <w:t>至结算总价的100%</w:t>
      </w:r>
      <w:r>
        <w:rPr>
          <w:rFonts w:hint="eastAsia" w:hAnsi="宋体"/>
          <w:color w:val="auto"/>
          <w:kern w:val="0"/>
          <w:sz w:val="21"/>
          <w:highlight w:val="none"/>
        </w:rPr>
        <w:t>。如最终方案不能获得甲方或其上级单位审查通过的，须按甲方要求修改直至最终方案审查通过，否则合同尾款不予支付。</w:t>
      </w:r>
    </w:p>
    <w:p w14:paraId="29650EFF">
      <w:pPr>
        <w:pStyle w:val="15"/>
        <w:spacing w:line="500" w:lineRule="exact"/>
        <w:ind w:right="0" w:rightChars="0" w:firstLine="420" w:firstLineChars="200"/>
        <w:outlineLvl w:val="9"/>
        <w:rPr>
          <w:rFonts w:hint="eastAsia" w:hAnsi="宋体"/>
          <w:color w:val="auto"/>
          <w:kern w:val="0"/>
          <w:sz w:val="21"/>
          <w:highlight w:val="none"/>
        </w:rPr>
      </w:pPr>
      <w:r>
        <w:rPr>
          <w:rFonts w:hint="eastAsia" w:hAnsi="宋体"/>
          <w:color w:val="auto"/>
          <w:kern w:val="0"/>
          <w:sz w:val="21"/>
          <w:highlight w:val="none"/>
        </w:rPr>
        <w:t>4.</w:t>
      </w:r>
      <w:r>
        <w:rPr>
          <w:rFonts w:hint="eastAsia" w:hAnsi="宋体"/>
          <w:color w:val="auto"/>
          <w:kern w:val="0"/>
          <w:sz w:val="21"/>
          <w:highlight w:val="none"/>
          <w:lang w:val="en-US" w:eastAsia="zh-CN"/>
        </w:rPr>
        <w:t>3</w:t>
      </w:r>
      <w:r>
        <w:rPr>
          <w:rFonts w:hint="eastAsia" w:hAnsi="宋体"/>
          <w:color w:val="auto"/>
          <w:kern w:val="0"/>
          <w:sz w:val="21"/>
          <w:highlight w:val="none"/>
        </w:rPr>
        <w:t>每次付款前，乙方必须提供合法、有效、与本合同总价款条款中增值税税率一致的增值税专用发票给甲方，否则甲方有权拒绝付款且不构成违约；在甲方除支付质保金（若有）外的最后一期款项前，乙方须连同当期支付款项发票和质保金（若有）发票一并提交给甲方；若后期出现质保问题，按照质保责任和条款，部分或全部扣除质保金（若有）的，不退还相应金额的发票。若合同执行期间</w:t>
      </w:r>
      <w:r>
        <w:rPr>
          <w:rFonts w:hAnsi="宋体"/>
          <w:color w:val="auto"/>
          <w:kern w:val="0"/>
          <w:sz w:val="21"/>
          <w:highlight w:val="none"/>
        </w:rPr>
        <w:t>,</w:t>
      </w:r>
      <w:r>
        <w:rPr>
          <w:rFonts w:hint="eastAsia" w:hAnsi="宋体"/>
          <w:color w:val="auto"/>
          <w:kern w:val="0"/>
          <w:sz w:val="21"/>
          <w:highlight w:val="none"/>
        </w:rPr>
        <w:t>国家税务政策调整所引起的合同价格变化，按照不含税价格调整结算价格。</w:t>
      </w:r>
    </w:p>
    <w:p w14:paraId="0B0DEFBD">
      <w:pPr>
        <w:pStyle w:val="15"/>
        <w:spacing w:line="500" w:lineRule="exact"/>
        <w:rPr>
          <w:rFonts w:hAnsi="宋体"/>
          <w:b/>
          <w:color w:val="auto"/>
          <w:sz w:val="21"/>
          <w:highlight w:val="none"/>
        </w:rPr>
      </w:pPr>
      <w:r>
        <w:rPr>
          <w:rFonts w:hint="eastAsia" w:hAnsi="宋体"/>
          <w:b/>
          <w:color w:val="auto"/>
          <w:sz w:val="21"/>
          <w:highlight w:val="none"/>
        </w:rPr>
        <w:t>五</w:t>
      </w:r>
      <w:r>
        <w:rPr>
          <w:rFonts w:hAnsi="宋体"/>
          <w:b/>
          <w:color w:val="auto"/>
          <w:sz w:val="21"/>
          <w:highlight w:val="none"/>
        </w:rPr>
        <w:t>、双方权利义务</w:t>
      </w:r>
    </w:p>
    <w:p w14:paraId="3C291334">
      <w:pPr>
        <w:pStyle w:val="15"/>
        <w:spacing w:line="500" w:lineRule="exact"/>
        <w:ind w:right="0" w:rightChars="0" w:firstLine="420" w:firstLineChars="200"/>
        <w:outlineLvl w:val="9"/>
        <w:rPr>
          <w:rFonts w:hAnsi="宋体"/>
          <w:b/>
          <w:color w:val="auto"/>
          <w:sz w:val="21"/>
          <w:highlight w:val="none"/>
        </w:rPr>
      </w:pPr>
      <w:r>
        <w:rPr>
          <w:rFonts w:hint="eastAsia" w:hAnsi="宋体"/>
          <w:b/>
          <w:color w:val="auto"/>
          <w:sz w:val="21"/>
          <w:highlight w:val="none"/>
        </w:rPr>
        <w:t xml:space="preserve">5.1 </w:t>
      </w:r>
      <w:r>
        <w:rPr>
          <w:rFonts w:hAnsi="宋体"/>
          <w:b/>
          <w:color w:val="auto"/>
          <w:sz w:val="21"/>
          <w:highlight w:val="none"/>
        </w:rPr>
        <w:t>甲方的权利义务：</w:t>
      </w:r>
    </w:p>
    <w:p w14:paraId="6292E178">
      <w:pPr>
        <w:pStyle w:val="15"/>
        <w:spacing w:line="500" w:lineRule="exact"/>
        <w:ind w:right="0" w:rightChars="0" w:firstLine="420" w:firstLineChars="200"/>
        <w:outlineLvl w:val="9"/>
        <w:rPr>
          <w:rFonts w:hAnsi="宋体"/>
          <w:color w:val="auto"/>
          <w:sz w:val="21"/>
          <w:highlight w:val="none"/>
        </w:rPr>
      </w:pPr>
      <w:r>
        <w:rPr>
          <w:rFonts w:hint="eastAsia" w:hAnsi="宋体"/>
          <w:color w:val="auto"/>
          <w:sz w:val="21"/>
          <w:highlight w:val="none"/>
        </w:rPr>
        <w:t>5.1.1</w:t>
      </w:r>
      <w:r>
        <w:rPr>
          <w:rFonts w:hAnsi="宋体"/>
          <w:color w:val="auto"/>
          <w:sz w:val="21"/>
          <w:highlight w:val="none"/>
        </w:rPr>
        <w:t>合同服务期内，甲方应及时提供乙方所需的各类项目资料和相关的批文，并应对上述资料的真实性和合法性负责。</w:t>
      </w:r>
    </w:p>
    <w:p w14:paraId="6C9F7630">
      <w:pPr>
        <w:pStyle w:val="15"/>
        <w:spacing w:line="500" w:lineRule="exact"/>
        <w:ind w:right="0" w:rightChars="0" w:firstLine="420" w:firstLineChars="200"/>
        <w:outlineLvl w:val="9"/>
        <w:rPr>
          <w:rFonts w:hAnsi="宋体"/>
          <w:bCs/>
          <w:color w:val="auto"/>
          <w:sz w:val="21"/>
          <w:highlight w:val="none"/>
        </w:rPr>
      </w:pPr>
      <w:r>
        <w:rPr>
          <w:rFonts w:hint="eastAsia" w:hAnsi="宋体"/>
          <w:color w:val="auto"/>
          <w:sz w:val="21"/>
          <w:highlight w:val="none"/>
        </w:rPr>
        <w:t xml:space="preserve">5.1.2 </w:t>
      </w:r>
      <w:r>
        <w:rPr>
          <w:rFonts w:hAnsi="宋体"/>
          <w:bCs/>
          <w:color w:val="auto"/>
          <w:sz w:val="21"/>
          <w:highlight w:val="none"/>
        </w:rPr>
        <w:t>甲方应在本合同第二项的工作</w:t>
      </w:r>
      <w:r>
        <w:rPr>
          <w:rFonts w:hint="eastAsia" w:hAnsi="宋体"/>
          <w:bCs/>
          <w:color w:val="auto"/>
          <w:sz w:val="21"/>
          <w:highlight w:val="none"/>
        </w:rPr>
        <w:t>时间</w:t>
      </w:r>
      <w:r>
        <w:rPr>
          <w:rFonts w:hAnsi="宋体"/>
          <w:bCs/>
          <w:color w:val="auto"/>
          <w:sz w:val="21"/>
          <w:highlight w:val="none"/>
        </w:rPr>
        <w:t>范围内，对乙方提出工作指令与要求，但甲方应</w:t>
      </w:r>
      <w:r>
        <w:rPr>
          <w:rFonts w:hint="eastAsia" w:hAnsi="宋体"/>
          <w:bCs/>
          <w:color w:val="auto"/>
          <w:sz w:val="21"/>
          <w:highlight w:val="none"/>
        </w:rPr>
        <w:t>预留</w:t>
      </w:r>
      <w:r>
        <w:rPr>
          <w:rFonts w:hAnsi="宋体"/>
          <w:bCs/>
          <w:color w:val="auto"/>
          <w:sz w:val="21"/>
          <w:highlight w:val="none"/>
        </w:rPr>
        <w:t>乙方</w:t>
      </w:r>
      <w:r>
        <w:rPr>
          <w:rFonts w:hint="eastAsia" w:hAnsi="宋体"/>
          <w:bCs/>
          <w:color w:val="auto"/>
          <w:sz w:val="21"/>
          <w:highlight w:val="none"/>
        </w:rPr>
        <w:t>合理</w:t>
      </w:r>
      <w:r>
        <w:rPr>
          <w:rFonts w:hAnsi="宋体"/>
          <w:bCs/>
          <w:color w:val="auto"/>
          <w:sz w:val="21"/>
          <w:highlight w:val="none"/>
        </w:rPr>
        <w:t>的工作时间。</w:t>
      </w:r>
    </w:p>
    <w:p w14:paraId="0966815F">
      <w:pPr>
        <w:pStyle w:val="15"/>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 xml:space="preserve">5.1.3 </w:t>
      </w:r>
      <w:r>
        <w:rPr>
          <w:rFonts w:hAnsi="宋体"/>
          <w:bCs/>
          <w:color w:val="auto"/>
          <w:sz w:val="21"/>
          <w:highlight w:val="none"/>
        </w:rPr>
        <w:t>甲方有权对乙方提交的策划思路、推广方案、设计稿等书面文件及时以书面形式提出修改意见和建议，乙方据此进行修改、调整，直至甲方书面同意方可定稿。</w:t>
      </w:r>
    </w:p>
    <w:p w14:paraId="161D93BB">
      <w:pPr>
        <w:pStyle w:val="15"/>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 xml:space="preserve">5.1.4 </w:t>
      </w:r>
      <w:r>
        <w:rPr>
          <w:rFonts w:hAnsi="宋体"/>
          <w:bCs/>
          <w:color w:val="auto"/>
          <w:sz w:val="21"/>
          <w:highlight w:val="none"/>
        </w:rPr>
        <w:t>若因甲方资料提供、定稿后再次修改等原因造成乙方的工作延误，乙方不承担相关责任。</w:t>
      </w:r>
    </w:p>
    <w:p w14:paraId="11BE69FC">
      <w:pPr>
        <w:pStyle w:val="15"/>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 xml:space="preserve">5.1.5 </w:t>
      </w:r>
      <w:r>
        <w:rPr>
          <w:rFonts w:hAnsi="宋体"/>
          <w:bCs/>
          <w:color w:val="auto"/>
          <w:sz w:val="21"/>
          <w:highlight w:val="none"/>
        </w:rPr>
        <w:t xml:space="preserve">甲方应按照本合同规定及时付款，以保证项目的正常运行。  </w:t>
      </w:r>
    </w:p>
    <w:p w14:paraId="73DB03D8">
      <w:pPr>
        <w:pStyle w:val="15"/>
        <w:spacing w:line="500" w:lineRule="exact"/>
        <w:ind w:right="0" w:rightChars="0" w:firstLine="420" w:firstLineChars="200"/>
        <w:outlineLvl w:val="9"/>
        <w:rPr>
          <w:rFonts w:hAnsi="宋体"/>
          <w:b/>
          <w:color w:val="auto"/>
          <w:sz w:val="21"/>
          <w:highlight w:val="none"/>
        </w:rPr>
      </w:pPr>
      <w:r>
        <w:rPr>
          <w:rFonts w:hint="eastAsia" w:hAnsi="宋体"/>
          <w:b/>
          <w:color w:val="auto"/>
          <w:sz w:val="21"/>
          <w:highlight w:val="none"/>
        </w:rPr>
        <w:t xml:space="preserve">5.2 </w:t>
      </w:r>
      <w:r>
        <w:rPr>
          <w:rFonts w:hAnsi="宋体"/>
          <w:b/>
          <w:color w:val="auto"/>
          <w:sz w:val="21"/>
          <w:highlight w:val="none"/>
        </w:rPr>
        <w:t>乙方的权利义务：</w:t>
      </w:r>
    </w:p>
    <w:p w14:paraId="4AC876FC">
      <w:pPr>
        <w:pStyle w:val="15"/>
        <w:tabs>
          <w:tab w:val="left" w:pos="720"/>
          <w:tab w:val="clear" w:pos="-105"/>
        </w:tabs>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w:t>
      </w:r>
      <w:r>
        <w:rPr>
          <w:rFonts w:hint="eastAsia" w:hAnsi="宋体"/>
          <w:bCs/>
          <w:color w:val="auto"/>
          <w:sz w:val="21"/>
          <w:highlight w:val="none"/>
        </w:rPr>
        <w:t xml:space="preserve">1 </w:t>
      </w:r>
      <w:r>
        <w:rPr>
          <w:rFonts w:hAnsi="宋体"/>
          <w:bCs/>
          <w:color w:val="auto"/>
          <w:sz w:val="21"/>
          <w:highlight w:val="none"/>
        </w:rPr>
        <w:t>乙方应尽职尽责为甲方服务</w:t>
      </w:r>
      <w:r>
        <w:rPr>
          <w:rFonts w:hint="eastAsia" w:hAnsi="宋体"/>
          <w:bCs/>
          <w:color w:val="auto"/>
          <w:sz w:val="21"/>
          <w:highlight w:val="none"/>
          <w:lang w:eastAsia="zh-CN"/>
        </w:rPr>
        <w:t>，</w:t>
      </w:r>
      <w:r>
        <w:rPr>
          <w:rFonts w:hint="eastAsia" w:hAnsi="宋体"/>
          <w:bCs/>
          <w:color w:val="auto"/>
          <w:sz w:val="21"/>
          <w:highlight w:val="none"/>
        </w:rPr>
        <w:t>按时、按质、按量提交项目的成果报告。</w:t>
      </w:r>
    </w:p>
    <w:p w14:paraId="7BD25D6C">
      <w:pPr>
        <w:pStyle w:val="15"/>
        <w:tabs>
          <w:tab w:val="left" w:pos="720"/>
          <w:tab w:val="clear" w:pos="-105"/>
        </w:tabs>
        <w:spacing w:line="500" w:lineRule="exact"/>
        <w:ind w:right="0" w:rightChars="0" w:firstLine="420" w:firstLineChars="200"/>
        <w:outlineLvl w:val="9"/>
        <w:rPr>
          <w:rFonts w:hint="eastAsia" w:hAnsi="宋体"/>
          <w:bCs/>
          <w:color w:val="auto"/>
          <w:sz w:val="21"/>
          <w:highlight w:val="none"/>
          <w:lang w:eastAsia="zh-CN"/>
        </w:rPr>
      </w:pPr>
      <w:r>
        <w:rPr>
          <w:rFonts w:hint="eastAsia" w:hAnsi="宋体"/>
          <w:bCs/>
          <w:color w:val="auto"/>
          <w:sz w:val="21"/>
          <w:highlight w:val="none"/>
        </w:rPr>
        <w:t>5.2</w:t>
      </w:r>
      <w:r>
        <w:rPr>
          <w:rFonts w:hint="eastAsia" w:hAnsi="宋体"/>
          <w:bCs/>
          <w:color w:val="auto"/>
          <w:sz w:val="21"/>
          <w:highlight w:val="none"/>
          <w:lang w:val="en-US" w:eastAsia="zh-CN"/>
        </w:rPr>
        <w:t>.2</w:t>
      </w:r>
      <w:r>
        <w:rPr>
          <w:rFonts w:hint="eastAsia" w:hAnsi="宋体"/>
          <w:bCs/>
          <w:color w:val="auto"/>
          <w:sz w:val="21"/>
          <w:highlight w:val="none"/>
        </w:rPr>
        <w:t>按甲方要求进行工作，提交的成果报告应满足服务内容的要求</w:t>
      </w:r>
      <w:r>
        <w:rPr>
          <w:rFonts w:hint="eastAsia" w:hAnsi="宋体"/>
          <w:bCs/>
          <w:color w:val="auto"/>
          <w:sz w:val="21"/>
          <w:highlight w:val="none"/>
          <w:lang w:eastAsia="zh-CN"/>
        </w:rPr>
        <w:t>。</w:t>
      </w:r>
    </w:p>
    <w:p w14:paraId="79A97C5B">
      <w:pPr>
        <w:pStyle w:val="15"/>
        <w:tabs>
          <w:tab w:val="left" w:pos="720"/>
          <w:tab w:val="clear" w:pos="-105"/>
        </w:tabs>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2.3</w:t>
      </w:r>
      <w:r>
        <w:rPr>
          <w:rFonts w:hint="eastAsia" w:hAnsi="宋体"/>
          <w:bCs/>
          <w:color w:val="auto"/>
          <w:sz w:val="21"/>
          <w:highlight w:val="none"/>
        </w:rPr>
        <w:t>因甲方的原因而导致进度推迟，则乙方的工作时间相应顺延，乙方不承担延迟提交工作成果的责任。</w:t>
      </w:r>
    </w:p>
    <w:p w14:paraId="7919B5C7">
      <w:pPr>
        <w:pStyle w:val="15"/>
        <w:tabs>
          <w:tab w:val="left" w:pos="720"/>
          <w:tab w:val="clear" w:pos="-105"/>
        </w:tabs>
        <w:spacing w:line="500" w:lineRule="exact"/>
        <w:ind w:right="0" w:rightChars="0" w:firstLine="420" w:firstLineChars="200"/>
        <w:outlineLvl w:val="9"/>
        <w:rPr>
          <w:rFonts w:hint="eastAsia" w:hAnsi="宋体" w:eastAsia="宋体"/>
          <w:bCs/>
          <w:color w:val="auto"/>
          <w:sz w:val="21"/>
          <w:highlight w:val="none"/>
          <w:lang w:eastAsia="zh-CN"/>
        </w:rPr>
      </w:pPr>
      <w:r>
        <w:rPr>
          <w:rFonts w:hint="eastAsia" w:hAnsi="宋体"/>
          <w:bCs/>
          <w:color w:val="auto"/>
          <w:sz w:val="21"/>
          <w:highlight w:val="none"/>
        </w:rPr>
        <w:t>5.</w:t>
      </w:r>
      <w:r>
        <w:rPr>
          <w:rFonts w:hint="eastAsia" w:hAnsi="宋体"/>
          <w:bCs/>
          <w:color w:val="auto"/>
          <w:sz w:val="21"/>
          <w:highlight w:val="none"/>
          <w:lang w:val="en-US" w:eastAsia="zh-CN"/>
        </w:rPr>
        <w:t>2.4</w:t>
      </w:r>
      <w:r>
        <w:rPr>
          <w:rFonts w:hint="eastAsia" w:hAnsi="宋体"/>
          <w:bCs/>
          <w:color w:val="auto"/>
          <w:sz w:val="21"/>
          <w:highlight w:val="none"/>
        </w:rPr>
        <w:t>按甲方要求对项目成果进行归档，并办理项目结算手续</w:t>
      </w:r>
      <w:r>
        <w:rPr>
          <w:rFonts w:hint="eastAsia" w:hAnsi="宋体"/>
          <w:bCs/>
          <w:color w:val="auto"/>
          <w:sz w:val="21"/>
          <w:highlight w:val="none"/>
          <w:lang w:eastAsia="zh-CN"/>
        </w:rPr>
        <w:t>。</w:t>
      </w:r>
    </w:p>
    <w:p w14:paraId="7EB7FBDC">
      <w:pPr>
        <w:pStyle w:val="15"/>
        <w:tabs>
          <w:tab w:val="left" w:pos="720"/>
          <w:tab w:val="clear" w:pos="-105"/>
        </w:tabs>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2.5</w:t>
      </w:r>
      <w:r>
        <w:rPr>
          <w:rFonts w:hint="eastAsia" w:hAnsi="宋体"/>
          <w:bCs/>
          <w:color w:val="auto"/>
          <w:sz w:val="21"/>
          <w:highlight w:val="none"/>
        </w:rPr>
        <w:t>根据甲方的要求，提供后续配合工作。</w:t>
      </w:r>
    </w:p>
    <w:p w14:paraId="3898FA25">
      <w:pPr>
        <w:pStyle w:val="15"/>
        <w:tabs>
          <w:tab w:val="left" w:pos="720"/>
          <w:tab w:val="clear" w:pos="-105"/>
        </w:tabs>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2.6</w:t>
      </w:r>
      <w:r>
        <w:rPr>
          <w:rFonts w:hint="eastAsia" w:hAnsi="宋体"/>
          <w:bCs/>
          <w:color w:val="auto"/>
          <w:sz w:val="21"/>
          <w:highlight w:val="none"/>
        </w:rPr>
        <w:t>乙方对成果报告及解释说明的合法性、真实性、完整性、有效性和公正性全面负责。</w:t>
      </w:r>
    </w:p>
    <w:p w14:paraId="43DC9B71">
      <w:pPr>
        <w:pStyle w:val="15"/>
        <w:tabs>
          <w:tab w:val="left" w:pos="720"/>
          <w:tab w:val="clear" w:pos="-105"/>
        </w:tabs>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5.2.</w:t>
      </w:r>
      <w:r>
        <w:rPr>
          <w:rFonts w:hint="eastAsia" w:hAnsi="宋体"/>
          <w:bCs/>
          <w:color w:val="auto"/>
          <w:sz w:val="21"/>
          <w:highlight w:val="none"/>
          <w:lang w:val="en-US" w:eastAsia="zh-CN"/>
        </w:rPr>
        <w:t>7</w:t>
      </w:r>
      <w:r>
        <w:rPr>
          <w:rFonts w:hAnsi="宋体"/>
          <w:bCs/>
          <w:color w:val="auto"/>
          <w:sz w:val="21"/>
          <w:highlight w:val="none"/>
        </w:rPr>
        <w:t>乙方所有策划方案及相关建议方案以书面形式向甲方汇报。</w:t>
      </w:r>
    </w:p>
    <w:p w14:paraId="782FC1FF">
      <w:pPr>
        <w:pStyle w:val="15"/>
        <w:tabs>
          <w:tab w:val="left" w:pos="720"/>
          <w:tab w:val="clear" w:pos="-105"/>
        </w:tabs>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5.2.</w:t>
      </w:r>
      <w:r>
        <w:rPr>
          <w:rFonts w:hint="eastAsia" w:hAnsi="宋体"/>
          <w:bCs/>
          <w:color w:val="auto"/>
          <w:sz w:val="21"/>
          <w:highlight w:val="none"/>
          <w:lang w:val="en-US" w:eastAsia="zh-CN"/>
        </w:rPr>
        <w:t>8</w:t>
      </w:r>
      <w:r>
        <w:rPr>
          <w:rFonts w:hAnsi="宋体"/>
          <w:bCs/>
          <w:color w:val="auto"/>
          <w:sz w:val="21"/>
          <w:highlight w:val="none"/>
        </w:rPr>
        <w:t>乙方需与甲方保持紧密联系，保持与</w:t>
      </w:r>
      <w:r>
        <w:rPr>
          <w:rFonts w:hint="eastAsia" w:hAnsi="宋体"/>
          <w:bCs/>
          <w:color w:val="auto"/>
          <w:sz w:val="21"/>
          <w:highlight w:val="none"/>
        </w:rPr>
        <w:t>甲</w:t>
      </w:r>
      <w:r>
        <w:rPr>
          <w:rFonts w:hAnsi="宋体"/>
          <w:bCs/>
          <w:color w:val="auto"/>
          <w:sz w:val="21"/>
          <w:highlight w:val="none"/>
        </w:rPr>
        <w:t>方每周一次例会（地点在东莞，为保证双方有效沟通，会议前可根据双方协商周计划具体情况定。其他交流方式以电话、邮件、传真</w:t>
      </w:r>
      <w:r>
        <w:rPr>
          <w:rFonts w:hint="eastAsia" w:hAnsi="宋体"/>
          <w:bCs/>
          <w:color w:val="auto"/>
          <w:sz w:val="21"/>
          <w:highlight w:val="none"/>
        </w:rPr>
        <w:t>、微信</w:t>
      </w:r>
      <w:r>
        <w:rPr>
          <w:rFonts w:hAnsi="宋体"/>
          <w:bCs/>
          <w:color w:val="auto"/>
          <w:sz w:val="21"/>
          <w:highlight w:val="none"/>
        </w:rPr>
        <w:t>等形式进行。如有其他必要，双方另行商议解决）。</w:t>
      </w:r>
    </w:p>
    <w:p w14:paraId="2BA88899">
      <w:pPr>
        <w:pStyle w:val="15"/>
        <w:tabs>
          <w:tab w:val="left" w:pos="720"/>
          <w:tab w:val="clear" w:pos="-105"/>
        </w:tabs>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5.2.</w:t>
      </w:r>
      <w:r>
        <w:rPr>
          <w:rFonts w:hint="eastAsia" w:hAnsi="宋体"/>
          <w:bCs/>
          <w:color w:val="auto"/>
          <w:sz w:val="21"/>
          <w:highlight w:val="none"/>
          <w:lang w:val="en-US" w:eastAsia="zh-CN"/>
        </w:rPr>
        <w:t>9</w:t>
      </w:r>
      <w:r>
        <w:rPr>
          <w:rFonts w:hAnsi="宋体"/>
          <w:bCs/>
          <w:color w:val="auto"/>
          <w:sz w:val="21"/>
          <w:highlight w:val="none"/>
        </w:rPr>
        <w:t>乙方就</w:t>
      </w:r>
      <w:r>
        <w:rPr>
          <w:rFonts w:hint="eastAsia" w:hAnsi="宋体"/>
          <w:bCs/>
          <w:color w:val="auto"/>
          <w:sz w:val="21"/>
          <w:highlight w:val="none"/>
        </w:rPr>
        <w:t>策划</w:t>
      </w:r>
      <w:r>
        <w:rPr>
          <w:rFonts w:hint="eastAsia" w:hAnsi="宋体"/>
          <w:bCs/>
          <w:color w:val="auto"/>
          <w:sz w:val="21"/>
          <w:highlight w:val="none"/>
          <w:lang w:val="en-US" w:eastAsia="zh-CN"/>
        </w:rPr>
        <w:t>咨询</w:t>
      </w:r>
      <w:r>
        <w:rPr>
          <w:rFonts w:hint="eastAsia" w:hAnsi="宋体"/>
          <w:bCs/>
          <w:color w:val="auto"/>
          <w:sz w:val="21"/>
          <w:highlight w:val="none"/>
        </w:rPr>
        <w:t>服务</w:t>
      </w:r>
      <w:r>
        <w:rPr>
          <w:rFonts w:hAnsi="宋体"/>
          <w:bCs/>
          <w:color w:val="auto"/>
          <w:sz w:val="21"/>
          <w:highlight w:val="none"/>
        </w:rPr>
        <w:t>、</w:t>
      </w:r>
      <w:r>
        <w:rPr>
          <w:rFonts w:hint="eastAsia" w:hAnsi="宋体"/>
          <w:bCs/>
          <w:color w:val="auto"/>
          <w:sz w:val="21"/>
          <w:highlight w:val="none"/>
        </w:rPr>
        <w:t>创意文案、设计</w:t>
      </w:r>
      <w:r>
        <w:rPr>
          <w:rFonts w:hAnsi="宋体"/>
          <w:bCs/>
          <w:color w:val="auto"/>
          <w:sz w:val="21"/>
          <w:highlight w:val="none"/>
        </w:rPr>
        <w:t>等事宜，如涉及著作权及肖像权、名誉权等人身权</w:t>
      </w:r>
      <w:r>
        <w:rPr>
          <w:rFonts w:hAnsi="宋体"/>
          <w:bCs/>
          <w:color w:val="auto"/>
          <w:sz w:val="21"/>
          <w:highlight w:val="none"/>
        </w:rPr>
        <w:t>，乙方应与人身权或著作权权利人签署使用许可合同，并保证乙方的工作或作品不侵犯任何第三方的知识产权或人身权等其他在先权利。否则，由乙方负责处理相关法律纠纷并承担全部法律责任。</w:t>
      </w:r>
      <w:r>
        <w:rPr>
          <w:rFonts w:hint="eastAsia" w:hAnsi="宋体"/>
          <w:bCs/>
          <w:color w:val="auto"/>
          <w:sz w:val="21"/>
          <w:highlight w:val="none"/>
        </w:rPr>
        <w:t>如因此导致甲方涉诉的，由此导致甲方产生的所有损失或费用（包括但不限于律师费、差旅费、诉讼费、赔偿费等），甲方有权向乙方追偿。</w:t>
      </w:r>
    </w:p>
    <w:p w14:paraId="3C1C33BA">
      <w:pPr>
        <w:pStyle w:val="15"/>
        <w:tabs>
          <w:tab w:val="left" w:pos="720"/>
          <w:tab w:val="clear" w:pos="-105"/>
        </w:tabs>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w:t>
      </w:r>
      <w:r>
        <w:rPr>
          <w:rFonts w:hint="eastAsia" w:hAnsi="宋体"/>
          <w:bCs/>
          <w:color w:val="auto"/>
          <w:sz w:val="21"/>
          <w:highlight w:val="none"/>
        </w:rPr>
        <w:t>.</w:t>
      </w:r>
      <w:r>
        <w:rPr>
          <w:rFonts w:hint="eastAsia" w:hAnsi="宋体"/>
          <w:bCs/>
          <w:color w:val="auto"/>
          <w:sz w:val="21"/>
          <w:highlight w:val="none"/>
          <w:lang w:val="en-US" w:eastAsia="zh-CN"/>
        </w:rPr>
        <w:t>10</w:t>
      </w:r>
      <w:r>
        <w:rPr>
          <w:rFonts w:hint="eastAsia" w:hAnsi="宋体"/>
          <w:bCs/>
          <w:color w:val="auto"/>
          <w:sz w:val="21"/>
          <w:highlight w:val="none"/>
        </w:rPr>
        <w:t xml:space="preserve"> </w:t>
      </w:r>
      <w:r>
        <w:rPr>
          <w:rFonts w:hAnsi="宋体"/>
          <w:bCs/>
          <w:color w:val="auto"/>
          <w:sz w:val="21"/>
          <w:highlight w:val="none"/>
        </w:rPr>
        <w:t>乙方不得将本合同中的全部或部分工作委托</w:t>
      </w:r>
      <w:r>
        <w:rPr>
          <w:rFonts w:hint="eastAsia" w:hAnsi="宋体"/>
          <w:bCs/>
          <w:color w:val="auto"/>
          <w:sz w:val="21"/>
          <w:highlight w:val="none"/>
        </w:rPr>
        <w:t>或打包转让给其他第三方</w:t>
      </w:r>
      <w:r>
        <w:rPr>
          <w:rFonts w:hAnsi="宋体"/>
          <w:bCs/>
          <w:color w:val="auto"/>
          <w:sz w:val="21"/>
          <w:highlight w:val="none"/>
        </w:rPr>
        <w:t>，甲方书面同意的除外。</w:t>
      </w:r>
    </w:p>
    <w:p w14:paraId="6E64D472">
      <w:pPr>
        <w:pStyle w:val="15"/>
        <w:spacing w:line="500" w:lineRule="exact"/>
        <w:ind w:right="0" w:rightChars="0" w:firstLine="420" w:firstLineChars="200"/>
        <w:jc w:val="left"/>
        <w:outlineLvl w:val="9"/>
        <w:rPr>
          <w:rFonts w:hAnsi="宋体"/>
          <w:bCs/>
          <w:color w:val="auto"/>
          <w:sz w:val="21"/>
          <w:highlight w:val="none"/>
        </w:rPr>
      </w:pPr>
      <w:r>
        <w:rPr>
          <w:rFonts w:hint="eastAsia" w:hAnsi="宋体"/>
          <w:bCs/>
          <w:color w:val="auto"/>
          <w:sz w:val="21"/>
          <w:highlight w:val="none"/>
        </w:rPr>
        <w:t>5.</w:t>
      </w:r>
      <w:r>
        <w:rPr>
          <w:rFonts w:hint="eastAsia" w:hAnsi="宋体"/>
          <w:bCs/>
          <w:color w:val="auto"/>
          <w:sz w:val="21"/>
          <w:highlight w:val="none"/>
          <w:lang w:val="en-US" w:eastAsia="zh-CN"/>
        </w:rPr>
        <w:t>2</w:t>
      </w:r>
      <w:r>
        <w:rPr>
          <w:rFonts w:hint="eastAsia" w:hAnsi="宋体"/>
          <w:bCs/>
          <w:color w:val="auto"/>
          <w:sz w:val="21"/>
          <w:highlight w:val="none"/>
        </w:rPr>
        <w:t>.</w:t>
      </w:r>
      <w:r>
        <w:rPr>
          <w:rFonts w:hint="eastAsia" w:hAnsi="宋体"/>
          <w:bCs/>
          <w:color w:val="auto"/>
          <w:sz w:val="21"/>
          <w:highlight w:val="none"/>
          <w:lang w:val="en-US" w:eastAsia="zh-CN"/>
        </w:rPr>
        <w:t>11</w:t>
      </w:r>
      <w:r>
        <w:rPr>
          <w:rFonts w:hint="eastAsia" w:hAnsi="宋体"/>
          <w:bCs/>
          <w:color w:val="auto"/>
          <w:sz w:val="21"/>
          <w:highlight w:val="none"/>
        </w:rPr>
        <w:t xml:space="preserve"> </w:t>
      </w:r>
      <w:r>
        <w:rPr>
          <w:rFonts w:hint="eastAsia" w:hAnsi="宋体"/>
          <w:bCs/>
          <w:color w:val="auto"/>
          <w:sz w:val="21"/>
          <w:highlight w:val="none"/>
          <w:lang w:val="en-US" w:eastAsia="zh-CN"/>
        </w:rPr>
        <w:t>乙方</w:t>
      </w:r>
      <w:r>
        <w:rPr>
          <w:rFonts w:hint="eastAsia" w:hAnsi="宋体"/>
          <w:bCs/>
          <w:color w:val="auto"/>
          <w:sz w:val="21"/>
          <w:highlight w:val="none"/>
        </w:rPr>
        <w:t>指派具备相关资质、经验丰富的人员担任项目负责人，指派专人担任专门联络人，项目负责人必须参与实际工作</w:t>
      </w:r>
      <w:r>
        <w:rPr>
          <w:rFonts w:hint="eastAsia" w:hAnsi="宋体"/>
          <w:bCs/>
          <w:color w:val="auto"/>
          <w:sz w:val="21"/>
          <w:highlight w:val="none"/>
        </w:rPr>
        <w:t>，团队成员名单详见附件1</w:t>
      </w:r>
      <w:r>
        <w:rPr>
          <w:rFonts w:hint="eastAsia" w:hAnsi="宋体"/>
          <w:bCs/>
          <w:color w:val="auto"/>
          <w:sz w:val="21"/>
          <w:highlight w:val="none"/>
          <w:lang w:eastAsia="zh-CN"/>
        </w:rPr>
        <w:t>。</w:t>
      </w:r>
      <w:r>
        <w:rPr>
          <w:rFonts w:hAnsi="宋体"/>
          <w:bCs/>
          <w:color w:val="auto"/>
          <w:sz w:val="21"/>
          <w:highlight w:val="none"/>
        </w:rPr>
        <w:t>乙方应保证附件所列工作人员的稳定性，若乙方服务组核心人员因合理流动离开本服务小组，乙方应提前【</w:t>
      </w:r>
      <w:r>
        <w:rPr>
          <w:rFonts w:hint="eastAsia" w:hAnsi="宋体"/>
          <w:color w:val="auto"/>
          <w:kern w:val="0"/>
          <w:sz w:val="21"/>
          <w:highlight w:val="none"/>
          <w:u w:val="single"/>
        </w:rPr>
        <w:t xml:space="preserve">  </w:t>
      </w:r>
      <w:r>
        <w:rPr>
          <w:rFonts w:hint="eastAsia" w:hAnsi="宋体"/>
          <w:color w:val="auto"/>
          <w:kern w:val="0"/>
          <w:sz w:val="21"/>
          <w:highlight w:val="none"/>
          <w:u w:val="single"/>
          <w:lang w:val="en-US" w:eastAsia="zh-CN"/>
        </w:rPr>
        <w:t xml:space="preserve">5 </w:t>
      </w:r>
      <w:r>
        <w:rPr>
          <w:rFonts w:hint="eastAsia" w:hAnsi="宋体"/>
          <w:color w:val="auto"/>
          <w:kern w:val="0"/>
          <w:sz w:val="21"/>
          <w:highlight w:val="none"/>
          <w:u w:val="single"/>
        </w:rPr>
        <w:t xml:space="preserve"> </w:t>
      </w:r>
      <w:r>
        <w:rPr>
          <w:rFonts w:hAnsi="宋体"/>
          <w:bCs/>
          <w:color w:val="auto"/>
          <w:sz w:val="21"/>
          <w:highlight w:val="none"/>
        </w:rPr>
        <w:t>】个工作日以书面形式通知甲方，并及时补充经甲方认可的人员。</w:t>
      </w:r>
    </w:p>
    <w:p w14:paraId="09692E27">
      <w:pPr>
        <w:pStyle w:val="15"/>
        <w:spacing w:line="500" w:lineRule="exact"/>
        <w:rPr>
          <w:rFonts w:hAnsi="宋体"/>
          <w:b/>
          <w:color w:val="auto"/>
          <w:sz w:val="21"/>
          <w:highlight w:val="none"/>
        </w:rPr>
      </w:pPr>
      <w:r>
        <w:rPr>
          <w:rFonts w:hint="eastAsia" w:hAnsi="宋体"/>
          <w:b/>
          <w:color w:val="auto"/>
          <w:sz w:val="21"/>
          <w:highlight w:val="none"/>
        </w:rPr>
        <w:t>六</w:t>
      </w:r>
      <w:r>
        <w:rPr>
          <w:rFonts w:hAnsi="宋体"/>
          <w:b/>
          <w:color w:val="auto"/>
          <w:sz w:val="21"/>
          <w:highlight w:val="none"/>
        </w:rPr>
        <w:t>、知识产权：</w:t>
      </w:r>
    </w:p>
    <w:p w14:paraId="690A8D16">
      <w:pPr>
        <w:pStyle w:val="15"/>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6.1甲方提交给乙方使用的素材与资料，其知识产权仍归甲方所有。除为本合同目的而使用之外，乙方不得复制、使用及提供给第三方。</w:t>
      </w:r>
    </w:p>
    <w:p w14:paraId="75DCDA51">
      <w:pPr>
        <w:pStyle w:val="15"/>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6.2乙方向甲方提交的工作成果的全部知识产权均归甲方所有；甲方有权自行决定发表、修改、使用等，相关收益归甲方所有。</w:t>
      </w:r>
    </w:p>
    <w:p w14:paraId="0C7784CA">
      <w:pPr>
        <w:pStyle w:val="15"/>
        <w:spacing w:line="500" w:lineRule="exact"/>
        <w:ind w:right="0" w:rightChars="0" w:firstLine="420" w:firstLineChars="200"/>
        <w:outlineLvl w:val="9"/>
        <w:rPr>
          <w:rFonts w:hAnsi="宋体"/>
          <w:bCs/>
          <w:color w:val="auto"/>
          <w:sz w:val="21"/>
          <w:highlight w:val="none"/>
        </w:rPr>
      </w:pPr>
      <w:r>
        <w:rPr>
          <w:rFonts w:hint="eastAsia" w:hAnsi="宋体"/>
          <w:bCs/>
          <w:color w:val="auto"/>
          <w:sz w:val="21"/>
          <w:highlight w:val="none"/>
        </w:rPr>
        <w:t>6.3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0D9D0739">
      <w:pPr>
        <w:pStyle w:val="15"/>
        <w:spacing w:line="500" w:lineRule="exact"/>
        <w:ind w:right="0" w:rightChars="0" w:firstLine="420" w:firstLineChars="200"/>
        <w:outlineLvl w:val="9"/>
        <w:rPr>
          <w:rFonts w:hint="eastAsia" w:hAnsi="宋体"/>
          <w:bCs/>
          <w:color w:val="auto"/>
          <w:sz w:val="21"/>
          <w:highlight w:val="none"/>
        </w:rPr>
      </w:pPr>
      <w:r>
        <w:rPr>
          <w:rFonts w:hint="eastAsia" w:hAnsi="宋体"/>
          <w:bCs/>
          <w:color w:val="auto"/>
          <w:sz w:val="21"/>
          <w:highlight w:val="none"/>
        </w:rPr>
        <w:t>6.4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14:paraId="400B6796">
      <w:pPr>
        <w:pStyle w:val="15"/>
        <w:spacing w:line="500" w:lineRule="exact"/>
        <w:rPr>
          <w:rFonts w:hAnsi="宋体"/>
          <w:b/>
          <w:color w:val="auto"/>
          <w:sz w:val="21"/>
          <w:highlight w:val="none"/>
        </w:rPr>
      </w:pPr>
      <w:r>
        <w:rPr>
          <w:rFonts w:hint="eastAsia" w:hAnsi="宋体"/>
          <w:b/>
          <w:color w:val="auto"/>
          <w:sz w:val="21"/>
          <w:highlight w:val="none"/>
        </w:rPr>
        <w:t>七</w:t>
      </w:r>
      <w:r>
        <w:rPr>
          <w:rFonts w:hAnsi="宋体"/>
          <w:b/>
          <w:color w:val="auto"/>
          <w:sz w:val="21"/>
          <w:highlight w:val="none"/>
        </w:rPr>
        <w:t>、保密</w:t>
      </w:r>
    </w:p>
    <w:p w14:paraId="454E2D2B">
      <w:pPr>
        <w:pStyle w:val="17"/>
        <w:spacing w:line="500" w:lineRule="exact"/>
        <w:ind w:firstLine="420" w:firstLineChars="200"/>
        <w:rPr>
          <w:rFonts w:ascii="Calibri" w:hAnsi="Calibri"/>
          <w:color w:val="auto"/>
          <w:sz w:val="21"/>
          <w:szCs w:val="24"/>
          <w:highlight w:val="none"/>
        </w:rPr>
      </w:pPr>
      <w:r>
        <w:rPr>
          <w:rFonts w:ascii="Calibri" w:hAnsi="Calibri"/>
          <w:color w:val="auto"/>
          <w:sz w:val="21"/>
          <w:szCs w:val="24"/>
          <w:highlight w:val="none"/>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r>
        <w:rPr>
          <w:rFonts w:hint="eastAsia"/>
          <w:color w:val="auto"/>
          <w:sz w:val="21"/>
          <w:szCs w:val="24"/>
          <w:highlight w:val="none"/>
        </w:rPr>
        <w:t>前</w:t>
      </w:r>
      <w:r>
        <w:rPr>
          <w:rFonts w:ascii="Calibri" w:hAnsi="Calibri"/>
          <w:color w:val="auto"/>
          <w:sz w:val="21"/>
          <w:szCs w:val="24"/>
          <w:highlight w:val="none"/>
        </w:rPr>
        <w:t>述保密义务，在本合同终止或解除之后仍需履行。如乙方或乙方员工泄露甲方的商业秘密致使甲方受到损失的，由乙方承担赔偿责任。</w:t>
      </w:r>
    </w:p>
    <w:p w14:paraId="3196F62F">
      <w:pPr>
        <w:pStyle w:val="15"/>
        <w:spacing w:line="500" w:lineRule="exact"/>
        <w:rPr>
          <w:rFonts w:hAnsi="宋体"/>
          <w:b/>
          <w:color w:val="auto"/>
          <w:sz w:val="21"/>
          <w:highlight w:val="none"/>
        </w:rPr>
      </w:pPr>
      <w:r>
        <w:rPr>
          <w:rFonts w:hint="eastAsia" w:hAnsi="宋体"/>
          <w:b/>
          <w:color w:val="auto"/>
          <w:sz w:val="21"/>
          <w:highlight w:val="none"/>
        </w:rPr>
        <w:t>八</w:t>
      </w:r>
      <w:r>
        <w:rPr>
          <w:rFonts w:hAnsi="宋体"/>
          <w:b/>
          <w:color w:val="auto"/>
          <w:sz w:val="21"/>
          <w:highlight w:val="none"/>
        </w:rPr>
        <w:t>、不可抗力</w:t>
      </w:r>
    </w:p>
    <w:p w14:paraId="77667103">
      <w:pPr>
        <w:spacing w:line="360" w:lineRule="auto"/>
        <w:ind w:firstLine="420" w:firstLineChars="200"/>
        <w:rPr>
          <w:rFonts w:ascii="宋体" w:hAnsi="宋体" w:cs="宋体"/>
          <w:b/>
          <w:bCs/>
          <w:color w:val="auto"/>
          <w:highlight w:val="none"/>
        </w:rPr>
      </w:pPr>
      <w:r>
        <w:rPr>
          <w:rFonts w:hint="eastAsia" w:ascii="宋体" w:hAnsi="宋体" w:cs="宋体"/>
          <w:b/>
          <w:bCs/>
          <w:color w:val="auto"/>
          <w:highlight w:val="none"/>
        </w:rPr>
        <w:t>8.1不可抗力的确认</w:t>
      </w:r>
    </w:p>
    <w:p w14:paraId="6C6C09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不可抗力是指甲乙双方在订立合同时不可预见，在履行合同过程中不可避免发生并不能克服的自然灾害、政策的调整和社会性突发事件，如地震、海啸、瘟疫、水灾、骚乱、暴动、战争等。</w:t>
      </w:r>
    </w:p>
    <w:p w14:paraId="14E10ECF">
      <w:pPr>
        <w:pStyle w:val="17"/>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    8.2 不可抗力的通知</w:t>
      </w:r>
    </w:p>
    <w:p w14:paraId="274E9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合同一方当事人遇到不可抗力事件，使其履行合同义务受到阻碍时，应立即通知合同另一方当事人，书面说明不可抗力和受阻碍的详细情况，并提供必要的证明。</w:t>
      </w:r>
    </w:p>
    <w:p w14:paraId="4E4CFFBB">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8.3 不可抗力后果及其处理</w:t>
      </w:r>
    </w:p>
    <w:p w14:paraId="775896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（1）合同一方延迟履行，在延迟履行期间发生不可抗力的，不免除其责任。</w:t>
      </w:r>
    </w:p>
    <w:p w14:paraId="17A518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（2）不可抗力发生后，合同双方均应采取措施尽量避免和减少损失的扩大，任何一方没有采取有效措施导致损失扩大的，应对扩大的损失承担责任。</w:t>
      </w:r>
    </w:p>
    <w:p w14:paraId="6D2FB540">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（3）合同一方因不可抗力不能履行合同的，应当及时通知对方解除合同。双方根据乙方实际完成工作量据实结算合同费用。</w:t>
      </w:r>
    </w:p>
    <w:p w14:paraId="034D21E7">
      <w:pPr>
        <w:pStyle w:val="15"/>
        <w:spacing w:line="500" w:lineRule="exact"/>
        <w:rPr>
          <w:rFonts w:hAnsi="宋体"/>
          <w:b/>
          <w:color w:val="auto"/>
          <w:sz w:val="21"/>
          <w:highlight w:val="none"/>
        </w:rPr>
      </w:pPr>
      <w:r>
        <w:rPr>
          <w:rFonts w:hint="eastAsia" w:hAnsi="宋体"/>
          <w:b/>
          <w:color w:val="auto"/>
          <w:sz w:val="21"/>
          <w:highlight w:val="none"/>
        </w:rPr>
        <w:t>九</w:t>
      </w:r>
      <w:r>
        <w:rPr>
          <w:rFonts w:hAnsi="宋体"/>
          <w:b/>
          <w:color w:val="auto"/>
          <w:sz w:val="21"/>
          <w:highlight w:val="none"/>
        </w:rPr>
        <w:t>、违约责任</w:t>
      </w:r>
    </w:p>
    <w:p w14:paraId="29CC19B4">
      <w:pPr>
        <w:spacing w:line="500" w:lineRule="exact"/>
        <w:ind w:left="199" w:leftChars="95" w:firstLine="210" w:firstLineChars="100"/>
        <w:rPr>
          <w:rFonts w:hint="eastAsia" w:ascii="宋体" w:hAnsi="宋体"/>
          <w:b/>
          <w:color w:val="auto"/>
          <w:szCs w:val="21"/>
          <w:highlight w:val="none"/>
        </w:rPr>
      </w:pPr>
      <w:r>
        <w:rPr>
          <w:rFonts w:hint="eastAsia" w:ascii="宋体" w:hAnsi="宋体"/>
          <w:b/>
          <w:color w:val="auto"/>
          <w:szCs w:val="21"/>
          <w:highlight w:val="none"/>
        </w:rPr>
        <w:t>9.1 甲方违约责任：</w:t>
      </w:r>
    </w:p>
    <w:p w14:paraId="3483CB98">
      <w:pPr>
        <w:spacing w:line="5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9.1.1 甲方无正当理由逾期支付合同价款的，甲方应当向乙方支付逾期付款违约金。逾期付款违约金以逾期金额为本金，从甲方逾期付款当日起按照当月已发布的一年期LPR计算至合同价款付清之日。</w:t>
      </w:r>
      <w:r>
        <w:rPr>
          <w:rFonts w:hint="eastAsia" w:ascii="宋体" w:hAnsi="宋体"/>
          <w:bCs/>
          <w:color w:val="auto"/>
          <w:szCs w:val="21"/>
          <w:highlight w:val="none"/>
          <w:lang w:eastAsia="zh-CN"/>
        </w:rPr>
        <w:t>逾期</w:t>
      </w:r>
      <w:r>
        <w:rPr>
          <w:rFonts w:hint="eastAsia" w:ascii="宋体" w:hAnsi="宋体"/>
          <w:bCs/>
          <w:color w:val="auto"/>
          <w:szCs w:val="21"/>
          <w:highlight w:val="none"/>
          <w:lang w:val="en-US" w:eastAsia="zh-CN"/>
        </w:rPr>
        <w:t>付款</w:t>
      </w:r>
      <w:r>
        <w:rPr>
          <w:rFonts w:hint="eastAsia" w:ascii="宋体" w:hAnsi="宋体"/>
          <w:bCs/>
          <w:color w:val="auto"/>
          <w:szCs w:val="21"/>
          <w:highlight w:val="none"/>
          <w:lang w:eastAsia="zh-CN"/>
        </w:rPr>
        <w:t>违约金总额</w:t>
      </w:r>
      <w:r>
        <w:rPr>
          <w:rFonts w:hint="eastAsia" w:ascii="宋体" w:hAnsi="宋体"/>
          <w:bCs/>
          <w:color w:val="auto"/>
          <w:szCs w:val="21"/>
          <w:highlight w:val="none"/>
          <w:lang w:val="en-US" w:eastAsia="zh-CN"/>
        </w:rPr>
        <w:t>累计</w:t>
      </w:r>
      <w:r>
        <w:rPr>
          <w:rFonts w:hint="eastAsia" w:ascii="宋体" w:hAnsi="宋体"/>
          <w:bCs/>
          <w:color w:val="auto"/>
          <w:szCs w:val="21"/>
          <w:highlight w:val="none"/>
          <w:lang w:eastAsia="zh-CN"/>
        </w:rPr>
        <w:t>不超过应付未付总金额的10%</w:t>
      </w:r>
      <w:r>
        <w:rPr>
          <w:rFonts w:hint="eastAsia" w:ascii="宋体" w:hAnsi="宋体"/>
          <w:bCs/>
          <w:color w:val="auto"/>
          <w:szCs w:val="21"/>
          <w:highlight w:val="none"/>
        </w:rPr>
        <w:t>。</w:t>
      </w:r>
    </w:p>
    <w:p w14:paraId="0CBD15C7">
      <w:pPr>
        <w:spacing w:line="5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9.1.2甲方</w:t>
      </w:r>
      <w:r>
        <w:rPr>
          <w:rFonts w:hint="eastAsia" w:ascii="宋体" w:hAnsi="宋体"/>
          <w:bCs/>
          <w:color w:val="auto"/>
          <w:szCs w:val="21"/>
          <w:highlight w:val="none"/>
          <w:lang w:val="en-US" w:eastAsia="zh-CN"/>
        </w:rPr>
        <w:t>单方面</w:t>
      </w:r>
      <w:r>
        <w:rPr>
          <w:rFonts w:hint="eastAsia" w:ascii="宋体" w:hAnsi="宋体"/>
          <w:bCs/>
          <w:color w:val="auto"/>
          <w:szCs w:val="21"/>
          <w:highlight w:val="none"/>
        </w:rPr>
        <w:t>解除本合同的，如乙方未实际开展工作的，应退还全部已付合同价款；如乙方已实际开展工作的，甲方应据乙方实际工作量结算合同价款，乙方不得追究甲方其他违约责任。</w:t>
      </w:r>
    </w:p>
    <w:p w14:paraId="27B7DC02">
      <w:pPr>
        <w:rPr>
          <w:rFonts w:hint="eastAsia" w:ascii="宋体" w:hAnsi="宋体"/>
          <w:b/>
          <w:color w:val="auto"/>
          <w:szCs w:val="21"/>
          <w:highlight w:val="none"/>
        </w:rPr>
      </w:pPr>
      <w:r>
        <w:rPr>
          <w:rFonts w:hint="eastAsia" w:ascii="宋体" w:hAnsi="宋体"/>
          <w:b/>
          <w:color w:val="auto"/>
          <w:szCs w:val="21"/>
          <w:highlight w:val="none"/>
        </w:rPr>
        <w:t xml:space="preserve">  </w:t>
      </w:r>
    </w:p>
    <w:p w14:paraId="6ECF924D">
      <w:pPr>
        <w:ind w:firstLine="420" w:firstLineChars="200"/>
        <w:rPr>
          <w:b/>
          <w:color w:val="auto"/>
          <w:highlight w:val="none"/>
        </w:rPr>
      </w:pPr>
      <w:r>
        <w:rPr>
          <w:rFonts w:hint="eastAsia" w:ascii="宋体" w:hAnsi="宋体"/>
          <w:b/>
          <w:color w:val="auto"/>
          <w:szCs w:val="21"/>
          <w:highlight w:val="none"/>
        </w:rPr>
        <w:t>9.2 乙方违约责任：</w:t>
      </w:r>
    </w:p>
    <w:p w14:paraId="7253E379">
      <w:pPr>
        <w:pStyle w:val="21"/>
        <w:tabs>
          <w:tab w:val="left" w:pos="1351"/>
        </w:tabs>
        <w:snapToGrid w:val="0"/>
        <w:spacing w:after="0" w:line="500" w:lineRule="exact"/>
        <w:ind w:firstLine="420" w:firstLineChars="200"/>
        <w:rPr>
          <w:rFonts w:hint="eastAsia"/>
          <w:color w:val="auto"/>
          <w:highlight w:val="none"/>
        </w:rPr>
      </w:pPr>
      <w:r>
        <w:rPr>
          <w:rFonts w:hint="eastAsia" w:ascii="宋体" w:hAnsi="宋体"/>
          <w:bCs/>
          <w:color w:val="auto"/>
          <w:szCs w:val="21"/>
          <w:highlight w:val="none"/>
        </w:rPr>
        <w:t>9.2.1乙方须在甲方要求的时间内完成甲方所需的服务内容，如乙方未按时提供服务，在甲方催告后仍未提供或完成相关工作的，每逾期一日，甲方有权要求乙方按该合同总额的千分之一或</w:t>
      </w:r>
      <w:r>
        <w:rPr>
          <w:rFonts w:hint="eastAsia" w:ascii="宋体" w:hAnsi="宋体"/>
          <w:bCs/>
          <w:color w:val="auto"/>
          <w:szCs w:val="21"/>
          <w:highlight w:val="none"/>
          <w:lang w:val="en-US" w:eastAsia="zh-CN"/>
        </w:rPr>
        <w:t>1</w:t>
      </w:r>
      <w:r>
        <w:rPr>
          <w:rFonts w:hint="eastAsia" w:ascii="宋体" w:hAnsi="宋体"/>
          <w:bCs/>
          <w:color w:val="auto"/>
          <w:szCs w:val="21"/>
          <w:highlight w:val="none"/>
        </w:rPr>
        <w:t>000元（两者取大值）减收服务费用直至乙方完成符合甲方要求的工作为止。</w:t>
      </w:r>
    </w:p>
    <w:p w14:paraId="581143AB">
      <w:pPr>
        <w:spacing w:line="500" w:lineRule="exact"/>
        <w:ind w:firstLine="0" w:firstLineChars="0"/>
        <w:rPr>
          <w:rFonts w:hint="eastAsia" w:ascii="宋体" w:hAnsi="宋体" w:eastAsia="宋体"/>
          <w:bCs/>
          <w:color w:val="auto"/>
          <w:szCs w:val="21"/>
          <w:highlight w:val="none"/>
          <w:lang w:val="en-US" w:eastAsia="zh-CN"/>
        </w:rPr>
      </w:pPr>
    </w:p>
    <w:p w14:paraId="2088A690">
      <w:pPr>
        <w:spacing w:line="500" w:lineRule="exact"/>
        <w:ind w:firstLine="420" w:firstLineChars="200"/>
        <w:rPr>
          <w:rFonts w:ascii="宋体" w:hAnsi="宋体"/>
          <w:bCs/>
          <w:color w:val="auto"/>
          <w:szCs w:val="21"/>
          <w:highlight w:val="none"/>
        </w:rPr>
      </w:pPr>
      <w:r>
        <w:rPr>
          <w:rFonts w:hint="eastAsia"/>
          <w:color w:val="auto"/>
          <w:highlight w:val="none"/>
        </w:rPr>
        <w:t>9.2.</w:t>
      </w:r>
      <w:r>
        <w:rPr>
          <w:rFonts w:hint="eastAsia"/>
          <w:color w:val="auto"/>
          <w:highlight w:val="none"/>
          <w:lang w:val="en-US" w:eastAsia="zh-CN"/>
        </w:rPr>
        <w:t>2</w:t>
      </w:r>
      <w:r>
        <w:rPr>
          <w:rFonts w:hint="eastAsia"/>
          <w:color w:val="auto"/>
          <w:highlight w:val="none"/>
        </w:rPr>
        <w:t xml:space="preserve"> </w:t>
      </w:r>
      <w:r>
        <w:rPr>
          <w:rFonts w:hint="eastAsia" w:ascii="宋体" w:hAnsi="宋体"/>
          <w:bCs/>
          <w:color w:val="auto"/>
          <w:szCs w:val="21"/>
          <w:highlight w:val="none"/>
        </w:rPr>
        <w:t>乙方擅自转委托的，</w:t>
      </w:r>
      <w:r>
        <w:rPr>
          <w:rFonts w:hint="eastAsia"/>
          <w:color w:val="auto"/>
          <w:highlight w:val="none"/>
        </w:rPr>
        <w:t>甲方有权解除合同并要求乙方按照合同总金额10%向甲方支付违约金，实际损失超过违约金的，乙方应当予以补足；甲方选择继续履行合同的，乙方应按合同总价款5%向甲方支付违约金，实际损失超过违约金的，乙方应当予以补足。</w:t>
      </w:r>
    </w:p>
    <w:p w14:paraId="32B7A700">
      <w:pPr>
        <w:pStyle w:val="21"/>
        <w:tabs>
          <w:tab w:val="left" w:pos="1351"/>
        </w:tabs>
        <w:snapToGrid w:val="0"/>
        <w:spacing w:after="0" w:line="500" w:lineRule="exact"/>
        <w:ind w:firstLine="420" w:firstLineChars="200"/>
        <w:rPr>
          <w:rFonts w:hint="eastAsia"/>
          <w:color w:val="auto"/>
          <w:highlight w:val="none"/>
        </w:rPr>
      </w:pPr>
      <w:r>
        <w:rPr>
          <w:rFonts w:hint="eastAsia"/>
          <w:color w:val="auto"/>
          <w:highlight w:val="none"/>
        </w:rPr>
        <w:t>9.2.</w:t>
      </w:r>
      <w:r>
        <w:rPr>
          <w:rFonts w:hint="eastAsia"/>
          <w:color w:val="auto"/>
          <w:highlight w:val="none"/>
          <w:lang w:val="en-US" w:eastAsia="zh-CN"/>
        </w:rPr>
        <w:t>3</w:t>
      </w:r>
      <w:r>
        <w:rPr>
          <w:rFonts w:hint="eastAsia"/>
          <w:color w:val="auto"/>
          <w:highlight w:val="none"/>
          <w:lang w:eastAsia="zh-Hans"/>
        </w:rPr>
        <w:t>乙方提供的</w:t>
      </w:r>
      <w:r>
        <w:rPr>
          <w:rFonts w:hint="eastAsia"/>
          <w:color w:val="auto"/>
          <w:highlight w:val="none"/>
        </w:rPr>
        <w:t>成果无法满足甲方要求或提供的服务</w:t>
      </w:r>
      <w:r>
        <w:rPr>
          <w:rFonts w:hint="eastAsia"/>
          <w:color w:val="auto"/>
          <w:highlight w:val="none"/>
          <w:lang w:eastAsia="zh-Hans"/>
        </w:rPr>
        <w:t>不符合合同约定</w:t>
      </w:r>
      <w:r>
        <w:rPr>
          <w:color w:val="auto"/>
          <w:highlight w:val="none"/>
          <w:lang w:eastAsia="zh-Hans"/>
        </w:rPr>
        <w:t>，</w:t>
      </w:r>
      <w:r>
        <w:rPr>
          <w:rFonts w:hint="eastAsia"/>
          <w:color w:val="auto"/>
          <w:highlight w:val="none"/>
          <w:lang w:eastAsia="zh-Hans"/>
        </w:rPr>
        <w:t>经甲方催告拒绝改正或采取三次以上补救措施仍未达</w:t>
      </w:r>
      <w:r>
        <w:rPr>
          <w:rFonts w:hint="eastAsia"/>
          <w:color w:val="auto"/>
          <w:highlight w:val="none"/>
        </w:rPr>
        <w:t>甲方要求或</w:t>
      </w:r>
      <w:r>
        <w:rPr>
          <w:rFonts w:hint="eastAsia"/>
          <w:color w:val="auto"/>
          <w:highlight w:val="none"/>
          <w:lang w:eastAsia="zh-Hans"/>
        </w:rPr>
        <w:t>合同约定标准</w:t>
      </w:r>
      <w:r>
        <w:rPr>
          <w:color w:val="auto"/>
          <w:highlight w:val="none"/>
          <w:lang w:eastAsia="zh-Hans"/>
        </w:rPr>
        <w:t>，</w:t>
      </w:r>
      <w:r>
        <w:rPr>
          <w:rFonts w:hint="eastAsia"/>
          <w:color w:val="auto"/>
          <w:highlight w:val="none"/>
          <w:lang w:eastAsia="zh-Hans"/>
        </w:rPr>
        <w:t>或因乙方原因造成甲方损失的</w:t>
      </w:r>
      <w:r>
        <w:rPr>
          <w:color w:val="auto"/>
          <w:highlight w:val="none"/>
          <w:lang w:eastAsia="zh-Hans"/>
        </w:rPr>
        <w:t>，</w:t>
      </w:r>
      <w:r>
        <w:rPr>
          <w:rFonts w:hint="eastAsia"/>
          <w:color w:val="auto"/>
          <w:highlight w:val="none"/>
          <w:lang w:eastAsia="zh-Hans"/>
        </w:rPr>
        <w:t>甲方有权单方解除合同并要求乙方向甲方支付相当于合同总金额</w:t>
      </w:r>
      <w:r>
        <w:rPr>
          <w:color w:val="auto"/>
          <w:highlight w:val="none"/>
          <w:lang w:eastAsia="zh-Hans"/>
        </w:rPr>
        <w:t>10%</w:t>
      </w:r>
      <w:r>
        <w:rPr>
          <w:rFonts w:hint="eastAsia"/>
          <w:color w:val="auto"/>
          <w:highlight w:val="none"/>
          <w:lang w:eastAsia="zh-Hans"/>
        </w:rPr>
        <w:t>的违约金</w:t>
      </w:r>
      <w:r>
        <w:rPr>
          <w:rFonts w:hint="eastAsia"/>
          <w:bCs/>
          <w:color w:val="auto"/>
          <w:szCs w:val="21"/>
          <w:highlight w:val="none"/>
        </w:rPr>
        <w:t>；</w:t>
      </w:r>
      <w:r>
        <w:rPr>
          <w:rFonts w:hint="eastAsia"/>
          <w:color w:val="auto"/>
          <w:highlight w:val="none"/>
        </w:rPr>
        <w:t>如甲方的实际损失超出违约金数额的，甲方还有权就超出部分损失向乙方主张赔偿责任。</w:t>
      </w:r>
    </w:p>
    <w:p w14:paraId="47CBF057">
      <w:pPr>
        <w:pStyle w:val="21"/>
        <w:tabs>
          <w:tab w:val="left" w:pos="1351"/>
        </w:tabs>
        <w:snapToGrid w:val="0"/>
        <w:spacing w:line="500" w:lineRule="exact"/>
        <w:ind w:firstLine="420" w:firstLineChars="200"/>
        <w:rPr>
          <w:rFonts w:hAnsi="宋体"/>
          <w:color w:val="auto"/>
          <w:szCs w:val="21"/>
          <w:highlight w:val="none"/>
        </w:rPr>
      </w:pPr>
      <w:r>
        <w:rPr>
          <w:rFonts w:hint="eastAsia" w:hAnsi="宋体"/>
          <w:color w:val="auto"/>
          <w:szCs w:val="21"/>
          <w:highlight w:val="none"/>
        </w:rPr>
        <w:t>9.2.</w:t>
      </w:r>
      <w:r>
        <w:rPr>
          <w:rFonts w:hint="eastAsia" w:hAnsi="宋体"/>
          <w:color w:val="auto"/>
          <w:szCs w:val="21"/>
          <w:highlight w:val="none"/>
          <w:lang w:val="en-US" w:eastAsia="zh-CN"/>
        </w:rPr>
        <w:t>4</w:t>
      </w:r>
      <w:r>
        <w:rPr>
          <w:rFonts w:hAnsi="宋体"/>
          <w:color w:val="auto"/>
          <w:szCs w:val="21"/>
          <w:highlight w:val="none"/>
        </w:rPr>
        <w:t xml:space="preserve">乙方无法定或约定事宜要求解除本合同的，乙方应向甲方支付相当于合同总金额10%的违约金，如甲方的实际损失超出违约金数额的，甲方还有权就超出部分损失向乙方主张赔偿责任。                                              </w:t>
      </w:r>
    </w:p>
    <w:p w14:paraId="62AF0ED9">
      <w:pPr>
        <w:pStyle w:val="21"/>
        <w:tabs>
          <w:tab w:val="left" w:pos="1351"/>
        </w:tabs>
        <w:snapToGrid w:val="0"/>
        <w:spacing w:line="500" w:lineRule="exact"/>
        <w:ind w:firstLine="420" w:firstLineChars="200"/>
        <w:rPr>
          <w:rFonts w:hAnsi="宋体"/>
          <w:color w:val="auto"/>
          <w:szCs w:val="21"/>
          <w:highlight w:val="none"/>
        </w:rPr>
      </w:pPr>
      <w:r>
        <w:rPr>
          <w:rFonts w:hint="eastAsia" w:hAnsi="宋体"/>
          <w:color w:val="auto"/>
          <w:szCs w:val="21"/>
          <w:highlight w:val="none"/>
        </w:rPr>
        <w:t>9.2.</w:t>
      </w:r>
      <w:r>
        <w:rPr>
          <w:rFonts w:hint="eastAsia" w:hAnsi="宋体"/>
          <w:color w:val="auto"/>
          <w:szCs w:val="21"/>
          <w:highlight w:val="none"/>
          <w:lang w:val="en-US" w:eastAsia="zh-CN"/>
        </w:rPr>
        <w:t>5</w:t>
      </w:r>
      <w:r>
        <w:rPr>
          <w:rFonts w:hAnsi="宋体"/>
          <w:color w:val="auto"/>
          <w:szCs w:val="21"/>
          <w:highlight w:val="none"/>
        </w:rPr>
        <w:t>因乙方原因所产生的违约金、赔偿或其他应付费用，甲方有权从乙方提供的履约担保金额或甲方应支付的合同价款中直接扣除。</w:t>
      </w:r>
    </w:p>
    <w:p w14:paraId="11FA6A75">
      <w:pPr>
        <w:pStyle w:val="21"/>
        <w:tabs>
          <w:tab w:val="left" w:pos="1351"/>
        </w:tabs>
        <w:snapToGrid w:val="0"/>
        <w:spacing w:line="500" w:lineRule="exact"/>
        <w:ind w:firstLine="420" w:firstLineChars="200"/>
        <w:rPr>
          <w:color w:val="auto"/>
          <w:highlight w:val="none"/>
        </w:rPr>
      </w:pPr>
      <w:r>
        <w:rPr>
          <w:rFonts w:hint="eastAsia" w:hAnsi="宋体"/>
          <w:color w:val="auto"/>
          <w:szCs w:val="21"/>
          <w:highlight w:val="none"/>
        </w:rPr>
        <w:t>9.2.</w:t>
      </w:r>
      <w:r>
        <w:rPr>
          <w:rFonts w:hint="eastAsia" w:hAnsi="宋体"/>
          <w:color w:val="auto"/>
          <w:szCs w:val="21"/>
          <w:highlight w:val="none"/>
          <w:lang w:val="en-US" w:eastAsia="zh-CN"/>
        </w:rPr>
        <w:t>6</w:t>
      </w:r>
      <w:r>
        <w:rPr>
          <w:rFonts w:hint="eastAsia" w:hAnsi="宋体"/>
          <w:color w:val="auto"/>
          <w:szCs w:val="21"/>
          <w:highlight w:val="none"/>
        </w:rPr>
        <w:t xml:space="preserve"> </w:t>
      </w:r>
      <w:r>
        <w:rPr>
          <w:rFonts w:hAnsi="宋体"/>
          <w:color w:val="auto"/>
          <w:szCs w:val="21"/>
          <w:highlight w:val="none"/>
        </w:rPr>
        <w:t>如乙方违约的，甲方除有权要求乙方承担违约责任外，还有权要求乙方支付维权成本，包括但不限于诉讼/仲裁费、调查取证费/公证费/鉴定费、律师费、保全费、担保费、差旅费等维权费用及其他合理费用。</w:t>
      </w:r>
    </w:p>
    <w:p w14:paraId="2EC8D30B">
      <w:pPr>
        <w:pStyle w:val="15"/>
        <w:spacing w:line="500" w:lineRule="exact"/>
        <w:rPr>
          <w:rFonts w:hAnsi="宋体"/>
          <w:b/>
          <w:color w:val="auto"/>
          <w:sz w:val="21"/>
          <w:highlight w:val="none"/>
        </w:rPr>
      </w:pPr>
      <w:r>
        <w:rPr>
          <w:rFonts w:hAnsi="宋体"/>
          <w:b/>
          <w:color w:val="auto"/>
          <w:sz w:val="21"/>
          <w:highlight w:val="none"/>
        </w:rPr>
        <w:t>十、争议解决</w:t>
      </w:r>
    </w:p>
    <w:p w14:paraId="05BB5BD6">
      <w:pPr>
        <w:spacing w:line="5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本合同发生争议，双方当事人应及时协商解决；经双方协商无法解决的争议，双方同意按照以下第</w:t>
      </w:r>
      <w:r>
        <w:rPr>
          <w:rFonts w:hint="eastAsia" w:ascii="宋体" w:hAnsi="宋体"/>
          <w:bCs/>
          <w:color w:val="auto"/>
          <w:szCs w:val="21"/>
          <w:highlight w:val="none"/>
          <w:u w:val="single"/>
        </w:rPr>
        <w:t xml:space="preserve"> (1) </w:t>
      </w:r>
      <w:r>
        <w:rPr>
          <w:rFonts w:hint="eastAsia" w:ascii="宋体" w:hAnsi="宋体"/>
          <w:bCs/>
          <w:color w:val="auto"/>
          <w:szCs w:val="21"/>
          <w:highlight w:val="none"/>
        </w:rPr>
        <w:t xml:space="preserve"> 种方式解决：</w:t>
      </w:r>
    </w:p>
    <w:p w14:paraId="1EEE0531">
      <w:pPr>
        <w:spacing w:line="5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u w:val="single"/>
        </w:rPr>
        <w:t>(1)</w:t>
      </w:r>
      <w:r>
        <w:rPr>
          <w:rFonts w:hint="eastAsia" w:ascii="宋体" w:hAnsi="宋体"/>
          <w:bCs/>
          <w:color w:val="auto"/>
          <w:szCs w:val="21"/>
          <w:highlight w:val="none"/>
        </w:rPr>
        <w:t>凡因本合同引起的或与本合同有关的任何争议，均提交甲方所在地有管辖权的人民法院裁决。</w:t>
      </w:r>
    </w:p>
    <w:p w14:paraId="0B708441">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u w:val="single"/>
        </w:rPr>
        <w:t xml:space="preserve">(2) </w:t>
      </w:r>
      <w:r>
        <w:rPr>
          <w:rFonts w:hint="eastAsia" w:ascii="宋体" w:hAnsi="宋体"/>
          <w:bCs/>
          <w:color w:val="auto"/>
          <w:szCs w:val="21"/>
          <w:highlight w:val="none"/>
        </w:rPr>
        <w:t>凡因本合同引起的或与本合同有关的任何争议，双方同意提交【东莞】仲裁委员会进行仲裁。仲裁裁决是终局的，对双方均有约束力。</w:t>
      </w:r>
    </w:p>
    <w:p w14:paraId="341C3DF0">
      <w:pPr>
        <w:pStyle w:val="15"/>
        <w:spacing w:line="500" w:lineRule="exact"/>
        <w:rPr>
          <w:rFonts w:hint="eastAsia" w:hAnsi="宋体"/>
          <w:b/>
          <w:color w:val="auto"/>
          <w:sz w:val="21"/>
          <w:highlight w:val="none"/>
        </w:rPr>
      </w:pPr>
      <w:r>
        <w:rPr>
          <w:rFonts w:hAnsi="宋体"/>
          <w:b/>
          <w:color w:val="auto"/>
          <w:sz w:val="21"/>
          <w:highlight w:val="none"/>
        </w:rPr>
        <w:t>十</w:t>
      </w:r>
      <w:r>
        <w:rPr>
          <w:rFonts w:hint="eastAsia" w:hAnsi="宋体"/>
          <w:b/>
          <w:color w:val="auto"/>
          <w:sz w:val="21"/>
          <w:highlight w:val="none"/>
        </w:rPr>
        <w:t>一</w:t>
      </w:r>
      <w:r>
        <w:rPr>
          <w:rFonts w:hAnsi="宋体"/>
          <w:b/>
          <w:color w:val="auto"/>
          <w:sz w:val="21"/>
          <w:highlight w:val="none"/>
        </w:rPr>
        <w:t>、</w:t>
      </w:r>
      <w:r>
        <w:rPr>
          <w:rFonts w:hint="eastAsia" w:hAnsi="宋体"/>
          <w:b/>
          <w:color w:val="auto"/>
          <w:sz w:val="21"/>
          <w:highlight w:val="none"/>
        </w:rPr>
        <w:t>通知</w:t>
      </w:r>
    </w:p>
    <w:p w14:paraId="6A25DFE0">
      <w:pPr>
        <w:spacing w:line="500" w:lineRule="exact"/>
        <w:ind w:firstLine="420" w:firstLineChars="200"/>
        <w:rPr>
          <w:rFonts w:ascii="宋体" w:hAnsi="宋体"/>
          <w:color w:val="auto"/>
          <w:szCs w:val="21"/>
          <w:highlight w:val="none"/>
        </w:rPr>
      </w:pPr>
      <w:r>
        <w:rPr>
          <w:rFonts w:ascii="宋体" w:hAnsi="宋体"/>
          <w:color w:val="auto"/>
          <w:szCs w:val="21"/>
          <w:highlight w:val="none"/>
        </w:rPr>
        <w:t>双方各自指定履行本合同的联系人，一方资料、文件之交接及意见之传达、接收均通过联系人进行。</w:t>
      </w:r>
    </w:p>
    <w:p w14:paraId="5247CD93">
      <w:pPr>
        <w:spacing w:line="500" w:lineRule="exact"/>
        <w:ind w:firstLine="420" w:firstLineChars="200"/>
        <w:rPr>
          <w:rFonts w:ascii="宋体" w:hAnsi="宋体"/>
          <w:color w:val="auto"/>
          <w:szCs w:val="21"/>
          <w:highlight w:val="none"/>
        </w:rPr>
      </w:pPr>
      <w:r>
        <w:rPr>
          <w:rFonts w:ascii="宋体" w:hAnsi="宋体"/>
          <w:color w:val="auto"/>
          <w:szCs w:val="21"/>
          <w:highlight w:val="none"/>
        </w:rPr>
        <w:t xml:space="preserve">甲方指定联系人：                                                        </w:t>
      </w:r>
    </w:p>
    <w:p w14:paraId="4229A041">
      <w:pPr>
        <w:spacing w:line="500" w:lineRule="exact"/>
        <w:ind w:firstLine="420" w:firstLineChars="200"/>
        <w:rPr>
          <w:rFonts w:ascii="宋体" w:hAnsi="宋体"/>
          <w:color w:val="auto"/>
          <w:szCs w:val="21"/>
          <w:highlight w:val="none"/>
        </w:rPr>
      </w:pPr>
      <w:r>
        <w:rPr>
          <w:rFonts w:ascii="宋体" w:hAnsi="宋体"/>
          <w:color w:val="auto"/>
          <w:szCs w:val="21"/>
          <w:highlight w:val="none"/>
        </w:rPr>
        <w:t>姓    名：____________________________________________________</w:t>
      </w:r>
    </w:p>
    <w:p w14:paraId="2AA786BE">
      <w:pPr>
        <w:spacing w:line="500" w:lineRule="exact"/>
        <w:ind w:firstLine="420" w:firstLineChars="200"/>
        <w:rPr>
          <w:rFonts w:ascii="宋体" w:hAnsi="宋体"/>
          <w:color w:val="auto"/>
          <w:szCs w:val="21"/>
          <w:highlight w:val="none"/>
        </w:rPr>
      </w:pPr>
      <w:r>
        <w:rPr>
          <w:rFonts w:ascii="宋体" w:hAnsi="宋体"/>
          <w:color w:val="auto"/>
          <w:szCs w:val="21"/>
          <w:highlight w:val="none"/>
        </w:rPr>
        <w:t>联系电话：___________________________________________________</w:t>
      </w:r>
    </w:p>
    <w:p w14:paraId="41D463B3">
      <w:pPr>
        <w:spacing w:line="500" w:lineRule="exact"/>
        <w:ind w:firstLine="420" w:firstLineChars="200"/>
        <w:rPr>
          <w:rFonts w:ascii="宋体" w:hAnsi="宋体"/>
          <w:color w:val="auto"/>
          <w:szCs w:val="21"/>
          <w:highlight w:val="none"/>
        </w:rPr>
      </w:pPr>
      <w:r>
        <w:rPr>
          <w:rFonts w:ascii="宋体" w:hAnsi="宋体"/>
          <w:color w:val="auto"/>
          <w:szCs w:val="21"/>
          <w:highlight w:val="none"/>
        </w:rPr>
        <w:t>电子邮箱：_____________________________________________________</w:t>
      </w:r>
    </w:p>
    <w:p w14:paraId="4712D4AB">
      <w:pPr>
        <w:spacing w:line="500" w:lineRule="exact"/>
        <w:ind w:firstLine="420" w:firstLineChars="200"/>
        <w:rPr>
          <w:rFonts w:hint="eastAsia" w:ascii="宋体" w:hAnsi="宋体"/>
          <w:color w:val="auto"/>
          <w:szCs w:val="21"/>
          <w:highlight w:val="none"/>
          <w:u w:val="single"/>
        </w:rPr>
      </w:pPr>
      <w:r>
        <w:rPr>
          <w:rFonts w:ascii="宋体" w:hAnsi="宋体"/>
          <w:color w:val="auto"/>
          <w:szCs w:val="21"/>
          <w:highlight w:val="none"/>
        </w:rPr>
        <w:t>通讯地址：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E6C10D3">
      <w:pPr>
        <w:spacing w:line="500" w:lineRule="exact"/>
        <w:ind w:firstLine="420" w:firstLineChars="200"/>
        <w:rPr>
          <w:rFonts w:ascii="宋体" w:hAnsi="宋体"/>
          <w:color w:val="auto"/>
          <w:szCs w:val="21"/>
          <w:highlight w:val="none"/>
        </w:rPr>
      </w:pPr>
      <w:r>
        <w:rPr>
          <w:rFonts w:hint="eastAsia"/>
          <w:color w:val="auto"/>
          <w:szCs w:val="21"/>
          <w:highlight w:val="none"/>
        </w:rPr>
        <w:t>甲方咨询投诉电话</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u w:val="single"/>
        </w:rPr>
        <w:t>0769-23366373</w:t>
      </w:r>
      <w:r>
        <w:rPr>
          <w:rFonts w:hint="eastAsia"/>
          <w:color w:val="auto"/>
          <w:szCs w:val="21"/>
          <w:highlight w:val="none"/>
          <w:u w:val="single"/>
          <w:lang w:val="en-US" w:eastAsia="zh-CN"/>
        </w:rPr>
        <w:t xml:space="preserve">                  </w:t>
      </w:r>
      <w:r>
        <w:rPr>
          <w:rFonts w:hint="eastAsia"/>
          <w:color w:val="auto"/>
          <w:szCs w:val="21"/>
          <w:highlight w:val="none"/>
        </w:rPr>
        <w:t xml:space="preserve">  </w:t>
      </w:r>
      <w:r>
        <w:rPr>
          <w:rFonts w:ascii="宋体" w:hAnsi="宋体"/>
          <w:color w:val="auto"/>
          <w:szCs w:val="21"/>
          <w:highlight w:val="none"/>
        </w:rPr>
        <w:t xml:space="preserve">    </w:t>
      </w:r>
    </w:p>
    <w:p w14:paraId="224D449A">
      <w:pPr>
        <w:spacing w:line="500" w:lineRule="exact"/>
        <w:ind w:firstLine="420" w:firstLineChars="200"/>
        <w:rPr>
          <w:rFonts w:ascii="宋体" w:hAnsi="宋体"/>
          <w:color w:val="auto"/>
          <w:szCs w:val="21"/>
          <w:highlight w:val="none"/>
        </w:rPr>
      </w:pPr>
      <w:r>
        <w:rPr>
          <w:rFonts w:ascii="宋体" w:hAnsi="宋体"/>
          <w:color w:val="auto"/>
          <w:szCs w:val="21"/>
          <w:highlight w:val="none"/>
        </w:rPr>
        <w:t xml:space="preserve">乙方指定联系人：                                                        </w:t>
      </w:r>
    </w:p>
    <w:p w14:paraId="1CCE026F">
      <w:pPr>
        <w:spacing w:line="500" w:lineRule="exact"/>
        <w:ind w:firstLine="420" w:firstLineChars="200"/>
        <w:rPr>
          <w:rFonts w:ascii="宋体" w:hAnsi="宋体"/>
          <w:color w:val="auto"/>
          <w:szCs w:val="21"/>
          <w:highlight w:val="none"/>
        </w:rPr>
      </w:pPr>
      <w:r>
        <w:rPr>
          <w:rFonts w:ascii="宋体" w:hAnsi="宋体"/>
          <w:color w:val="auto"/>
          <w:szCs w:val="21"/>
          <w:highlight w:val="none"/>
        </w:rPr>
        <w:t>姓    名：_____________________________________________________</w:t>
      </w:r>
    </w:p>
    <w:p w14:paraId="55BD29A6">
      <w:pPr>
        <w:spacing w:line="500" w:lineRule="exact"/>
        <w:ind w:firstLine="420" w:firstLineChars="200"/>
        <w:rPr>
          <w:rFonts w:ascii="宋体" w:hAnsi="宋体"/>
          <w:color w:val="auto"/>
          <w:szCs w:val="21"/>
          <w:highlight w:val="none"/>
        </w:rPr>
      </w:pPr>
      <w:r>
        <w:rPr>
          <w:rFonts w:ascii="宋体" w:hAnsi="宋体"/>
          <w:color w:val="auto"/>
          <w:szCs w:val="21"/>
          <w:highlight w:val="none"/>
        </w:rPr>
        <w:t>联系电话：_____________________________________________________</w:t>
      </w:r>
    </w:p>
    <w:p w14:paraId="1E24BE18">
      <w:pPr>
        <w:spacing w:line="500" w:lineRule="exact"/>
        <w:ind w:firstLine="420" w:firstLineChars="200"/>
        <w:rPr>
          <w:rFonts w:ascii="宋体" w:hAnsi="宋体"/>
          <w:color w:val="auto"/>
          <w:szCs w:val="21"/>
          <w:highlight w:val="none"/>
        </w:rPr>
      </w:pPr>
      <w:r>
        <w:rPr>
          <w:rFonts w:ascii="宋体" w:hAnsi="宋体"/>
          <w:color w:val="auto"/>
          <w:szCs w:val="21"/>
          <w:highlight w:val="none"/>
        </w:rPr>
        <w:t>电子邮箱：_____________________________________________________</w:t>
      </w:r>
    </w:p>
    <w:p w14:paraId="25BF53C1">
      <w:pPr>
        <w:spacing w:line="500" w:lineRule="exact"/>
        <w:ind w:left="464" w:leftChars="171" w:hanging="105" w:hangingChars="50"/>
        <w:rPr>
          <w:rFonts w:hint="eastAsia" w:ascii="宋体" w:hAnsi="宋体"/>
          <w:color w:val="auto"/>
          <w:szCs w:val="21"/>
          <w:highlight w:val="none"/>
        </w:rPr>
      </w:pPr>
      <w:r>
        <w:rPr>
          <w:rFonts w:ascii="宋体" w:hAnsi="宋体"/>
          <w:color w:val="auto"/>
          <w:szCs w:val="21"/>
          <w:highlight w:val="none"/>
        </w:rPr>
        <w:t>通讯地址：_____________________________________________________</w:t>
      </w:r>
    </w:p>
    <w:p w14:paraId="573E1B50">
      <w:pPr>
        <w:pStyle w:val="15"/>
        <w:spacing w:line="500" w:lineRule="exact"/>
        <w:rPr>
          <w:rFonts w:hAnsi="宋体"/>
          <w:b/>
          <w:color w:val="auto"/>
          <w:highlight w:val="none"/>
        </w:rPr>
      </w:pPr>
      <w:r>
        <w:rPr>
          <w:rFonts w:hAnsi="宋体"/>
          <w:b/>
          <w:color w:val="auto"/>
          <w:sz w:val="21"/>
          <w:highlight w:val="none"/>
        </w:rPr>
        <w:t>十</w:t>
      </w:r>
      <w:r>
        <w:rPr>
          <w:rFonts w:hint="eastAsia" w:hAnsi="宋体"/>
          <w:b/>
          <w:color w:val="auto"/>
          <w:sz w:val="21"/>
          <w:highlight w:val="none"/>
        </w:rPr>
        <w:t>二</w:t>
      </w:r>
      <w:r>
        <w:rPr>
          <w:rFonts w:hAnsi="宋体"/>
          <w:b/>
          <w:color w:val="auto"/>
          <w:sz w:val="21"/>
          <w:highlight w:val="none"/>
        </w:rPr>
        <w:t>、</w:t>
      </w:r>
      <w:r>
        <w:rPr>
          <w:rFonts w:hint="eastAsia" w:hAnsi="宋体"/>
          <w:b/>
          <w:color w:val="auto"/>
          <w:highlight w:val="none"/>
        </w:rPr>
        <w:t>其他</w:t>
      </w:r>
    </w:p>
    <w:p w14:paraId="40FCA6E0">
      <w:pPr>
        <w:adjustRightInd w:val="0"/>
        <w:snapToGrid w:val="0"/>
        <w:spacing w:line="52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本合同正文与下列附件共同构成本合同双方协商达成一致的全部内容：</w:t>
      </w:r>
    </w:p>
    <w:p w14:paraId="56D6A729">
      <w:pPr>
        <w:adjustRightInd w:val="0"/>
        <w:snapToGrid w:val="0"/>
        <w:spacing w:line="52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.服务团队人员名单</w:t>
      </w:r>
    </w:p>
    <w:p w14:paraId="60959B3C">
      <w:pPr>
        <w:adjustRightInd w:val="0"/>
        <w:snapToGrid w:val="0"/>
        <w:spacing w:line="520" w:lineRule="exact"/>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rPr>
        <w:t>.服务内容</w:t>
      </w:r>
      <w:r>
        <w:rPr>
          <w:rFonts w:hint="eastAsia" w:ascii="宋体" w:hAnsi="宋体"/>
          <w:color w:val="auto"/>
          <w:szCs w:val="21"/>
          <w:highlight w:val="none"/>
          <w:lang w:val="en-US" w:eastAsia="zh-CN"/>
        </w:rPr>
        <w:t>及范围</w:t>
      </w:r>
    </w:p>
    <w:p w14:paraId="4BCCF159">
      <w:pPr>
        <w:adjustRightInd w:val="0"/>
        <w:snapToGrid w:val="0"/>
        <w:spacing w:line="520" w:lineRule="exact"/>
        <w:ind w:firstLine="420" w:firstLineChars="200"/>
        <w:rPr>
          <w:rFonts w:hint="eastAsia" w:hAnsi="宋体"/>
          <w:bCs/>
          <w:color w:val="auto"/>
          <w:highlight w:val="none"/>
        </w:rPr>
      </w:pPr>
      <w:r>
        <w:rPr>
          <w:rFonts w:ascii="宋体" w:hAnsi="宋体"/>
          <w:color w:val="auto"/>
          <w:szCs w:val="21"/>
          <w:highlight w:val="none"/>
        </w:rPr>
        <w:t>3</w:t>
      </w:r>
      <w:r>
        <w:rPr>
          <w:rFonts w:hint="eastAsia" w:ascii="宋体" w:hAnsi="宋体"/>
          <w:color w:val="auto"/>
          <w:szCs w:val="21"/>
          <w:highlight w:val="none"/>
        </w:rPr>
        <w:t>.</w:t>
      </w:r>
      <w:r>
        <w:rPr>
          <w:rFonts w:hint="eastAsia" w:hAnsi="宋体"/>
          <w:bCs/>
          <w:color w:val="auto"/>
          <w:highlight w:val="none"/>
        </w:rPr>
        <w:t>报告接收确认单/工作成果确认单</w:t>
      </w:r>
    </w:p>
    <w:p w14:paraId="73A4B842">
      <w:pPr>
        <w:adjustRightInd w:val="0"/>
        <w:snapToGrid w:val="0"/>
        <w:spacing w:line="520" w:lineRule="exact"/>
        <w:ind w:firstLine="420" w:firstLineChars="200"/>
        <w:rPr>
          <w:rFonts w:hint="eastAsia" w:hAnsi="宋体"/>
          <w:bCs/>
          <w:color w:val="auto"/>
          <w:highlight w:val="none"/>
          <w:lang w:bidi="ar"/>
        </w:rPr>
      </w:pPr>
      <w:r>
        <w:rPr>
          <w:rFonts w:hint="eastAsia" w:ascii="宋体" w:hAnsi="宋体"/>
          <w:color w:val="auto"/>
          <w:szCs w:val="21"/>
          <w:highlight w:val="none"/>
        </w:rPr>
        <w:t>4.</w:t>
      </w:r>
      <w:r>
        <w:rPr>
          <w:rFonts w:hint="eastAsia" w:hAnsi="宋体"/>
          <w:bCs/>
          <w:color w:val="auto"/>
          <w:highlight w:val="none"/>
        </w:rPr>
        <w:t>阳光合作协议</w:t>
      </w:r>
    </w:p>
    <w:p w14:paraId="18F11CB8">
      <w:pPr>
        <w:adjustRightInd w:val="0"/>
        <w:snapToGrid w:val="0"/>
        <w:spacing w:line="520" w:lineRule="exact"/>
        <w:ind w:firstLine="420" w:firstLineChars="200"/>
        <w:rPr>
          <w:rFonts w:hint="eastAsia" w:hAnsi="宋体"/>
          <w:bCs/>
          <w:color w:val="auto"/>
          <w:highlight w:val="none"/>
        </w:rPr>
      </w:pPr>
      <w:r>
        <w:rPr>
          <w:rFonts w:hint="eastAsia" w:ascii="宋体" w:hAnsi="宋体"/>
          <w:color w:val="auto"/>
          <w:szCs w:val="21"/>
          <w:highlight w:val="none"/>
        </w:rPr>
        <w:t>5.</w:t>
      </w:r>
      <w:r>
        <w:rPr>
          <w:rFonts w:hint="eastAsia" w:hAnsi="宋体"/>
          <w:bCs/>
          <w:color w:val="auto"/>
          <w:highlight w:val="none"/>
          <w:lang w:bidi="ar"/>
        </w:rPr>
        <w:t>中标通知书</w:t>
      </w:r>
    </w:p>
    <w:p w14:paraId="43C96DDA">
      <w:pPr>
        <w:adjustRightInd w:val="0"/>
        <w:snapToGrid w:val="0"/>
        <w:spacing w:line="520" w:lineRule="exact"/>
        <w:ind w:firstLine="420" w:firstLineChars="200"/>
        <w:rPr>
          <w:rFonts w:hint="eastAsia" w:hAnsi="宋体"/>
          <w:bCs/>
          <w:color w:val="auto"/>
          <w:highlight w:val="none"/>
          <w:lang w:bidi="ar"/>
        </w:rPr>
      </w:pPr>
      <w:r>
        <w:rPr>
          <w:rFonts w:hint="eastAsia" w:ascii="宋体" w:hAnsi="宋体"/>
          <w:color w:val="auto"/>
          <w:szCs w:val="21"/>
          <w:highlight w:val="none"/>
        </w:rPr>
        <w:t>6.</w:t>
      </w:r>
      <w:r>
        <w:rPr>
          <w:rFonts w:hint="eastAsia" w:hAnsi="宋体"/>
          <w:bCs/>
          <w:color w:val="auto"/>
          <w:highlight w:val="none"/>
          <w:lang w:bidi="ar"/>
        </w:rPr>
        <w:t>响应文件</w:t>
      </w:r>
    </w:p>
    <w:p w14:paraId="304181B6">
      <w:pPr>
        <w:adjustRightInd w:val="0"/>
        <w:snapToGrid w:val="0"/>
        <w:spacing w:line="520" w:lineRule="exact"/>
        <w:ind w:firstLine="420" w:firstLineChars="200"/>
        <w:rPr>
          <w:rFonts w:hint="eastAsia" w:hAnsi="宋体"/>
          <w:bCs/>
          <w:color w:val="auto"/>
          <w:highlight w:val="none"/>
          <w:lang w:bidi="ar"/>
        </w:rPr>
      </w:pPr>
      <w:r>
        <w:rPr>
          <w:rFonts w:hint="eastAsia" w:ascii="宋体" w:hAnsi="宋体"/>
          <w:color w:val="auto"/>
          <w:szCs w:val="21"/>
          <w:highlight w:val="none"/>
        </w:rPr>
        <w:t>7.</w:t>
      </w:r>
      <w:r>
        <w:rPr>
          <w:rFonts w:hint="eastAsia" w:hAnsi="宋体"/>
          <w:bCs/>
          <w:color w:val="auto"/>
          <w:highlight w:val="none"/>
          <w:lang w:bidi="ar"/>
        </w:rPr>
        <w:t>采购文件</w:t>
      </w:r>
    </w:p>
    <w:p w14:paraId="38F9948A">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12.2本合同未尽事宜，经双方平等友好协商一致，可签订补充协议。</w:t>
      </w:r>
    </w:p>
    <w:p w14:paraId="60301521">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12.3本合同自双方有权代表签字、单位盖章后生效。</w:t>
      </w:r>
    </w:p>
    <w:p w14:paraId="1E63609C">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12.4本合同一式【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】份，甲方执【</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】份，乙方执【</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】份，各份具有同等法律效力。</w:t>
      </w:r>
    </w:p>
    <w:p w14:paraId="3A8252C9">
      <w:pPr>
        <w:adjustRightInd w:val="0"/>
        <w:snapToGrid w:val="0"/>
        <w:spacing w:line="520" w:lineRule="exact"/>
        <w:ind w:firstLine="420" w:firstLineChars="200"/>
        <w:rPr>
          <w:rFonts w:ascii="宋体" w:hAnsi="宋体"/>
          <w:color w:val="auto"/>
          <w:szCs w:val="21"/>
          <w:highlight w:val="none"/>
        </w:rPr>
      </w:pPr>
      <w:r>
        <w:rPr>
          <w:rFonts w:ascii="宋体" w:hAnsi="宋体"/>
          <w:color w:val="auto"/>
          <w:szCs w:val="21"/>
          <w:highlight w:val="none"/>
        </w:rPr>
        <w:t>（以下无正文）</w:t>
      </w:r>
    </w:p>
    <w:p w14:paraId="315C3319">
      <w:pPr>
        <w:spacing w:line="500" w:lineRule="exact"/>
        <w:ind w:firstLine="420" w:firstLineChars="200"/>
        <w:rPr>
          <w:rFonts w:ascii="宋体" w:hAnsi="宋体"/>
          <w:color w:val="auto"/>
          <w:szCs w:val="21"/>
          <w:highlight w:val="none"/>
        </w:rPr>
      </w:pPr>
    </w:p>
    <w:p w14:paraId="7725097C">
      <w:pPr>
        <w:pStyle w:val="15"/>
        <w:spacing w:line="500" w:lineRule="exact"/>
        <w:rPr>
          <w:rFonts w:hAnsi="宋体"/>
          <w:bCs/>
          <w:color w:val="auto"/>
          <w:sz w:val="21"/>
          <w:highlight w:val="none"/>
        </w:rPr>
      </w:pPr>
    </w:p>
    <w:tbl>
      <w:tblPr>
        <w:tblStyle w:val="26"/>
        <w:tblW w:w="10051" w:type="dxa"/>
        <w:jc w:val="center"/>
        <w:tblLayout w:type="fixed"/>
        <w:tblCellMar>
          <w:top w:w="0" w:type="dxa"/>
          <w:left w:w="108" w:type="dxa"/>
          <w:bottom w:w="0" w:type="dxa"/>
          <w:right w:w="108" w:type="dxa"/>
        </w:tblCellMar>
      </w:tblPr>
      <w:tblGrid>
        <w:gridCol w:w="1286"/>
        <w:gridCol w:w="855"/>
        <w:gridCol w:w="950"/>
        <w:gridCol w:w="2116"/>
        <w:gridCol w:w="1066"/>
        <w:gridCol w:w="1094"/>
        <w:gridCol w:w="686"/>
        <w:gridCol w:w="1998"/>
      </w:tblGrid>
      <w:tr w14:paraId="2A872710">
        <w:tblPrEx>
          <w:tblCellMar>
            <w:top w:w="0" w:type="dxa"/>
            <w:left w:w="108" w:type="dxa"/>
            <w:bottom w:w="0" w:type="dxa"/>
            <w:right w:w="108" w:type="dxa"/>
          </w:tblCellMar>
        </w:tblPrEx>
        <w:trPr>
          <w:cantSplit/>
          <w:jc w:val="center"/>
        </w:trPr>
        <w:tc>
          <w:tcPr>
            <w:tcW w:w="1286" w:type="dxa"/>
            <w:noWrap w:val="0"/>
            <w:vAlign w:val="top"/>
          </w:tcPr>
          <w:p w14:paraId="610F2573">
            <w:pPr>
              <w:spacing w:line="500" w:lineRule="exact"/>
              <w:rPr>
                <w:rFonts w:ascii="宋体" w:hAnsi="宋体"/>
                <w:b/>
                <w:bCs/>
                <w:color w:val="auto"/>
                <w:szCs w:val="21"/>
                <w:highlight w:val="none"/>
              </w:rPr>
            </w:pPr>
            <w:r>
              <w:rPr>
                <w:rFonts w:hint="eastAsia" w:ascii="宋体" w:hAnsi="宋体"/>
                <w:b/>
                <w:bCs/>
                <w:color w:val="auto"/>
                <w:szCs w:val="21"/>
                <w:highlight w:val="none"/>
              </w:rPr>
              <w:t>甲</w:t>
            </w:r>
            <w:r>
              <w:rPr>
                <w:rFonts w:ascii="宋体" w:hAnsi="宋体"/>
                <w:b/>
                <w:bCs/>
                <w:color w:val="auto"/>
                <w:szCs w:val="21"/>
                <w:highlight w:val="none"/>
              </w:rPr>
              <w:t xml:space="preserve"> </w:t>
            </w:r>
            <w:r>
              <w:rPr>
                <w:rFonts w:hint="eastAsia" w:ascii="宋体" w:hAnsi="宋体"/>
                <w:b/>
                <w:bCs/>
                <w:color w:val="auto"/>
                <w:szCs w:val="21"/>
                <w:highlight w:val="none"/>
              </w:rPr>
              <w:t xml:space="preserve"> </w:t>
            </w:r>
            <w:r>
              <w:rPr>
                <w:rFonts w:ascii="宋体" w:hAnsi="宋体"/>
                <w:b/>
                <w:bCs/>
                <w:color w:val="auto"/>
                <w:szCs w:val="21"/>
                <w:highlight w:val="none"/>
              </w:rPr>
              <w:t xml:space="preserve"> 方：</w:t>
            </w:r>
          </w:p>
          <w:p w14:paraId="49306FE4">
            <w:pPr>
              <w:spacing w:line="500" w:lineRule="exact"/>
              <w:rPr>
                <w:rFonts w:ascii="宋体" w:hAnsi="宋体"/>
                <w:b/>
                <w:bCs/>
                <w:color w:val="auto"/>
                <w:szCs w:val="21"/>
                <w:highlight w:val="none"/>
              </w:rPr>
            </w:pPr>
            <w:r>
              <w:rPr>
                <w:rFonts w:hint="eastAsia" w:ascii="宋体" w:hAnsi="宋体"/>
                <w:b/>
                <w:bCs/>
                <w:color w:val="auto"/>
                <w:szCs w:val="21"/>
                <w:highlight w:val="none"/>
              </w:rPr>
              <w:t>地   址：</w:t>
            </w:r>
          </w:p>
        </w:tc>
        <w:tc>
          <w:tcPr>
            <w:tcW w:w="3921" w:type="dxa"/>
            <w:gridSpan w:val="3"/>
            <w:noWrap w:val="0"/>
            <w:vAlign w:val="top"/>
          </w:tcPr>
          <w:p w14:paraId="4B7CFB12">
            <w:pPr>
              <w:spacing w:line="500" w:lineRule="exact"/>
              <w:rPr>
                <w:rFonts w:ascii="宋体" w:hAnsi="宋体"/>
                <w:b/>
                <w:color w:val="auto"/>
                <w:szCs w:val="21"/>
                <w:highlight w:val="none"/>
              </w:rPr>
            </w:pPr>
          </w:p>
        </w:tc>
        <w:tc>
          <w:tcPr>
            <w:tcW w:w="1066" w:type="dxa"/>
            <w:noWrap w:val="0"/>
            <w:vAlign w:val="top"/>
          </w:tcPr>
          <w:p w14:paraId="5F8AC532">
            <w:pPr>
              <w:spacing w:line="500" w:lineRule="exact"/>
              <w:rPr>
                <w:rFonts w:ascii="宋体" w:hAnsi="宋体"/>
                <w:b/>
                <w:bCs/>
                <w:color w:val="auto"/>
                <w:szCs w:val="21"/>
                <w:highlight w:val="none"/>
              </w:rPr>
            </w:pPr>
            <w:r>
              <w:rPr>
                <w:rFonts w:hint="eastAsia" w:ascii="宋体" w:hAnsi="宋体"/>
                <w:b/>
                <w:bCs/>
                <w:color w:val="auto"/>
                <w:szCs w:val="21"/>
                <w:highlight w:val="none"/>
              </w:rPr>
              <w:t>乙</w:t>
            </w:r>
            <w:r>
              <w:rPr>
                <w:rFonts w:ascii="宋体" w:hAnsi="宋体"/>
                <w:b/>
                <w:bCs/>
                <w:color w:val="auto"/>
                <w:szCs w:val="21"/>
                <w:highlight w:val="none"/>
              </w:rPr>
              <w:t xml:space="preserve">  方：</w:t>
            </w:r>
          </w:p>
          <w:p w14:paraId="6AEE192D">
            <w:pPr>
              <w:spacing w:line="500" w:lineRule="exact"/>
              <w:rPr>
                <w:rFonts w:ascii="宋体" w:hAnsi="宋体"/>
                <w:b/>
                <w:bCs/>
                <w:color w:val="auto"/>
                <w:szCs w:val="21"/>
                <w:highlight w:val="none"/>
              </w:rPr>
            </w:pPr>
            <w:r>
              <w:rPr>
                <w:rFonts w:hint="eastAsia" w:ascii="宋体" w:hAnsi="宋体"/>
                <w:b/>
                <w:bCs/>
                <w:color w:val="auto"/>
                <w:szCs w:val="21"/>
                <w:highlight w:val="none"/>
              </w:rPr>
              <w:t>地  址：</w:t>
            </w:r>
          </w:p>
        </w:tc>
        <w:tc>
          <w:tcPr>
            <w:tcW w:w="3778" w:type="dxa"/>
            <w:gridSpan w:val="3"/>
            <w:noWrap w:val="0"/>
            <w:vAlign w:val="top"/>
          </w:tcPr>
          <w:p w14:paraId="59DE4BCA">
            <w:pPr>
              <w:spacing w:line="500" w:lineRule="exact"/>
              <w:rPr>
                <w:rFonts w:ascii="宋体" w:hAnsi="宋体"/>
                <w:b/>
                <w:bCs/>
                <w:color w:val="auto"/>
                <w:szCs w:val="21"/>
                <w:highlight w:val="none"/>
              </w:rPr>
            </w:pPr>
          </w:p>
        </w:tc>
      </w:tr>
      <w:tr w14:paraId="3F7A2A28">
        <w:tblPrEx>
          <w:tblCellMar>
            <w:top w:w="0" w:type="dxa"/>
            <w:left w:w="108" w:type="dxa"/>
            <w:bottom w:w="0" w:type="dxa"/>
            <w:right w:w="108" w:type="dxa"/>
          </w:tblCellMar>
        </w:tblPrEx>
        <w:trPr>
          <w:trHeight w:val="432" w:hRule="atLeast"/>
          <w:jc w:val="center"/>
        </w:trPr>
        <w:tc>
          <w:tcPr>
            <w:tcW w:w="3091" w:type="dxa"/>
            <w:gridSpan w:val="3"/>
            <w:noWrap w:val="0"/>
            <w:vAlign w:val="top"/>
          </w:tcPr>
          <w:p w14:paraId="3D24ECF9">
            <w:pPr>
              <w:spacing w:line="500" w:lineRule="exact"/>
              <w:rPr>
                <w:rFonts w:ascii="宋体" w:hAnsi="宋体"/>
                <w:b/>
                <w:bCs/>
                <w:color w:val="auto"/>
                <w:szCs w:val="21"/>
                <w:highlight w:val="none"/>
              </w:rPr>
            </w:pPr>
            <w:r>
              <w:rPr>
                <w:rFonts w:hint="eastAsia" w:ascii="宋体" w:hAnsi="宋体"/>
                <w:b/>
                <w:bCs/>
                <w:color w:val="auto"/>
                <w:szCs w:val="21"/>
                <w:highlight w:val="none"/>
              </w:rPr>
              <w:t>法定代表人（或委托代理人）：</w:t>
            </w:r>
          </w:p>
        </w:tc>
        <w:tc>
          <w:tcPr>
            <w:tcW w:w="2116" w:type="dxa"/>
            <w:noWrap w:val="0"/>
            <w:vAlign w:val="top"/>
          </w:tcPr>
          <w:p w14:paraId="30BED178">
            <w:pPr>
              <w:spacing w:line="500" w:lineRule="exact"/>
              <w:rPr>
                <w:rFonts w:ascii="宋体" w:hAnsi="宋体"/>
                <w:b/>
                <w:bCs/>
                <w:color w:val="auto"/>
                <w:szCs w:val="21"/>
                <w:highlight w:val="none"/>
              </w:rPr>
            </w:pPr>
          </w:p>
        </w:tc>
        <w:tc>
          <w:tcPr>
            <w:tcW w:w="2846" w:type="dxa"/>
            <w:gridSpan w:val="3"/>
            <w:noWrap w:val="0"/>
            <w:vAlign w:val="top"/>
          </w:tcPr>
          <w:p w14:paraId="0CCBC2A8">
            <w:pPr>
              <w:spacing w:line="500" w:lineRule="exact"/>
              <w:rPr>
                <w:rFonts w:ascii="宋体" w:hAnsi="宋体"/>
                <w:b/>
                <w:bCs/>
                <w:color w:val="auto"/>
                <w:szCs w:val="21"/>
                <w:highlight w:val="none"/>
              </w:rPr>
            </w:pPr>
            <w:r>
              <w:rPr>
                <w:rFonts w:hint="eastAsia" w:ascii="宋体" w:hAnsi="宋体"/>
                <w:b/>
                <w:bCs/>
                <w:color w:val="auto"/>
                <w:szCs w:val="21"/>
                <w:highlight w:val="none"/>
              </w:rPr>
              <w:t>法定代表人（或委托代理人）：</w:t>
            </w:r>
          </w:p>
        </w:tc>
        <w:tc>
          <w:tcPr>
            <w:tcW w:w="1998" w:type="dxa"/>
            <w:noWrap w:val="0"/>
            <w:vAlign w:val="top"/>
          </w:tcPr>
          <w:p w14:paraId="23312CD6">
            <w:pPr>
              <w:spacing w:line="500" w:lineRule="exact"/>
              <w:rPr>
                <w:rFonts w:ascii="宋体" w:hAnsi="宋体"/>
                <w:b/>
                <w:bCs/>
                <w:color w:val="auto"/>
                <w:szCs w:val="21"/>
                <w:highlight w:val="none"/>
              </w:rPr>
            </w:pPr>
          </w:p>
        </w:tc>
      </w:tr>
      <w:tr w14:paraId="3EFDC88A">
        <w:tblPrEx>
          <w:tblCellMar>
            <w:top w:w="0" w:type="dxa"/>
            <w:left w:w="108" w:type="dxa"/>
            <w:bottom w:w="0" w:type="dxa"/>
            <w:right w:w="108" w:type="dxa"/>
          </w:tblCellMar>
        </w:tblPrEx>
        <w:trPr>
          <w:jc w:val="center"/>
        </w:trPr>
        <w:tc>
          <w:tcPr>
            <w:tcW w:w="2141" w:type="dxa"/>
            <w:gridSpan w:val="2"/>
            <w:noWrap w:val="0"/>
            <w:vAlign w:val="top"/>
          </w:tcPr>
          <w:p w14:paraId="31E9DB95">
            <w:pPr>
              <w:spacing w:line="500" w:lineRule="exact"/>
              <w:rPr>
                <w:rFonts w:ascii="宋体" w:hAnsi="宋体"/>
                <w:b/>
                <w:bCs/>
                <w:color w:val="auto"/>
                <w:szCs w:val="21"/>
                <w:highlight w:val="none"/>
              </w:rPr>
            </w:pPr>
          </w:p>
        </w:tc>
        <w:tc>
          <w:tcPr>
            <w:tcW w:w="3066" w:type="dxa"/>
            <w:gridSpan w:val="2"/>
            <w:noWrap w:val="0"/>
            <w:vAlign w:val="top"/>
          </w:tcPr>
          <w:p w14:paraId="17844B83">
            <w:pPr>
              <w:spacing w:line="500" w:lineRule="exact"/>
              <w:rPr>
                <w:rFonts w:ascii="宋体" w:hAnsi="宋体"/>
                <w:b/>
                <w:bCs/>
                <w:color w:val="auto"/>
                <w:szCs w:val="21"/>
                <w:highlight w:val="none"/>
              </w:rPr>
            </w:pPr>
          </w:p>
        </w:tc>
        <w:tc>
          <w:tcPr>
            <w:tcW w:w="2160" w:type="dxa"/>
            <w:gridSpan w:val="2"/>
            <w:noWrap w:val="0"/>
            <w:vAlign w:val="top"/>
          </w:tcPr>
          <w:p w14:paraId="368640F0">
            <w:pPr>
              <w:spacing w:line="500" w:lineRule="exact"/>
              <w:rPr>
                <w:rFonts w:ascii="宋体" w:hAnsi="宋体"/>
                <w:b/>
                <w:bCs/>
                <w:color w:val="auto"/>
                <w:szCs w:val="21"/>
                <w:highlight w:val="none"/>
              </w:rPr>
            </w:pPr>
          </w:p>
        </w:tc>
        <w:tc>
          <w:tcPr>
            <w:tcW w:w="2684" w:type="dxa"/>
            <w:gridSpan w:val="2"/>
            <w:noWrap w:val="0"/>
            <w:vAlign w:val="top"/>
          </w:tcPr>
          <w:p w14:paraId="363F239D">
            <w:pPr>
              <w:spacing w:line="500" w:lineRule="exact"/>
              <w:rPr>
                <w:rFonts w:ascii="宋体" w:hAnsi="宋体"/>
                <w:b/>
                <w:bCs/>
                <w:color w:val="auto"/>
                <w:szCs w:val="21"/>
                <w:highlight w:val="none"/>
              </w:rPr>
            </w:pPr>
          </w:p>
        </w:tc>
      </w:tr>
      <w:tr w14:paraId="25FF519D">
        <w:tblPrEx>
          <w:tblCellMar>
            <w:top w:w="0" w:type="dxa"/>
            <w:left w:w="108" w:type="dxa"/>
            <w:bottom w:w="0" w:type="dxa"/>
            <w:right w:w="108" w:type="dxa"/>
          </w:tblCellMar>
        </w:tblPrEx>
        <w:trPr>
          <w:trHeight w:val="80" w:hRule="atLeast"/>
          <w:jc w:val="center"/>
        </w:trPr>
        <w:tc>
          <w:tcPr>
            <w:tcW w:w="2141" w:type="dxa"/>
            <w:gridSpan w:val="2"/>
            <w:noWrap w:val="0"/>
            <w:vAlign w:val="top"/>
          </w:tcPr>
          <w:p w14:paraId="4B1B5A49">
            <w:pPr>
              <w:spacing w:line="500" w:lineRule="exact"/>
              <w:rPr>
                <w:rFonts w:ascii="宋体" w:hAnsi="宋体"/>
                <w:b/>
                <w:bCs/>
                <w:color w:val="auto"/>
                <w:szCs w:val="21"/>
                <w:highlight w:val="none"/>
              </w:rPr>
            </w:pPr>
            <w:r>
              <w:rPr>
                <w:rFonts w:hint="eastAsia" w:ascii="宋体" w:hAnsi="宋体"/>
                <w:b/>
                <w:bCs/>
                <w:color w:val="auto"/>
                <w:szCs w:val="21"/>
                <w:highlight w:val="none"/>
              </w:rPr>
              <w:t>日   期：</w:t>
            </w:r>
          </w:p>
        </w:tc>
        <w:tc>
          <w:tcPr>
            <w:tcW w:w="3066" w:type="dxa"/>
            <w:gridSpan w:val="2"/>
            <w:noWrap w:val="0"/>
            <w:vAlign w:val="center"/>
          </w:tcPr>
          <w:p w14:paraId="1F7915A7">
            <w:pPr>
              <w:spacing w:line="500" w:lineRule="exact"/>
              <w:rPr>
                <w:rFonts w:ascii="宋体" w:hAnsi="宋体"/>
                <w:b/>
                <w:bCs/>
                <w:color w:val="auto"/>
                <w:szCs w:val="21"/>
                <w:highlight w:val="none"/>
              </w:rPr>
            </w:pPr>
            <w:r>
              <w:rPr>
                <w:rFonts w:hint="eastAsia" w:ascii="宋体" w:hAnsi="宋体"/>
                <w:b/>
                <w:bCs/>
                <w:color w:val="auto"/>
                <w:szCs w:val="21"/>
                <w:highlight w:val="none"/>
              </w:rPr>
              <w:t>年</w:t>
            </w:r>
            <w:r>
              <w:rPr>
                <w:rFonts w:ascii="宋体" w:hAnsi="宋体"/>
                <w:b/>
                <w:bCs/>
                <w:color w:val="auto"/>
                <w:szCs w:val="21"/>
                <w:highlight w:val="none"/>
              </w:rPr>
              <w:t xml:space="preserve">    </w:t>
            </w:r>
            <w:r>
              <w:rPr>
                <w:rFonts w:hint="eastAsia" w:ascii="宋体" w:hAnsi="宋体"/>
                <w:b/>
                <w:bCs/>
                <w:color w:val="auto"/>
                <w:szCs w:val="21"/>
                <w:highlight w:val="none"/>
              </w:rPr>
              <w:t>月</w:t>
            </w:r>
            <w:r>
              <w:rPr>
                <w:rFonts w:ascii="宋体" w:hAnsi="宋体"/>
                <w:b/>
                <w:bCs/>
                <w:color w:val="auto"/>
                <w:szCs w:val="21"/>
                <w:highlight w:val="none"/>
              </w:rPr>
              <w:t xml:space="preserve">    </w:t>
            </w:r>
            <w:r>
              <w:rPr>
                <w:rFonts w:hint="eastAsia" w:ascii="宋体" w:hAnsi="宋体"/>
                <w:b/>
                <w:bCs/>
                <w:color w:val="auto"/>
                <w:szCs w:val="21"/>
                <w:highlight w:val="none"/>
              </w:rPr>
              <w:t>日</w:t>
            </w:r>
          </w:p>
        </w:tc>
        <w:tc>
          <w:tcPr>
            <w:tcW w:w="2160" w:type="dxa"/>
            <w:gridSpan w:val="2"/>
            <w:noWrap w:val="0"/>
            <w:vAlign w:val="top"/>
          </w:tcPr>
          <w:p w14:paraId="70E66402">
            <w:pPr>
              <w:spacing w:line="500" w:lineRule="exact"/>
              <w:rPr>
                <w:rFonts w:ascii="宋体" w:hAnsi="宋体"/>
                <w:b/>
                <w:bCs/>
                <w:color w:val="auto"/>
                <w:szCs w:val="21"/>
                <w:highlight w:val="none"/>
              </w:rPr>
            </w:pPr>
            <w:r>
              <w:rPr>
                <w:rFonts w:hint="eastAsia" w:ascii="宋体" w:hAnsi="宋体"/>
                <w:b/>
                <w:bCs/>
                <w:color w:val="auto"/>
                <w:szCs w:val="21"/>
                <w:highlight w:val="none"/>
              </w:rPr>
              <w:t>日   期：</w:t>
            </w:r>
          </w:p>
        </w:tc>
        <w:tc>
          <w:tcPr>
            <w:tcW w:w="2684" w:type="dxa"/>
            <w:gridSpan w:val="2"/>
            <w:noWrap w:val="0"/>
            <w:vAlign w:val="center"/>
          </w:tcPr>
          <w:p w14:paraId="50A03E41">
            <w:pPr>
              <w:spacing w:line="500" w:lineRule="exact"/>
              <w:ind w:right="420"/>
              <w:rPr>
                <w:rFonts w:ascii="宋体" w:hAnsi="宋体"/>
                <w:b/>
                <w:bCs/>
                <w:color w:val="auto"/>
                <w:szCs w:val="21"/>
                <w:highlight w:val="none"/>
              </w:rPr>
            </w:pPr>
            <w:r>
              <w:rPr>
                <w:rFonts w:hint="eastAsia" w:ascii="宋体" w:hAnsi="宋体"/>
                <w:b/>
                <w:bCs/>
                <w:color w:val="auto"/>
                <w:szCs w:val="21"/>
                <w:highlight w:val="none"/>
              </w:rPr>
              <w:t>年</w:t>
            </w:r>
            <w:r>
              <w:rPr>
                <w:rFonts w:ascii="宋体" w:hAnsi="宋体"/>
                <w:b/>
                <w:bCs/>
                <w:color w:val="auto"/>
                <w:szCs w:val="21"/>
                <w:highlight w:val="none"/>
              </w:rPr>
              <w:t xml:space="preserve">    </w:t>
            </w:r>
            <w:r>
              <w:rPr>
                <w:rFonts w:hint="eastAsia" w:ascii="宋体" w:hAnsi="宋体"/>
                <w:b/>
                <w:bCs/>
                <w:color w:val="auto"/>
                <w:szCs w:val="21"/>
                <w:highlight w:val="none"/>
              </w:rPr>
              <w:t>月</w:t>
            </w:r>
            <w:r>
              <w:rPr>
                <w:rFonts w:ascii="宋体" w:hAnsi="宋体"/>
                <w:b/>
                <w:bCs/>
                <w:color w:val="auto"/>
                <w:szCs w:val="21"/>
                <w:highlight w:val="none"/>
              </w:rPr>
              <w:t xml:space="preserve">    </w:t>
            </w:r>
            <w:r>
              <w:rPr>
                <w:rFonts w:hint="eastAsia" w:ascii="宋体" w:hAnsi="宋体"/>
                <w:b/>
                <w:bCs/>
                <w:color w:val="auto"/>
                <w:szCs w:val="21"/>
                <w:highlight w:val="none"/>
              </w:rPr>
              <w:t>日</w:t>
            </w:r>
          </w:p>
        </w:tc>
      </w:tr>
    </w:tbl>
    <w:p w14:paraId="75BE90F7">
      <w:pPr>
        <w:widowControl/>
        <w:jc w:val="left"/>
        <w:rPr>
          <w:rFonts w:cs="宋体"/>
          <w:color w:val="auto"/>
          <w:szCs w:val="21"/>
          <w:highlight w:val="none"/>
        </w:rPr>
      </w:pPr>
    </w:p>
    <w:p w14:paraId="67B50D29">
      <w:pPr>
        <w:widowControl/>
        <w:jc w:val="left"/>
        <w:rPr>
          <w:rFonts w:cs="宋体"/>
          <w:color w:val="auto"/>
          <w:szCs w:val="21"/>
          <w:highlight w:val="none"/>
        </w:rPr>
      </w:pPr>
    </w:p>
    <w:p w14:paraId="6EB4166F">
      <w:pPr>
        <w:widowControl/>
        <w:jc w:val="left"/>
        <w:rPr>
          <w:rFonts w:cs="宋体"/>
          <w:color w:val="auto"/>
          <w:szCs w:val="21"/>
          <w:highlight w:val="none"/>
        </w:rPr>
      </w:pPr>
    </w:p>
    <w:p w14:paraId="2EC302D1">
      <w:pPr>
        <w:widowControl/>
        <w:jc w:val="left"/>
        <w:rPr>
          <w:rFonts w:cs="宋体"/>
          <w:color w:val="auto"/>
          <w:szCs w:val="21"/>
          <w:highlight w:val="none"/>
        </w:rPr>
      </w:pPr>
    </w:p>
    <w:p w14:paraId="3A56F9B1">
      <w:pPr>
        <w:widowControl/>
        <w:jc w:val="left"/>
        <w:rPr>
          <w:rFonts w:cs="宋体"/>
          <w:color w:val="auto"/>
          <w:szCs w:val="21"/>
          <w:highlight w:val="none"/>
        </w:rPr>
      </w:pPr>
    </w:p>
    <w:p w14:paraId="6BB23C87">
      <w:pPr>
        <w:rPr>
          <w:rFonts w:ascii="微软雅黑" w:hAnsi="微软雅黑" w:eastAsia="微软雅黑" w:cs="微软雅黑"/>
          <w:color w:val="auto"/>
          <w:sz w:val="28"/>
          <w:szCs w:val="28"/>
          <w:highlight w:val="none"/>
        </w:rPr>
      </w:pPr>
    </w:p>
    <w:p w14:paraId="27E78795">
      <w:pPr>
        <w:adjustRightInd w:val="0"/>
        <w:snapToGrid w:val="0"/>
        <w:spacing w:line="52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附件</w:t>
      </w:r>
      <w:r>
        <w:rPr>
          <w:rFonts w:ascii="宋体" w:hAnsi="宋体" w:cs="宋体"/>
          <w:bCs/>
          <w:color w:val="auto"/>
          <w:sz w:val="24"/>
          <w:szCs w:val="24"/>
          <w:highlight w:val="none"/>
        </w:rPr>
        <w:t>1</w:t>
      </w:r>
      <w:r>
        <w:rPr>
          <w:rFonts w:hint="eastAsia" w:ascii="宋体" w:hAnsi="宋体" w:cs="宋体"/>
          <w:bCs/>
          <w:color w:val="auto"/>
          <w:sz w:val="24"/>
          <w:szCs w:val="24"/>
          <w:highlight w:val="none"/>
        </w:rPr>
        <w:t>：服务团队人员名单</w:t>
      </w:r>
    </w:p>
    <w:tbl>
      <w:tblPr>
        <w:tblStyle w:val="26"/>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80"/>
        <w:gridCol w:w="907"/>
        <w:gridCol w:w="680"/>
        <w:gridCol w:w="680"/>
        <w:gridCol w:w="1693"/>
        <w:gridCol w:w="3231"/>
        <w:gridCol w:w="680"/>
      </w:tblGrid>
      <w:tr w14:paraId="7CB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7082E858">
            <w:pPr>
              <w:tabs>
                <w:tab w:val="left" w:pos="2443"/>
              </w:tabs>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序号</w:t>
            </w:r>
          </w:p>
        </w:tc>
        <w:tc>
          <w:tcPr>
            <w:tcW w:w="907" w:type="dxa"/>
            <w:noWrap w:val="0"/>
            <w:vAlign w:val="center"/>
          </w:tcPr>
          <w:p w14:paraId="557C1AEC">
            <w:pPr>
              <w:spacing w:line="320" w:lineRule="atLeast"/>
              <w:jc w:val="center"/>
              <w:rPr>
                <w:rFonts w:ascii="宋体" w:hAnsi="宋体"/>
                <w:color w:val="auto"/>
                <w:sz w:val="22"/>
                <w:szCs w:val="21"/>
                <w:highlight w:val="none"/>
              </w:rPr>
            </w:pPr>
            <w:r>
              <w:rPr>
                <w:rFonts w:ascii="宋体" w:hAnsi="宋体"/>
                <w:color w:val="auto"/>
                <w:sz w:val="22"/>
                <w:szCs w:val="21"/>
                <w:highlight w:val="none"/>
              </w:rPr>
              <w:t>姓名</w:t>
            </w:r>
          </w:p>
        </w:tc>
        <w:tc>
          <w:tcPr>
            <w:tcW w:w="680" w:type="dxa"/>
            <w:noWrap w:val="0"/>
            <w:vAlign w:val="center"/>
          </w:tcPr>
          <w:p w14:paraId="4383296F">
            <w:pPr>
              <w:spacing w:line="320" w:lineRule="atLeast"/>
              <w:jc w:val="center"/>
              <w:rPr>
                <w:rFonts w:ascii="宋体" w:hAnsi="宋体"/>
                <w:color w:val="auto"/>
                <w:sz w:val="22"/>
                <w:szCs w:val="21"/>
                <w:highlight w:val="none"/>
              </w:rPr>
            </w:pPr>
            <w:r>
              <w:rPr>
                <w:rFonts w:ascii="宋体" w:hAnsi="宋体"/>
                <w:color w:val="auto"/>
                <w:sz w:val="22"/>
                <w:szCs w:val="21"/>
                <w:highlight w:val="none"/>
              </w:rPr>
              <w:t>性别</w:t>
            </w:r>
          </w:p>
        </w:tc>
        <w:tc>
          <w:tcPr>
            <w:tcW w:w="680" w:type="dxa"/>
            <w:noWrap w:val="0"/>
            <w:vAlign w:val="center"/>
          </w:tcPr>
          <w:p w14:paraId="767B0DCE">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学历</w:t>
            </w:r>
          </w:p>
        </w:tc>
        <w:tc>
          <w:tcPr>
            <w:tcW w:w="1693" w:type="dxa"/>
            <w:noWrap w:val="0"/>
            <w:vAlign w:val="center"/>
          </w:tcPr>
          <w:p w14:paraId="4B53B75C">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岗位</w:t>
            </w:r>
          </w:p>
        </w:tc>
        <w:tc>
          <w:tcPr>
            <w:tcW w:w="3231" w:type="dxa"/>
            <w:noWrap w:val="0"/>
            <w:vAlign w:val="center"/>
          </w:tcPr>
          <w:p w14:paraId="74046757">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工作职责</w:t>
            </w:r>
          </w:p>
        </w:tc>
        <w:tc>
          <w:tcPr>
            <w:tcW w:w="680" w:type="dxa"/>
            <w:noWrap w:val="0"/>
            <w:vAlign w:val="center"/>
          </w:tcPr>
          <w:p w14:paraId="7139F310">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备注</w:t>
            </w:r>
          </w:p>
        </w:tc>
      </w:tr>
      <w:tr w14:paraId="0DB6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39E9ABC4">
            <w:pPr>
              <w:spacing w:line="320" w:lineRule="atLeast"/>
              <w:jc w:val="center"/>
              <w:rPr>
                <w:rFonts w:ascii="宋体" w:hAnsi="宋体"/>
                <w:color w:val="auto"/>
                <w:sz w:val="22"/>
                <w:szCs w:val="21"/>
                <w:highlight w:val="none"/>
              </w:rPr>
            </w:pPr>
            <w:r>
              <w:rPr>
                <w:rFonts w:ascii="宋体" w:hAnsi="宋体"/>
                <w:color w:val="auto"/>
                <w:sz w:val="22"/>
                <w:szCs w:val="21"/>
                <w:highlight w:val="none"/>
              </w:rPr>
              <w:t>1</w:t>
            </w:r>
          </w:p>
        </w:tc>
        <w:tc>
          <w:tcPr>
            <w:tcW w:w="907" w:type="dxa"/>
            <w:noWrap w:val="0"/>
            <w:vAlign w:val="center"/>
          </w:tcPr>
          <w:p w14:paraId="3ACBE366">
            <w:pPr>
              <w:spacing w:line="320" w:lineRule="atLeast"/>
              <w:jc w:val="center"/>
              <w:rPr>
                <w:rFonts w:ascii="宋体" w:hAnsi="宋体"/>
                <w:color w:val="auto"/>
                <w:sz w:val="22"/>
                <w:szCs w:val="21"/>
                <w:highlight w:val="none"/>
              </w:rPr>
            </w:pPr>
          </w:p>
        </w:tc>
        <w:tc>
          <w:tcPr>
            <w:tcW w:w="680" w:type="dxa"/>
            <w:noWrap w:val="0"/>
            <w:vAlign w:val="center"/>
          </w:tcPr>
          <w:p w14:paraId="2C7E7593">
            <w:pPr>
              <w:spacing w:line="320" w:lineRule="atLeast"/>
              <w:jc w:val="center"/>
              <w:rPr>
                <w:rFonts w:ascii="宋体" w:hAnsi="宋体"/>
                <w:color w:val="auto"/>
                <w:sz w:val="22"/>
                <w:szCs w:val="21"/>
                <w:highlight w:val="none"/>
              </w:rPr>
            </w:pPr>
          </w:p>
        </w:tc>
        <w:tc>
          <w:tcPr>
            <w:tcW w:w="680" w:type="dxa"/>
            <w:noWrap w:val="0"/>
            <w:vAlign w:val="center"/>
          </w:tcPr>
          <w:p w14:paraId="3AE56633">
            <w:pPr>
              <w:jc w:val="center"/>
              <w:rPr>
                <w:rFonts w:hint="eastAsia" w:ascii="宋体" w:hAnsi="宋体"/>
                <w:color w:val="auto"/>
                <w:sz w:val="22"/>
                <w:szCs w:val="21"/>
                <w:highlight w:val="none"/>
              </w:rPr>
            </w:pPr>
          </w:p>
        </w:tc>
        <w:tc>
          <w:tcPr>
            <w:tcW w:w="1693" w:type="dxa"/>
            <w:noWrap w:val="0"/>
            <w:vAlign w:val="center"/>
          </w:tcPr>
          <w:p w14:paraId="48DE28D2">
            <w:pPr>
              <w:jc w:val="center"/>
              <w:rPr>
                <w:rFonts w:hint="eastAsia" w:ascii="宋体" w:hAnsi="宋体"/>
                <w:color w:val="auto"/>
                <w:sz w:val="22"/>
                <w:szCs w:val="21"/>
                <w:highlight w:val="none"/>
              </w:rPr>
            </w:pPr>
          </w:p>
        </w:tc>
        <w:tc>
          <w:tcPr>
            <w:tcW w:w="3231" w:type="dxa"/>
            <w:noWrap w:val="0"/>
            <w:vAlign w:val="center"/>
          </w:tcPr>
          <w:p w14:paraId="47394EAF">
            <w:pPr>
              <w:spacing w:line="320" w:lineRule="atLeast"/>
              <w:jc w:val="center"/>
              <w:rPr>
                <w:rFonts w:ascii="宋体" w:hAnsi="宋体"/>
                <w:color w:val="auto"/>
                <w:sz w:val="22"/>
                <w:szCs w:val="21"/>
                <w:highlight w:val="none"/>
              </w:rPr>
            </w:pPr>
          </w:p>
        </w:tc>
        <w:tc>
          <w:tcPr>
            <w:tcW w:w="680" w:type="dxa"/>
            <w:noWrap w:val="0"/>
            <w:vAlign w:val="center"/>
          </w:tcPr>
          <w:p w14:paraId="411155F6">
            <w:pPr>
              <w:spacing w:line="320" w:lineRule="atLeast"/>
              <w:jc w:val="center"/>
              <w:rPr>
                <w:rFonts w:ascii="宋体" w:hAnsi="宋体"/>
                <w:color w:val="auto"/>
                <w:sz w:val="22"/>
                <w:szCs w:val="21"/>
                <w:highlight w:val="none"/>
              </w:rPr>
            </w:pPr>
          </w:p>
        </w:tc>
      </w:tr>
      <w:tr w14:paraId="55E3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25641782">
            <w:pPr>
              <w:spacing w:line="320" w:lineRule="atLeast"/>
              <w:jc w:val="center"/>
              <w:rPr>
                <w:rFonts w:ascii="宋体" w:hAnsi="宋体"/>
                <w:color w:val="auto"/>
                <w:sz w:val="22"/>
                <w:szCs w:val="21"/>
                <w:highlight w:val="none"/>
              </w:rPr>
            </w:pPr>
            <w:r>
              <w:rPr>
                <w:rFonts w:ascii="宋体" w:hAnsi="宋体"/>
                <w:color w:val="auto"/>
                <w:sz w:val="22"/>
                <w:szCs w:val="21"/>
                <w:highlight w:val="none"/>
              </w:rPr>
              <w:t>2</w:t>
            </w:r>
          </w:p>
        </w:tc>
        <w:tc>
          <w:tcPr>
            <w:tcW w:w="907" w:type="dxa"/>
            <w:noWrap w:val="0"/>
            <w:vAlign w:val="center"/>
          </w:tcPr>
          <w:p w14:paraId="0DEA81F4">
            <w:pPr>
              <w:spacing w:line="320" w:lineRule="atLeast"/>
              <w:jc w:val="center"/>
              <w:rPr>
                <w:rFonts w:ascii="宋体" w:hAnsi="宋体"/>
                <w:color w:val="auto"/>
                <w:sz w:val="22"/>
                <w:szCs w:val="21"/>
                <w:highlight w:val="none"/>
              </w:rPr>
            </w:pPr>
          </w:p>
        </w:tc>
        <w:tc>
          <w:tcPr>
            <w:tcW w:w="680" w:type="dxa"/>
            <w:noWrap w:val="0"/>
            <w:vAlign w:val="center"/>
          </w:tcPr>
          <w:p w14:paraId="0DD10129">
            <w:pPr>
              <w:spacing w:line="320" w:lineRule="atLeast"/>
              <w:jc w:val="center"/>
              <w:rPr>
                <w:rFonts w:ascii="宋体" w:hAnsi="宋体"/>
                <w:color w:val="auto"/>
                <w:sz w:val="22"/>
                <w:szCs w:val="21"/>
                <w:highlight w:val="none"/>
              </w:rPr>
            </w:pPr>
          </w:p>
        </w:tc>
        <w:tc>
          <w:tcPr>
            <w:tcW w:w="680" w:type="dxa"/>
            <w:noWrap w:val="0"/>
            <w:vAlign w:val="center"/>
          </w:tcPr>
          <w:p w14:paraId="4E0F38B5">
            <w:pPr>
              <w:jc w:val="center"/>
              <w:rPr>
                <w:rFonts w:hint="eastAsia" w:ascii="宋体" w:hAnsi="宋体"/>
                <w:color w:val="auto"/>
                <w:sz w:val="22"/>
                <w:szCs w:val="21"/>
                <w:highlight w:val="none"/>
              </w:rPr>
            </w:pPr>
          </w:p>
        </w:tc>
        <w:tc>
          <w:tcPr>
            <w:tcW w:w="1693" w:type="dxa"/>
            <w:noWrap w:val="0"/>
            <w:vAlign w:val="center"/>
          </w:tcPr>
          <w:p w14:paraId="39C89D76">
            <w:pPr>
              <w:jc w:val="center"/>
              <w:rPr>
                <w:rFonts w:hint="eastAsia" w:ascii="宋体" w:hAnsi="宋体"/>
                <w:color w:val="auto"/>
                <w:sz w:val="22"/>
                <w:szCs w:val="21"/>
                <w:highlight w:val="none"/>
              </w:rPr>
            </w:pPr>
          </w:p>
        </w:tc>
        <w:tc>
          <w:tcPr>
            <w:tcW w:w="3231" w:type="dxa"/>
            <w:noWrap w:val="0"/>
            <w:vAlign w:val="center"/>
          </w:tcPr>
          <w:p w14:paraId="0C7F6528">
            <w:pPr>
              <w:spacing w:line="320" w:lineRule="atLeast"/>
              <w:jc w:val="center"/>
              <w:rPr>
                <w:rFonts w:ascii="宋体" w:hAnsi="宋体"/>
                <w:color w:val="auto"/>
                <w:sz w:val="22"/>
                <w:szCs w:val="21"/>
                <w:highlight w:val="none"/>
              </w:rPr>
            </w:pPr>
          </w:p>
        </w:tc>
        <w:tc>
          <w:tcPr>
            <w:tcW w:w="680" w:type="dxa"/>
            <w:noWrap w:val="0"/>
            <w:vAlign w:val="center"/>
          </w:tcPr>
          <w:p w14:paraId="5124E0F6">
            <w:pPr>
              <w:spacing w:line="320" w:lineRule="atLeast"/>
              <w:jc w:val="center"/>
              <w:rPr>
                <w:rFonts w:ascii="宋体" w:hAnsi="宋体"/>
                <w:color w:val="auto"/>
                <w:sz w:val="22"/>
                <w:szCs w:val="21"/>
                <w:highlight w:val="none"/>
              </w:rPr>
            </w:pPr>
          </w:p>
        </w:tc>
      </w:tr>
      <w:tr w14:paraId="5F68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4056198D">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3</w:t>
            </w:r>
          </w:p>
        </w:tc>
        <w:tc>
          <w:tcPr>
            <w:tcW w:w="907" w:type="dxa"/>
            <w:noWrap w:val="0"/>
            <w:vAlign w:val="center"/>
          </w:tcPr>
          <w:p w14:paraId="3AD06664">
            <w:pPr>
              <w:spacing w:line="320" w:lineRule="atLeast"/>
              <w:jc w:val="center"/>
              <w:rPr>
                <w:rFonts w:ascii="宋体" w:hAnsi="宋体"/>
                <w:color w:val="auto"/>
                <w:sz w:val="22"/>
                <w:szCs w:val="21"/>
                <w:highlight w:val="none"/>
              </w:rPr>
            </w:pPr>
          </w:p>
        </w:tc>
        <w:tc>
          <w:tcPr>
            <w:tcW w:w="680" w:type="dxa"/>
            <w:noWrap w:val="0"/>
            <w:vAlign w:val="center"/>
          </w:tcPr>
          <w:p w14:paraId="5DC331C3">
            <w:pPr>
              <w:spacing w:line="320" w:lineRule="atLeast"/>
              <w:jc w:val="center"/>
              <w:rPr>
                <w:rFonts w:ascii="宋体" w:hAnsi="宋体"/>
                <w:color w:val="auto"/>
                <w:sz w:val="22"/>
                <w:szCs w:val="21"/>
                <w:highlight w:val="none"/>
              </w:rPr>
            </w:pPr>
          </w:p>
        </w:tc>
        <w:tc>
          <w:tcPr>
            <w:tcW w:w="680" w:type="dxa"/>
            <w:noWrap w:val="0"/>
            <w:vAlign w:val="center"/>
          </w:tcPr>
          <w:p w14:paraId="499165D1">
            <w:pPr>
              <w:jc w:val="center"/>
              <w:rPr>
                <w:rFonts w:hint="eastAsia" w:ascii="宋体" w:hAnsi="宋体"/>
                <w:color w:val="auto"/>
                <w:sz w:val="22"/>
                <w:szCs w:val="21"/>
                <w:highlight w:val="none"/>
              </w:rPr>
            </w:pPr>
          </w:p>
        </w:tc>
        <w:tc>
          <w:tcPr>
            <w:tcW w:w="1693" w:type="dxa"/>
            <w:noWrap w:val="0"/>
            <w:vAlign w:val="center"/>
          </w:tcPr>
          <w:p w14:paraId="6B235B9D">
            <w:pPr>
              <w:jc w:val="center"/>
              <w:rPr>
                <w:rFonts w:hint="eastAsia" w:ascii="宋体" w:hAnsi="宋体"/>
                <w:color w:val="auto"/>
                <w:sz w:val="22"/>
                <w:szCs w:val="21"/>
                <w:highlight w:val="none"/>
              </w:rPr>
            </w:pPr>
          </w:p>
        </w:tc>
        <w:tc>
          <w:tcPr>
            <w:tcW w:w="3231" w:type="dxa"/>
            <w:noWrap w:val="0"/>
            <w:vAlign w:val="center"/>
          </w:tcPr>
          <w:p w14:paraId="47791EA2">
            <w:pPr>
              <w:spacing w:line="320" w:lineRule="atLeast"/>
              <w:jc w:val="center"/>
              <w:rPr>
                <w:rFonts w:ascii="宋体" w:hAnsi="宋体"/>
                <w:color w:val="auto"/>
                <w:sz w:val="22"/>
                <w:szCs w:val="21"/>
                <w:highlight w:val="none"/>
              </w:rPr>
            </w:pPr>
          </w:p>
        </w:tc>
        <w:tc>
          <w:tcPr>
            <w:tcW w:w="680" w:type="dxa"/>
            <w:noWrap w:val="0"/>
            <w:vAlign w:val="center"/>
          </w:tcPr>
          <w:p w14:paraId="66F29E39">
            <w:pPr>
              <w:spacing w:line="320" w:lineRule="atLeast"/>
              <w:jc w:val="center"/>
              <w:rPr>
                <w:rFonts w:ascii="宋体" w:hAnsi="宋体"/>
                <w:color w:val="auto"/>
                <w:sz w:val="22"/>
                <w:szCs w:val="21"/>
                <w:highlight w:val="none"/>
              </w:rPr>
            </w:pPr>
          </w:p>
        </w:tc>
      </w:tr>
      <w:tr w14:paraId="681E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712B80C6">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4</w:t>
            </w:r>
          </w:p>
        </w:tc>
        <w:tc>
          <w:tcPr>
            <w:tcW w:w="907" w:type="dxa"/>
            <w:noWrap w:val="0"/>
            <w:vAlign w:val="center"/>
          </w:tcPr>
          <w:p w14:paraId="67DF6306">
            <w:pPr>
              <w:spacing w:line="320" w:lineRule="atLeast"/>
              <w:jc w:val="center"/>
              <w:rPr>
                <w:rFonts w:hint="eastAsia" w:ascii="宋体" w:hAnsi="宋体"/>
                <w:color w:val="auto"/>
                <w:sz w:val="22"/>
                <w:szCs w:val="21"/>
                <w:highlight w:val="none"/>
              </w:rPr>
            </w:pPr>
          </w:p>
        </w:tc>
        <w:tc>
          <w:tcPr>
            <w:tcW w:w="680" w:type="dxa"/>
            <w:noWrap w:val="0"/>
            <w:vAlign w:val="center"/>
          </w:tcPr>
          <w:p w14:paraId="7E03AD3B">
            <w:pPr>
              <w:spacing w:line="320" w:lineRule="atLeast"/>
              <w:jc w:val="center"/>
              <w:rPr>
                <w:rFonts w:ascii="宋体" w:hAnsi="宋体"/>
                <w:color w:val="auto"/>
                <w:sz w:val="22"/>
                <w:szCs w:val="21"/>
                <w:highlight w:val="none"/>
              </w:rPr>
            </w:pPr>
          </w:p>
        </w:tc>
        <w:tc>
          <w:tcPr>
            <w:tcW w:w="680" w:type="dxa"/>
            <w:noWrap w:val="0"/>
            <w:vAlign w:val="center"/>
          </w:tcPr>
          <w:p w14:paraId="74E8308D">
            <w:pPr>
              <w:jc w:val="center"/>
              <w:rPr>
                <w:rFonts w:hint="eastAsia" w:ascii="宋体" w:hAnsi="宋体"/>
                <w:color w:val="auto"/>
                <w:sz w:val="22"/>
                <w:szCs w:val="21"/>
                <w:highlight w:val="none"/>
              </w:rPr>
            </w:pPr>
          </w:p>
        </w:tc>
        <w:tc>
          <w:tcPr>
            <w:tcW w:w="1693" w:type="dxa"/>
            <w:noWrap w:val="0"/>
            <w:vAlign w:val="center"/>
          </w:tcPr>
          <w:p w14:paraId="66245381">
            <w:pPr>
              <w:jc w:val="center"/>
              <w:rPr>
                <w:rFonts w:hint="eastAsia" w:ascii="宋体" w:hAnsi="宋体"/>
                <w:color w:val="auto"/>
                <w:sz w:val="22"/>
                <w:szCs w:val="21"/>
                <w:highlight w:val="none"/>
              </w:rPr>
            </w:pPr>
          </w:p>
        </w:tc>
        <w:tc>
          <w:tcPr>
            <w:tcW w:w="3231" w:type="dxa"/>
            <w:noWrap w:val="0"/>
            <w:vAlign w:val="center"/>
          </w:tcPr>
          <w:p w14:paraId="2FF5974A">
            <w:pPr>
              <w:spacing w:line="320" w:lineRule="atLeast"/>
              <w:jc w:val="center"/>
              <w:rPr>
                <w:rFonts w:ascii="宋体" w:hAnsi="宋体"/>
                <w:color w:val="auto"/>
                <w:sz w:val="22"/>
                <w:szCs w:val="21"/>
                <w:highlight w:val="none"/>
              </w:rPr>
            </w:pPr>
          </w:p>
        </w:tc>
        <w:tc>
          <w:tcPr>
            <w:tcW w:w="680" w:type="dxa"/>
            <w:noWrap w:val="0"/>
            <w:vAlign w:val="center"/>
          </w:tcPr>
          <w:p w14:paraId="667B4DC1">
            <w:pPr>
              <w:spacing w:line="320" w:lineRule="atLeast"/>
              <w:jc w:val="center"/>
              <w:rPr>
                <w:rFonts w:ascii="宋体" w:hAnsi="宋体"/>
                <w:color w:val="auto"/>
                <w:sz w:val="22"/>
                <w:szCs w:val="21"/>
                <w:highlight w:val="none"/>
              </w:rPr>
            </w:pPr>
          </w:p>
        </w:tc>
      </w:tr>
      <w:tr w14:paraId="6E50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1139A365">
            <w:pPr>
              <w:spacing w:line="320" w:lineRule="atLeast"/>
              <w:jc w:val="center"/>
              <w:rPr>
                <w:rFonts w:ascii="宋体" w:hAnsi="宋体"/>
                <w:color w:val="auto"/>
                <w:sz w:val="22"/>
                <w:szCs w:val="21"/>
                <w:highlight w:val="none"/>
              </w:rPr>
            </w:pPr>
            <w:r>
              <w:rPr>
                <w:rFonts w:hint="eastAsia" w:ascii="宋体" w:hAnsi="宋体"/>
                <w:color w:val="auto"/>
                <w:sz w:val="22"/>
                <w:szCs w:val="21"/>
                <w:highlight w:val="none"/>
              </w:rPr>
              <w:t>5</w:t>
            </w:r>
          </w:p>
        </w:tc>
        <w:tc>
          <w:tcPr>
            <w:tcW w:w="907" w:type="dxa"/>
            <w:noWrap w:val="0"/>
            <w:vAlign w:val="center"/>
          </w:tcPr>
          <w:p w14:paraId="592890CF">
            <w:pPr>
              <w:spacing w:line="320" w:lineRule="atLeast"/>
              <w:jc w:val="center"/>
              <w:rPr>
                <w:rFonts w:ascii="宋体" w:hAnsi="宋体"/>
                <w:color w:val="auto"/>
                <w:sz w:val="22"/>
                <w:szCs w:val="21"/>
                <w:highlight w:val="none"/>
              </w:rPr>
            </w:pPr>
          </w:p>
        </w:tc>
        <w:tc>
          <w:tcPr>
            <w:tcW w:w="680" w:type="dxa"/>
            <w:noWrap w:val="0"/>
            <w:vAlign w:val="center"/>
          </w:tcPr>
          <w:p w14:paraId="264C397F">
            <w:pPr>
              <w:spacing w:line="320" w:lineRule="atLeast"/>
              <w:jc w:val="center"/>
              <w:rPr>
                <w:rFonts w:ascii="宋体" w:hAnsi="宋体"/>
                <w:color w:val="auto"/>
                <w:sz w:val="22"/>
                <w:szCs w:val="21"/>
                <w:highlight w:val="none"/>
              </w:rPr>
            </w:pPr>
          </w:p>
        </w:tc>
        <w:tc>
          <w:tcPr>
            <w:tcW w:w="680" w:type="dxa"/>
            <w:noWrap w:val="0"/>
            <w:vAlign w:val="center"/>
          </w:tcPr>
          <w:p w14:paraId="5EC8AD29">
            <w:pPr>
              <w:jc w:val="center"/>
              <w:rPr>
                <w:rFonts w:hint="eastAsia" w:ascii="宋体" w:hAnsi="宋体"/>
                <w:color w:val="auto"/>
                <w:sz w:val="22"/>
                <w:szCs w:val="21"/>
                <w:highlight w:val="none"/>
              </w:rPr>
            </w:pPr>
          </w:p>
        </w:tc>
        <w:tc>
          <w:tcPr>
            <w:tcW w:w="1693" w:type="dxa"/>
            <w:noWrap w:val="0"/>
            <w:vAlign w:val="center"/>
          </w:tcPr>
          <w:p w14:paraId="5D3DE7F2">
            <w:pPr>
              <w:jc w:val="center"/>
              <w:rPr>
                <w:rFonts w:hint="eastAsia" w:ascii="宋体" w:hAnsi="宋体"/>
                <w:color w:val="auto"/>
                <w:sz w:val="22"/>
                <w:szCs w:val="21"/>
                <w:highlight w:val="none"/>
              </w:rPr>
            </w:pPr>
          </w:p>
        </w:tc>
        <w:tc>
          <w:tcPr>
            <w:tcW w:w="3231" w:type="dxa"/>
            <w:noWrap w:val="0"/>
            <w:vAlign w:val="center"/>
          </w:tcPr>
          <w:p w14:paraId="6B7C06DA">
            <w:pPr>
              <w:spacing w:line="320" w:lineRule="atLeast"/>
              <w:jc w:val="center"/>
              <w:rPr>
                <w:rFonts w:ascii="宋体" w:hAnsi="宋体"/>
                <w:color w:val="auto"/>
                <w:sz w:val="22"/>
                <w:szCs w:val="21"/>
                <w:highlight w:val="none"/>
              </w:rPr>
            </w:pPr>
          </w:p>
        </w:tc>
        <w:tc>
          <w:tcPr>
            <w:tcW w:w="680" w:type="dxa"/>
            <w:noWrap w:val="0"/>
            <w:vAlign w:val="center"/>
          </w:tcPr>
          <w:p w14:paraId="52E1487D">
            <w:pPr>
              <w:spacing w:line="320" w:lineRule="atLeast"/>
              <w:jc w:val="center"/>
              <w:rPr>
                <w:rFonts w:ascii="宋体" w:hAnsi="宋体"/>
                <w:color w:val="auto"/>
                <w:sz w:val="22"/>
                <w:szCs w:val="21"/>
                <w:highlight w:val="none"/>
              </w:rPr>
            </w:pPr>
          </w:p>
        </w:tc>
      </w:tr>
      <w:tr w14:paraId="4B9C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2238777C">
            <w:pPr>
              <w:spacing w:line="320" w:lineRule="atLeast"/>
              <w:jc w:val="center"/>
              <w:rPr>
                <w:rFonts w:hint="eastAsia" w:ascii="宋体" w:hAnsi="宋体"/>
                <w:color w:val="auto"/>
                <w:sz w:val="22"/>
                <w:szCs w:val="21"/>
                <w:highlight w:val="none"/>
              </w:rPr>
            </w:pPr>
            <w:r>
              <w:rPr>
                <w:rFonts w:hint="eastAsia" w:ascii="宋体" w:hAnsi="宋体"/>
                <w:color w:val="auto"/>
                <w:sz w:val="22"/>
                <w:szCs w:val="21"/>
                <w:highlight w:val="none"/>
              </w:rPr>
              <w:t>6</w:t>
            </w:r>
          </w:p>
        </w:tc>
        <w:tc>
          <w:tcPr>
            <w:tcW w:w="907" w:type="dxa"/>
            <w:noWrap w:val="0"/>
            <w:vAlign w:val="center"/>
          </w:tcPr>
          <w:p w14:paraId="460E6130">
            <w:pPr>
              <w:spacing w:line="320" w:lineRule="atLeast"/>
              <w:jc w:val="center"/>
              <w:rPr>
                <w:rFonts w:ascii="宋体" w:hAnsi="宋体"/>
                <w:color w:val="auto"/>
                <w:sz w:val="22"/>
                <w:szCs w:val="21"/>
                <w:highlight w:val="none"/>
              </w:rPr>
            </w:pPr>
          </w:p>
        </w:tc>
        <w:tc>
          <w:tcPr>
            <w:tcW w:w="680" w:type="dxa"/>
            <w:noWrap w:val="0"/>
            <w:vAlign w:val="center"/>
          </w:tcPr>
          <w:p w14:paraId="243D4E54">
            <w:pPr>
              <w:spacing w:line="320" w:lineRule="atLeast"/>
              <w:jc w:val="center"/>
              <w:rPr>
                <w:rFonts w:ascii="宋体" w:hAnsi="宋体"/>
                <w:color w:val="auto"/>
                <w:sz w:val="22"/>
                <w:szCs w:val="21"/>
                <w:highlight w:val="none"/>
              </w:rPr>
            </w:pPr>
          </w:p>
        </w:tc>
        <w:tc>
          <w:tcPr>
            <w:tcW w:w="680" w:type="dxa"/>
            <w:noWrap w:val="0"/>
            <w:vAlign w:val="center"/>
          </w:tcPr>
          <w:p w14:paraId="745317B9">
            <w:pPr>
              <w:jc w:val="center"/>
              <w:rPr>
                <w:rFonts w:hint="eastAsia" w:ascii="宋体" w:hAnsi="宋体"/>
                <w:color w:val="auto"/>
                <w:sz w:val="22"/>
                <w:szCs w:val="21"/>
                <w:highlight w:val="none"/>
              </w:rPr>
            </w:pPr>
          </w:p>
        </w:tc>
        <w:tc>
          <w:tcPr>
            <w:tcW w:w="1693" w:type="dxa"/>
            <w:noWrap w:val="0"/>
            <w:vAlign w:val="center"/>
          </w:tcPr>
          <w:p w14:paraId="53716F6F">
            <w:pPr>
              <w:jc w:val="center"/>
              <w:rPr>
                <w:rFonts w:hint="eastAsia" w:ascii="宋体" w:hAnsi="宋体"/>
                <w:color w:val="auto"/>
                <w:sz w:val="22"/>
                <w:szCs w:val="21"/>
                <w:highlight w:val="none"/>
              </w:rPr>
            </w:pPr>
          </w:p>
        </w:tc>
        <w:tc>
          <w:tcPr>
            <w:tcW w:w="3231" w:type="dxa"/>
            <w:noWrap w:val="0"/>
            <w:vAlign w:val="center"/>
          </w:tcPr>
          <w:p w14:paraId="7823DD34">
            <w:pPr>
              <w:spacing w:line="320" w:lineRule="atLeast"/>
              <w:jc w:val="center"/>
              <w:rPr>
                <w:rFonts w:ascii="宋体" w:hAnsi="宋体"/>
                <w:color w:val="auto"/>
                <w:sz w:val="22"/>
                <w:szCs w:val="21"/>
                <w:highlight w:val="none"/>
              </w:rPr>
            </w:pPr>
          </w:p>
        </w:tc>
        <w:tc>
          <w:tcPr>
            <w:tcW w:w="680" w:type="dxa"/>
            <w:noWrap w:val="0"/>
            <w:vAlign w:val="center"/>
          </w:tcPr>
          <w:p w14:paraId="2024C66D">
            <w:pPr>
              <w:spacing w:line="320" w:lineRule="atLeast"/>
              <w:jc w:val="center"/>
              <w:rPr>
                <w:rFonts w:hint="eastAsia" w:ascii="宋体" w:hAnsi="宋体"/>
                <w:color w:val="auto"/>
                <w:sz w:val="22"/>
                <w:szCs w:val="21"/>
                <w:highlight w:val="none"/>
              </w:rPr>
            </w:pPr>
          </w:p>
        </w:tc>
      </w:tr>
      <w:tr w14:paraId="62C6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680" w:type="dxa"/>
            <w:noWrap w:val="0"/>
            <w:vAlign w:val="center"/>
          </w:tcPr>
          <w:p w14:paraId="22B9882E">
            <w:pPr>
              <w:spacing w:line="320" w:lineRule="atLeast"/>
              <w:jc w:val="center"/>
              <w:rPr>
                <w:rFonts w:ascii="宋体" w:hAnsi="宋体"/>
                <w:color w:val="auto"/>
                <w:sz w:val="22"/>
                <w:szCs w:val="21"/>
                <w:highlight w:val="none"/>
              </w:rPr>
            </w:pPr>
            <w:r>
              <w:rPr>
                <w:rFonts w:ascii="宋体" w:hAnsi="宋体"/>
                <w:color w:val="auto"/>
                <w:sz w:val="22"/>
                <w:szCs w:val="21"/>
                <w:highlight w:val="none"/>
              </w:rPr>
              <w:t>7</w:t>
            </w:r>
          </w:p>
        </w:tc>
        <w:tc>
          <w:tcPr>
            <w:tcW w:w="907" w:type="dxa"/>
            <w:noWrap w:val="0"/>
            <w:vAlign w:val="center"/>
          </w:tcPr>
          <w:p w14:paraId="7A608D21">
            <w:pPr>
              <w:spacing w:line="320" w:lineRule="atLeast"/>
              <w:jc w:val="center"/>
              <w:rPr>
                <w:rFonts w:ascii="宋体" w:hAnsi="宋体"/>
                <w:color w:val="auto"/>
                <w:sz w:val="22"/>
                <w:szCs w:val="21"/>
                <w:highlight w:val="none"/>
              </w:rPr>
            </w:pPr>
          </w:p>
        </w:tc>
        <w:tc>
          <w:tcPr>
            <w:tcW w:w="680" w:type="dxa"/>
            <w:noWrap w:val="0"/>
            <w:vAlign w:val="center"/>
          </w:tcPr>
          <w:p w14:paraId="4CD3009E">
            <w:pPr>
              <w:spacing w:line="320" w:lineRule="atLeast"/>
              <w:jc w:val="center"/>
              <w:rPr>
                <w:rFonts w:ascii="宋体" w:hAnsi="宋体"/>
                <w:color w:val="auto"/>
                <w:sz w:val="22"/>
                <w:szCs w:val="21"/>
                <w:highlight w:val="none"/>
              </w:rPr>
            </w:pPr>
          </w:p>
        </w:tc>
        <w:tc>
          <w:tcPr>
            <w:tcW w:w="680" w:type="dxa"/>
            <w:noWrap w:val="0"/>
            <w:vAlign w:val="center"/>
          </w:tcPr>
          <w:p w14:paraId="031678D5">
            <w:pPr>
              <w:jc w:val="center"/>
              <w:rPr>
                <w:rFonts w:hint="eastAsia" w:ascii="宋体" w:hAnsi="宋体"/>
                <w:color w:val="auto"/>
                <w:sz w:val="22"/>
                <w:szCs w:val="21"/>
                <w:highlight w:val="none"/>
              </w:rPr>
            </w:pPr>
          </w:p>
        </w:tc>
        <w:tc>
          <w:tcPr>
            <w:tcW w:w="1693" w:type="dxa"/>
            <w:noWrap w:val="0"/>
            <w:vAlign w:val="center"/>
          </w:tcPr>
          <w:p w14:paraId="61D643E5">
            <w:pPr>
              <w:jc w:val="center"/>
              <w:rPr>
                <w:rFonts w:hint="eastAsia" w:ascii="宋体" w:hAnsi="宋体"/>
                <w:color w:val="auto"/>
                <w:sz w:val="22"/>
                <w:szCs w:val="21"/>
                <w:highlight w:val="none"/>
              </w:rPr>
            </w:pPr>
          </w:p>
        </w:tc>
        <w:tc>
          <w:tcPr>
            <w:tcW w:w="3231" w:type="dxa"/>
            <w:noWrap w:val="0"/>
            <w:vAlign w:val="center"/>
          </w:tcPr>
          <w:p w14:paraId="784CD910">
            <w:pPr>
              <w:spacing w:line="320" w:lineRule="atLeast"/>
              <w:jc w:val="center"/>
              <w:rPr>
                <w:rFonts w:ascii="宋体" w:hAnsi="宋体"/>
                <w:color w:val="auto"/>
                <w:sz w:val="22"/>
                <w:szCs w:val="21"/>
                <w:highlight w:val="none"/>
              </w:rPr>
            </w:pPr>
          </w:p>
        </w:tc>
        <w:tc>
          <w:tcPr>
            <w:tcW w:w="680" w:type="dxa"/>
            <w:noWrap w:val="0"/>
            <w:vAlign w:val="center"/>
          </w:tcPr>
          <w:p w14:paraId="6474C317">
            <w:pPr>
              <w:spacing w:line="320" w:lineRule="atLeast"/>
              <w:jc w:val="center"/>
              <w:rPr>
                <w:rFonts w:hint="eastAsia" w:ascii="宋体" w:hAnsi="宋体"/>
                <w:color w:val="auto"/>
                <w:sz w:val="22"/>
                <w:szCs w:val="21"/>
                <w:highlight w:val="none"/>
              </w:rPr>
            </w:pPr>
          </w:p>
        </w:tc>
      </w:tr>
    </w:tbl>
    <w:p w14:paraId="14CDA008">
      <w:pPr>
        <w:pStyle w:val="11"/>
        <w:rPr>
          <w:color w:val="auto"/>
          <w:highlight w:val="none"/>
        </w:rPr>
      </w:pPr>
    </w:p>
    <w:p w14:paraId="445049DB">
      <w:pPr>
        <w:pStyle w:val="13"/>
        <w:rPr>
          <w:color w:val="auto"/>
          <w:highlight w:val="none"/>
        </w:rPr>
      </w:pPr>
    </w:p>
    <w:p w14:paraId="0A942410">
      <w:pPr>
        <w:pStyle w:val="14"/>
        <w:rPr>
          <w:color w:val="auto"/>
          <w:highlight w:val="none"/>
        </w:rPr>
      </w:pPr>
    </w:p>
    <w:p w14:paraId="352D47B3">
      <w:pPr>
        <w:pStyle w:val="14"/>
        <w:rPr>
          <w:color w:val="auto"/>
          <w:highlight w:val="none"/>
        </w:rPr>
      </w:pPr>
    </w:p>
    <w:p w14:paraId="1CFA0D46">
      <w:pPr>
        <w:pStyle w:val="14"/>
        <w:rPr>
          <w:color w:val="auto"/>
          <w:highlight w:val="none"/>
        </w:rPr>
      </w:pPr>
    </w:p>
    <w:p w14:paraId="4DC072E1">
      <w:pPr>
        <w:pStyle w:val="14"/>
        <w:rPr>
          <w:color w:val="auto"/>
          <w:highlight w:val="none"/>
        </w:rPr>
      </w:pPr>
    </w:p>
    <w:p w14:paraId="5DF31AEB">
      <w:pPr>
        <w:pStyle w:val="14"/>
        <w:rPr>
          <w:color w:val="auto"/>
          <w:highlight w:val="none"/>
        </w:rPr>
      </w:pPr>
    </w:p>
    <w:p w14:paraId="225BCABE">
      <w:pPr>
        <w:pStyle w:val="14"/>
        <w:rPr>
          <w:color w:val="auto"/>
          <w:highlight w:val="none"/>
        </w:rPr>
      </w:pPr>
    </w:p>
    <w:p w14:paraId="37CFA9B1">
      <w:pPr>
        <w:pStyle w:val="14"/>
        <w:rPr>
          <w:color w:val="auto"/>
          <w:highlight w:val="none"/>
        </w:rPr>
      </w:pPr>
    </w:p>
    <w:p w14:paraId="6EF9E701">
      <w:pPr>
        <w:pStyle w:val="14"/>
        <w:rPr>
          <w:color w:val="auto"/>
          <w:highlight w:val="none"/>
        </w:rPr>
      </w:pPr>
    </w:p>
    <w:p w14:paraId="39B38CD6">
      <w:pPr>
        <w:pStyle w:val="14"/>
        <w:rPr>
          <w:color w:val="auto"/>
          <w:highlight w:val="none"/>
        </w:rPr>
      </w:pPr>
    </w:p>
    <w:p w14:paraId="638B4F24">
      <w:pPr>
        <w:pStyle w:val="14"/>
        <w:rPr>
          <w:color w:val="auto"/>
          <w:highlight w:val="none"/>
        </w:rPr>
      </w:pPr>
    </w:p>
    <w:p w14:paraId="3C7001AA">
      <w:pPr>
        <w:pStyle w:val="14"/>
        <w:rPr>
          <w:color w:val="auto"/>
          <w:highlight w:val="none"/>
        </w:rPr>
      </w:pPr>
    </w:p>
    <w:p w14:paraId="662E45E1">
      <w:pPr>
        <w:pStyle w:val="14"/>
        <w:rPr>
          <w:color w:val="auto"/>
          <w:highlight w:val="none"/>
        </w:rPr>
      </w:pPr>
    </w:p>
    <w:p w14:paraId="05D25F87">
      <w:pPr>
        <w:pStyle w:val="14"/>
        <w:rPr>
          <w:color w:val="auto"/>
          <w:highlight w:val="none"/>
        </w:rPr>
      </w:pPr>
    </w:p>
    <w:p w14:paraId="5DFC5395">
      <w:pPr>
        <w:pStyle w:val="14"/>
        <w:rPr>
          <w:color w:val="auto"/>
          <w:highlight w:val="none"/>
        </w:rPr>
      </w:pPr>
    </w:p>
    <w:p w14:paraId="1D570C7E">
      <w:pPr>
        <w:pStyle w:val="14"/>
        <w:rPr>
          <w:color w:val="auto"/>
          <w:highlight w:val="none"/>
        </w:rPr>
      </w:pPr>
    </w:p>
    <w:p w14:paraId="2B2A82F0">
      <w:pPr>
        <w:pStyle w:val="14"/>
        <w:rPr>
          <w:color w:val="auto"/>
          <w:highlight w:val="none"/>
        </w:rPr>
      </w:pPr>
    </w:p>
    <w:p w14:paraId="47939325">
      <w:pPr>
        <w:pStyle w:val="14"/>
        <w:rPr>
          <w:color w:val="auto"/>
          <w:highlight w:val="none"/>
        </w:rPr>
      </w:pPr>
    </w:p>
    <w:p w14:paraId="4C27DF13">
      <w:pPr>
        <w:pStyle w:val="14"/>
        <w:rPr>
          <w:color w:val="auto"/>
          <w:highlight w:val="none"/>
        </w:rPr>
      </w:pPr>
    </w:p>
    <w:p w14:paraId="58603F80">
      <w:pPr>
        <w:pStyle w:val="14"/>
        <w:rPr>
          <w:color w:val="auto"/>
          <w:highlight w:val="none"/>
        </w:rPr>
      </w:pPr>
    </w:p>
    <w:p w14:paraId="77B4A52B">
      <w:pPr>
        <w:pStyle w:val="14"/>
        <w:rPr>
          <w:color w:val="auto"/>
          <w:highlight w:val="none"/>
        </w:rPr>
      </w:pPr>
    </w:p>
    <w:p w14:paraId="6E932D79">
      <w:pPr>
        <w:pStyle w:val="14"/>
        <w:rPr>
          <w:color w:val="auto"/>
          <w:highlight w:val="none"/>
        </w:rPr>
      </w:pPr>
    </w:p>
    <w:p w14:paraId="0D31733C">
      <w:pPr>
        <w:pStyle w:val="14"/>
        <w:rPr>
          <w:color w:val="auto"/>
          <w:highlight w:val="none"/>
        </w:rPr>
      </w:pPr>
    </w:p>
    <w:p w14:paraId="73D231C5">
      <w:pPr>
        <w:adjustRightInd w:val="0"/>
        <w:snapToGrid w:val="0"/>
        <w:spacing w:line="52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附件</w:t>
      </w:r>
      <w:r>
        <w:rPr>
          <w:rFonts w:ascii="宋体" w:hAnsi="宋体" w:cs="宋体"/>
          <w:bCs/>
          <w:color w:val="auto"/>
          <w:sz w:val="24"/>
          <w:szCs w:val="24"/>
          <w:highlight w:val="none"/>
        </w:rPr>
        <w:t>2</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服务内容及范围（详见用户需求书）</w:t>
      </w:r>
    </w:p>
    <w:p w14:paraId="546024F1">
      <w:pPr>
        <w:adjustRightInd w:val="0"/>
        <w:snapToGrid w:val="0"/>
        <w:spacing w:line="520" w:lineRule="exact"/>
        <w:ind w:firstLine="3360" w:firstLineChars="1400"/>
        <w:rPr>
          <w:rFonts w:hint="default" w:ascii="宋体" w:hAnsi="宋体" w:eastAsia="宋体" w:cs="宋体"/>
          <w:bCs/>
          <w:color w:val="auto"/>
          <w:sz w:val="24"/>
          <w:szCs w:val="24"/>
          <w:highlight w:val="none"/>
          <w:lang w:val="en-US" w:eastAsia="zh-CN"/>
        </w:rPr>
      </w:pPr>
    </w:p>
    <w:p w14:paraId="1FB330F4">
      <w:pPr>
        <w:adjustRightInd w:val="0"/>
        <w:snapToGrid w:val="0"/>
        <w:spacing w:line="520" w:lineRule="exact"/>
        <w:rPr>
          <w:rFonts w:hint="eastAsia" w:ascii="宋体" w:hAnsi="宋体" w:cs="宋体"/>
          <w:bCs/>
          <w:color w:val="auto"/>
          <w:sz w:val="24"/>
          <w:szCs w:val="24"/>
          <w:highlight w:val="none"/>
        </w:rPr>
      </w:pPr>
    </w:p>
    <w:p w14:paraId="582AA209">
      <w:pPr>
        <w:pStyle w:val="11"/>
        <w:rPr>
          <w:rFonts w:hint="eastAsia" w:ascii="宋体" w:hAnsi="宋体" w:cs="宋体"/>
          <w:bCs/>
          <w:color w:val="auto"/>
          <w:sz w:val="24"/>
          <w:szCs w:val="24"/>
          <w:highlight w:val="none"/>
        </w:rPr>
      </w:pPr>
    </w:p>
    <w:p w14:paraId="7F117ABA">
      <w:pPr>
        <w:pStyle w:val="12"/>
        <w:rPr>
          <w:rFonts w:hint="eastAsia" w:ascii="宋体" w:hAnsi="宋体" w:cs="宋体"/>
          <w:bCs/>
          <w:color w:val="auto"/>
          <w:sz w:val="24"/>
          <w:szCs w:val="24"/>
          <w:highlight w:val="none"/>
        </w:rPr>
      </w:pPr>
    </w:p>
    <w:p w14:paraId="3A2EE229">
      <w:pPr>
        <w:pStyle w:val="12"/>
        <w:rPr>
          <w:rFonts w:hint="eastAsia" w:ascii="宋体" w:hAnsi="宋体" w:cs="宋体"/>
          <w:bCs/>
          <w:color w:val="auto"/>
          <w:sz w:val="24"/>
          <w:szCs w:val="24"/>
          <w:highlight w:val="none"/>
        </w:rPr>
      </w:pPr>
    </w:p>
    <w:p w14:paraId="260CB45B">
      <w:pPr>
        <w:pStyle w:val="12"/>
        <w:rPr>
          <w:rFonts w:hint="eastAsia" w:ascii="宋体" w:hAnsi="宋体" w:cs="宋体"/>
          <w:bCs/>
          <w:color w:val="auto"/>
          <w:sz w:val="24"/>
          <w:szCs w:val="24"/>
          <w:highlight w:val="none"/>
        </w:rPr>
      </w:pPr>
    </w:p>
    <w:p w14:paraId="4CEAAEAD">
      <w:pPr>
        <w:pStyle w:val="12"/>
        <w:rPr>
          <w:rFonts w:hint="eastAsia" w:ascii="宋体" w:hAnsi="宋体" w:cs="宋体"/>
          <w:bCs/>
          <w:color w:val="auto"/>
          <w:sz w:val="24"/>
          <w:szCs w:val="24"/>
          <w:highlight w:val="none"/>
        </w:rPr>
      </w:pPr>
    </w:p>
    <w:p w14:paraId="4E681025">
      <w:pPr>
        <w:pStyle w:val="12"/>
        <w:rPr>
          <w:rFonts w:hint="eastAsia" w:ascii="宋体" w:hAnsi="宋体" w:cs="宋体"/>
          <w:bCs/>
          <w:color w:val="auto"/>
          <w:sz w:val="24"/>
          <w:szCs w:val="24"/>
          <w:highlight w:val="none"/>
        </w:rPr>
      </w:pPr>
    </w:p>
    <w:p w14:paraId="08AD7181">
      <w:pPr>
        <w:pStyle w:val="12"/>
        <w:rPr>
          <w:rFonts w:hint="eastAsia" w:ascii="宋体" w:hAnsi="宋体" w:cs="宋体"/>
          <w:bCs/>
          <w:color w:val="auto"/>
          <w:sz w:val="24"/>
          <w:szCs w:val="24"/>
          <w:highlight w:val="none"/>
        </w:rPr>
      </w:pPr>
    </w:p>
    <w:p w14:paraId="2CA0F160">
      <w:pPr>
        <w:pStyle w:val="12"/>
        <w:rPr>
          <w:rFonts w:hint="eastAsia" w:ascii="宋体" w:hAnsi="宋体" w:cs="宋体"/>
          <w:bCs/>
          <w:color w:val="auto"/>
          <w:sz w:val="24"/>
          <w:szCs w:val="24"/>
          <w:highlight w:val="none"/>
        </w:rPr>
      </w:pPr>
    </w:p>
    <w:p w14:paraId="6707B122">
      <w:pPr>
        <w:pStyle w:val="12"/>
        <w:rPr>
          <w:rFonts w:hint="eastAsia" w:ascii="宋体" w:hAnsi="宋体" w:cs="宋体"/>
          <w:bCs/>
          <w:color w:val="auto"/>
          <w:sz w:val="24"/>
          <w:szCs w:val="24"/>
          <w:highlight w:val="none"/>
        </w:rPr>
      </w:pPr>
    </w:p>
    <w:p w14:paraId="3C473BC8">
      <w:pPr>
        <w:pStyle w:val="12"/>
        <w:rPr>
          <w:rFonts w:hint="eastAsia" w:ascii="宋体" w:hAnsi="宋体" w:cs="宋体"/>
          <w:bCs/>
          <w:color w:val="auto"/>
          <w:sz w:val="24"/>
          <w:szCs w:val="24"/>
          <w:highlight w:val="none"/>
        </w:rPr>
      </w:pPr>
    </w:p>
    <w:p w14:paraId="57C64FCB">
      <w:pPr>
        <w:pStyle w:val="12"/>
        <w:rPr>
          <w:rFonts w:hint="eastAsia" w:ascii="宋体" w:hAnsi="宋体" w:cs="宋体"/>
          <w:bCs/>
          <w:color w:val="auto"/>
          <w:sz w:val="24"/>
          <w:szCs w:val="24"/>
          <w:highlight w:val="none"/>
        </w:rPr>
      </w:pPr>
    </w:p>
    <w:p w14:paraId="25A94C33">
      <w:pPr>
        <w:pStyle w:val="12"/>
        <w:rPr>
          <w:rFonts w:hint="eastAsia" w:ascii="宋体" w:hAnsi="宋体" w:cs="宋体"/>
          <w:bCs/>
          <w:color w:val="auto"/>
          <w:sz w:val="24"/>
          <w:szCs w:val="24"/>
          <w:highlight w:val="none"/>
        </w:rPr>
      </w:pPr>
    </w:p>
    <w:p w14:paraId="6199F7DB">
      <w:pPr>
        <w:pStyle w:val="12"/>
        <w:rPr>
          <w:rFonts w:hint="eastAsia" w:ascii="宋体" w:hAnsi="宋体" w:cs="宋体"/>
          <w:bCs/>
          <w:color w:val="auto"/>
          <w:sz w:val="24"/>
          <w:szCs w:val="24"/>
          <w:highlight w:val="none"/>
        </w:rPr>
      </w:pPr>
    </w:p>
    <w:p w14:paraId="7EEFED90">
      <w:pPr>
        <w:pStyle w:val="12"/>
        <w:rPr>
          <w:rFonts w:hint="eastAsia" w:ascii="宋体" w:hAnsi="宋体" w:cs="宋体"/>
          <w:bCs/>
          <w:color w:val="auto"/>
          <w:sz w:val="24"/>
          <w:szCs w:val="24"/>
          <w:highlight w:val="none"/>
        </w:rPr>
      </w:pPr>
    </w:p>
    <w:p w14:paraId="6F6F22F1">
      <w:pPr>
        <w:pStyle w:val="12"/>
        <w:rPr>
          <w:rFonts w:hint="eastAsia" w:ascii="宋体" w:hAnsi="宋体" w:cs="宋体"/>
          <w:bCs/>
          <w:color w:val="auto"/>
          <w:sz w:val="24"/>
          <w:szCs w:val="24"/>
          <w:highlight w:val="none"/>
        </w:rPr>
      </w:pPr>
    </w:p>
    <w:p w14:paraId="128E0B6F">
      <w:pPr>
        <w:pStyle w:val="12"/>
        <w:rPr>
          <w:rFonts w:hint="eastAsia" w:ascii="宋体" w:hAnsi="宋体" w:cs="宋体"/>
          <w:bCs/>
          <w:color w:val="auto"/>
          <w:sz w:val="24"/>
          <w:szCs w:val="24"/>
          <w:highlight w:val="none"/>
        </w:rPr>
      </w:pPr>
    </w:p>
    <w:p w14:paraId="0BF8618B">
      <w:pPr>
        <w:pStyle w:val="12"/>
        <w:rPr>
          <w:rFonts w:hint="eastAsia" w:ascii="宋体" w:hAnsi="宋体" w:cs="宋体"/>
          <w:bCs/>
          <w:color w:val="auto"/>
          <w:sz w:val="24"/>
          <w:szCs w:val="24"/>
          <w:highlight w:val="none"/>
        </w:rPr>
      </w:pPr>
    </w:p>
    <w:p w14:paraId="782727C1">
      <w:pPr>
        <w:pStyle w:val="12"/>
        <w:rPr>
          <w:rFonts w:hint="eastAsia" w:ascii="宋体" w:hAnsi="宋体" w:cs="宋体"/>
          <w:bCs/>
          <w:color w:val="auto"/>
          <w:sz w:val="24"/>
          <w:szCs w:val="24"/>
          <w:highlight w:val="none"/>
        </w:rPr>
      </w:pPr>
    </w:p>
    <w:p w14:paraId="7CFA4071">
      <w:pPr>
        <w:pStyle w:val="12"/>
        <w:rPr>
          <w:rFonts w:hint="eastAsia" w:ascii="宋体" w:hAnsi="宋体" w:cs="宋体"/>
          <w:bCs/>
          <w:color w:val="auto"/>
          <w:sz w:val="24"/>
          <w:szCs w:val="24"/>
          <w:highlight w:val="none"/>
        </w:rPr>
      </w:pPr>
    </w:p>
    <w:p w14:paraId="4BD6729B">
      <w:pPr>
        <w:pStyle w:val="12"/>
        <w:rPr>
          <w:rFonts w:hint="eastAsia" w:ascii="宋体" w:hAnsi="宋体" w:cs="宋体"/>
          <w:bCs/>
          <w:color w:val="auto"/>
          <w:sz w:val="24"/>
          <w:szCs w:val="24"/>
          <w:highlight w:val="none"/>
        </w:rPr>
      </w:pPr>
    </w:p>
    <w:p w14:paraId="453931AB">
      <w:pPr>
        <w:pStyle w:val="12"/>
        <w:rPr>
          <w:rFonts w:hint="eastAsia" w:ascii="宋体" w:hAnsi="宋体" w:cs="宋体"/>
          <w:bCs/>
          <w:color w:val="auto"/>
          <w:sz w:val="24"/>
          <w:szCs w:val="24"/>
          <w:highlight w:val="none"/>
        </w:rPr>
      </w:pPr>
    </w:p>
    <w:p w14:paraId="05AC9D5B">
      <w:pPr>
        <w:pStyle w:val="12"/>
        <w:rPr>
          <w:rFonts w:hint="eastAsia" w:ascii="宋体" w:hAnsi="宋体" w:cs="宋体"/>
          <w:bCs/>
          <w:color w:val="auto"/>
          <w:sz w:val="24"/>
          <w:szCs w:val="24"/>
          <w:highlight w:val="none"/>
        </w:rPr>
      </w:pPr>
    </w:p>
    <w:p w14:paraId="492D947E">
      <w:pPr>
        <w:pStyle w:val="12"/>
        <w:rPr>
          <w:rFonts w:hint="eastAsia" w:ascii="宋体" w:hAnsi="宋体" w:cs="宋体"/>
          <w:bCs/>
          <w:color w:val="auto"/>
          <w:sz w:val="24"/>
          <w:szCs w:val="24"/>
          <w:highlight w:val="none"/>
        </w:rPr>
      </w:pPr>
    </w:p>
    <w:p w14:paraId="2C150B31">
      <w:pPr>
        <w:adjustRightInd w:val="0"/>
        <w:snapToGrid w:val="0"/>
        <w:spacing w:line="520" w:lineRule="exact"/>
        <w:rPr>
          <w:rFonts w:hint="eastAsia" w:ascii="宋体" w:hAnsi="宋体" w:cs="宋体"/>
          <w:bCs/>
          <w:color w:val="auto"/>
          <w:sz w:val="24"/>
          <w:szCs w:val="24"/>
          <w:highlight w:val="none"/>
        </w:rPr>
      </w:pPr>
    </w:p>
    <w:p w14:paraId="50D55BBC">
      <w:pPr>
        <w:adjustRightInd w:val="0"/>
        <w:snapToGrid w:val="0"/>
        <w:spacing w:line="520" w:lineRule="exact"/>
        <w:rPr>
          <w:rFonts w:hint="eastAsia" w:ascii="宋体" w:hAnsi="宋体" w:cs="宋体"/>
          <w:bCs/>
          <w:color w:val="auto"/>
          <w:sz w:val="24"/>
          <w:szCs w:val="24"/>
          <w:highlight w:val="none"/>
        </w:rPr>
      </w:pPr>
    </w:p>
    <w:p w14:paraId="290BF785">
      <w:pPr>
        <w:adjustRightInd w:val="0"/>
        <w:snapToGrid w:val="0"/>
        <w:spacing w:line="520" w:lineRule="exact"/>
        <w:rPr>
          <w:rFonts w:hint="eastAsia" w:ascii="宋体" w:hAnsi="宋体" w:cs="宋体"/>
          <w:bCs/>
          <w:color w:val="auto"/>
          <w:sz w:val="24"/>
          <w:szCs w:val="24"/>
          <w:highlight w:val="none"/>
        </w:rPr>
      </w:pPr>
    </w:p>
    <w:p w14:paraId="46FC5FD9">
      <w:pPr>
        <w:adjustRightInd w:val="0"/>
        <w:snapToGrid w:val="0"/>
        <w:spacing w:line="52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附件</w:t>
      </w:r>
      <w:r>
        <w:rPr>
          <w:rFonts w:ascii="宋体" w:hAnsi="宋体" w:cs="宋体"/>
          <w:bCs/>
          <w:color w:val="auto"/>
          <w:sz w:val="24"/>
          <w:szCs w:val="24"/>
          <w:highlight w:val="none"/>
        </w:rPr>
        <w:t>3</w:t>
      </w:r>
      <w:r>
        <w:rPr>
          <w:rFonts w:hint="eastAsia" w:ascii="宋体" w:hAnsi="宋体" w:cs="宋体"/>
          <w:bCs/>
          <w:color w:val="auto"/>
          <w:sz w:val="24"/>
          <w:szCs w:val="24"/>
          <w:highlight w:val="none"/>
        </w:rPr>
        <w:t>：</w:t>
      </w:r>
    </w:p>
    <w:p w14:paraId="5750847D">
      <w:pPr>
        <w:pStyle w:val="23"/>
        <w:spacing w:before="360" w:after="360" w:line="320" w:lineRule="atLeast"/>
        <w:jc w:val="center"/>
        <w:rPr>
          <w:rFonts w:cs="Times New Roman"/>
          <w:color w:val="auto"/>
          <w:highlight w:val="none"/>
        </w:rPr>
      </w:pPr>
      <w:r>
        <w:rPr>
          <w:rFonts w:hint="eastAsia" w:cs="Times New Roman"/>
          <w:b/>
          <w:bCs/>
          <w:color w:val="auto"/>
          <w:highlight w:val="none"/>
        </w:rPr>
        <w:t>报告</w:t>
      </w:r>
      <w:r>
        <w:rPr>
          <w:rFonts w:cs="Times New Roman"/>
          <w:b/>
          <w:bCs/>
          <w:color w:val="auto"/>
          <w:highlight w:val="none"/>
        </w:rPr>
        <w:t>接收确认单</w:t>
      </w:r>
      <w:r>
        <w:rPr>
          <w:rFonts w:hint="eastAsia" w:cs="Times New Roman"/>
          <w:b/>
          <w:bCs/>
          <w:color w:val="auto"/>
          <w:highlight w:val="none"/>
        </w:rPr>
        <w:t>/工作成果确认单</w:t>
      </w:r>
    </w:p>
    <w:p w14:paraId="1C881462">
      <w:pPr>
        <w:pStyle w:val="23"/>
        <w:spacing w:before="240" w:after="240" w:line="320" w:lineRule="atLeast"/>
        <w:jc w:val="both"/>
        <w:rPr>
          <w:rFonts w:cs="Times New Roman"/>
          <w:color w:val="auto"/>
          <w:highlight w:val="none"/>
        </w:rPr>
      </w:pPr>
      <w:r>
        <w:rPr>
          <w:rFonts w:hint="eastAsia"/>
          <w:b/>
          <w:bCs/>
          <w:color w:val="auto"/>
          <w:highlight w:val="none"/>
        </w:rPr>
        <w:t xml:space="preserve"> </w:t>
      </w:r>
      <w:r>
        <w:rPr>
          <w:b/>
          <w:bCs/>
          <w:color w:val="auto"/>
          <w:highlight w:val="none"/>
        </w:rPr>
        <w:t xml:space="preserve">                      </w:t>
      </w:r>
    </w:p>
    <w:p w14:paraId="5E1518AC">
      <w:pPr>
        <w:spacing w:line="480" w:lineRule="auto"/>
        <w:ind w:right="-25" w:rightChars="-12"/>
        <w:rPr>
          <w:rFonts w:ascii="宋体" w:hAnsi="宋体"/>
          <w:color w:val="auto"/>
          <w:kern w:val="0"/>
          <w:sz w:val="24"/>
          <w:highlight w:val="none"/>
        </w:rPr>
      </w:pPr>
      <w:r>
        <w:rPr>
          <w:rFonts w:hint="eastAsia" w:ascii="宋体" w:hAnsi="宋体"/>
          <w:color w:val="auto"/>
          <w:sz w:val="24"/>
          <w:highlight w:val="none"/>
        </w:rPr>
        <w:t xml:space="preserve">    根据贵司与我司（</w:t>
      </w:r>
      <w:r>
        <w:rPr>
          <w:rFonts w:hint="eastAsia" w:ascii="宋体" w:hAnsi="宋体"/>
          <w:b/>
          <w:bCs/>
          <w:color w:val="auto"/>
          <w:sz w:val="24"/>
          <w:highlight w:val="none"/>
          <w:lang w:val="en-US" w:eastAsia="zh-CN"/>
        </w:rPr>
        <w:t>XX</w:t>
      </w:r>
      <w:r>
        <w:rPr>
          <w:rFonts w:hint="eastAsia" w:ascii="宋体" w:hAnsi="宋体"/>
          <w:color w:val="auto"/>
          <w:sz w:val="24"/>
          <w:highlight w:val="none"/>
        </w:rPr>
        <w:t>）签订的《</w:t>
      </w:r>
      <w:r>
        <w:rPr>
          <w:rFonts w:hint="eastAsia" w:ascii="宋体" w:hAnsi="宋体"/>
          <w:color w:val="auto"/>
          <w:sz w:val="24"/>
          <w:highlight w:val="none"/>
          <w:lang w:val="en-US" w:eastAsia="zh-CN"/>
        </w:rPr>
        <w:t>XX</w:t>
      </w:r>
      <w:r>
        <w:rPr>
          <w:rFonts w:hint="eastAsia" w:ascii="宋体" w:hAnsi="宋体"/>
          <w:color w:val="auto"/>
          <w:kern w:val="0"/>
          <w:sz w:val="24"/>
          <w:highlight w:val="none"/>
        </w:rPr>
        <w:t>服务合同</w:t>
      </w:r>
      <w:r>
        <w:rPr>
          <w:rFonts w:hint="eastAsia" w:ascii="宋体" w:hAnsi="宋体"/>
          <w:color w:val="auto"/>
          <w:sz w:val="24"/>
          <w:highlight w:val="none"/>
        </w:rPr>
        <w:t>》，贵司已按本合同约定完成工作</w:t>
      </w:r>
      <w:r>
        <w:rPr>
          <w:rFonts w:ascii="宋体" w:hAnsi="宋体"/>
          <w:color w:val="auto"/>
          <w:sz w:val="24"/>
          <w:highlight w:val="none"/>
        </w:rPr>
        <w:t>成果：</w:t>
      </w:r>
      <w:r>
        <w:rPr>
          <w:rFonts w:hint="eastAsia" w:ascii="宋体" w:hAnsi="宋体"/>
          <w:color w:val="auto"/>
          <w:sz w:val="24"/>
          <w:highlight w:val="none"/>
          <w:u w:val="single"/>
        </w:rPr>
        <w:t xml:space="preserve">           </w:t>
      </w:r>
      <w:r>
        <w:rPr>
          <w:rFonts w:hint="eastAsia" w:ascii="宋体" w:hAnsi="宋体"/>
          <w:color w:val="auto"/>
          <w:sz w:val="24"/>
          <w:highlight w:val="none"/>
        </w:rPr>
        <w:t>，我司已于</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日收到此工作成果，电子文档壹份，现予以确认。</w:t>
      </w:r>
    </w:p>
    <w:p w14:paraId="01E4DD3C">
      <w:pPr>
        <w:pStyle w:val="23"/>
        <w:wordWrap w:val="0"/>
        <w:spacing w:before="240" w:after="240" w:line="480" w:lineRule="auto"/>
        <w:ind w:left="4560" w:leftChars="229" w:hanging="4080" w:hangingChars="1700"/>
        <w:jc w:val="center"/>
        <w:rPr>
          <w:color w:val="auto"/>
          <w:highlight w:val="none"/>
        </w:rPr>
      </w:pPr>
      <w:r>
        <w:rPr>
          <w:rFonts w:hint="eastAsia" w:cs="Times New Roman"/>
          <w:color w:val="auto"/>
          <w:highlight w:val="none"/>
          <w:lang w:val="en-US" w:eastAsia="zh-CN"/>
        </w:rPr>
        <w:t xml:space="preserve">                      </w:t>
      </w:r>
      <w:r>
        <w:rPr>
          <w:rFonts w:hint="eastAsia" w:cs="Times New Roman"/>
          <w:color w:val="auto"/>
          <w:highlight w:val="none"/>
        </w:rPr>
        <w:t xml:space="preserve">   确认方：</w:t>
      </w:r>
      <w:r>
        <w:rPr>
          <w:b/>
          <w:bCs/>
          <w:color w:val="auto"/>
          <w:highlight w:val="none"/>
        </w:rPr>
        <w:t xml:space="preserve"> </w:t>
      </w:r>
    </w:p>
    <w:p w14:paraId="77F051C2">
      <w:pPr>
        <w:pStyle w:val="23"/>
        <w:spacing w:before="240" w:after="240" w:line="480" w:lineRule="auto"/>
        <w:ind w:left="4050" w:leftChars="1929" w:right="480"/>
        <w:jc w:val="center"/>
        <w:rPr>
          <w:color w:val="auto"/>
          <w:highlight w:val="none"/>
        </w:rPr>
      </w:pPr>
      <w:r>
        <w:rPr>
          <w:rFonts w:hint="eastAsia"/>
          <w:color w:val="auto"/>
          <w:highlight w:val="none"/>
        </w:rPr>
        <w:t>确认人：</w:t>
      </w:r>
    </w:p>
    <w:p w14:paraId="62A1196C">
      <w:pPr>
        <w:pStyle w:val="23"/>
        <w:spacing w:before="240" w:after="240" w:line="480" w:lineRule="auto"/>
        <w:ind w:firstLine="5760" w:firstLineChars="2400"/>
        <w:jc w:val="both"/>
        <w:rPr>
          <w:rFonts w:hint="eastAsia" w:cs="宋体"/>
          <w:color w:val="auto"/>
          <w:szCs w:val="21"/>
          <w:highlight w:val="none"/>
        </w:rPr>
      </w:pPr>
      <w:r>
        <w:rPr>
          <w:rFonts w:hint="eastAsia" w:cs="Times New Roman"/>
          <w:color w:val="auto"/>
          <w:highlight w:val="none"/>
        </w:rPr>
        <w:t>年   月   日</w:t>
      </w:r>
    </w:p>
    <w:p w14:paraId="2D64DFB4">
      <w:pPr>
        <w:rPr>
          <w:rFonts w:hint="eastAsia" w:eastAsia="黑体"/>
          <w:color w:val="auto"/>
          <w:sz w:val="28"/>
          <w:szCs w:val="44"/>
          <w:highlight w:val="none"/>
        </w:rPr>
      </w:pPr>
    </w:p>
    <w:p w14:paraId="74F9A601">
      <w:pPr>
        <w:rPr>
          <w:rFonts w:hint="eastAsia" w:eastAsia="黑体"/>
          <w:color w:val="auto"/>
          <w:sz w:val="28"/>
          <w:szCs w:val="44"/>
          <w:highlight w:val="none"/>
        </w:rPr>
      </w:pPr>
    </w:p>
    <w:p w14:paraId="4854338A">
      <w:pPr>
        <w:rPr>
          <w:rFonts w:hint="eastAsia" w:eastAsia="黑体"/>
          <w:color w:val="auto"/>
          <w:sz w:val="28"/>
          <w:szCs w:val="44"/>
          <w:highlight w:val="none"/>
        </w:rPr>
      </w:pPr>
    </w:p>
    <w:p w14:paraId="3899E092">
      <w:pPr>
        <w:rPr>
          <w:rFonts w:hint="eastAsia" w:eastAsia="黑体"/>
          <w:color w:val="auto"/>
          <w:sz w:val="28"/>
          <w:szCs w:val="44"/>
          <w:highlight w:val="none"/>
        </w:rPr>
      </w:pPr>
    </w:p>
    <w:p w14:paraId="3CDDFAFD">
      <w:pPr>
        <w:rPr>
          <w:rFonts w:hint="eastAsia" w:eastAsia="黑体"/>
          <w:color w:val="auto"/>
          <w:sz w:val="28"/>
          <w:szCs w:val="44"/>
          <w:highlight w:val="none"/>
        </w:rPr>
      </w:pPr>
    </w:p>
    <w:p w14:paraId="5BE82FCD">
      <w:pPr>
        <w:rPr>
          <w:rFonts w:hint="eastAsia" w:eastAsia="黑体"/>
          <w:color w:val="auto"/>
          <w:sz w:val="28"/>
          <w:szCs w:val="44"/>
          <w:highlight w:val="none"/>
        </w:rPr>
      </w:pPr>
    </w:p>
    <w:p w14:paraId="2A7411EF">
      <w:pPr>
        <w:rPr>
          <w:rFonts w:hint="eastAsia" w:eastAsia="黑体"/>
          <w:color w:val="auto"/>
          <w:sz w:val="28"/>
          <w:szCs w:val="44"/>
          <w:highlight w:val="none"/>
        </w:rPr>
      </w:pPr>
    </w:p>
    <w:p w14:paraId="60727158">
      <w:pPr>
        <w:rPr>
          <w:rFonts w:hint="eastAsia" w:eastAsia="黑体"/>
          <w:color w:val="auto"/>
          <w:sz w:val="28"/>
          <w:szCs w:val="44"/>
          <w:highlight w:val="none"/>
        </w:rPr>
      </w:pPr>
    </w:p>
    <w:p w14:paraId="011CF100">
      <w:pPr>
        <w:rPr>
          <w:rFonts w:hint="eastAsia" w:eastAsia="黑体"/>
          <w:color w:val="auto"/>
          <w:sz w:val="28"/>
          <w:szCs w:val="44"/>
          <w:highlight w:val="none"/>
        </w:rPr>
      </w:pPr>
    </w:p>
    <w:p w14:paraId="38C43FAA">
      <w:pPr>
        <w:rPr>
          <w:rFonts w:hint="eastAsia" w:eastAsia="黑体"/>
          <w:color w:val="auto"/>
          <w:sz w:val="28"/>
          <w:szCs w:val="44"/>
          <w:highlight w:val="none"/>
        </w:rPr>
      </w:pPr>
    </w:p>
    <w:p w14:paraId="2BD4FDEA">
      <w:pPr>
        <w:rPr>
          <w:rFonts w:hint="eastAsia" w:eastAsia="黑体"/>
          <w:color w:val="auto"/>
          <w:sz w:val="28"/>
          <w:szCs w:val="44"/>
          <w:highlight w:val="none"/>
        </w:rPr>
      </w:pPr>
    </w:p>
    <w:p w14:paraId="46E1C285">
      <w:pPr>
        <w:rPr>
          <w:rFonts w:hint="eastAsia" w:eastAsia="黑体"/>
          <w:color w:val="auto"/>
          <w:sz w:val="28"/>
          <w:szCs w:val="44"/>
          <w:highlight w:val="none"/>
        </w:rPr>
      </w:pPr>
    </w:p>
    <w:p w14:paraId="2D866310">
      <w:pPr>
        <w:rPr>
          <w:rFonts w:hint="eastAsia" w:eastAsia="黑体"/>
          <w:color w:val="auto"/>
          <w:sz w:val="28"/>
          <w:szCs w:val="44"/>
          <w:highlight w:val="none"/>
        </w:rPr>
      </w:pPr>
    </w:p>
    <w:p w14:paraId="21B54C77">
      <w:pPr>
        <w:rPr>
          <w:rFonts w:hint="eastAsia" w:eastAsia="黑体"/>
          <w:color w:val="auto"/>
          <w:sz w:val="28"/>
          <w:szCs w:val="44"/>
          <w:highlight w:val="none"/>
        </w:rPr>
      </w:pPr>
    </w:p>
    <w:p w14:paraId="11D40B6C">
      <w:pPr>
        <w:rPr>
          <w:rFonts w:hint="eastAsia" w:eastAsia="黑体"/>
          <w:color w:val="auto"/>
          <w:sz w:val="28"/>
          <w:szCs w:val="44"/>
          <w:highlight w:val="none"/>
        </w:rPr>
      </w:pPr>
    </w:p>
    <w:p w14:paraId="510D88FD">
      <w:pPr>
        <w:rPr>
          <w:rFonts w:hint="eastAsia" w:eastAsia="黑体"/>
          <w:color w:val="auto"/>
          <w:sz w:val="28"/>
          <w:szCs w:val="44"/>
          <w:highlight w:val="none"/>
        </w:rPr>
      </w:pPr>
    </w:p>
    <w:p w14:paraId="6A3FCF60">
      <w:pPr>
        <w:rPr>
          <w:rFonts w:hint="eastAsia" w:eastAsia="黑体"/>
          <w:color w:val="auto"/>
          <w:sz w:val="28"/>
          <w:szCs w:val="44"/>
          <w:highlight w:val="none"/>
        </w:rPr>
      </w:pPr>
    </w:p>
    <w:p w14:paraId="2371216B">
      <w:pPr>
        <w:rPr>
          <w:rFonts w:hint="eastAsia" w:eastAsia="黑体"/>
          <w:color w:val="auto"/>
          <w:sz w:val="28"/>
          <w:szCs w:val="44"/>
          <w:highlight w:val="none"/>
        </w:rPr>
      </w:pPr>
    </w:p>
    <w:p w14:paraId="0CC9E0DB">
      <w:pPr>
        <w:rPr>
          <w:rFonts w:hint="eastAsia" w:eastAsia="黑体"/>
          <w:color w:val="auto"/>
          <w:sz w:val="28"/>
          <w:szCs w:val="44"/>
          <w:highlight w:val="none"/>
        </w:rPr>
      </w:pPr>
    </w:p>
    <w:p w14:paraId="0528CE4A">
      <w:pPr>
        <w:rPr>
          <w:rFonts w:hint="eastAsia" w:eastAsia="黑体"/>
          <w:color w:val="auto"/>
          <w:sz w:val="28"/>
          <w:szCs w:val="44"/>
          <w:highlight w:val="none"/>
        </w:rPr>
      </w:pPr>
    </w:p>
    <w:p w14:paraId="3DEB77DA">
      <w:pPr>
        <w:rPr>
          <w:rFonts w:hint="eastAsia" w:eastAsia="黑体"/>
          <w:color w:val="auto"/>
          <w:sz w:val="28"/>
          <w:szCs w:val="44"/>
          <w:highlight w:val="none"/>
        </w:rPr>
      </w:pPr>
    </w:p>
    <w:p w14:paraId="3B74BE2A">
      <w:pPr>
        <w:rPr>
          <w:rFonts w:eastAsia="黑体"/>
          <w:color w:val="auto"/>
          <w:sz w:val="28"/>
          <w:szCs w:val="44"/>
          <w:highlight w:val="none"/>
        </w:rPr>
      </w:pPr>
      <w:r>
        <w:rPr>
          <w:rFonts w:hint="eastAsia" w:eastAsia="黑体"/>
          <w:color w:val="auto"/>
          <w:sz w:val="28"/>
          <w:szCs w:val="44"/>
          <w:highlight w:val="none"/>
        </w:rPr>
        <w:t>附件一报价函</w:t>
      </w:r>
    </w:p>
    <w:p w14:paraId="1858BDD4">
      <w:pPr>
        <w:jc w:val="center"/>
        <w:rPr>
          <w:rFonts w:eastAsia="华文中宋"/>
          <w:color w:val="auto"/>
          <w:sz w:val="44"/>
          <w:szCs w:val="44"/>
          <w:highlight w:val="none"/>
        </w:rPr>
      </w:pPr>
      <w:r>
        <w:rPr>
          <w:rFonts w:hint="eastAsia" w:eastAsia="华文中宋"/>
          <w:color w:val="auto"/>
          <w:sz w:val="44"/>
          <w:szCs w:val="44"/>
          <w:highlight w:val="none"/>
        </w:rPr>
        <w:t>报价函</w:t>
      </w:r>
    </w:p>
    <w:p w14:paraId="2D615066">
      <w:pPr>
        <w:ind w:firstLine="560"/>
        <w:jc w:val="center"/>
        <w:rPr>
          <w:rFonts w:eastAsia="仿宋_GB2312"/>
          <w:color w:val="auto"/>
          <w:sz w:val="32"/>
          <w:szCs w:val="32"/>
          <w:highlight w:val="none"/>
        </w:rPr>
      </w:pPr>
    </w:p>
    <w:p w14:paraId="4ACF2F10">
      <w:pPr>
        <w:spacing w:line="360" w:lineRule="auto"/>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w:t>
      </w:r>
    </w:p>
    <w:p w14:paraId="2403A61C">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lang w:eastAsia="zh-CN"/>
        </w:rPr>
        <w:t>东莞市松山湖高新区园区旗筑城市综合体前期策划咨询服务</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（小写），税率（必填）%</w:t>
      </w:r>
      <w:r>
        <w:rPr>
          <w:rFonts w:hint="eastAsia" w:eastAsia="仿宋_GB2312"/>
          <w:color w:val="auto"/>
          <w:sz w:val="32"/>
          <w:szCs w:val="32"/>
          <w:highlight w:val="none"/>
        </w:rPr>
        <w:t>承接此项目。</w:t>
      </w:r>
    </w:p>
    <w:p w14:paraId="24BE8EC5">
      <w:pPr>
        <w:ind w:firstLine="640" w:firstLineChars="200"/>
        <w:rPr>
          <w:rFonts w:eastAsia="仿宋_GB2312"/>
          <w:color w:val="auto"/>
          <w:sz w:val="32"/>
          <w:szCs w:val="32"/>
          <w:highlight w:val="none"/>
        </w:rPr>
      </w:pPr>
    </w:p>
    <w:p w14:paraId="4F496A0E">
      <w:pPr>
        <w:spacing w:line="360" w:lineRule="auto"/>
        <w:ind w:firstLine="640" w:firstLineChars="200"/>
        <w:rPr>
          <w:rFonts w:eastAsia="仿宋_GB2312"/>
          <w:color w:val="auto"/>
          <w:sz w:val="32"/>
          <w:szCs w:val="32"/>
          <w:highlight w:val="none"/>
        </w:rPr>
      </w:pPr>
    </w:p>
    <w:p w14:paraId="547EA274">
      <w:pPr>
        <w:spacing w:line="360" w:lineRule="auto"/>
        <w:ind w:firstLine="640" w:firstLineChars="200"/>
        <w:rPr>
          <w:rFonts w:eastAsia="仿宋_GB2312"/>
          <w:color w:val="auto"/>
          <w:sz w:val="32"/>
          <w:szCs w:val="32"/>
          <w:highlight w:val="none"/>
        </w:rPr>
      </w:pPr>
    </w:p>
    <w:p w14:paraId="5E4BD8C8">
      <w:pPr>
        <w:rPr>
          <w:rFonts w:eastAsia="仿宋_GB2312"/>
          <w:color w:val="auto"/>
          <w:sz w:val="32"/>
          <w:szCs w:val="32"/>
          <w:highlight w:val="none"/>
        </w:rPr>
      </w:pPr>
    </w:p>
    <w:p w14:paraId="5FA42536">
      <w:pPr>
        <w:spacing w:line="360" w:lineRule="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6781ECCD">
      <w:pPr>
        <w:spacing w:line="360" w:lineRule="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6E5BADF9">
      <w:pPr>
        <w:spacing w:line="360" w:lineRule="auto"/>
        <w:jc w:val="left"/>
        <w:rPr>
          <w:rFonts w:eastAsia="仿宋_GB2312"/>
          <w:color w:val="auto"/>
          <w:sz w:val="32"/>
          <w:szCs w:val="32"/>
          <w:highlight w:val="none"/>
        </w:rPr>
      </w:pPr>
      <w:r>
        <w:rPr>
          <w:rFonts w:hint="eastAsia" w:eastAsia="仿宋_GB2312"/>
          <w:color w:val="auto"/>
          <w:sz w:val="32"/>
          <w:szCs w:val="32"/>
          <w:highlight w:val="none"/>
        </w:rPr>
        <w:t>联系人：</w:t>
      </w:r>
    </w:p>
    <w:p w14:paraId="6906EBD0">
      <w:pPr>
        <w:spacing w:line="360" w:lineRule="auto"/>
        <w:jc w:val="left"/>
        <w:rPr>
          <w:rFonts w:eastAsia="仿宋_GB2312"/>
          <w:color w:val="auto"/>
          <w:sz w:val="32"/>
          <w:szCs w:val="32"/>
          <w:highlight w:val="none"/>
        </w:rPr>
      </w:pPr>
      <w:r>
        <w:rPr>
          <w:rFonts w:hint="eastAsia" w:eastAsia="仿宋_GB2312"/>
          <w:color w:val="auto"/>
          <w:sz w:val="32"/>
          <w:szCs w:val="32"/>
          <w:highlight w:val="none"/>
        </w:rPr>
        <w:t>联系电话：</w:t>
      </w:r>
    </w:p>
    <w:p w14:paraId="71DBC29D">
      <w:pPr>
        <w:spacing w:line="360" w:lineRule="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1FECB681">
      <w:pPr>
        <w:pStyle w:val="11"/>
        <w:rPr>
          <w:rFonts w:hint="eastAsia" w:eastAsia="仿宋_GB2312"/>
          <w:color w:val="auto"/>
          <w:sz w:val="32"/>
          <w:szCs w:val="32"/>
          <w:highlight w:val="none"/>
        </w:rPr>
      </w:pPr>
    </w:p>
    <w:p w14:paraId="0B2C0CF3">
      <w:pPr>
        <w:pStyle w:val="12"/>
        <w:rPr>
          <w:rFonts w:hint="eastAsia" w:eastAsia="仿宋_GB2312"/>
          <w:color w:val="auto"/>
          <w:sz w:val="32"/>
          <w:szCs w:val="32"/>
          <w:highlight w:val="none"/>
        </w:rPr>
      </w:pPr>
    </w:p>
    <w:p w14:paraId="069B6035">
      <w:pPr>
        <w:pStyle w:val="12"/>
        <w:rPr>
          <w:rFonts w:hint="eastAsia" w:eastAsia="仿宋_GB2312"/>
          <w:color w:val="auto"/>
          <w:sz w:val="32"/>
          <w:szCs w:val="32"/>
          <w:highlight w:val="none"/>
        </w:rPr>
      </w:pPr>
    </w:p>
    <w:p w14:paraId="79C42015">
      <w:pPr>
        <w:pStyle w:val="33"/>
        <w:rPr>
          <w:rFonts w:eastAsia="仿宋_GB2312"/>
          <w:color w:val="auto"/>
          <w:sz w:val="32"/>
          <w:szCs w:val="32"/>
          <w:highlight w:val="none"/>
        </w:rPr>
      </w:pPr>
    </w:p>
    <w:p w14:paraId="414BC0F1">
      <w:pPr>
        <w:rPr>
          <w:rFonts w:ascii="仿宋_GB2312" w:eastAsia="仿宋_GB2312"/>
          <w:color w:val="auto"/>
          <w:sz w:val="28"/>
          <w:szCs w:val="44"/>
          <w:highlight w:val="none"/>
        </w:rPr>
      </w:pPr>
      <w:r>
        <w:rPr>
          <w:rFonts w:hint="eastAsia" w:ascii="仿宋_GB2312" w:eastAsia="仿宋_GB2312"/>
          <w:color w:val="auto"/>
          <w:sz w:val="28"/>
          <w:szCs w:val="44"/>
          <w:highlight w:val="none"/>
        </w:rPr>
        <w:t>注：《报价函（最终报价）》在磋商后由法定代表人或授权委托人填报或签署并递交，不须与报价文件一同装订。</w:t>
      </w:r>
    </w:p>
    <w:p w14:paraId="3F31444A">
      <w:pPr>
        <w:ind w:firstLine="2200" w:firstLineChars="500"/>
        <w:rPr>
          <w:rFonts w:ascii="仿宋_GB2312" w:eastAsia="仿宋_GB2312"/>
          <w:color w:val="auto"/>
          <w:sz w:val="44"/>
          <w:szCs w:val="44"/>
          <w:highlight w:val="none"/>
        </w:rPr>
      </w:pPr>
      <w:r>
        <w:rPr>
          <w:rFonts w:hint="eastAsia" w:ascii="仿宋_GB2312" w:eastAsia="仿宋_GB2312"/>
          <w:color w:val="auto"/>
          <w:sz w:val="44"/>
          <w:szCs w:val="44"/>
          <w:highlight w:val="none"/>
        </w:rPr>
        <w:t>报</w:t>
      </w:r>
      <w:r>
        <w:rPr>
          <w:rFonts w:ascii="仿宋_GB2312" w:eastAsia="仿宋_GB2312"/>
          <w:color w:val="auto"/>
          <w:sz w:val="44"/>
          <w:szCs w:val="44"/>
          <w:highlight w:val="none"/>
        </w:rPr>
        <w:t xml:space="preserve"> </w:t>
      </w:r>
      <w:r>
        <w:rPr>
          <w:rFonts w:hint="eastAsia" w:ascii="仿宋_GB2312" w:eastAsia="仿宋_GB2312"/>
          <w:color w:val="auto"/>
          <w:sz w:val="44"/>
          <w:szCs w:val="44"/>
          <w:highlight w:val="none"/>
        </w:rPr>
        <w:t>价</w:t>
      </w:r>
      <w:r>
        <w:rPr>
          <w:rFonts w:ascii="仿宋_GB2312" w:eastAsia="仿宋_GB2312"/>
          <w:color w:val="auto"/>
          <w:sz w:val="44"/>
          <w:szCs w:val="44"/>
          <w:highlight w:val="none"/>
        </w:rPr>
        <w:t xml:space="preserve"> </w:t>
      </w:r>
      <w:r>
        <w:rPr>
          <w:rFonts w:hint="eastAsia" w:ascii="仿宋_GB2312" w:eastAsia="仿宋_GB2312"/>
          <w:color w:val="auto"/>
          <w:sz w:val="44"/>
          <w:szCs w:val="44"/>
          <w:highlight w:val="none"/>
        </w:rPr>
        <w:t>函（最终报价）</w:t>
      </w:r>
    </w:p>
    <w:p w14:paraId="5C730876">
      <w:pPr>
        <w:ind w:firstLine="560"/>
        <w:jc w:val="center"/>
        <w:rPr>
          <w:rFonts w:ascii="仿宋_GB2312" w:eastAsia="仿宋_GB2312"/>
          <w:color w:val="auto"/>
          <w:sz w:val="32"/>
          <w:szCs w:val="32"/>
          <w:highlight w:val="none"/>
        </w:rPr>
      </w:pPr>
    </w:p>
    <w:p w14:paraId="654922FC">
      <w:pPr>
        <w:spacing w:line="360" w:lineRule="auto"/>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u w:val="single"/>
        </w:rPr>
        <w:t>（采购人）</w:t>
      </w:r>
      <w:r>
        <w:rPr>
          <w:rFonts w:hint="eastAsia" w:eastAsia="仿宋_GB2312"/>
          <w:color w:val="auto"/>
          <w:sz w:val="32"/>
          <w:szCs w:val="32"/>
          <w:highlight w:val="none"/>
        </w:rPr>
        <w:t>：</w:t>
      </w:r>
    </w:p>
    <w:p w14:paraId="772FF329">
      <w:pPr>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根据贵司</w:t>
      </w:r>
      <w:r>
        <w:rPr>
          <w:rFonts w:hint="eastAsia" w:eastAsia="仿宋_GB2312"/>
          <w:color w:val="auto"/>
          <w:sz w:val="32"/>
          <w:szCs w:val="32"/>
          <w:highlight w:val="none"/>
          <w:u w:val="single"/>
          <w:lang w:eastAsia="zh-CN"/>
        </w:rPr>
        <w:t>东莞市松山湖高新区园区旗筑城市综合体前期策划咨询服务</w:t>
      </w:r>
      <w:r>
        <w:rPr>
          <w:rFonts w:hint="eastAsia" w:ascii="仿宋_GB2312" w:eastAsia="仿宋_GB2312"/>
          <w:color w:val="auto"/>
          <w:sz w:val="32"/>
          <w:szCs w:val="32"/>
          <w:highlight w:val="none"/>
        </w:rPr>
        <w:t>的竞争性磋商文件，经澄清，我司已清楚采购文件及采购人的全部需求，</w:t>
      </w:r>
      <w:r>
        <w:rPr>
          <w:rFonts w:hint="eastAsia" w:eastAsia="仿宋_GB2312"/>
          <w:color w:val="auto"/>
          <w:sz w:val="32"/>
          <w:szCs w:val="32"/>
          <w:highlight w:val="none"/>
        </w:rPr>
        <w:t>我司愿意以含税价合计人民币</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元（大写），</w:t>
      </w:r>
      <w:r>
        <w:rPr>
          <w:rFonts w:eastAsia="仿宋_GB2312"/>
          <w:color w:val="auto"/>
          <w:sz w:val="32"/>
          <w:szCs w:val="32"/>
          <w:highlight w:val="none"/>
          <w:u w:val="single"/>
        </w:rPr>
        <w:t>¥</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（小写），税率</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w:t>
      </w:r>
      <w:r>
        <w:rPr>
          <w:rFonts w:hint="eastAsia" w:eastAsia="仿宋_GB2312"/>
          <w:color w:val="auto"/>
          <w:sz w:val="32"/>
          <w:szCs w:val="32"/>
          <w:highlight w:val="none"/>
        </w:rPr>
        <w:t>承接此项目。</w:t>
      </w:r>
    </w:p>
    <w:p w14:paraId="48A7CF66">
      <w:pPr>
        <w:spacing w:line="360" w:lineRule="auto"/>
        <w:ind w:firstLine="570"/>
        <w:jc w:val="left"/>
        <w:rPr>
          <w:rFonts w:ascii="仿宋_GB2312" w:eastAsia="仿宋_GB2312"/>
          <w:color w:val="auto"/>
          <w:sz w:val="32"/>
          <w:szCs w:val="32"/>
          <w:highlight w:val="none"/>
        </w:rPr>
      </w:pPr>
    </w:p>
    <w:p w14:paraId="2779D1F9">
      <w:pPr>
        <w:rPr>
          <w:rFonts w:ascii="仿宋_GB2312" w:eastAsia="仿宋_GB2312"/>
          <w:color w:val="auto"/>
          <w:sz w:val="32"/>
          <w:szCs w:val="32"/>
          <w:highlight w:val="none"/>
        </w:rPr>
      </w:pPr>
    </w:p>
    <w:p w14:paraId="614491CF">
      <w:pPr>
        <w:rPr>
          <w:rFonts w:ascii="仿宋_GB2312" w:eastAsia="仿宋_GB2312"/>
          <w:color w:val="auto"/>
          <w:sz w:val="32"/>
          <w:szCs w:val="32"/>
          <w:highlight w:val="none"/>
        </w:rPr>
      </w:pPr>
    </w:p>
    <w:p w14:paraId="7F57B7B0">
      <w:pPr>
        <w:widowControl/>
        <w:adjustRightInd w:val="0"/>
        <w:snapToGrid w:val="0"/>
        <w:ind w:right="-89" w:firstLine="3840" w:firstLineChars="1200"/>
        <w:rPr>
          <w:rFonts w:ascii="仿宋_GB2312" w:eastAsia="仿宋_GB2312"/>
          <w:color w:val="auto"/>
          <w:sz w:val="32"/>
          <w:szCs w:val="32"/>
          <w:highlight w:val="none"/>
        </w:rPr>
      </w:pPr>
      <w:r>
        <w:rPr>
          <w:rFonts w:hint="eastAsia" w:ascii="仿宋_GB2312" w:eastAsia="仿宋_GB2312"/>
          <w:color w:val="auto"/>
          <w:sz w:val="32"/>
          <w:szCs w:val="32"/>
          <w:highlight w:val="none"/>
        </w:rPr>
        <w:t>响应人：</w:t>
      </w:r>
    </w:p>
    <w:p w14:paraId="2799DA0A">
      <w:pPr>
        <w:widowControl/>
        <w:adjustRightInd w:val="0"/>
        <w:snapToGrid w:val="0"/>
        <w:spacing w:before="100" w:beforeAutospacing="1" w:after="100" w:afterAutospacing="1"/>
        <w:ind w:firstLine="3840" w:firstLineChars="1200"/>
        <w:rPr>
          <w:rFonts w:ascii="仿宋_GB2312" w:eastAsia="仿宋_GB2312"/>
          <w:color w:val="auto"/>
          <w:sz w:val="32"/>
          <w:szCs w:val="32"/>
          <w:highlight w:val="none"/>
        </w:rPr>
      </w:pPr>
      <w:r>
        <w:rPr>
          <w:rFonts w:hint="eastAsia" w:ascii="仿宋_GB2312" w:eastAsia="仿宋_GB2312"/>
          <w:color w:val="auto"/>
          <w:sz w:val="32"/>
          <w:szCs w:val="32"/>
          <w:highlight w:val="none"/>
        </w:rPr>
        <w:t>法人代表或</w:t>
      </w:r>
    </w:p>
    <w:p w14:paraId="55213056">
      <w:pPr>
        <w:widowControl/>
        <w:adjustRightInd w:val="0"/>
        <w:snapToGrid w:val="0"/>
        <w:spacing w:before="100" w:beforeAutospacing="1" w:after="100" w:afterAutospacing="1"/>
        <w:ind w:firstLine="3840" w:firstLineChars="1200"/>
        <w:rPr>
          <w:rFonts w:ascii="仿宋_GB2312" w:eastAsia="仿宋_GB2312"/>
          <w:color w:val="auto"/>
          <w:sz w:val="32"/>
          <w:szCs w:val="32"/>
          <w:highlight w:val="none"/>
        </w:rPr>
      </w:pPr>
      <w:r>
        <w:rPr>
          <w:rFonts w:hint="eastAsia" w:ascii="仿宋_GB2312" w:eastAsia="仿宋_GB2312"/>
          <w:color w:val="auto"/>
          <w:sz w:val="32"/>
          <w:szCs w:val="32"/>
          <w:highlight w:val="none"/>
        </w:rPr>
        <w:t>被授权委托人（签名）：</w:t>
      </w:r>
    </w:p>
    <w:p w14:paraId="1A31A6DF">
      <w:pPr>
        <w:ind w:right="960" w:firstLine="3680" w:firstLineChars="1150"/>
        <w:rPr>
          <w:rFonts w:ascii="仿宋_GB2312" w:eastAsia="仿宋_GB2312"/>
          <w:color w:val="auto"/>
          <w:sz w:val="32"/>
          <w:szCs w:val="32"/>
          <w:highlight w:val="none"/>
        </w:rPr>
      </w:pP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日期：</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日</w:t>
      </w:r>
    </w:p>
    <w:p w14:paraId="4A7D7075">
      <w:pPr>
        <w:pStyle w:val="3"/>
        <w:spacing w:before="0" w:after="0" w:line="360" w:lineRule="auto"/>
        <w:rPr>
          <w:color w:val="auto"/>
          <w:sz w:val="18"/>
          <w:szCs w:val="18"/>
          <w:highlight w:val="none"/>
        </w:rPr>
      </w:pPr>
    </w:p>
    <w:p w14:paraId="78D3CC65">
      <w:pPr>
        <w:widowControl/>
        <w:jc w:val="left"/>
        <w:rPr>
          <w:rFonts w:eastAsia="黑体"/>
          <w:color w:val="auto"/>
          <w:sz w:val="28"/>
          <w:szCs w:val="44"/>
          <w:highlight w:val="none"/>
        </w:rPr>
      </w:pPr>
    </w:p>
    <w:p w14:paraId="4CF3E471">
      <w:pPr>
        <w:pStyle w:val="33"/>
        <w:rPr>
          <w:rFonts w:eastAsia="黑体"/>
          <w:color w:val="auto"/>
          <w:sz w:val="28"/>
          <w:szCs w:val="44"/>
          <w:highlight w:val="none"/>
        </w:rPr>
      </w:pPr>
    </w:p>
    <w:p w14:paraId="12304229">
      <w:pPr>
        <w:pStyle w:val="33"/>
        <w:rPr>
          <w:rFonts w:eastAsia="黑体"/>
          <w:color w:val="auto"/>
          <w:sz w:val="28"/>
          <w:szCs w:val="44"/>
          <w:highlight w:val="none"/>
        </w:rPr>
      </w:pPr>
    </w:p>
    <w:p w14:paraId="3D2E9544">
      <w:pPr>
        <w:widowControl/>
        <w:jc w:val="left"/>
        <w:rPr>
          <w:rFonts w:eastAsia="黑体"/>
          <w:color w:val="auto"/>
          <w:sz w:val="28"/>
          <w:szCs w:val="44"/>
          <w:highlight w:val="none"/>
        </w:rPr>
      </w:pPr>
    </w:p>
    <w:p w14:paraId="5F1668F0">
      <w:pPr>
        <w:widowControl/>
        <w:jc w:val="left"/>
        <w:rPr>
          <w:rFonts w:eastAsia="黑体"/>
          <w:color w:val="auto"/>
          <w:sz w:val="28"/>
          <w:szCs w:val="44"/>
          <w:highlight w:val="none"/>
        </w:rPr>
      </w:pPr>
    </w:p>
    <w:p w14:paraId="477AFEFF">
      <w:pPr>
        <w:widowControl/>
        <w:jc w:val="left"/>
        <w:rPr>
          <w:rFonts w:eastAsia="黑体"/>
          <w:color w:val="auto"/>
          <w:sz w:val="28"/>
          <w:szCs w:val="44"/>
          <w:highlight w:val="none"/>
        </w:rPr>
      </w:pPr>
      <w:r>
        <w:rPr>
          <w:rFonts w:hint="eastAsia" w:eastAsia="黑体"/>
          <w:color w:val="auto"/>
          <w:sz w:val="28"/>
          <w:szCs w:val="44"/>
          <w:highlight w:val="none"/>
        </w:rPr>
        <w:t>附件二法人证明</w:t>
      </w:r>
    </w:p>
    <w:p w14:paraId="132021EA">
      <w:pPr>
        <w:pStyle w:val="49"/>
        <w:ind w:firstLine="0" w:firstLineChars="0"/>
        <w:jc w:val="left"/>
        <w:rPr>
          <w:rFonts w:eastAsia="黑体"/>
          <w:color w:val="auto"/>
          <w:sz w:val="28"/>
          <w:szCs w:val="44"/>
          <w:highlight w:val="none"/>
        </w:rPr>
      </w:pPr>
    </w:p>
    <w:p w14:paraId="5B464755">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20CE95DE">
      <w:pPr>
        <w:rPr>
          <w:rFonts w:eastAsia="仿宋_GB2312"/>
          <w:color w:val="auto"/>
          <w:sz w:val="32"/>
          <w:szCs w:val="32"/>
          <w:highlight w:val="none"/>
        </w:rPr>
      </w:pPr>
    </w:p>
    <w:p w14:paraId="174AB169">
      <w:pPr>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w:t>
      </w:r>
    </w:p>
    <w:p w14:paraId="6455BBBD">
      <w:pPr>
        <w:pStyle w:val="48"/>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4440AF58">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6F76D383">
      <w:pPr>
        <w:spacing w:line="600" w:lineRule="exact"/>
        <w:rPr>
          <w:rFonts w:eastAsia="仿宋_GB2312"/>
          <w:color w:val="auto"/>
          <w:sz w:val="32"/>
          <w:szCs w:val="32"/>
          <w:highlight w:val="none"/>
        </w:rPr>
      </w:pPr>
    </w:p>
    <w:p w14:paraId="5EE47C7A">
      <w:pPr>
        <w:spacing w:line="600" w:lineRule="exact"/>
        <w:rPr>
          <w:rFonts w:eastAsia="仿宋_GB2312"/>
          <w:color w:val="auto"/>
          <w:sz w:val="32"/>
          <w:szCs w:val="32"/>
          <w:highlight w:val="none"/>
        </w:rPr>
      </w:pPr>
    </w:p>
    <w:p w14:paraId="46D27662">
      <w:pPr>
        <w:spacing w:line="600" w:lineRule="exact"/>
        <w:rPr>
          <w:rFonts w:eastAsia="仿宋_GB2312"/>
          <w:color w:val="auto"/>
          <w:sz w:val="32"/>
          <w:szCs w:val="32"/>
          <w:highlight w:val="none"/>
        </w:rPr>
      </w:pPr>
    </w:p>
    <w:p w14:paraId="1A1DBCE0">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129F4E5F">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7576E402">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2B40A401">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69AEC9DF">
      <w:pPr>
        <w:rPr>
          <w:rFonts w:eastAsia="仿宋_GB2312"/>
          <w:color w:val="auto"/>
          <w:sz w:val="32"/>
          <w:szCs w:val="32"/>
          <w:highlight w:val="none"/>
        </w:rPr>
      </w:pPr>
    </w:p>
    <w:p w14:paraId="75FE5E9F">
      <w:pPr>
        <w:widowControl/>
        <w:jc w:val="center"/>
        <w:rPr>
          <w:rFonts w:eastAsia="仿宋_GB2312"/>
          <w:color w:val="auto"/>
          <w:sz w:val="32"/>
          <w:szCs w:val="32"/>
          <w:highlight w:val="none"/>
        </w:rPr>
      </w:pPr>
      <w:r>
        <w:rPr>
          <w:rFonts w:eastAsia="仿宋_GB2312"/>
          <w:color w:val="auto"/>
          <w:sz w:val="32"/>
          <w:szCs w:val="32"/>
          <w:highlight w:val="none"/>
        </w:rPr>
        <w:br w:type="page"/>
      </w:r>
      <w:bookmarkStart w:id="7" w:name="_Toc384752807"/>
    </w:p>
    <w:p w14:paraId="382355FB">
      <w:pPr>
        <w:pStyle w:val="49"/>
        <w:ind w:firstLine="0" w:firstLineChars="0"/>
        <w:jc w:val="left"/>
        <w:outlineLvl w:val="1"/>
        <w:rPr>
          <w:rFonts w:hint="eastAsia" w:eastAsia="宋体"/>
          <w:color w:val="auto"/>
          <w:sz w:val="28"/>
          <w:szCs w:val="44"/>
          <w:highlight w:val="none"/>
          <w:lang w:eastAsia="zh-CN"/>
        </w:rPr>
      </w:pPr>
      <w:bookmarkStart w:id="8" w:name="_Hlk40704362"/>
      <w:r>
        <w:rPr>
          <w:rFonts w:hint="eastAsia" w:eastAsia="黑体"/>
          <w:color w:val="auto"/>
          <w:sz w:val="28"/>
          <w:szCs w:val="44"/>
          <w:highlight w:val="none"/>
        </w:rPr>
        <w:t>附件</w:t>
      </w:r>
      <w:r>
        <w:rPr>
          <w:rFonts w:hint="eastAsia" w:eastAsia="黑体"/>
          <w:color w:val="auto"/>
          <w:sz w:val="28"/>
          <w:szCs w:val="44"/>
          <w:highlight w:val="none"/>
          <w:lang w:val="en-US" w:eastAsia="zh-CN"/>
        </w:rPr>
        <w:t>三分支机构</w:t>
      </w:r>
      <w:r>
        <w:rPr>
          <w:rFonts w:hint="eastAsia" w:eastAsia="黑体"/>
          <w:color w:val="auto"/>
          <w:sz w:val="28"/>
          <w:szCs w:val="44"/>
          <w:highlight w:val="none"/>
        </w:rPr>
        <w:t>授权书</w:t>
      </w:r>
      <w:r>
        <w:rPr>
          <w:rFonts w:hint="eastAsia"/>
          <w:color w:val="auto"/>
          <w:highlight w:val="none"/>
          <w:lang w:eastAsia="zh-CN"/>
        </w:rPr>
        <w:t>（</w:t>
      </w:r>
      <w:r>
        <w:rPr>
          <w:rFonts w:hint="eastAsia"/>
          <w:color w:val="auto"/>
          <w:highlight w:val="none"/>
          <w:lang w:val="en-US" w:eastAsia="zh-CN"/>
        </w:rPr>
        <w:t>若有</w:t>
      </w:r>
      <w:r>
        <w:rPr>
          <w:rFonts w:hint="eastAsia"/>
          <w:color w:val="auto"/>
          <w:highlight w:val="none"/>
          <w:lang w:eastAsia="zh-CN"/>
        </w:rPr>
        <w:t>）</w:t>
      </w:r>
    </w:p>
    <w:p w14:paraId="31F3DEFA">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p>
    <w:p w14:paraId="607DE88E">
      <w:pPr>
        <w:pStyle w:val="48"/>
        <w:ind w:firstLine="0" w:firstLineChars="0"/>
        <w:rPr>
          <w:rFonts w:ascii="Times New Roman" w:hAnsi="Times New Roman"/>
          <w:color w:val="auto"/>
          <w:sz w:val="32"/>
          <w:szCs w:val="32"/>
          <w:highlight w:val="none"/>
        </w:rPr>
      </w:pPr>
    </w:p>
    <w:p w14:paraId="316A8C2E">
      <w:pPr>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w:t>
      </w:r>
    </w:p>
    <w:p w14:paraId="3423C622">
      <w:pPr>
        <w:pStyle w:val="48"/>
        <w:ind w:firstLine="640" w:firstLineChars="200"/>
        <w:rPr>
          <w:rFonts w:hint="eastAsia" w:ascii="仿宋" w:hAnsi="仿宋" w:eastAsia="仿宋" w:cs="仿宋"/>
          <w:color w:val="auto"/>
          <w:sz w:val="30"/>
          <w:szCs w:val="30"/>
          <w:highlight w:val="none"/>
          <w:lang w:val="en-US" w:eastAsia="zh-CN"/>
        </w:rPr>
      </w:pPr>
      <w:r>
        <w:rPr>
          <w:rFonts w:hint="eastAsia" w:ascii="Times New Roman" w:hAnsi="Times New Roman"/>
          <w:color w:val="auto"/>
          <w:sz w:val="32"/>
          <w:szCs w:val="32"/>
          <w:highlight w:val="none"/>
        </w:rPr>
        <w:t>本委托书声明：</w:t>
      </w:r>
      <w:r>
        <w:rPr>
          <w:rFonts w:hint="eastAsia" w:ascii="Times New Roman" w:hAnsi="Times New Roman"/>
          <w:color w:val="auto"/>
          <w:sz w:val="32"/>
          <w:szCs w:val="32"/>
          <w:highlight w:val="none"/>
          <w:u w:val="single"/>
          <w:lang w:val="en-US" w:eastAsia="zh-CN"/>
        </w:rPr>
        <w:t xml:space="preserve">       </w:t>
      </w:r>
      <w:r>
        <w:rPr>
          <w:rFonts w:hint="eastAsia" w:ascii="仿宋" w:hAnsi="仿宋" w:eastAsia="仿宋" w:cs="仿宋"/>
          <w:color w:val="auto"/>
          <w:sz w:val="30"/>
          <w:szCs w:val="30"/>
          <w:highlight w:val="none"/>
          <w:lang w:val="en-US" w:eastAsia="zh-CN"/>
        </w:rPr>
        <w:t>（分支机构全称）</w:t>
      </w:r>
      <w:r>
        <w:rPr>
          <w:rFonts w:hint="eastAsia" w:ascii="Times New Roman" w:hAnsi="Times New Roman"/>
          <w:color w:val="auto"/>
          <w:sz w:val="32"/>
          <w:szCs w:val="32"/>
          <w:highlight w:val="none"/>
          <w:lang w:val="en-US" w:eastAsia="zh-CN"/>
        </w:rPr>
        <w:t>为</w:t>
      </w:r>
      <w:r>
        <w:rPr>
          <w:rFonts w:hint="eastAsia" w:ascii="仿宋" w:hAnsi="仿宋" w:eastAsia="仿宋" w:cs="仿宋"/>
          <w:color w:val="auto"/>
          <w:sz w:val="30"/>
          <w:szCs w:val="30"/>
          <w:highlight w:val="none"/>
          <w:lang w:val="en-US" w:eastAsia="zh-CN"/>
        </w:rPr>
        <w:t>我司依法设立的分支机构，我司同意并授权</w:t>
      </w:r>
      <w:r>
        <w:rPr>
          <w:rFonts w:hint="eastAsia" w:ascii="Times New Roman" w:hAnsi="Times New Roman"/>
          <w:color w:val="auto"/>
          <w:sz w:val="32"/>
          <w:szCs w:val="32"/>
          <w:highlight w:val="none"/>
          <w:u w:val="single"/>
          <w:lang w:val="en-US" w:eastAsia="zh-CN"/>
        </w:rPr>
        <w:t xml:space="preserve">       </w:t>
      </w:r>
      <w:r>
        <w:rPr>
          <w:rFonts w:hint="eastAsia" w:ascii="仿宋" w:hAnsi="仿宋" w:eastAsia="仿宋" w:cs="仿宋"/>
          <w:color w:val="auto"/>
          <w:sz w:val="30"/>
          <w:szCs w:val="30"/>
          <w:highlight w:val="none"/>
          <w:lang w:val="en-US" w:eastAsia="zh-CN"/>
        </w:rPr>
        <w:t>（分支机构全称）参与</w:t>
      </w:r>
      <w:r>
        <w:rPr>
          <w:rFonts w:hint="eastAsia" w:eastAsia="仿宋_GB2312"/>
          <w:color w:val="auto"/>
          <w:sz w:val="32"/>
          <w:szCs w:val="32"/>
          <w:highlight w:val="none"/>
          <w:u w:val="single"/>
          <w:lang w:eastAsia="zh-CN"/>
        </w:rPr>
        <w:t>东莞市松山湖高新区园区旗筑城市综合体前期策划咨询服务</w:t>
      </w:r>
      <w:r>
        <w:rPr>
          <w:rFonts w:hint="eastAsia" w:ascii="仿宋" w:hAnsi="仿宋" w:eastAsia="仿宋" w:cs="仿宋"/>
          <w:color w:val="auto"/>
          <w:sz w:val="30"/>
          <w:szCs w:val="30"/>
          <w:highlight w:val="none"/>
          <w:lang w:val="en-US" w:eastAsia="zh-CN"/>
        </w:rPr>
        <w:t>项目投标、报价、谈判等事宜</w:t>
      </w:r>
      <w:r>
        <w:rPr>
          <w:rFonts w:hint="eastAsia"/>
          <w:color w:val="auto"/>
          <w:sz w:val="32"/>
          <w:szCs w:val="32"/>
          <w:highlight w:val="none"/>
          <w:lang w:val="en-US" w:eastAsia="zh-CN"/>
        </w:rPr>
        <w:t>；如</w:t>
      </w:r>
      <w:r>
        <w:rPr>
          <w:rFonts w:hint="eastAsia" w:ascii="Times New Roman" w:hAnsi="Times New Roman"/>
          <w:color w:val="auto"/>
          <w:sz w:val="32"/>
          <w:szCs w:val="32"/>
          <w:highlight w:val="none"/>
          <w:u w:val="single"/>
          <w:lang w:val="en-US" w:eastAsia="zh-CN"/>
        </w:rPr>
        <w:t xml:space="preserve">       </w:t>
      </w:r>
      <w:r>
        <w:rPr>
          <w:rFonts w:hint="eastAsia" w:ascii="仿宋" w:hAnsi="仿宋" w:eastAsia="仿宋" w:cs="仿宋"/>
          <w:color w:val="auto"/>
          <w:sz w:val="30"/>
          <w:szCs w:val="30"/>
          <w:highlight w:val="none"/>
          <w:lang w:val="en-US" w:eastAsia="zh-CN"/>
        </w:rPr>
        <w:t>（分支机构全称）中标的，我司由</w:t>
      </w:r>
      <w:r>
        <w:rPr>
          <w:rFonts w:hint="eastAsia" w:ascii="Times New Roman" w:hAnsi="Times New Roman"/>
          <w:color w:val="auto"/>
          <w:sz w:val="32"/>
          <w:szCs w:val="32"/>
          <w:highlight w:val="none"/>
          <w:u w:val="single"/>
          <w:lang w:val="en-US" w:eastAsia="zh-CN"/>
        </w:rPr>
        <w:t xml:space="preserve">       </w:t>
      </w:r>
      <w:r>
        <w:rPr>
          <w:rFonts w:hint="eastAsia" w:ascii="仿宋" w:hAnsi="仿宋" w:eastAsia="仿宋" w:cs="仿宋"/>
          <w:color w:val="auto"/>
          <w:sz w:val="30"/>
          <w:szCs w:val="30"/>
          <w:highlight w:val="none"/>
          <w:lang w:val="en-US" w:eastAsia="zh-CN"/>
        </w:rPr>
        <w:t>（分支机构全称）与贵司签署相关服务合同并由其按约定为贵司提供相关</w:t>
      </w:r>
      <w:r>
        <w:rPr>
          <w:rFonts w:hint="eastAsia" w:ascii="仿宋" w:hAnsi="仿宋" w:eastAsia="仿宋" w:cs="仿宋"/>
          <w:color w:val="auto"/>
          <w:sz w:val="30"/>
          <w:szCs w:val="30"/>
          <w:highlight w:val="none"/>
          <w:u w:val="none"/>
          <w:lang w:val="en-US" w:eastAsia="zh-CN"/>
        </w:rPr>
        <w:t>服务。</w:t>
      </w:r>
    </w:p>
    <w:p w14:paraId="7A439B52">
      <w:pPr>
        <w:pStyle w:val="33"/>
        <w:ind w:firstLine="659"/>
        <w:rPr>
          <w:rFonts w:ascii="Times New Roman" w:hAnsi="Times New Roman"/>
          <w:color w:val="auto"/>
          <w:sz w:val="32"/>
          <w:szCs w:val="32"/>
          <w:highlight w:val="none"/>
        </w:rPr>
      </w:pPr>
      <w:r>
        <w:rPr>
          <w:rFonts w:hint="eastAsia" w:ascii="仿宋" w:hAnsi="仿宋" w:eastAsia="仿宋" w:cs="仿宋"/>
          <w:color w:val="auto"/>
          <w:sz w:val="30"/>
          <w:szCs w:val="30"/>
          <w:highlight w:val="none"/>
          <w:lang w:val="en-US" w:eastAsia="zh-CN"/>
        </w:rPr>
        <w:t>我司对</w:t>
      </w:r>
      <w:r>
        <w:rPr>
          <w:rFonts w:hint="eastAsia" w:ascii="Times New Roman" w:hAnsi="Times New Roman"/>
          <w:color w:val="auto"/>
          <w:sz w:val="32"/>
          <w:szCs w:val="32"/>
          <w:highlight w:val="none"/>
          <w:u w:val="single"/>
          <w:lang w:val="en-US" w:eastAsia="zh-CN"/>
        </w:rPr>
        <w:t xml:space="preserve">       </w:t>
      </w:r>
      <w:r>
        <w:rPr>
          <w:rFonts w:hint="eastAsia" w:ascii="仿宋" w:hAnsi="仿宋" w:eastAsia="仿宋"/>
          <w:color w:val="auto"/>
          <w:sz w:val="30"/>
          <w:szCs w:val="30"/>
          <w:highlight w:val="none"/>
          <w:lang w:val="en-US" w:eastAsia="zh-CN"/>
        </w:rPr>
        <w:t>（分支机构全称）</w:t>
      </w:r>
      <w:r>
        <w:rPr>
          <w:rFonts w:hint="eastAsia" w:ascii="仿宋" w:hAnsi="仿宋" w:eastAsia="仿宋" w:cs="仿宋"/>
          <w:color w:val="auto"/>
          <w:sz w:val="30"/>
          <w:szCs w:val="30"/>
          <w:highlight w:val="none"/>
          <w:lang w:val="en-US" w:eastAsia="zh-CN"/>
        </w:rPr>
        <w:t>履行上述授权事项</w:t>
      </w:r>
      <w:r>
        <w:rPr>
          <w:rFonts w:hint="eastAsia" w:eastAsia="仿宋" w:cs="仿宋"/>
          <w:color w:val="auto"/>
          <w:sz w:val="30"/>
          <w:szCs w:val="30"/>
          <w:highlight w:val="none"/>
          <w:lang w:val="en-US" w:eastAsia="zh-CN"/>
        </w:rPr>
        <w:t>及签署的全部文件</w:t>
      </w:r>
      <w:r>
        <w:rPr>
          <w:rFonts w:hint="eastAsia" w:ascii="仿宋" w:hAnsi="仿宋" w:eastAsia="仿宋" w:cs="仿宋"/>
          <w:color w:val="auto"/>
          <w:sz w:val="30"/>
          <w:szCs w:val="30"/>
          <w:highlight w:val="none"/>
          <w:lang w:val="en-US" w:eastAsia="zh-CN"/>
        </w:rPr>
        <w:t>的法律后果予以认可并承担因此产生全部法律责任。</w:t>
      </w:r>
    </w:p>
    <w:p w14:paraId="65DAA39D">
      <w:pPr>
        <w:pStyle w:val="48"/>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日签字生效，特此声明。</w:t>
      </w:r>
    </w:p>
    <w:p w14:paraId="51238E3E">
      <w:pPr>
        <w:pStyle w:val="48"/>
        <w:ind w:firstLine="659"/>
        <w:rPr>
          <w:rFonts w:ascii="Times New Roman" w:hAnsi="Times New Roman"/>
          <w:color w:val="auto"/>
          <w:sz w:val="32"/>
          <w:szCs w:val="32"/>
          <w:highlight w:val="none"/>
        </w:rPr>
      </w:pPr>
    </w:p>
    <w:p w14:paraId="6C51EDFF">
      <w:pPr>
        <w:pStyle w:val="48"/>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lang w:val="en-US" w:eastAsia="zh-CN"/>
        </w:rPr>
        <w:t>委托人：</w:t>
      </w:r>
      <w:r>
        <w:rPr>
          <w:rFonts w:hint="eastAsia" w:ascii="Times New Roman" w:hAnsi="Times New Roman"/>
          <w:color w:val="auto"/>
          <w:sz w:val="32"/>
          <w:szCs w:val="32"/>
          <w:highlight w:val="none"/>
        </w:rPr>
        <w:t>（加盖公章）：</w:t>
      </w:r>
    </w:p>
    <w:p w14:paraId="644D941A">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lang w:val="en-US" w:eastAsia="zh-CN"/>
        </w:rPr>
        <w:t>委托单位法定代表人</w:t>
      </w:r>
      <w:r>
        <w:rPr>
          <w:rFonts w:hint="eastAsia" w:ascii="Times New Roman" w:hAnsi="Times New Roman"/>
          <w:color w:val="auto"/>
          <w:sz w:val="32"/>
          <w:szCs w:val="32"/>
          <w:highlight w:val="none"/>
        </w:rPr>
        <w:t>（签字或盖章）：</w:t>
      </w:r>
    </w:p>
    <w:p w14:paraId="75CBD8C7">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lang w:val="en-US" w:eastAsia="zh-CN"/>
        </w:rPr>
        <w:t>职务</w:t>
      </w:r>
      <w:r>
        <w:rPr>
          <w:rFonts w:hint="eastAsia" w:ascii="Times New Roman" w:hAnsi="Times New Roman"/>
          <w:color w:val="auto"/>
          <w:sz w:val="32"/>
          <w:szCs w:val="32"/>
          <w:highlight w:val="none"/>
        </w:rPr>
        <w:t>：</w:t>
      </w:r>
    </w:p>
    <w:p w14:paraId="22E74C55">
      <w:pPr>
        <w:pStyle w:val="48"/>
        <w:ind w:right="160" w:firstLine="0" w:firstLineChars="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受委托人：</w:t>
      </w:r>
      <w:r>
        <w:rPr>
          <w:rFonts w:hint="eastAsia" w:ascii="Times New Roman" w:hAnsi="Times New Roman"/>
          <w:color w:val="auto"/>
          <w:sz w:val="32"/>
          <w:szCs w:val="32"/>
          <w:highlight w:val="none"/>
        </w:rPr>
        <w:t>（加盖公章）：</w:t>
      </w:r>
    </w:p>
    <w:p w14:paraId="6E832D10">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lang w:val="en-US" w:eastAsia="zh-CN"/>
        </w:rPr>
        <w:t>受委托人负责人</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（签字或盖章）：</w:t>
      </w:r>
    </w:p>
    <w:p w14:paraId="70E32372">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68D5B2A6">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762D8959">
      <w:pPr>
        <w:ind w:firstLine="0" w:firstLineChars="0"/>
        <w:jc w:val="left"/>
        <w:outlineLvl w:val="1"/>
        <w:rPr>
          <w:rFonts w:hint="eastAsia" w:eastAsia="黑体"/>
          <w:color w:val="auto"/>
          <w:sz w:val="28"/>
          <w:szCs w:val="44"/>
          <w:highlight w:val="none"/>
        </w:rPr>
      </w:pPr>
      <w:r>
        <w:rPr>
          <w:rFonts w:hint="eastAsia" w:eastAsia="黑体"/>
          <w:color w:val="auto"/>
          <w:sz w:val="28"/>
          <w:szCs w:val="44"/>
          <w:highlight w:val="none"/>
        </w:rPr>
        <w:br w:type="page"/>
      </w:r>
    </w:p>
    <w:p w14:paraId="201CA9C7">
      <w:pPr>
        <w:pStyle w:val="49"/>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四</w:t>
      </w:r>
      <w:r>
        <w:rPr>
          <w:rFonts w:hint="eastAsia" w:eastAsia="黑体"/>
          <w:color w:val="auto"/>
          <w:sz w:val="28"/>
          <w:szCs w:val="44"/>
          <w:highlight w:val="none"/>
        </w:rPr>
        <w:t>法人授权书</w:t>
      </w:r>
    </w:p>
    <w:p w14:paraId="762CEDEC">
      <w:pPr>
        <w:widowControl/>
        <w:jc w:val="center"/>
        <w:rPr>
          <w:rFonts w:eastAsia="仿宋_GB2312"/>
          <w:b/>
          <w:color w:val="auto"/>
          <w:sz w:val="32"/>
          <w:szCs w:val="32"/>
          <w:highlight w:val="none"/>
        </w:rPr>
      </w:pPr>
    </w:p>
    <w:p w14:paraId="1B766C21">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7"/>
    </w:p>
    <w:p w14:paraId="0ACA81C7">
      <w:pPr>
        <w:pStyle w:val="48"/>
        <w:ind w:firstLine="0" w:firstLineChars="0"/>
        <w:rPr>
          <w:rFonts w:ascii="Times New Roman" w:hAnsi="Times New Roman"/>
          <w:color w:val="auto"/>
          <w:sz w:val="32"/>
          <w:szCs w:val="32"/>
          <w:highlight w:val="none"/>
        </w:rPr>
      </w:pPr>
    </w:p>
    <w:p w14:paraId="18EBF763">
      <w:pPr>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w:t>
      </w:r>
    </w:p>
    <w:p w14:paraId="24BABB9A">
      <w:pPr>
        <w:pStyle w:val="48"/>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eastAsia="仿宋_GB2312"/>
          <w:color w:val="auto"/>
          <w:sz w:val="32"/>
          <w:szCs w:val="32"/>
          <w:highlight w:val="none"/>
          <w:u w:val="single"/>
          <w:lang w:eastAsia="zh-CN"/>
        </w:rPr>
        <w:t>东莞市松山湖高新区园区旗筑城市综合体前期策划咨询服务</w:t>
      </w:r>
      <w:r>
        <w:rPr>
          <w:rFonts w:hint="eastAsia"/>
          <w:color w:val="auto"/>
          <w:sz w:val="32"/>
          <w:szCs w:val="32"/>
          <w:highlight w:val="none"/>
        </w:rPr>
        <w:t>项目</w:t>
      </w:r>
      <w:r>
        <w:rPr>
          <w:rFonts w:hint="eastAsia" w:ascii="Times New Roman" w:hAnsi="Times New Roman"/>
          <w:color w:val="auto"/>
          <w:sz w:val="32"/>
          <w:szCs w:val="32"/>
          <w:highlight w:val="none"/>
        </w:rPr>
        <w:t>等相关服务的磋商和合同的执行，以我方的名义处理一切与之有关的事宜（相关身份证复印件须附后）。</w:t>
      </w:r>
    </w:p>
    <w:p w14:paraId="5363F660">
      <w:pPr>
        <w:pStyle w:val="48"/>
        <w:ind w:firstLine="659"/>
        <w:rPr>
          <w:rFonts w:ascii="Times New Roman" w:hAnsi="Times New Roman"/>
          <w:color w:val="auto"/>
          <w:sz w:val="32"/>
          <w:szCs w:val="32"/>
          <w:highlight w:val="none"/>
        </w:rPr>
      </w:pPr>
    </w:p>
    <w:p w14:paraId="33FA53B3">
      <w:pPr>
        <w:pStyle w:val="48"/>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日签字生效，特此声明。</w:t>
      </w:r>
    </w:p>
    <w:p w14:paraId="3362A4C4">
      <w:pPr>
        <w:pStyle w:val="48"/>
        <w:ind w:firstLine="659"/>
        <w:rPr>
          <w:rFonts w:ascii="Times New Roman" w:hAnsi="Times New Roman"/>
          <w:color w:val="auto"/>
          <w:sz w:val="32"/>
          <w:szCs w:val="32"/>
          <w:highlight w:val="none"/>
        </w:rPr>
      </w:pPr>
    </w:p>
    <w:p w14:paraId="1DC8C05F">
      <w:pPr>
        <w:pStyle w:val="48"/>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1231FC60">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41084FB5">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3D2DA1A">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68A201E1">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08B016DD">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37CF2818">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8"/>
    <w:p w14:paraId="37CAB3EB">
      <w:pPr>
        <w:pStyle w:val="48"/>
        <w:ind w:firstLine="0" w:firstLineChars="0"/>
        <w:jc w:val="left"/>
        <w:rPr>
          <w:rFonts w:ascii="Times New Roman" w:hAnsi="Times New Roman"/>
          <w:color w:val="auto"/>
          <w:sz w:val="32"/>
          <w:szCs w:val="32"/>
          <w:highlight w:val="none"/>
        </w:rPr>
      </w:pPr>
      <w:r>
        <w:rPr>
          <w:color w:val="auto"/>
          <w:sz w:val="32"/>
          <w:szCs w:val="32"/>
          <w:highlight w:val="none"/>
        </w:rPr>
        <w:br w:type="page"/>
      </w:r>
    </w:p>
    <w:p w14:paraId="14DA1DF7">
      <w:pPr>
        <w:pStyle w:val="49"/>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五</w:t>
      </w:r>
      <w:r>
        <w:rPr>
          <w:rFonts w:hint="eastAsia" w:eastAsia="黑体"/>
          <w:color w:val="auto"/>
          <w:sz w:val="28"/>
          <w:szCs w:val="44"/>
          <w:highlight w:val="none"/>
        </w:rPr>
        <w:t>承诺函</w:t>
      </w:r>
    </w:p>
    <w:p w14:paraId="6D9724B4">
      <w:pPr>
        <w:pStyle w:val="49"/>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6C9FDCFB">
      <w:pPr>
        <w:rPr>
          <w:rFonts w:eastAsia="仿宋_GB2312"/>
          <w:color w:val="auto"/>
          <w:sz w:val="32"/>
          <w:szCs w:val="32"/>
          <w:highlight w:val="none"/>
        </w:rPr>
      </w:pPr>
      <w:r>
        <w:rPr>
          <w:rFonts w:hint="eastAsia" w:eastAsia="仿宋_GB2312"/>
          <w:color w:val="auto"/>
          <w:sz w:val="32"/>
          <w:szCs w:val="32"/>
          <w:highlight w:val="none"/>
          <w:u w:val="single"/>
          <w:lang w:eastAsia="zh-CN"/>
        </w:rPr>
        <w:t>东莞市松山湖旗筑置业有限公司</w:t>
      </w:r>
      <w:r>
        <w:rPr>
          <w:rFonts w:hint="eastAsia" w:eastAsia="仿宋_GB2312"/>
          <w:color w:val="auto"/>
          <w:sz w:val="32"/>
          <w:szCs w:val="32"/>
          <w:highlight w:val="none"/>
        </w:rPr>
        <w:t>：</w:t>
      </w:r>
    </w:p>
    <w:p w14:paraId="02CCEE5F">
      <w:pPr>
        <w:pStyle w:val="48"/>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eastAsia="仿宋_GB2312"/>
          <w:color w:val="auto"/>
          <w:sz w:val="32"/>
          <w:szCs w:val="32"/>
          <w:highlight w:val="none"/>
          <w:u w:val="single"/>
          <w:lang w:eastAsia="zh-CN"/>
        </w:rPr>
        <w:t>东莞市松山湖高新区园区旗筑城市综合体前期策划咨询服务</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0964EB81">
      <w:pPr>
        <w:pStyle w:val="48"/>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我公司已充分了解采购项目情况，本次报价完全响应竞争性磋商文件的要求，我公司所提供的</w:t>
      </w:r>
      <w:r>
        <w:rPr>
          <w:rFonts w:hint="eastAsia" w:eastAsia="仿宋_GB2312"/>
          <w:color w:val="auto"/>
          <w:sz w:val="32"/>
          <w:szCs w:val="32"/>
          <w:highlight w:val="none"/>
          <w:u w:val="single"/>
          <w:lang w:eastAsia="zh-CN"/>
        </w:rPr>
        <w:t>前期策划咨询服务</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7A112834">
      <w:pPr>
        <w:pStyle w:val="48"/>
        <w:ind w:firstLine="659"/>
        <w:rPr>
          <w:rFonts w:ascii="Times New Roman" w:hAnsi="Times New Roman"/>
          <w:color w:val="auto"/>
          <w:sz w:val="32"/>
          <w:szCs w:val="32"/>
          <w:highlight w:val="none"/>
        </w:rPr>
      </w:pPr>
    </w:p>
    <w:p w14:paraId="2A5F0675">
      <w:pPr>
        <w:pStyle w:val="48"/>
        <w:ind w:firstLine="0" w:firstLineChars="0"/>
        <w:jc w:val="left"/>
        <w:rPr>
          <w:rFonts w:ascii="Times New Roman" w:hAnsi="Times New Roman"/>
          <w:color w:val="auto"/>
          <w:sz w:val="32"/>
          <w:szCs w:val="32"/>
          <w:highlight w:val="none"/>
        </w:rPr>
      </w:pPr>
    </w:p>
    <w:p w14:paraId="1296CA50">
      <w:pPr>
        <w:jc w:val="left"/>
        <w:rPr>
          <w:rFonts w:eastAsia="仿宋"/>
          <w:color w:val="auto"/>
          <w:sz w:val="32"/>
          <w:szCs w:val="32"/>
          <w:highlight w:val="none"/>
        </w:rPr>
      </w:pPr>
    </w:p>
    <w:p w14:paraId="7DDB6F4F">
      <w:pPr>
        <w:jc w:val="left"/>
        <w:rPr>
          <w:rFonts w:eastAsia="仿宋"/>
          <w:color w:val="auto"/>
          <w:sz w:val="32"/>
          <w:szCs w:val="32"/>
          <w:highlight w:val="none"/>
        </w:rPr>
      </w:pPr>
    </w:p>
    <w:p w14:paraId="560D5846">
      <w:pPr>
        <w:jc w:val="left"/>
        <w:rPr>
          <w:rFonts w:eastAsia="仿宋"/>
          <w:color w:val="auto"/>
          <w:sz w:val="32"/>
          <w:szCs w:val="32"/>
          <w:highlight w:val="none"/>
        </w:rPr>
      </w:pPr>
    </w:p>
    <w:p w14:paraId="6DB30179">
      <w:pPr>
        <w:pStyle w:val="48"/>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18C45024">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2815E4B5">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4E888BAB">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3525C33D">
      <w:pPr>
        <w:pStyle w:val="48"/>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5"/>
    <w:p w14:paraId="579320A8">
      <w:pPr>
        <w:pStyle w:val="48"/>
        <w:ind w:firstLine="0" w:firstLineChars="0"/>
        <w:jc w:val="left"/>
        <w:rPr>
          <w:rFonts w:ascii="Times New Roman" w:hAnsi="Times New Roman"/>
          <w:color w:val="auto"/>
          <w:sz w:val="32"/>
          <w:szCs w:val="32"/>
          <w:highlight w:val="none"/>
        </w:rPr>
      </w:pPr>
    </w:p>
    <w:p w14:paraId="21AD652D">
      <w:pPr>
        <w:pStyle w:val="48"/>
        <w:ind w:firstLine="0" w:firstLineChars="0"/>
        <w:jc w:val="left"/>
        <w:rPr>
          <w:rFonts w:ascii="Times New Roman" w:hAnsi="Times New Roman"/>
          <w:color w:val="auto"/>
          <w:sz w:val="32"/>
          <w:szCs w:val="32"/>
          <w:highlight w:val="none"/>
        </w:rPr>
      </w:pPr>
    </w:p>
    <w:p w14:paraId="05098A4A">
      <w:pPr>
        <w:pStyle w:val="48"/>
        <w:ind w:firstLine="0" w:firstLineChars="0"/>
        <w:jc w:val="left"/>
        <w:rPr>
          <w:rFonts w:ascii="Times New Roman" w:hAnsi="Times New Roman"/>
          <w:color w:val="auto"/>
          <w:sz w:val="32"/>
          <w:szCs w:val="32"/>
          <w:highlight w:val="none"/>
        </w:rPr>
      </w:pPr>
    </w:p>
    <w:p w14:paraId="101959A4">
      <w:pPr>
        <w:pStyle w:val="49"/>
        <w:ind w:firstLine="0" w:firstLineChars="0"/>
        <w:jc w:val="left"/>
        <w:outlineLvl w:val="1"/>
        <w:rPr>
          <w:rFonts w:hint="eastAsia" w:eastAsia="黑体"/>
          <w:color w:val="auto"/>
          <w:sz w:val="28"/>
          <w:szCs w:val="44"/>
          <w:highlight w:val="none"/>
          <w:lang w:val="en-US" w:eastAsia="zh-CN"/>
        </w:rPr>
      </w:pPr>
      <w:r>
        <w:rPr>
          <w:rFonts w:hint="eastAsia" w:eastAsia="黑体"/>
          <w:color w:val="auto"/>
          <w:sz w:val="28"/>
          <w:szCs w:val="44"/>
          <w:highlight w:val="none"/>
          <w:lang w:val="en-US" w:eastAsia="zh-CN"/>
        </w:rPr>
        <w:t>附件六、用户需求书</w:t>
      </w:r>
    </w:p>
    <w:p w14:paraId="38631EDB">
      <w:pPr>
        <w:pStyle w:val="49"/>
        <w:ind w:firstLine="0" w:firstLineChars="0"/>
        <w:jc w:val="center"/>
        <w:outlineLvl w:val="1"/>
        <w:rPr>
          <w:rFonts w:hint="eastAsia" w:eastAsia="黑体"/>
          <w:b/>
          <w:bCs/>
          <w:color w:val="auto"/>
          <w:sz w:val="32"/>
          <w:szCs w:val="32"/>
          <w:highlight w:val="none"/>
          <w:lang w:val="en-US" w:eastAsia="zh-CN"/>
        </w:rPr>
      </w:pPr>
      <w:r>
        <w:rPr>
          <w:rFonts w:hint="eastAsia" w:eastAsia="黑体"/>
          <w:b/>
          <w:bCs/>
          <w:color w:val="auto"/>
          <w:sz w:val="32"/>
          <w:szCs w:val="32"/>
          <w:highlight w:val="none"/>
          <w:lang w:val="en-US" w:eastAsia="zh-CN"/>
        </w:rPr>
        <w:t>用户需求书</w:t>
      </w:r>
    </w:p>
    <w:p w14:paraId="3790935D">
      <w:pPr>
        <w:widowControl/>
        <w:numPr>
          <w:ilvl w:val="0"/>
          <w:numId w:val="8"/>
        </w:numPr>
        <w:spacing w:line="360" w:lineRule="auto"/>
        <w:ind w:left="-360"/>
        <w:jc w:val="left"/>
        <w:rPr>
          <w:rFonts w:ascii="微软雅黑" w:hAnsi="微软雅黑" w:eastAsia="微软雅黑" w:cs="微软雅黑"/>
          <w:color w:val="auto"/>
          <w:sz w:val="24"/>
          <w:highlight w:val="none"/>
        </w:rPr>
      </w:pPr>
      <w:r>
        <w:rPr>
          <w:rStyle w:val="29"/>
          <w:rFonts w:hint="eastAsia" w:ascii="微软雅黑" w:hAnsi="微软雅黑" w:eastAsia="微软雅黑" w:cs="微软雅黑"/>
          <w:bCs/>
          <w:color w:val="auto"/>
          <w:sz w:val="24"/>
          <w:highlight w:val="none"/>
        </w:rPr>
        <w:t>项目背景</w:t>
      </w:r>
    </w:p>
    <w:p w14:paraId="407225C3">
      <w:pPr>
        <w:widowControl/>
        <w:spacing w:line="360" w:lineRule="auto"/>
        <w:ind w:left="-363"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本项目位于东莞松山湖科创核心区，毗邻华为总部及科创企业集群，周边汇聚高知高薪年轻科创人群、企业中高管等中高端客群，消费力强，夜间消费、社交及文体娱乐需求突出。</w:t>
      </w:r>
    </w:p>
    <w:p w14:paraId="761F6E8C">
      <w:pPr>
        <w:widowControl/>
        <w:spacing w:line="360" w:lineRule="auto"/>
        <w:ind w:left="-363"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项目初步设想打造“高端商业 + 专业音乐场馆”综合体，本次前期策划需客观数据化论证该模式的可行性；若不可行，需提供至少 2 套贴合区域市场、客群需求，且可落地、可招商、可运营的替代定位及业态方案。</w:t>
      </w:r>
    </w:p>
    <w:p w14:paraId="2EE0E05B">
      <w:pPr>
        <w:widowControl/>
        <w:spacing w:line="360" w:lineRule="auto"/>
        <w:ind w:left="-363"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项目目前处于前期筹备及定位阶段，需委托专业咨询单位完成全流程前期策划，为后续设计、招商、运营及投资决策提供支撑。</w:t>
      </w:r>
    </w:p>
    <w:p w14:paraId="040BC154">
      <w:pPr>
        <w:widowControl/>
        <w:spacing w:line="360" w:lineRule="auto"/>
        <w:ind w:left="-363" w:firstLine="480" w:firstLineChars="200"/>
        <w:jc w:val="left"/>
        <w:rPr>
          <w:rFonts w:ascii="微软雅黑" w:hAnsi="微软雅黑" w:eastAsia="微软雅黑" w:cs="微软雅黑"/>
          <w:color w:val="auto"/>
          <w:sz w:val="24"/>
          <w:highlight w:val="none"/>
        </w:rPr>
      </w:pPr>
    </w:p>
    <w:p w14:paraId="520464D1">
      <w:pPr>
        <w:widowControl/>
        <w:numPr>
          <w:ilvl w:val="0"/>
          <w:numId w:val="8"/>
        </w:numPr>
        <w:spacing w:line="360" w:lineRule="auto"/>
        <w:ind w:left="-360"/>
        <w:jc w:val="left"/>
        <w:rPr>
          <w:rStyle w:val="29"/>
          <w:rFonts w:ascii="微软雅黑" w:hAnsi="微软雅黑" w:eastAsia="微软雅黑" w:cs="微软雅黑"/>
          <w:bCs/>
          <w:color w:val="auto"/>
          <w:sz w:val="24"/>
          <w:highlight w:val="none"/>
        </w:rPr>
      </w:pPr>
      <w:r>
        <w:rPr>
          <w:rStyle w:val="29"/>
          <w:rFonts w:hint="eastAsia" w:ascii="微软雅黑" w:hAnsi="微软雅黑" w:eastAsia="微软雅黑" w:cs="微软雅黑"/>
          <w:bCs/>
          <w:color w:val="auto"/>
          <w:sz w:val="24"/>
          <w:highlight w:val="none"/>
        </w:rPr>
        <w:t>项目概况</w:t>
      </w:r>
    </w:p>
    <w:p w14:paraId="1BFE467C">
      <w:pPr>
        <w:widowControl/>
        <w:numPr>
          <w:ilvl w:val="0"/>
          <w:numId w:val="9"/>
        </w:numPr>
        <w:spacing w:line="360" w:lineRule="auto"/>
        <w:ind w:left="-360"/>
        <w:jc w:val="left"/>
        <w:rPr>
          <w:rFonts w:hint="eastAsia" w:ascii="微软雅黑" w:hAnsi="微软雅黑" w:eastAsia="微软雅黑" w:cs="微软雅黑"/>
          <w:color w:val="auto"/>
          <w:sz w:val="24"/>
          <w:highlight w:val="none"/>
        </w:rPr>
      </w:pPr>
      <w:r>
        <w:rPr>
          <w:rStyle w:val="29"/>
          <w:rFonts w:hint="eastAsia" w:ascii="微软雅黑" w:hAnsi="微软雅黑" w:eastAsia="微软雅黑" w:cs="微软雅黑"/>
          <w:b w:val="0"/>
          <w:color w:val="auto"/>
          <w:sz w:val="24"/>
          <w:highlight w:val="none"/>
        </w:rPr>
        <w:t>项目名称</w:t>
      </w:r>
      <w:r>
        <w:rPr>
          <w:rFonts w:hint="eastAsia" w:ascii="微软雅黑" w:hAnsi="微软雅黑" w:eastAsia="微软雅黑" w:cs="微软雅黑"/>
          <w:color w:val="auto"/>
          <w:sz w:val="24"/>
          <w:highlight w:val="none"/>
        </w:rPr>
        <w:t>：东莞市松山湖高新区园区旗筑城市综合体前期策划咨询服务</w:t>
      </w:r>
    </w:p>
    <w:p w14:paraId="4ADAF179">
      <w:pPr>
        <w:widowControl/>
        <w:numPr>
          <w:ilvl w:val="0"/>
          <w:numId w:val="9"/>
        </w:numPr>
        <w:spacing w:line="360" w:lineRule="auto"/>
        <w:ind w:left="-360"/>
        <w:jc w:val="left"/>
        <w:rPr>
          <w:rFonts w:ascii="微软雅黑" w:hAnsi="微软雅黑" w:eastAsia="微软雅黑" w:cs="微软雅黑"/>
          <w:color w:val="auto"/>
          <w:sz w:val="24"/>
          <w:highlight w:val="none"/>
        </w:rPr>
      </w:pPr>
      <w:r>
        <w:rPr>
          <w:rStyle w:val="29"/>
          <w:rFonts w:hint="eastAsia" w:ascii="微软雅黑" w:hAnsi="微软雅黑" w:eastAsia="微软雅黑" w:cs="微软雅黑"/>
          <w:b w:val="0"/>
          <w:color w:val="auto"/>
          <w:sz w:val="24"/>
          <w:highlight w:val="none"/>
        </w:rPr>
        <w:t>项目地点</w:t>
      </w:r>
      <w:r>
        <w:rPr>
          <w:rFonts w:hint="eastAsia" w:ascii="微软雅黑" w:hAnsi="微软雅黑" w:eastAsia="微软雅黑" w:cs="微软雅黑"/>
          <w:color w:val="auto"/>
          <w:sz w:val="24"/>
          <w:highlight w:val="none"/>
        </w:rPr>
        <w:t>：东莞市松山湖环湖路与南山路交汇处西南侧</w:t>
      </w:r>
    </w:p>
    <w:p w14:paraId="49E4305D">
      <w:pPr>
        <w:widowControl/>
        <w:spacing w:line="360" w:lineRule="auto"/>
        <w:ind w:left="-360"/>
        <w:jc w:val="left"/>
        <w:rPr>
          <w:rFonts w:ascii="微软雅黑" w:hAnsi="微软雅黑" w:eastAsia="微软雅黑" w:cs="微软雅黑"/>
          <w:color w:val="auto"/>
          <w:sz w:val="24"/>
          <w:highlight w:val="none"/>
        </w:rPr>
      </w:pPr>
      <w:r>
        <w:rPr>
          <w:rStyle w:val="29"/>
          <w:rFonts w:hint="eastAsia" w:ascii="微软雅黑" w:hAnsi="微软雅黑" w:eastAsia="微软雅黑" w:cs="微软雅黑"/>
          <w:b w:val="0"/>
          <w:color w:val="auto"/>
          <w:sz w:val="24"/>
          <w:highlight w:val="none"/>
        </w:rPr>
        <w:t>3. 项目概况</w:t>
      </w:r>
      <w:r>
        <w:rPr>
          <w:rFonts w:hint="eastAsia" w:ascii="微软雅黑" w:hAnsi="微软雅黑" w:eastAsia="微软雅黑" w:cs="微软雅黑"/>
          <w:color w:val="auto"/>
          <w:sz w:val="24"/>
          <w:highlight w:val="none"/>
        </w:rPr>
        <w:t>：本项目总占地面积【</w:t>
      </w:r>
      <w:r>
        <w:rPr>
          <w:rFonts w:ascii="微软雅黑" w:hAnsi="微软雅黑" w:eastAsia="微软雅黑" w:cs="微软雅黑"/>
          <w:color w:val="auto"/>
          <w:sz w:val="24"/>
          <w:highlight w:val="none"/>
        </w:rPr>
        <w:t>38284.32</w:t>
      </w:r>
      <w:r>
        <w:rPr>
          <w:rFonts w:hint="eastAsia" w:ascii="微软雅黑" w:hAnsi="微软雅黑" w:eastAsia="微软雅黑" w:cs="微软雅黑"/>
          <w:color w:val="auto"/>
          <w:sz w:val="24"/>
          <w:highlight w:val="none"/>
        </w:rPr>
        <w:t>】</w:t>
      </w:r>
      <w:r>
        <w:rPr>
          <w:rFonts w:ascii="微软雅黑" w:hAnsi="微软雅黑" w:eastAsia="微软雅黑" w:cs="微软雅黑"/>
          <w:color w:val="auto"/>
          <w:sz w:val="24"/>
          <w:highlight w:val="none"/>
        </w:rPr>
        <w:t>平方米</w:t>
      </w:r>
      <w:r>
        <w:rPr>
          <w:rFonts w:hint="eastAsia" w:ascii="微软雅黑" w:hAnsi="微软雅黑" w:eastAsia="微软雅黑" w:cs="微软雅黑"/>
          <w:color w:val="auto"/>
          <w:sz w:val="24"/>
          <w:highlight w:val="none"/>
        </w:rPr>
        <w:t>，容积率1.2，总建筑面积约【79386】㎡（其中拟建最大计容建筑面积45941平方米，建筑密度≤55%， 建筑高度≤60m，绿地率≥20%），其中商业面积约【51741】㎡，专业音乐演艺场馆（Livehouse /展演空间）面积约【4200】㎡，为【新建】城市商业综合体。</w:t>
      </w:r>
    </w:p>
    <w:p w14:paraId="522041DE">
      <w:pPr>
        <w:widowControl/>
        <w:numPr>
          <w:ilvl w:val="0"/>
          <w:numId w:val="10"/>
        </w:numPr>
        <w:spacing w:line="360" w:lineRule="auto"/>
        <w:ind w:left="-360"/>
        <w:jc w:val="left"/>
        <w:rPr>
          <w:rFonts w:ascii="微软雅黑" w:hAnsi="微软雅黑" w:eastAsia="微软雅黑" w:cs="微软雅黑"/>
          <w:color w:val="auto"/>
          <w:sz w:val="24"/>
          <w:highlight w:val="none"/>
        </w:rPr>
      </w:pPr>
      <w:r>
        <w:rPr>
          <w:rStyle w:val="29"/>
          <w:rFonts w:hint="eastAsia" w:ascii="微软雅黑" w:hAnsi="微软雅黑" w:eastAsia="微软雅黑" w:cs="微软雅黑"/>
          <w:b w:val="0"/>
          <w:color w:val="auto"/>
          <w:sz w:val="24"/>
          <w:highlight w:val="none"/>
        </w:rPr>
        <w:t>项目定位</w:t>
      </w:r>
      <w:r>
        <w:rPr>
          <w:rFonts w:hint="eastAsia" w:ascii="微软雅黑" w:hAnsi="微软雅黑" w:eastAsia="微软雅黑" w:cs="微软雅黑"/>
          <w:color w:val="auto"/>
          <w:sz w:val="24"/>
          <w:highlight w:val="none"/>
        </w:rPr>
        <w:t>：打造东莞区域级标杆商业体，融合TOD/POD设计理念，打造餐饮、零售、文化演艺、运动体验、休闲娱乐、生活服务等为一体的商业综合体，发挥“补缺松山湖产业配套短板、提升地区城市品质、撬动地区土地开发”作用，符合“产城融合、品质革新”的开发标准。</w:t>
      </w:r>
    </w:p>
    <w:p w14:paraId="3A8BB292">
      <w:pPr>
        <w:widowControl/>
        <w:numPr>
          <w:ilvl w:val="0"/>
          <w:numId w:val="8"/>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Cs/>
          <w:color w:val="auto"/>
          <w:sz w:val="24"/>
          <w:highlight w:val="none"/>
        </w:rPr>
        <w:t>总体策划要求</w:t>
      </w:r>
    </w:p>
    <w:p w14:paraId="1C4E6B79">
      <w:pPr>
        <w:widowControl/>
        <w:numPr>
          <w:ilvl w:val="0"/>
          <w:numId w:val="11"/>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市场可行性：论证双业态模式接受度，明确商场定位及差异化优势。</w:t>
      </w:r>
    </w:p>
    <w:p w14:paraId="077DD209">
      <w:pPr>
        <w:widowControl/>
        <w:numPr>
          <w:ilvl w:val="0"/>
          <w:numId w:val="11"/>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规模可行性：论证场馆落地及技术要求，规划双业态联动，明确商场规模布局。</w:t>
      </w:r>
    </w:p>
    <w:p w14:paraId="00EF44EB">
      <w:pPr>
        <w:widowControl/>
        <w:numPr>
          <w:ilvl w:val="0"/>
          <w:numId w:val="11"/>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财务可行性：测算双业态收支，完成核心财务指标测算，建立双业态财务模型。</w:t>
      </w:r>
    </w:p>
    <w:p w14:paraId="76338DD6">
      <w:pPr>
        <w:widowControl/>
        <w:numPr>
          <w:ilvl w:val="0"/>
          <w:numId w:val="11"/>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运营可行性：论证场馆合规性，优化客流，明确商场招商、运营及营销规划。</w:t>
      </w:r>
    </w:p>
    <w:p w14:paraId="32D539DD">
      <w:pPr>
        <w:widowControl/>
        <w:numPr>
          <w:ilvl w:val="0"/>
          <w:numId w:val="11"/>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风险可行性：识别双业态核心风险，提出应对思路，输出数据支撑结论。</w:t>
      </w:r>
    </w:p>
    <w:p w14:paraId="3919A089">
      <w:pPr>
        <w:widowControl/>
        <w:spacing w:line="360" w:lineRule="auto"/>
        <w:jc w:val="left"/>
        <w:rPr>
          <w:rStyle w:val="29"/>
          <w:rFonts w:ascii="微软雅黑" w:hAnsi="微软雅黑" w:eastAsia="微软雅黑" w:cs="微软雅黑"/>
          <w:bCs/>
          <w:color w:val="auto"/>
          <w:sz w:val="24"/>
          <w:highlight w:val="none"/>
        </w:rPr>
      </w:pPr>
    </w:p>
    <w:p w14:paraId="27308C07">
      <w:pPr>
        <w:widowControl/>
        <w:numPr>
          <w:ilvl w:val="0"/>
          <w:numId w:val="8"/>
        </w:numPr>
        <w:spacing w:line="360" w:lineRule="auto"/>
        <w:ind w:left="-360"/>
        <w:jc w:val="left"/>
        <w:rPr>
          <w:rStyle w:val="29"/>
          <w:rFonts w:ascii="微软雅黑" w:hAnsi="微软雅黑" w:eastAsia="微软雅黑" w:cs="微软雅黑"/>
          <w:bCs/>
          <w:color w:val="auto"/>
          <w:sz w:val="24"/>
          <w:highlight w:val="none"/>
        </w:rPr>
      </w:pPr>
      <w:r>
        <w:rPr>
          <w:rStyle w:val="29"/>
          <w:rFonts w:hint="eastAsia" w:ascii="微软雅黑" w:hAnsi="微软雅黑" w:eastAsia="微软雅黑" w:cs="微软雅黑"/>
          <w:bCs/>
          <w:color w:val="auto"/>
          <w:sz w:val="24"/>
          <w:highlight w:val="none"/>
        </w:rPr>
        <w:t>服务范围及核心工作内容</w:t>
      </w:r>
    </w:p>
    <w:p w14:paraId="0C789D5F">
      <w:pPr>
        <w:widowControl/>
        <w:numPr>
          <w:ilvl w:val="0"/>
          <w:numId w:val="12"/>
        </w:numPr>
        <w:spacing w:line="360" w:lineRule="auto"/>
        <w:ind w:left="-360"/>
        <w:jc w:val="left"/>
        <w:rPr>
          <w:rStyle w:val="29"/>
          <w:rFonts w:ascii="微软雅黑" w:hAnsi="微软雅黑" w:eastAsia="微软雅黑" w:cs="微软雅黑"/>
          <w:bCs/>
          <w:color w:val="auto"/>
          <w:sz w:val="24"/>
          <w:highlight w:val="none"/>
        </w:rPr>
      </w:pPr>
      <w:r>
        <w:rPr>
          <w:rStyle w:val="29"/>
          <w:rFonts w:hint="eastAsia" w:ascii="微软雅黑" w:hAnsi="微软雅黑" w:eastAsia="微软雅黑" w:cs="微软雅黑"/>
          <w:bCs/>
          <w:color w:val="auto"/>
          <w:sz w:val="24"/>
          <w:highlight w:val="none"/>
        </w:rPr>
        <w:t>区域市场分析</w:t>
      </w:r>
    </w:p>
    <w:p w14:paraId="0A39FB2A">
      <w:pPr>
        <w:widowControl/>
        <w:numPr>
          <w:ilvl w:val="0"/>
          <w:numId w:val="13"/>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宏观市场调研：松山湖产业、</w:t>
      </w:r>
      <w:r>
        <w:rPr>
          <w:rStyle w:val="29"/>
          <w:rFonts w:hint="eastAsia" w:ascii="微软雅黑" w:hAnsi="微软雅黑" w:eastAsia="微软雅黑" w:cs="微软雅黑"/>
          <w:b w:val="0"/>
          <w:color w:val="auto"/>
          <w:sz w:val="24"/>
          <w:highlight w:val="none"/>
        </w:rPr>
        <w:t>消费趋向、</w:t>
      </w:r>
      <w:r>
        <w:rPr>
          <w:rStyle w:val="29"/>
          <w:rFonts w:ascii="微软雅黑" w:hAnsi="微软雅黑" w:eastAsia="微软雅黑" w:cs="微软雅黑"/>
          <w:b w:val="0"/>
          <w:color w:val="auto"/>
          <w:sz w:val="24"/>
          <w:highlight w:val="none"/>
        </w:rPr>
        <w:t>夜间经济及文体娱乐，</w:t>
      </w:r>
      <w:r>
        <w:rPr>
          <w:rStyle w:val="29"/>
          <w:rFonts w:hint="eastAsia" w:ascii="微软雅黑" w:hAnsi="微软雅黑" w:eastAsia="微软雅黑" w:cs="微软雅黑"/>
          <w:b w:val="0"/>
          <w:color w:val="auto"/>
          <w:sz w:val="24"/>
          <w:highlight w:val="none"/>
        </w:rPr>
        <w:t>客群</w:t>
      </w:r>
      <w:r>
        <w:rPr>
          <w:rStyle w:val="29"/>
          <w:rFonts w:ascii="微软雅黑" w:hAnsi="微软雅黑" w:eastAsia="微软雅黑" w:cs="微软雅黑"/>
          <w:b w:val="0"/>
          <w:color w:val="auto"/>
          <w:sz w:val="24"/>
          <w:highlight w:val="none"/>
        </w:rPr>
        <w:t>对体验式、文娱类商业的需求特征。</w:t>
      </w:r>
      <w:r>
        <w:rPr>
          <w:rStyle w:val="29"/>
          <w:rFonts w:hint="eastAsia" w:ascii="微软雅黑" w:hAnsi="微软雅黑" w:eastAsia="微软雅黑" w:cs="微软雅黑"/>
          <w:b w:val="0"/>
          <w:color w:val="auto"/>
          <w:sz w:val="24"/>
          <w:highlight w:val="none"/>
        </w:rPr>
        <w:t>地块所在片区规划分析，包括空间规划、交通规划等，研判上位规划对本项目的影响与发展机遇。</w:t>
      </w:r>
    </w:p>
    <w:p w14:paraId="5C72410A">
      <w:pPr>
        <w:widowControl/>
        <w:numPr>
          <w:ilvl w:val="0"/>
          <w:numId w:val="13"/>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商圈研究：项目</w:t>
      </w:r>
      <w:r>
        <w:rPr>
          <w:rStyle w:val="29"/>
          <w:rFonts w:hint="eastAsia" w:ascii="微软雅黑" w:hAnsi="微软雅黑" w:eastAsia="微软雅黑" w:cs="微软雅黑"/>
          <w:b w:val="0"/>
          <w:color w:val="auto"/>
          <w:sz w:val="24"/>
          <w:highlight w:val="none"/>
        </w:rPr>
        <w:t>周边</w:t>
      </w:r>
      <w:r>
        <w:rPr>
          <w:rStyle w:val="29"/>
          <w:rFonts w:ascii="微软雅黑" w:hAnsi="微软雅黑" w:eastAsia="微软雅黑" w:cs="微软雅黑"/>
          <w:b w:val="0"/>
          <w:color w:val="auto"/>
          <w:sz w:val="24"/>
          <w:highlight w:val="none"/>
        </w:rPr>
        <w:t>商圈</w:t>
      </w:r>
      <w:r>
        <w:rPr>
          <w:rStyle w:val="29"/>
          <w:rFonts w:hint="eastAsia" w:ascii="微软雅黑" w:hAnsi="微软雅黑" w:eastAsia="微软雅黑" w:cs="微软雅黑"/>
          <w:b w:val="0"/>
          <w:color w:val="auto"/>
          <w:sz w:val="24"/>
          <w:highlight w:val="none"/>
        </w:rPr>
        <w:t>现状、项目分析（体量/</w:t>
      </w:r>
      <w:r>
        <w:rPr>
          <w:rStyle w:val="29"/>
          <w:rFonts w:ascii="微软雅黑" w:hAnsi="微软雅黑" w:eastAsia="微软雅黑" w:cs="微软雅黑"/>
          <w:b w:val="0"/>
          <w:color w:val="auto"/>
          <w:sz w:val="24"/>
          <w:highlight w:val="none"/>
        </w:rPr>
        <w:t>租金</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空置</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业态品牌</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运营</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，对标≥6个样本，明确市场机会。</w:t>
      </w:r>
      <w:r>
        <w:rPr>
          <w:rStyle w:val="29"/>
          <w:rFonts w:hint="eastAsia" w:ascii="微软雅黑" w:hAnsi="微软雅黑" w:eastAsia="微软雅黑" w:cs="微软雅黑"/>
          <w:b w:val="0"/>
          <w:color w:val="auto"/>
          <w:sz w:val="24"/>
          <w:highlight w:val="none"/>
        </w:rPr>
        <w:t>同时分析项目周边未来竞品。</w:t>
      </w:r>
    </w:p>
    <w:p w14:paraId="6D652FD4">
      <w:pPr>
        <w:widowControl/>
        <w:numPr>
          <w:ilvl w:val="0"/>
          <w:numId w:val="13"/>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其他潜在开发物业市场研究：按综合体项目标准完成各类潜在发展物业功能的市场研究，如公寓、酒店、办公等商业物业市场，具体包括但不限于该类潜在开发物业市场的供应、需求、租售对象摸查、物业发展机遇及规模组合研判。</w:t>
      </w:r>
    </w:p>
    <w:p w14:paraId="5DE8D359">
      <w:pPr>
        <w:widowControl/>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 xml:space="preserve">3. </w:t>
      </w:r>
      <w:r>
        <w:rPr>
          <w:rStyle w:val="29"/>
          <w:rFonts w:ascii="微软雅黑" w:hAnsi="微软雅黑" w:eastAsia="微软雅黑" w:cs="微软雅黑"/>
          <w:b w:val="0"/>
          <w:color w:val="auto"/>
          <w:sz w:val="24"/>
          <w:highlight w:val="none"/>
        </w:rPr>
        <w:t>文娱市场研究：梳理东莞及松山湖演艺场馆</w:t>
      </w:r>
      <w:r>
        <w:rPr>
          <w:rStyle w:val="29"/>
          <w:rFonts w:hint="eastAsia" w:ascii="微软雅黑" w:hAnsi="微软雅黑" w:eastAsia="微软雅黑" w:cs="微软雅黑"/>
          <w:b w:val="0"/>
          <w:color w:val="auto"/>
          <w:sz w:val="24"/>
          <w:highlight w:val="none"/>
        </w:rPr>
        <w:t>现状/运营情况，</w:t>
      </w:r>
      <w:r>
        <w:rPr>
          <w:rStyle w:val="29"/>
          <w:rFonts w:ascii="微软雅黑" w:hAnsi="微软雅黑" w:eastAsia="微软雅黑" w:cs="微软雅黑"/>
          <w:b w:val="0"/>
          <w:color w:val="auto"/>
          <w:sz w:val="24"/>
          <w:highlight w:val="none"/>
        </w:rPr>
        <w:t>定位市场缺口。</w:t>
      </w:r>
    </w:p>
    <w:p w14:paraId="4800D66C">
      <w:pPr>
        <w:widowControl/>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 xml:space="preserve">4. </w:t>
      </w:r>
      <w:r>
        <w:rPr>
          <w:rStyle w:val="29"/>
          <w:rFonts w:ascii="微软雅黑" w:hAnsi="微软雅黑" w:eastAsia="微软雅黑" w:cs="微软雅黑"/>
          <w:b w:val="0"/>
          <w:color w:val="auto"/>
          <w:sz w:val="24"/>
          <w:highlight w:val="none"/>
        </w:rPr>
        <w:t>对标案例：分析“商业+演艺”案例，总结</w:t>
      </w:r>
      <w:r>
        <w:rPr>
          <w:rStyle w:val="29"/>
          <w:rFonts w:hint="eastAsia" w:ascii="微软雅黑" w:hAnsi="微软雅黑" w:eastAsia="微软雅黑" w:cs="微软雅黑"/>
          <w:b w:val="0"/>
          <w:color w:val="auto"/>
          <w:sz w:val="24"/>
          <w:highlight w:val="none"/>
        </w:rPr>
        <w:t>可借鉴经验</w:t>
      </w:r>
      <w:r>
        <w:rPr>
          <w:rStyle w:val="29"/>
          <w:rFonts w:ascii="微软雅黑" w:hAnsi="微软雅黑" w:eastAsia="微软雅黑" w:cs="微软雅黑"/>
          <w:b w:val="0"/>
          <w:color w:val="auto"/>
          <w:sz w:val="24"/>
          <w:highlight w:val="none"/>
        </w:rPr>
        <w:t>。</w:t>
      </w:r>
    </w:p>
    <w:p w14:paraId="632EC5F3">
      <w:pPr>
        <w:widowControl/>
        <w:spacing w:line="360" w:lineRule="auto"/>
        <w:ind w:left="-360"/>
        <w:jc w:val="left"/>
        <w:rPr>
          <w:rStyle w:val="29"/>
          <w:rFonts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（二）客群分析与项目定位</w:t>
      </w:r>
    </w:p>
    <w:p w14:paraId="146CD784">
      <w:pPr>
        <w:widowControl/>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 xml:space="preserve">1. </w:t>
      </w:r>
      <w:r>
        <w:rPr>
          <w:rStyle w:val="29"/>
          <w:rFonts w:ascii="微软雅黑" w:hAnsi="微软雅黑" w:eastAsia="微软雅黑" w:cs="微软雅黑"/>
          <w:b w:val="0"/>
          <w:color w:val="auto"/>
          <w:sz w:val="24"/>
          <w:highlight w:val="none"/>
        </w:rPr>
        <w:t>客群调研：</w:t>
      </w:r>
      <w:r>
        <w:rPr>
          <w:rStyle w:val="29"/>
          <w:rFonts w:hint="eastAsia" w:ascii="微软雅黑" w:hAnsi="微软雅黑" w:eastAsia="微软雅黑" w:cs="微软雅黑"/>
          <w:b w:val="0"/>
          <w:color w:val="auto"/>
          <w:sz w:val="24"/>
          <w:highlight w:val="none"/>
        </w:rPr>
        <w:t>问卷（≥500份，华为≥40%）+访谈（≥30人），形成客户画像（年龄/收入/职业/消费力/消费习惯/偏好），分析客群需求与痛点分析。</w:t>
      </w:r>
    </w:p>
    <w:p w14:paraId="2E94AD6F">
      <w:pPr>
        <w:widowControl/>
        <w:spacing w:line="360" w:lineRule="auto"/>
        <w:ind w:left="-360"/>
        <w:jc w:val="left"/>
        <w:rPr>
          <w:color w:val="auto"/>
          <w:highlight w:val="none"/>
        </w:rPr>
      </w:pPr>
      <w:r>
        <w:rPr>
          <w:rStyle w:val="29"/>
          <w:rFonts w:hint="eastAsia" w:ascii="微软雅黑" w:hAnsi="微软雅黑" w:eastAsia="微软雅黑" w:cs="微软雅黑"/>
          <w:b w:val="0"/>
          <w:color w:val="auto"/>
          <w:sz w:val="24"/>
          <w:highlight w:val="none"/>
        </w:rPr>
        <w:t xml:space="preserve">2. </w:t>
      </w:r>
      <w:r>
        <w:rPr>
          <w:rStyle w:val="29"/>
          <w:rFonts w:ascii="微软雅黑" w:hAnsi="微软雅黑" w:eastAsia="微软雅黑" w:cs="微软雅黑"/>
          <w:b w:val="0"/>
          <w:color w:val="auto"/>
          <w:sz w:val="24"/>
          <w:highlight w:val="none"/>
        </w:rPr>
        <w:t>音乐场馆：</w:t>
      </w:r>
      <w:r>
        <w:rPr>
          <w:rStyle w:val="29"/>
          <w:rFonts w:hint="eastAsia" w:ascii="微软雅黑" w:hAnsi="微软雅黑" w:eastAsia="微软雅黑" w:cs="微软雅黑"/>
          <w:b w:val="0"/>
          <w:color w:val="auto"/>
          <w:sz w:val="24"/>
          <w:highlight w:val="none"/>
        </w:rPr>
        <w:t>明确观演偏好及意向合作机构实力调研。</w:t>
      </w:r>
    </w:p>
    <w:p w14:paraId="18CE43EF">
      <w:pPr>
        <w:widowControl/>
        <w:spacing w:line="360" w:lineRule="auto"/>
        <w:ind w:left="-360"/>
        <w:jc w:val="left"/>
        <w:rPr>
          <w:color w:val="auto"/>
          <w:highlight w:val="none"/>
        </w:rPr>
      </w:pPr>
      <w:r>
        <w:rPr>
          <w:rStyle w:val="29"/>
          <w:rFonts w:hint="eastAsia" w:ascii="微软雅黑" w:hAnsi="微软雅黑" w:eastAsia="微软雅黑" w:cs="微软雅黑"/>
          <w:b w:val="0"/>
          <w:color w:val="auto"/>
          <w:sz w:val="24"/>
          <w:highlight w:val="none"/>
        </w:rPr>
        <w:t xml:space="preserve">3. </w:t>
      </w:r>
      <w:r>
        <w:rPr>
          <w:rStyle w:val="29"/>
          <w:rFonts w:ascii="微软雅黑" w:hAnsi="微软雅黑" w:eastAsia="微软雅黑" w:cs="微软雅黑"/>
          <w:b w:val="0"/>
          <w:color w:val="auto"/>
          <w:sz w:val="24"/>
          <w:highlight w:val="none"/>
        </w:rPr>
        <w:t>项目定位：确定总体及差异化定位，</w:t>
      </w:r>
      <w:r>
        <w:rPr>
          <w:rStyle w:val="29"/>
          <w:rFonts w:hint="eastAsia" w:ascii="微软雅黑" w:hAnsi="微软雅黑" w:eastAsia="微软雅黑" w:cs="微软雅黑"/>
          <w:b w:val="0"/>
          <w:color w:val="auto"/>
          <w:sz w:val="24"/>
          <w:highlight w:val="none"/>
        </w:rPr>
        <w:t>提出具竞争力的商业亮点，实</w:t>
      </w:r>
      <w:r>
        <w:rPr>
          <w:rStyle w:val="29"/>
          <w:rFonts w:ascii="微软雅黑" w:hAnsi="微软雅黑" w:eastAsia="微软雅黑" w:cs="微软雅黑"/>
          <w:b w:val="0"/>
          <w:color w:val="auto"/>
          <w:sz w:val="24"/>
          <w:highlight w:val="none"/>
        </w:rPr>
        <w:t>现错位竞争</w:t>
      </w:r>
      <w:r>
        <w:rPr>
          <w:rStyle w:val="29"/>
          <w:rFonts w:hint="eastAsia" w:ascii="微软雅黑" w:hAnsi="微软雅黑" w:eastAsia="微软雅黑" w:cs="微软雅黑"/>
          <w:b w:val="0"/>
          <w:color w:val="auto"/>
          <w:sz w:val="24"/>
          <w:highlight w:val="none"/>
        </w:rPr>
        <w:t>。预判客群规模、客流数量</w:t>
      </w:r>
      <w:r>
        <w:rPr>
          <w:rStyle w:val="29"/>
          <w:rFonts w:ascii="微软雅黑" w:hAnsi="微软雅黑" w:eastAsia="微软雅黑" w:cs="微软雅黑"/>
          <w:b w:val="0"/>
          <w:color w:val="auto"/>
          <w:sz w:val="24"/>
          <w:highlight w:val="none"/>
        </w:rPr>
        <w:t>。</w:t>
      </w:r>
    </w:p>
    <w:p w14:paraId="3C10DBAD">
      <w:pPr>
        <w:widowControl/>
        <w:spacing w:line="360" w:lineRule="auto"/>
        <w:ind w:left="-360"/>
        <w:jc w:val="left"/>
        <w:rPr>
          <w:rStyle w:val="29"/>
          <w:rFonts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（三）业态规划与产品建议</w:t>
      </w:r>
    </w:p>
    <w:p w14:paraId="6DC849FF">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业态组合：合理制定餐饮、零售、体验、运动、科创配套等业态比例。</w:t>
      </w:r>
    </w:p>
    <w:p w14:paraId="37CBA6C9">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楼层落位：明确业态布局</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主力店 / 次主力店 / 首店 / 特色店选型与落位</w:t>
      </w:r>
      <w:r>
        <w:rPr>
          <w:rStyle w:val="29"/>
          <w:rFonts w:hint="eastAsia" w:ascii="微软雅黑" w:hAnsi="微软雅黑" w:eastAsia="微软雅黑" w:cs="微软雅黑"/>
          <w:b w:val="0"/>
          <w:color w:val="auto"/>
          <w:sz w:val="24"/>
          <w:highlight w:val="none"/>
        </w:rPr>
        <w:t>方向，</w:t>
      </w:r>
      <w:r>
        <w:rPr>
          <w:rStyle w:val="29"/>
          <w:rFonts w:ascii="微软雅黑" w:hAnsi="微软雅黑" w:eastAsia="微软雅黑" w:cs="微软雅黑"/>
          <w:b w:val="0"/>
          <w:color w:val="auto"/>
          <w:sz w:val="24"/>
          <w:highlight w:val="none"/>
        </w:rPr>
        <w:t>主力店 / 次主力店 / 首店 / 特色店</w:t>
      </w:r>
      <w:r>
        <w:rPr>
          <w:rStyle w:val="29"/>
          <w:rFonts w:hint="eastAsia" w:ascii="微软雅黑" w:hAnsi="微软雅黑" w:eastAsia="微软雅黑" w:cs="微软雅黑"/>
          <w:b w:val="0"/>
          <w:color w:val="auto"/>
          <w:sz w:val="24"/>
          <w:highlight w:val="none"/>
        </w:rPr>
        <w:t>等提供品牌建议。</w:t>
      </w:r>
    </w:p>
    <w:p w14:paraId="1ACA3D1F">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商业技术：提出动线</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停车</w:t>
      </w:r>
      <w:r>
        <w:rPr>
          <w:rStyle w:val="29"/>
          <w:rFonts w:hint="eastAsia" w:ascii="微软雅黑" w:hAnsi="微软雅黑" w:eastAsia="微软雅黑" w:cs="微软雅黑"/>
          <w:b w:val="0"/>
          <w:color w:val="auto"/>
          <w:sz w:val="24"/>
          <w:highlight w:val="none"/>
        </w:rPr>
        <w:t>/产品参数/管道</w:t>
      </w:r>
      <w:r>
        <w:rPr>
          <w:rStyle w:val="29"/>
          <w:rFonts w:ascii="微软雅黑" w:hAnsi="微软雅黑" w:eastAsia="微软雅黑" w:cs="微软雅黑"/>
          <w:b w:val="0"/>
          <w:color w:val="auto"/>
          <w:sz w:val="24"/>
          <w:highlight w:val="none"/>
        </w:rPr>
        <w:t>等设计建议，</w:t>
      </w:r>
      <w:r>
        <w:rPr>
          <w:rStyle w:val="29"/>
          <w:rFonts w:hint="eastAsia" w:ascii="微软雅黑" w:hAnsi="微软雅黑" w:eastAsia="微软雅黑" w:cs="微软雅黑"/>
          <w:b w:val="0"/>
          <w:color w:val="auto"/>
          <w:sz w:val="24"/>
          <w:highlight w:val="none"/>
        </w:rPr>
        <w:t>兼容</w:t>
      </w:r>
      <w:r>
        <w:rPr>
          <w:rStyle w:val="29"/>
          <w:rFonts w:ascii="微软雅黑" w:hAnsi="微软雅黑" w:eastAsia="微软雅黑" w:cs="微软雅黑"/>
          <w:b w:val="0"/>
          <w:color w:val="auto"/>
          <w:sz w:val="24"/>
          <w:highlight w:val="none"/>
        </w:rPr>
        <w:t>运营效率与消费体验。</w:t>
      </w:r>
    </w:p>
    <w:p w14:paraId="5B978868">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音乐场馆：明确功能、规模、坐席、设备及运营模式，</w:t>
      </w:r>
      <w:r>
        <w:rPr>
          <w:rStyle w:val="29"/>
          <w:rFonts w:hint="eastAsia" w:ascii="微软雅黑" w:hAnsi="微软雅黑" w:eastAsia="微软雅黑" w:cs="微软雅黑"/>
          <w:b w:val="0"/>
          <w:color w:val="auto"/>
          <w:sz w:val="24"/>
          <w:highlight w:val="none"/>
        </w:rPr>
        <w:t>双业态</w:t>
      </w:r>
      <w:r>
        <w:rPr>
          <w:rStyle w:val="29"/>
          <w:rFonts w:ascii="微软雅黑" w:hAnsi="微软雅黑" w:eastAsia="微软雅黑" w:cs="微软雅黑"/>
          <w:b w:val="0"/>
          <w:color w:val="auto"/>
          <w:sz w:val="24"/>
          <w:highlight w:val="none"/>
        </w:rPr>
        <w:t>联动</w:t>
      </w:r>
      <w:r>
        <w:rPr>
          <w:rStyle w:val="29"/>
          <w:rFonts w:hint="eastAsia" w:ascii="微软雅黑" w:hAnsi="微软雅黑" w:eastAsia="微软雅黑" w:cs="微软雅黑"/>
          <w:b w:val="0"/>
          <w:color w:val="auto"/>
          <w:sz w:val="24"/>
          <w:highlight w:val="none"/>
        </w:rPr>
        <w:t>方案。</w:t>
      </w:r>
    </w:p>
    <w:p w14:paraId="4DB0B4B9">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根据报告提出的商业部分</w:t>
      </w:r>
      <w:r>
        <w:rPr>
          <w:rStyle w:val="29"/>
          <w:rFonts w:ascii="微软雅黑" w:hAnsi="微软雅黑" w:eastAsia="微软雅黑" w:cs="微软雅黑"/>
          <w:b w:val="0"/>
          <w:color w:val="auto"/>
          <w:sz w:val="24"/>
          <w:highlight w:val="none"/>
        </w:rPr>
        <w:t>主力店 / 次主力店 / 首店 / 特色店</w:t>
      </w:r>
      <w:r>
        <w:rPr>
          <w:rStyle w:val="29"/>
          <w:rFonts w:hint="eastAsia" w:ascii="微软雅黑" w:hAnsi="微软雅黑" w:eastAsia="微软雅黑" w:cs="微软雅黑"/>
          <w:b w:val="0"/>
          <w:color w:val="auto"/>
          <w:sz w:val="24"/>
          <w:highlight w:val="none"/>
        </w:rPr>
        <w:t>等，提供潜在品牌访谈，复核品牌进驻意向。</w:t>
      </w:r>
    </w:p>
    <w:p w14:paraId="4F332BA6">
      <w:pPr>
        <w:widowControl/>
        <w:numPr>
          <w:ilvl w:val="0"/>
          <w:numId w:val="14"/>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针对“其他物业组合+音乐场馆”的方案，提出产品定位、产品建议等。</w:t>
      </w:r>
    </w:p>
    <w:p w14:paraId="5F58D5D2">
      <w:pPr>
        <w:widowControl/>
        <w:spacing w:line="360" w:lineRule="auto"/>
        <w:ind w:left="-360"/>
        <w:jc w:val="left"/>
        <w:rPr>
          <w:rStyle w:val="29"/>
          <w:rFonts w:ascii="微软雅黑" w:hAnsi="微软雅黑" w:eastAsia="微软雅黑" w:cs="微软雅黑"/>
          <w:bCs/>
          <w:color w:val="auto"/>
          <w:sz w:val="24"/>
          <w:highlight w:val="none"/>
        </w:rPr>
      </w:pPr>
      <w:r>
        <w:rPr>
          <w:rStyle w:val="29"/>
          <w:rFonts w:hint="eastAsia" w:ascii="微软雅黑" w:hAnsi="微软雅黑" w:eastAsia="微软雅黑" w:cs="微软雅黑"/>
          <w:bCs/>
          <w:color w:val="auto"/>
          <w:sz w:val="24"/>
          <w:highlight w:val="none"/>
        </w:rPr>
        <w:t>（</w:t>
      </w:r>
      <w:r>
        <w:rPr>
          <w:rStyle w:val="29"/>
          <w:rFonts w:ascii="微软雅黑" w:hAnsi="微软雅黑" w:eastAsia="微软雅黑" w:cs="微软雅黑"/>
          <w:bCs/>
          <w:color w:val="auto"/>
          <w:sz w:val="24"/>
          <w:highlight w:val="none"/>
        </w:rPr>
        <w:t>四）招商策略与执行方案</w:t>
      </w:r>
    </w:p>
    <w:p w14:paraId="6E0FC389">
      <w:pPr>
        <w:widowControl/>
        <w:numPr>
          <w:ilvl w:val="0"/>
          <w:numId w:val="15"/>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招商计划：制定全周期节奏、目标、节点与实施路径，保障招商工作有序推进。</w:t>
      </w:r>
    </w:p>
    <w:p w14:paraId="6DCD4E56">
      <w:pPr>
        <w:widowControl/>
        <w:numPr>
          <w:ilvl w:val="0"/>
          <w:numId w:val="15"/>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音乐场馆：</w:t>
      </w:r>
      <w:r>
        <w:rPr>
          <w:rStyle w:val="29"/>
          <w:rFonts w:hint="eastAsia" w:ascii="微软雅黑" w:hAnsi="微软雅黑" w:eastAsia="微软雅黑" w:cs="微软雅黑"/>
          <w:b w:val="0"/>
          <w:color w:val="auto"/>
          <w:sz w:val="24"/>
          <w:highlight w:val="none"/>
        </w:rPr>
        <w:t>确定</w:t>
      </w:r>
      <w:r>
        <w:rPr>
          <w:rStyle w:val="29"/>
          <w:rFonts w:ascii="微软雅黑" w:hAnsi="微软雅黑" w:eastAsia="微软雅黑" w:cs="微软雅黑"/>
          <w:b w:val="0"/>
          <w:color w:val="auto"/>
          <w:sz w:val="24"/>
          <w:highlight w:val="none"/>
        </w:rPr>
        <w:t>合作模式、收益分成机制，制定与商业业态</w:t>
      </w:r>
      <w:r>
        <w:rPr>
          <w:rStyle w:val="29"/>
          <w:rFonts w:hint="eastAsia" w:ascii="微软雅黑" w:hAnsi="微软雅黑" w:eastAsia="微软雅黑" w:cs="微软雅黑"/>
          <w:b w:val="0"/>
          <w:color w:val="auto"/>
          <w:sz w:val="24"/>
          <w:highlight w:val="none"/>
        </w:rPr>
        <w:t>的</w:t>
      </w:r>
      <w:r>
        <w:rPr>
          <w:rStyle w:val="29"/>
          <w:rFonts w:ascii="微软雅黑" w:hAnsi="微软雅黑" w:eastAsia="微软雅黑" w:cs="微软雅黑"/>
          <w:b w:val="0"/>
          <w:color w:val="auto"/>
          <w:sz w:val="24"/>
          <w:highlight w:val="none"/>
        </w:rPr>
        <w:t>联动</w:t>
      </w:r>
      <w:r>
        <w:rPr>
          <w:rStyle w:val="29"/>
          <w:rFonts w:hint="eastAsia" w:ascii="微软雅黑" w:hAnsi="微软雅黑" w:eastAsia="微软雅黑" w:cs="微软雅黑"/>
          <w:b w:val="0"/>
          <w:color w:val="auto"/>
          <w:sz w:val="24"/>
          <w:highlight w:val="none"/>
        </w:rPr>
        <w:t>。</w:t>
      </w:r>
    </w:p>
    <w:p w14:paraId="784324E9">
      <w:pPr>
        <w:widowControl/>
        <w:numPr>
          <w:ilvl w:val="0"/>
          <w:numId w:val="15"/>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招商政策：制定差异化租金、物业、扣点、免租期及品牌扶持政策</w:t>
      </w:r>
    </w:p>
    <w:p w14:paraId="42EBFF99">
      <w:pPr>
        <w:widowControl/>
        <w:numPr>
          <w:ilvl w:val="0"/>
          <w:numId w:val="15"/>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招商保障：招商渠道</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品牌资源库</w:t>
      </w:r>
      <w:r>
        <w:rPr>
          <w:rStyle w:val="29"/>
          <w:rFonts w:hint="eastAsia" w:ascii="微软雅黑" w:hAnsi="微软雅黑" w:eastAsia="微软雅黑" w:cs="微软雅黑"/>
          <w:b w:val="0"/>
          <w:color w:val="auto"/>
          <w:sz w:val="24"/>
          <w:highlight w:val="none"/>
        </w:rPr>
        <w:t>及、</w:t>
      </w:r>
      <w:r>
        <w:rPr>
          <w:rStyle w:val="29"/>
          <w:rFonts w:ascii="微软雅黑" w:hAnsi="微软雅黑" w:eastAsia="微软雅黑" w:cs="微软雅黑"/>
          <w:b w:val="0"/>
          <w:color w:val="auto"/>
          <w:sz w:val="24"/>
          <w:highlight w:val="none"/>
        </w:rPr>
        <w:t>招商团队</w:t>
      </w:r>
      <w:r>
        <w:rPr>
          <w:rStyle w:val="29"/>
          <w:rFonts w:hint="eastAsia" w:ascii="微软雅黑" w:hAnsi="微软雅黑" w:eastAsia="微软雅黑" w:cs="微软雅黑"/>
          <w:b w:val="0"/>
          <w:color w:val="auto"/>
          <w:sz w:val="24"/>
          <w:highlight w:val="none"/>
        </w:rPr>
        <w:t>配置</w:t>
      </w:r>
      <w:r>
        <w:rPr>
          <w:rStyle w:val="29"/>
          <w:rFonts w:ascii="微软雅黑" w:hAnsi="微软雅黑" w:eastAsia="微软雅黑" w:cs="微软雅黑"/>
          <w:b w:val="0"/>
          <w:color w:val="auto"/>
          <w:sz w:val="24"/>
          <w:highlight w:val="none"/>
        </w:rPr>
        <w:t>，制定推广计划</w:t>
      </w:r>
      <w:r>
        <w:rPr>
          <w:rStyle w:val="29"/>
          <w:rFonts w:hint="eastAsia" w:ascii="微软雅黑" w:hAnsi="微软雅黑" w:eastAsia="微软雅黑" w:cs="微软雅黑"/>
          <w:b w:val="0"/>
          <w:color w:val="auto"/>
          <w:sz w:val="24"/>
          <w:highlight w:val="none"/>
        </w:rPr>
        <w:t>。</w:t>
      </w:r>
    </w:p>
    <w:p w14:paraId="72B95B48">
      <w:pPr>
        <w:widowControl/>
        <w:spacing w:line="360" w:lineRule="auto"/>
        <w:ind w:left="-360"/>
        <w:jc w:val="left"/>
        <w:rPr>
          <w:rStyle w:val="29"/>
          <w:rFonts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（五）运营思路与管理方案</w:t>
      </w:r>
    </w:p>
    <w:p w14:paraId="4BEFDD08">
      <w:pPr>
        <w:widowControl/>
        <w:numPr>
          <w:ilvl w:val="0"/>
          <w:numId w:val="16"/>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商场运营：明确运营模式、组织架构、人员编制及成本测算，建立标准化体系。</w:t>
      </w:r>
    </w:p>
    <w:p w14:paraId="4BFF49C2">
      <w:pPr>
        <w:widowControl/>
        <w:numPr>
          <w:ilvl w:val="0"/>
          <w:numId w:val="16"/>
        </w:numPr>
        <w:spacing w:line="360" w:lineRule="auto"/>
        <w:ind w:left="-360"/>
        <w:jc w:val="left"/>
        <w:rPr>
          <w:rStyle w:val="29"/>
          <w:rFonts w:hint="eastAsia"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音乐场馆：</w:t>
      </w:r>
      <w:r>
        <w:rPr>
          <w:rStyle w:val="29"/>
          <w:rFonts w:hint="eastAsia" w:ascii="微软雅黑" w:hAnsi="微软雅黑" w:eastAsia="微软雅黑" w:cs="微软雅黑"/>
          <w:b w:val="0"/>
          <w:color w:val="auto"/>
          <w:sz w:val="24"/>
          <w:highlight w:val="none"/>
        </w:rPr>
        <w:t>提供音乐场馆的经营情况调研，如人流量、营业水平、经营模式等，论证可行性，同时根据场馆运营方的合作模式，配合完成与</w:t>
      </w:r>
      <w:r>
        <w:rPr>
          <w:rStyle w:val="29"/>
          <w:rFonts w:ascii="微软雅黑" w:hAnsi="微软雅黑" w:eastAsia="微软雅黑" w:cs="微软雅黑"/>
          <w:b w:val="0"/>
          <w:color w:val="auto"/>
          <w:sz w:val="24"/>
          <w:highlight w:val="none"/>
        </w:rPr>
        <w:t>演出、票务、会员方案</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收支及监管机制</w:t>
      </w:r>
      <w:r>
        <w:rPr>
          <w:rStyle w:val="29"/>
          <w:rFonts w:hint="eastAsia" w:ascii="微软雅黑" w:hAnsi="微软雅黑" w:eastAsia="微软雅黑" w:cs="微软雅黑"/>
          <w:b w:val="0"/>
          <w:color w:val="auto"/>
          <w:sz w:val="24"/>
          <w:highlight w:val="none"/>
        </w:rPr>
        <w:t>相关的方案。</w:t>
      </w:r>
    </w:p>
    <w:p w14:paraId="1BBD66C1">
      <w:pPr>
        <w:widowControl/>
        <w:numPr>
          <w:ilvl w:val="0"/>
          <w:numId w:val="16"/>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运营提升：构建智慧商业</w:t>
      </w:r>
      <w:r>
        <w:rPr>
          <w:rStyle w:val="29"/>
          <w:rFonts w:hint="eastAsia" w:ascii="微软雅黑" w:hAnsi="微软雅黑" w:eastAsia="微软雅黑" w:cs="微软雅黑"/>
          <w:b w:val="0"/>
          <w:color w:val="auto"/>
          <w:sz w:val="24"/>
          <w:highlight w:val="none"/>
        </w:rPr>
        <w:t>与</w:t>
      </w:r>
      <w:r>
        <w:rPr>
          <w:rStyle w:val="29"/>
          <w:rFonts w:ascii="微软雅黑" w:hAnsi="微软雅黑" w:eastAsia="微软雅黑" w:cs="微软雅黑"/>
          <w:b w:val="0"/>
          <w:color w:val="auto"/>
          <w:sz w:val="24"/>
          <w:highlight w:val="none"/>
        </w:rPr>
        <w:t>会员体系，策划营销</w:t>
      </w:r>
      <w:r>
        <w:rPr>
          <w:rStyle w:val="29"/>
          <w:rFonts w:hint="eastAsia" w:ascii="微软雅黑" w:hAnsi="微软雅黑" w:eastAsia="微软雅黑" w:cs="微软雅黑"/>
          <w:b w:val="0"/>
          <w:color w:val="auto"/>
          <w:sz w:val="24"/>
          <w:highlight w:val="none"/>
        </w:rPr>
        <w:t>与服务标准</w:t>
      </w:r>
      <w:r>
        <w:rPr>
          <w:rStyle w:val="29"/>
          <w:rFonts w:ascii="微软雅黑" w:hAnsi="微软雅黑" w:eastAsia="微软雅黑" w:cs="微软雅黑"/>
          <w:b w:val="0"/>
          <w:color w:val="auto"/>
          <w:sz w:val="24"/>
          <w:highlight w:val="none"/>
        </w:rPr>
        <w:t>。</w:t>
      </w:r>
    </w:p>
    <w:p w14:paraId="4C1BB455">
      <w:pPr>
        <w:widowControl/>
        <w:numPr>
          <w:ilvl w:val="0"/>
          <w:numId w:val="16"/>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全周期保障：</w:t>
      </w:r>
      <w:r>
        <w:rPr>
          <w:rStyle w:val="29"/>
          <w:rFonts w:hint="eastAsia" w:ascii="微软雅黑" w:hAnsi="微软雅黑" w:eastAsia="微软雅黑" w:cs="微软雅黑"/>
          <w:b w:val="0"/>
          <w:color w:val="auto"/>
          <w:sz w:val="24"/>
          <w:highlight w:val="none"/>
        </w:rPr>
        <w:t>提出</w:t>
      </w:r>
      <w:r>
        <w:rPr>
          <w:rStyle w:val="29"/>
          <w:rFonts w:ascii="微软雅黑" w:hAnsi="微软雅黑" w:eastAsia="微软雅黑" w:cs="微软雅黑"/>
          <w:b w:val="0"/>
          <w:color w:val="auto"/>
          <w:sz w:val="24"/>
          <w:highlight w:val="none"/>
        </w:rPr>
        <w:t>开业筹备</w:t>
      </w:r>
      <w:r>
        <w:rPr>
          <w:rStyle w:val="29"/>
          <w:rFonts w:hint="eastAsia" w:ascii="微软雅黑" w:hAnsi="微软雅黑" w:eastAsia="微软雅黑" w:cs="微软雅黑"/>
          <w:b w:val="0"/>
          <w:color w:val="auto"/>
          <w:sz w:val="24"/>
          <w:highlight w:val="none"/>
        </w:rPr>
        <w:t>事宜建议、</w:t>
      </w:r>
      <w:r>
        <w:rPr>
          <w:rStyle w:val="29"/>
          <w:rFonts w:ascii="微软雅黑" w:hAnsi="微软雅黑" w:eastAsia="微软雅黑" w:cs="微软雅黑"/>
          <w:b w:val="0"/>
          <w:color w:val="auto"/>
          <w:sz w:val="24"/>
          <w:highlight w:val="none"/>
        </w:rPr>
        <w:t>培育期运营策略，</w:t>
      </w:r>
      <w:r>
        <w:rPr>
          <w:rStyle w:val="29"/>
          <w:rFonts w:hint="eastAsia" w:ascii="微软雅黑" w:hAnsi="微软雅黑" w:eastAsia="微软雅黑" w:cs="微软雅黑"/>
          <w:b w:val="0"/>
          <w:color w:val="auto"/>
          <w:sz w:val="24"/>
          <w:highlight w:val="none"/>
        </w:rPr>
        <w:t>制定</w:t>
      </w:r>
      <w:r>
        <w:rPr>
          <w:rStyle w:val="29"/>
          <w:rFonts w:ascii="微软雅黑" w:hAnsi="微软雅黑" w:eastAsia="微软雅黑" w:cs="微软雅黑"/>
          <w:b w:val="0"/>
          <w:color w:val="auto"/>
          <w:sz w:val="24"/>
          <w:highlight w:val="none"/>
        </w:rPr>
        <w:t>风险</w:t>
      </w:r>
      <w:r>
        <w:rPr>
          <w:rStyle w:val="29"/>
          <w:rFonts w:hint="eastAsia" w:ascii="微软雅黑" w:hAnsi="微软雅黑" w:eastAsia="微软雅黑" w:cs="微软雅黑"/>
          <w:b w:val="0"/>
          <w:color w:val="auto"/>
          <w:sz w:val="24"/>
          <w:highlight w:val="none"/>
        </w:rPr>
        <w:t>应对</w:t>
      </w:r>
      <w:r>
        <w:rPr>
          <w:rStyle w:val="29"/>
          <w:rFonts w:ascii="微软雅黑" w:hAnsi="微软雅黑" w:eastAsia="微软雅黑" w:cs="微软雅黑"/>
          <w:b w:val="0"/>
          <w:color w:val="auto"/>
          <w:sz w:val="24"/>
          <w:highlight w:val="none"/>
        </w:rPr>
        <w:t>措施</w:t>
      </w:r>
    </w:p>
    <w:p w14:paraId="5DE1FFE3">
      <w:pPr>
        <w:widowControl/>
        <w:spacing w:line="360" w:lineRule="auto"/>
        <w:ind w:left="-360"/>
        <w:jc w:val="left"/>
        <w:rPr>
          <w:rStyle w:val="29"/>
          <w:rFonts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（六）财务测算与投资分析</w:t>
      </w:r>
    </w:p>
    <w:p w14:paraId="4FF33344">
      <w:pPr>
        <w:widowControl/>
        <w:numPr>
          <w:ilvl w:val="0"/>
          <w:numId w:val="17"/>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商业部分需提供一铺一价定价，并对应提供详实的定价依据及定价模型；其他物业类型（含音乐场馆）按市场需求提出定价标准，及详尽的定价依据。</w:t>
      </w:r>
    </w:p>
    <w:p w14:paraId="42228D98">
      <w:pPr>
        <w:widowControl/>
        <w:numPr>
          <w:ilvl w:val="0"/>
          <w:numId w:val="17"/>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经济</w:t>
      </w:r>
      <w:r>
        <w:rPr>
          <w:rStyle w:val="29"/>
          <w:rFonts w:ascii="微软雅黑" w:hAnsi="微软雅黑" w:eastAsia="微软雅黑" w:cs="微软雅黑"/>
          <w:b w:val="0"/>
          <w:color w:val="auto"/>
          <w:sz w:val="24"/>
          <w:highlight w:val="none"/>
        </w:rPr>
        <w:t>测算：</w:t>
      </w:r>
      <w:r>
        <w:rPr>
          <w:rStyle w:val="29"/>
          <w:rFonts w:hint="eastAsia" w:ascii="微软雅黑" w:hAnsi="微软雅黑" w:eastAsia="微软雅黑" w:cs="微软雅黑"/>
          <w:b w:val="0"/>
          <w:color w:val="auto"/>
          <w:sz w:val="24"/>
          <w:highlight w:val="none"/>
        </w:rPr>
        <w:t>项目投资测算、收入预测（租金/分成/物业/广告/停车/策展商业等）</w:t>
      </w:r>
    </w:p>
    <w:p w14:paraId="429EC9CC">
      <w:pPr>
        <w:widowControl/>
        <w:numPr>
          <w:ilvl w:val="0"/>
          <w:numId w:val="17"/>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财务指标：精确计算</w:t>
      </w:r>
      <w:r>
        <w:rPr>
          <w:rStyle w:val="29"/>
          <w:rFonts w:hint="eastAsia" w:ascii="微软雅黑" w:hAnsi="微软雅黑" w:eastAsia="微软雅黑" w:cs="微软雅黑"/>
          <w:b w:val="0"/>
          <w:color w:val="auto"/>
          <w:sz w:val="24"/>
          <w:highlight w:val="none"/>
        </w:rPr>
        <w:t>核心财务指标（</w:t>
      </w:r>
      <w:r>
        <w:rPr>
          <w:rStyle w:val="29"/>
          <w:rFonts w:ascii="微软雅黑" w:hAnsi="微软雅黑" w:eastAsia="微软雅黑" w:cs="微软雅黑"/>
          <w:b w:val="0"/>
          <w:color w:val="auto"/>
          <w:sz w:val="24"/>
          <w:highlight w:val="none"/>
        </w:rPr>
        <w:t>利润</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现金流</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IRR</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NPV</w:t>
      </w:r>
      <w:r>
        <w:rPr>
          <w:rStyle w:val="29"/>
          <w:rFonts w:hint="eastAsia" w:ascii="微软雅黑" w:hAnsi="微软雅黑" w:eastAsia="微软雅黑" w:cs="微软雅黑"/>
          <w:b w:val="0"/>
          <w:color w:val="auto"/>
          <w:sz w:val="24"/>
          <w:highlight w:val="none"/>
        </w:rPr>
        <w:t>/回报期/</w:t>
      </w:r>
      <w:r>
        <w:rPr>
          <w:rStyle w:val="29"/>
          <w:rFonts w:ascii="微软雅黑" w:hAnsi="微软雅黑" w:eastAsia="微软雅黑" w:cs="微软雅黑"/>
          <w:b w:val="0"/>
          <w:color w:val="auto"/>
          <w:sz w:val="24"/>
          <w:highlight w:val="none"/>
        </w:rPr>
        <w:t>毛利率</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盈亏平衡点</w:t>
      </w:r>
      <w:r>
        <w:rPr>
          <w:rStyle w:val="29"/>
          <w:rFonts w:hint="eastAsia" w:ascii="微软雅黑" w:hAnsi="微软雅黑" w:eastAsia="微软雅黑" w:cs="微软雅黑"/>
          <w:b w:val="0"/>
          <w:color w:val="auto"/>
          <w:sz w:val="24"/>
          <w:highlight w:val="none"/>
        </w:rPr>
        <w:t>）</w:t>
      </w:r>
      <w:r>
        <w:rPr>
          <w:rStyle w:val="29"/>
          <w:rFonts w:ascii="微软雅黑" w:hAnsi="微软雅黑" w:eastAsia="微软雅黑" w:cs="微软雅黑"/>
          <w:b w:val="0"/>
          <w:color w:val="auto"/>
          <w:sz w:val="24"/>
          <w:highlight w:val="none"/>
        </w:rPr>
        <w:t>，并进行敏感性分析。</w:t>
      </w:r>
    </w:p>
    <w:p w14:paraId="60B07F2F">
      <w:pPr>
        <w:widowControl/>
        <w:numPr>
          <w:ilvl w:val="0"/>
          <w:numId w:val="17"/>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双模型测算：分别建立音乐场馆与商业整体测算模型</w:t>
      </w:r>
      <w:r>
        <w:rPr>
          <w:rStyle w:val="29"/>
          <w:rFonts w:hint="eastAsia" w:ascii="微软雅黑" w:hAnsi="微软雅黑" w:eastAsia="微软雅黑" w:cs="微软雅黑"/>
          <w:b w:val="0"/>
          <w:color w:val="auto"/>
          <w:sz w:val="24"/>
          <w:highlight w:val="none"/>
        </w:rPr>
        <w:t>。</w:t>
      </w:r>
    </w:p>
    <w:p w14:paraId="187A114D">
      <w:pPr>
        <w:widowControl/>
        <w:numPr>
          <w:ilvl w:val="0"/>
          <w:numId w:val="17"/>
        </w:numPr>
        <w:spacing w:line="360" w:lineRule="auto"/>
        <w:ind w:left="-360"/>
        <w:jc w:val="left"/>
        <w:rPr>
          <w:rStyle w:val="29"/>
          <w:rFonts w:ascii="微软雅黑" w:hAnsi="微软雅黑" w:eastAsia="微软雅黑" w:cs="微软雅黑"/>
          <w:b w:val="0"/>
          <w:color w:val="auto"/>
          <w:sz w:val="24"/>
          <w:highlight w:val="none"/>
        </w:rPr>
      </w:pPr>
      <w:r>
        <w:rPr>
          <w:rStyle w:val="29"/>
          <w:rFonts w:hint="eastAsia" w:ascii="微软雅黑" w:hAnsi="微软雅黑" w:eastAsia="微软雅黑" w:cs="微软雅黑"/>
          <w:b w:val="0"/>
          <w:color w:val="auto"/>
          <w:sz w:val="24"/>
          <w:highlight w:val="none"/>
        </w:rPr>
        <w:t>按“其他商业物业组合</w:t>
      </w:r>
      <w:r>
        <w:rPr>
          <w:rFonts w:hint="eastAsia" w:ascii="微软雅黑" w:hAnsi="微软雅黑" w:eastAsia="微软雅黑" w:cs="微软雅黑"/>
          <w:color w:val="auto"/>
          <w:sz w:val="24"/>
          <w:highlight w:val="none"/>
        </w:rPr>
        <w:t xml:space="preserve"> + 专业音乐场馆”综合体的方案，提供可对比的测算模型。</w:t>
      </w:r>
    </w:p>
    <w:p w14:paraId="6E0C1360">
      <w:pPr>
        <w:widowControl/>
        <w:spacing w:line="360" w:lineRule="auto"/>
        <w:ind w:left="-360"/>
        <w:jc w:val="left"/>
        <w:rPr>
          <w:rStyle w:val="29"/>
          <w:rFonts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（七）专项对接服务</w:t>
      </w:r>
    </w:p>
    <w:p w14:paraId="605039E4">
      <w:pPr>
        <w:widowControl/>
        <w:numPr>
          <w:ilvl w:val="0"/>
          <w:numId w:val="18"/>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对接华为，调研员工消费需求与意向品牌，提升定位匹配度；</w:t>
      </w:r>
    </w:p>
    <w:p w14:paraId="00C9CEF3">
      <w:pPr>
        <w:widowControl/>
        <w:numPr>
          <w:ilvl w:val="0"/>
          <w:numId w:val="18"/>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对接政府，梳理商业、首店、绿色建筑等扶持政策，协助争取资金与优惠；</w:t>
      </w:r>
    </w:p>
    <w:p w14:paraId="59150210">
      <w:pPr>
        <w:widowControl/>
        <w:numPr>
          <w:ilvl w:val="0"/>
          <w:numId w:val="18"/>
        </w:numPr>
        <w:spacing w:line="360" w:lineRule="auto"/>
        <w:ind w:left="-360"/>
        <w:jc w:val="left"/>
        <w:rPr>
          <w:rStyle w:val="29"/>
          <w:rFonts w:ascii="微软雅黑" w:hAnsi="微软雅黑" w:eastAsia="微软雅黑" w:cs="微软雅黑"/>
          <w:b w:val="0"/>
          <w:color w:val="auto"/>
          <w:sz w:val="24"/>
          <w:highlight w:val="none"/>
        </w:rPr>
      </w:pPr>
      <w:r>
        <w:rPr>
          <w:rStyle w:val="29"/>
          <w:rFonts w:ascii="微软雅黑" w:hAnsi="微软雅黑" w:eastAsia="微软雅黑" w:cs="微软雅黑"/>
          <w:b w:val="0"/>
          <w:color w:val="auto"/>
          <w:sz w:val="24"/>
          <w:highlight w:val="none"/>
        </w:rPr>
        <w:t>联动松山湖文旅，提出文旅融合思路，扩大项目辐射力与区域影响力。</w:t>
      </w:r>
    </w:p>
    <w:p w14:paraId="534C0DDB">
      <w:pPr>
        <w:widowControl/>
        <w:numPr>
          <w:ilvl w:val="0"/>
          <w:numId w:val="0"/>
        </w:numPr>
        <w:spacing w:line="360" w:lineRule="auto"/>
        <w:jc w:val="left"/>
        <w:rPr>
          <w:rStyle w:val="29"/>
          <w:rFonts w:ascii="微软雅黑" w:hAnsi="微软雅黑" w:eastAsia="微软雅黑" w:cs="微软雅黑"/>
          <w:b w:val="0"/>
          <w:color w:val="auto"/>
          <w:sz w:val="24"/>
          <w:highlight w:val="none"/>
        </w:rPr>
      </w:pPr>
    </w:p>
    <w:p w14:paraId="4899F414">
      <w:pPr>
        <w:widowControl/>
        <w:numPr>
          <w:ilvl w:val="0"/>
          <w:numId w:val="0"/>
        </w:numPr>
        <w:spacing w:line="360" w:lineRule="auto"/>
        <w:jc w:val="left"/>
        <w:rPr>
          <w:rStyle w:val="29"/>
          <w:rFonts w:hint="eastAsia" w:ascii="微软雅黑" w:hAnsi="微软雅黑" w:eastAsia="微软雅黑" w:cs="微软雅黑"/>
          <w:b w:val="0"/>
          <w:color w:val="auto"/>
          <w:sz w:val="24"/>
          <w:highlight w:val="none"/>
          <w:lang w:eastAsia="zh-CN"/>
        </w:rPr>
      </w:pPr>
    </w:p>
    <w:p w14:paraId="77998B89">
      <w:pPr>
        <w:widowControl/>
        <w:numPr>
          <w:ilvl w:val="0"/>
          <w:numId w:val="0"/>
        </w:numPr>
        <w:spacing w:line="360" w:lineRule="auto"/>
        <w:jc w:val="left"/>
        <w:rPr>
          <w:rStyle w:val="29"/>
          <w:rFonts w:hint="eastAsia" w:ascii="微软雅黑" w:hAnsi="微软雅黑" w:eastAsia="微软雅黑" w:cs="微软雅黑"/>
          <w:b w:val="0"/>
          <w:color w:val="auto"/>
          <w:sz w:val="24"/>
          <w:highlight w:val="none"/>
          <w:lang w:eastAsia="zh-CN"/>
        </w:rPr>
      </w:pPr>
    </w:p>
    <w:p w14:paraId="1337EF04">
      <w:pPr>
        <w:widowControl/>
        <w:numPr>
          <w:ilvl w:val="0"/>
          <w:numId w:val="8"/>
        </w:numPr>
        <w:spacing w:beforeAutospacing="0" w:afterAutospacing="0" w:line="360" w:lineRule="auto"/>
        <w:ind w:left="-360"/>
        <w:jc w:val="left"/>
        <w:rPr>
          <w:rStyle w:val="29"/>
          <w:rFonts w:hint="eastAsia" w:ascii="微软雅黑" w:hAnsi="微软雅黑" w:eastAsia="微软雅黑" w:cs="微软雅黑"/>
          <w:bCs/>
          <w:color w:val="auto"/>
          <w:sz w:val="24"/>
          <w:highlight w:val="none"/>
        </w:rPr>
      </w:pPr>
      <w:r>
        <w:rPr>
          <w:rStyle w:val="29"/>
          <w:rFonts w:ascii="微软雅黑" w:hAnsi="微软雅黑" w:eastAsia="微软雅黑" w:cs="微软雅黑"/>
          <w:bCs/>
          <w:color w:val="auto"/>
          <w:sz w:val="24"/>
          <w:highlight w:val="none"/>
        </w:rPr>
        <w:t>技术标</w:t>
      </w:r>
      <w:r>
        <w:rPr>
          <w:rStyle w:val="29"/>
          <w:rFonts w:hint="eastAsia" w:ascii="微软雅黑" w:hAnsi="微软雅黑" w:eastAsia="微软雅黑" w:cs="微软雅黑"/>
          <w:bCs/>
          <w:color w:val="auto"/>
          <w:sz w:val="24"/>
          <w:highlight w:val="none"/>
          <w:lang w:val="en-US" w:eastAsia="zh-CN"/>
        </w:rPr>
        <w:t>投标</w:t>
      </w:r>
      <w:r>
        <w:rPr>
          <w:rStyle w:val="29"/>
          <w:rFonts w:ascii="微软雅黑" w:hAnsi="微软雅黑" w:eastAsia="微软雅黑" w:cs="微软雅黑"/>
          <w:bCs/>
          <w:color w:val="auto"/>
          <w:sz w:val="24"/>
          <w:highlight w:val="none"/>
        </w:rPr>
        <w:t>要求</w:t>
      </w:r>
    </w:p>
    <w:p w14:paraId="63D934D5">
      <w:pPr>
        <w:widowControl/>
        <w:numPr>
          <w:ilvl w:val="-1"/>
          <w:numId w:val="0"/>
        </w:numPr>
        <w:spacing w:line="360" w:lineRule="auto"/>
        <w:ind w:left="0" w:firstLine="420" w:firstLineChars="200"/>
        <w:jc w:val="left"/>
        <w:rPr>
          <w:rStyle w:val="29"/>
          <w:rFonts w:hint="default"/>
          <w:color w:val="auto"/>
          <w:highlight w:val="none"/>
        </w:rPr>
      </w:pPr>
      <w:r>
        <w:rPr>
          <w:rStyle w:val="29"/>
          <w:rFonts w:hint="eastAsia" w:ascii="微软雅黑" w:hAnsi="微软雅黑" w:eastAsia="微软雅黑" w:cs="微软雅黑"/>
          <w:color w:val="auto"/>
          <w:highlight w:val="none"/>
          <w:lang w:val="en-US" w:eastAsia="zh-CN"/>
        </w:rPr>
        <w:t>为使评标小组更好的理解投标文件技术部分，本采购项目投标单位需要进行述标，投标单位</w:t>
      </w:r>
      <w:r>
        <w:rPr>
          <w:rStyle w:val="29"/>
          <w:rFonts w:ascii="微软雅黑" w:hAnsi="微软雅黑" w:eastAsia="微软雅黑" w:cs="微软雅黑"/>
          <w:color w:val="auto"/>
          <w:highlight w:val="none"/>
        </w:rPr>
        <w:t>技术标述标汇报PPT（自备</w:t>
      </w:r>
      <w:r>
        <w:rPr>
          <w:rStyle w:val="29"/>
          <w:rFonts w:hint="eastAsia" w:ascii="微软雅黑" w:hAnsi="微软雅黑" w:eastAsia="微软雅黑" w:cs="微软雅黑"/>
          <w:color w:val="auto"/>
          <w:highlight w:val="none"/>
          <w:lang w:val="en-US" w:eastAsia="zh-CN"/>
        </w:rPr>
        <w:t>U盘</w:t>
      </w:r>
      <w:r>
        <w:rPr>
          <w:rStyle w:val="29"/>
          <w:rFonts w:ascii="微软雅黑" w:hAnsi="微软雅黑" w:eastAsia="微软雅黑" w:cs="微软雅黑"/>
          <w:color w:val="auto"/>
          <w:highlight w:val="none"/>
        </w:rPr>
        <w:t>，简述技术标核心内容。每单位</w:t>
      </w:r>
      <w:r>
        <w:rPr>
          <w:rStyle w:val="29"/>
          <w:rFonts w:hint="eastAsia" w:ascii="微软雅黑" w:hAnsi="微软雅黑" w:eastAsia="微软雅黑" w:cs="微软雅黑"/>
          <w:color w:val="auto"/>
          <w:highlight w:val="none"/>
          <w:lang w:val="en-US" w:eastAsia="zh-CN"/>
        </w:rPr>
        <w:t>限时</w:t>
      </w:r>
      <w:r>
        <w:rPr>
          <w:rStyle w:val="29"/>
          <w:rFonts w:ascii="微软雅黑" w:hAnsi="微软雅黑" w:eastAsia="微软雅黑" w:cs="微软雅黑"/>
          <w:color w:val="auto"/>
          <w:highlight w:val="none"/>
        </w:rPr>
        <w:t>35分钟，其中汇报20-25分钟、沟通交流5-10分钟）</w:t>
      </w:r>
      <w:r>
        <w:rPr>
          <w:rStyle w:val="29"/>
          <w:rFonts w:hint="eastAsia" w:ascii="微软雅黑" w:hAnsi="微软雅黑" w:eastAsia="微软雅黑" w:cs="微软雅黑"/>
          <w:color w:val="auto"/>
          <w:highlight w:val="none"/>
          <w:lang w:eastAsia="zh-CN"/>
        </w:rPr>
        <w:t>。</w:t>
      </w:r>
      <w:r>
        <w:rPr>
          <w:rStyle w:val="29"/>
          <w:rFonts w:hint="eastAsia" w:ascii="微软雅黑" w:hAnsi="微软雅黑" w:eastAsia="微软雅黑" w:cs="微软雅黑"/>
          <w:color w:val="auto"/>
          <w:highlight w:val="none"/>
          <w:lang w:val="en-US" w:eastAsia="zh-CN"/>
        </w:rPr>
        <w:t>投标单位技术标部分按评分标准及用户需求书进行编制，评标小组评标以纸质版为准，结合述标情况进行打分。</w:t>
      </w:r>
    </w:p>
    <w:p w14:paraId="1ECCBB0E">
      <w:pPr>
        <w:widowControl/>
        <w:spacing w:line="360" w:lineRule="auto"/>
        <w:jc w:val="left"/>
        <w:rPr>
          <w:rStyle w:val="29"/>
          <w:rFonts w:ascii="微软雅黑" w:hAnsi="微软雅黑" w:eastAsia="微软雅黑" w:cs="微软雅黑"/>
          <w:b w:val="0"/>
          <w:color w:val="auto"/>
          <w:sz w:val="24"/>
          <w:highlight w:val="none"/>
        </w:rPr>
      </w:pPr>
    </w:p>
    <w:p w14:paraId="24A90433">
      <w:pPr>
        <w:pStyle w:val="48"/>
        <w:ind w:firstLine="0" w:firstLineChars="0"/>
        <w:jc w:val="left"/>
        <w:rPr>
          <w:rFonts w:hint="eastAsia" w:ascii="Times New Roman" w:hAnsi="Times New Roman"/>
          <w:color w:val="auto"/>
          <w:sz w:val="32"/>
          <w:szCs w:val="32"/>
          <w:highlight w:val="none"/>
        </w:rPr>
      </w:pPr>
    </w:p>
    <w:bookmarkEnd w:id="9"/>
    <w:sectPr>
      <w:headerReference r:id="rId5" w:type="default"/>
      <w:footerReference r:id="rId6" w:type="default"/>
      <w:pgSz w:w="11907" w:h="16840"/>
      <w:pgMar w:top="1531" w:right="1249"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CAF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E9D8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BE9D8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F8D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2FD4A">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22FD4A">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18D6">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9A59">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8A427"/>
    <w:multiLevelType w:val="singleLevel"/>
    <w:tmpl w:val="80E8A427"/>
    <w:lvl w:ilvl="0" w:tentative="0">
      <w:start w:val="1"/>
      <w:numFmt w:val="decimal"/>
      <w:suff w:val="space"/>
      <w:lvlText w:val="%1."/>
      <w:lvlJc w:val="left"/>
    </w:lvl>
  </w:abstractNum>
  <w:abstractNum w:abstractNumId="1">
    <w:nsid w:val="97B7A0DF"/>
    <w:multiLevelType w:val="singleLevel"/>
    <w:tmpl w:val="97B7A0DF"/>
    <w:lvl w:ilvl="0" w:tentative="0">
      <w:start w:val="1"/>
      <w:numFmt w:val="decimal"/>
      <w:suff w:val="space"/>
      <w:lvlText w:val="%1."/>
      <w:lvlJc w:val="left"/>
    </w:lvl>
  </w:abstractNum>
  <w:abstractNum w:abstractNumId="2">
    <w:nsid w:val="9DBCAAB8"/>
    <w:multiLevelType w:val="singleLevel"/>
    <w:tmpl w:val="9DBCAAB8"/>
    <w:lvl w:ilvl="0" w:tentative="0">
      <w:start w:val="1"/>
      <w:numFmt w:val="decimal"/>
      <w:suff w:val="space"/>
      <w:lvlText w:val="%1."/>
      <w:lvlJc w:val="left"/>
    </w:lvl>
  </w:abstractNum>
  <w:abstractNum w:abstractNumId="3">
    <w:nsid w:val="A05ABB87"/>
    <w:multiLevelType w:val="singleLevel"/>
    <w:tmpl w:val="A05ABB87"/>
    <w:lvl w:ilvl="0" w:tentative="0">
      <w:start w:val="1"/>
      <w:numFmt w:val="decimal"/>
      <w:suff w:val="space"/>
      <w:lvlText w:val="%1."/>
      <w:lvlJc w:val="left"/>
    </w:lvl>
  </w:abstractNum>
  <w:abstractNum w:abstractNumId="4">
    <w:nsid w:val="B25DBDDC"/>
    <w:multiLevelType w:val="singleLevel"/>
    <w:tmpl w:val="B25DBDDC"/>
    <w:lvl w:ilvl="0" w:tentative="0">
      <w:start w:val="1"/>
      <w:numFmt w:val="decimal"/>
      <w:suff w:val="space"/>
      <w:lvlText w:val="%1."/>
      <w:lvlJc w:val="left"/>
    </w:lvl>
  </w:abstractNum>
  <w:abstractNum w:abstractNumId="5">
    <w:nsid w:val="CD96A366"/>
    <w:multiLevelType w:val="singleLevel"/>
    <w:tmpl w:val="CD96A366"/>
    <w:lvl w:ilvl="0" w:tentative="0">
      <w:start w:val="1"/>
      <w:numFmt w:val="decimal"/>
      <w:suff w:val="space"/>
      <w:lvlText w:val="%1."/>
      <w:lvlJc w:val="left"/>
    </w:lvl>
  </w:abstractNum>
  <w:abstractNum w:abstractNumId="6">
    <w:nsid w:val="CE94977A"/>
    <w:multiLevelType w:val="singleLevel"/>
    <w:tmpl w:val="CE94977A"/>
    <w:lvl w:ilvl="0" w:tentative="0">
      <w:start w:val="1"/>
      <w:numFmt w:val="chineseCounting"/>
      <w:suff w:val="nothing"/>
      <w:lvlText w:val="（%1）"/>
      <w:lvlJc w:val="left"/>
      <w:rPr>
        <w:rFonts w:hint="eastAsia"/>
      </w:rPr>
    </w:lvl>
  </w:abstractNum>
  <w:abstractNum w:abstractNumId="7">
    <w:nsid w:val="FFF271F7"/>
    <w:multiLevelType w:val="singleLevel"/>
    <w:tmpl w:val="FFF271F7"/>
    <w:lvl w:ilvl="0" w:tentative="0">
      <w:start w:val="1"/>
      <w:numFmt w:val="chineseCounting"/>
      <w:suff w:val="nothing"/>
      <w:lvlText w:val="%1、"/>
      <w:lvlJc w:val="left"/>
      <w:rPr>
        <w:rFonts w:hint="eastAsia"/>
      </w:rPr>
    </w:lvl>
  </w:abstractNum>
  <w:abstractNum w:abstractNumId="8">
    <w:nsid w:val="02BA4E6F"/>
    <w:multiLevelType w:val="multilevel"/>
    <w:tmpl w:val="02BA4E6F"/>
    <w:lvl w:ilvl="0" w:tentative="0">
      <w:start w:val="1"/>
      <w:numFmt w:val="bullet"/>
      <w:pStyle w:val="6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EBF5663"/>
    <w:multiLevelType w:val="multilevel"/>
    <w:tmpl w:val="0EBF5663"/>
    <w:lvl w:ilvl="0" w:tentative="0">
      <w:start w:val="1"/>
      <w:numFmt w:val="japaneseCounting"/>
      <w:pStyle w:val="73"/>
      <w:lvlText w:val="%1、"/>
      <w:lvlJc w:val="left"/>
      <w:pPr>
        <w:ind w:left="2138"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27DD9B"/>
    <w:multiLevelType w:val="multilevel"/>
    <w:tmpl w:val="2727DD9B"/>
    <w:lvl w:ilvl="0" w:tentative="0">
      <w:start w:val="1"/>
      <w:numFmt w:val="decimal"/>
      <w:pStyle w:val="20"/>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1">
    <w:nsid w:val="3A2823F1"/>
    <w:multiLevelType w:val="singleLevel"/>
    <w:tmpl w:val="3A2823F1"/>
    <w:lvl w:ilvl="0" w:tentative="0">
      <w:start w:val="1"/>
      <w:numFmt w:val="decimal"/>
      <w:suff w:val="space"/>
      <w:lvlText w:val="%1."/>
      <w:lvlJc w:val="left"/>
    </w:lvl>
  </w:abstractNum>
  <w:abstractNum w:abstractNumId="12">
    <w:nsid w:val="42071A95"/>
    <w:multiLevelType w:val="singleLevel"/>
    <w:tmpl w:val="42071A95"/>
    <w:lvl w:ilvl="0" w:tentative="0">
      <w:start w:val="1"/>
      <w:numFmt w:val="decimal"/>
      <w:suff w:val="space"/>
      <w:lvlText w:val="%1."/>
      <w:lvlJc w:val="left"/>
    </w:lvl>
  </w:abstractNum>
  <w:abstractNum w:abstractNumId="13">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4905071"/>
    <w:multiLevelType w:val="singleLevel"/>
    <w:tmpl w:val="54905071"/>
    <w:lvl w:ilvl="0" w:tentative="0">
      <w:start w:val="4"/>
      <w:numFmt w:val="decimal"/>
      <w:suff w:val="space"/>
      <w:lvlText w:val="%1."/>
      <w:lvlJc w:val="left"/>
    </w:lvl>
  </w:abstractNum>
  <w:abstractNum w:abstractNumId="15">
    <w:nsid w:val="6099A159"/>
    <w:multiLevelType w:val="singleLevel"/>
    <w:tmpl w:val="6099A159"/>
    <w:lvl w:ilvl="0" w:tentative="0">
      <w:start w:val="1"/>
      <w:numFmt w:val="decimal"/>
      <w:suff w:val="nothing"/>
      <w:lvlText w:val="%1、"/>
      <w:lvlJc w:val="left"/>
      <w:rPr>
        <w:rFonts w:cs="Times New Roman"/>
      </w:rPr>
    </w:lvl>
  </w:abstractNum>
  <w:abstractNum w:abstractNumId="16">
    <w:nsid w:val="68B40337"/>
    <w:multiLevelType w:val="multilevel"/>
    <w:tmpl w:val="68B40337"/>
    <w:lvl w:ilvl="0" w:tentative="0">
      <w:start w:val="1"/>
      <w:numFmt w:val="japaneseCounting"/>
      <w:pStyle w:val="5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566BEF1"/>
    <w:multiLevelType w:val="singleLevel"/>
    <w:tmpl w:val="7566BEF1"/>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17"/>
  </w:num>
  <w:num w:numId="2">
    <w:abstractNumId w:val="10"/>
  </w:num>
  <w:num w:numId="3">
    <w:abstractNumId w:val="16"/>
  </w:num>
  <w:num w:numId="4">
    <w:abstractNumId w:val="8"/>
  </w:num>
  <w:num w:numId="5">
    <w:abstractNumId w:val="9"/>
  </w:num>
  <w:num w:numId="6">
    <w:abstractNumId w:val="15"/>
  </w:num>
  <w:num w:numId="7">
    <w:abstractNumId w:val="13"/>
  </w:num>
  <w:num w:numId="8">
    <w:abstractNumId w:val="7"/>
  </w:num>
  <w:num w:numId="9">
    <w:abstractNumId w:val="2"/>
  </w:num>
  <w:num w:numId="10">
    <w:abstractNumId w:val="14"/>
  </w:num>
  <w:num w:numId="11">
    <w:abstractNumId w:val="3"/>
  </w:num>
  <w:num w:numId="12">
    <w:abstractNumId w:val="6"/>
  </w:num>
  <w:num w:numId="13">
    <w:abstractNumId w:val="11"/>
  </w:num>
  <w:num w:numId="14">
    <w:abstractNumId w:val="0"/>
  </w:num>
  <w:num w:numId="15">
    <w:abstractNumId w:val="12"/>
  </w:num>
  <w:num w:numId="16">
    <w:abstractNumId w:val="4"/>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NjQ0YWRiMWY4M2NiNWY5YjQ4YWI3NzFjMzFlNTIifQ=="/>
  </w:docVars>
  <w:rsids>
    <w:rsidRoot w:val="00BD5ED0"/>
    <w:rsid w:val="0000437A"/>
    <w:rsid w:val="00005B73"/>
    <w:rsid w:val="00012BFA"/>
    <w:rsid w:val="00024379"/>
    <w:rsid w:val="00035F8F"/>
    <w:rsid w:val="00045122"/>
    <w:rsid w:val="00047001"/>
    <w:rsid w:val="000503CE"/>
    <w:rsid w:val="00053270"/>
    <w:rsid w:val="000535B8"/>
    <w:rsid w:val="00055419"/>
    <w:rsid w:val="000616CD"/>
    <w:rsid w:val="00063883"/>
    <w:rsid w:val="00063F50"/>
    <w:rsid w:val="000679B7"/>
    <w:rsid w:val="00074383"/>
    <w:rsid w:val="00077653"/>
    <w:rsid w:val="000930FE"/>
    <w:rsid w:val="000941B8"/>
    <w:rsid w:val="0009582E"/>
    <w:rsid w:val="0009633D"/>
    <w:rsid w:val="000A0257"/>
    <w:rsid w:val="000A0DFB"/>
    <w:rsid w:val="000B4791"/>
    <w:rsid w:val="000B72CC"/>
    <w:rsid w:val="000B7B60"/>
    <w:rsid w:val="000B7FE4"/>
    <w:rsid w:val="000C0834"/>
    <w:rsid w:val="000C2B30"/>
    <w:rsid w:val="000C2D95"/>
    <w:rsid w:val="000C327D"/>
    <w:rsid w:val="000C4264"/>
    <w:rsid w:val="000D2A43"/>
    <w:rsid w:val="000D2D57"/>
    <w:rsid w:val="000D4735"/>
    <w:rsid w:val="000D6353"/>
    <w:rsid w:val="000E7D7C"/>
    <w:rsid w:val="000F2427"/>
    <w:rsid w:val="000F2DF4"/>
    <w:rsid w:val="000F2FC6"/>
    <w:rsid w:val="000F4060"/>
    <w:rsid w:val="000F575A"/>
    <w:rsid w:val="0010706E"/>
    <w:rsid w:val="00115B17"/>
    <w:rsid w:val="001163BB"/>
    <w:rsid w:val="0012090D"/>
    <w:rsid w:val="00124D32"/>
    <w:rsid w:val="001264A1"/>
    <w:rsid w:val="00131E92"/>
    <w:rsid w:val="00132211"/>
    <w:rsid w:val="00132912"/>
    <w:rsid w:val="00136549"/>
    <w:rsid w:val="0013755C"/>
    <w:rsid w:val="00137A41"/>
    <w:rsid w:val="00141896"/>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85440"/>
    <w:rsid w:val="00190F06"/>
    <w:rsid w:val="00191009"/>
    <w:rsid w:val="001925E5"/>
    <w:rsid w:val="00193F95"/>
    <w:rsid w:val="00196FE0"/>
    <w:rsid w:val="001A2C93"/>
    <w:rsid w:val="001A45EA"/>
    <w:rsid w:val="001A5AE5"/>
    <w:rsid w:val="001B09E7"/>
    <w:rsid w:val="001B2CB4"/>
    <w:rsid w:val="001B6B51"/>
    <w:rsid w:val="001C22FD"/>
    <w:rsid w:val="001C279B"/>
    <w:rsid w:val="001C6622"/>
    <w:rsid w:val="001D0EAA"/>
    <w:rsid w:val="001D0FE8"/>
    <w:rsid w:val="001D5CED"/>
    <w:rsid w:val="001D6AB7"/>
    <w:rsid w:val="001E132C"/>
    <w:rsid w:val="001E5549"/>
    <w:rsid w:val="001E7603"/>
    <w:rsid w:val="001F7CAF"/>
    <w:rsid w:val="002000CE"/>
    <w:rsid w:val="002008CC"/>
    <w:rsid w:val="00204419"/>
    <w:rsid w:val="00205F12"/>
    <w:rsid w:val="00207A2A"/>
    <w:rsid w:val="00210BCF"/>
    <w:rsid w:val="00213E1F"/>
    <w:rsid w:val="00215784"/>
    <w:rsid w:val="00215DF7"/>
    <w:rsid w:val="00220762"/>
    <w:rsid w:val="0022330A"/>
    <w:rsid w:val="00226BE7"/>
    <w:rsid w:val="00227F02"/>
    <w:rsid w:val="00231A8A"/>
    <w:rsid w:val="002355B4"/>
    <w:rsid w:val="00235976"/>
    <w:rsid w:val="002368CE"/>
    <w:rsid w:val="00236E54"/>
    <w:rsid w:val="00237233"/>
    <w:rsid w:val="0024303B"/>
    <w:rsid w:val="00243458"/>
    <w:rsid w:val="00244C63"/>
    <w:rsid w:val="00244DFC"/>
    <w:rsid w:val="002502B9"/>
    <w:rsid w:val="0025172C"/>
    <w:rsid w:val="00251A1B"/>
    <w:rsid w:val="00254E0E"/>
    <w:rsid w:val="0026670C"/>
    <w:rsid w:val="00266E3D"/>
    <w:rsid w:val="002673C9"/>
    <w:rsid w:val="00272C17"/>
    <w:rsid w:val="0027714D"/>
    <w:rsid w:val="00287C53"/>
    <w:rsid w:val="002905F7"/>
    <w:rsid w:val="00291E45"/>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16817"/>
    <w:rsid w:val="00327FC7"/>
    <w:rsid w:val="003312E6"/>
    <w:rsid w:val="00331421"/>
    <w:rsid w:val="00332220"/>
    <w:rsid w:val="003432FF"/>
    <w:rsid w:val="003440B1"/>
    <w:rsid w:val="003448D9"/>
    <w:rsid w:val="003467AD"/>
    <w:rsid w:val="00347970"/>
    <w:rsid w:val="003509A1"/>
    <w:rsid w:val="00352F0E"/>
    <w:rsid w:val="0035403B"/>
    <w:rsid w:val="003542F4"/>
    <w:rsid w:val="00354C22"/>
    <w:rsid w:val="00356D07"/>
    <w:rsid w:val="00363811"/>
    <w:rsid w:val="00372BD7"/>
    <w:rsid w:val="00373D87"/>
    <w:rsid w:val="003776A2"/>
    <w:rsid w:val="00393456"/>
    <w:rsid w:val="00393F27"/>
    <w:rsid w:val="00396DB6"/>
    <w:rsid w:val="003A30C0"/>
    <w:rsid w:val="003A7705"/>
    <w:rsid w:val="003B6841"/>
    <w:rsid w:val="003C2315"/>
    <w:rsid w:val="003C349E"/>
    <w:rsid w:val="003C371F"/>
    <w:rsid w:val="003C5F72"/>
    <w:rsid w:val="003D6F34"/>
    <w:rsid w:val="003E3EEF"/>
    <w:rsid w:val="003E4DE6"/>
    <w:rsid w:val="003F4157"/>
    <w:rsid w:val="003F7A36"/>
    <w:rsid w:val="003F7D43"/>
    <w:rsid w:val="00404AF8"/>
    <w:rsid w:val="00407262"/>
    <w:rsid w:val="004113A9"/>
    <w:rsid w:val="00412BC5"/>
    <w:rsid w:val="0042224A"/>
    <w:rsid w:val="0042773C"/>
    <w:rsid w:val="00430F66"/>
    <w:rsid w:val="00431C60"/>
    <w:rsid w:val="004321F7"/>
    <w:rsid w:val="004333CD"/>
    <w:rsid w:val="004407A6"/>
    <w:rsid w:val="00445796"/>
    <w:rsid w:val="004504C6"/>
    <w:rsid w:val="00453C32"/>
    <w:rsid w:val="00454378"/>
    <w:rsid w:val="00455511"/>
    <w:rsid w:val="00460621"/>
    <w:rsid w:val="00472560"/>
    <w:rsid w:val="004732D3"/>
    <w:rsid w:val="00476704"/>
    <w:rsid w:val="0048157A"/>
    <w:rsid w:val="0048198F"/>
    <w:rsid w:val="00481EBF"/>
    <w:rsid w:val="00484829"/>
    <w:rsid w:val="00484B15"/>
    <w:rsid w:val="00485FBD"/>
    <w:rsid w:val="00486C6C"/>
    <w:rsid w:val="00487F75"/>
    <w:rsid w:val="00490A12"/>
    <w:rsid w:val="00491E00"/>
    <w:rsid w:val="004958E7"/>
    <w:rsid w:val="00496744"/>
    <w:rsid w:val="00497C31"/>
    <w:rsid w:val="004A4341"/>
    <w:rsid w:val="004A699E"/>
    <w:rsid w:val="004B145E"/>
    <w:rsid w:val="004B66ED"/>
    <w:rsid w:val="004B7C4E"/>
    <w:rsid w:val="004C3A44"/>
    <w:rsid w:val="004D17EB"/>
    <w:rsid w:val="004D1C1A"/>
    <w:rsid w:val="004D3BC3"/>
    <w:rsid w:val="004E611C"/>
    <w:rsid w:val="004E616D"/>
    <w:rsid w:val="004E7081"/>
    <w:rsid w:val="004F2DA5"/>
    <w:rsid w:val="004F3897"/>
    <w:rsid w:val="004F5933"/>
    <w:rsid w:val="004F711D"/>
    <w:rsid w:val="0050381E"/>
    <w:rsid w:val="00507325"/>
    <w:rsid w:val="00513E78"/>
    <w:rsid w:val="00514BB3"/>
    <w:rsid w:val="0052004C"/>
    <w:rsid w:val="00520138"/>
    <w:rsid w:val="005210A5"/>
    <w:rsid w:val="00522719"/>
    <w:rsid w:val="0053428C"/>
    <w:rsid w:val="005371FF"/>
    <w:rsid w:val="0054538F"/>
    <w:rsid w:val="00545797"/>
    <w:rsid w:val="005461F1"/>
    <w:rsid w:val="00547182"/>
    <w:rsid w:val="00560A5A"/>
    <w:rsid w:val="00561B95"/>
    <w:rsid w:val="00565B17"/>
    <w:rsid w:val="005711E3"/>
    <w:rsid w:val="0058123D"/>
    <w:rsid w:val="00590112"/>
    <w:rsid w:val="005968DF"/>
    <w:rsid w:val="0059796B"/>
    <w:rsid w:val="005A24AF"/>
    <w:rsid w:val="005A4E94"/>
    <w:rsid w:val="005A74C6"/>
    <w:rsid w:val="005B3EF9"/>
    <w:rsid w:val="005B48FC"/>
    <w:rsid w:val="005B7F8E"/>
    <w:rsid w:val="005C161C"/>
    <w:rsid w:val="005C320D"/>
    <w:rsid w:val="005C6227"/>
    <w:rsid w:val="005E2D48"/>
    <w:rsid w:val="005E3228"/>
    <w:rsid w:val="005F1911"/>
    <w:rsid w:val="005F3328"/>
    <w:rsid w:val="005F55FA"/>
    <w:rsid w:val="005F7D4F"/>
    <w:rsid w:val="00604A1A"/>
    <w:rsid w:val="00605737"/>
    <w:rsid w:val="00610E99"/>
    <w:rsid w:val="00611986"/>
    <w:rsid w:val="006155F4"/>
    <w:rsid w:val="0062329D"/>
    <w:rsid w:val="0063300F"/>
    <w:rsid w:val="00633DF9"/>
    <w:rsid w:val="00635B18"/>
    <w:rsid w:val="00640CD1"/>
    <w:rsid w:val="0064381D"/>
    <w:rsid w:val="0065355D"/>
    <w:rsid w:val="00653B50"/>
    <w:rsid w:val="006778F7"/>
    <w:rsid w:val="00677B79"/>
    <w:rsid w:val="00681EC9"/>
    <w:rsid w:val="006942F8"/>
    <w:rsid w:val="0069444D"/>
    <w:rsid w:val="006A260A"/>
    <w:rsid w:val="006A33C7"/>
    <w:rsid w:val="006A720D"/>
    <w:rsid w:val="006A736D"/>
    <w:rsid w:val="006B22E8"/>
    <w:rsid w:val="006B507A"/>
    <w:rsid w:val="006C19C7"/>
    <w:rsid w:val="006C1DD0"/>
    <w:rsid w:val="006C201C"/>
    <w:rsid w:val="006C65B6"/>
    <w:rsid w:val="006D2C51"/>
    <w:rsid w:val="006D2E24"/>
    <w:rsid w:val="006D3754"/>
    <w:rsid w:val="006D4357"/>
    <w:rsid w:val="006D7153"/>
    <w:rsid w:val="006E0C5E"/>
    <w:rsid w:val="006E5B89"/>
    <w:rsid w:val="006E6A3C"/>
    <w:rsid w:val="006E6C16"/>
    <w:rsid w:val="006E7E05"/>
    <w:rsid w:val="006F2FE4"/>
    <w:rsid w:val="0070054D"/>
    <w:rsid w:val="007021A2"/>
    <w:rsid w:val="00705A9F"/>
    <w:rsid w:val="00707BD7"/>
    <w:rsid w:val="00711644"/>
    <w:rsid w:val="0071376E"/>
    <w:rsid w:val="00714E24"/>
    <w:rsid w:val="00715C2F"/>
    <w:rsid w:val="00715CF6"/>
    <w:rsid w:val="00721328"/>
    <w:rsid w:val="007214BF"/>
    <w:rsid w:val="00725404"/>
    <w:rsid w:val="00725833"/>
    <w:rsid w:val="00727DFA"/>
    <w:rsid w:val="00732A88"/>
    <w:rsid w:val="00733FC8"/>
    <w:rsid w:val="00742DFB"/>
    <w:rsid w:val="00742F97"/>
    <w:rsid w:val="00743B54"/>
    <w:rsid w:val="0074619F"/>
    <w:rsid w:val="007469CE"/>
    <w:rsid w:val="00750139"/>
    <w:rsid w:val="007564D3"/>
    <w:rsid w:val="00757900"/>
    <w:rsid w:val="00762CB4"/>
    <w:rsid w:val="00770201"/>
    <w:rsid w:val="007722DD"/>
    <w:rsid w:val="00782C1C"/>
    <w:rsid w:val="007838F7"/>
    <w:rsid w:val="00786D41"/>
    <w:rsid w:val="00794F11"/>
    <w:rsid w:val="007953EE"/>
    <w:rsid w:val="00797AC3"/>
    <w:rsid w:val="007A18AF"/>
    <w:rsid w:val="007A5BEF"/>
    <w:rsid w:val="007A6E42"/>
    <w:rsid w:val="007A6F56"/>
    <w:rsid w:val="007B3FFC"/>
    <w:rsid w:val="007C0745"/>
    <w:rsid w:val="007C258B"/>
    <w:rsid w:val="007C518E"/>
    <w:rsid w:val="007C6A68"/>
    <w:rsid w:val="007D10A1"/>
    <w:rsid w:val="007E0968"/>
    <w:rsid w:val="007E314C"/>
    <w:rsid w:val="007E31BF"/>
    <w:rsid w:val="007E5EF1"/>
    <w:rsid w:val="007E751A"/>
    <w:rsid w:val="007E7F57"/>
    <w:rsid w:val="007F6003"/>
    <w:rsid w:val="007F6810"/>
    <w:rsid w:val="007F74D9"/>
    <w:rsid w:val="008028C3"/>
    <w:rsid w:val="00803F4C"/>
    <w:rsid w:val="008040FE"/>
    <w:rsid w:val="00806D35"/>
    <w:rsid w:val="008107BC"/>
    <w:rsid w:val="008139B0"/>
    <w:rsid w:val="00816D3B"/>
    <w:rsid w:val="00833C18"/>
    <w:rsid w:val="0083445B"/>
    <w:rsid w:val="0083540F"/>
    <w:rsid w:val="00837DB1"/>
    <w:rsid w:val="00837F4F"/>
    <w:rsid w:val="008461A8"/>
    <w:rsid w:val="00846B12"/>
    <w:rsid w:val="00847E4A"/>
    <w:rsid w:val="00850429"/>
    <w:rsid w:val="00852823"/>
    <w:rsid w:val="00854E40"/>
    <w:rsid w:val="008558E9"/>
    <w:rsid w:val="0085632D"/>
    <w:rsid w:val="00864EBB"/>
    <w:rsid w:val="00865807"/>
    <w:rsid w:val="00865CC3"/>
    <w:rsid w:val="0087416D"/>
    <w:rsid w:val="00874D13"/>
    <w:rsid w:val="00880ADA"/>
    <w:rsid w:val="00880D0D"/>
    <w:rsid w:val="0088194E"/>
    <w:rsid w:val="00883D24"/>
    <w:rsid w:val="00886C0D"/>
    <w:rsid w:val="008908B3"/>
    <w:rsid w:val="00890C1B"/>
    <w:rsid w:val="008922C7"/>
    <w:rsid w:val="008924EB"/>
    <w:rsid w:val="008A0B99"/>
    <w:rsid w:val="008A17BF"/>
    <w:rsid w:val="008A2C80"/>
    <w:rsid w:val="008A5B56"/>
    <w:rsid w:val="008A5E76"/>
    <w:rsid w:val="008B0C71"/>
    <w:rsid w:val="008B368D"/>
    <w:rsid w:val="008C2811"/>
    <w:rsid w:val="008C6743"/>
    <w:rsid w:val="008D0DC7"/>
    <w:rsid w:val="008D19F7"/>
    <w:rsid w:val="008D4710"/>
    <w:rsid w:val="008D517E"/>
    <w:rsid w:val="008D6B16"/>
    <w:rsid w:val="008E24DE"/>
    <w:rsid w:val="008E33D0"/>
    <w:rsid w:val="008E4625"/>
    <w:rsid w:val="008E718F"/>
    <w:rsid w:val="008F00D0"/>
    <w:rsid w:val="008F36EF"/>
    <w:rsid w:val="008F44F8"/>
    <w:rsid w:val="008F5E1F"/>
    <w:rsid w:val="008F63E9"/>
    <w:rsid w:val="00902E6B"/>
    <w:rsid w:val="0090741A"/>
    <w:rsid w:val="00911170"/>
    <w:rsid w:val="009137D0"/>
    <w:rsid w:val="009160E2"/>
    <w:rsid w:val="00916250"/>
    <w:rsid w:val="00921906"/>
    <w:rsid w:val="00925020"/>
    <w:rsid w:val="00926ED4"/>
    <w:rsid w:val="00927186"/>
    <w:rsid w:val="0093182D"/>
    <w:rsid w:val="00932531"/>
    <w:rsid w:val="00932C9F"/>
    <w:rsid w:val="00932F10"/>
    <w:rsid w:val="009437E8"/>
    <w:rsid w:val="00943A2D"/>
    <w:rsid w:val="00951AD3"/>
    <w:rsid w:val="009550BD"/>
    <w:rsid w:val="009611ED"/>
    <w:rsid w:val="00964A4B"/>
    <w:rsid w:val="0096611E"/>
    <w:rsid w:val="00966F9C"/>
    <w:rsid w:val="009673AF"/>
    <w:rsid w:val="009772B9"/>
    <w:rsid w:val="00984E18"/>
    <w:rsid w:val="00985E72"/>
    <w:rsid w:val="00987695"/>
    <w:rsid w:val="0099786D"/>
    <w:rsid w:val="009A6631"/>
    <w:rsid w:val="009B38A1"/>
    <w:rsid w:val="009B3D46"/>
    <w:rsid w:val="009B5427"/>
    <w:rsid w:val="009C67B7"/>
    <w:rsid w:val="009C6F7D"/>
    <w:rsid w:val="009D2A2D"/>
    <w:rsid w:val="009D411E"/>
    <w:rsid w:val="009E16B4"/>
    <w:rsid w:val="009E4761"/>
    <w:rsid w:val="009F03D0"/>
    <w:rsid w:val="009F34D1"/>
    <w:rsid w:val="009F67E6"/>
    <w:rsid w:val="009F7302"/>
    <w:rsid w:val="00A05D8D"/>
    <w:rsid w:val="00A11CF1"/>
    <w:rsid w:val="00A2052A"/>
    <w:rsid w:val="00A20D53"/>
    <w:rsid w:val="00A2111B"/>
    <w:rsid w:val="00A25FAB"/>
    <w:rsid w:val="00A31649"/>
    <w:rsid w:val="00A34A4A"/>
    <w:rsid w:val="00A36417"/>
    <w:rsid w:val="00A40F11"/>
    <w:rsid w:val="00A43898"/>
    <w:rsid w:val="00A448BD"/>
    <w:rsid w:val="00A450CE"/>
    <w:rsid w:val="00A46C5D"/>
    <w:rsid w:val="00A5612B"/>
    <w:rsid w:val="00A6082D"/>
    <w:rsid w:val="00A63294"/>
    <w:rsid w:val="00A659D4"/>
    <w:rsid w:val="00A71EF2"/>
    <w:rsid w:val="00A72D1C"/>
    <w:rsid w:val="00A74EE0"/>
    <w:rsid w:val="00A76643"/>
    <w:rsid w:val="00A7749C"/>
    <w:rsid w:val="00A7786F"/>
    <w:rsid w:val="00A820BE"/>
    <w:rsid w:val="00A861CA"/>
    <w:rsid w:val="00A87C81"/>
    <w:rsid w:val="00A915E0"/>
    <w:rsid w:val="00A95B2F"/>
    <w:rsid w:val="00A96A59"/>
    <w:rsid w:val="00AA01F8"/>
    <w:rsid w:val="00AA7451"/>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3D15"/>
    <w:rsid w:val="00B148F2"/>
    <w:rsid w:val="00B14C6E"/>
    <w:rsid w:val="00B1655D"/>
    <w:rsid w:val="00B16EE8"/>
    <w:rsid w:val="00B20140"/>
    <w:rsid w:val="00B218FE"/>
    <w:rsid w:val="00B21C59"/>
    <w:rsid w:val="00B3448D"/>
    <w:rsid w:val="00B34883"/>
    <w:rsid w:val="00B41A9A"/>
    <w:rsid w:val="00B43AE8"/>
    <w:rsid w:val="00B44107"/>
    <w:rsid w:val="00B44693"/>
    <w:rsid w:val="00B54259"/>
    <w:rsid w:val="00B54CE6"/>
    <w:rsid w:val="00B54F0B"/>
    <w:rsid w:val="00B5520B"/>
    <w:rsid w:val="00B553EA"/>
    <w:rsid w:val="00B64CDD"/>
    <w:rsid w:val="00B654FB"/>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68F"/>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45995"/>
    <w:rsid w:val="00C54610"/>
    <w:rsid w:val="00C56FFE"/>
    <w:rsid w:val="00C607E8"/>
    <w:rsid w:val="00C60F7D"/>
    <w:rsid w:val="00C77966"/>
    <w:rsid w:val="00C84880"/>
    <w:rsid w:val="00C85381"/>
    <w:rsid w:val="00C85EFB"/>
    <w:rsid w:val="00C85FDF"/>
    <w:rsid w:val="00C86EDD"/>
    <w:rsid w:val="00C87974"/>
    <w:rsid w:val="00C91C90"/>
    <w:rsid w:val="00C9344C"/>
    <w:rsid w:val="00C94273"/>
    <w:rsid w:val="00CA3ADD"/>
    <w:rsid w:val="00CB1476"/>
    <w:rsid w:val="00CB169A"/>
    <w:rsid w:val="00CC08BB"/>
    <w:rsid w:val="00CC5F7C"/>
    <w:rsid w:val="00CD057C"/>
    <w:rsid w:val="00CD1128"/>
    <w:rsid w:val="00CD2C7B"/>
    <w:rsid w:val="00CE2BC2"/>
    <w:rsid w:val="00CE36C4"/>
    <w:rsid w:val="00CE48DB"/>
    <w:rsid w:val="00CE533B"/>
    <w:rsid w:val="00CE582A"/>
    <w:rsid w:val="00CF0841"/>
    <w:rsid w:val="00CF7DEC"/>
    <w:rsid w:val="00D01641"/>
    <w:rsid w:val="00D22FB3"/>
    <w:rsid w:val="00D2717E"/>
    <w:rsid w:val="00D320E7"/>
    <w:rsid w:val="00D3269F"/>
    <w:rsid w:val="00D36416"/>
    <w:rsid w:val="00D418BC"/>
    <w:rsid w:val="00D45A27"/>
    <w:rsid w:val="00D46866"/>
    <w:rsid w:val="00D46E62"/>
    <w:rsid w:val="00D52541"/>
    <w:rsid w:val="00D54BA0"/>
    <w:rsid w:val="00D602D3"/>
    <w:rsid w:val="00D608D9"/>
    <w:rsid w:val="00D634C8"/>
    <w:rsid w:val="00D64B79"/>
    <w:rsid w:val="00D66E24"/>
    <w:rsid w:val="00D76D4E"/>
    <w:rsid w:val="00D806A3"/>
    <w:rsid w:val="00D814B6"/>
    <w:rsid w:val="00D8399F"/>
    <w:rsid w:val="00D84FE2"/>
    <w:rsid w:val="00D8664D"/>
    <w:rsid w:val="00D92409"/>
    <w:rsid w:val="00D95914"/>
    <w:rsid w:val="00DA1560"/>
    <w:rsid w:val="00DA3184"/>
    <w:rsid w:val="00DA5DC8"/>
    <w:rsid w:val="00DA5E27"/>
    <w:rsid w:val="00DA65EE"/>
    <w:rsid w:val="00DA7E5B"/>
    <w:rsid w:val="00DB0309"/>
    <w:rsid w:val="00DB6E4E"/>
    <w:rsid w:val="00DC1FD9"/>
    <w:rsid w:val="00DC5744"/>
    <w:rsid w:val="00DC619A"/>
    <w:rsid w:val="00DC6BB1"/>
    <w:rsid w:val="00DC7FC2"/>
    <w:rsid w:val="00DD038C"/>
    <w:rsid w:val="00DD2DB5"/>
    <w:rsid w:val="00DD2E0C"/>
    <w:rsid w:val="00DD3DB6"/>
    <w:rsid w:val="00DD4ED1"/>
    <w:rsid w:val="00DD686B"/>
    <w:rsid w:val="00DE3373"/>
    <w:rsid w:val="00DE654E"/>
    <w:rsid w:val="00DE72B9"/>
    <w:rsid w:val="00DF11FD"/>
    <w:rsid w:val="00DF4ECA"/>
    <w:rsid w:val="00DF5183"/>
    <w:rsid w:val="00DF6451"/>
    <w:rsid w:val="00DF6697"/>
    <w:rsid w:val="00DF7AB5"/>
    <w:rsid w:val="00DF7F0A"/>
    <w:rsid w:val="00E010E9"/>
    <w:rsid w:val="00E11376"/>
    <w:rsid w:val="00E21013"/>
    <w:rsid w:val="00E21941"/>
    <w:rsid w:val="00E30D18"/>
    <w:rsid w:val="00E444B2"/>
    <w:rsid w:val="00E50267"/>
    <w:rsid w:val="00E51F7C"/>
    <w:rsid w:val="00E55C56"/>
    <w:rsid w:val="00E570B0"/>
    <w:rsid w:val="00E604F7"/>
    <w:rsid w:val="00E65011"/>
    <w:rsid w:val="00E65448"/>
    <w:rsid w:val="00E678F0"/>
    <w:rsid w:val="00E71C8B"/>
    <w:rsid w:val="00E75193"/>
    <w:rsid w:val="00E762DB"/>
    <w:rsid w:val="00E76DF9"/>
    <w:rsid w:val="00E76EA8"/>
    <w:rsid w:val="00E82677"/>
    <w:rsid w:val="00E82772"/>
    <w:rsid w:val="00E82B18"/>
    <w:rsid w:val="00E85FE3"/>
    <w:rsid w:val="00E87D58"/>
    <w:rsid w:val="00E91BC8"/>
    <w:rsid w:val="00EA6B31"/>
    <w:rsid w:val="00EC0694"/>
    <w:rsid w:val="00EC17BB"/>
    <w:rsid w:val="00EC1E4F"/>
    <w:rsid w:val="00EC5723"/>
    <w:rsid w:val="00EC5DF0"/>
    <w:rsid w:val="00ED43D8"/>
    <w:rsid w:val="00ED74B3"/>
    <w:rsid w:val="00EE1FB9"/>
    <w:rsid w:val="00EE2A12"/>
    <w:rsid w:val="00EE3F96"/>
    <w:rsid w:val="00EE4BA0"/>
    <w:rsid w:val="00EE5B35"/>
    <w:rsid w:val="00EE7FAE"/>
    <w:rsid w:val="00EF409F"/>
    <w:rsid w:val="00EF491C"/>
    <w:rsid w:val="00EF6DB2"/>
    <w:rsid w:val="00F0000E"/>
    <w:rsid w:val="00F06DF3"/>
    <w:rsid w:val="00F10281"/>
    <w:rsid w:val="00F12122"/>
    <w:rsid w:val="00F13805"/>
    <w:rsid w:val="00F15584"/>
    <w:rsid w:val="00F163D7"/>
    <w:rsid w:val="00F236A2"/>
    <w:rsid w:val="00F25AA0"/>
    <w:rsid w:val="00F27EC3"/>
    <w:rsid w:val="00F301A1"/>
    <w:rsid w:val="00F35D52"/>
    <w:rsid w:val="00F363B7"/>
    <w:rsid w:val="00F37CA6"/>
    <w:rsid w:val="00F44CA0"/>
    <w:rsid w:val="00F46A70"/>
    <w:rsid w:val="00F51913"/>
    <w:rsid w:val="00F55724"/>
    <w:rsid w:val="00F57ED2"/>
    <w:rsid w:val="00F608BD"/>
    <w:rsid w:val="00F62A26"/>
    <w:rsid w:val="00F67143"/>
    <w:rsid w:val="00F73C03"/>
    <w:rsid w:val="00F74ABD"/>
    <w:rsid w:val="00F75EF8"/>
    <w:rsid w:val="00F81417"/>
    <w:rsid w:val="00F83FF1"/>
    <w:rsid w:val="00F854B9"/>
    <w:rsid w:val="00F938F5"/>
    <w:rsid w:val="00F94850"/>
    <w:rsid w:val="00F97E28"/>
    <w:rsid w:val="00FA15FA"/>
    <w:rsid w:val="00FA27D8"/>
    <w:rsid w:val="00FA6653"/>
    <w:rsid w:val="00FB1DFB"/>
    <w:rsid w:val="00FB50A2"/>
    <w:rsid w:val="00FB5E05"/>
    <w:rsid w:val="00FB74E0"/>
    <w:rsid w:val="00FC1B23"/>
    <w:rsid w:val="00FC7D84"/>
    <w:rsid w:val="00FD22B3"/>
    <w:rsid w:val="00FD24E2"/>
    <w:rsid w:val="00FD50D4"/>
    <w:rsid w:val="00FD6E74"/>
    <w:rsid w:val="00FE0424"/>
    <w:rsid w:val="00FE3D58"/>
    <w:rsid w:val="00FE793A"/>
    <w:rsid w:val="00FF2CE6"/>
    <w:rsid w:val="00FF40A5"/>
    <w:rsid w:val="00FF64ED"/>
    <w:rsid w:val="012E0053"/>
    <w:rsid w:val="0134040A"/>
    <w:rsid w:val="018530F5"/>
    <w:rsid w:val="01EE0FC3"/>
    <w:rsid w:val="01FE7F15"/>
    <w:rsid w:val="02160F64"/>
    <w:rsid w:val="023A4BFB"/>
    <w:rsid w:val="024D543B"/>
    <w:rsid w:val="025731E3"/>
    <w:rsid w:val="02BC08CA"/>
    <w:rsid w:val="035D4211"/>
    <w:rsid w:val="03667C72"/>
    <w:rsid w:val="037D5EE3"/>
    <w:rsid w:val="03A65054"/>
    <w:rsid w:val="03E136F9"/>
    <w:rsid w:val="03EA079A"/>
    <w:rsid w:val="03ED1963"/>
    <w:rsid w:val="04740EA4"/>
    <w:rsid w:val="04B65AC7"/>
    <w:rsid w:val="04CF6E29"/>
    <w:rsid w:val="055C4BB1"/>
    <w:rsid w:val="059366CF"/>
    <w:rsid w:val="05940E4D"/>
    <w:rsid w:val="05B845A4"/>
    <w:rsid w:val="05BD29E3"/>
    <w:rsid w:val="05D00163"/>
    <w:rsid w:val="05F522C4"/>
    <w:rsid w:val="06393532"/>
    <w:rsid w:val="06424B48"/>
    <w:rsid w:val="06BF1B41"/>
    <w:rsid w:val="06F921C6"/>
    <w:rsid w:val="076377BD"/>
    <w:rsid w:val="0775073F"/>
    <w:rsid w:val="077C34B8"/>
    <w:rsid w:val="07801F81"/>
    <w:rsid w:val="078875E4"/>
    <w:rsid w:val="07A209C4"/>
    <w:rsid w:val="080D26DA"/>
    <w:rsid w:val="08190339"/>
    <w:rsid w:val="08284245"/>
    <w:rsid w:val="08451D79"/>
    <w:rsid w:val="086F1260"/>
    <w:rsid w:val="0880226D"/>
    <w:rsid w:val="089F2BDE"/>
    <w:rsid w:val="08BB2505"/>
    <w:rsid w:val="08DB5857"/>
    <w:rsid w:val="092E7BC1"/>
    <w:rsid w:val="0964525F"/>
    <w:rsid w:val="096B06C3"/>
    <w:rsid w:val="099A07E1"/>
    <w:rsid w:val="09B90AFC"/>
    <w:rsid w:val="0A10717F"/>
    <w:rsid w:val="0A3A3817"/>
    <w:rsid w:val="0A535ED7"/>
    <w:rsid w:val="0A9B4FED"/>
    <w:rsid w:val="0AAF3339"/>
    <w:rsid w:val="0ABC5613"/>
    <w:rsid w:val="0AF6693D"/>
    <w:rsid w:val="0B096EC6"/>
    <w:rsid w:val="0B0C0A79"/>
    <w:rsid w:val="0B451F6A"/>
    <w:rsid w:val="0C170A34"/>
    <w:rsid w:val="0C351D88"/>
    <w:rsid w:val="0C525237"/>
    <w:rsid w:val="0C56687A"/>
    <w:rsid w:val="0C6F4C8D"/>
    <w:rsid w:val="0CA81350"/>
    <w:rsid w:val="0CC223BD"/>
    <w:rsid w:val="0D0E0EB6"/>
    <w:rsid w:val="0D144BCB"/>
    <w:rsid w:val="0DB8493F"/>
    <w:rsid w:val="0DE142CB"/>
    <w:rsid w:val="0E436626"/>
    <w:rsid w:val="0F071DD0"/>
    <w:rsid w:val="0F346E76"/>
    <w:rsid w:val="0F587009"/>
    <w:rsid w:val="0F7756E1"/>
    <w:rsid w:val="0FBA55CD"/>
    <w:rsid w:val="0FD83CA6"/>
    <w:rsid w:val="0FDC1CDC"/>
    <w:rsid w:val="100F554B"/>
    <w:rsid w:val="10223C48"/>
    <w:rsid w:val="10725F43"/>
    <w:rsid w:val="10AD5253"/>
    <w:rsid w:val="10E14470"/>
    <w:rsid w:val="12053AF7"/>
    <w:rsid w:val="12475EA9"/>
    <w:rsid w:val="129739A4"/>
    <w:rsid w:val="12E12507"/>
    <w:rsid w:val="12E82452"/>
    <w:rsid w:val="133360BD"/>
    <w:rsid w:val="13AA259A"/>
    <w:rsid w:val="13C33003"/>
    <w:rsid w:val="141973E7"/>
    <w:rsid w:val="146E4633"/>
    <w:rsid w:val="150412EA"/>
    <w:rsid w:val="155B7C0B"/>
    <w:rsid w:val="16010CC9"/>
    <w:rsid w:val="16094B1D"/>
    <w:rsid w:val="16245CF2"/>
    <w:rsid w:val="164D529C"/>
    <w:rsid w:val="16607DB0"/>
    <w:rsid w:val="171438BA"/>
    <w:rsid w:val="17230955"/>
    <w:rsid w:val="17DE767F"/>
    <w:rsid w:val="182770BA"/>
    <w:rsid w:val="18824C6C"/>
    <w:rsid w:val="18863017"/>
    <w:rsid w:val="18AC6D73"/>
    <w:rsid w:val="18B01B3E"/>
    <w:rsid w:val="19445620"/>
    <w:rsid w:val="194D2486"/>
    <w:rsid w:val="19672B2D"/>
    <w:rsid w:val="19B70E0D"/>
    <w:rsid w:val="19D5589C"/>
    <w:rsid w:val="19E90995"/>
    <w:rsid w:val="1A8F214E"/>
    <w:rsid w:val="1A902FB3"/>
    <w:rsid w:val="1AC92618"/>
    <w:rsid w:val="1B061CDE"/>
    <w:rsid w:val="1B4716B4"/>
    <w:rsid w:val="1BB77AA6"/>
    <w:rsid w:val="1BCD2D3B"/>
    <w:rsid w:val="1BD73063"/>
    <w:rsid w:val="1BDF1A9C"/>
    <w:rsid w:val="1C08419D"/>
    <w:rsid w:val="1C2C554A"/>
    <w:rsid w:val="1D1929F0"/>
    <w:rsid w:val="1D1E0066"/>
    <w:rsid w:val="1D4D111F"/>
    <w:rsid w:val="1D4D5FFD"/>
    <w:rsid w:val="1DB95116"/>
    <w:rsid w:val="1E3E6037"/>
    <w:rsid w:val="1E9248A1"/>
    <w:rsid w:val="1EF50022"/>
    <w:rsid w:val="1F7A0970"/>
    <w:rsid w:val="1FC46A35"/>
    <w:rsid w:val="1FE25A1C"/>
    <w:rsid w:val="1FF53A33"/>
    <w:rsid w:val="20410F97"/>
    <w:rsid w:val="20892D10"/>
    <w:rsid w:val="209E2C67"/>
    <w:rsid w:val="212A490A"/>
    <w:rsid w:val="213D4C42"/>
    <w:rsid w:val="216F32CA"/>
    <w:rsid w:val="22124112"/>
    <w:rsid w:val="22CF05C2"/>
    <w:rsid w:val="22FF7F97"/>
    <w:rsid w:val="23216C2B"/>
    <w:rsid w:val="233B1FA6"/>
    <w:rsid w:val="234C726B"/>
    <w:rsid w:val="23675930"/>
    <w:rsid w:val="238167A3"/>
    <w:rsid w:val="23A915C8"/>
    <w:rsid w:val="23F57352"/>
    <w:rsid w:val="23FB094D"/>
    <w:rsid w:val="24434A2B"/>
    <w:rsid w:val="245B134C"/>
    <w:rsid w:val="249A7996"/>
    <w:rsid w:val="24B03AD0"/>
    <w:rsid w:val="24BB1A2B"/>
    <w:rsid w:val="25C57D27"/>
    <w:rsid w:val="25FE247D"/>
    <w:rsid w:val="267E2359"/>
    <w:rsid w:val="26BC7CBC"/>
    <w:rsid w:val="26E46A21"/>
    <w:rsid w:val="27447ED5"/>
    <w:rsid w:val="275F3A77"/>
    <w:rsid w:val="284F0253"/>
    <w:rsid w:val="285D79E1"/>
    <w:rsid w:val="28644870"/>
    <w:rsid w:val="292961EB"/>
    <w:rsid w:val="29752147"/>
    <w:rsid w:val="297B3219"/>
    <w:rsid w:val="299C0BC1"/>
    <w:rsid w:val="29F96AE1"/>
    <w:rsid w:val="2A5C1D7F"/>
    <w:rsid w:val="2A6A6E7E"/>
    <w:rsid w:val="2A9521F9"/>
    <w:rsid w:val="2AB96756"/>
    <w:rsid w:val="2AE949DF"/>
    <w:rsid w:val="2AEB08D9"/>
    <w:rsid w:val="2B3B474B"/>
    <w:rsid w:val="2B485D2C"/>
    <w:rsid w:val="2B505C73"/>
    <w:rsid w:val="2B8D044E"/>
    <w:rsid w:val="2BB3779B"/>
    <w:rsid w:val="2BF01901"/>
    <w:rsid w:val="2C016BB8"/>
    <w:rsid w:val="2C3A1D84"/>
    <w:rsid w:val="2CCD665D"/>
    <w:rsid w:val="2D77461B"/>
    <w:rsid w:val="2D9E60D7"/>
    <w:rsid w:val="2E2B414C"/>
    <w:rsid w:val="2E400C5F"/>
    <w:rsid w:val="2E5209E3"/>
    <w:rsid w:val="2E9C2616"/>
    <w:rsid w:val="2EB01AFE"/>
    <w:rsid w:val="30105A39"/>
    <w:rsid w:val="3014164A"/>
    <w:rsid w:val="30592C7B"/>
    <w:rsid w:val="30712DB1"/>
    <w:rsid w:val="309542D5"/>
    <w:rsid w:val="3099642D"/>
    <w:rsid w:val="30D1119A"/>
    <w:rsid w:val="30F12F4C"/>
    <w:rsid w:val="3112402E"/>
    <w:rsid w:val="31162566"/>
    <w:rsid w:val="311F42AA"/>
    <w:rsid w:val="313D3E38"/>
    <w:rsid w:val="31915F5B"/>
    <w:rsid w:val="31CC1158"/>
    <w:rsid w:val="32611BF0"/>
    <w:rsid w:val="32894C60"/>
    <w:rsid w:val="3289763F"/>
    <w:rsid w:val="329614A6"/>
    <w:rsid w:val="32A76BB9"/>
    <w:rsid w:val="334101F9"/>
    <w:rsid w:val="339E298D"/>
    <w:rsid w:val="33A83294"/>
    <w:rsid w:val="33CB2DFE"/>
    <w:rsid w:val="33F14B40"/>
    <w:rsid w:val="34011E26"/>
    <w:rsid w:val="34166D29"/>
    <w:rsid w:val="341B4D23"/>
    <w:rsid w:val="34634F08"/>
    <w:rsid w:val="34871219"/>
    <w:rsid w:val="35143164"/>
    <w:rsid w:val="35202EDB"/>
    <w:rsid w:val="35577A0F"/>
    <w:rsid w:val="358D4D4D"/>
    <w:rsid w:val="35CA7CFF"/>
    <w:rsid w:val="35E01715"/>
    <w:rsid w:val="35E46400"/>
    <w:rsid w:val="35FD2A74"/>
    <w:rsid w:val="36073CF7"/>
    <w:rsid w:val="363475D8"/>
    <w:rsid w:val="36A81FB2"/>
    <w:rsid w:val="36DE64C4"/>
    <w:rsid w:val="3722158D"/>
    <w:rsid w:val="375E09FC"/>
    <w:rsid w:val="3767221E"/>
    <w:rsid w:val="38155F97"/>
    <w:rsid w:val="382A3B4C"/>
    <w:rsid w:val="38525FA9"/>
    <w:rsid w:val="386844B1"/>
    <w:rsid w:val="39003F1D"/>
    <w:rsid w:val="39276876"/>
    <w:rsid w:val="392B2930"/>
    <w:rsid w:val="39532ACC"/>
    <w:rsid w:val="395F7611"/>
    <w:rsid w:val="398606C4"/>
    <w:rsid w:val="3A0A3805"/>
    <w:rsid w:val="3A246838"/>
    <w:rsid w:val="3AC853CC"/>
    <w:rsid w:val="3B284AAE"/>
    <w:rsid w:val="3C1F6A85"/>
    <w:rsid w:val="3C2C640D"/>
    <w:rsid w:val="3C325B73"/>
    <w:rsid w:val="3C333FF3"/>
    <w:rsid w:val="3C582CD8"/>
    <w:rsid w:val="3C8B75C6"/>
    <w:rsid w:val="3C8C18BC"/>
    <w:rsid w:val="3C8C714B"/>
    <w:rsid w:val="3CCE5D2E"/>
    <w:rsid w:val="3D9463BC"/>
    <w:rsid w:val="3DBD17B8"/>
    <w:rsid w:val="3DCA2644"/>
    <w:rsid w:val="3DD0308B"/>
    <w:rsid w:val="3DF67762"/>
    <w:rsid w:val="3E094E14"/>
    <w:rsid w:val="3E2546CD"/>
    <w:rsid w:val="3E543D7F"/>
    <w:rsid w:val="3E5D7122"/>
    <w:rsid w:val="3F9230C0"/>
    <w:rsid w:val="401364B0"/>
    <w:rsid w:val="40531C58"/>
    <w:rsid w:val="40545955"/>
    <w:rsid w:val="405E23AF"/>
    <w:rsid w:val="40670F93"/>
    <w:rsid w:val="40984BCB"/>
    <w:rsid w:val="40B93621"/>
    <w:rsid w:val="41127A9D"/>
    <w:rsid w:val="41192D98"/>
    <w:rsid w:val="41283EAE"/>
    <w:rsid w:val="413E5CD9"/>
    <w:rsid w:val="41770B29"/>
    <w:rsid w:val="41F770B7"/>
    <w:rsid w:val="4244243B"/>
    <w:rsid w:val="42627453"/>
    <w:rsid w:val="42C64AFA"/>
    <w:rsid w:val="43425F9D"/>
    <w:rsid w:val="435527DB"/>
    <w:rsid w:val="43A76602"/>
    <w:rsid w:val="43E3363E"/>
    <w:rsid w:val="43F465D0"/>
    <w:rsid w:val="440D524E"/>
    <w:rsid w:val="442A053D"/>
    <w:rsid w:val="44440739"/>
    <w:rsid w:val="445D34D8"/>
    <w:rsid w:val="446F65B8"/>
    <w:rsid w:val="44E26B70"/>
    <w:rsid w:val="44EC4F5F"/>
    <w:rsid w:val="44F057A6"/>
    <w:rsid w:val="44F10C66"/>
    <w:rsid w:val="44FE3292"/>
    <w:rsid w:val="4510036A"/>
    <w:rsid w:val="452901C3"/>
    <w:rsid w:val="45571A9C"/>
    <w:rsid w:val="455B14D0"/>
    <w:rsid w:val="45825ECA"/>
    <w:rsid w:val="45A95346"/>
    <w:rsid w:val="45AC60E8"/>
    <w:rsid w:val="45DF1559"/>
    <w:rsid w:val="45E01A96"/>
    <w:rsid w:val="461A7EEB"/>
    <w:rsid w:val="46274432"/>
    <w:rsid w:val="46416F41"/>
    <w:rsid w:val="466745CC"/>
    <w:rsid w:val="46C21E83"/>
    <w:rsid w:val="46C4203A"/>
    <w:rsid w:val="46DC3AA0"/>
    <w:rsid w:val="470E29AE"/>
    <w:rsid w:val="47A11B3D"/>
    <w:rsid w:val="47B44328"/>
    <w:rsid w:val="47E744AA"/>
    <w:rsid w:val="47ED4280"/>
    <w:rsid w:val="48202F63"/>
    <w:rsid w:val="48B307F6"/>
    <w:rsid w:val="48BC37DA"/>
    <w:rsid w:val="490623B9"/>
    <w:rsid w:val="497D0CA1"/>
    <w:rsid w:val="499D295C"/>
    <w:rsid w:val="49CB0CCD"/>
    <w:rsid w:val="49E859C3"/>
    <w:rsid w:val="49F6647E"/>
    <w:rsid w:val="4A190B1F"/>
    <w:rsid w:val="4A50742A"/>
    <w:rsid w:val="4AA349F3"/>
    <w:rsid w:val="4AA610D6"/>
    <w:rsid w:val="4AE72A13"/>
    <w:rsid w:val="4B0C055A"/>
    <w:rsid w:val="4B58746D"/>
    <w:rsid w:val="4B792F57"/>
    <w:rsid w:val="4BEB0981"/>
    <w:rsid w:val="4BFB2486"/>
    <w:rsid w:val="4C775250"/>
    <w:rsid w:val="4C8B4A7C"/>
    <w:rsid w:val="4CA46E0E"/>
    <w:rsid w:val="4CFC368B"/>
    <w:rsid w:val="4DB37BE4"/>
    <w:rsid w:val="4DDC6134"/>
    <w:rsid w:val="4DE54B83"/>
    <w:rsid w:val="4E0500F8"/>
    <w:rsid w:val="4E19430F"/>
    <w:rsid w:val="4E3E7C12"/>
    <w:rsid w:val="4E5F6FE2"/>
    <w:rsid w:val="4E630603"/>
    <w:rsid w:val="4E7D412D"/>
    <w:rsid w:val="4EB20A6D"/>
    <w:rsid w:val="4F086AAF"/>
    <w:rsid w:val="4F2064F4"/>
    <w:rsid w:val="4F214558"/>
    <w:rsid w:val="4FD916A9"/>
    <w:rsid w:val="4FF54A52"/>
    <w:rsid w:val="50583ADD"/>
    <w:rsid w:val="5069668A"/>
    <w:rsid w:val="50A83CB2"/>
    <w:rsid w:val="50F67E79"/>
    <w:rsid w:val="512B42F2"/>
    <w:rsid w:val="52575082"/>
    <w:rsid w:val="52814815"/>
    <w:rsid w:val="528573B9"/>
    <w:rsid w:val="52E30549"/>
    <w:rsid w:val="538E5DEC"/>
    <w:rsid w:val="545253A1"/>
    <w:rsid w:val="54780F3F"/>
    <w:rsid w:val="54A24B77"/>
    <w:rsid w:val="55204D75"/>
    <w:rsid w:val="5525280C"/>
    <w:rsid w:val="55432F2F"/>
    <w:rsid w:val="556A766F"/>
    <w:rsid w:val="55962289"/>
    <w:rsid w:val="562341D8"/>
    <w:rsid w:val="56A610BD"/>
    <w:rsid w:val="56AC2C89"/>
    <w:rsid w:val="56D076DF"/>
    <w:rsid w:val="56E34736"/>
    <w:rsid w:val="56FB15A3"/>
    <w:rsid w:val="57120D4F"/>
    <w:rsid w:val="572C3C94"/>
    <w:rsid w:val="57806BBC"/>
    <w:rsid w:val="57B82347"/>
    <w:rsid w:val="57B936FA"/>
    <w:rsid w:val="57BB6BFD"/>
    <w:rsid w:val="580657A4"/>
    <w:rsid w:val="587679B8"/>
    <w:rsid w:val="58963DA7"/>
    <w:rsid w:val="58A423FE"/>
    <w:rsid w:val="590673DE"/>
    <w:rsid w:val="592C3305"/>
    <w:rsid w:val="59565493"/>
    <w:rsid w:val="59613AE1"/>
    <w:rsid w:val="59A927FA"/>
    <w:rsid w:val="59C5737D"/>
    <w:rsid w:val="5A2C7551"/>
    <w:rsid w:val="5A400720"/>
    <w:rsid w:val="5A7B10EF"/>
    <w:rsid w:val="5A8E07B6"/>
    <w:rsid w:val="5ACE2D0B"/>
    <w:rsid w:val="5ADA2029"/>
    <w:rsid w:val="5B055025"/>
    <w:rsid w:val="5B4A57FA"/>
    <w:rsid w:val="5B644C76"/>
    <w:rsid w:val="5BFB1E7B"/>
    <w:rsid w:val="5C3D6A58"/>
    <w:rsid w:val="5CF4139A"/>
    <w:rsid w:val="5D311E27"/>
    <w:rsid w:val="5D5A2969"/>
    <w:rsid w:val="5D693C9C"/>
    <w:rsid w:val="5D915211"/>
    <w:rsid w:val="5DE973D6"/>
    <w:rsid w:val="5E31340E"/>
    <w:rsid w:val="5E3E428F"/>
    <w:rsid w:val="5E534175"/>
    <w:rsid w:val="5E8D2D21"/>
    <w:rsid w:val="5EBD1212"/>
    <w:rsid w:val="5F997B4E"/>
    <w:rsid w:val="60403F25"/>
    <w:rsid w:val="60C84901"/>
    <w:rsid w:val="61017934"/>
    <w:rsid w:val="61AF6563"/>
    <w:rsid w:val="61B869B7"/>
    <w:rsid w:val="623F329A"/>
    <w:rsid w:val="62411E4D"/>
    <w:rsid w:val="62695E27"/>
    <w:rsid w:val="62776B86"/>
    <w:rsid w:val="628242DE"/>
    <w:rsid w:val="62A22771"/>
    <w:rsid w:val="62D32611"/>
    <w:rsid w:val="636127C3"/>
    <w:rsid w:val="63750765"/>
    <w:rsid w:val="63975341"/>
    <w:rsid w:val="63C26E84"/>
    <w:rsid w:val="641C0CE8"/>
    <w:rsid w:val="64350E85"/>
    <w:rsid w:val="64C11A50"/>
    <w:rsid w:val="6541100E"/>
    <w:rsid w:val="654C0BA8"/>
    <w:rsid w:val="65764611"/>
    <w:rsid w:val="659E0FC7"/>
    <w:rsid w:val="66172A85"/>
    <w:rsid w:val="664352EB"/>
    <w:rsid w:val="667C4F27"/>
    <w:rsid w:val="672079BD"/>
    <w:rsid w:val="678E1D9F"/>
    <w:rsid w:val="68254520"/>
    <w:rsid w:val="683E7EE4"/>
    <w:rsid w:val="684074D2"/>
    <w:rsid w:val="691712CF"/>
    <w:rsid w:val="69296899"/>
    <w:rsid w:val="696610E4"/>
    <w:rsid w:val="69AC0585"/>
    <w:rsid w:val="6A136556"/>
    <w:rsid w:val="6A141639"/>
    <w:rsid w:val="6A727B6E"/>
    <w:rsid w:val="6A83721D"/>
    <w:rsid w:val="6A891B0B"/>
    <w:rsid w:val="6A8D56D6"/>
    <w:rsid w:val="6AC81AC2"/>
    <w:rsid w:val="6AE21101"/>
    <w:rsid w:val="6B1A5082"/>
    <w:rsid w:val="6B4F3B9E"/>
    <w:rsid w:val="6B7B3E9B"/>
    <w:rsid w:val="6BA86515"/>
    <w:rsid w:val="6BD63153"/>
    <w:rsid w:val="6C5B55DC"/>
    <w:rsid w:val="6CA25624"/>
    <w:rsid w:val="6CAE03DD"/>
    <w:rsid w:val="6CE55E0B"/>
    <w:rsid w:val="6CE56E6B"/>
    <w:rsid w:val="6D032DAA"/>
    <w:rsid w:val="6D334805"/>
    <w:rsid w:val="6E005A26"/>
    <w:rsid w:val="6E6329C5"/>
    <w:rsid w:val="6EB02AF9"/>
    <w:rsid w:val="6ECE21FE"/>
    <w:rsid w:val="6EE631C4"/>
    <w:rsid w:val="6EFF345A"/>
    <w:rsid w:val="6F0E41D6"/>
    <w:rsid w:val="6FB4540B"/>
    <w:rsid w:val="70020186"/>
    <w:rsid w:val="701D2A7B"/>
    <w:rsid w:val="705F6B67"/>
    <w:rsid w:val="70C5656F"/>
    <w:rsid w:val="70C73255"/>
    <w:rsid w:val="70F5165C"/>
    <w:rsid w:val="71610FBE"/>
    <w:rsid w:val="71BC3A02"/>
    <w:rsid w:val="725008FF"/>
    <w:rsid w:val="72534367"/>
    <w:rsid w:val="72656113"/>
    <w:rsid w:val="72760778"/>
    <w:rsid w:val="730661F8"/>
    <w:rsid w:val="734E63BA"/>
    <w:rsid w:val="738C5E9F"/>
    <w:rsid w:val="73BC68B4"/>
    <w:rsid w:val="73E57241"/>
    <w:rsid w:val="740F4224"/>
    <w:rsid w:val="743104E3"/>
    <w:rsid w:val="74320C3C"/>
    <w:rsid w:val="74513162"/>
    <w:rsid w:val="74CD194A"/>
    <w:rsid w:val="75247A77"/>
    <w:rsid w:val="75431AF8"/>
    <w:rsid w:val="757B75BC"/>
    <w:rsid w:val="75FD6242"/>
    <w:rsid w:val="76756366"/>
    <w:rsid w:val="76A665D3"/>
    <w:rsid w:val="76A83AAD"/>
    <w:rsid w:val="76B64EC4"/>
    <w:rsid w:val="77905C31"/>
    <w:rsid w:val="78BD1F9D"/>
    <w:rsid w:val="78E44204"/>
    <w:rsid w:val="78EE0338"/>
    <w:rsid w:val="79122841"/>
    <w:rsid w:val="79201CE1"/>
    <w:rsid w:val="79646A3F"/>
    <w:rsid w:val="796F5B10"/>
    <w:rsid w:val="79B14724"/>
    <w:rsid w:val="7A4863B9"/>
    <w:rsid w:val="7AC9647B"/>
    <w:rsid w:val="7B2B7955"/>
    <w:rsid w:val="7B3E0A41"/>
    <w:rsid w:val="7B794C12"/>
    <w:rsid w:val="7BEF605C"/>
    <w:rsid w:val="7BF83610"/>
    <w:rsid w:val="7C323980"/>
    <w:rsid w:val="7C5859EC"/>
    <w:rsid w:val="7C7A276A"/>
    <w:rsid w:val="7CA04B1B"/>
    <w:rsid w:val="7CC115D1"/>
    <w:rsid w:val="7CD767D8"/>
    <w:rsid w:val="7D0D032B"/>
    <w:rsid w:val="7D4B163D"/>
    <w:rsid w:val="7D7657C0"/>
    <w:rsid w:val="7D82324C"/>
    <w:rsid w:val="7DA51842"/>
    <w:rsid w:val="7EC02193"/>
    <w:rsid w:val="7EFB3DBC"/>
    <w:rsid w:val="7F0F1D02"/>
    <w:rsid w:val="7F470157"/>
    <w:rsid w:val="7F9E1951"/>
    <w:rsid w:val="7FAE4995"/>
    <w:rsid w:val="7FCE7FF9"/>
    <w:rsid w:val="7FD84D6E"/>
    <w:rsid w:val="7FF121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autoRedefine/>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9"/>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56"/>
    <w:autoRedefine/>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List Bullet"/>
    <w:basedOn w:val="1"/>
    <w:autoRedefine/>
    <w:semiHidden/>
    <w:unhideWhenUsed/>
    <w:qFormat/>
    <w:uiPriority w:val="99"/>
    <w:pPr>
      <w:numPr>
        <w:ilvl w:val="0"/>
        <w:numId w:val="1"/>
      </w:numPr>
    </w:pPr>
  </w:style>
  <w:style w:type="paragraph" w:styleId="8">
    <w:name w:val="Document Map"/>
    <w:basedOn w:val="1"/>
    <w:link w:val="40"/>
    <w:autoRedefine/>
    <w:qFormat/>
    <w:uiPriority w:val="99"/>
    <w:rPr>
      <w:rFonts w:ascii="宋体"/>
      <w:sz w:val="18"/>
      <w:szCs w:val="18"/>
    </w:rPr>
  </w:style>
  <w:style w:type="paragraph" w:styleId="9">
    <w:name w:val="toa heading"/>
    <w:basedOn w:val="1"/>
    <w:next w:val="1"/>
    <w:autoRedefine/>
    <w:qFormat/>
    <w:uiPriority w:val="0"/>
    <w:pPr>
      <w:snapToGrid w:val="0"/>
      <w:spacing w:before="120" w:line="360" w:lineRule="auto"/>
    </w:pPr>
    <w:rPr>
      <w:rFonts w:ascii="Arial" w:hAnsi="Arial"/>
      <w:snapToGrid w:val="0"/>
      <w:color w:val="000000"/>
    </w:rPr>
  </w:style>
  <w:style w:type="paragraph" w:styleId="10">
    <w:name w:val="annotation text"/>
    <w:basedOn w:val="1"/>
    <w:link w:val="41"/>
    <w:autoRedefine/>
    <w:qFormat/>
    <w:uiPriority w:val="99"/>
    <w:pPr>
      <w:jc w:val="left"/>
    </w:pPr>
  </w:style>
  <w:style w:type="paragraph" w:styleId="11">
    <w:name w:val="Body Text"/>
    <w:basedOn w:val="1"/>
    <w:next w:val="12"/>
    <w:link w:val="42"/>
    <w:autoRedefine/>
    <w:qFormat/>
    <w:uiPriority w:val="99"/>
    <w:pPr>
      <w:spacing w:after="120"/>
    </w:pPr>
  </w:style>
  <w:style w:type="paragraph" w:styleId="12">
    <w:name w:val="Body Text First Indent"/>
    <w:basedOn w:val="11"/>
    <w:link w:val="46"/>
    <w:autoRedefine/>
    <w:qFormat/>
    <w:uiPriority w:val="99"/>
    <w:pPr>
      <w:widowControl/>
      <w:ind w:firstLine="420" w:firstLineChars="100"/>
    </w:pPr>
    <w:rPr>
      <w:rFonts w:ascii="Calibri" w:hAnsi="Calibri" w:cs="宋体"/>
      <w:szCs w:val="22"/>
    </w:rPr>
  </w:style>
  <w:style w:type="paragraph" w:styleId="13">
    <w:name w:val="Body Text Indent"/>
    <w:basedOn w:val="1"/>
    <w:next w:val="14"/>
    <w:autoRedefine/>
    <w:qFormat/>
    <w:uiPriority w:val="0"/>
    <w:pPr>
      <w:ind w:left="567" w:leftChars="270"/>
    </w:pPr>
  </w:style>
  <w:style w:type="paragraph" w:styleId="14">
    <w:name w:val="envelope return"/>
    <w:basedOn w:val="1"/>
    <w:autoRedefine/>
    <w:unhideWhenUsed/>
    <w:qFormat/>
    <w:uiPriority w:val="99"/>
  </w:style>
  <w:style w:type="paragraph" w:styleId="15">
    <w:name w:val="Plain Text"/>
    <w:basedOn w:val="1"/>
    <w:link w:val="58"/>
    <w:autoRedefine/>
    <w:qFormat/>
    <w:uiPriority w:val="0"/>
    <w:pPr>
      <w:tabs>
        <w:tab w:val="left" w:pos="-105"/>
      </w:tabs>
      <w:spacing w:line="440" w:lineRule="exact"/>
      <w:ind w:right="-147" w:rightChars="-70"/>
      <w:outlineLvl w:val="2"/>
    </w:pPr>
    <w:rPr>
      <w:rFonts w:ascii="宋体" w:hAnsi="Courier New"/>
      <w:sz w:val="24"/>
      <w:szCs w:val="21"/>
    </w:rPr>
  </w:style>
  <w:style w:type="paragraph" w:styleId="16">
    <w:name w:val="Balloon Text"/>
    <w:basedOn w:val="1"/>
    <w:link w:val="43"/>
    <w:autoRedefine/>
    <w:qFormat/>
    <w:uiPriority w:val="99"/>
    <w:rPr>
      <w:sz w:val="18"/>
      <w:szCs w:val="18"/>
    </w:rPr>
  </w:style>
  <w:style w:type="paragraph" w:styleId="17">
    <w:name w:val="footer"/>
    <w:basedOn w:val="1"/>
    <w:link w:val="44"/>
    <w:autoRedefine/>
    <w:qFormat/>
    <w:uiPriority w:val="99"/>
    <w:pPr>
      <w:tabs>
        <w:tab w:val="center" w:pos="4153"/>
        <w:tab w:val="right" w:pos="8306"/>
      </w:tabs>
      <w:snapToGrid w:val="0"/>
      <w:jc w:val="left"/>
    </w:pPr>
    <w:rPr>
      <w:sz w:val="18"/>
      <w:szCs w:val="18"/>
    </w:rPr>
  </w:style>
  <w:style w:type="paragraph" w:styleId="18">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99"/>
    <w:pPr>
      <w:widowControl/>
      <w:tabs>
        <w:tab w:val="left" w:pos="780"/>
        <w:tab w:val="right" w:leader="dot" w:pos="9400"/>
      </w:tabs>
      <w:jc w:val="left"/>
    </w:pPr>
    <w:rPr>
      <w:rFonts w:ascii="Calibri" w:hAnsi="Calibri"/>
      <w:kern w:val="0"/>
      <w:sz w:val="24"/>
      <w:szCs w:val="24"/>
    </w:rPr>
  </w:style>
  <w:style w:type="paragraph" w:styleId="20">
    <w:name w:val="List"/>
    <w:basedOn w:val="1"/>
    <w:autoRedefine/>
    <w:qFormat/>
    <w:uiPriority w:val="0"/>
    <w:pPr>
      <w:numPr>
        <w:ilvl w:val="0"/>
        <w:numId w:val="2"/>
      </w:numPr>
      <w:snapToGrid w:val="0"/>
      <w:spacing w:line="300" w:lineRule="auto"/>
    </w:pPr>
  </w:style>
  <w:style w:type="paragraph" w:styleId="21">
    <w:name w:val="Body Text 2"/>
    <w:basedOn w:val="1"/>
    <w:unhideWhenUsed/>
    <w:qFormat/>
    <w:uiPriority w:val="99"/>
    <w:pPr>
      <w:spacing w:after="120" w:line="480" w:lineRule="auto"/>
    </w:pPr>
  </w:style>
  <w:style w:type="paragraph" w:styleId="22">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63"/>
    <w:autoRedefine/>
    <w:semiHidden/>
    <w:qFormat/>
    <w:uiPriority w:val="99"/>
    <w:rPr>
      <w:b/>
      <w:bCs/>
    </w:rPr>
  </w:style>
  <w:style w:type="paragraph" w:styleId="25">
    <w:name w:val="Body Text First Indent 2"/>
    <w:basedOn w:val="13"/>
    <w:autoRedefine/>
    <w:qFormat/>
    <w:uiPriority w:val="0"/>
    <w:pPr>
      <w:ind w:firstLine="420" w:firstLineChars="200"/>
    </w:pPr>
    <w:rPr>
      <w:color w:val="000000"/>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locked/>
    <w:uiPriority w:val="0"/>
    <w:rPr>
      <w:b/>
      <w:bCs/>
    </w:rPr>
  </w:style>
  <w:style w:type="character" w:styleId="30">
    <w:name w:val="page number"/>
    <w:autoRedefine/>
    <w:qFormat/>
    <w:uiPriority w:val="0"/>
    <w:rPr>
      <w:rFonts w:ascii="Times New Roman" w:hAnsi="Times New Roman" w:eastAsia="宋体" w:cs="Times New Roman"/>
    </w:rPr>
  </w:style>
  <w:style w:type="character" w:styleId="31">
    <w:name w:val="Hyperlink"/>
    <w:autoRedefine/>
    <w:qFormat/>
    <w:uiPriority w:val="99"/>
    <w:rPr>
      <w:rFonts w:cs="Times New Roman"/>
      <w:color w:val="0000FF"/>
      <w:u w:val="single"/>
    </w:rPr>
  </w:style>
  <w:style w:type="character" w:styleId="32">
    <w:name w:val="annotation reference"/>
    <w:basedOn w:val="28"/>
    <w:autoRedefine/>
    <w:qFormat/>
    <w:uiPriority w:val="99"/>
    <w:rPr>
      <w:rFonts w:cs="Times New Roman"/>
      <w:sz w:val="21"/>
      <w:szCs w:val="21"/>
    </w:rPr>
  </w:style>
  <w:style w:type="paragraph" w:customStyle="1" w:styleId="33">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4">
    <w:name w:val="正文2"/>
    <w:basedOn w:val="6"/>
    <w:autoRedefine/>
    <w:qFormat/>
    <w:uiPriority w:val="0"/>
    <w:pPr>
      <w:jc w:val="both"/>
    </w:pPr>
    <w:rPr>
      <w:rFonts w:ascii="Times New Roman" w:hAnsi="Times New Roman" w:eastAsia="宋体"/>
      <w:kern w:val="2"/>
      <w:sz w:val="21"/>
      <w:szCs w:val="21"/>
    </w:rPr>
  </w:style>
  <w:style w:type="paragraph" w:customStyle="1" w:styleId="35">
    <w:name w:val="样式 正文首行缩进 + 首行缩进:  1 字符"/>
    <w:basedOn w:val="1"/>
    <w:next w:val="1"/>
    <w:autoRedefine/>
    <w:qFormat/>
    <w:uiPriority w:val="0"/>
    <w:pPr>
      <w:adjustRightInd w:val="0"/>
      <w:snapToGrid w:val="0"/>
      <w:spacing w:line="360" w:lineRule="auto"/>
      <w:ind w:firstLine="200" w:firstLineChars="200"/>
    </w:pPr>
    <w:rPr>
      <w:rFonts w:cs="宋体"/>
      <w:sz w:val="24"/>
    </w:rPr>
  </w:style>
  <w:style w:type="character" w:customStyle="1" w:styleId="36">
    <w:name w:val="标题 1 字符"/>
    <w:link w:val="2"/>
    <w:autoRedefine/>
    <w:qFormat/>
    <w:locked/>
    <w:uiPriority w:val="99"/>
    <w:rPr>
      <w:rFonts w:ascii="Times New Roman" w:hAnsi="Times New Roman" w:eastAsia="宋体" w:cs="Times New Roman"/>
      <w:b/>
      <w:bCs/>
      <w:kern w:val="44"/>
      <w:sz w:val="44"/>
      <w:szCs w:val="44"/>
    </w:rPr>
  </w:style>
  <w:style w:type="character" w:customStyle="1" w:styleId="37">
    <w:name w:val="标题 2 字符"/>
    <w:link w:val="3"/>
    <w:autoRedefine/>
    <w:qFormat/>
    <w:locked/>
    <w:uiPriority w:val="99"/>
    <w:rPr>
      <w:rFonts w:ascii="Cambria" w:hAnsi="Cambria" w:eastAsia="宋体" w:cs="Times New Roman"/>
      <w:b/>
      <w:bCs/>
      <w:kern w:val="2"/>
      <w:sz w:val="32"/>
      <w:szCs w:val="32"/>
    </w:rPr>
  </w:style>
  <w:style w:type="character" w:customStyle="1" w:styleId="38">
    <w:name w:val="标题 3 字符"/>
    <w:link w:val="4"/>
    <w:autoRedefine/>
    <w:qFormat/>
    <w:locked/>
    <w:uiPriority w:val="99"/>
    <w:rPr>
      <w:rFonts w:eastAsia="宋体" w:cs="Times New Roman"/>
      <w:b/>
      <w:sz w:val="32"/>
    </w:rPr>
  </w:style>
  <w:style w:type="character" w:customStyle="1" w:styleId="39">
    <w:name w:val="标题 4 字符1"/>
    <w:link w:val="5"/>
    <w:autoRedefine/>
    <w:qFormat/>
    <w:locked/>
    <w:uiPriority w:val="99"/>
    <w:rPr>
      <w:rFonts w:ascii="Arial" w:hAnsi="Arial" w:eastAsia="黑体" w:cs="Times New Roman"/>
      <w:b/>
      <w:bCs/>
      <w:kern w:val="2"/>
      <w:sz w:val="28"/>
      <w:szCs w:val="28"/>
    </w:rPr>
  </w:style>
  <w:style w:type="character" w:customStyle="1" w:styleId="40">
    <w:name w:val="文档结构图 字符"/>
    <w:link w:val="8"/>
    <w:autoRedefine/>
    <w:qFormat/>
    <w:locked/>
    <w:uiPriority w:val="99"/>
    <w:rPr>
      <w:rFonts w:ascii="宋体" w:hAnsi="Times New Roman" w:eastAsia="宋体" w:cs="Times New Roman"/>
      <w:kern w:val="2"/>
      <w:sz w:val="18"/>
      <w:szCs w:val="18"/>
    </w:rPr>
  </w:style>
  <w:style w:type="character" w:customStyle="1" w:styleId="41">
    <w:name w:val="批注文字 字符"/>
    <w:link w:val="10"/>
    <w:autoRedefine/>
    <w:qFormat/>
    <w:locked/>
    <w:uiPriority w:val="99"/>
    <w:rPr>
      <w:rFonts w:ascii="Times New Roman" w:hAnsi="Times New Roman" w:cs="Times New Roman"/>
      <w:kern w:val="2"/>
      <w:sz w:val="21"/>
    </w:rPr>
  </w:style>
  <w:style w:type="character" w:customStyle="1" w:styleId="42">
    <w:name w:val="正文文本 字符"/>
    <w:link w:val="11"/>
    <w:autoRedefine/>
    <w:qFormat/>
    <w:locked/>
    <w:uiPriority w:val="0"/>
    <w:rPr>
      <w:rFonts w:ascii="Times New Roman" w:hAnsi="Times New Roman" w:eastAsia="宋体" w:cs="Times New Roman"/>
      <w:sz w:val="20"/>
      <w:szCs w:val="20"/>
    </w:rPr>
  </w:style>
  <w:style w:type="character" w:customStyle="1" w:styleId="43">
    <w:name w:val="批注框文本 字符"/>
    <w:link w:val="16"/>
    <w:autoRedefine/>
    <w:qFormat/>
    <w:locked/>
    <w:uiPriority w:val="99"/>
    <w:rPr>
      <w:rFonts w:ascii="Times New Roman" w:hAnsi="Times New Roman" w:eastAsia="宋体" w:cs="Times New Roman"/>
      <w:kern w:val="2"/>
      <w:sz w:val="18"/>
      <w:szCs w:val="18"/>
    </w:rPr>
  </w:style>
  <w:style w:type="character" w:customStyle="1" w:styleId="44">
    <w:name w:val="页脚 字符"/>
    <w:link w:val="17"/>
    <w:autoRedefine/>
    <w:qFormat/>
    <w:locked/>
    <w:uiPriority w:val="99"/>
    <w:rPr>
      <w:rFonts w:ascii="Times New Roman" w:hAnsi="Times New Roman" w:eastAsia="宋体" w:cs="Times New Roman"/>
      <w:sz w:val="18"/>
      <w:szCs w:val="18"/>
    </w:rPr>
  </w:style>
  <w:style w:type="character" w:customStyle="1" w:styleId="45">
    <w:name w:val="页眉 字符"/>
    <w:link w:val="18"/>
    <w:autoRedefine/>
    <w:qFormat/>
    <w:locked/>
    <w:uiPriority w:val="99"/>
    <w:rPr>
      <w:rFonts w:ascii="Times New Roman" w:hAnsi="Times New Roman" w:eastAsia="宋体" w:cs="Times New Roman"/>
      <w:sz w:val="18"/>
      <w:szCs w:val="18"/>
    </w:rPr>
  </w:style>
  <w:style w:type="character" w:customStyle="1" w:styleId="46">
    <w:name w:val="正文文本首行缩进 字符"/>
    <w:link w:val="12"/>
    <w:autoRedefine/>
    <w:qFormat/>
    <w:locked/>
    <w:uiPriority w:val="99"/>
    <w:rPr>
      <w:rFonts w:ascii="Times New Roman" w:hAnsi="Times New Roman" w:eastAsia="宋体" w:cs="Times New Roman"/>
      <w:sz w:val="20"/>
      <w:szCs w:val="20"/>
    </w:rPr>
  </w:style>
  <w:style w:type="character" w:customStyle="1" w:styleId="47">
    <w:name w:val="正文缩进2格 Char"/>
    <w:link w:val="48"/>
    <w:autoRedefine/>
    <w:qFormat/>
    <w:locked/>
    <w:uiPriority w:val="99"/>
    <w:rPr>
      <w:rFonts w:ascii="仿宋_GB2312" w:hAnsi="宋体" w:eastAsia="仿宋_GB2312"/>
      <w:sz w:val="31"/>
    </w:rPr>
  </w:style>
  <w:style w:type="paragraph" w:customStyle="1" w:styleId="48">
    <w:name w:val="正文缩进2格"/>
    <w:basedOn w:val="1"/>
    <w:link w:val="47"/>
    <w:autoRedefine/>
    <w:qFormat/>
    <w:uiPriority w:val="99"/>
    <w:pPr>
      <w:spacing w:line="600" w:lineRule="exact"/>
      <w:ind w:firstLine="639" w:firstLineChars="206"/>
    </w:pPr>
    <w:rPr>
      <w:rFonts w:ascii="仿宋_GB2312" w:hAnsi="宋体" w:eastAsia="仿宋_GB2312"/>
      <w:kern w:val="0"/>
      <w:sz w:val="31"/>
      <w:szCs w:val="31"/>
    </w:rPr>
  </w:style>
  <w:style w:type="paragraph" w:customStyle="1" w:styleId="49">
    <w:name w:val="列出段落1"/>
    <w:basedOn w:val="1"/>
    <w:autoRedefine/>
    <w:qFormat/>
    <w:uiPriority w:val="99"/>
    <w:pPr>
      <w:ind w:firstLine="420" w:firstLineChars="200"/>
    </w:pPr>
  </w:style>
  <w:style w:type="paragraph" w:customStyle="1" w:styleId="50">
    <w:name w:val="列出段落2"/>
    <w:basedOn w:val="1"/>
    <w:autoRedefine/>
    <w:qFormat/>
    <w:uiPriority w:val="99"/>
    <w:pPr>
      <w:ind w:firstLine="420" w:firstLineChars="200"/>
    </w:pPr>
  </w:style>
  <w:style w:type="paragraph" w:styleId="51">
    <w:name w:val="List Paragraph"/>
    <w:basedOn w:val="1"/>
    <w:autoRedefine/>
    <w:qFormat/>
    <w:uiPriority w:val="99"/>
    <w:pPr>
      <w:ind w:firstLine="420" w:firstLineChars="200"/>
    </w:pPr>
  </w:style>
  <w:style w:type="character" w:customStyle="1" w:styleId="52">
    <w:name w:val="fontstyle01"/>
    <w:autoRedefine/>
    <w:qFormat/>
    <w:uiPriority w:val="99"/>
    <w:rPr>
      <w:rFonts w:ascii="仿宋" w:hAnsi="仿宋" w:eastAsia="仿宋" w:cs="Times New Roman"/>
      <w:color w:val="000000"/>
      <w:sz w:val="28"/>
      <w:szCs w:val="28"/>
    </w:rPr>
  </w:style>
  <w:style w:type="character" w:customStyle="1" w:styleId="53">
    <w:name w:val="！正文 Char"/>
    <w:link w:val="54"/>
    <w:autoRedefine/>
    <w:qFormat/>
    <w:locked/>
    <w:uiPriority w:val="99"/>
    <w:rPr>
      <w:rFonts w:ascii="Arial" w:hAnsi="Arial"/>
      <w:sz w:val="24"/>
    </w:rPr>
  </w:style>
  <w:style w:type="paragraph" w:customStyle="1" w:styleId="54">
    <w:name w:val="！正文"/>
    <w:basedOn w:val="1"/>
    <w:link w:val="53"/>
    <w:autoRedefine/>
    <w:qFormat/>
    <w:uiPriority w:val="99"/>
    <w:pPr>
      <w:spacing w:line="360" w:lineRule="auto"/>
      <w:ind w:firstLine="200" w:firstLineChars="200"/>
    </w:pPr>
    <w:rPr>
      <w:rFonts w:ascii="Arial" w:hAnsi="Arial" w:eastAsia="等线"/>
      <w:kern w:val="0"/>
      <w:sz w:val="24"/>
      <w:szCs w:val="24"/>
    </w:rPr>
  </w:style>
  <w:style w:type="paragraph" w:customStyle="1" w:styleId="55">
    <w:name w:val="！标题1 Alt+1"/>
    <w:basedOn w:val="1"/>
    <w:next w:val="1"/>
    <w:autoRedefine/>
    <w:qFormat/>
    <w:uiPriority w:val="99"/>
    <w:pPr>
      <w:tabs>
        <w:tab w:val="left" w:pos="3261"/>
      </w:tabs>
      <w:spacing w:beforeLines="100"/>
      <w:jc w:val="left"/>
      <w:outlineLvl w:val="0"/>
    </w:pPr>
    <w:rPr>
      <w:rFonts w:eastAsia="黑体"/>
      <w:b/>
      <w:spacing w:val="20"/>
      <w:w w:val="110"/>
      <w:sz w:val="32"/>
      <w:szCs w:val="32"/>
    </w:rPr>
  </w:style>
  <w:style w:type="character" w:customStyle="1" w:styleId="56">
    <w:name w:val="正文缩进 字符"/>
    <w:link w:val="6"/>
    <w:autoRedefine/>
    <w:qFormat/>
    <w:locked/>
    <w:uiPriority w:val="99"/>
    <w:rPr>
      <w:sz w:val="24"/>
    </w:rPr>
  </w:style>
  <w:style w:type="paragraph" w:customStyle="1" w:styleId="57">
    <w:name w:val="标准书脚_奇数页"/>
    <w:autoRedefine/>
    <w:qFormat/>
    <w:uiPriority w:val="99"/>
    <w:pPr>
      <w:numPr>
        <w:ilvl w:val="0"/>
        <w:numId w:val="3"/>
      </w:numPr>
      <w:spacing w:before="120"/>
      <w:ind w:left="0" w:firstLine="0"/>
      <w:jc w:val="right"/>
    </w:pPr>
    <w:rPr>
      <w:rFonts w:ascii="Times New Roman" w:hAnsi="Times New Roman" w:eastAsia="宋体" w:cs="Times New Roman"/>
      <w:sz w:val="18"/>
      <w:lang w:val="en-US" w:eastAsia="zh-CN" w:bidi="ar-SA"/>
    </w:rPr>
  </w:style>
  <w:style w:type="character" w:customStyle="1" w:styleId="58">
    <w:name w:val="纯文本 字符"/>
    <w:link w:val="15"/>
    <w:autoRedefine/>
    <w:qFormat/>
    <w:locked/>
    <w:uiPriority w:val="0"/>
    <w:rPr>
      <w:rFonts w:ascii="宋体" w:hAnsi="Courier New" w:eastAsia="宋体" w:cs="Times New Roman"/>
      <w:kern w:val="2"/>
      <w:sz w:val="21"/>
      <w:szCs w:val="21"/>
    </w:rPr>
  </w:style>
  <w:style w:type="character" w:customStyle="1" w:styleId="59">
    <w:name w:val="未处理的提及1"/>
    <w:autoRedefine/>
    <w:semiHidden/>
    <w:qFormat/>
    <w:uiPriority w:val="99"/>
    <w:rPr>
      <w:rFonts w:cs="Times New Roman"/>
      <w:color w:val="605E5C"/>
      <w:shd w:val="clear" w:color="auto" w:fill="E1DFDD"/>
    </w:rPr>
  </w:style>
  <w:style w:type="paragraph" w:customStyle="1" w:styleId="60">
    <w:name w:val="样式"/>
    <w:basedOn w:val="1"/>
    <w:next w:val="51"/>
    <w:autoRedefine/>
    <w:qFormat/>
    <w:uiPriority w:val="99"/>
    <w:pPr>
      <w:ind w:firstLine="420" w:firstLineChars="200"/>
    </w:pPr>
    <w:rPr>
      <w:rFonts w:ascii="Calibri" w:hAnsi="Calibri"/>
      <w:szCs w:val="22"/>
    </w:rPr>
  </w:style>
  <w:style w:type="character" w:customStyle="1" w:styleId="61">
    <w:name w:val="Body Text Indent 2 Char Char"/>
    <w:link w:val="62"/>
    <w:autoRedefine/>
    <w:qFormat/>
    <w:locked/>
    <w:uiPriority w:val="99"/>
  </w:style>
  <w:style w:type="paragraph" w:customStyle="1" w:styleId="62">
    <w:name w:val="正文文本缩进 21"/>
    <w:basedOn w:val="1"/>
    <w:link w:val="61"/>
    <w:autoRedefine/>
    <w:qFormat/>
    <w:uiPriority w:val="99"/>
    <w:pPr>
      <w:adjustRightInd w:val="0"/>
      <w:spacing w:line="480" w:lineRule="auto"/>
      <w:ind w:firstLine="540"/>
    </w:pPr>
    <w:rPr>
      <w:rFonts w:ascii="Calibri" w:hAnsi="Calibri" w:eastAsia="等线"/>
      <w:kern w:val="0"/>
      <w:sz w:val="20"/>
    </w:rPr>
  </w:style>
  <w:style w:type="character" w:customStyle="1" w:styleId="63">
    <w:name w:val="批注主题 字符"/>
    <w:link w:val="24"/>
    <w:autoRedefine/>
    <w:semiHidden/>
    <w:qFormat/>
    <w:locked/>
    <w:uiPriority w:val="99"/>
    <w:rPr>
      <w:rFonts w:ascii="Times New Roman" w:hAnsi="Times New Roman" w:eastAsia="宋体" w:cs="Times New Roman"/>
      <w:b/>
      <w:bCs/>
      <w:kern w:val="2"/>
      <w:sz w:val="21"/>
    </w:rPr>
  </w:style>
  <w:style w:type="character" w:customStyle="1" w:styleId="64">
    <w:name w:val="标题 4 字符"/>
    <w:autoRedefine/>
    <w:semiHidden/>
    <w:qFormat/>
    <w:uiPriority w:val="99"/>
    <w:rPr>
      <w:rFonts w:ascii="Cambria" w:hAnsi="Cambria" w:eastAsia="宋体" w:cs="Times New Roman"/>
      <w:b/>
      <w:bCs/>
      <w:kern w:val="2"/>
      <w:sz w:val="28"/>
      <w:szCs w:val="28"/>
    </w:rPr>
  </w:style>
  <w:style w:type="paragraph" w:customStyle="1" w:styleId="65">
    <w:name w:val="正文_0"/>
    <w:autoRedefine/>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6">
    <w:name w:val="致远要点"/>
    <w:basedOn w:val="51"/>
    <w:link w:val="67"/>
    <w:autoRedefine/>
    <w:qFormat/>
    <w:uiPriority w:val="99"/>
    <w:pPr>
      <w:numPr>
        <w:ilvl w:val="0"/>
        <w:numId w:val="4"/>
      </w:numPr>
      <w:spacing w:before="120" w:after="120" w:line="360" w:lineRule="auto"/>
      <w:ind w:firstLine="0" w:firstLineChars="0"/>
    </w:pPr>
    <w:rPr>
      <w:rFonts w:ascii="黑体" w:hAnsi="黑体" w:eastAsia="黑体" w:cs="宋体"/>
      <w:sz w:val="24"/>
      <w:szCs w:val="22"/>
    </w:rPr>
  </w:style>
  <w:style w:type="character" w:customStyle="1" w:styleId="67">
    <w:name w:val="致远要点 字符"/>
    <w:link w:val="66"/>
    <w:autoRedefine/>
    <w:qFormat/>
    <w:locked/>
    <w:uiPriority w:val="99"/>
    <w:rPr>
      <w:rFonts w:ascii="黑体" w:hAnsi="黑体" w:eastAsia="黑体" w:cs="宋体"/>
      <w:kern w:val="2"/>
      <w:sz w:val="22"/>
      <w:szCs w:val="22"/>
    </w:rPr>
  </w:style>
  <w:style w:type="paragraph" w:customStyle="1" w:styleId="68">
    <w:name w:val="SANGFOR_6_正文"/>
    <w:basedOn w:val="1"/>
    <w:autoRedefine/>
    <w:qFormat/>
    <w:uiPriority w:val="99"/>
    <w:pPr>
      <w:spacing w:line="360" w:lineRule="auto"/>
    </w:pPr>
    <w:rPr>
      <w:szCs w:val="24"/>
    </w:rPr>
  </w:style>
  <w:style w:type="paragraph" w:customStyle="1" w:styleId="69">
    <w:name w:val="列表段落1"/>
    <w:basedOn w:val="1"/>
    <w:autoRedefine/>
    <w:qFormat/>
    <w:uiPriority w:val="34"/>
    <w:pPr>
      <w:ind w:firstLine="420" w:firstLineChars="200"/>
    </w:pPr>
  </w:style>
  <w:style w:type="paragraph" w:customStyle="1" w:styleId="70">
    <w:name w:val="表格文字"/>
    <w:basedOn w:val="1"/>
    <w:autoRedefine/>
    <w:qFormat/>
    <w:uiPriority w:val="0"/>
    <w:pPr>
      <w:spacing w:before="25" w:after="25"/>
    </w:pPr>
    <w:rPr>
      <w:rFonts w:asciiTheme="minorHAnsi" w:hAnsiTheme="minorHAnsi" w:eastAsiaTheme="minorEastAsia" w:cstheme="minorBidi"/>
      <w:bCs/>
      <w:spacing w:val="10"/>
      <w:szCs w:val="22"/>
    </w:rPr>
  </w:style>
  <w:style w:type="paragraph" w:customStyle="1" w:styleId="71">
    <w:name w:val="样式 小四 加粗 行距: 多倍行距 1.25 字行"/>
    <w:basedOn w:val="1"/>
    <w:autoRedefine/>
    <w:qFormat/>
    <w:uiPriority w:val="0"/>
    <w:pPr>
      <w:tabs>
        <w:tab w:val="left" w:pos="720"/>
        <w:tab w:val="left" w:pos="1527"/>
      </w:tabs>
      <w:spacing w:beforeLines="50" w:afterLines="50" w:line="300" w:lineRule="auto"/>
      <w:ind w:left="1527" w:hanging="720"/>
    </w:pPr>
    <w:rPr>
      <w:rFonts w:cs="宋体"/>
      <w:b/>
      <w:bCs/>
    </w:rPr>
  </w:style>
  <w:style w:type="paragraph" w:customStyle="1" w:styleId="72">
    <w:name w:val="Normal_1"/>
    <w:autoRedefine/>
    <w:qFormat/>
    <w:uiPriority w:val="0"/>
    <w:pPr>
      <w:widowControl w:val="0"/>
      <w:ind w:firstLine="420" w:firstLineChars="200"/>
      <w:jc w:val="both"/>
    </w:pPr>
    <w:rPr>
      <w:rFonts w:ascii="微软雅黑" w:hAnsi="微软雅黑" w:eastAsia="微软雅黑" w:cs="Times New Roman"/>
      <w:kern w:val="2"/>
      <w:sz w:val="21"/>
      <w:szCs w:val="22"/>
      <w:lang w:val="en-US" w:eastAsia="zh-CN" w:bidi="ar-SA"/>
    </w:rPr>
  </w:style>
  <w:style w:type="paragraph" w:customStyle="1" w:styleId="73">
    <w:name w:val="Heading 1_0"/>
    <w:basedOn w:val="72"/>
    <w:next w:val="72"/>
    <w:autoRedefine/>
    <w:qFormat/>
    <w:uiPriority w:val="9"/>
    <w:pPr>
      <w:numPr>
        <w:ilvl w:val="0"/>
        <w:numId w:val="5"/>
      </w:numPr>
      <w:spacing w:before="120" w:after="120" w:line="312" w:lineRule="auto"/>
      <w:ind w:firstLine="0" w:firstLineChars="0"/>
      <w:outlineLvl w:val="0"/>
    </w:pPr>
    <w:rPr>
      <w:b/>
      <w:sz w:val="36"/>
      <w:szCs w:val="36"/>
    </w:rPr>
  </w:style>
  <w:style w:type="character" w:customStyle="1" w:styleId="74">
    <w:name w:val="ql-author-15932486"/>
    <w:autoRedefine/>
    <w:qFormat/>
    <w:uiPriority w:val="0"/>
  </w:style>
  <w:style w:type="paragraph" w:customStyle="1" w:styleId="75">
    <w:name w:val="ql-indent-1"/>
    <w:basedOn w:val="1"/>
    <w:autoRedefine/>
    <w:qFormat/>
    <w:uiPriority w:val="0"/>
    <w:pPr>
      <w:spacing w:before="100" w:beforeAutospacing="1" w:after="100" w:afterAutospacing="1"/>
    </w:pPr>
  </w:style>
  <w:style w:type="paragraph" w:customStyle="1" w:styleId="76">
    <w:name w:val="纯文本1"/>
    <w:basedOn w:val="1"/>
    <w:autoRedefine/>
    <w:qFormat/>
    <w:uiPriority w:val="0"/>
    <w:rPr>
      <w:rFonts w:ascii="宋体" w:hAnsi="Courier New"/>
      <w:szCs w:val="24"/>
    </w:rPr>
  </w:style>
  <w:style w:type="paragraph" w:customStyle="1" w:styleId="77">
    <w:name w:val="正文列序2"/>
    <w:basedOn w:val="1"/>
    <w:autoRedefine/>
    <w:qFormat/>
    <w:uiPriority w:val="0"/>
    <w:pPr>
      <w:spacing w:line="360" w:lineRule="auto"/>
      <w:ind w:firstLine="425"/>
    </w:pPr>
    <w:rPr>
      <w:rFonts w:hAnsi="宋体"/>
    </w:rPr>
  </w:style>
  <w:style w:type="paragraph" w:customStyle="1" w:styleId="78">
    <w:name w:val="p0"/>
    <w:basedOn w:val="1"/>
    <w:autoRedefine/>
    <w:qFormat/>
    <w:uiPriority w:val="0"/>
    <w:pPr>
      <w:widowControl/>
    </w:pPr>
    <w:rPr>
      <w:kern w:val="0"/>
      <w:szCs w:val="21"/>
    </w:rPr>
  </w:style>
  <w:style w:type="paragraph" w:customStyle="1" w:styleId="79">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80">
    <w:name w:val="font31"/>
    <w:basedOn w:val="28"/>
    <w:qFormat/>
    <w:uiPriority w:val="0"/>
    <w:rPr>
      <w:rFonts w:hint="eastAsia" w:ascii="宋体" w:hAnsi="宋体" w:eastAsia="宋体" w:cs="宋体"/>
      <w:color w:val="000000"/>
      <w:sz w:val="22"/>
      <w:szCs w:val="22"/>
      <w:u w:val="single"/>
    </w:rPr>
  </w:style>
  <w:style w:type="character" w:customStyle="1" w:styleId="81">
    <w:name w:val="font0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14523</Words>
  <Characters>15338</Characters>
  <Lines>119</Lines>
  <Paragraphs>33</Paragraphs>
  <TotalTime>0</TotalTime>
  <ScaleCrop>false</ScaleCrop>
  <LinksUpToDate>false</LinksUpToDate>
  <CharactersWithSpaces>16017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2024-05-29T09:26:00Z</dcterms:created>
  <dc:creator>yy z</dc:creator>
  <cp:lastModifiedBy> wyb</cp:lastModifiedBy>
  <cp:lastPrinted>2026-05-19T01:02:00Z</cp:lastPrinted>
  <dcterms:modified xsi:type="dcterms:W3CDTF">2026-05-19T02:06:36Z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188DC23D26CE43798A671EE167E68BC7_13</vt:lpwstr>
  </property>
  <property fmtid="{D5CDD505-2E9C-101B-9397-08002B2CF9AE}" pid="4" name="KSOTemplateDocerSaveRecord">
    <vt:lpwstr>eyJoZGlkIjoiZjE4MDNlN2Y2ZjMxODAzNjY1MzNlMzE3OTE1ZTNkMGUiLCJ1c2VySWQiOiIxNzY1OTkyMDk5In0=</vt:lpwstr>
  </property>
</Properties>
</file>