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AC1FF">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询价文件</w:t>
      </w:r>
    </w:p>
    <w:p w14:paraId="3381131A">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吐鲁番开能</w:t>
      </w:r>
      <w:r>
        <w:rPr>
          <w:rFonts w:eastAsia="仿宋_GB2312"/>
          <w:color w:val="auto"/>
          <w:sz w:val="32"/>
          <w:szCs w:val="32"/>
          <w:highlight w:val="none"/>
          <w:u w:val="single"/>
        </w:rPr>
        <w:t>环保能源有限公司</w:t>
      </w:r>
      <w:r>
        <w:rPr>
          <w:rFonts w:hint="eastAsia" w:eastAsia="仿宋_GB2312"/>
          <w:color w:val="auto"/>
          <w:sz w:val="32"/>
          <w:szCs w:val="32"/>
          <w:highlight w:val="none"/>
          <w:u w:val="single"/>
        </w:rPr>
        <w:t>（采购人）</w:t>
      </w:r>
      <w:r>
        <w:rPr>
          <w:rFonts w:hint="eastAsia" w:eastAsia="仿宋_GB2312"/>
          <w:color w:val="auto"/>
          <w:sz w:val="32"/>
          <w:szCs w:val="32"/>
          <w:highlight w:val="none"/>
        </w:rPr>
        <w:t>需采购一家</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煤泥供货</w:t>
      </w:r>
      <w:r>
        <w:rPr>
          <w:rFonts w:eastAsia="仿宋_GB2312"/>
          <w:color w:val="auto"/>
          <w:sz w:val="32"/>
          <w:szCs w:val="32"/>
          <w:highlight w:val="none"/>
          <w:u w:val="single"/>
        </w:rPr>
        <w:t xml:space="preserve">   </w:t>
      </w:r>
      <w:r>
        <w:rPr>
          <w:rFonts w:hint="eastAsia" w:eastAsia="仿宋_GB2312"/>
          <w:color w:val="auto"/>
          <w:sz w:val="32"/>
          <w:szCs w:val="32"/>
          <w:highlight w:val="none"/>
        </w:rPr>
        <w:t>单位，现将相关情况介绍如下：</w:t>
      </w:r>
    </w:p>
    <w:p w14:paraId="79C6A083">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5408BA26">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吐鲁番开能环保能源有限公司202</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u w:val="single"/>
        </w:rPr>
        <w:t>年煤泥采购项目（采购项目编号：TLFKN（202</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u w:val="single"/>
        </w:rPr>
        <w:t>）-HW-</w:t>
      </w:r>
      <w:r>
        <w:rPr>
          <w:rFonts w:hint="eastAsia" w:eastAsia="仿宋_GB2312"/>
          <w:color w:val="auto"/>
          <w:sz w:val="32"/>
          <w:szCs w:val="32"/>
          <w:highlight w:val="none"/>
          <w:u w:val="single"/>
          <w:lang w:val="en-US" w:eastAsia="zh-CN"/>
        </w:rPr>
        <w:t>002</w:t>
      </w:r>
      <w:r>
        <w:rPr>
          <w:rFonts w:hint="eastAsia" w:eastAsia="仿宋_GB2312"/>
          <w:color w:val="auto"/>
          <w:sz w:val="32"/>
          <w:szCs w:val="32"/>
          <w:highlight w:val="none"/>
          <w:u w:val="singl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w:t>
      </w:r>
    </w:p>
    <w:p w14:paraId="6DDA27AE">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2</w:t>
      </w:r>
      <w:r>
        <w:rPr>
          <w:rFonts w:hint="eastAsia" w:eastAsia="仿宋_GB2312"/>
          <w:color w:val="auto"/>
          <w:sz w:val="32"/>
          <w:szCs w:val="32"/>
          <w:highlight w:val="none"/>
        </w:rPr>
        <w:t>、采购范围：</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吐鲁番开能环保能源有限公司煤泥采购项目，数量预计50000吨，项目包含煤泥的供货、运输、起运地装货及采购人项目所在地点卸货等费用；</w:t>
      </w:r>
    </w:p>
    <w:p w14:paraId="65314348">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、项目地点：</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新疆维吾尔族自治区吐鲁番市托克逊县阿乐惠镇圣雄电石厂区内</w:t>
      </w:r>
      <w:r>
        <w:rPr>
          <w:rFonts w:eastAsia="仿宋_GB2312"/>
          <w:color w:val="auto"/>
          <w:sz w:val="32"/>
          <w:szCs w:val="32"/>
          <w:highlight w:val="none"/>
          <w:u w:val="single"/>
        </w:rPr>
        <w:t> </w:t>
      </w:r>
      <w:r>
        <w:rPr>
          <w:rFonts w:hint="eastAsia" w:eastAsia="仿宋_GB2312"/>
          <w:color w:val="auto"/>
          <w:sz w:val="32"/>
          <w:szCs w:val="32"/>
          <w:highlight w:val="none"/>
          <w:u w:val="single"/>
        </w:rPr>
        <w:t>；</w:t>
      </w:r>
    </w:p>
    <w:p w14:paraId="2DEF11C6">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、供货期：</w:t>
      </w:r>
      <w:r>
        <w:rPr>
          <w:rFonts w:eastAsia="仿宋_GB2312"/>
          <w:color w:val="auto"/>
          <w:sz w:val="32"/>
          <w:szCs w:val="32"/>
          <w:highlight w:val="none"/>
          <w:u w:val="single"/>
        </w:rPr>
        <w:t xml:space="preserve"> </w:t>
      </w:r>
      <w:bookmarkStart w:id="0" w:name="OLE_LINK2"/>
      <w:r>
        <w:rPr>
          <w:rFonts w:eastAsia="仿宋_GB2312"/>
          <w:color w:val="auto"/>
          <w:sz w:val="32"/>
          <w:szCs w:val="32"/>
          <w:highlight w:val="none"/>
          <w:u w:val="single"/>
        </w:rPr>
        <w:t xml:space="preserve"> </w:t>
      </w:r>
      <w:r>
        <w:rPr>
          <w:rFonts w:hint="eastAsia" w:eastAsia="仿宋_GB2312"/>
          <w:color w:val="auto"/>
          <w:sz w:val="32"/>
          <w:szCs w:val="32"/>
          <w:highlight w:val="none"/>
          <w:u w:val="single"/>
        </w:rPr>
        <w:t>自合同签订之日起满一年，成交人根据采购人的具体通知分批进行供货，同时成交人需在接到采购人供货通知的要求，</w:t>
      </w:r>
      <w:r>
        <w:rPr>
          <w:rFonts w:hint="eastAsia" w:eastAsia="仿宋_GB2312"/>
          <w:color w:val="auto"/>
          <w:sz w:val="32"/>
          <w:szCs w:val="32"/>
          <w:highlight w:val="none"/>
          <w:u w:val="single"/>
          <w:lang w:eastAsia="zh-CN"/>
        </w:rPr>
        <w:t>按时</w:t>
      </w:r>
      <w:r>
        <w:rPr>
          <w:rFonts w:hint="eastAsia" w:eastAsia="仿宋_GB2312"/>
          <w:color w:val="auto"/>
          <w:sz w:val="32"/>
          <w:szCs w:val="32"/>
          <w:highlight w:val="none"/>
          <w:u w:val="single"/>
        </w:rPr>
        <w:t>足量将货物送达成交人项目现场。实际供货数量及供货批次可具体按照采购人的需求进行调整。</w:t>
      </w:r>
    </w:p>
    <w:bookmarkEnd w:id="0"/>
    <w:p w14:paraId="4789B2F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08A4A0DB">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本采购项目信息在东莞实业投资控股集团有限公司网站-招标采购栏目（</w:t>
      </w:r>
      <w:r>
        <w:rPr>
          <w:rFonts w:eastAsia="仿宋_GB2312"/>
          <w:color w:val="auto"/>
          <w:sz w:val="32"/>
          <w:szCs w:val="32"/>
          <w:highlight w:val="none"/>
        </w:rPr>
        <w:t>http://www.dgsy.com.cn/</w:t>
      </w:r>
      <w:r>
        <w:rPr>
          <w:rFonts w:hint="eastAsia" w:eastAsia="仿宋_GB2312"/>
          <w:color w:val="auto"/>
          <w:sz w:val="32"/>
          <w:szCs w:val="32"/>
          <w:highlight w:val="none"/>
        </w:rPr>
        <w:t>）发布。</w:t>
      </w:r>
    </w:p>
    <w:p w14:paraId="2EBB9839">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6DCB920E">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35AF0AA3">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2、业绩要求：响应人具备</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煤泥供货</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项目经验，要求</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2023</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1</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1</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eastAsia="zh-CN"/>
        </w:rPr>
        <w:t>至</w:t>
      </w:r>
      <w:r>
        <w:rPr>
          <w:rFonts w:hint="eastAsia" w:ascii="仿宋" w:hAnsi="仿宋" w:eastAsia="仿宋"/>
          <w:color w:val="auto"/>
          <w:sz w:val="32"/>
          <w:szCs w:val="32"/>
          <w:highlight w:val="none"/>
        </w:rPr>
        <w:t>采购公告发布之日，完成至少2个</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 xml:space="preserve">  煤泥供货</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业绩。【按合同签订时间为准，须提供合同关键页复印件（包含但不限于合同首页、合同金额页、合同签字页等）、该合同期内任意一期发票复印件，并加盖投标人公章。</w:t>
      </w:r>
    </w:p>
    <w:p w14:paraId="1737EA41">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2、响应人须提供所投产品202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月1日至采购公告发布之日具有检测资质的第三方检测公司出具的检测报告复印件加盖投标人公章(检测报告须：</w:t>
      </w:r>
      <w:bookmarkStart w:id="1" w:name="OLE_LINK3"/>
      <w:r>
        <w:rPr>
          <w:rFonts w:hint="eastAsia" w:ascii="仿宋" w:hAnsi="仿宋" w:eastAsia="仿宋"/>
          <w:color w:val="auto"/>
          <w:sz w:val="32"/>
          <w:szCs w:val="32"/>
          <w:highlight w:val="none"/>
        </w:rPr>
        <w:t>含水分＜15%，低位收到基发热量大于等于2400kcal/kg</w:t>
      </w:r>
      <w:bookmarkEnd w:id="1"/>
      <w:r>
        <w:rPr>
          <w:rFonts w:hint="eastAsia" w:ascii="仿宋" w:hAnsi="仿宋" w:eastAsia="仿宋"/>
          <w:color w:val="auto"/>
          <w:sz w:val="32"/>
          <w:szCs w:val="32"/>
          <w:highlight w:val="none"/>
        </w:rPr>
        <w:t>等指标）。</w:t>
      </w:r>
    </w:p>
    <w:p w14:paraId="57228DB0">
      <w:pPr>
        <w:adjustRightInd w:val="0"/>
        <w:snapToGrid w:val="0"/>
        <w:spacing w:line="4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3、未被列入东实集团及下属企业</w:t>
      </w:r>
      <w:r>
        <w:rPr>
          <w:rFonts w:hint="eastAsia" w:ascii="仿宋" w:hAnsi="仿宋" w:eastAsia="仿宋"/>
          <w:color w:val="auto"/>
          <w:sz w:val="32"/>
          <w:szCs w:val="32"/>
          <w:highlight w:val="none"/>
        </w:rPr>
        <w:t>相关</w:t>
      </w:r>
      <w:r>
        <w:rPr>
          <w:rFonts w:hint="eastAsia" w:eastAsia="仿宋_GB2312"/>
          <w:color w:val="auto"/>
          <w:sz w:val="32"/>
          <w:szCs w:val="32"/>
          <w:highlight w:val="none"/>
        </w:rPr>
        <w:t>领域黑名单。</w:t>
      </w:r>
    </w:p>
    <w:p w14:paraId="63A27D1D">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4、本项目不接受联合体报价。</w:t>
      </w:r>
    </w:p>
    <w:p w14:paraId="6BA6BC1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768BAB07">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具体要求详见本询价文件附件六《技术需求书》</w:t>
      </w:r>
      <w:r>
        <w:rPr>
          <w:rFonts w:hint="eastAsia" w:eastAsia="仿宋_GB2312"/>
          <w:color w:val="auto"/>
          <w:sz w:val="32"/>
          <w:szCs w:val="32"/>
          <w:highlight w:val="none"/>
        </w:rPr>
        <w:t>。响应人须仔细阅读本技术需求书，因未详细了解本技术需求书造成报价项目遗漏，由响应人自行负责。</w:t>
      </w:r>
    </w:p>
    <w:p w14:paraId="672D2D8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53ECC48B">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供货期及相关要求：自合同签订之日起满一年，成交人根据采购人的具体通知分批进行供货，同时成交人需在接到采购人供货通知的要求，</w:t>
      </w:r>
      <w:r>
        <w:rPr>
          <w:rFonts w:hint="eastAsia" w:eastAsia="仿宋_GB2312"/>
          <w:color w:val="auto"/>
          <w:sz w:val="32"/>
          <w:szCs w:val="32"/>
          <w:highlight w:val="none"/>
          <w:u w:val="single"/>
          <w:lang w:eastAsia="zh-CN"/>
        </w:rPr>
        <w:t>按时</w:t>
      </w:r>
      <w:r>
        <w:rPr>
          <w:rFonts w:hint="eastAsia" w:eastAsia="仿宋_GB2312"/>
          <w:color w:val="auto"/>
          <w:sz w:val="32"/>
          <w:szCs w:val="32"/>
          <w:highlight w:val="none"/>
          <w:u w:val="single"/>
        </w:rPr>
        <w:t>足量将货物送达成交人项目现场。实际供货数量及供货批次可具体按照采购人的需求进行调整。</w:t>
      </w:r>
    </w:p>
    <w:p w14:paraId="66B5B615">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 xml:space="preserve">六、支付方式 </w:t>
      </w:r>
    </w:p>
    <w:p w14:paraId="64173D16">
      <w:pPr>
        <w:adjustRightInd w:val="0"/>
        <w:snapToGrid w:val="0"/>
        <w:spacing w:line="600" w:lineRule="exact"/>
        <w:ind w:firstLine="640" w:firstLineChars="200"/>
        <w:outlineLvl w:val="1"/>
        <w:rPr>
          <w:rFonts w:eastAsia="仿宋_GB2312"/>
          <w:color w:val="auto"/>
          <w:sz w:val="32"/>
          <w:szCs w:val="32"/>
          <w:highlight w:val="none"/>
          <w:u w:val="single"/>
        </w:rPr>
      </w:pPr>
      <w:r>
        <w:rPr>
          <w:rFonts w:hint="eastAsia" w:eastAsia="仿宋_GB2312"/>
          <w:color w:val="auto"/>
          <w:sz w:val="32"/>
          <w:szCs w:val="32"/>
          <w:highlight w:val="none"/>
          <w:u w:val="single"/>
        </w:rPr>
        <w:t xml:space="preserve"> 在合同供货期内，成交人每次供货完成并经采购人验收合格后的一个月内以电汇/转账/银行承兑汇票等方式支付对应款项。每次结算付款金额按照固定综合单价×实际供货数量进行确定。</w:t>
      </w:r>
    </w:p>
    <w:p w14:paraId="6A8F5FB0">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1956D5F5">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1、采购限价：含税暂定总价限价</w:t>
      </w:r>
      <w:r>
        <w:rPr>
          <w:rFonts w:eastAsia="仿宋_GB2312"/>
          <w:color w:val="auto"/>
          <w:sz w:val="32"/>
          <w:szCs w:val="32"/>
          <w:highlight w:val="non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人民币1800000元整（大写：壹佰捌拾万元整）</w:t>
      </w:r>
      <w:r>
        <w:rPr>
          <w:rFonts w:hint="eastAsia" w:eastAsia="仿宋_GB2312"/>
          <w:color w:val="auto"/>
          <w:sz w:val="32"/>
          <w:szCs w:val="32"/>
          <w:highlight w:val="none"/>
        </w:rPr>
        <w:t>；含税固定单价限价：</w:t>
      </w:r>
      <w:r>
        <w:rPr>
          <w:rFonts w:eastAsia="仿宋_GB2312"/>
          <w:color w:val="auto"/>
          <w:sz w:val="32"/>
          <w:szCs w:val="32"/>
          <w:highlight w:val="non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人民币36元/吨。响应人的综合单价及暂定总价高于单价最高限价的，该响应人的报价文件将被视为无效响应。</w:t>
      </w:r>
    </w:p>
    <w:p w14:paraId="335AC483">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2、本项目发包方式为固定综合单价，暂定总价的模式。响应人已充分考虑了本项目采购内容及要求描述工作量可能与最终实际工作量存在差距的风险。</w:t>
      </w:r>
    </w:p>
    <w:p w14:paraId="3C31AB62">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5888A79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本次项目采用询价方式进行采购，询价小组对各供应商响应文件进行审核，并根据质量和服务均能满足采购文件实质性响应要求且不含税报价最低的原则，推荐成交候选供应商。</w:t>
      </w:r>
    </w:p>
    <w:p w14:paraId="0D932A2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询价结束后，招标采购工作小组将相关询价情况按程序审批并确定成交人。</w:t>
      </w:r>
    </w:p>
    <w:p w14:paraId="61C4ADCC">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514C5B93">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合同签订的依据为附件七合同模板询价函、响应文件及补充说明等。确定成交单位后，成交单位在</w:t>
      </w:r>
      <w:r>
        <w:rPr>
          <w:rFonts w:eastAsia="仿宋_GB2312"/>
          <w:color w:val="auto"/>
          <w:sz w:val="32"/>
          <w:szCs w:val="32"/>
          <w:highlight w:val="none"/>
          <w:u w:val="single"/>
        </w:rPr>
        <w:t>10</w:t>
      </w:r>
      <w:r>
        <w:rPr>
          <w:rFonts w:hint="eastAsia" w:eastAsia="仿宋_GB2312"/>
          <w:color w:val="auto"/>
          <w:sz w:val="32"/>
          <w:szCs w:val="32"/>
          <w:highlight w:val="none"/>
        </w:rPr>
        <w:t>天内与采购人签订合同。</w:t>
      </w:r>
    </w:p>
    <w:p w14:paraId="796208E4">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40FC01A6">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1ED809A9">
      <w:pPr>
        <w:numPr>
          <w:ilvl w:val="0"/>
          <w:numId w:val="3"/>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报价函（模板）及报价清单；</w:t>
      </w:r>
    </w:p>
    <w:p w14:paraId="60F74F64">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、法定代表人身份证明（模板）以及法定代表人身份证复印件；</w:t>
      </w:r>
    </w:p>
    <w:p w14:paraId="0AAD959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405132D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0617A87D">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、符合“响应人资格要求”对应的证明资料；</w:t>
      </w:r>
    </w:p>
    <w:p w14:paraId="54A78319">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rPr>
        <w:t>6、响应人认为需要提供的其他资料。</w:t>
      </w:r>
    </w:p>
    <w:p w14:paraId="395D3F0F">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4948E848">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0D03F717">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正本一份副本一份，并提供响应文件扫描件电子版（U盘）。</w:t>
      </w:r>
    </w:p>
    <w:p w14:paraId="6C2AD42A">
      <w:pPr>
        <w:adjustRightInd w:val="0"/>
        <w:snapToGrid w:val="0"/>
        <w:spacing w:line="600" w:lineRule="exact"/>
        <w:ind w:firstLine="640" w:firstLineChars="200"/>
        <w:outlineLvl w:val="1"/>
        <w:rPr>
          <w:rFonts w:eastAsia="仿宋_GB2312"/>
          <w:b/>
          <w:bCs/>
          <w:color w:val="auto"/>
          <w:sz w:val="32"/>
          <w:szCs w:val="32"/>
          <w:highlight w:val="none"/>
        </w:rPr>
      </w:pPr>
      <w:r>
        <w:rPr>
          <w:rFonts w:hint="eastAsia" w:ascii="黑体" w:hAnsi="黑体" w:eastAsia="黑体" w:cs="黑体"/>
          <w:color w:val="auto"/>
          <w:sz w:val="32"/>
          <w:szCs w:val="32"/>
          <w:highlight w:val="none"/>
        </w:rPr>
        <w:t>十二、保证金金额及缴纳方式</w:t>
      </w:r>
    </w:p>
    <w:p w14:paraId="421A52E8">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1、开标前，响应人应在项目开标前缴纳人民币</w:t>
      </w:r>
      <w:r>
        <w:rPr>
          <w:rFonts w:hint="eastAsia" w:eastAsia="仿宋_GB2312"/>
          <w:color w:val="auto"/>
          <w:sz w:val="32"/>
          <w:szCs w:val="32"/>
          <w:highlight w:val="none"/>
          <w:u w:val="single"/>
          <w:lang w:val="en-US" w:eastAsia="zh-CN"/>
        </w:rPr>
        <w:t>叁万陆仟元</w:t>
      </w:r>
      <w:r>
        <w:rPr>
          <w:rFonts w:hint="eastAsia" w:eastAsia="仿宋_GB2312"/>
          <w:color w:val="auto"/>
          <w:sz w:val="32"/>
          <w:szCs w:val="32"/>
          <w:highlight w:val="none"/>
          <w:u w:val="single"/>
        </w:rPr>
        <w:t>整（小写￥</w:t>
      </w:r>
      <w:r>
        <w:rPr>
          <w:rFonts w:hint="eastAsia" w:eastAsia="仿宋_GB2312"/>
          <w:color w:val="auto"/>
          <w:sz w:val="32"/>
          <w:szCs w:val="32"/>
          <w:highlight w:val="none"/>
          <w:u w:val="single"/>
          <w:lang w:val="en-US" w:eastAsia="zh-CN"/>
        </w:rPr>
        <w:t>36000.00</w:t>
      </w:r>
      <w:r>
        <w:rPr>
          <w:rFonts w:hint="eastAsia" w:eastAsia="仿宋_GB2312"/>
          <w:color w:val="auto"/>
          <w:sz w:val="32"/>
          <w:szCs w:val="32"/>
          <w:highlight w:val="none"/>
          <w:u w:val="single"/>
        </w:rPr>
        <w:t>元）至以下报价保证金专用账户（响应人与交款人名称必须一致，不接受个人名义转账）作为项目投标保证金。成交单位的投标保证金不退还，待双方签订合同后，转为履约保证金。未中标单位的保证金在项目中标确定后的10个工作日内无息退还。</w:t>
      </w:r>
    </w:p>
    <w:p w14:paraId="06EB6DAB">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报价保证金收款账户信息：</w:t>
      </w:r>
    </w:p>
    <w:p w14:paraId="10DAF55E">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帐户名称：吐鲁番开能环保能源有限公司</w:t>
      </w:r>
    </w:p>
    <w:p w14:paraId="3B03CC20">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 xml:space="preserve">开户银行：中国工商银行股份有限公司托克逊支行    </w:t>
      </w:r>
    </w:p>
    <w:p w14:paraId="1BBAAB36">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银行帐号：</w:t>
      </w:r>
      <w:r>
        <w:rPr>
          <w:rFonts w:eastAsia="仿宋_GB2312"/>
          <w:color w:val="auto"/>
          <w:sz w:val="32"/>
          <w:szCs w:val="32"/>
          <w:highlight w:val="none"/>
          <w:u w:val="single"/>
        </w:rPr>
        <w:t>3005</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2931</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0920</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0127</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655</w:t>
      </w:r>
    </w:p>
    <w:p w14:paraId="63470A4F">
      <w:pPr>
        <w:spacing w:line="600" w:lineRule="exact"/>
        <w:ind w:firstLine="640" w:firstLineChars="200"/>
        <w:rPr>
          <w:color w:val="auto"/>
          <w:highlight w:val="none"/>
        </w:rPr>
      </w:pPr>
      <w:r>
        <w:rPr>
          <w:rFonts w:hint="eastAsia" w:eastAsia="仿宋_GB2312"/>
          <w:color w:val="auto"/>
          <w:sz w:val="32"/>
          <w:szCs w:val="32"/>
          <w:highlight w:val="none"/>
          <w:u w:val="single"/>
        </w:rPr>
        <w:t>2、成交单位的报价保证金在本项目合同签订后自动转为履约保证金，作为成交单位在履约过程中违约金或罚款的扣罚来源之一，履约保证金申请返还时间为采购人完成合同履约后，成交单位没有任何违约的情况下由成交单位提交退款申请，收到成交单位申请后30个日历日内，采购人一次性无息退回。</w:t>
      </w:r>
    </w:p>
    <w:p w14:paraId="376374C8">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十三、开标时间及地址</w:t>
      </w:r>
    </w:p>
    <w:p w14:paraId="7D83EEB3">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、接收响应文件截止及开标时间：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w:t>
      </w:r>
      <w:r>
        <w:rPr>
          <w:rFonts w:hint="eastAsia" w:eastAsia="仿宋_GB2312"/>
          <w:b/>
          <w:color w:val="auto"/>
          <w:sz w:val="32"/>
          <w:szCs w:val="32"/>
          <w:highlight w:val="none"/>
          <w:u w:val="single"/>
          <w:lang w:val="en-US" w:eastAsia="zh-CN"/>
        </w:rPr>
        <w:t>6</w:t>
      </w:r>
      <w:r>
        <w:rPr>
          <w:rFonts w:eastAsia="仿宋_GB2312"/>
          <w:b/>
          <w:color w:val="auto"/>
          <w:sz w:val="32"/>
          <w:szCs w:val="32"/>
          <w:highlight w:val="none"/>
          <w:u w:val="single"/>
        </w:rPr>
        <w:t xml:space="preserve"> </w:t>
      </w:r>
      <w:r>
        <w:rPr>
          <w:rFonts w:hint="eastAsia" w:eastAsia="仿宋_GB2312"/>
          <w:b/>
          <w:color w:val="auto"/>
          <w:sz w:val="32"/>
          <w:szCs w:val="32"/>
          <w:highlight w:val="none"/>
        </w:rPr>
        <w:t>年</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lang w:val="en-US" w:eastAsia="zh-CN"/>
        </w:rPr>
        <w:t>5</w:t>
      </w:r>
      <w:r>
        <w:rPr>
          <w:rFonts w:eastAsia="仿宋_GB2312"/>
          <w:b/>
          <w:color w:val="auto"/>
          <w:sz w:val="32"/>
          <w:szCs w:val="32"/>
          <w:highlight w:val="none"/>
          <w:u w:val="single"/>
        </w:rPr>
        <w:t xml:space="preserve">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13</w:t>
      </w:r>
      <w:r>
        <w:rPr>
          <w:rFonts w:eastAsia="仿宋_GB2312"/>
          <w:b/>
          <w:color w:val="auto"/>
          <w:sz w:val="32"/>
          <w:szCs w:val="32"/>
          <w:highlight w:val="none"/>
          <w:u w:val="single"/>
        </w:rPr>
        <w:t xml:space="preserve"> </w:t>
      </w:r>
      <w:r>
        <w:rPr>
          <w:rFonts w:hint="eastAsia" w:eastAsia="仿宋_GB2312"/>
          <w:b/>
          <w:color w:val="auto"/>
          <w:sz w:val="32"/>
          <w:szCs w:val="32"/>
          <w:highlight w:val="none"/>
        </w:rPr>
        <w:t>日（星期</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lang w:eastAsia="zh-CN"/>
        </w:rPr>
        <w:t>三</w:t>
      </w:r>
      <w:r>
        <w:rPr>
          <w:rFonts w:hint="eastAsia" w:eastAsia="仿宋_GB2312"/>
          <w:b/>
          <w:color w:val="auto"/>
          <w:sz w:val="32"/>
          <w:szCs w:val="32"/>
          <w:highlight w:val="none"/>
        </w:rPr>
        <w:t>）下午</w:t>
      </w:r>
      <w:r>
        <w:rPr>
          <w:rFonts w:hint="eastAsia" w:eastAsia="仿宋_GB2312"/>
          <w:b/>
          <w:color w:val="auto"/>
          <w:sz w:val="32"/>
          <w:szCs w:val="32"/>
          <w:highlight w:val="none"/>
          <w:u w:val="single"/>
          <w:lang w:val="en-US" w:eastAsia="zh-CN"/>
        </w:rPr>
        <w:t>16:00</w:t>
      </w:r>
      <w:r>
        <w:rPr>
          <w:rFonts w:hint="eastAsia" w:eastAsia="仿宋_GB2312"/>
          <w:b/>
          <w:color w:val="auto"/>
          <w:sz w:val="32"/>
          <w:szCs w:val="32"/>
          <w:highlight w:val="none"/>
        </w:rPr>
        <w:t>。</w:t>
      </w:r>
    </w:p>
    <w:p w14:paraId="49694542">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、本项目原则上需要现场递交报价文件，如报价人因自身原因无法到现场开标，可选择邮寄递交报价文件。</w:t>
      </w:r>
    </w:p>
    <w:p w14:paraId="6692D51C">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（1）现场递交报价文件</w:t>
      </w:r>
    </w:p>
    <w:p w14:paraId="2A066EBC">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报价人须委派法定代表人或授权委托人按时到开标地址提交报价文件并参加开标会议，开标时间后到达的拒收报价文件。</w:t>
      </w:r>
    </w:p>
    <w:p w14:paraId="53D2FAC9">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报价人现场递交报价文件地址：</w:t>
      </w:r>
      <w:bookmarkStart w:id="2" w:name="_Hlk205801102"/>
      <w:r>
        <w:rPr>
          <w:rFonts w:hint="eastAsia" w:eastAsia="仿宋_GB2312"/>
          <w:b/>
          <w:color w:val="auto"/>
          <w:sz w:val="32"/>
          <w:szCs w:val="32"/>
          <w:highlight w:val="none"/>
          <w:u w:val="single"/>
        </w:rPr>
        <w:t>新疆维吾尔自治区吐鲁番市托克逊县阿乐惠镇吐鲁番开能</w:t>
      </w:r>
      <w:bookmarkEnd w:id="2"/>
      <w:r>
        <w:rPr>
          <w:rFonts w:hint="eastAsia" w:eastAsia="仿宋_GB2312"/>
          <w:b/>
          <w:color w:val="auto"/>
          <w:sz w:val="32"/>
          <w:szCs w:val="32"/>
          <w:highlight w:val="none"/>
          <w:u w:val="single"/>
        </w:rPr>
        <w:t>一楼会议室</w:t>
      </w:r>
      <w:r>
        <w:rPr>
          <w:rFonts w:hint="eastAsia" w:eastAsia="仿宋_GB2312"/>
          <w:bCs/>
          <w:color w:val="auto"/>
          <w:sz w:val="32"/>
          <w:szCs w:val="32"/>
          <w:highlight w:val="none"/>
        </w:rPr>
        <w:t>，逾期无效。</w:t>
      </w:r>
    </w:p>
    <w:p w14:paraId="5FEBDEB7">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（2）邮寄递交报价文件</w:t>
      </w:r>
    </w:p>
    <w:p w14:paraId="76CBE952">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w:t>
      </w:r>
    </w:p>
    <w:p w14:paraId="07C2DCA3">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邮寄递交报价收件信息：</w:t>
      </w:r>
    </w:p>
    <w:p w14:paraId="3181349F">
      <w:pPr>
        <w:spacing w:line="600" w:lineRule="exact"/>
        <w:ind w:firstLine="640" w:firstLineChars="200"/>
        <w:rPr>
          <w:rFonts w:hint="eastAsia" w:eastAsia="仿宋_GB2312"/>
          <w:bCs/>
          <w:color w:val="auto"/>
          <w:sz w:val="32"/>
          <w:szCs w:val="32"/>
          <w:highlight w:val="none"/>
          <w:lang w:eastAsia="zh-CN"/>
        </w:rPr>
      </w:pPr>
      <w:r>
        <w:rPr>
          <w:rFonts w:hint="eastAsia" w:eastAsia="仿宋_GB2312"/>
          <w:bCs/>
          <w:color w:val="auto"/>
          <w:sz w:val="32"/>
          <w:szCs w:val="32"/>
          <w:highlight w:val="none"/>
        </w:rPr>
        <w:t>收件地址：</w:t>
      </w:r>
      <w:r>
        <w:rPr>
          <w:rFonts w:hint="eastAsia" w:eastAsia="仿宋_GB2312"/>
          <w:b/>
          <w:bCs w:val="0"/>
          <w:color w:val="auto"/>
          <w:sz w:val="32"/>
          <w:szCs w:val="32"/>
          <w:highlight w:val="none"/>
        </w:rPr>
        <w:t>新疆吐鲁番托克逊县阿乐惠镇圣雄工业园区电石厂区外101室吐鲁番开能环保能源有限公司会议室</w:t>
      </w:r>
      <w:r>
        <w:rPr>
          <w:rFonts w:hint="eastAsia" w:eastAsia="仿宋_GB2312"/>
          <w:bCs/>
          <w:color w:val="auto"/>
          <w:sz w:val="32"/>
          <w:szCs w:val="32"/>
          <w:highlight w:val="none"/>
          <w:lang w:eastAsia="zh-CN"/>
        </w:rPr>
        <w:t>。</w:t>
      </w:r>
    </w:p>
    <w:p w14:paraId="147820D6">
      <w:pPr>
        <w:spacing w:line="600" w:lineRule="exact"/>
        <w:ind w:firstLine="640" w:firstLineChars="200"/>
        <w:rPr>
          <w:rFonts w:eastAsia="仿宋_GB2312"/>
          <w:bCs/>
          <w:color w:val="auto"/>
          <w:sz w:val="32"/>
          <w:szCs w:val="32"/>
          <w:highlight w:val="none"/>
        </w:rPr>
      </w:pPr>
      <w:r>
        <w:rPr>
          <w:rFonts w:hint="eastAsia" w:eastAsia="仿宋_GB2312"/>
          <w:bCs/>
          <w:color w:val="auto"/>
          <w:sz w:val="32"/>
          <w:szCs w:val="32"/>
          <w:highlight w:val="none"/>
        </w:rPr>
        <w:t>联系人：吕先生</w:t>
      </w:r>
    </w:p>
    <w:p w14:paraId="5F9068AA">
      <w:pPr>
        <w:spacing w:line="600" w:lineRule="exact"/>
        <w:ind w:firstLine="640" w:firstLineChars="200"/>
        <w:rPr>
          <w:rFonts w:eastAsia="仿宋_GB2312"/>
          <w:b/>
          <w:color w:val="auto"/>
          <w:sz w:val="32"/>
          <w:szCs w:val="32"/>
          <w:highlight w:val="none"/>
        </w:rPr>
      </w:pPr>
      <w:r>
        <w:rPr>
          <w:rFonts w:hint="eastAsia" w:eastAsia="仿宋_GB2312"/>
          <w:bCs/>
          <w:color w:val="auto"/>
          <w:sz w:val="32"/>
          <w:szCs w:val="32"/>
          <w:highlight w:val="none"/>
        </w:rPr>
        <w:t>联系电话：15692019575</w:t>
      </w:r>
    </w:p>
    <w:p w14:paraId="420C2111">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十四、注意事项</w:t>
      </w:r>
    </w:p>
    <w:p w14:paraId="665D64D0">
      <w:pPr>
        <w:spacing w:line="600" w:lineRule="exact"/>
        <w:ind w:firstLine="640" w:firstLineChars="200"/>
        <w:rPr>
          <w:rFonts w:eastAsia="仿宋_GB2312"/>
          <w:color w:val="auto"/>
          <w:sz w:val="32"/>
          <w:szCs w:val="32"/>
          <w:highlight w:val="none"/>
        </w:rPr>
      </w:pPr>
      <w:bookmarkStart w:id="3"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27F15F06">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71D72C6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3"/>
    </w:p>
    <w:p w14:paraId="66CECF8B">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26FCF1D2">
      <w:pPr>
        <w:pStyle w:val="19"/>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rPr>
        <w:t>本项目仅可提交一个报价方案，提交两个或以上报价方案的响应人视为无效报价。</w:t>
      </w:r>
    </w:p>
    <w:p w14:paraId="50D5D576">
      <w:pPr>
        <w:pStyle w:val="19"/>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6、本项目不接受响应人其他附加条件。</w:t>
      </w:r>
    </w:p>
    <w:p w14:paraId="366AF758">
      <w:pPr>
        <w:pStyle w:val="19"/>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7、有下列情形之一的，报价保证金将被没收，并纳入采购人供应商黑名单：</w:t>
      </w:r>
    </w:p>
    <w:p w14:paraId="409FBEE4">
      <w:pPr>
        <w:pStyle w:val="19"/>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（1）中标后无正当理由放弃中标或不与采购人签订合同。</w:t>
      </w:r>
    </w:p>
    <w:p w14:paraId="4B6AF516">
      <w:pPr>
        <w:pStyle w:val="19"/>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（2）成交人将本项目转让给他人，或者在报价文件中未说明，且未经采购人同意，将中标项目分包给他人，采购人可没收其报价保证金。</w:t>
      </w:r>
    </w:p>
    <w:p w14:paraId="61493909">
      <w:pPr>
        <w:widowControl/>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511E0BA0">
      <w:pPr>
        <w:widowControl/>
        <w:spacing w:line="600" w:lineRule="exact"/>
        <w:jc w:val="left"/>
        <w:rPr>
          <w:rFonts w:eastAsia="仿宋_GB2312"/>
          <w:color w:val="auto"/>
          <w:sz w:val="32"/>
          <w:szCs w:val="32"/>
          <w:highlight w:val="none"/>
        </w:rPr>
      </w:pPr>
    </w:p>
    <w:p w14:paraId="08B0CE8C">
      <w:pPr>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rPr>
        <w:t xml:space="preserve">   </w:t>
      </w:r>
      <w:r>
        <w:rPr>
          <w:rFonts w:hint="eastAsia" w:eastAsia="仿宋_GB2312"/>
          <w:color w:val="auto"/>
          <w:sz w:val="32"/>
          <w:szCs w:val="32"/>
          <w:highlight w:val="none"/>
        </w:rPr>
        <w:t>吐鲁番开能环保能源有限公司</w:t>
      </w:r>
    </w:p>
    <w:p w14:paraId="01F08709">
      <w:pPr>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u w:val="single"/>
        </w:rPr>
        <w:t>20</w:t>
      </w:r>
      <w:r>
        <w:rPr>
          <w:rFonts w:hint="eastAsia" w:eastAsia="仿宋_GB2312"/>
          <w:color w:val="auto"/>
          <w:sz w:val="32"/>
          <w:szCs w:val="32"/>
          <w:highlight w:val="none"/>
          <w:u w:val="single"/>
        </w:rPr>
        <w:t>2</w:t>
      </w:r>
      <w:r>
        <w:rPr>
          <w:rFonts w:hint="eastAsia" w:eastAsia="仿宋_GB2312"/>
          <w:color w:val="auto"/>
          <w:sz w:val="32"/>
          <w:szCs w:val="32"/>
          <w:highlight w:val="none"/>
          <w:u w:val="single"/>
          <w:lang w:val="en-US" w:eastAsia="zh-CN"/>
        </w:rPr>
        <w:t>6</w:t>
      </w:r>
      <w:r>
        <w:rPr>
          <w:rFonts w:eastAsia="仿宋_GB2312"/>
          <w:color w:val="auto"/>
          <w:sz w:val="32"/>
          <w:szCs w:val="32"/>
          <w:highlight w:val="none"/>
          <w:u w:val="single"/>
        </w:rPr>
        <w:t xml:space="preserve">  </w:t>
      </w:r>
      <w:r>
        <w:rPr>
          <w:rFonts w:hint="eastAsia" w:eastAsia="仿宋_GB2312"/>
          <w:color w:val="auto"/>
          <w:sz w:val="32"/>
          <w:szCs w:val="32"/>
          <w:highlight w:val="none"/>
        </w:rPr>
        <w:t>年</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5</w:t>
      </w:r>
      <w:r>
        <w:rPr>
          <w:rFonts w:eastAsia="仿宋_GB2312"/>
          <w:color w:val="auto"/>
          <w:sz w:val="32"/>
          <w:szCs w:val="32"/>
          <w:highlight w:val="none"/>
          <w:u w:val="single"/>
        </w:rPr>
        <w:t xml:space="preserve">  </w:t>
      </w:r>
      <w:r>
        <w:rPr>
          <w:rFonts w:hint="eastAsia" w:eastAsia="仿宋_GB2312"/>
          <w:color w:val="auto"/>
          <w:sz w:val="32"/>
          <w:szCs w:val="32"/>
          <w:highlight w:val="none"/>
        </w:rPr>
        <w:t>月</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6 </w:t>
      </w:r>
      <w:bookmarkStart w:id="21" w:name="_GoBack"/>
      <w:bookmarkEnd w:id="21"/>
      <w:r>
        <w:rPr>
          <w:rFonts w:hint="eastAsia" w:eastAsia="仿宋_GB2312"/>
          <w:color w:val="auto"/>
          <w:sz w:val="32"/>
          <w:szCs w:val="32"/>
          <w:highlight w:val="none"/>
        </w:rPr>
        <w:t>日</w:t>
      </w:r>
    </w:p>
    <w:p w14:paraId="03792443">
      <w:pPr>
        <w:widowControl/>
        <w:spacing w:line="600" w:lineRule="exact"/>
        <w:ind w:firstLine="640" w:firstLineChars="200"/>
        <w:jc w:val="left"/>
        <w:rPr>
          <w:rFonts w:eastAsia="仿宋_GB2312"/>
          <w:color w:val="auto"/>
          <w:sz w:val="32"/>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5970D676">
      <w:pPr>
        <w:pStyle w:val="42"/>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附件一 响应须知</w:t>
      </w:r>
    </w:p>
    <w:p w14:paraId="58E05F92">
      <w:pPr>
        <w:jc w:val="center"/>
        <w:rPr>
          <w:rFonts w:eastAsia="华文中宋"/>
          <w:color w:val="auto"/>
          <w:sz w:val="44"/>
          <w:szCs w:val="44"/>
          <w:highlight w:val="none"/>
        </w:rPr>
      </w:pPr>
      <w:r>
        <w:rPr>
          <w:rFonts w:hint="eastAsia" w:eastAsia="华文中宋"/>
          <w:color w:val="000000" w:themeColor="text1"/>
          <w:sz w:val="44"/>
          <w:szCs w:val="44"/>
          <w:highlight w:val="none"/>
          <w14:textFill>
            <w14:solidFill>
              <w14:schemeClr w14:val="tx1"/>
            </w14:solidFill>
          </w14:textFill>
        </w:rPr>
        <w:t>响</w:t>
      </w:r>
      <w:r>
        <w:rPr>
          <w:rFonts w:hint="eastAsia" w:eastAsia="华文中宋"/>
          <w:color w:val="auto"/>
          <w:sz w:val="44"/>
          <w:szCs w:val="44"/>
          <w:highlight w:val="none"/>
        </w:rPr>
        <w:t>应须知</w:t>
      </w:r>
    </w:p>
    <w:tbl>
      <w:tblPr>
        <w:tblStyle w:val="22"/>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5B8770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2BF587B">
            <w:pPr>
              <w:pStyle w:val="10"/>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71B2247F">
            <w:pPr>
              <w:pStyle w:val="10"/>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5A2F16B8">
            <w:pPr>
              <w:pStyle w:val="10"/>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17F85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060261">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5F96421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14:paraId="22725A2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吐鲁番开能环保能源有限公司202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年煤泥采购项目</w:t>
            </w:r>
          </w:p>
        </w:tc>
      </w:tr>
      <w:tr w14:paraId="4EF12E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DD89B0D">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69C1008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14:paraId="2C3D83AC">
            <w:pPr>
              <w:spacing w:line="360" w:lineRule="auto"/>
              <w:rPr>
                <w:rFonts w:eastAsia="仿宋_GB2312"/>
                <w:color w:val="auto"/>
                <w:sz w:val="32"/>
                <w:szCs w:val="32"/>
                <w:highlight w:val="none"/>
              </w:rPr>
            </w:pPr>
            <w:r>
              <w:rPr>
                <w:rFonts w:hint="eastAsia" w:eastAsia="仿宋_GB2312"/>
                <w:color w:val="auto"/>
                <w:sz w:val="32"/>
                <w:szCs w:val="32"/>
                <w:highlight w:val="none"/>
              </w:rPr>
              <w:t>新疆维吾尔族自治区吐鲁番市托克逊县阿乐惠镇圣雄电石厂区内 </w:t>
            </w:r>
          </w:p>
        </w:tc>
      </w:tr>
      <w:tr w14:paraId="67A0C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58E2C38">
            <w:pPr>
              <w:spacing w:line="360" w:lineRule="auto"/>
              <w:jc w:val="center"/>
              <w:rPr>
                <w:rFonts w:eastAsia="仿宋_GB2312"/>
                <w:color w:val="auto"/>
                <w:sz w:val="32"/>
                <w:szCs w:val="32"/>
                <w:highlight w:val="none"/>
              </w:rPr>
            </w:pPr>
            <w:r>
              <w:rPr>
                <w:rFonts w:hint="eastAsia" w:eastAsia="仿宋_GB2312"/>
                <w:color w:val="auto"/>
                <w:sz w:val="32"/>
                <w:szCs w:val="32"/>
                <w:highlight w:val="none"/>
              </w:rPr>
              <w:t>2</w:t>
            </w:r>
          </w:p>
        </w:tc>
        <w:tc>
          <w:tcPr>
            <w:tcW w:w="2275" w:type="dxa"/>
            <w:vAlign w:val="center"/>
          </w:tcPr>
          <w:p w14:paraId="0A430B0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货期要求</w:t>
            </w:r>
          </w:p>
        </w:tc>
        <w:tc>
          <w:tcPr>
            <w:tcW w:w="5942" w:type="dxa"/>
            <w:vAlign w:val="center"/>
          </w:tcPr>
          <w:p w14:paraId="490BE018">
            <w:pPr>
              <w:spacing w:line="500" w:lineRule="exact"/>
              <w:jc w:val="left"/>
              <w:rPr>
                <w:rFonts w:eastAsia="仿宋_GB2312"/>
                <w:color w:val="auto"/>
                <w:sz w:val="32"/>
                <w:szCs w:val="32"/>
                <w:highlight w:val="none"/>
              </w:rPr>
            </w:pPr>
            <w:r>
              <w:rPr>
                <w:rFonts w:hint="eastAsia" w:eastAsia="仿宋_GB2312"/>
                <w:color w:val="auto"/>
                <w:sz w:val="32"/>
                <w:szCs w:val="32"/>
                <w:highlight w:val="none"/>
              </w:rPr>
              <w:t>自合同签订之日起满一年，成交人根据采购人的具体通知分批进行供货，同时成交人需在接到采购人供货通知的要求，每日足量将货物送达成交人项目现场。实际供货数量及供货批次可具体按照采购人的需求进行调整。</w:t>
            </w:r>
          </w:p>
        </w:tc>
      </w:tr>
      <w:tr w14:paraId="1018C5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D2E06FB">
            <w:pPr>
              <w:spacing w:line="360" w:lineRule="auto"/>
              <w:jc w:val="center"/>
              <w:rPr>
                <w:rFonts w:eastAsia="仿宋_GB2312"/>
                <w:color w:val="auto"/>
                <w:sz w:val="32"/>
                <w:szCs w:val="32"/>
                <w:highlight w:val="none"/>
              </w:rPr>
            </w:pPr>
            <w:r>
              <w:rPr>
                <w:rFonts w:hint="eastAsia" w:eastAsia="仿宋_GB2312"/>
                <w:color w:val="auto"/>
                <w:sz w:val="32"/>
                <w:szCs w:val="32"/>
                <w:highlight w:val="none"/>
              </w:rPr>
              <w:t>3</w:t>
            </w:r>
          </w:p>
        </w:tc>
        <w:tc>
          <w:tcPr>
            <w:tcW w:w="2275" w:type="dxa"/>
            <w:vAlign w:val="center"/>
          </w:tcPr>
          <w:p w14:paraId="09CE8CF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14:paraId="5402F25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无</w:t>
            </w:r>
          </w:p>
        </w:tc>
      </w:tr>
      <w:tr w14:paraId="45649C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16493A2">
            <w:pPr>
              <w:spacing w:line="360" w:lineRule="auto"/>
              <w:jc w:val="center"/>
              <w:rPr>
                <w:rFonts w:eastAsia="仿宋_GB2312"/>
                <w:color w:val="auto"/>
                <w:sz w:val="32"/>
                <w:szCs w:val="32"/>
                <w:highlight w:val="none"/>
              </w:rPr>
            </w:pPr>
            <w:r>
              <w:rPr>
                <w:rFonts w:hint="eastAsia" w:eastAsia="仿宋_GB2312"/>
                <w:color w:val="auto"/>
                <w:sz w:val="32"/>
                <w:szCs w:val="32"/>
                <w:highlight w:val="none"/>
              </w:rPr>
              <w:t>4</w:t>
            </w:r>
          </w:p>
        </w:tc>
        <w:tc>
          <w:tcPr>
            <w:tcW w:w="2275" w:type="dxa"/>
          </w:tcPr>
          <w:p w14:paraId="2A806526">
            <w:pPr>
              <w:spacing w:line="360" w:lineRule="auto"/>
              <w:jc w:val="center"/>
              <w:rPr>
                <w:rFonts w:eastAsia="仿宋_GB2312"/>
                <w:color w:val="auto"/>
                <w:sz w:val="32"/>
                <w:szCs w:val="32"/>
                <w:highlight w:val="none"/>
              </w:rPr>
            </w:pPr>
          </w:p>
          <w:p w14:paraId="1AB53E98">
            <w:pPr>
              <w:spacing w:line="360" w:lineRule="auto"/>
              <w:jc w:val="center"/>
              <w:rPr>
                <w:rFonts w:eastAsia="仿宋_GB2312"/>
                <w:color w:val="auto"/>
                <w:sz w:val="32"/>
                <w:szCs w:val="32"/>
                <w:highlight w:val="none"/>
              </w:rPr>
            </w:pPr>
          </w:p>
          <w:p w14:paraId="362F1440">
            <w:pPr>
              <w:spacing w:line="360" w:lineRule="auto"/>
              <w:jc w:val="center"/>
              <w:rPr>
                <w:rFonts w:eastAsia="仿宋_GB2312"/>
                <w:color w:val="auto"/>
                <w:sz w:val="32"/>
                <w:szCs w:val="32"/>
                <w:highlight w:val="none"/>
              </w:rPr>
            </w:pPr>
          </w:p>
          <w:p w14:paraId="4728BC95">
            <w:pPr>
              <w:spacing w:line="360" w:lineRule="auto"/>
              <w:jc w:val="center"/>
              <w:rPr>
                <w:rFonts w:eastAsia="仿宋_GB2312"/>
                <w:color w:val="auto"/>
                <w:sz w:val="32"/>
                <w:szCs w:val="32"/>
                <w:highlight w:val="none"/>
              </w:rPr>
            </w:pPr>
          </w:p>
          <w:p w14:paraId="00D7781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询价保证金金额及缴纳方式</w:t>
            </w:r>
          </w:p>
        </w:tc>
        <w:tc>
          <w:tcPr>
            <w:tcW w:w="5942" w:type="dxa"/>
            <w:vAlign w:val="center"/>
          </w:tcPr>
          <w:p w14:paraId="652713FF">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开标前，响应人应在项目开标前缴纳人民币</w:t>
            </w:r>
            <w:r>
              <w:rPr>
                <w:rFonts w:hint="eastAsia" w:eastAsia="仿宋_GB2312"/>
                <w:color w:val="auto"/>
                <w:sz w:val="32"/>
                <w:szCs w:val="32"/>
                <w:highlight w:val="none"/>
                <w:u w:val="single"/>
                <w:lang w:val="en-US" w:eastAsia="zh-CN"/>
              </w:rPr>
              <w:t>叁万陆仟</w:t>
            </w:r>
            <w:r>
              <w:rPr>
                <w:rFonts w:hint="eastAsia" w:eastAsia="仿宋_GB2312"/>
                <w:color w:val="auto"/>
                <w:sz w:val="32"/>
                <w:szCs w:val="32"/>
                <w:highlight w:val="none"/>
                <w:u w:val="single"/>
              </w:rPr>
              <w:t>元整（小写￥</w:t>
            </w:r>
            <w:r>
              <w:rPr>
                <w:rFonts w:hint="eastAsia" w:eastAsia="仿宋_GB2312"/>
                <w:color w:val="auto"/>
                <w:sz w:val="32"/>
                <w:szCs w:val="32"/>
                <w:highlight w:val="none"/>
                <w:u w:val="single"/>
                <w:lang w:val="en-US" w:eastAsia="zh-CN"/>
              </w:rPr>
              <w:t>36000.00</w:t>
            </w:r>
            <w:r>
              <w:rPr>
                <w:rFonts w:hint="eastAsia" w:eastAsia="仿宋_GB2312"/>
                <w:color w:val="auto"/>
                <w:sz w:val="32"/>
                <w:szCs w:val="32"/>
                <w:highlight w:val="none"/>
                <w:u w:val="single"/>
              </w:rPr>
              <w:t>元）至以下投标保证金专用账户（响应人与交款人名称必须一致，不接受个人名义转账）作为项目投标保证金。成交单位的投标保证金不退还，待双方签订合同后，转为履约保证金。未中标单位的保证金在项目中标确定后的10个工作日内无息退还。</w:t>
            </w:r>
          </w:p>
          <w:p w14:paraId="2C48751E">
            <w:pPr>
              <w:adjustRightInd w:val="0"/>
              <w:snapToGrid w:val="0"/>
              <w:spacing w:line="560" w:lineRule="exact"/>
              <w:rPr>
                <w:rFonts w:hint="eastAsia" w:eastAsia="仿宋_GB2312"/>
                <w:color w:val="auto"/>
                <w:sz w:val="32"/>
                <w:szCs w:val="32"/>
                <w:highlight w:val="none"/>
              </w:rPr>
            </w:pPr>
            <w:r>
              <w:rPr>
                <w:rFonts w:hint="eastAsia" w:eastAsia="仿宋_GB2312"/>
                <w:color w:val="auto"/>
                <w:sz w:val="32"/>
                <w:szCs w:val="32"/>
                <w:highlight w:val="none"/>
              </w:rPr>
              <w:t>报价保证金收款账户信息：</w:t>
            </w:r>
          </w:p>
          <w:p w14:paraId="72C1C953">
            <w:pPr>
              <w:adjustRightInd w:val="0"/>
              <w:snapToGrid w:val="0"/>
              <w:spacing w:line="560" w:lineRule="exact"/>
              <w:rPr>
                <w:rFonts w:hint="eastAsia" w:eastAsia="仿宋_GB2312"/>
                <w:color w:val="auto"/>
                <w:sz w:val="32"/>
                <w:szCs w:val="32"/>
                <w:highlight w:val="none"/>
              </w:rPr>
            </w:pPr>
            <w:r>
              <w:rPr>
                <w:rFonts w:hint="eastAsia" w:eastAsia="仿宋_GB2312"/>
                <w:color w:val="auto"/>
                <w:sz w:val="32"/>
                <w:szCs w:val="32"/>
                <w:highlight w:val="none"/>
              </w:rPr>
              <w:t>帐户名称：吐鲁番开能环保能源有限公司</w:t>
            </w:r>
          </w:p>
          <w:p w14:paraId="0F5575A8">
            <w:pPr>
              <w:adjustRightInd w:val="0"/>
              <w:snapToGrid w:val="0"/>
              <w:spacing w:line="560" w:lineRule="exact"/>
              <w:rPr>
                <w:rFonts w:hint="eastAsia" w:eastAsia="仿宋_GB2312"/>
                <w:color w:val="auto"/>
                <w:sz w:val="32"/>
                <w:szCs w:val="32"/>
                <w:highlight w:val="none"/>
              </w:rPr>
            </w:pPr>
            <w:r>
              <w:rPr>
                <w:rFonts w:hint="eastAsia" w:eastAsia="仿宋_GB2312"/>
                <w:color w:val="auto"/>
                <w:sz w:val="32"/>
                <w:szCs w:val="32"/>
                <w:highlight w:val="none"/>
              </w:rPr>
              <w:t xml:space="preserve">开户银行：中国工商银行股份有限公司托克逊支行    </w:t>
            </w:r>
          </w:p>
          <w:p w14:paraId="1712C03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 xml:space="preserve">银行帐号：3005 2931 0920 0127 655         </w:t>
            </w:r>
          </w:p>
        </w:tc>
      </w:tr>
      <w:tr w14:paraId="796561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FD98B21">
            <w:pPr>
              <w:spacing w:line="360" w:lineRule="auto"/>
              <w:jc w:val="center"/>
              <w:rPr>
                <w:rFonts w:eastAsia="仿宋_GB2312"/>
                <w:color w:val="auto"/>
                <w:sz w:val="32"/>
                <w:szCs w:val="32"/>
                <w:highlight w:val="none"/>
              </w:rPr>
            </w:pPr>
            <w:r>
              <w:rPr>
                <w:rFonts w:hint="eastAsia" w:eastAsia="仿宋_GB2312"/>
                <w:color w:val="auto"/>
                <w:sz w:val="32"/>
                <w:szCs w:val="32"/>
                <w:highlight w:val="none"/>
              </w:rPr>
              <w:t>5</w:t>
            </w:r>
          </w:p>
        </w:tc>
        <w:tc>
          <w:tcPr>
            <w:tcW w:w="2275" w:type="dxa"/>
          </w:tcPr>
          <w:p w14:paraId="17BB452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14:paraId="06580285">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31E88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15F8255">
            <w:pPr>
              <w:spacing w:line="360" w:lineRule="auto"/>
              <w:jc w:val="center"/>
              <w:rPr>
                <w:rFonts w:eastAsia="仿宋_GB2312"/>
                <w:color w:val="auto"/>
                <w:sz w:val="32"/>
                <w:szCs w:val="32"/>
                <w:highlight w:val="none"/>
              </w:rPr>
            </w:pPr>
          </w:p>
        </w:tc>
        <w:tc>
          <w:tcPr>
            <w:tcW w:w="2275" w:type="dxa"/>
            <w:vAlign w:val="center"/>
          </w:tcPr>
          <w:p w14:paraId="0817C1BC">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12700E62">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6FE48B3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2DBD66A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56177B1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5DDB0A0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371DCB5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0D0DFBE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6C84C09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3BDCBF7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1EA9053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553A5E3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3B3DE74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50DF8E6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2B67C57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470E2B5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05A241D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3CC396C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367C8F23">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638BFDB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0C90503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1760EF9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7CD46FD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7CD43C5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751C95E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64B06C5A">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5F39AF01">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42FBB24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4CF3EDE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44FA2D5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4CA9BFC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272E8A4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3F7BE252">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0EA6286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17699FC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4A22BE3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41AA50B7">
      <w:pPr>
        <w:rPr>
          <w:rFonts w:eastAsia="仿宋_GB2312"/>
          <w:color w:val="auto"/>
          <w:sz w:val="32"/>
          <w:szCs w:val="32"/>
          <w:highlight w:val="none"/>
        </w:rPr>
      </w:pPr>
    </w:p>
    <w:p w14:paraId="3DE74888">
      <w:pPr>
        <w:rPr>
          <w:rFonts w:eastAsia="仿宋_GB2312"/>
          <w:color w:val="auto"/>
          <w:sz w:val="32"/>
          <w:szCs w:val="32"/>
          <w:highlight w:val="none"/>
        </w:rPr>
      </w:pPr>
    </w:p>
    <w:p w14:paraId="6CD67141">
      <w:pPr>
        <w:pStyle w:val="21"/>
        <w:ind w:left="0" w:leftChars="0" w:firstLine="0" w:firstLineChars="0"/>
        <w:rPr>
          <w:rFonts w:eastAsia="仿宋_GB2312"/>
          <w:color w:val="auto"/>
          <w:sz w:val="32"/>
          <w:szCs w:val="32"/>
          <w:highlight w:val="none"/>
        </w:rPr>
      </w:pPr>
    </w:p>
    <w:p w14:paraId="2F60A273">
      <w:pPr>
        <w:pStyle w:val="42"/>
        <w:ind w:firstLine="0" w:firstLineChars="0"/>
        <w:jc w:val="left"/>
        <w:outlineLvl w:val="1"/>
        <w:rPr>
          <w:rFonts w:eastAsia="黑体"/>
          <w:color w:val="auto"/>
          <w:sz w:val="28"/>
          <w:szCs w:val="44"/>
          <w:highlight w:val="none"/>
        </w:rPr>
      </w:pPr>
      <w:bookmarkStart w:id="4" w:name="_Hlk524442005"/>
      <w:r>
        <w:rPr>
          <w:rFonts w:hint="eastAsia" w:eastAsia="黑体"/>
          <w:color w:val="auto"/>
          <w:sz w:val="28"/>
          <w:szCs w:val="44"/>
          <w:highlight w:val="none"/>
        </w:rPr>
        <w:t>附件二报价函及报价清单</w:t>
      </w:r>
    </w:p>
    <w:p w14:paraId="2944EDAC">
      <w:pPr>
        <w:jc w:val="center"/>
        <w:rPr>
          <w:rFonts w:eastAsia="华文中宋"/>
          <w:color w:val="auto"/>
          <w:sz w:val="44"/>
          <w:szCs w:val="44"/>
          <w:highlight w:val="none"/>
        </w:rPr>
      </w:pPr>
      <w:r>
        <w:rPr>
          <w:rFonts w:hint="eastAsia" w:eastAsia="华文中宋"/>
          <w:color w:val="auto"/>
          <w:sz w:val="44"/>
          <w:szCs w:val="44"/>
          <w:highlight w:val="none"/>
        </w:rPr>
        <w:t>报价函</w:t>
      </w:r>
    </w:p>
    <w:p w14:paraId="545E956F">
      <w:pPr>
        <w:ind w:firstLine="560"/>
        <w:jc w:val="center"/>
        <w:rPr>
          <w:rFonts w:eastAsia="仿宋_GB2312"/>
          <w:color w:val="auto"/>
          <w:sz w:val="32"/>
          <w:szCs w:val="32"/>
          <w:highlight w:val="none"/>
        </w:rPr>
      </w:pPr>
    </w:p>
    <w:p w14:paraId="4B9794C5">
      <w:pPr>
        <w:rPr>
          <w:rFonts w:eastAsia="仿宋_GB2312"/>
          <w:color w:val="auto"/>
          <w:sz w:val="32"/>
          <w:szCs w:val="32"/>
          <w:highlight w:val="none"/>
        </w:rPr>
      </w:pPr>
      <w:r>
        <w:rPr>
          <w:rFonts w:hint="eastAsia" w:eastAsia="仿宋_GB2312"/>
          <w:color w:val="auto"/>
          <w:sz w:val="32"/>
          <w:szCs w:val="32"/>
          <w:highlight w:val="none"/>
          <w:u w:val="single"/>
        </w:rPr>
        <w:t>吐鲁番开能环保能源有限公司</w:t>
      </w:r>
      <w:r>
        <w:rPr>
          <w:rFonts w:hint="eastAsia" w:eastAsia="仿宋_GB2312"/>
          <w:color w:val="auto"/>
          <w:sz w:val="32"/>
          <w:szCs w:val="32"/>
          <w:highlight w:val="none"/>
        </w:rPr>
        <w:t>：</w:t>
      </w:r>
    </w:p>
    <w:p w14:paraId="1133346B">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吐鲁番开能环保能源有限公司202</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u w:val="single"/>
        </w:rPr>
        <w:t>年煤泥采购</w:t>
      </w:r>
      <w:r>
        <w:rPr>
          <w:rFonts w:eastAsia="仿宋_GB2312"/>
          <w:color w:val="auto"/>
          <w:sz w:val="32"/>
          <w:szCs w:val="32"/>
          <w:highlight w:val="none"/>
          <w:u w:val="single"/>
        </w:rPr>
        <w:t xml:space="preserve"> </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（小写）（含13%增值税专用发票）</w:t>
      </w:r>
      <w:r>
        <w:rPr>
          <w:rFonts w:hint="eastAsia" w:eastAsia="仿宋_GB2312"/>
          <w:color w:val="auto"/>
          <w:sz w:val="32"/>
          <w:szCs w:val="32"/>
          <w:highlight w:val="none"/>
        </w:rPr>
        <w:t>承接此项目。</w:t>
      </w:r>
    </w:p>
    <w:p w14:paraId="746EA118">
      <w:pPr>
        <w:rPr>
          <w:rFonts w:eastAsia="仿宋_GB2312"/>
          <w:color w:val="auto"/>
          <w:sz w:val="32"/>
          <w:szCs w:val="32"/>
          <w:highlight w:val="none"/>
        </w:rPr>
      </w:pPr>
    </w:p>
    <w:p w14:paraId="532706B6">
      <w:pPr>
        <w:rPr>
          <w:rFonts w:eastAsia="仿宋_GB2312"/>
          <w:color w:val="auto"/>
          <w:sz w:val="32"/>
          <w:szCs w:val="32"/>
          <w:highlight w:val="none"/>
        </w:rPr>
      </w:pPr>
    </w:p>
    <w:p w14:paraId="1B394AA9">
      <w:pPr>
        <w:rPr>
          <w:rFonts w:eastAsia="仿宋_GB2312"/>
          <w:color w:val="auto"/>
          <w:sz w:val="32"/>
          <w:szCs w:val="32"/>
          <w:highlight w:val="none"/>
        </w:rPr>
      </w:pPr>
    </w:p>
    <w:p w14:paraId="7FF2075D">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0311700D">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4F04608A">
      <w:pPr>
        <w:jc w:val="left"/>
        <w:rPr>
          <w:rFonts w:eastAsia="仿宋_GB2312"/>
          <w:color w:val="auto"/>
          <w:sz w:val="32"/>
          <w:szCs w:val="32"/>
          <w:highlight w:val="none"/>
        </w:rPr>
      </w:pPr>
      <w:r>
        <w:rPr>
          <w:rFonts w:hint="eastAsia" w:eastAsia="仿宋_GB2312"/>
          <w:color w:val="auto"/>
          <w:sz w:val="32"/>
          <w:szCs w:val="32"/>
          <w:highlight w:val="none"/>
        </w:rPr>
        <w:t>联系人：</w:t>
      </w:r>
    </w:p>
    <w:p w14:paraId="75F8625A">
      <w:pPr>
        <w:jc w:val="left"/>
        <w:rPr>
          <w:rFonts w:eastAsia="仿宋_GB2312"/>
          <w:color w:val="auto"/>
          <w:sz w:val="32"/>
          <w:szCs w:val="32"/>
          <w:highlight w:val="none"/>
        </w:rPr>
      </w:pPr>
      <w:r>
        <w:rPr>
          <w:rFonts w:hint="eastAsia" w:eastAsia="仿宋_GB2312"/>
          <w:color w:val="auto"/>
          <w:sz w:val="32"/>
          <w:szCs w:val="32"/>
          <w:highlight w:val="none"/>
        </w:rPr>
        <w:t>联系电话：</w:t>
      </w:r>
    </w:p>
    <w:p w14:paraId="54E20DD5">
      <w:pPr>
        <w:jc w:val="left"/>
        <w:rPr>
          <w:rFonts w:eastAsia="仿宋_GB2312"/>
          <w:color w:val="auto"/>
          <w:sz w:val="32"/>
          <w:szCs w:val="32"/>
          <w:highlight w:val="none"/>
        </w:rPr>
      </w:pPr>
      <w:r>
        <w:rPr>
          <w:rFonts w:hint="eastAsia" w:eastAsia="仿宋_GB2312"/>
          <w:color w:val="auto"/>
          <w:sz w:val="32"/>
          <w:szCs w:val="32"/>
          <w:highlight w:val="none"/>
        </w:rPr>
        <w:t>日期：</w:t>
      </w:r>
    </w:p>
    <w:p w14:paraId="7F397705">
      <w:pPr>
        <w:jc w:val="center"/>
        <w:rPr>
          <w:rFonts w:eastAsia="仿宋_GB2312"/>
          <w:color w:val="auto"/>
          <w:sz w:val="32"/>
          <w:szCs w:val="32"/>
          <w:highlight w:val="none"/>
        </w:rPr>
      </w:pPr>
    </w:p>
    <w:p w14:paraId="5A98086E">
      <w:pPr>
        <w:jc w:val="center"/>
        <w:rPr>
          <w:rFonts w:eastAsia="仿宋_GB2312"/>
          <w:color w:val="auto"/>
          <w:sz w:val="32"/>
          <w:szCs w:val="32"/>
          <w:highlight w:val="none"/>
        </w:rPr>
      </w:pPr>
    </w:p>
    <w:p w14:paraId="1588497E">
      <w:pPr>
        <w:jc w:val="center"/>
        <w:rPr>
          <w:rFonts w:eastAsia="仿宋_GB2312"/>
          <w:color w:val="auto"/>
          <w:sz w:val="32"/>
          <w:szCs w:val="32"/>
          <w:highlight w:val="none"/>
        </w:rPr>
      </w:pPr>
    </w:p>
    <w:p w14:paraId="28781EF9">
      <w:pPr>
        <w:jc w:val="center"/>
        <w:rPr>
          <w:rFonts w:eastAsia="仿宋_GB2312"/>
          <w:color w:val="auto"/>
          <w:sz w:val="32"/>
          <w:szCs w:val="32"/>
          <w:highlight w:val="none"/>
        </w:rPr>
      </w:pPr>
    </w:p>
    <w:p w14:paraId="2348F2C7">
      <w:pPr>
        <w:pStyle w:val="9"/>
        <w:rPr>
          <w:rFonts w:eastAsia="仿宋_GB2312"/>
          <w:color w:val="auto"/>
          <w:sz w:val="32"/>
          <w:szCs w:val="32"/>
          <w:highlight w:val="none"/>
        </w:rPr>
      </w:pPr>
    </w:p>
    <w:p w14:paraId="4096783C">
      <w:pPr>
        <w:pStyle w:val="10"/>
        <w:ind w:firstLine="210"/>
        <w:rPr>
          <w:color w:val="auto"/>
          <w:highlight w:val="none"/>
        </w:rPr>
      </w:pPr>
    </w:p>
    <w:p w14:paraId="678F7B9F">
      <w:pPr>
        <w:jc w:val="center"/>
        <w:rPr>
          <w:rFonts w:eastAsia="仿宋_GB2312"/>
          <w:color w:val="auto"/>
          <w:sz w:val="32"/>
          <w:szCs w:val="32"/>
          <w:highlight w:val="none"/>
        </w:rPr>
      </w:pPr>
    </w:p>
    <w:p w14:paraId="06867D33">
      <w:pPr>
        <w:jc w:val="center"/>
        <w:rPr>
          <w:rFonts w:eastAsia="仿宋_GB2312"/>
          <w:color w:val="auto"/>
          <w:sz w:val="32"/>
          <w:szCs w:val="32"/>
          <w:highlight w:val="none"/>
        </w:rPr>
      </w:pPr>
      <w:r>
        <w:rPr>
          <w:rFonts w:hint="eastAsia" w:eastAsia="华文中宋"/>
          <w:color w:val="auto"/>
          <w:sz w:val="44"/>
          <w:szCs w:val="44"/>
          <w:highlight w:val="none"/>
        </w:rPr>
        <w:t>报价清单</w:t>
      </w:r>
    </w:p>
    <w:tbl>
      <w:tblPr>
        <w:tblStyle w:val="22"/>
        <w:tblW w:w="9660" w:type="dxa"/>
        <w:tblInd w:w="0" w:type="dxa"/>
        <w:tblLayout w:type="autofit"/>
        <w:tblCellMar>
          <w:top w:w="0" w:type="dxa"/>
          <w:left w:w="0" w:type="dxa"/>
          <w:bottom w:w="0" w:type="dxa"/>
          <w:right w:w="0" w:type="dxa"/>
        </w:tblCellMar>
      </w:tblPr>
      <w:tblGrid>
        <w:gridCol w:w="546"/>
        <w:gridCol w:w="1074"/>
        <w:gridCol w:w="2764"/>
        <w:gridCol w:w="1119"/>
        <w:gridCol w:w="778"/>
        <w:gridCol w:w="990"/>
        <w:gridCol w:w="1263"/>
        <w:gridCol w:w="1126"/>
      </w:tblGrid>
      <w:tr w14:paraId="223CE23A">
        <w:tblPrEx>
          <w:tblCellMar>
            <w:top w:w="0" w:type="dxa"/>
            <w:left w:w="0" w:type="dxa"/>
            <w:bottom w:w="0" w:type="dxa"/>
            <w:right w:w="0" w:type="dxa"/>
          </w:tblCellMar>
        </w:tblPrEx>
        <w:trPr>
          <w:trHeight w:val="1110" w:hRule="atLeast"/>
        </w:trPr>
        <w:tc>
          <w:tcPr>
            <w:tcW w:w="9660"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07DB95C">
            <w:pPr>
              <w:widowControl/>
              <w:jc w:val="center"/>
              <w:textAlignment w:val="center"/>
              <w:rPr>
                <w:rFonts w:hint="eastAsia" w:ascii="宋体" w:hAnsi="宋体" w:cs="宋体"/>
                <w:b/>
                <w:color w:val="auto"/>
                <w:sz w:val="40"/>
                <w:szCs w:val="40"/>
                <w:highlight w:val="none"/>
              </w:rPr>
            </w:pPr>
            <w:r>
              <w:rPr>
                <w:rFonts w:hint="eastAsia" w:ascii="宋体" w:hAnsi="宋体" w:cs="宋体"/>
                <w:b/>
                <w:color w:val="auto"/>
                <w:kern w:val="0"/>
                <w:sz w:val="40"/>
                <w:szCs w:val="40"/>
                <w:highlight w:val="none"/>
                <w:lang w:bidi="ar"/>
              </w:rPr>
              <w:t>吐鲁番开能环保能源有限公司202</w:t>
            </w:r>
            <w:r>
              <w:rPr>
                <w:rFonts w:hint="eastAsia" w:ascii="宋体" w:hAnsi="宋体" w:cs="宋体"/>
                <w:b/>
                <w:color w:val="auto"/>
                <w:kern w:val="0"/>
                <w:sz w:val="40"/>
                <w:szCs w:val="40"/>
                <w:highlight w:val="none"/>
                <w:lang w:val="en-US" w:eastAsia="zh-CN" w:bidi="ar"/>
              </w:rPr>
              <w:t>6</w:t>
            </w:r>
            <w:r>
              <w:rPr>
                <w:rFonts w:hint="eastAsia" w:ascii="宋体" w:hAnsi="宋体" w:cs="宋体"/>
                <w:b/>
                <w:color w:val="auto"/>
                <w:kern w:val="0"/>
                <w:sz w:val="40"/>
                <w:szCs w:val="40"/>
                <w:highlight w:val="none"/>
                <w:lang w:bidi="ar"/>
              </w:rPr>
              <w:t>年煤泥采购项目分项报价表</w:t>
            </w:r>
          </w:p>
        </w:tc>
      </w:tr>
      <w:tr w14:paraId="12DA40D3">
        <w:tblPrEx>
          <w:tblCellMar>
            <w:top w:w="0" w:type="dxa"/>
            <w:left w:w="0" w:type="dxa"/>
            <w:bottom w:w="0" w:type="dxa"/>
            <w:right w:w="0" w:type="dxa"/>
          </w:tblCellMar>
        </w:tblPrEx>
        <w:trPr>
          <w:trHeight w:val="612" w:hRule="atLeast"/>
        </w:trPr>
        <w:tc>
          <w:tcPr>
            <w:tcW w:w="54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4BFA2D0">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1074"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16D5D3F1">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货物名称</w:t>
            </w:r>
          </w:p>
        </w:tc>
        <w:tc>
          <w:tcPr>
            <w:tcW w:w="27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3077E1">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产品规格相关要求</w:t>
            </w:r>
          </w:p>
        </w:tc>
        <w:tc>
          <w:tcPr>
            <w:tcW w:w="11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73B679">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单位</w:t>
            </w:r>
          </w:p>
        </w:tc>
        <w:tc>
          <w:tcPr>
            <w:tcW w:w="7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2C2196">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计划采购数量</w:t>
            </w:r>
          </w:p>
        </w:tc>
        <w:tc>
          <w:tcPr>
            <w:tcW w:w="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116B69">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固定综合单价（元）</w:t>
            </w:r>
          </w:p>
        </w:tc>
        <w:tc>
          <w:tcPr>
            <w:tcW w:w="1263"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4B524E8C">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暂定总价（元）</w:t>
            </w:r>
          </w:p>
        </w:tc>
        <w:tc>
          <w:tcPr>
            <w:tcW w:w="1126" w:type="dxa"/>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14:paraId="2F9C1B90">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备注</w:t>
            </w:r>
          </w:p>
        </w:tc>
      </w:tr>
      <w:tr w14:paraId="0448CC4C">
        <w:tblPrEx>
          <w:tblCellMar>
            <w:top w:w="0" w:type="dxa"/>
            <w:left w:w="0" w:type="dxa"/>
            <w:bottom w:w="0" w:type="dxa"/>
            <w:right w:w="0" w:type="dxa"/>
          </w:tblCellMar>
        </w:tblPrEx>
        <w:trPr>
          <w:trHeight w:val="2187" w:hRule="atLeast"/>
        </w:trPr>
        <w:tc>
          <w:tcPr>
            <w:tcW w:w="5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9F5AC80">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07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0E7A023">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煤泥</w:t>
            </w:r>
          </w:p>
        </w:tc>
        <w:tc>
          <w:tcPr>
            <w:tcW w:w="2764"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14:paraId="4D9AFEF9">
            <w:pPr>
              <w:widowControl/>
              <w:jc w:val="left"/>
              <w:textAlignment w:val="center"/>
              <w:rPr>
                <w:rFonts w:ascii="仿宋" w:hAnsi="仿宋" w:eastAsia="仿宋"/>
                <w:color w:val="auto"/>
                <w:sz w:val="24"/>
                <w:szCs w:val="24"/>
                <w:highlight w:val="none"/>
              </w:rPr>
            </w:pPr>
            <w:r>
              <w:rPr>
                <w:rFonts w:hint="eastAsia" w:ascii="仿宋" w:hAnsi="仿宋" w:eastAsia="仿宋"/>
                <w:color w:val="auto"/>
                <w:sz w:val="24"/>
                <w:szCs w:val="24"/>
                <w:highlight w:val="none"/>
              </w:rPr>
              <w:t>1.含水分＜15%</w:t>
            </w:r>
          </w:p>
          <w:p w14:paraId="4E1DD5C3">
            <w:pPr>
              <w:widowControl/>
              <w:jc w:val="left"/>
              <w:textAlignment w:val="center"/>
              <w:rPr>
                <w:rFonts w:ascii="仿宋" w:hAnsi="仿宋" w:eastAsia="仿宋"/>
                <w:color w:val="auto"/>
                <w:sz w:val="24"/>
                <w:szCs w:val="24"/>
                <w:highlight w:val="none"/>
              </w:rPr>
            </w:pPr>
            <w:r>
              <w:rPr>
                <w:rFonts w:hint="eastAsia" w:ascii="仿宋" w:hAnsi="仿宋" w:eastAsia="仿宋"/>
                <w:color w:val="auto"/>
                <w:sz w:val="24"/>
                <w:szCs w:val="24"/>
                <w:highlight w:val="none"/>
              </w:rPr>
              <w:t>2.低位收到基发热量大于等于2400kcal/kg。</w:t>
            </w:r>
          </w:p>
          <w:p w14:paraId="10F73F4D">
            <w:pPr>
              <w:widowControl/>
              <w:jc w:val="left"/>
              <w:textAlignment w:val="center"/>
              <w:rPr>
                <w:rFonts w:hint="eastAsia" w:ascii="宋体" w:hAnsi="宋体" w:cs="宋体"/>
                <w:color w:val="auto"/>
                <w:sz w:val="24"/>
                <w:szCs w:val="24"/>
                <w:highlight w:val="none"/>
              </w:rPr>
            </w:pPr>
            <w:r>
              <w:rPr>
                <w:rFonts w:hint="eastAsia" w:ascii="仿宋" w:hAnsi="仿宋" w:eastAsia="仿宋"/>
                <w:color w:val="auto"/>
                <w:sz w:val="24"/>
                <w:szCs w:val="24"/>
                <w:highlight w:val="none"/>
              </w:rPr>
              <w:t>3.粒度＜30mm</w:t>
            </w:r>
          </w:p>
        </w:tc>
        <w:tc>
          <w:tcPr>
            <w:tcW w:w="11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44259E">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吨</w:t>
            </w:r>
          </w:p>
        </w:tc>
        <w:tc>
          <w:tcPr>
            <w:tcW w:w="77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640486">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50000</w:t>
            </w:r>
          </w:p>
        </w:tc>
        <w:tc>
          <w:tcPr>
            <w:tcW w:w="990"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14:paraId="3D0E78B3">
            <w:pPr>
              <w:jc w:val="center"/>
              <w:rPr>
                <w:rFonts w:hint="eastAsia" w:ascii="宋体" w:hAnsi="宋体" w:cs="宋体"/>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F3933B5">
            <w:pPr>
              <w:jc w:val="center"/>
              <w:rPr>
                <w:rFonts w:hint="eastAsia" w:ascii="宋体" w:hAnsi="宋体" w:cs="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008187F1">
            <w:pPr>
              <w:jc w:val="left"/>
              <w:rPr>
                <w:rFonts w:hint="eastAsia" w:ascii="宋体" w:hAnsi="宋体" w:cs="宋体"/>
                <w:color w:val="auto"/>
                <w:sz w:val="24"/>
                <w:szCs w:val="24"/>
                <w:highlight w:val="none"/>
              </w:rPr>
            </w:pPr>
          </w:p>
        </w:tc>
      </w:tr>
    </w:tbl>
    <w:p w14:paraId="77D2255F">
      <w:pPr>
        <w:pStyle w:val="41"/>
        <w:ind w:right="160" w:firstLine="0" w:firstLineChars="0"/>
        <w:jc w:val="left"/>
        <w:rPr>
          <w:color w:val="auto"/>
          <w:sz w:val="21"/>
          <w:szCs w:val="21"/>
          <w:highlight w:val="none"/>
        </w:rPr>
      </w:pPr>
      <w:r>
        <w:rPr>
          <w:rFonts w:hint="eastAsia"/>
          <w:color w:val="auto"/>
          <w:sz w:val="21"/>
          <w:szCs w:val="21"/>
          <w:highlight w:val="none"/>
        </w:rPr>
        <w:t>备注：</w:t>
      </w:r>
    </w:p>
    <w:p w14:paraId="53F0A7D4">
      <w:pPr>
        <w:pStyle w:val="41"/>
        <w:ind w:right="160" w:firstLine="0" w:firstLineChars="0"/>
        <w:jc w:val="left"/>
        <w:rPr>
          <w:color w:val="auto"/>
          <w:sz w:val="21"/>
          <w:szCs w:val="21"/>
          <w:highlight w:val="none"/>
        </w:rPr>
      </w:pPr>
      <w:r>
        <w:rPr>
          <w:rFonts w:hint="eastAsia"/>
          <w:color w:val="auto"/>
          <w:sz w:val="21"/>
          <w:szCs w:val="21"/>
          <w:highlight w:val="none"/>
        </w:rPr>
        <w:t>1、本项目报价为含税价，即为《中华人民共和国增值税暂行条例》（国务院令第691号修订版）规定的销售额，综合单价已包含</w:t>
      </w:r>
      <w:r>
        <w:rPr>
          <w:rFonts w:hint="eastAsia"/>
          <w:color w:val="auto"/>
          <w:sz w:val="21"/>
          <w:szCs w:val="21"/>
          <w:highlight w:val="none"/>
          <w:u w:val="single"/>
        </w:rPr>
        <w:t xml:space="preserve">  13  %增</w:t>
      </w:r>
      <w:r>
        <w:rPr>
          <w:rFonts w:hint="eastAsia"/>
          <w:color w:val="auto"/>
          <w:sz w:val="21"/>
          <w:szCs w:val="21"/>
          <w:highlight w:val="none"/>
        </w:rPr>
        <w:t>值税专用发票。本采购文件所称的含税价是指含本采购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w:t>
      </w:r>
    </w:p>
    <w:p w14:paraId="52634369">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451DF35A">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290DA63A">
      <w:pPr>
        <w:jc w:val="left"/>
        <w:rPr>
          <w:rFonts w:eastAsia="仿宋_GB2312"/>
          <w:color w:val="auto"/>
          <w:sz w:val="32"/>
          <w:szCs w:val="32"/>
          <w:highlight w:val="none"/>
        </w:rPr>
      </w:pPr>
      <w:r>
        <w:rPr>
          <w:rFonts w:hint="eastAsia" w:eastAsia="仿宋_GB2312"/>
          <w:color w:val="auto"/>
          <w:sz w:val="32"/>
          <w:szCs w:val="32"/>
          <w:highlight w:val="none"/>
        </w:rPr>
        <w:t>联系人：</w:t>
      </w:r>
    </w:p>
    <w:p w14:paraId="0BAED371">
      <w:pPr>
        <w:jc w:val="left"/>
        <w:rPr>
          <w:rFonts w:eastAsia="仿宋_GB2312"/>
          <w:color w:val="auto"/>
          <w:sz w:val="32"/>
          <w:szCs w:val="32"/>
          <w:highlight w:val="none"/>
        </w:rPr>
      </w:pPr>
      <w:r>
        <w:rPr>
          <w:rFonts w:hint="eastAsia" w:eastAsia="仿宋_GB2312"/>
          <w:color w:val="auto"/>
          <w:sz w:val="32"/>
          <w:szCs w:val="32"/>
          <w:highlight w:val="none"/>
        </w:rPr>
        <w:t>联系电话：</w:t>
      </w:r>
    </w:p>
    <w:p w14:paraId="4CF25DC2">
      <w:pPr>
        <w:jc w:val="left"/>
        <w:rPr>
          <w:rFonts w:eastAsia="仿宋_GB2312"/>
          <w:color w:val="auto"/>
          <w:sz w:val="32"/>
          <w:szCs w:val="32"/>
          <w:highlight w:val="none"/>
        </w:rPr>
      </w:pPr>
      <w:r>
        <w:rPr>
          <w:rFonts w:hint="eastAsia" w:eastAsia="仿宋_GB2312"/>
          <w:color w:val="auto"/>
          <w:sz w:val="32"/>
          <w:szCs w:val="32"/>
          <w:highlight w:val="none"/>
        </w:rPr>
        <w:t>日期：</w:t>
      </w:r>
    </w:p>
    <w:p w14:paraId="0903AECD">
      <w:pPr>
        <w:pStyle w:val="42"/>
        <w:ind w:firstLine="0" w:firstLineChars="0"/>
        <w:jc w:val="left"/>
        <w:outlineLvl w:val="1"/>
        <w:rPr>
          <w:rFonts w:eastAsia="黑体"/>
          <w:color w:val="auto"/>
          <w:sz w:val="28"/>
          <w:szCs w:val="44"/>
          <w:highlight w:val="none"/>
        </w:rPr>
      </w:pPr>
    </w:p>
    <w:p w14:paraId="3522F6B9">
      <w:pPr>
        <w:pStyle w:val="42"/>
        <w:ind w:firstLine="0" w:firstLineChars="0"/>
        <w:jc w:val="left"/>
        <w:outlineLvl w:val="1"/>
        <w:rPr>
          <w:rFonts w:eastAsia="黑体"/>
          <w:color w:val="auto"/>
          <w:sz w:val="28"/>
          <w:szCs w:val="44"/>
          <w:highlight w:val="none"/>
        </w:rPr>
      </w:pPr>
    </w:p>
    <w:p w14:paraId="195FD720">
      <w:pPr>
        <w:pStyle w:val="42"/>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0CCC97C8">
      <w:pPr>
        <w:pStyle w:val="42"/>
        <w:ind w:firstLine="0" w:firstLineChars="0"/>
        <w:jc w:val="left"/>
        <w:rPr>
          <w:rFonts w:eastAsia="黑体"/>
          <w:color w:val="auto"/>
          <w:sz w:val="28"/>
          <w:szCs w:val="44"/>
          <w:highlight w:val="none"/>
        </w:rPr>
      </w:pPr>
    </w:p>
    <w:p w14:paraId="1FE78D21">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111DEAAE">
      <w:pPr>
        <w:rPr>
          <w:rFonts w:eastAsia="仿宋_GB2312"/>
          <w:color w:val="auto"/>
          <w:sz w:val="32"/>
          <w:szCs w:val="32"/>
          <w:highlight w:val="none"/>
        </w:rPr>
      </w:pPr>
    </w:p>
    <w:p w14:paraId="43C0D7D3">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w:t>
      </w:r>
      <w:r>
        <w:rPr>
          <w:rFonts w:hint="eastAsia" w:eastAsia="仿宋_GB2312"/>
          <w:color w:val="auto"/>
          <w:sz w:val="32"/>
          <w:szCs w:val="32"/>
          <w:highlight w:val="none"/>
        </w:rPr>
        <w:t>：</w:t>
      </w:r>
    </w:p>
    <w:p w14:paraId="58247F7C">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0B3B9CFB">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0901F000">
      <w:pPr>
        <w:spacing w:line="600" w:lineRule="exact"/>
        <w:rPr>
          <w:rFonts w:eastAsia="仿宋_GB2312"/>
          <w:color w:val="auto"/>
          <w:sz w:val="32"/>
          <w:szCs w:val="32"/>
          <w:highlight w:val="none"/>
        </w:rPr>
      </w:pPr>
    </w:p>
    <w:p w14:paraId="2A60E6ED">
      <w:pPr>
        <w:spacing w:line="600" w:lineRule="exact"/>
        <w:rPr>
          <w:rFonts w:eastAsia="仿宋_GB2312"/>
          <w:color w:val="auto"/>
          <w:sz w:val="32"/>
          <w:szCs w:val="32"/>
          <w:highlight w:val="none"/>
        </w:rPr>
      </w:pPr>
    </w:p>
    <w:p w14:paraId="6287CB0B">
      <w:pPr>
        <w:spacing w:line="600" w:lineRule="exact"/>
        <w:rPr>
          <w:rFonts w:eastAsia="仿宋_GB2312"/>
          <w:color w:val="auto"/>
          <w:sz w:val="32"/>
          <w:szCs w:val="32"/>
          <w:highlight w:val="none"/>
        </w:rPr>
      </w:pPr>
    </w:p>
    <w:p w14:paraId="0E8540A3">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90D6650">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021ACE47">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59682AA5">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0C38E645">
      <w:pPr>
        <w:rPr>
          <w:rFonts w:eastAsia="仿宋_GB2312"/>
          <w:color w:val="auto"/>
          <w:sz w:val="32"/>
          <w:szCs w:val="32"/>
          <w:highlight w:val="none"/>
        </w:rPr>
      </w:pPr>
    </w:p>
    <w:p w14:paraId="7DE6A5E0">
      <w:pPr>
        <w:widowControl/>
        <w:rPr>
          <w:rFonts w:eastAsia="仿宋_GB2312"/>
          <w:color w:val="auto"/>
          <w:sz w:val="32"/>
          <w:szCs w:val="32"/>
          <w:highlight w:val="none"/>
        </w:rPr>
      </w:pPr>
      <w:bookmarkStart w:id="5" w:name="_Toc384752807"/>
    </w:p>
    <w:p w14:paraId="1D61A8CB">
      <w:pPr>
        <w:pStyle w:val="21"/>
        <w:ind w:left="0" w:leftChars="0" w:firstLine="0" w:firstLineChars="0"/>
        <w:rPr>
          <w:color w:val="auto"/>
          <w:highlight w:val="none"/>
        </w:rPr>
      </w:pPr>
    </w:p>
    <w:p w14:paraId="46953828">
      <w:pPr>
        <w:pStyle w:val="42"/>
        <w:ind w:firstLine="0" w:firstLineChars="0"/>
        <w:jc w:val="left"/>
        <w:outlineLvl w:val="1"/>
        <w:rPr>
          <w:rFonts w:eastAsia="仿宋_GB2312"/>
          <w:b/>
          <w:color w:val="auto"/>
          <w:sz w:val="32"/>
          <w:szCs w:val="32"/>
          <w:highlight w:val="none"/>
        </w:rPr>
      </w:pPr>
      <w:bookmarkStart w:id="6" w:name="_Hlk40704362"/>
      <w:r>
        <w:rPr>
          <w:rFonts w:hint="eastAsia" w:eastAsia="黑体"/>
          <w:color w:val="auto"/>
          <w:sz w:val="28"/>
          <w:szCs w:val="44"/>
          <w:highlight w:val="none"/>
        </w:rPr>
        <w:t>附件四法人授权书</w:t>
      </w:r>
    </w:p>
    <w:p w14:paraId="65982A26">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5"/>
    </w:p>
    <w:p w14:paraId="1995E8EC">
      <w:pPr>
        <w:pStyle w:val="41"/>
        <w:ind w:firstLine="0" w:firstLineChars="0"/>
        <w:rPr>
          <w:rFonts w:ascii="Times New Roman" w:hAnsi="Times New Roman"/>
          <w:color w:val="auto"/>
          <w:sz w:val="32"/>
          <w:szCs w:val="32"/>
          <w:highlight w:val="none"/>
        </w:rPr>
      </w:pPr>
    </w:p>
    <w:p w14:paraId="2715558A">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w:t>
      </w:r>
      <w:r>
        <w:rPr>
          <w:rFonts w:hint="eastAsia" w:eastAsia="仿宋_GB2312"/>
          <w:color w:val="auto"/>
          <w:sz w:val="32"/>
          <w:szCs w:val="32"/>
          <w:highlight w:val="none"/>
        </w:rPr>
        <w:t>：</w:t>
      </w:r>
    </w:p>
    <w:p w14:paraId="4A4431A1">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rPr>
        <w:t>吐鲁番开能环保能源有限公司</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6</w:t>
      </w:r>
      <w:r>
        <w:rPr>
          <w:rFonts w:hint="eastAsia"/>
          <w:color w:val="auto"/>
          <w:sz w:val="32"/>
          <w:szCs w:val="32"/>
          <w:highlight w:val="none"/>
          <w:u w:val="single"/>
        </w:rPr>
        <w:t>年煤泥采购</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3530CFB8">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   年   月   日至    年   月   日签字生效，有效期与询价有效期一致，特此声明。</w:t>
      </w:r>
    </w:p>
    <w:p w14:paraId="2C9DA4B4">
      <w:pPr>
        <w:pStyle w:val="41"/>
        <w:ind w:left="0" w:leftChars="0" w:firstLine="0" w:firstLineChars="0"/>
        <w:rPr>
          <w:rFonts w:ascii="Times New Roman" w:hAnsi="Times New Roman"/>
          <w:color w:val="auto"/>
          <w:sz w:val="32"/>
          <w:szCs w:val="32"/>
          <w:highlight w:val="none"/>
        </w:rPr>
      </w:pPr>
    </w:p>
    <w:p w14:paraId="36C46595">
      <w:pPr>
        <w:pStyle w:val="41"/>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2779D6F4">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8380F9B">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69BB734A">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5742D0BF">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394F1AAF">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ABF899C">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6"/>
    <w:p w14:paraId="110EFDF1">
      <w:pPr>
        <w:pStyle w:val="42"/>
        <w:ind w:firstLine="0" w:firstLineChars="0"/>
        <w:jc w:val="left"/>
        <w:outlineLvl w:val="1"/>
        <w:rPr>
          <w:rFonts w:eastAsia="黑体"/>
          <w:color w:val="auto"/>
          <w:sz w:val="28"/>
          <w:szCs w:val="44"/>
          <w:highlight w:val="none"/>
        </w:rPr>
      </w:pPr>
      <w:r>
        <w:rPr>
          <w:color w:val="auto"/>
          <w:sz w:val="32"/>
          <w:szCs w:val="32"/>
          <w:highlight w:val="none"/>
        </w:rPr>
        <w:br w:type="page"/>
      </w:r>
      <w:r>
        <w:rPr>
          <w:rFonts w:hint="eastAsia" w:eastAsia="黑体"/>
          <w:color w:val="auto"/>
          <w:sz w:val="28"/>
          <w:szCs w:val="44"/>
          <w:highlight w:val="none"/>
        </w:rPr>
        <w:t>附件五承诺函</w:t>
      </w:r>
    </w:p>
    <w:p w14:paraId="0730B8FB">
      <w:pPr>
        <w:pStyle w:val="42"/>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73353206">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吐鲁番开能环保能源有限公司</w:t>
      </w:r>
      <w:r>
        <w:rPr>
          <w:rFonts w:hint="eastAsia" w:eastAsia="仿宋_GB2312"/>
          <w:color w:val="auto"/>
          <w:sz w:val="32"/>
          <w:szCs w:val="32"/>
          <w:highlight w:val="none"/>
        </w:rPr>
        <w:t>：</w:t>
      </w:r>
    </w:p>
    <w:p w14:paraId="5ACCFCE6">
      <w:pPr>
        <w:pStyle w:val="41"/>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color w:val="auto"/>
          <w:sz w:val="32"/>
          <w:szCs w:val="32"/>
          <w:highlight w:val="none"/>
          <w:u w:val="single"/>
        </w:rPr>
        <w:t xml:space="preserve">   </w:t>
      </w:r>
      <w:r>
        <w:rPr>
          <w:rFonts w:hint="eastAsia"/>
          <w:color w:val="auto"/>
          <w:sz w:val="32"/>
          <w:szCs w:val="32"/>
          <w:highlight w:val="none"/>
          <w:u w:val="single"/>
        </w:rPr>
        <w:t>吐鲁番开能环保能源有限公司</w:t>
      </w:r>
      <w:r>
        <w:rPr>
          <w:rFonts w:hint="default" w:ascii="Times New Roman" w:hAnsi="Times New Roman" w:cs="Times New Roman"/>
          <w:color w:val="auto"/>
          <w:sz w:val="32"/>
          <w:szCs w:val="32"/>
          <w:highlight w:val="none"/>
          <w:u w:val="single"/>
        </w:rPr>
        <w:t>202</w:t>
      </w:r>
      <w:r>
        <w:rPr>
          <w:rFonts w:hint="default" w:ascii="Times New Roman" w:hAnsi="Times New Roman" w:cs="Times New Roman"/>
          <w:color w:val="auto"/>
          <w:sz w:val="32"/>
          <w:szCs w:val="32"/>
          <w:highlight w:val="none"/>
          <w:u w:val="single"/>
          <w:lang w:val="en-US" w:eastAsia="zh-CN"/>
        </w:rPr>
        <w:t>6</w:t>
      </w:r>
      <w:r>
        <w:rPr>
          <w:rFonts w:hint="eastAsia"/>
          <w:color w:val="auto"/>
          <w:sz w:val="32"/>
          <w:szCs w:val="32"/>
          <w:highlight w:val="none"/>
          <w:u w:val="single"/>
        </w:rPr>
        <w:t>年煤泥采购项目</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050EF2FA">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color w:val="auto"/>
          <w:sz w:val="32"/>
          <w:szCs w:val="32"/>
          <w:highlight w:val="none"/>
          <w:u w:val="single"/>
        </w:rPr>
        <w:t xml:space="preserve">  </w:t>
      </w:r>
      <w:r>
        <w:rPr>
          <w:rFonts w:hint="eastAsia"/>
          <w:color w:val="auto"/>
          <w:sz w:val="32"/>
          <w:szCs w:val="32"/>
          <w:highlight w:val="none"/>
          <w:u w:val="single"/>
        </w:rPr>
        <w:t xml:space="preserve">货物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298C181E">
      <w:pPr>
        <w:pStyle w:val="41"/>
        <w:ind w:firstLine="659"/>
        <w:rPr>
          <w:rFonts w:ascii="Times New Roman" w:hAnsi="Times New Roman"/>
          <w:color w:val="auto"/>
          <w:sz w:val="32"/>
          <w:szCs w:val="32"/>
          <w:highlight w:val="none"/>
        </w:rPr>
      </w:pPr>
    </w:p>
    <w:p w14:paraId="7E8612AF">
      <w:pPr>
        <w:pStyle w:val="41"/>
        <w:ind w:firstLine="0" w:firstLineChars="0"/>
        <w:jc w:val="left"/>
        <w:rPr>
          <w:rFonts w:ascii="Times New Roman" w:hAnsi="Times New Roman"/>
          <w:color w:val="auto"/>
          <w:sz w:val="32"/>
          <w:szCs w:val="32"/>
          <w:highlight w:val="none"/>
        </w:rPr>
      </w:pPr>
    </w:p>
    <w:p w14:paraId="7887B0F7">
      <w:pPr>
        <w:jc w:val="left"/>
        <w:rPr>
          <w:rFonts w:eastAsia="仿宋"/>
          <w:color w:val="auto"/>
          <w:sz w:val="32"/>
          <w:szCs w:val="32"/>
          <w:highlight w:val="none"/>
        </w:rPr>
      </w:pPr>
    </w:p>
    <w:p w14:paraId="089CFB6E">
      <w:pPr>
        <w:jc w:val="left"/>
        <w:rPr>
          <w:rFonts w:eastAsia="仿宋"/>
          <w:color w:val="auto"/>
          <w:sz w:val="32"/>
          <w:szCs w:val="32"/>
          <w:highlight w:val="none"/>
        </w:rPr>
      </w:pPr>
    </w:p>
    <w:p w14:paraId="09665CA4">
      <w:pPr>
        <w:jc w:val="left"/>
        <w:rPr>
          <w:rFonts w:eastAsia="仿宋"/>
          <w:color w:val="auto"/>
          <w:sz w:val="32"/>
          <w:szCs w:val="32"/>
          <w:highlight w:val="none"/>
        </w:rPr>
      </w:pPr>
    </w:p>
    <w:p w14:paraId="36FCC377">
      <w:pPr>
        <w:pStyle w:val="41"/>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19E37570">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461D0EEC">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63D24747">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15055CF1">
      <w:pPr>
        <w:pStyle w:val="41"/>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6D612EDA">
      <w:pPr>
        <w:widowControl/>
        <w:jc w:val="left"/>
        <w:rPr>
          <w:rFonts w:eastAsia="黑体"/>
          <w:color w:val="auto"/>
          <w:sz w:val="28"/>
          <w:szCs w:val="44"/>
          <w:highlight w:val="none"/>
        </w:rPr>
      </w:pPr>
    </w:p>
    <w:p w14:paraId="6F1FB529">
      <w:pPr>
        <w:pStyle w:val="2"/>
        <w:rPr>
          <w:color w:val="auto"/>
          <w:highlight w:val="none"/>
        </w:rPr>
      </w:pPr>
    </w:p>
    <w:p w14:paraId="444F6585">
      <w:pPr>
        <w:pStyle w:val="42"/>
        <w:ind w:firstLine="0" w:firstLineChars="0"/>
        <w:jc w:val="left"/>
        <w:outlineLvl w:val="1"/>
        <w:rPr>
          <w:rFonts w:eastAsia="黑体"/>
          <w:color w:val="auto"/>
          <w:sz w:val="28"/>
          <w:szCs w:val="44"/>
          <w:highlight w:val="none"/>
        </w:rPr>
      </w:pPr>
      <w:bookmarkStart w:id="7" w:name="_Hlk40704598"/>
      <w:r>
        <w:rPr>
          <w:rFonts w:hint="eastAsia" w:eastAsia="黑体"/>
          <w:color w:val="auto"/>
          <w:sz w:val="28"/>
          <w:szCs w:val="44"/>
          <w:highlight w:val="none"/>
        </w:rPr>
        <w:t>附件六 技术需求书</w:t>
      </w:r>
    </w:p>
    <w:p w14:paraId="34F670C4">
      <w:pPr>
        <w:widowControl/>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一、采购清单</w:t>
      </w:r>
    </w:p>
    <w:tbl>
      <w:tblPr>
        <w:tblStyle w:val="22"/>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435"/>
        <w:gridCol w:w="1173"/>
        <w:gridCol w:w="1645"/>
        <w:gridCol w:w="2553"/>
      </w:tblGrid>
      <w:tr w14:paraId="1655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3" w:type="dxa"/>
            <w:tcBorders>
              <w:top w:val="single" w:color="auto" w:sz="4" w:space="0"/>
              <w:left w:val="single" w:color="auto" w:sz="4" w:space="0"/>
              <w:bottom w:val="single" w:color="auto" w:sz="4" w:space="0"/>
              <w:right w:val="single" w:color="auto" w:sz="4" w:space="0"/>
            </w:tcBorders>
            <w:vAlign w:val="center"/>
          </w:tcPr>
          <w:p w14:paraId="6D50D3AF">
            <w:pPr>
              <w:widowControl/>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货物名称</w:t>
            </w:r>
          </w:p>
        </w:tc>
        <w:tc>
          <w:tcPr>
            <w:tcW w:w="1435" w:type="dxa"/>
            <w:tcBorders>
              <w:top w:val="single" w:color="auto" w:sz="4" w:space="0"/>
              <w:left w:val="single" w:color="auto" w:sz="4" w:space="0"/>
              <w:bottom w:val="single" w:color="auto" w:sz="4" w:space="0"/>
              <w:right w:val="single" w:color="auto" w:sz="4" w:space="0"/>
            </w:tcBorders>
            <w:vAlign w:val="center"/>
          </w:tcPr>
          <w:p w14:paraId="50D5E186">
            <w:pPr>
              <w:widowControl/>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采购供货量</w:t>
            </w:r>
          </w:p>
        </w:tc>
        <w:tc>
          <w:tcPr>
            <w:tcW w:w="1173" w:type="dxa"/>
            <w:tcBorders>
              <w:top w:val="single" w:color="auto" w:sz="4" w:space="0"/>
              <w:left w:val="single" w:color="auto" w:sz="4" w:space="0"/>
              <w:bottom w:val="single" w:color="auto" w:sz="4" w:space="0"/>
              <w:right w:val="single" w:color="auto" w:sz="4" w:space="0"/>
            </w:tcBorders>
            <w:vAlign w:val="center"/>
          </w:tcPr>
          <w:p w14:paraId="3839C2BF">
            <w:pPr>
              <w:widowControl/>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计量单位</w:t>
            </w:r>
          </w:p>
        </w:tc>
        <w:tc>
          <w:tcPr>
            <w:tcW w:w="1645" w:type="dxa"/>
            <w:tcBorders>
              <w:top w:val="single" w:color="auto" w:sz="4" w:space="0"/>
              <w:left w:val="single" w:color="auto" w:sz="4" w:space="0"/>
              <w:bottom w:val="single" w:color="auto" w:sz="4" w:space="0"/>
              <w:right w:val="single" w:color="auto" w:sz="4" w:space="0"/>
            </w:tcBorders>
            <w:vAlign w:val="center"/>
          </w:tcPr>
          <w:p w14:paraId="1AF0F6E6">
            <w:pPr>
              <w:widowControl/>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用途</w:t>
            </w:r>
          </w:p>
        </w:tc>
        <w:tc>
          <w:tcPr>
            <w:tcW w:w="2553" w:type="dxa"/>
            <w:tcBorders>
              <w:top w:val="single" w:color="auto" w:sz="4" w:space="0"/>
              <w:left w:val="single" w:color="auto" w:sz="4" w:space="0"/>
              <w:bottom w:val="single" w:color="auto" w:sz="4" w:space="0"/>
              <w:right w:val="single" w:color="auto" w:sz="4" w:space="0"/>
            </w:tcBorders>
            <w:vAlign w:val="center"/>
          </w:tcPr>
          <w:p w14:paraId="293CA368">
            <w:pPr>
              <w:widowControl/>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送货要求</w:t>
            </w:r>
          </w:p>
        </w:tc>
      </w:tr>
      <w:tr w14:paraId="6BB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373" w:type="dxa"/>
            <w:tcBorders>
              <w:top w:val="single" w:color="auto" w:sz="4" w:space="0"/>
              <w:left w:val="single" w:color="auto" w:sz="4" w:space="0"/>
              <w:bottom w:val="single" w:color="auto" w:sz="4" w:space="0"/>
              <w:right w:val="single" w:color="auto" w:sz="4" w:space="0"/>
            </w:tcBorders>
            <w:vAlign w:val="center"/>
          </w:tcPr>
          <w:p w14:paraId="6D50A5AB">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煤泥</w:t>
            </w:r>
          </w:p>
        </w:tc>
        <w:tc>
          <w:tcPr>
            <w:tcW w:w="1435" w:type="dxa"/>
            <w:tcBorders>
              <w:top w:val="single" w:color="auto" w:sz="4" w:space="0"/>
              <w:left w:val="single" w:color="auto" w:sz="4" w:space="0"/>
              <w:bottom w:val="single" w:color="auto" w:sz="4" w:space="0"/>
              <w:right w:val="single" w:color="auto" w:sz="4" w:space="0"/>
            </w:tcBorders>
            <w:vAlign w:val="center"/>
          </w:tcPr>
          <w:p w14:paraId="49F07021">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约50000吨</w:t>
            </w:r>
          </w:p>
        </w:tc>
        <w:tc>
          <w:tcPr>
            <w:tcW w:w="1173" w:type="dxa"/>
            <w:tcBorders>
              <w:top w:val="single" w:color="auto" w:sz="4" w:space="0"/>
              <w:left w:val="single" w:color="auto" w:sz="4" w:space="0"/>
              <w:bottom w:val="single" w:color="auto" w:sz="4" w:space="0"/>
              <w:right w:val="single" w:color="auto" w:sz="4" w:space="0"/>
            </w:tcBorders>
            <w:vAlign w:val="center"/>
          </w:tcPr>
          <w:p w14:paraId="280A881E">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吨</w:t>
            </w:r>
          </w:p>
        </w:tc>
        <w:tc>
          <w:tcPr>
            <w:tcW w:w="1645" w:type="dxa"/>
            <w:tcBorders>
              <w:top w:val="single" w:color="auto" w:sz="4" w:space="0"/>
              <w:left w:val="single" w:color="auto" w:sz="4" w:space="0"/>
              <w:bottom w:val="single" w:color="auto" w:sz="4" w:space="0"/>
              <w:right w:val="single" w:color="auto" w:sz="4" w:space="0"/>
            </w:tcBorders>
            <w:vAlign w:val="center"/>
          </w:tcPr>
          <w:p w14:paraId="3714B07B">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锅炉掺烧使用</w:t>
            </w:r>
          </w:p>
        </w:tc>
        <w:tc>
          <w:tcPr>
            <w:tcW w:w="2553" w:type="dxa"/>
            <w:tcBorders>
              <w:top w:val="single" w:color="auto" w:sz="4" w:space="0"/>
              <w:left w:val="single" w:color="auto" w:sz="4" w:space="0"/>
              <w:bottom w:val="single" w:color="auto" w:sz="4" w:space="0"/>
              <w:right w:val="single" w:color="auto" w:sz="4" w:space="0"/>
            </w:tcBorders>
            <w:vAlign w:val="center"/>
          </w:tcPr>
          <w:p w14:paraId="2FC32066">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按现场需求分批送货</w:t>
            </w:r>
          </w:p>
        </w:tc>
      </w:tr>
    </w:tbl>
    <w:p w14:paraId="0C3FAB4B">
      <w:pPr>
        <w:widowControl/>
        <w:adjustRightInd w:val="0"/>
        <w:snapToGrid w:val="0"/>
        <w:rPr>
          <w:rFonts w:hint="eastAsia" w:ascii="宋体" w:hAnsi="宋体" w:cs="宋体"/>
          <w:color w:val="auto"/>
          <w:szCs w:val="21"/>
          <w:highlight w:val="none"/>
        </w:rPr>
      </w:pPr>
    </w:p>
    <w:p w14:paraId="019B2501">
      <w:pPr>
        <w:widowControl/>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二、技术标准</w:t>
      </w:r>
    </w:p>
    <w:p w14:paraId="37E75927">
      <w:pPr>
        <w:widowControl/>
        <w:tabs>
          <w:tab w:val="left" w:pos="792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煤泥技术参数需求：</w:t>
      </w:r>
    </w:p>
    <w:p w14:paraId="28ACCE13">
      <w:pPr>
        <w:widowControl/>
        <w:tabs>
          <w:tab w:val="left" w:pos="7920"/>
        </w:tabs>
        <w:adjustRightInd w:val="0"/>
        <w:snapToGrid w:val="0"/>
        <w:spacing w:line="360" w:lineRule="auto"/>
        <w:ind w:firstLine="420" w:firstLineChars="200"/>
        <w:rPr>
          <w:rFonts w:ascii="宋体" w:hAnsi="宋体" w:cs="宋体"/>
          <w:color w:val="auto"/>
          <w:szCs w:val="21"/>
          <w:highlight w:val="none"/>
        </w:rPr>
      </w:pPr>
      <w:bookmarkStart w:id="8" w:name="OLE_LINK4"/>
      <w:r>
        <w:rPr>
          <w:rFonts w:hint="eastAsia" w:ascii="宋体" w:hAnsi="宋体" w:cs="宋体"/>
          <w:color w:val="auto"/>
          <w:szCs w:val="21"/>
          <w:highlight w:val="none"/>
        </w:rPr>
        <w:t>1、含水分＜15%，低位收到基发热量大于等于2400kcal/kg，粒度＜30mm。</w:t>
      </w:r>
    </w:p>
    <w:p w14:paraId="3329BB07">
      <w:pPr>
        <w:widowControl/>
        <w:tabs>
          <w:tab w:val="left" w:pos="792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2、采购人有权对中标人所供货物进行化验，若化验结果达不到双方合同约定的热值标准，经供方要求,可协商收货,协商单价热量折算，热量每下降1%，价格降低1%。热值低于1500Kcal/kg,甲方拒绝收货。</w:t>
      </w:r>
    </w:p>
    <w:p w14:paraId="0E871C34">
      <w:pPr>
        <w:widowControl/>
        <w:tabs>
          <w:tab w:val="left" w:pos="792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采购的煤泥用于吐鲁番开能环保能源有限公司锅炉掺烧使用，中标人所供货物必须满足现场使用需求，确保现场使用过程中不会出现板结、堵塞等情况，否则，中标人必须在满足以上货物参数的前提下，在采购人要求的期限内对所供货物进行调整至满足现场使用要求。如货物经中标人调整后一周内仍在现场使用中发生板结、堵塞等情况的，采购人有权单方面终止合同。</w:t>
      </w:r>
    </w:p>
    <w:bookmarkEnd w:id="8"/>
    <w:p w14:paraId="7051AB1D">
      <w:pPr>
        <w:widowControl/>
        <w:adjustRightInd w:val="0"/>
        <w:snapToGrid w:val="0"/>
        <w:spacing w:line="360" w:lineRule="auto"/>
        <w:rPr>
          <w:rFonts w:hint="eastAsia" w:ascii="宋体" w:hAnsi="宋体" w:cs="宋体"/>
          <w:b/>
          <w:color w:val="auto"/>
          <w:szCs w:val="21"/>
          <w:highlight w:val="none"/>
        </w:rPr>
      </w:pPr>
      <w:bookmarkStart w:id="9" w:name="_Toc30422"/>
      <w:r>
        <w:rPr>
          <w:rFonts w:hint="eastAsia" w:ascii="宋体" w:hAnsi="宋体" w:cs="宋体"/>
          <w:b/>
          <w:color w:val="auto"/>
          <w:szCs w:val="21"/>
          <w:highlight w:val="none"/>
        </w:rPr>
        <w:t>三、</w:t>
      </w:r>
      <w:r>
        <w:rPr>
          <w:rFonts w:hint="eastAsia" w:ascii="宋体" w:hAnsi="宋体" w:cs="宋体"/>
          <w:b/>
          <w:bCs/>
          <w:color w:val="auto"/>
          <w:szCs w:val="21"/>
          <w:highlight w:val="none"/>
        </w:rPr>
        <w:t>运输方式</w:t>
      </w:r>
      <w:r>
        <w:rPr>
          <w:rFonts w:hint="eastAsia" w:ascii="宋体" w:hAnsi="宋体" w:cs="宋体"/>
          <w:b/>
          <w:color w:val="auto"/>
          <w:szCs w:val="21"/>
          <w:highlight w:val="none"/>
        </w:rPr>
        <w:t>及费用承担</w:t>
      </w:r>
      <w:bookmarkEnd w:id="9"/>
    </w:p>
    <w:p w14:paraId="119CD9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、中标人应根据货物的特点，用</w:t>
      </w:r>
      <w:r>
        <w:rPr>
          <w:rFonts w:hint="eastAsia" w:ascii="宋体" w:hAnsi="宋体" w:cs="宋体"/>
          <w:color w:val="auto"/>
          <w:szCs w:val="21"/>
          <w:highlight w:val="none"/>
          <w:lang w:val="en-US" w:eastAsia="zh-CN"/>
        </w:rPr>
        <w:t>满足道路运输法规的车辆</w:t>
      </w:r>
      <w:r>
        <w:rPr>
          <w:rFonts w:hint="eastAsia" w:ascii="宋体" w:hAnsi="宋体" w:cs="宋体"/>
          <w:color w:val="auto"/>
          <w:szCs w:val="21"/>
          <w:highlight w:val="none"/>
        </w:rPr>
        <w:t>运输合同货物。按最新交通运输法，载货后整车总质量必须</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rPr>
        <w:t>49吨。以上由中标人承担运输及装卸等费用，自行卸货。</w:t>
      </w:r>
    </w:p>
    <w:p w14:paraId="4954217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3、中标人负责将每车次货物运抵采购人指定的厂区地点，货到后中标人需到采购人地磅过磅，并提供该车次产品的签字盖章的出厂化验报告及送货单。</w:t>
      </w:r>
    </w:p>
    <w:p w14:paraId="1ECD2B14">
      <w:pPr>
        <w:spacing w:line="360" w:lineRule="auto"/>
        <w:jc w:val="center"/>
        <w:rPr>
          <w:rFonts w:eastAsia="仿宋_GB2312"/>
          <w:color w:val="auto"/>
          <w:sz w:val="32"/>
          <w:szCs w:val="32"/>
          <w:highlight w:val="none"/>
        </w:rPr>
      </w:pPr>
    </w:p>
    <w:bookmarkEnd w:id="4"/>
    <w:bookmarkEnd w:id="7"/>
    <w:p w14:paraId="02A36610">
      <w:pPr>
        <w:pStyle w:val="41"/>
        <w:wordWrap w:val="0"/>
        <w:ind w:firstLine="0" w:firstLineChars="0"/>
        <w:jc w:val="left"/>
        <w:rPr>
          <w:rFonts w:eastAsia="黑体"/>
          <w:color w:val="auto"/>
          <w:sz w:val="28"/>
          <w:szCs w:val="44"/>
          <w:highlight w:val="none"/>
        </w:rPr>
      </w:pPr>
      <w:bookmarkStart w:id="10" w:name="_Toc148265712"/>
      <w:bookmarkEnd w:id="10"/>
    </w:p>
    <w:p w14:paraId="63C394F0">
      <w:pPr>
        <w:pStyle w:val="41"/>
        <w:wordWrap w:val="0"/>
        <w:ind w:firstLine="0" w:firstLineChars="0"/>
        <w:jc w:val="left"/>
        <w:rPr>
          <w:rFonts w:hint="eastAsia" w:eastAsia="黑体"/>
          <w:color w:val="auto"/>
          <w:sz w:val="28"/>
          <w:szCs w:val="44"/>
          <w:highlight w:val="none"/>
        </w:rPr>
      </w:pPr>
      <w:r>
        <w:rPr>
          <w:rFonts w:eastAsia="黑体"/>
          <w:color w:val="auto"/>
          <w:sz w:val="28"/>
          <w:szCs w:val="44"/>
          <w:highlight w:val="none"/>
        </w:rPr>
        <w:t>附件</w:t>
      </w:r>
      <w:r>
        <w:rPr>
          <w:rFonts w:hint="eastAsia" w:eastAsia="黑体"/>
          <w:color w:val="auto"/>
          <w:sz w:val="28"/>
          <w:szCs w:val="44"/>
          <w:highlight w:val="none"/>
        </w:rPr>
        <w:t>七 合同模板</w:t>
      </w:r>
    </w:p>
    <w:p w14:paraId="6135994C">
      <w:pPr>
        <w:rPr>
          <w:color w:val="auto"/>
          <w:highlight w:val="none"/>
        </w:rPr>
      </w:pPr>
    </w:p>
    <w:p w14:paraId="6046D7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甲方合同编号： </w:t>
      </w:r>
    </w:p>
    <w:p w14:paraId="18D34E24">
      <w:pPr>
        <w:spacing w:line="360" w:lineRule="auto"/>
        <w:rPr>
          <w:rFonts w:hint="eastAsia" w:ascii="宋体" w:hAnsi="宋体" w:cs="宋体"/>
          <w:color w:val="auto"/>
          <w:spacing w:val="5"/>
          <w:szCs w:val="21"/>
          <w:highlight w:val="none"/>
        </w:rPr>
      </w:pPr>
      <w:r>
        <w:rPr>
          <w:rFonts w:hint="eastAsia" w:ascii="宋体" w:hAnsi="宋体" w:cs="宋体"/>
          <w:color w:val="auto"/>
          <w:szCs w:val="21"/>
          <w:highlight w:val="none"/>
        </w:rPr>
        <w:t>乙方合同编号：</w:t>
      </w:r>
    </w:p>
    <w:p w14:paraId="7D69784B">
      <w:pPr>
        <w:snapToGrid w:val="0"/>
        <w:spacing w:line="360" w:lineRule="auto"/>
        <w:jc w:val="center"/>
        <w:rPr>
          <w:rFonts w:hint="eastAsia" w:ascii="宋体" w:hAnsi="宋体"/>
          <w:bCs/>
          <w:color w:val="auto"/>
          <w:sz w:val="48"/>
          <w:szCs w:val="48"/>
          <w:highlight w:val="none"/>
        </w:rPr>
      </w:pPr>
    </w:p>
    <w:p w14:paraId="5238BE72">
      <w:pPr>
        <w:snapToGrid w:val="0"/>
        <w:spacing w:line="360" w:lineRule="auto"/>
        <w:jc w:val="center"/>
        <w:rPr>
          <w:rFonts w:hint="eastAsia" w:ascii="宋体" w:hAnsi="宋体"/>
          <w:bCs/>
          <w:color w:val="auto"/>
          <w:sz w:val="48"/>
          <w:szCs w:val="48"/>
          <w:highlight w:val="none"/>
        </w:rPr>
      </w:pPr>
      <w:r>
        <w:rPr>
          <w:rFonts w:hint="eastAsia" w:ascii="宋体" w:hAnsi="宋体"/>
          <w:bCs/>
          <w:color w:val="auto"/>
          <w:sz w:val="48"/>
          <w:szCs w:val="48"/>
          <w:highlight w:val="none"/>
        </w:rPr>
        <w:t>吐鲁番开能环保能源有限公司</w:t>
      </w:r>
    </w:p>
    <w:p w14:paraId="65EEF626">
      <w:pPr>
        <w:snapToGrid w:val="0"/>
        <w:spacing w:line="360" w:lineRule="auto"/>
        <w:jc w:val="center"/>
        <w:rPr>
          <w:rFonts w:hint="eastAsia" w:ascii="宋体" w:hAnsi="宋体"/>
          <w:bCs/>
          <w:color w:val="auto"/>
          <w:sz w:val="48"/>
          <w:szCs w:val="48"/>
          <w:highlight w:val="none"/>
        </w:rPr>
      </w:pPr>
      <w:r>
        <w:rPr>
          <w:rFonts w:hint="eastAsia" w:ascii="宋体" w:hAnsi="宋体"/>
          <w:bCs/>
          <w:color w:val="auto"/>
          <w:sz w:val="48"/>
          <w:szCs w:val="48"/>
          <w:highlight w:val="none"/>
        </w:rPr>
        <w:t>202</w:t>
      </w:r>
      <w:r>
        <w:rPr>
          <w:rFonts w:hint="eastAsia" w:ascii="宋体" w:hAnsi="宋体"/>
          <w:bCs/>
          <w:color w:val="auto"/>
          <w:sz w:val="48"/>
          <w:szCs w:val="48"/>
          <w:highlight w:val="none"/>
          <w:lang w:val="en-US" w:eastAsia="zh-CN"/>
        </w:rPr>
        <w:t>6</w:t>
      </w:r>
      <w:r>
        <w:rPr>
          <w:rFonts w:hint="eastAsia" w:ascii="宋体" w:hAnsi="宋体"/>
          <w:bCs/>
          <w:color w:val="auto"/>
          <w:sz w:val="48"/>
          <w:szCs w:val="48"/>
          <w:highlight w:val="none"/>
        </w:rPr>
        <w:t>年煤泥采购合同</w:t>
      </w:r>
    </w:p>
    <w:p w14:paraId="1B660EBC">
      <w:pPr>
        <w:snapToGrid w:val="0"/>
        <w:spacing w:line="360" w:lineRule="auto"/>
        <w:ind w:firstLine="420" w:firstLineChars="200"/>
        <w:rPr>
          <w:rFonts w:hint="eastAsia" w:ascii="宋体" w:hAnsi="宋体"/>
          <w:color w:val="auto"/>
          <w:highlight w:val="none"/>
        </w:rPr>
      </w:pPr>
    </w:p>
    <w:p w14:paraId="35501099">
      <w:pPr>
        <w:snapToGrid w:val="0"/>
        <w:spacing w:line="360" w:lineRule="auto"/>
        <w:ind w:firstLine="420" w:firstLineChars="200"/>
        <w:rPr>
          <w:rFonts w:hint="eastAsia" w:ascii="宋体" w:hAnsi="宋体"/>
          <w:color w:val="auto"/>
          <w:highlight w:val="none"/>
        </w:rPr>
      </w:pPr>
    </w:p>
    <w:p w14:paraId="5B99904D">
      <w:pPr>
        <w:snapToGrid w:val="0"/>
        <w:spacing w:line="360" w:lineRule="auto"/>
        <w:ind w:firstLine="420" w:firstLineChars="200"/>
        <w:rPr>
          <w:rFonts w:hint="eastAsia" w:ascii="宋体" w:hAnsi="宋体"/>
          <w:color w:val="auto"/>
          <w:highlight w:val="none"/>
        </w:rPr>
      </w:pPr>
    </w:p>
    <w:p w14:paraId="6A72D8A5">
      <w:pPr>
        <w:snapToGrid w:val="0"/>
        <w:spacing w:line="360" w:lineRule="auto"/>
        <w:rPr>
          <w:rFonts w:hint="eastAsia" w:ascii="宋体" w:hAnsi="宋体"/>
          <w:color w:val="auto"/>
          <w:highlight w:val="none"/>
        </w:rPr>
      </w:pPr>
    </w:p>
    <w:p w14:paraId="52EE30CB">
      <w:pPr>
        <w:snapToGrid w:val="0"/>
        <w:spacing w:line="360" w:lineRule="auto"/>
        <w:ind w:firstLine="640" w:firstLineChars="200"/>
        <w:rPr>
          <w:rFonts w:hint="eastAsia" w:ascii="宋体" w:hAnsi="宋体"/>
          <w:color w:val="auto"/>
          <w:sz w:val="32"/>
          <w:szCs w:val="32"/>
          <w:highlight w:val="none"/>
          <w:u w:val="single"/>
        </w:rPr>
      </w:pPr>
      <w:r>
        <w:rPr>
          <w:rFonts w:ascii="宋体" w:hAnsi="宋体"/>
          <w:color w:val="auto"/>
          <w:sz w:val="32"/>
          <w:szCs w:val="32"/>
          <w:highlight w:val="none"/>
        </w:rPr>
        <w:t>甲方：</w:t>
      </w:r>
      <w:r>
        <w:rPr>
          <w:rFonts w:hint="eastAsia" w:ascii="宋体" w:hAnsi="宋体"/>
          <w:color w:val="auto"/>
          <w:sz w:val="32"/>
          <w:szCs w:val="32"/>
          <w:highlight w:val="none"/>
        </w:rPr>
        <w:t>吐鲁番开能环保能源有限公司</w:t>
      </w:r>
    </w:p>
    <w:p w14:paraId="16D2C972">
      <w:pPr>
        <w:snapToGrid w:val="0"/>
        <w:spacing w:line="360" w:lineRule="auto"/>
        <w:ind w:firstLine="640" w:firstLineChars="200"/>
        <w:rPr>
          <w:rFonts w:hint="eastAsia" w:ascii="宋体" w:hAnsi="宋体"/>
          <w:b/>
          <w:color w:val="auto"/>
          <w:sz w:val="32"/>
          <w:szCs w:val="32"/>
          <w:highlight w:val="none"/>
        </w:rPr>
      </w:pPr>
      <w:r>
        <w:rPr>
          <w:rFonts w:ascii="宋体" w:hAnsi="宋体"/>
          <w:color w:val="auto"/>
          <w:sz w:val="32"/>
          <w:szCs w:val="32"/>
          <w:highlight w:val="none"/>
        </w:rPr>
        <w:t>乙方：</w:t>
      </w:r>
    </w:p>
    <w:p w14:paraId="2F86CAE5">
      <w:pPr>
        <w:snapToGrid w:val="0"/>
        <w:spacing w:line="360" w:lineRule="auto"/>
        <w:ind w:firstLine="640" w:firstLineChars="200"/>
        <w:rPr>
          <w:rFonts w:hint="eastAsia" w:ascii="宋体" w:hAnsi="宋体"/>
          <w:color w:val="auto"/>
          <w:sz w:val="32"/>
          <w:szCs w:val="32"/>
          <w:highlight w:val="none"/>
          <w:u w:val="single"/>
        </w:rPr>
      </w:pPr>
    </w:p>
    <w:p w14:paraId="61227AAC">
      <w:pPr>
        <w:snapToGrid w:val="0"/>
        <w:spacing w:line="360" w:lineRule="auto"/>
        <w:ind w:firstLine="640" w:firstLineChars="200"/>
        <w:rPr>
          <w:rFonts w:hint="eastAsia" w:ascii="宋体" w:hAnsi="宋体"/>
          <w:color w:val="auto"/>
          <w:sz w:val="32"/>
          <w:szCs w:val="32"/>
          <w:highlight w:val="none"/>
          <w:u w:val="single"/>
        </w:rPr>
      </w:pPr>
    </w:p>
    <w:p w14:paraId="02C8FD44">
      <w:pPr>
        <w:spacing w:line="360" w:lineRule="auto"/>
        <w:jc w:val="center"/>
        <w:rPr>
          <w:rFonts w:hint="eastAsia" w:ascii="宋体" w:hAnsi="宋体"/>
          <w:b/>
          <w:color w:val="auto"/>
          <w:szCs w:val="21"/>
          <w:highlight w:val="none"/>
          <w:u w:val="single"/>
        </w:rPr>
        <w:sectPr>
          <w:footerReference r:id="rId11" w:type="first"/>
          <w:headerReference r:id="rId7" w:type="default"/>
          <w:footerReference r:id="rId9" w:type="default"/>
          <w:headerReference r:id="rId8" w:type="even"/>
          <w:footerReference r:id="rId10" w:type="even"/>
          <w:pgSz w:w="11907" w:h="16840"/>
          <w:pgMar w:top="1440" w:right="1077" w:bottom="1440" w:left="1077" w:header="851" w:footer="1021" w:gutter="454"/>
          <w:cols w:space="720" w:num="1"/>
          <w:titlePg/>
          <w:docGrid w:linePitch="326" w:charSpace="0"/>
        </w:sectPr>
      </w:pPr>
      <w:r>
        <w:rPr>
          <w:rFonts w:hint="eastAsia" w:ascii="宋体" w:hAnsi="宋体"/>
          <w:color w:val="auto"/>
          <w:sz w:val="32"/>
          <w:szCs w:val="32"/>
          <w:highlight w:val="none"/>
        </w:rPr>
        <w:t>202</w:t>
      </w:r>
      <w:r>
        <w:rPr>
          <w:rFonts w:hint="eastAsia" w:ascii="宋体" w:hAnsi="宋体"/>
          <w:color w:val="auto"/>
          <w:sz w:val="32"/>
          <w:szCs w:val="32"/>
          <w:highlight w:val="none"/>
          <w:lang w:val="en-US" w:eastAsia="zh-CN"/>
        </w:rPr>
        <w:t>6</w:t>
      </w:r>
      <w:r>
        <w:rPr>
          <w:rFonts w:ascii="宋体" w:hAnsi="宋体"/>
          <w:color w:val="auto"/>
          <w:sz w:val="32"/>
          <w:szCs w:val="32"/>
          <w:highlight w:val="none"/>
        </w:rPr>
        <w:t xml:space="preserve">年 </w:t>
      </w:r>
    </w:p>
    <w:p w14:paraId="73A8D8F1">
      <w:pPr>
        <w:tabs>
          <w:tab w:val="right" w:pos="8306"/>
        </w:tabs>
        <w:spacing w:line="360" w:lineRule="auto"/>
        <w:rPr>
          <w:rFonts w:hint="eastAsia" w:ascii="宋体" w:hAnsi="宋体" w:cs="宋体"/>
          <w:snapToGrid w:val="0"/>
          <w:color w:val="auto"/>
          <w:szCs w:val="21"/>
          <w:highlight w:val="none"/>
        </w:rPr>
      </w:pPr>
    </w:p>
    <w:p w14:paraId="2F977B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本合同双方根据《中华人民共和国民法典》、《中华人民共和国产品质量法》等有关法律、法规规定，经充分协商，现就甲方向乙方采购相关货物事宜达成以下协议：</w:t>
      </w:r>
    </w:p>
    <w:p w14:paraId="6159A3D4">
      <w:pPr>
        <w:spacing w:line="360" w:lineRule="auto"/>
        <w:ind w:firstLine="420" w:firstLineChars="200"/>
        <w:rPr>
          <w:rFonts w:hint="eastAsia" w:ascii="宋体" w:hAnsi="宋体" w:cs="宋体"/>
          <w:color w:val="auto"/>
          <w:szCs w:val="21"/>
          <w:highlight w:val="none"/>
        </w:rPr>
      </w:pPr>
    </w:p>
    <w:p w14:paraId="46EED5A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采购货物清单及合同价款</w:t>
      </w:r>
    </w:p>
    <w:tbl>
      <w:tblPr>
        <w:tblStyle w:val="2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48"/>
        <w:gridCol w:w="677"/>
        <w:gridCol w:w="1146"/>
        <w:gridCol w:w="1184"/>
        <w:gridCol w:w="1216"/>
        <w:gridCol w:w="1268"/>
        <w:gridCol w:w="1125"/>
        <w:gridCol w:w="1125"/>
      </w:tblGrid>
      <w:tr w14:paraId="3C36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75" w:type="pct"/>
            <w:vAlign w:val="center"/>
          </w:tcPr>
          <w:p w14:paraId="5386649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00" w:type="pct"/>
            <w:vAlign w:val="center"/>
          </w:tcPr>
          <w:p w14:paraId="65CEE7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351" w:type="pct"/>
            <w:vAlign w:val="center"/>
          </w:tcPr>
          <w:p w14:paraId="4D86904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595" w:type="pct"/>
            <w:vAlign w:val="center"/>
          </w:tcPr>
          <w:p w14:paraId="3E597D62">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计划采购供货量</w:t>
            </w:r>
          </w:p>
        </w:tc>
        <w:tc>
          <w:tcPr>
            <w:tcW w:w="615" w:type="pct"/>
            <w:vAlign w:val="center"/>
          </w:tcPr>
          <w:p w14:paraId="0A2BFC09">
            <w:pPr>
              <w:spacing w:line="360" w:lineRule="auto"/>
              <w:jc w:val="center"/>
              <w:rPr>
                <w:rFonts w:hint="eastAsia" w:hAnsi="宋体"/>
                <w:b/>
                <w:color w:val="auto"/>
                <w:szCs w:val="21"/>
                <w:highlight w:val="none"/>
              </w:rPr>
            </w:pPr>
            <w:r>
              <w:rPr>
                <w:rFonts w:hint="eastAsia" w:hAnsi="宋体"/>
                <w:b/>
                <w:color w:val="auto"/>
                <w:szCs w:val="21"/>
                <w:highlight w:val="none"/>
              </w:rPr>
              <w:t>综合单价</w:t>
            </w:r>
          </w:p>
          <w:p w14:paraId="54709A2B">
            <w:pPr>
              <w:spacing w:line="360" w:lineRule="auto"/>
              <w:jc w:val="center"/>
              <w:rPr>
                <w:rFonts w:hint="eastAsia" w:ascii="宋体" w:hAnsi="宋体" w:cs="宋体"/>
                <w:b/>
                <w:color w:val="auto"/>
                <w:szCs w:val="21"/>
                <w:highlight w:val="none"/>
              </w:rPr>
            </w:pPr>
            <w:r>
              <w:rPr>
                <w:rFonts w:hint="eastAsia" w:hAnsi="宋体"/>
                <w:b/>
                <w:color w:val="auto"/>
                <w:szCs w:val="21"/>
                <w:highlight w:val="none"/>
              </w:rPr>
              <w:t>（元/吨）</w:t>
            </w:r>
          </w:p>
        </w:tc>
        <w:tc>
          <w:tcPr>
            <w:tcW w:w="632" w:type="pct"/>
            <w:vAlign w:val="center"/>
          </w:tcPr>
          <w:p w14:paraId="7ED7469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暂定总价</w:t>
            </w:r>
          </w:p>
          <w:p w14:paraId="23BC59C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（含税）</w:t>
            </w:r>
          </w:p>
        </w:tc>
        <w:tc>
          <w:tcPr>
            <w:tcW w:w="659" w:type="pct"/>
            <w:vAlign w:val="center"/>
          </w:tcPr>
          <w:p w14:paraId="0BCC633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暂定总价</w:t>
            </w:r>
          </w:p>
          <w:p w14:paraId="3B05D7A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（不含税）</w:t>
            </w:r>
          </w:p>
        </w:tc>
        <w:tc>
          <w:tcPr>
            <w:tcW w:w="584" w:type="pct"/>
            <w:vAlign w:val="center"/>
          </w:tcPr>
          <w:p w14:paraId="6A2E990D">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税额</w:t>
            </w:r>
          </w:p>
        </w:tc>
        <w:tc>
          <w:tcPr>
            <w:tcW w:w="584" w:type="pct"/>
            <w:vAlign w:val="center"/>
          </w:tcPr>
          <w:p w14:paraId="5DA85BB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2ECD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75" w:type="pct"/>
            <w:vAlign w:val="center"/>
          </w:tcPr>
          <w:p w14:paraId="0EF97B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00" w:type="pct"/>
            <w:vAlign w:val="center"/>
          </w:tcPr>
          <w:p w14:paraId="14080A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煤泥</w:t>
            </w:r>
          </w:p>
        </w:tc>
        <w:tc>
          <w:tcPr>
            <w:tcW w:w="351" w:type="pct"/>
            <w:vAlign w:val="center"/>
          </w:tcPr>
          <w:p w14:paraId="138F7E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吨</w:t>
            </w:r>
          </w:p>
        </w:tc>
        <w:tc>
          <w:tcPr>
            <w:tcW w:w="595" w:type="pct"/>
            <w:vAlign w:val="center"/>
          </w:tcPr>
          <w:p w14:paraId="0306D9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50000</w:t>
            </w:r>
          </w:p>
        </w:tc>
        <w:tc>
          <w:tcPr>
            <w:tcW w:w="615" w:type="pct"/>
            <w:vAlign w:val="center"/>
          </w:tcPr>
          <w:p w14:paraId="38CAECFC">
            <w:pPr>
              <w:spacing w:line="360" w:lineRule="auto"/>
              <w:jc w:val="center"/>
              <w:rPr>
                <w:rFonts w:hint="eastAsia" w:ascii="宋体" w:hAnsi="宋体" w:cs="宋体"/>
                <w:color w:val="auto"/>
                <w:szCs w:val="21"/>
                <w:highlight w:val="none"/>
              </w:rPr>
            </w:pPr>
          </w:p>
        </w:tc>
        <w:tc>
          <w:tcPr>
            <w:tcW w:w="632" w:type="pct"/>
            <w:vAlign w:val="center"/>
          </w:tcPr>
          <w:p w14:paraId="5BF2581D">
            <w:pPr>
              <w:spacing w:line="360" w:lineRule="auto"/>
              <w:jc w:val="center"/>
              <w:rPr>
                <w:rFonts w:hint="eastAsia" w:ascii="宋体" w:hAnsi="宋体" w:cs="宋体"/>
                <w:color w:val="auto"/>
                <w:szCs w:val="21"/>
                <w:highlight w:val="none"/>
              </w:rPr>
            </w:pPr>
          </w:p>
        </w:tc>
        <w:tc>
          <w:tcPr>
            <w:tcW w:w="659" w:type="pct"/>
            <w:vAlign w:val="center"/>
          </w:tcPr>
          <w:p w14:paraId="7B2B35D6">
            <w:pPr>
              <w:spacing w:line="360" w:lineRule="auto"/>
              <w:jc w:val="center"/>
              <w:rPr>
                <w:rFonts w:hint="eastAsia" w:ascii="宋体" w:hAnsi="宋体" w:cs="宋体"/>
                <w:color w:val="auto"/>
                <w:szCs w:val="21"/>
                <w:highlight w:val="none"/>
              </w:rPr>
            </w:pPr>
          </w:p>
        </w:tc>
        <w:tc>
          <w:tcPr>
            <w:tcW w:w="584" w:type="pct"/>
            <w:vAlign w:val="center"/>
          </w:tcPr>
          <w:p w14:paraId="43BD42C3">
            <w:pPr>
              <w:spacing w:line="360" w:lineRule="auto"/>
              <w:jc w:val="center"/>
              <w:rPr>
                <w:rFonts w:hint="eastAsia" w:ascii="宋体" w:hAnsi="宋体" w:cs="宋体"/>
                <w:color w:val="auto"/>
                <w:szCs w:val="21"/>
                <w:highlight w:val="none"/>
              </w:rPr>
            </w:pPr>
          </w:p>
        </w:tc>
        <w:tc>
          <w:tcPr>
            <w:tcW w:w="584" w:type="pct"/>
            <w:vAlign w:val="center"/>
          </w:tcPr>
          <w:p w14:paraId="3E889214">
            <w:pPr>
              <w:spacing w:line="360" w:lineRule="auto"/>
              <w:jc w:val="center"/>
              <w:rPr>
                <w:rFonts w:hint="eastAsia" w:ascii="宋体" w:hAnsi="宋体" w:cs="宋体"/>
                <w:color w:val="auto"/>
                <w:szCs w:val="21"/>
                <w:highlight w:val="none"/>
              </w:rPr>
            </w:pPr>
          </w:p>
        </w:tc>
      </w:tr>
      <w:tr w14:paraId="5F5F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5" w:hRule="atLeast"/>
          <w:jc w:val="center"/>
        </w:trPr>
        <w:tc>
          <w:tcPr>
            <w:tcW w:w="5000" w:type="pct"/>
            <w:gridSpan w:val="9"/>
          </w:tcPr>
          <w:p w14:paraId="5CDEDE5E">
            <w:pPr>
              <w:spacing w:line="360" w:lineRule="auto"/>
              <w:rPr>
                <w:color w:val="auto"/>
                <w:highlight w:val="none"/>
              </w:rPr>
            </w:pPr>
            <w:r>
              <w:rPr>
                <w:rFonts w:hint="eastAsia"/>
                <w:color w:val="auto"/>
                <w:highlight w:val="none"/>
              </w:rPr>
              <w:t xml:space="preserve">注：1.综合单价已包含  13 % 增值税专用发票。综合单价包括但不限于货物生产前准备、生产、运输（运输到甲方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6D05A86B">
            <w:pPr>
              <w:spacing w:line="360" w:lineRule="auto"/>
              <w:rPr>
                <w:color w:val="auto"/>
                <w:highlight w:val="none"/>
              </w:rPr>
            </w:pPr>
            <w:r>
              <w:rPr>
                <w:rFonts w:hint="eastAsia"/>
                <w:color w:val="auto"/>
                <w:highlight w:val="none"/>
              </w:rPr>
              <w:t>2、此价格包括合同货物及相关的技术服务等费用，还包括合同货物的税费、所有货物包装费、运输费、装卸费、保险费等与本合同中乙方应承担的所有义务和所有工作的有关费用。</w:t>
            </w:r>
          </w:p>
          <w:p w14:paraId="0D1AFCC5">
            <w:pPr>
              <w:spacing w:line="360" w:lineRule="auto"/>
              <w:rPr>
                <w:color w:val="auto"/>
                <w:highlight w:val="none"/>
              </w:rPr>
            </w:pPr>
            <w:r>
              <w:rPr>
                <w:rFonts w:hint="eastAsia"/>
                <w:color w:val="auto"/>
                <w:highlight w:val="none"/>
              </w:rPr>
              <w:t>3.上述数量为乙方计划供应数量。实际采购数量以甲方实际需求为准。具体每批送货数量以甲方通知为准。</w:t>
            </w:r>
          </w:p>
        </w:tc>
      </w:tr>
    </w:tbl>
    <w:p w14:paraId="7B52E36B">
      <w:pPr>
        <w:spacing w:line="360" w:lineRule="auto"/>
        <w:ind w:firstLine="420" w:firstLineChars="200"/>
        <w:rPr>
          <w:rFonts w:hint="eastAsia" w:ascii="宋体" w:hAnsi="宋体" w:cs="宋体"/>
          <w:b/>
          <w:bCs/>
          <w:color w:val="auto"/>
          <w:szCs w:val="21"/>
          <w:highlight w:val="none"/>
        </w:rPr>
      </w:pPr>
    </w:p>
    <w:p w14:paraId="35EB8206">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第二条  质量标准及考核：货物的质量标准和性能应当同时满足下列要求：</w:t>
      </w:r>
    </w:p>
    <w:p w14:paraId="26E7E74A">
      <w:pPr>
        <w:tabs>
          <w:tab w:val="left" w:pos="79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1、煤泥技术参数需求：</w:t>
      </w:r>
    </w:p>
    <w:p w14:paraId="480033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1、含水分＜15%，低位收到基发热量大于等于2400kcal/kg，粒度＜30mm。</w:t>
      </w:r>
    </w:p>
    <w:p w14:paraId="4AB309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有权对</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所供货物进行化验，若化验结果达不到双方合同约定的热值标准，经供方要求,可协商收货,协商单价热量折算，热量每下降1%，价格降低1%。热值低于1500Kcal/kg,甲方拒绝收货。</w:t>
      </w:r>
    </w:p>
    <w:p w14:paraId="57575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3、本项目采购的煤泥用于吐鲁番开能环保能源有限公司锅炉掺烧使用，</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所供货物必须满足现场使用需求，确保现场使用过程中不会出现板结、堵塞等情况，否则，</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必须在满足以上货物参数的前提下，在</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要求的期限内对所供货物进行调整至满足现场使用要求。如货物经</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调整后一周内仍在现场使用中发生板结、堵塞等情况的，</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有权单方面终止合同。</w:t>
      </w:r>
    </w:p>
    <w:p w14:paraId="23505C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4、国家标准、行业标准、地方标准、厂家标准中的最高标准。</w:t>
      </w:r>
    </w:p>
    <w:p w14:paraId="5CE7D01C">
      <w:pPr>
        <w:spacing w:line="360" w:lineRule="auto"/>
        <w:ind w:firstLine="420" w:firstLineChars="200"/>
        <w:rPr>
          <w:rFonts w:hint="eastAsia" w:ascii="宋体" w:hAnsi="宋体" w:cs="宋体"/>
          <w:b/>
          <w:color w:val="auto"/>
          <w:szCs w:val="21"/>
          <w:highlight w:val="none"/>
        </w:rPr>
      </w:pPr>
    </w:p>
    <w:p w14:paraId="4427B24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第三条  质量保证期</w:t>
      </w:r>
    </w:p>
    <w:p w14:paraId="41EEAA5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1.质量保证期按</w:t>
      </w:r>
      <w:r>
        <w:rPr>
          <w:rFonts w:hint="eastAsia" w:ascii="宋体" w:hAnsi="宋体" w:cs="宋体"/>
          <w:color w:val="auto"/>
          <w:szCs w:val="21"/>
          <w:highlight w:val="none"/>
          <w:u w:val="single"/>
        </w:rPr>
        <w:t>（3）</w:t>
      </w:r>
      <w:r>
        <w:rPr>
          <w:rFonts w:hint="eastAsia" w:ascii="宋体" w:hAnsi="宋体" w:cs="宋体"/>
          <w:bCs/>
          <w:color w:val="auto"/>
          <w:szCs w:val="21"/>
          <w:highlight w:val="none"/>
        </w:rPr>
        <w:t>执行。</w:t>
      </w:r>
    </w:p>
    <w:p w14:paraId="7C0A1BC1">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（1）交付后</w:t>
      </w:r>
      <w:r>
        <w:rPr>
          <w:rFonts w:hint="eastAsia" w:ascii="宋体" w:hAnsi="宋体" w:cs="宋体"/>
          <w:color w:val="auto"/>
          <w:szCs w:val="21"/>
          <w:highlight w:val="none"/>
          <w:u w:val="single"/>
        </w:rPr>
        <w:t>﹨</w:t>
      </w:r>
      <w:r>
        <w:rPr>
          <w:rFonts w:hint="eastAsia" w:ascii="宋体" w:hAnsi="宋体" w:cs="宋体"/>
          <w:bCs/>
          <w:color w:val="auto"/>
          <w:szCs w:val="21"/>
          <w:highlight w:val="none"/>
        </w:rPr>
        <w:t>个月保质期；</w:t>
      </w:r>
      <w:r>
        <w:rPr>
          <w:rFonts w:hint="eastAsia" w:ascii="宋体" w:hAnsi="宋体" w:cs="宋体"/>
          <w:bCs/>
          <w:vanish/>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正常运行</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个月；（3）初步验收合格之日起</w:t>
      </w:r>
      <w:r>
        <w:rPr>
          <w:rFonts w:hint="eastAsia" w:ascii="宋体" w:hAnsi="宋体" w:cs="宋体"/>
          <w:color w:val="auto"/>
          <w:szCs w:val="21"/>
          <w:highlight w:val="none"/>
          <w:u w:val="single"/>
        </w:rPr>
        <w:t>6</w:t>
      </w:r>
      <w:r>
        <w:rPr>
          <w:rFonts w:hint="eastAsia" w:ascii="宋体" w:hAnsi="宋体" w:cs="宋体"/>
          <w:color w:val="auto"/>
          <w:szCs w:val="21"/>
          <w:highlight w:val="none"/>
        </w:rPr>
        <w:t>个月；</w:t>
      </w:r>
    </w:p>
    <w:p w14:paraId="2EE9BED1">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2.如果乙方知道或者应当知道所出卖产品存在质量缺陷，所承担的质量保证期限不受前款质量负责期限的约束，应依法承担相应责任。</w:t>
      </w:r>
    </w:p>
    <w:p w14:paraId="584A16D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第四条  包装标准、包装物的供应与回收</w:t>
      </w:r>
    </w:p>
    <w:p w14:paraId="2D5C0C4E">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1.产品所需包装由乙方合理包装并符合技术附件的要求（如有），适合水运和/或长途内陆运输，防潮，防湿，防震，符合甲方使用要求。  </w:t>
      </w:r>
    </w:p>
    <w:p w14:paraId="3F50D5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2.包装物由乙方提供，不计费、</w:t>
      </w:r>
      <w:r>
        <w:rPr>
          <w:rFonts w:hint="eastAsia" w:ascii="宋体" w:hAnsi="宋体" w:cs="宋体"/>
          <w:color w:val="auto"/>
          <w:szCs w:val="21"/>
          <w:highlight w:val="none"/>
          <w:u w:val="single"/>
        </w:rPr>
        <w:t>乙方</w:t>
      </w:r>
      <w:r>
        <w:rPr>
          <w:rFonts w:hint="eastAsia" w:ascii="宋体" w:hAnsi="宋体" w:cs="宋体"/>
          <w:color w:val="auto"/>
          <w:szCs w:val="21"/>
          <w:highlight w:val="none"/>
        </w:rPr>
        <w:t>回收。</w:t>
      </w:r>
    </w:p>
    <w:p w14:paraId="1B08DB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3.运输过程中乙方需严格遵守当地交通相关政策要求通严格遵守环保法规要求。</w:t>
      </w:r>
    </w:p>
    <w:p w14:paraId="043BACF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交货时间、地点及供货期限</w:t>
      </w:r>
    </w:p>
    <w:p w14:paraId="00663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1.交货地点：新疆维吾尔自治区吐鲁番市托克逊县阿乐惠镇吐鲁番开能环保能源有限公司（圣雄电石厂内）。交货联系人：赵波19909957272。</w:t>
      </w:r>
    </w:p>
    <w:p w14:paraId="6D8F2F44">
      <w:pPr>
        <w:tabs>
          <w:tab w:val="left" w:pos="0"/>
          <w:tab w:val="left" w:pos="709"/>
        </w:tabs>
        <w:spacing w:line="360" w:lineRule="auto"/>
        <w:ind w:firstLine="420" w:firstLineChars="200"/>
        <w:rPr>
          <w:rFonts w:hint="eastAsia" w:ascii="宋体" w:hAnsi="宋体" w:cs="宋体"/>
          <w:bCs/>
          <w:snapToGrid w:val="0"/>
          <w:color w:val="auto"/>
          <w:szCs w:val="21"/>
          <w:highlight w:val="none"/>
        </w:rPr>
      </w:pPr>
      <w:r>
        <w:rPr>
          <w:rFonts w:hint="eastAsia" w:ascii="宋体" w:hAnsi="宋体" w:cs="宋体"/>
          <w:color w:val="auto"/>
          <w:szCs w:val="21"/>
          <w:highlight w:val="none"/>
        </w:rPr>
        <w:t>2.交货时间及顺序：经甲方提前2日以书面、微信、电子邮件或短信通知后，乙方需确保在5天内交货到厂。乙方在收到甲方书面、微信、电子邮件或短信等通知后应立即供货，如不能在约定时间内及时供货时，则承担逾期供货相关责任。</w:t>
      </w:r>
      <w:r>
        <w:rPr>
          <w:rFonts w:hint="eastAsia" w:ascii="宋体" w:hAnsi="宋体" w:cs="宋体"/>
          <w:bCs/>
          <w:snapToGrid w:val="0"/>
          <w:color w:val="auto"/>
          <w:szCs w:val="21"/>
          <w:highlight w:val="none"/>
        </w:rPr>
        <w:t>本次采购不限定每次采购的时间、数量。乙方应当根据甲方的随时通知在上述期限内及时供货。乙方应当自行预估并且承担由此可能带来的风险。</w:t>
      </w:r>
    </w:p>
    <w:p w14:paraId="291542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3.紧急供货：如甲方的任一项目因突发状况要求紧急供货，乙方应在收到甲方通知后根据甲方订单或电子邮件、短信等要求在48个小时内交货到厂。如不能在约定时间交货到厂，则承担逾期交货相关责任。</w:t>
      </w:r>
    </w:p>
    <w:p w14:paraId="2FACFD7C">
      <w:pPr>
        <w:tabs>
          <w:tab w:val="left" w:pos="0"/>
          <w:tab w:val="left" w:pos="709"/>
        </w:tabs>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供货期限：</w:t>
      </w:r>
    </w:p>
    <w:p w14:paraId="1A854ED2">
      <w:pPr>
        <w:tabs>
          <w:tab w:val="left" w:pos="0"/>
          <w:tab w:val="left" w:pos="709"/>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供货期限为：自合同签订之日起满一年。开始送货时间以甲方通知为准。</w:t>
      </w:r>
    </w:p>
    <w:p w14:paraId="7C7E1855">
      <w:pPr>
        <w:tabs>
          <w:tab w:val="left" w:pos="0"/>
          <w:tab w:val="left" w:pos="709"/>
        </w:tabs>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合同执行期间，甲方有权根据项目实际需求提前终止合同，选择不继续采购乙方货物，乙方不得要求甲方继续采购乙方货物或要求赔偿。</w:t>
      </w:r>
    </w:p>
    <w:p w14:paraId="0C78628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合理损耗标准及计算方法</w:t>
      </w:r>
    </w:p>
    <w:p w14:paraId="016798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1.双方共同确定的计量方法，即</w:t>
      </w:r>
      <w:r>
        <w:rPr>
          <w:rFonts w:hint="eastAsia" w:ascii="宋体" w:hAnsi="宋体" w:cs="宋体"/>
          <w:color w:val="auto"/>
          <w:szCs w:val="21"/>
          <w:highlight w:val="none"/>
          <w:u w:val="single"/>
        </w:rPr>
        <w:t>甲方厂区内地磅计量法。</w:t>
      </w:r>
    </w:p>
    <w:p w14:paraId="7E5046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2.根据上述方法乙方向甲方实际交付的产品数量在本合同约定的合理损耗（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%）的范围内，乙方不承担责任。</w:t>
      </w:r>
    </w:p>
    <w:p w14:paraId="68A7A49D">
      <w:pPr>
        <w:spacing w:line="360" w:lineRule="auto"/>
        <w:ind w:firstLine="420" w:firstLineChars="200"/>
        <w:rPr>
          <w:rFonts w:hint="eastAsia" w:ascii="宋体" w:hAnsi="宋体" w:cs="宋体"/>
          <w:color w:val="auto"/>
          <w:szCs w:val="21"/>
          <w:highlight w:val="none"/>
        </w:rPr>
      </w:pPr>
    </w:p>
    <w:p w14:paraId="02631027">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货物的保管风险及所有权的转移</w:t>
      </w:r>
    </w:p>
    <w:p w14:paraId="2D6F5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1.货物的保管风险自交付至甲方指定的交货地点之时转移至甲方，即在约定时间、约定地点交付之前货物的保管风险由乙方承担，交付之后货物的保管风险由甲方承担。</w:t>
      </w:r>
    </w:p>
    <w:p w14:paraId="238EC0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2.货物的所有权自</w:t>
      </w:r>
      <w:r>
        <w:rPr>
          <w:rFonts w:hint="eastAsia" w:ascii="宋体" w:hAnsi="宋体" w:cs="宋体"/>
          <w:color w:val="auto"/>
          <w:szCs w:val="21"/>
          <w:highlight w:val="none"/>
          <w:u w:val="single"/>
        </w:rPr>
        <w:t>交付</w:t>
      </w:r>
      <w:r>
        <w:rPr>
          <w:rFonts w:hint="eastAsia" w:ascii="宋体" w:hAnsi="宋体" w:cs="宋体"/>
          <w:color w:val="auto"/>
          <w:szCs w:val="21"/>
          <w:highlight w:val="none"/>
        </w:rPr>
        <w:t>起转移至甲方。</w:t>
      </w:r>
    </w:p>
    <w:p w14:paraId="368D2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3.乙方迟延交付的，承担迟延期间货物的风险责任。</w:t>
      </w:r>
    </w:p>
    <w:p w14:paraId="5FC90C2F">
      <w:pPr>
        <w:spacing w:line="360" w:lineRule="auto"/>
        <w:ind w:firstLine="420" w:firstLineChars="200"/>
        <w:rPr>
          <w:rFonts w:hint="eastAsia" w:ascii="宋体" w:hAnsi="宋体" w:cs="宋体"/>
          <w:color w:val="auto"/>
          <w:szCs w:val="21"/>
          <w:highlight w:val="none"/>
        </w:rPr>
      </w:pPr>
    </w:p>
    <w:p w14:paraId="3EE546C2">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运输方法</w:t>
      </w:r>
      <w:r>
        <w:rPr>
          <w:rFonts w:hint="eastAsia" w:ascii="宋体" w:hAnsi="宋体" w:cs="宋体"/>
          <w:color w:val="auto"/>
          <w:szCs w:val="21"/>
          <w:highlight w:val="none"/>
        </w:rPr>
        <w:t>、</w:t>
      </w:r>
      <w:r>
        <w:rPr>
          <w:rFonts w:hint="eastAsia" w:ascii="宋体" w:hAnsi="宋体" w:cs="宋体"/>
          <w:b/>
          <w:color w:val="auto"/>
          <w:szCs w:val="21"/>
          <w:highlight w:val="none"/>
        </w:rPr>
        <w:t>运费及运输保险负担、到达站（港）</w:t>
      </w:r>
      <w:r>
        <w:rPr>
          <w:rFonts w:hint="eastAsia" w:ascii="宋体" w:hAnsi="宋体" w:cs="宋体"/>
          <w:color w:val="auto"/>
          <w:szCs w:val="21"/>
          <w:highlight w:val="none"/>
          <w:u w:val="single"/>
        </w:rPr>
        <w:t xml:space="preserve">   ﹨      </w:t>
      </w:r>
      <w:r>
        <w:rPr>
          <w:rFonts w:hint="eastAsia" w:ascii="宋体" w:hAnsi="宋体" w:cs="宋体"/>
          <w:b/>
          <w:color w:val="auto"/>
          <w:szCs w:val="21"/>
          <w:highlight w:val="none"/>
        </w:rPr>
        <w:t>。</w:t>
      </w:r>
    </w:p>
    <w:p w14:paraId="7CD8589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1.运输方法：乙方须用</w:t>
      </w:r>
      <w:r>
        <w:rPr>
          <w:rFonts w:hint="eastAsia" w:ascii="宋体" w:hAnsi="宋体" w:cs="宋体"/>
          <w:color w:val="auto"/>
          <w:szCs w:val="21"/>
          <w:highlight w:val="none"/>
          <w:lang w:val="en-US" w:eastAsia="zh-CN"/>
        </w:rPr>
        <w:t>满足道路运输法规的车辆</w:t>
      </w:r>
      <w:r>
        <w:rPr>
          <w:rFonts w:hint="eastAsia" w:ascii="宋体" w:hAnsi="宋体" w:cs="宋体"/>
          <w:color w:val="auto"/>
          <w:szCs w:val="21"/>
          <w:highlight w:val="none"/>
        </w:rPr>
        <w:t>运输合同货物。按最新交通运输法，载货后整车总质量必须</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rPr>
        <w:t>49吨。以上由乙方承担运输及装卸等费用，自行卸货。</w:t>
      </w:r>
    </w:p>
    <w:p w14:paraId="12CB8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2.费用负担：按</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执行。</w:t>
      </w:r>
    </w:p>
    <w:p w14:paraId="257CC0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（1）运费已包含在本合同价款内；（2）运输费用</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元，由甲方另行支付。</w:t>
      </w:r>
    </w:p>
    <w:p w14:paraId="3DE0F2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3.由乙方代办托运的保险受益人为甲方。保险费已包含在本合同价款内。</w:t>
      </w:r>
    </w:p>
    <w:p w14:paraId="79BFB23A">
      <w:pPr>
        <w:spacing w:line="360" w:lineRule="auto"/>
        <w:ind w:firstLine="420" w:firstLineChars="200"/>
        <w:rPr>
          <w:rFonts w:hint="eastAsia" w:ascii="宋体" w:hAnsi="宋体" w:cs="宋体"/>
          <w:color w:val="auto"/>
          <w:szCs w:val="21"/>
          <w:highlight w:val="none"/>
        </w:rPr>
      </w:pPr>
    </w:p>
    <w:p w14:paraId="4A255B59">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第九条  检验标准、方法</w:t>
      </w:r>
    </w:p>
    <w:p w14:paraId="162E3D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1.检验标准：按本合同第二条质量标准进行检验。</w:t>
      </w:r>
    </w:p>
    <w:p w14:paraId="070C4E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2.验收方式：按</w:t>
      </w:r>
      <w:r>
        <w:rPr>
          <w:rFonts w:hint="eastAsia" w:ascii="宋体" w:hAnsi="宋体" w:cs="宋体"/>
          <w:color w:val="auto"/>
          <w:szCs w:val="21"/>
          <w:highlight w:val="none"/>
          <w:u w:val="single"/>
        </w:rPr>
        <w:t xml:space="preserve"> 以下标准</w:t>
      </w:r>
      <w:r>
        <w:rPr>
          <w:rFonts w:hint="eastAsia" w:ascii="宋体" w:hAnsi="宋体" w:cs="宋体"/>
          <w:color w:val="auto"/>
          <w:szCs w:val="21"/>
          <w:highlight w:val="none"/>
        </w:rPr>
        <w:t>执行。</w:t>
      </w:r>
    </w:p>
    <w:p w14:paraId="52EDD43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车次过磅后，乙方送达产品到甲方指定地点进行抽样取样，每次取样时，供需双方应当共同见证取样，且取样单须经供需双方共同签字签章确认（乙方拒绝派人参加取样或者拒绝签字盖章确认的，不影响甲方取样的效力）。</w:t>
      </w:r>
    </w:p>
    <w:p w14:paraId="08F31FB8">
      <w:pPr>
        <w:widowControl/>
        <w:tabs>
          <w:tab w:val="left" w:pos="792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）不予收货：乙方货物经第三方检测机构检验确认，热值低于1500kcal/kg，则拒绝收货，且确认为本车次产品不合格。</w:t>
      </w:r>
    </w:p>
    <w:p w14:paraId="1A3AF113">
      <w:pPr>
        <w:widowControl/>
        <w:adjustRightInd w:val="0"/>
        <w:snapToGrid w:val="0"/>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snapToGrid w:val="0"/>
          <w:color w:val="auto"/>
          <w:szCs w:val="21"/>
          <w:highlight w:val="none"/>
        </w:rPr>
        <w:t>第三方检测：</w:t>
      </w:r>
    </w:p>
    <w:p w14:paraId="623F2152">
      <w:pPr>
        <w:widowControl/>
        <w:adjustRightInd w:val="0"/>
        <w:snapToGrid w:val="0"/>
        <w:spacing w:line="360" w:lineRule="auto"/>
        <w:ind w:firstLine="420" w:firstLineChars="20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①甲方有权每月随机抽检1次样品送第三方检测（检测项目为</w:t>
      </w:r>
      <w:r>
        <w:rPr>
          <w:rFonts w:hint="eastAsia" w:ascii="宋体" w:hAnsi="宋体" w:cs="宋体"/>
          <w:snapToGrid w:val="0"/>
          <w:color w:val="auto"/>
          <w:szCs w:val="21"/>
          <w:highlight w:val="none"/>
          <w:lang w:val="en-US" w:eastAsia="zh-CN"/>
        </w:rPr>
        <w:t>水分</w:t>
      </w:r>
      <w:r>
        <w:rPr>
          <w:rFonts w:hint="eastAsia" w:ascii="宋体" w:hAnsi="宋体" w:cs="宋体"/>
          <w:snapToGrid w:val="0"/>
          <w:color w:val="auto"/>
          <w:szCs w:val="21"/>
          <w:highlight w:val="none"/>
        </w:rPr>
        <w:t>、</w:t>
      </w:r>
      <w:r>
        <w:rPr>
          <w:rFonts w:hint="eastAsia" w:ascii="宋体" w:hAnsi="宋体" w:cs="宋体"/>
          <w:snapToGrid w:val="0"/>
          <w:color w:val="auto"/>
          <w:szCs w:val="21"/>
          <w:highlight w:val="none"/>
          <w:lang w:val="en-US" w:eastAsia="zh-CN"/>
        </w:rPr>
        <w:t>热值、</w:t>
      </w:r>
      <w:r>
        <w:rPr>
          <w:rFonts w:hint="eastAsia" w:ascii="宋体" w:hAnsi="宋体" w:cs="宋体"/>
          <w:snapToGrid w:val="0"/>
          <w:color w:val="auto"/>
          <w:szCs w:val="21"/>
          <w:highlight w:val="none"/>
        </w:rPr>
        <w:t>粒度等项目）：</w:t>
      </w:r>
      <w:r>
        <w:rPr>
          <w:rFonts w:hint="eastAsia" w:ascii="宋体" w:hAnsi="宋体" w:cs="宋体"/>
          <w:color w:val="auto"/>
          <w:szCs w:val="21"/>
          <w:highlight w:val="none"/>
        </w:rPr>
        <w:t>双方明确三家具有省级或以上级别的计量认证资格证书（CMA）的第三方检测机构，由现场使用单位将样品随机送检</w:t>
      </w:r>
      <w:r>
        <w:rPr>
          <w:rFonts w:hint="eastAsia" w:ascii="宋体" w:hAnsi="宋体" w:cs="宋体"/>
          <w:snapToGrid w:val="0"/>
          <w:color w:val="auto"/>
          <w:szCs w:val="21"/>
          <w:highlight w:val="none"/>
        </w:rPr>
        <w:t>，检验费用（含寄送费用、检测费用等）由乙方承担（如乙方拒付时，甲方有权从应付乙方的货款中直接扣除）。如因乙方未按时支付检测费用导致检测报告滞后出结果影响到付款时间，由乙方自行承担延误付款的不利后果，甲方概不负责。</w:t>
      </w:r>
    </w:p>
    <w:p w14:paraId="2AEE2234">
      <w:pPr>
        <w:widowControl/>
        <w:adjustRightInd w:val="0"/>
        <w:snapToGrid w:val="0"/>
        <w:spacing w:line="360" w:lineRule="auto"/>
        <w:ind w:firstLine="420" w:firstLineChars="20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w:t>
      </w: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）检测内容及结果的应用:</w:t>
      </w:r>
    </w:p>
    <w:p w14:paraId="0CA2EF73">
      <w:pPr>
        <w:widowControl/>
        <w:adjustRightInd w:val="0"/>
        <w:snapToGrid w:val="0"/>
        <w:spacing w:line="360" w:lineRule="auto"/>
        <w:ind w:firstLine="420" w:firstLineChars="20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①每份检测报告内容包括但不限于：送检样品图片、样品封条（如有）、检验标准等技术需求书中规定的检测内容。</w:t>
      </w:r>
    </w:p>
    <w:p w14:paraId="61C8B7FC">
      <w:pPr>
        <w:widowControl/>
        <w:adjustRightInd w:val="0"/>
        <w:snapToGrid w:val="0"/>
        <w:spacing w:line="360" w:lineRule="auto"/>
        <w:ind w:firstLine="420" w:firstLineChars="20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②复检处理：若某车次货物第1份送检样品的第三方检测报告不合格，如乙方要求复检，</w:t>
      </w:r>
      <w:r>
        <w:rPr>
          <w:rFonts w:hint="eastAsia" w:ascii="宋体" w:hAnsi="宋体" w:cs="宋体"/>
          <w:color w:val="auto"/>
          <w:szCs w:val="21"/>
          <w:highlight w:val="none"/>
        </w:rPr>
        <w:t>则由甲方将该车次2份备样在确定的三家检测单位中指定一家送检，检测费用由</w:t>
      </w:r>
      <w:r>
        <w:rPr>
          <w:rFonts w:hint="eastAsia" w:ascii="宋体" w:hAnsi="宋体" w:cs="宋体"/>
          <w:color w:val="auto"/>
          <w:szCs w:val="21"/>
          <w:highlight w:val="none"/>
          <w:lang w:eastAsia="zh-CN"/>
        </w:rPr>
        <w:t>乙</w:t>
      </w:r>
      <w:r>
        <w:rPr>
          <w:rFonts w:hint="eastAsia" w:ascii="宋体" w:hAnsi="宋体" w:cs="宋体"/>
          <w:color w:val="auto"/>
          <w:szCs w:val="21"/>
          <w:highlight w:val="none"/>
        </w:rPr>
        <w:t>方承担（包括送检运费、检测费用等）。</w:t>
      </w:r>
      <w:r>
        <w:rPr>
          <w:rFonts w:hint="eastAsia" w:ascii="宋体" w:hAnsi="宋体" w:cs="宋体"/>
          <w:snapToGrid w:val="0"/>
          <w:color w:val="auto"/>
          <w:szCs w:val="21"/>
          <w:highlight w:val="none"/>
        </w:rPr>
        <w:t xml:space="preserve"> 2份备样检测全部合格则视为该车次货物合格，乙方免于处罚，合格检测报告作为该车次货物的结算依据；若有1份备样检测不合格，则视为该车次货物不合格，不予支付该不合格车次货款。</w:t>
      </w:r>
    </w:p>
    <w:p w14:paraId="6C473B00">
      <w:pPr>
        <w:pStyle w:val="64"/>
        <w:widowControl/>
        <w:adjustRightInd w:val="0"/>
        <w:snapToGrid w:val="0"/>
        <w:spacing w:line="360" w:lineRule="auto"/>
        <w:ind w:firstLine="420" w:firstLineChars="200"/>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③第三方检测报告（如有复检，按复检的第三方检测报告）作为货物结算依据。如每车次货物甲方实验室初步检验报告、所有电厂项目中每月二次随机抽检的第三方检测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不合格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03AF63E4">
      <w:pPr>
        <w:numPr>
          <w:ilvl w:val="0"/>
          <w:numId w:val="0"/>
        </w:numPr>
        <w:ind w:firstLine="210" w:firstLineChars="100"/>
        <w:rPr>
          <w:rFonts w:hint="eastAsia" w:ascii="宋体" w:hAnsi="宋体" w:cs="宋体"/>
          <w:color w:val="auto"/>
          <w:szCs w:val="21"/>
          <w:highlight w:val="none"/>
        </w:rPr>
      </w:pP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lang w:val="en-US" w:eastAsia="zh-CN"/>
        </w:rPr>
        <w:t>5</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若甲方在运行生产使用过程中，乙方的产品被甲方上级主管部门检查质量不</w:t>
      </w:r>
      <w:r>
        <w:rPr>
          <w:rFonts w:hint="eastAsia" w:ascii="宋体" w:hAnsi="宋体" w:cs="宋体"/>
          <w:color w:val="auto"/>
          <w:szCs w:val="21"/>
          <w:highlight w:val="none"/>
        </w:rPr>
        <w:t>合格，并对甲方做出相关处罚，由此所产生的责任及甲方损失全由乙方承担。</w:t>
      </w:r>
    </w:p>
    <w:p w14:paraId="7A97E316">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履约担保及退回</w:t>
      </w:r>
    </w:p>
    <w:p w14:paraId="2FEFCB37">
      <w:pPr>
        <w:adjustRightInd w:val="0"/>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1、本合同的履约担保金额为人民币￥</w:t>
      </w:r>
      <w:r>
        <w:rPr>
          <w:rFonts w:hint="eastAsia" w:ascii="宋体" w:hAnsi="宋体" w:cs="宋体"/>
          <w:color w:val="auto"/>
          <w:sz w:val="22"/>
          <w:szCs w:val="22"/>
          <w:highlight w:val="none"/>
          <w:lang w:val="en-US" w:eastAsia="zh-CN"/>
        </w:rPr>
        <w:t>36</w:t>
      </w:r>
      <w:r>
        <w:rPr>
          <w:rFonts w:hint="eastAsia" w:ascii="宋体" w:hAnsi="宋体" w:cs="宋体"/>
          <w:color w:val="auto"/>
          <w:sz w:val="22"/>
          <w:szCs w:val="22"/>
          <w:highlight w:val="none"/>
        </w:rPr>
        <w:t>000.00元 （大写：</w:t>
      </w:r>
      <w:r>
        <w:rPr>
          <w:rFonts w:hint="eastAsia" w:ascii="宋体" w:hAnsi="宋体" w:cs="宋体"/>
          <w:color w:val="auto"/>
          <w:sz w:val="22"/>
          <w:szCs w:val="22"/>
          <w:highlight w:val="none"/>
          <w:lang w:val="en-US" w:eastAsia="zh-CN"/>
        </w:rPr>
        <w:t>叁万陆仟</w:t>
      </w:r>
      <w:r>
        <w:rPr>
          <w:rFonts w:hint="eastAsia" w:ascii="宋体" w:hAnsi="宋体" w:cs="宋体"/>
          <w:color w:val="auto"/>
          <w:sz w:val="22"/>
          <w:szCs w:val="22"/>
          <w:highlight w:val="none"/>
        </w:rPr>
        <w:t>元整），由乙方所缴纳的投标保证金转化</w:t>
      </w:r>
      <w:r>
        <w:rPr>
          <w:rFonts w:hint="eastAsia" w:ascii="宋体" w:hAnsi="宋体" w:cs="宋体"/>
          <w:color w:val="auto"/>
          <w:kern w:val="44"/>
          <w:sz w:val="22"/>
          <w:szCs w:val="22"/>
          <w:highlight w:val="none"/>
        </w:rPr>
        <w:t>。</w:t>
      </w:r>
      <w:r>
        <w:rPr>
          <w:rFonts w:hint="eastAsia" w:ascii="宋体" w:hAnsi="宋体" w:cs="宋体"/>
          <w:color w:val="auto"/>
          <w:sz w:val="22"/>
          <w:szCs w:val="22"/>
          <w:highlight w:val="none"/>
        </w:rPr>
        <w:t>作为甲方对乙方合约履行的保证，如乙方违约，甲方则有权从该履约保证金中扣除。</w:t>
      </w:r>
    </w:p>
    <w:p w14:paraId="1D53B926">
      <w:pPr>
        <w:adjustRightInd w:val="0"/>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2FF2BB2D">
      <w:pPr>
        <w:adjustRightInd w:val="0"/>
        <w:snapToGrid w:val="0"/>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3、履约保证金不足支付部分，甲方有权另行向乙方索赔。</w:t>
      </w:r>
    </w:p>
    <w:p w14:paraId="0E03750F">
      <w:pPr>
        <w:spacing w:line="360" w:lineRule="auto"/>
        <w:ind w:firstLine="440" w:firstLineChars="200"/>
        <w:rPr>
          <w:color w:val="auto"/>
          <w:highlight w:val="none"/>
        </w:rPr>
      </w:pPr>
      <w:r>
        <w:rPr>
          <w:rFonts w:hint="eastAsia" w:ascii="宋体" w:hAnsi="宋体" w:cs="宋体"/>
          <w:color w:val="auto"/>
          <w:sz w:val="22"/>
          <w:szCs w:val="22"/>
          <w:highlight w:val="none"/>
        </w:rPr>
        <w:t>4、乙方依照本合同约定全面履行义务，并经甲方书面同意后，</w:t>
      </w:r>
      <w:r>
        <w:rPr>
          <w:rFonts w:hint="eastAsia" w:ascii="宋体" w:hAnsi="宋体" w:cs="宋体"/>
          <w:color w:val="auto"/>
          <w:kern w:val="44"/>
          <w:sz w:val="22"/>
          <w:szCs w:val="22"/>
          <w:highlight w:val="none"/>
        </w:rPr>
        <w:t>履约担保在完成本合同全部义务且质保期（如有）满后二十八天内无息退还。</w:t>
      </w:r>
    </w:p>
    <w:p w14:paraId="35AE6D6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第十一条 付款方式及付款条件</w:t>
      </w:r>
    </w:p>
    <w:p w14:paraId="7FA8080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 在合同供货期内，乙方每次供货完成并经甲方验收合格后的一个月内支付以电汇/转账/银行承兑汇票等方式对应款项。每次结算付款金额按照固定综合单价×实际供货数量进行确定。</w:t>
      </w:r>
    </w:p>
    <w:p w14:paraId="6C488E7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款项支付前，乙方应向甲方提交以下资料：</w:t>
      </w:r>
    </w:p>
    <w:p w14:paraId="368E6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A．标的货物经甲方地磅计量的实际重量；</w:t>
      </w:r>
    </w:p>
    <w:p w14:paraId="0FE1DC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B．开具金额为该月验收合格货物总价100%的增值税专用发票；</w:t>
      </w:r>
    </w:p>
    <w:p w14:paraId="66E44A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C．乙方向甲方缴纳的履约担保证明资料（首次支付时需要）；</w:t>
      </w:r>
    </w:p>
    <w:p w14:paraId="5EFFA7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D．送货清单（甲方指定收货人签字确认）；</w:t>
      </w:r>
    </w:p>
    <w:p w14:paraId="32D1E93F">
      <w:pPr>
        <w:spacing w:line="360" w:lineRule="auto"/>
        <w:ind w:firstLine="420" w:firstLineChars="200"/>
        <w:rPr>
          <w:color w:val="auto"/>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．开具金额为该批次验收合格货物总价100％的13%的增值税专用发票（在合同履行期间，如遇国家的税率调整，则货款（价税合计）应根据原不含税价和调整后的税率重新计算，相应发票按调整后价格开具）；</w:t>
      </w:r>
    </w:p>
    <w:p w14:paraId="39EDED41">
      <w:pPr>
        <w:tabs>
          <w:tab w:val="left" w:pos="6597"/>
        </w:tabs>
        <w:autoSpaceDE w:val="0"/>
        <w:autoSpaceDN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2．乙方确认其收款银行账户如下：</w:t>
      </w:r>
    </w:p>
    <w:p w14:paraId="77B3A882">
      <w:pPr>
        <w:pStyle w:val="64"/>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账户名称：</w:t>
      </w:r>
    </w:p>
    <w:p w14:paraId="42547185">
      <w:pPr>
        <w:pStyle w:val="64"/>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14:paraId="3C93E38B">
      <w:pPr>
        <w:pStyle w:val="64"/>
        <w:spacing w:line="360" w:lineRule="auto"/>
        <w:ind w:firstLine="420" w:firstLineChars="200"/>
        <w:rPr>
          <w:color w:val="auto"/>
          <w:highlight w:val="none"/>
        </w:rPr>
      </w:pPr>
      <w:r>
        <w:rPr>
          <w:rFonts w:hint="eastAsia" w:ascii="宋体" w:hAnsi="宋体" w:cs="宋体"/>
          <w:color w:val="auto"/>
          <w:sz w:val="21"/>
          <w:szCs w:val="21"/>
          <w:highlight w:val="none"/>
        </w:rPr>
        <w:t>银行账号：</w:t>
      </w:r>
    </w:p>
    <w:p w14:paraId="108D1860">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不可抗力</w:t>
      </w:r>
    </w:p>
    <w:p w14:paraId="0FECD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0CCBC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2.由于不可抗力的原因，而不能履行合同或延迟履行合同的一方可视不可抗力的实际影响免除部分或全部违约责任。但受不可抗力影响的一方应在可能的情况下立即通知对方,并在不可抗力发生后</w:t>
      </w:r>
      <w:r>
        <w:rPr>
          <w:rFonts w:hint="eastAsia" w:ascii="宋体" w:hAnsi="宋体" w:cs="宋体"/>
          <w:color w:val="auto"/>
          <w:szCs w:val="21"/>
          <w:highlight w:val="none"/>
          <w:u w:val="single"/>
        </w:rPr>
        <w:t>7</w:t>
      </w:r>
      <w:r>
        <w:rPr>
          <w:rFonts w:hint="eastAsia" w:ascii="宋体" w:hAnsi="宋体" w:cs="宋体"/>
          <w:color w:val="auto"/>
          <w:szCs w:val="21"/>
          <w:highlight w:val="none"/>
        </w:rPr>
        <w:t>日内特快专递邮寄相关的主管部门签发的证明文件,以便其他各方审查、确认。</w:t>
      </w:r>
    </w:p>
    <w:p w14:paraId="0169F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3.发生不可抗力事件终止或消除后，受不可抗力影响的一方，应立即通知对方, 发生不可抗力事件终止或消除后</w:t>
      </w:r>
      <w:r>
        <w:rPr>
          <w:rFonts w:hint="eastAsia" w:ascii="宋体" w:hAnsi="宋体" w:cs="宋体"/>
          <w:color w:val="auto"/>
          <w:szCs w:val="21"/>
          <w:highlight w:val="none"/>
          <w:u w:val="single"/>
        </w:rPr>
        <w:t>7</w:t>
      </w:r>
      <w:r>
        <w:rPr>
          <w:rFonts w:hint="eastAsia" w:ascii="宋体" w:hAnsi="宋体" w:cs="宋体"/>
          <w:color w:val="auto"/>
          <w:szCs w:val="21"/>
          <w:highlight w:val="none"/>
        </w:rPr>
        <w:t>日内特快专递邮寄相关的主管部门签发的证明文件确认不可抗力事件的终止或消除。</w:t>
      </w:r>
    </w:p>
    <w:p w14:paraId="58A3D9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4.如果不可抗力的影响持续超过</w:t>
      </w:r>
      <w:r>
        <w:rPr>
          <w:rFonts w:hint="eastAsia" w:ascii="宋体" w:hAnsi="宋体" w:cs="宋体"/>
          <w:color w:val="auto"/>
          <w:szCs w:val="21"/>
          <w:highlight w:val="none"/>
          <w:u w:val="single"/>
        </w:rPr>
        <w:t>3个</w:t>
      </w:r>
      <w:r>
        <w:rPr>
          <w:rFonts w:hint="eastAsia" w:ascii="宋体" w:hAnsi="宋体" w:cs="宋体"/>
          <w:color w:val="auto"/>
          <w:szCs w:val="21"/>
          <w:highlight w:val="none"/>
        </w:rPr>
        <w:t>月，受不可抗力影响的一方应与对方取得联系，以便解决进一步履行合同的问题。</w:t>
      </w:r>
    </w:p>
    <w:p w14:paraId="20CB76D0">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rPr>
        <w:t xml:space="preserve"> 乙方应考虑因不可抗力或安全事故等突发因素导致甲方项目延期或停产而不能完成年度采购计划总量的情况，并自行承担风险。</w:t>
      </w:r>
    </w:p>
    <w:p w14:paraId="3899BE63">
      <w:pPr>
        <w:spacing w:line="360" w:lineRule="auto"/>
        <w:ind w:firstLine="420" w:firstLineChars="200"/>
        <w:rPr>
          <w:rFonts w:hint="eastAsia" w:ascii="宋体" w:hAnsi="宋体" w:cs="宋体"/>
          <w:color w:val="auto"/>
          <w:szCs w:val="21"/>
          <w:highlight w:val="none"/>
        </w:rPr>
      </w:pPr>
    </w:p>
    <w:p w14:paraId="7D29B7F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合同的变更和解除</w:t>
      </w:r>
    </w:p>
    <w:p w14:paraId="4483C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1.双方协商一致可变更或解除本合同。合同变更或解除应采取书面形式。</w:t>
      </w:r>
    </w:p>
    <w:p w14:paraId="0F7960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3E78AE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3.解除合同方在解除合同时，应履行通知对方义务。</w:t>
      </w:r>
    </w:p>
    <w:p w14:paraId="36C66D78">
      <w:pPr>
        <w:spacing w:line="360" w:lineRule="auto"/>
        <w:ind w:firstLine="420" w:firstLineChars="200"/>
        <w:rPr>
          <w:rFonts w:hint="eastAsia" w:ascii="宋体" w:hAnsi="宋体" w:cs="宋体"/>
          <w:b/>
          <w:color w:val="auto"/>
          <w:szCs w:val="21"/>
          <w:highlight w:val="none"/>
        </w:rPr>
      </w:pPr>
    </w:p>
    <w:p w14:paraId="7562713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违约责任</w:t>
      </w:r>
    </w:p>
    <w:p w14:paraId="5C9DC53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2BA38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3AE7932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6104AADC">
      <w:pPr>
        <w:pStyle w:val="64"/>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3.如乙方配送伪劣假冒的产品，一经查出，甲方有权立即终止本合同并追究乙方的违约责任，由此而引起的安全事故责任，由乙方承担全部责任。</w:t>
      </w:r>
    </w:p>
    <w:p w14:paraId="0B1BB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4.发生其他违约情形，违约方应赔偿由此给对方造成的损失。如属双方过错，应各自承担相应责任。</w:t>
      </w:r>
    </w:p>
    <w:p w14:paraId="40759E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5.乙方交付的货物不符合合同约定的数量，乙方应按甲方要求在</w:t>
      </w:r>
      <w:r>
        <w:rPr>
          <w:rFonts w:hint="eastAsia" w:ascii="宋体" w:hAnsi="宋体" w:cs="宋体"/>
          <w:color w:val="auto"/>
          <w:szCs w:val="21"/>
          <w:highlight w:val="none"/>
          <w:u w:val="single"/>
        </w:rPr>
        <w:t xml:space="preserve"> 两 </w:t>
      </w:r>
      <w:r>
        <w:rPr>
          <w:rFonts w:hint="eastAsia" w:ascii="宋体" w:hAnsi="宋体" w:cs="宋体"/>
          <w:color w:val="auto"/>
          <w:szCs w:val="21"/>
          <w:highlight w:val="none"/>
        </w:rPr>
        <w:t>日内补足货物数量，如在甲方通知的期限内，乙方未能进行更换或补足，则乙方应承担本合同第十四条第1款逾期交货的违约责任。同时甲方有权要求乙方赔偿因其不完全履约而造成的损失。</w:t>
      </w:r>
    </w:p>
    <w:p w14:paraId="7B41BE92">
      <w:pPr>
        <w:pStyle w:val="65"/>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6.乙方擅自解除合同或者因乙方违约造成甲方解除合同的，乙方应当向甲方支付合同暂定总价（</w:t>
      </w:r>
      <w:r>
        <w:rPr>
          <w:rFonts w:hint="eastAsia" w:ascii="宋体" w:hAnsi="宋体" w:cs="宋体"/>
          <w:snapToGrid w:val="0"/>
          <w:color w:val="auto"/>
          <w:sz w:val="21"/>
          <w:szCs w:val="21"/>
          <w:highlight w:val="none"/>
        </w:rPr>
        <w:t>计划供货量×中标综合单价</w:t>
      </w:r>
      <w:r>
        <w:rPr>
          <w:rFonts w:hint="eastAsia" w:ascii="宋体" w:hAnsi="宋体" w:cs="宋体"/>
          <w:color w:val="auto"/>
          <w:sz w:val="21"/>
          <w:szCs w:val="21"/>
          <w:highlight w:val="none"/>
        </w:rPr>
        <w:t>）2%的违约金并且赔偿甲方全部损失，同时甲方没收乙方的履约保证金。</w:t>
      </w:r>
    </w:p>
    <w:p w14:paraId="2438D6E9">
      <w:pPr>
        <w:tabs>
          <w:tab w:val="left" w:pos="792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7.如乙方交付的货物质量不符合合同约定标准，导致甲方设备故障，甲方有权解除合同，并且乙方应当向甲方支付合同暂定总价（</w:t>
      </w:r>
      <w:r>
        <w:rPr>
          <w:rFonts w:hint="eastAsia" w:ascii="宋体" w:hAnsi="宋体" w:cs="宋体"/>
          <w:snapToGrid w:val="0"/>
          <w:color w:val="auto"/>
          <w:szCs w:val="21"/>
          <w:highlight w:val="none"/>
        </w:rPr>
        <w:t>计划供货量×中标综合单价</w:t>
      </w:r>
      <w:r>
        <w:rPr>
          <w:rFonts w:hint="eastAsia" w:ascii="宋体" w:hAnsi="宋体" w:cs="宋体"/>
          <w:color w:val="auto"/>
          <w:szCs w:val="21"/>
          <w:highlight w:val="none"/>
        </w:rPr>
        <w:t>）2%的违约金，如该费用不足抵扣设备维修费，甲方有权继续追偿。</w:t>
      </w:r>
    </w:p>
    <w:p w14:paraId="33996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8.乙方违约金的支付不免除乙方在本合同项下的各项义务。</w:t>
      </w:r>
    </w:p>
    <w:p w14:paraId="1E8996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1F564D80">
      <w:pPr>
        <w:spacing w:line="360" w:lineRule="auto"/>
        <w:ind w:firstLine="420" w:firstLineChars="200"/>
        <w:rPr>
          <w:rFonts w:hint="eastAsia" w:ascii="宋体" w:hAnsi="宋体" w:cs="宋体"/>
          <w:b/>
          <w:bCs/>
          <w:color w:val="auto"/>
          <w:szCs w:val="21"/>
          <w:highlight w:val="none"/>
        </w:rPr>
      </w:pPr>
    </w:p>
    <w:p w14:paraId="4CE7F41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第十五条  法律适用及争议解决</w:t>
      </w:r>
    </w:p>
    <w:p w14:paraId="798B6F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1.本合同的订立、履行、变更、争议解决均适用中华人民共和国法律。</w:t>
      </w:r>
    </w:p>
    <w:p w14:paraId="75349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2.因本合同引起的或者在履行本合同过程中产生的任何争议，双方应当协商解决。双方协商不成时，任何一方均可向甲方所在地人民法院提起诉讼。</w:t>
      </w:r>
    </w:p>
    <w:p w14:paraId="7EB2C668">
      <w:pPr>
        <w:spacing w:line="360" w:lineRule="auto"/>
        <w:ind w:firstLine="420" w:firstLineChars="200"/>
        <w:rPr>
          <w:rFonts w:hint="eastAsia" w:ascii="宋体" w:hAnsi="宋体" w:cs="宋体"/>
          <w:b/>
          <w:color w:val="auto"/>
          <w:szCs w:val="21"/>
          <w:highlight w:val="none"/>
        </w:rPr>
      </w:pPr>
    </w:p>
    <w:p w14:paraId="2B727F7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第十六条  合同生效及其他</w:t>
      </w:r>
    </w:p>
    <w:p w14:paraId="6291B40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0AB5482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2.任何一方对因履行本合同而获悉的对方的商业秘密负有保密义务，未经对方书面允许，不得向任何第三方披露。违反上述约定，泄露对方商业秘密的一方应当赔偿对方的全部损失。</w:t>
      </w:r>
    </w:p>
    <w:p w14:paraId="679E4D3F">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3.本合同未尽事项，由甲、乙双方另行议定并签订补充协议。补充协议与本合同具有同等法律效力。谈判过程中形成的资料、意向与本合同不一致的一律以本合同为准。</w:t>
      </w:r>
    </w:p>
    <w:p w14:paraId="3F06497F">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6F3E5E4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5.任何一方联络方法发生变更的，应当及时书面通知另一方。在另一方收到对方变更通讯地址的通知之前，另一方根据变更前的地址所发出的通知应视为有效。</w:t>
      </w:r>
    </w:p>
    <w:p w14:paraId="46B3E57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6.本合同包括下列附件：</w:t>
      </w:r>
      <w:r>
        <w:rPr>
          <w:rFonts w:hint="eastAsia" w:ascii="宋体" w:hAnsi="宋体" w:cs="宋体"/>
          <w:color w:val="auto"/>
          <w:szCs w:val="21"/>
          <w:highlight w:val="none"/>
          <w:u w:val="single"/>
        </w:rPr>
        <w:t>合同签订时补充以及技术协议书、用户需求书、规格书、采购文件及投标文件（如有）等</w:t>
      </w:r>
      <w:r>
        <w:rPr>
          <w:rFonts w:hint="eastAsia" w:ascii="宋体" w:hAnsi="宋体" w:cs="宋体"/>
          <w:color w:val="auto"/>
          <w:szCs w:val="21"/>
          <w:highlight w:val="none"/>
        </w:rPr>
        <w:t>。该等附件均为本合同不可分割的组成部分，与本合同具有同等法律效力。合同附件与本合同内容发生冲突时，以对甲方有利的内容为准。</w:t>
      </w:r>
    </w:p>
    <w:p w14:paraId="7E77FDF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 本合同一式</w:t>
      </w:r>
      <w:r>
        <w:rPr>
          <w:rFonts w:hint="eastAsia" w:ascii="宋体" w:hAnsi="宋体" w:cs="宋体"/>
          <w:color w:val="auto"/>
          <w:szCs w:val="21"/>
          <w:highlight w:val="none"/>
          <w:u w:val="single"/>
        </w:rPr>
        <w:t>肆</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贰</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贰</w:t>
      </w:r>
      <w:r>
        <w:rPr>
          <w:rFonts w:hint="eastAsia" w:ascii="宋体" w:hAnsi="宋体" w:cs="宋体"/>
          <w:color w:val="auto"/>
          <w:szCs w:val="21"/>
          <w:highlight w:val="none"/>
        </w:rPr>
        <w:t>份，具有同等法律效力。</w:t>
      </w:r>
    </w:p>
    <w:p w14:paraId="5C57F6B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8.双方在签署本合同前已经认真研究了合同各条内容，对合同内容无异议，同意签署。</w:t>
      </w:r>
    </w:p>
    <w:p w14:paraId="35A033E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9.本合同自双方签字并盖章之日起生效，合同有效期自生效之日起至达到供货量止。</w:t>
      </w:r>
    </w:p>
    <w:p w14:paraId="5DF4F173">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10.其他约定：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8DFA744">
      <w:pPr>
        <w:tabs>
          <w:tab w:val="right" w:pos="8306"/>
        </w:tabs>
        <w:spacing w:line="360" w:lineRule="auto"/>
        <w:ind w:firstLine="420" w:firstLineChars="200"/>
        <w:rPr>
          <w:rFonts w:hint="eastAsia" w:ascii="宋体" w:hAnsi="宋体" w:cs="宋体"/>
          <w:b/>
          <w:bCs/>
          <w:snapToGrid w:val="0"/>
          <w:color w:val="auto"/>
          <w:szCs w:val="21"/>
          <w:highlight w:val="none"/>
        </w:rPr>
      </w:pPr>
    </w:p>
    <w:p w14:paraId="5720910D">
      <w:pPr>
        <w:tabs>
          <w:tab w:val="right" w:pos="8306"/>
        </w:tabs>
        <w:spacing w:line="360" w:lineRule="auto"/>
        <w:ind w:firstLine="420" w:firstLineChars="200"/>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第十七条  附件</w:t>
      </w:r>
    </w:p>
    <w:p w14:paraId="17698627">
      <w:pPr>
        <w:tabs>
          <w:tab w:val="right" w:pos="8306"/>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附件一、阳光合作协议</w:t>
      </w:r>
    </w:p>
    <w:p w14:paraId="464C4542">
      <w:pPr>
        <w:tabs>
          <w:tab w:val="right" w:pos="8306"/>
        </w:tabs>
        <w:spacing w:line="360" w:lineRule="auto"/>
        <w:ind w:firstLine="420" w:firstLineChars="200"/>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（以下为各方签署页，无正文）</w:t>
      </w:r>
    </w:p>
    <w:p w14:paraId="7709CC91">
      <w:pPr>
        <w:spacing w:line="360" w:lineRule="auto"/>
        <w:rPr>
          <w:rFonts w:hint="eastAsia"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（盖章页）</w:t>
      </w:r>
    </w:p>
    <w:p w14:paraId="4DF9BD7A">
      <w:pPr>
        <w:spacing w:line="360" w:lineRule="auto"/>
        <w:ind w:firstLine="420" w:firstLineChars="200"/>
        <w:rPr>
          <w:rFonts w:hint="eastAsia" w:ascii="宋体" w:hAnsi="宋体" w:cs="宋体"/>
          <w:b/>
          <w:color w:val="auto"/>
          <w:szCs w:val="21"/>
          <w:highlight w:val="none"/>
        </w:rPr>
      </w:pPr>
    </w:p>
    <w:p w14:paraId="00E6D341">
      <w:pPr>
        <w:spacing w:line="360" w:lineRule="exact"/>
        <w:ind w:left="-182" w:leftChars="-87" w:right="-512" w:rightChars="-244"/>
        <w:rPr>
          <w:rFonts w:hint="eastAsia" w:ascii="宋体" w:hAnsi="宋体" w:cs="宋体"/>
          <w:b/>
          <w:color w:val="auto"/>
          <w:szCs w:val="21"/>
          <w:highlight w:val="none"/>
        </w:rPr>
      </w:pPr>
      <w:r>
        <w:rPr>
          <w:rFonts w:hint="eastAsia" w:ascii="宋体" w:hAnsi="宋体" w:cs="宋体"/>
          <w:b/>
          <w:color w:val="auto"/>
          <w:szCs w:val="21"/>
          <w:highlight w:val="none"/>
        </w:rPr>
        <w:t>甲方：吐鲁番开能环保能源有限公司                    乙方：</w:t>
      </w:r>
    </w:p>
    <w:p w14:paraId="3243279A">
      <w:pPr>
        <w:spacing w:line="360" w:lineRule="exact"/>
        <w:ind w:left="-182" w:leftChars="-87" w:right="-512" w:rightChars="-244"/>
        <w:rPr>
          <w:rFonts w:hint="eastAsia" w:ascii="宋体" w:hAnsi="宋体" w:cs="宋体"/>
          <w:b/>
          <w:color w:val="auto"/>
          <w:szCs w:val="21"/>
          <w:highlight w:val="none"/>
        </w:rPr>
      </w:pPr>
      <w:r>
        <w:rPr>
          <w:rFonts w:hint="eastAsia" w:ascii="宋体" w:hAnsi="宋体" w:cs="宋体"/>
          <w:b/>
          <w:color w:val="auto"/>
          <w:szCs w:val="21"/>
          <w:highlight w:val="none"/>
        </w:rPr>
        <w:t>代表（签字）：                                    代表（签字）：</w:t>
      </w:r>
    </w:p>
    <w:p w14:paraId="55530142">
      <w:pPr>
        <w:spacing w:line="360" w:lineRule="exact"/>
        <w:ind w:left="-182" w:leftChars="-87" w:right="-512" w:rightChars="-244"/>
        <w:rPr>
          <w:rFonts w:hint="eastAsia" w:ascii="宋体" w:hAnsi="宋体" w:cs="宋体"/>
          <w:b/>
          <w:color w:val="auto"/>
          <w:szCs w:val="21"/>
          <w:highlight w:val="none"/>
        </w:rPr>
      </w:pPr>
    </w:p>
    <w:p w14:paraId="6C641CCC">
      <w:pPr>
        <w:spacing w:line="360" w:lineRule="exact"/>
        <w:ind w:left="-182" w:leftChars="-87" w:right="-512" w:rightChars="-244"/>
        <w:rPr>
          <w:rFonts w:hint="eastAsia" w:ascii="宋体" w:hAnsi="宋体" w:cs="宋体"/>
          <w:b/>
          <w:color w:val="auto"/>
          <w:szCs w:val="21"/>
          <w:highlight w:val="none"/>
        </w:rPr>
      </w:pPr>
      <w:r>
        <w:rPr>
          <w:rFonts w:hint="eastAsia" w:ascii="宋体" w:hAnsi="宋体" w:cs="宋体"/>
          <w:b/>
          <w:color w:val="auto"/>
          <w:szCs w:val="21"/>
          <w:highlight w:val="none"/>
        </w:rPr>
        <w:t>签订时间：                                        签订时间：</w:t>
      </w:r>
    </w:p>
    <w:p w14:paraId="57B1C222">
      <w:pPr>
        <w:spacing w:line="360" w:lineRule="exact"/>
        <w:ind w:left="-182" w:leftChars="-87" w:right="-512" w:rightChars="-244"/>
        <w:rPr>
          <w:rFonts w:hint="eastAsia" w:ascii="宋体" w:hAnsi="宋体" w:cs="宋体"/>
          <w:b/>
          <w:color w:val="auto"/>
          <w:szCs w:val="21"/>
          <w:highlight w:val="none"/>
        </w:rPr>
      </w:pPr>
    </w:p>
    <w:p w14:paraId="59716E4A">
      <w:pPr>
        <w:spacing w:line="360" w:lineRule="exact"/>
        <w:ind w:left="-182" w:leftChars="-87" w:right="-512" w:rightChars="-244"/>
        <w:rPr>
          <w:rFonts w:hint="eastAsia" w:ascii="宋体" w:hAnsi="宋体" w:cs="宋体"/>
          <w:b/>
          <w:color w:val="auto"/>
          <w:szCs w:val="21"/>
          <w:highlight w:val="none"/>
        </w:rPr>
      </w:pPr>
      <w:r>
        <w:rPr>
          <w:rFonts w:hint="eastAsia" w:ascii="宋体" w:hAnsi="宋体" w:cs="宋体"/>
          <w:b/>
          <w:color w:val="auto"/>
          <w:szCs w:val="21"/>
          <w:highlight w:val="none"/>
        </w:rPr>
        <w:t>电话：                                电话：</w:t>
      </w:r>
    </w:p>
    <w:p w14:paraId="6FA0E1D9">
      <w:pPr>
        <w:spacing w:line="360" w:lineRule="exact"/>
        <w:ind w:left="5698" w:leftChars="-87" w:right="-512" w:rightChars="-244" w:hanging="5880" w:hangingChars="2800"/>
        <w:jc w:val="left"/>
        <w:rPr>
          <w:rFonts w:hint="eastAsia" w:ascii="宋体" w:hAnsi="宋体" w:cs="宋体"/>
          <w:b/>
          <w:bCs/>
          <w:color w:val="auto"/>
          <w:szCs w:val="21"/>
          <w:highlight w:val="none"/>
        </w:rPr>
      </w:pPr>
      <w:r>
        <w:rPr>
          <w:rFonts w:hint="eastAsia" w:ascii="宋体" w:hAnsi="宋体" w:cs="宋体"/>
          <w:b/>
          <w:color w:val="auto"/>
          <w:szCs w:val="21"/>
          <w:highlight w:val="none"/>
        </w:rPr>
        <w:t>地址：</w:t>
      </w:r>
      <w:r>
        <w:rPr>
          <w:rFonts w:hint="eastAsia" w:ascii="宋体" w:hAnsi="宋体" w:cs="宋体"/>
          <w:b/>
          <w:bCs/>
          <w:color w:val="auto"/>
          <w:szCs w:val="21"/>
          <w:highlight w:val="none"/>
        </w:rPr>
        <w:t>新疆维吾尔族自治区吐鲁番市阿乐惠镇</w:t>
      </w:r>
      <w:r>
        <w:rPr>
          <w:rFonts w:hint="eastAsia" w:ascii="宋体" w:hAnsi="宋体" w:cs="宋体"/>
          <w:b/>
          <w:color w:val="auto"/>
          <w:szCs w:val="21"/>
          <w:highlight w:val="none"/>
        </w:rPr>
        <w:t xml:space="preserve">          地址：</w:t>
      </w:r>
    </w:p>
    <w:p w14:paraId="0A05414A">
      <w:pPr>
        <w:spacing w:line="360" w:lineRule="exact"/>
        <w:ind w:left="5698" w:leftChars="-87" w:right="-512" w:rightChars="-244" w:hanging="5880" w:hangingChars="28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 吐鲁番开能                                                          </w:t>
      </w:r>
    </w:p>
    <w:p w14:paraId="06A66650">
      <w:pPr>
        <w:spacing w:line="360" w:lineRule="exact"/>
        <w:ind w:left="5698" w:leftChars="-87" w:right="-512" w:rightChars="-244" w:hanging="5880" w:hangingChars="2800"/>
        <w:jc w:val="left"/>
        <w:rPr>
          <w:rFonts w:hint="eastAsia" w:ascii="宋体" w:hAnsi="宋体" w:cs="宋体"/>
          <w:b/>
          <w:color w:val="auto"/>
          <w:szCs w:val="21"/>
          <w:highlight w:val="none"/>
        </w:rPr>
      </w:pPr>
      <w:r>
        <w:rPr>
          <w:rFonts w:hint="eastAsia" w:ascii="宋体" w:hAnsi="宋体" w:cs="宋体"/>
          <w:b/>
          <w:bCs/>
          <w:color w:val="auto"/>
          <w:szCs w:val="21"/>
          <w:highlight w:val="none"/>
        </w:rPr>
        <w:t xml:space="preserve">                                                 </w:t>
      </w:r>
    </w:p>
    <w:p w14:paraId="38AFC7E8">
      <w:pPr>
        <w:spacing w:line="360" w:lineRule="exact"/>
        <w:ind w:right="-512" w:rightChars="-244"/>
        <w:jc w:val="left"/>
        <w:rPr>
          <w:rFonts w:hint="eastAsia" w:ascii="宋体" w:hAnsi="宋体" w:cs="宋体"/>
          <w:b/>
          <w:bCs/>
          <w:color w:val="auto"/>
          <w:szCs w:val="21"/>
          <w:highlight w:val="none"/>
        </w:rPr>
      </w:pPr>
    </w:p>
    <w:p w14:paraId="4A94D5A3">
      <w:pPr>
        <w:spacing w:line="360" w:lineRule="exact"/>
        <w:ind w:left="5068" w:leftChars="-87" w:right="-512" w:rightChars="-244" w:hanging="5250" w:hangingChars="2500"/>
        <w:rPr>
          <w:rFonts w:hint="eastAsia" w:ascii="宋体" w:hAnsi="宋体" w:cs="宋体"/>
          <w:b/>
          <w:color w:val="auto"/>
          <w:szCs w:val="21"/>
          <w:highlight w:val="none"/>
        </w:rPr>
      </w:pPr>
      <w:r>
        <w:rPr>
          <w:rFonts w:hint="eastAsia" w:ascii="宋体" w:hAnsi="宋体" w:cs="宋体"/>
          <w:b/>
          <w:color w:val="auto"/>
          <w:szCs w:val="21"/>
          <w:highlight w:val="none"/>
        </w:rPr>
        <w:t>开户行：</w:t>
      </w:r>
      <w:r>
        <w:rPr>
          <w:rFonts w:hint="eastAsia" w:ascii="宋体" w:hAnsi="宋体" w:cs="宋体"/>
          <w:b/>
          <w:bCs/>
          <w:color w:val="auto"/>
          <w:szCs w:val="21"/>
          <w:highlight w:val="none"/>
        </w:rPr>
        <w:t xml:space="preserve">中国工商银行股份有限公司托克逊支行 </w:t>
      </w:r>
      <w:r>
        <w:rPr>
          <w:rFonts w:hint="eastAsia" w:ascii="宋体" w:hAnsi="宋体" w:cs="宋体"/>
          <w:b/>
          <w:color w:val="auto"/>
          <w:szCs w:val="21"/>
          <w:highlight w:val="none"/>
        </w:rPr>
        <w:t xml:space="preserve">             开户行：                                            </w:t>
      </w:r>
    </w:p>
    <w:p w14:paraId="4AD4BD8F">
      <w:pPr>
        <w:spacing w:line="360" w:lineRule="exact"/>
        <w:ind w:left="-182" w:leftChars="-87" w:right="-512" w:rightChars="-244"/>
        <w:rPr>
          <w:rFonts w:hint="eastAsia" w:ascii="宋体" w:hAnsi="宋体" w:cs="宋体"/>
          <w:b/>
          <w:color w:val="auto"/>
          <w:szCs w:val="21"/>
          <w:highlight w:val="none"/>
        </w:rPr>
      </w:pPr>
    </w:p>
    <w:p w14:paraId="5E78EDA4">
      <w:pPr>
        <w:spacing w:line="360" w:lineRule="exact"/>
        <w:ind w:left="-182" w:leftChars="-87" w:right="-512" w:rightChars="-244"/>
        <w:rPr>
          <w:rFonts w:hint="eastAsia" w:ascii="宋体" w:hAnsi="宋体" w:cs="宋体"/>
          <w:b/>
          <w:color w:val="auto"/>
          <w:szCs w:val="21"/>
          <w:highlight w:val="none"/>
        </w:rPr>
      </w:pPr>
      <w:r>
        <w:rPr>
          <w:rFonts w:hint="eastAsia" w:ascii="宋体" w:hAnsi="宋体" w:cs="宋体"/>
          <w:b/>
          <w:color w:val="auto"/>
          <w:szCs w:val="21"/>
          <w:highlight w:val="none"/>
        </w:rPr>
        <w:t>账号：</w:t>
      </w:r>
      <w:r>
        <w:rPr>
          <w:rFonts w:ascii="宋体" w:hAnsi="宋体" w:cs="宋体"/>
          <w:b/>
          <w:color w:val="auto"/>
          <w:szCs w:val="21"/>
          <w:highlight w:val="none"/>
        </w:rPr>
        <w:t>3005293109200127655</w:t>
      </w:r>
      <w:r>
        <w:rPr>
          <w:rFonts w:hint="eastAsia" w:ascii="宋体" w:hAnsi="宋体" w:cs="宋体"/>
          <w:b/>
          <w:color w:val="auto"/>
          <w:szCs w:val="21"/>
          <w:highlight w:val="none"/>
        </w:rPr>
        <w:t xml:space="preserve">                          账号：</w:t>
      </w:r>
    </w:p>
    <w:p w14:paraId="60418C7C">
      <w:pPr>
        <w:rPr>
          <w:color w:val="auto"/>
          <w:highlight w:val="none"/>
          <w:lang w:bidi="zh-CN"/>
        </w:rPr>
      </w:pPr>
    </w:p>
    <w:p w14:paraId="4DB75E11">
      <w:pPr>
        <w:rPr>
          <w:color w:val="auto"/>
          <w:highlight w:val="none"/>
          <w:lang w:bidi="zh-CN"/>
        </w:rPr>
      </w:pPr>
    </w:p>
    <w:p w14:paraId="0EA09708">
      <w:pPr>
        <w:rPr>
          <w:color w:val="auto"/>
          <w:highlight w:val="none"/>
          <w:lang w:bidi="zh-CN"/>
        </w:rPr>
      </w:pPr>
    </w:p>
    <w:p w14:paraId="41CED41D">
      <w:pPr>
        <w:rPr>
          <w:color w:val="auto"/>
          <w:highlight w:val="none"/>
          <w:lang w:bidi="zh-CN"/>
        </w:rPr>
      </w:pPr>
    </w:p>
    <w:p w14:paraId="36AC3DF1">
      <w:pPr>
        <w:rPr>
          <w:color w:val="auto"/>
          <w:highlight w:val="none"/>
          <w:lang w:bidi="zh-CN"/>
        </w:rPr>
      </w:pPr>
    </w:p>
    <w:p w14:paraId="08D1257D">
      <w:pPr>
        <w:rPr>
          <w:color w:val="auto"/>
          <w:highlight w:val="none"/>
          <w:lang w:bidi="zh-CN"/>
        </w:rPr>
      </w:pPr>
    </w:p>
    <w:p w14:paraId="5A97E534">
      <w:pPr>
        <w:rPr>
          <w:color w:val="auto"/>
          <w:highlight w:val="none"/>
          <w:lang w:bidi="zh-CN"/>
        </w:rPr>
      </w:pPr>
    </w:p>
    <w:p w14:paraId="1040EFF5">
      <w:pPr>
        <w:rPr>
          <w:color w:val="auto"/>
          <w:highlight w:val="none"/>
          <w:lang w:bidi="zh-CN"/>
        </w:rPr>
      </w:pPr>
    </w:p>
    <w:p w14:paraId="26424B58">
      <w:pPr>
        <w:rPr>
          <w:color w:val="auto"/>
          <w:highlight w:val="none"/>
          <w:lang w:bidi="zh-CN"/>
        </w:rPr>
      </w:pPr>
    </w:p>
    <w:p w14:paraId="5851316E">
      <w:pPr>
        <w:rPr>
          <w:color w:val="auto"/>
          <w:highlight w:val="none"/>
          <w:lang w:bidi="zh-CN"/>
        </w:rPr>
      </w:pPr>
    </w:p>
    <w:p w14:paraId="1D2C2446">
      <w:pPr>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附件1</w:t>
      </w:r>
    </w:p>
    <w:p w14:paraId="41784761">
      <w:pPr>
        <w:spacing w:line="360" w:lineRule="auto"/>
        <w:jc w:val="center"/>
        <w:rPr>
          <w:rFonts w:hint="eastAsia" w:ascii="微软雅黑" w:hAnsi="微软雅黑" w:eastAsia="微软雅黑" w:cs="微软雅黑"/>
          <w:b/>
          <w:bCs/>
          <w:color w:val="auto"/>
          <w:sz w:val="44"/>
          <w:szCs w:val="44"/>
          <w:highlight w:val="none"/>
        </w:rPr>
      </w:pPr>
      <w:r>
        <w:rPr>
          <w:rFonts w:hint="eastAsia" w:ascii="宋体" w:hAnsi="宋体" w:cs="宋体"/>
          <w:b/>
          <w:bCs/>
          <w:color w:val="auto"/>
          <w:sz w:val="30"/>
          <w:szCs w:val="30"/>
          <w:highlight w:val="none"/>
        </w:rPr>
        <w:t>阳光合作协议</w:t>
      </w:r>
    </w:p>
    <w:p w14:paraId="3E5725B0">
      <w:pPr>
        <w:spacing w:line="360"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甲方（全称）：</w:t>
      </w:r>
      <w:r>
        <w:rPr>
          <w:rFonts w:hint="eastAsia" w:ascii="宋体" w:hAnsi="宋体" w:cs="宋体"/>
          <w:color w:val="auto"/>
          <w:sz w:val="22"/>
          <w:szCs w:val="22"/>
          <w:highlight w:val="none"/>
          <w:u w:val="single"/>
        </w:rPr>
        <w:t xml:space="preserve">吐鲁番开能环保能源有限公司                              </w:t>
      </w:r>
    </w:p>
    <w:p w14:paraId="304D956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乙方（全称）：</w:t>
      </w:r>
      <w:r>
        <w:rPr>
          <w:rFonts w:hint="eastAsia" w:ascii="宋体" w:hAnsi="宋体" w:cs="宋体"/>
          <w:color w:val="auto"/>
          <w:sz w:val="22"/>
          <w:szCs w:val="22"/>
          <w:highlight w:val="none"/>
          <w:u w:val="single"/>
        </w:rPr>
        <w:t xml:space="preserve">*******                              </w:t>
      </w:r>
    </w:p>
    <w:p w14:paraId="2B6A2AD3">
      <w:pPr>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甲乙双方于    年   月   日签署了</w:t>
      </w:r>
      <w:r>
        <w:rPr>
          <w:rFonts w:hint="eastAsia" w:ascii="宋体" w:hAnsi="宋体" w:cs="宋体"/>
          <w:color w:val="auto"/>
          <w:sz w:val="22"/>
          <w:szCs w:val="22"/>
          <w:highlight w:val="none"/>
          <w:u w:val="single"/>
        </w:rPr>
        <w:t>吐鲁番开能环保能源有限公司202</w:t>
      </w:r>
      <w:r>
        <w:rPr>
          <w:rFonts w:hint="eastAsia" w:ascii="宋体" w:hAnsi="宋体" w:cs="宋体"/>
          <w:color w:val="auto"/>
          <w:sz w:val="22"/>
          <w:szCs w:val="22"/>
          <w:highlight w:val="none"/>
          <w:u w:val="single"/>
          <w:lang w:val="en-US" w:eastAsia="zh-CN"/>
        </w:rPr>
        <w:t>6</w:t>
      </w:r>
      <w:r>
        <w:rPr>
          <w:rFonts w:hint="eastAsia" w:ascii="宋体" w:hAnsi="宋体" w:cs="宋体"/>
          <w:color w:val="auto"/>
          <w:sz w:val="22"/>
          <w:szCs w:val="22"/>
          <w:highlight w:val="none"/>
          <w:u w:val="single"/>
        </w:rPr>
        <w:t>年煤泥采购合同</w:t>
      </w:r>
      <w:r>
        <w:rPr>
          <w:rFonts w:hint="eastAsia" w:ascii="宋体" w:hAnsi="宋体" w:cs="宋体"/>
          <w:color w:val="auto"/>
          <w:sz w:val="22"/>
          <w:szCs w:val="22"/>
          <w:highlight w:val="none"/>
        </w:rPr>
        <w:t>（以下简称原合同），为加强双方阳光合作，保证职员职业安全，甲乙双方经协商签订本协议并作为双方共同遵守的阳光合作行为准则。</w:t>
      </w:r>
    </w:p>
    <w:p w14:paraId="22F9AB48">
      <w:pPr>
        <w:numPr>
          <w:ilvl w:val="0"/>
          <w:numId w:val="4"/>
        </w:numPr>
        <w:spacing w:line="360" w:lineRule="auto"/>
        <w:ind w:firstLine="440"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甲方责任</w:t>
      </w:r>
    </w:p>
    <w:p w14:paraId="5F2CBFB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1.甲方有责任向乙方介绍本单位有关采购管理通用原则和本协议的规定。</w:t>
      </w:r>
    </w:p>
    <w:p w14:paraId="52C3080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2.甲方有责任对本单位相关人员进行阳光合作教育。</w:t>
      </w:r>
    </w:p>
    <w:p w14:paraId="1F16B6E7">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3.甲方人员应严格遵守本单位有关阳光合作管理的规定，不得接受乙方任何形式的回扣、实物、现金、有价证券、礼券等有价物品，不得参与乙方提供的旅游或其他可能影响职务行为公正履行的活动。</w:t>
      </w:r>
    </w:p>
    <w:p w14:paraId="457379A9">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4.甲方人员如违反阳光合作管理制度及本协议规定，甲方视情节轻重、影响大小给予行政及经济处罚。</w:t>
      </w:r>
    </w:p>
    <w:p w14:paraId="7A0F15A4">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5.对于乙方举报甲方人员违反阳光合作规定的情况，甲方应及时进行调查，根据调查情况进行处理，并将调查结果向乙方反馈。</w:t>
      </w:r>
    </w:p>
    <w:p w14:paraId="2FBE3F3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6.接受举报的一方应为举报方保密，不得对举报方进行报复，对举报属实和严格遵守《阳光合作协议》的合作方，在同等条件下给予后续合作的优先权。</w:t>
      </w:r>
    </w:p>
    <w:p w14:paraId="308B3C81">
      <w:pPr>
        <w:spacing w:line="360" w:lineRule="auto"/>
        <w:ind w:firstLine="440"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二、乙方责任</w:t>
      </w:r>
    </w:p>
    <w:p w14:paraId="689CE47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1.乙方应保证乙方人员了解甲方有关采购管理通用原则和本协议的规定，并遵照执行。</w:t>
      </w:r>
    </w:p>
    <w:p w14:paraId="65F4E37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2.乙方不得以任何形式给予甲方人员回扣、赠送实物、现金、有价证券、礼券等有价物品或提供旅游等其他可能影响职务行为公正履行的活动（以下统称“财物”）。</w:t>
      </w:r>
    </w:p>
    <w:p w14:paraId="7EC76EAC">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3.乙方有责任接受甲方对乙方在合作期间阳光合作管理执行情况的监督，并对甲方相关调查工作主动配合。</w:t>
      </w:r>
    </w:p>
    <w:p w14:paraId="43EDB4E5">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乙方有义务就甲方人员任何形式的索取或收受财物的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以上及类似情况或者如因乙方在合作期间贿赂甲方人员，被司法机关立案查处核实属实的，甲方有权解除原合同，如甲方解除原合同的，则乙方应退还甲方所支付的所有款项并按原合同和本合同约定承担违约责任，且五年之内不得作为东实集团（东莞实业投资控股集团有限公司及下属子公司）合格供应商。</w:t>
      </w:r>
    </w:p>
    <w:p w14:paraId="11418B2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5.甲方接受乙方匿名举报，保证为举报者的信息保密，常设举报部门及电话：</w:t>
      </w:r>
    </w:p>
    <w:p w14:paraId="1A837E4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举报受理部门:东莞实业投资控股集团有限公司法律合规部</w:t>
      </w:r>
    </w:p>
    <w:p w14:paraId="41913FD7">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东实集团举报邮箱：dgsyxf@163.com</w:t>
      </w:r>
    </w:p>
    <w:p w14:paraId="7C4AFC3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东实集团举报电话：0769-28820703（周一至周五9:00-12:00和14:00-18:00）</w:t>
      </w:r>
    </w:p>
    <w:p w14:paraId="63BA8D0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邮寄地址：东莞市东城区八一路1号机关二号大院9号楼321室，东莞实业投资控股集团有限公司法律合规部收，邮编523000。</w:t>
      </w:r>
    </w:p>
    <w:p w14:paraId="06C1A85B">
      <w:pPr>
        <w:spacing w:line="360" w:lineRule="auto"/>
        <w:ind w:firstLine="440"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三、其他</w:t>
      </w:r>
    </w:p>
    <w:p w14:paraId="4E6457D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1.本协议是原合同的补充协议，与原合同有同等的法律效力。</w:t>
      </w:r>
    </w:p>
    <w:p w14:paraId="7A8BAAF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2.本协议一式肆份，甲方贰份，乙方贰份，具有同等法律效力。</w:t>
      </w:r>
    </w:p>
    <w:p w14:paraId="5B2A1B2B">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3.本协议经双方签署后生效。</w:t>
      </w:r>
    </w:p>
    <w:p w14:paraId="79613A3A">
      <w:pPr>
        <w:spacing w:line="360" w:lineRule="auto"/>
        <w:rPr>
          <w:rFonts w:hint="eastAsia" w:ascii="宋体" w:hAnsi="宋体" w:cs="宋体"/>
          <w:color w:val="auto"/>
          <w:sz w:val="22"/>
          <w:szCs w:val="22"/>
          <w:highlight w:val="none"/>
        </w:rPr>
      </w:pPr>
    </w:p>
    <w:p w14:paraId="2203BBB5">
      <w:pPr>
        <w:spacing w:line="360" w:lineRule="auto"/>
        <w:rPr>
          <w:rFonts w:hint="eastAsia" w:ascii="宋体" w:hAnsi="宋体" w:cs="宋体"/>
          <w:color w:val="auto"/>
          <w:sz w:val="22"/>
          <w:szCs w:val="22"/>
          <w:highlight w:val="none"/>
        </w:rPr>
      </w:pPr>
    </w:p>
    <w:p w14:paraId="0444D35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甲方（公章）：                         乙方（公章）：</w:t>
      </w:r>
    </w:p>
    <w:p w14:paraId="5F6B859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法定代表人（授权代表）：                 法定代表人（授权代表）：</w:t>
      </w:r>
    </w:p>
    <w:p w14:paraId="3AF1EB45">
      <w:pPr>
        <w:spacing w:line="360" w:lineRule="auto"/>
        <w:rPr>
          <w:rFonts w:hint="eastAsia" w:ascii="宋体" w:hAnsi="宋体" w:cs="宋体"/>
          <w:color w:val="auto"/>
          <w:sz w:val="22"/>
          <w:szCs w:val="22"/>
          <w:highlight w:val="none"/>
        </w:rPr>
      </w:pPr>
    </w:p>
    <w:p w14:paraId="6DDB8CFB">
      <w:pPr>
        <w:spacing w:line="360" w:lineRule="auto"/>
        <w:rPr>
          <w:rFonts w:hint="eastAsia" w:ascii="宋体" w:hAnsi="宋体" w:cs="宋体"/>
          <w:color w:val="auto"/>
          <w:sz w:val="28"/>
          <w:szCs w:val="28"/>
          <w:highlight w:val="none"/>
        </w:rPr>
      </w:pPr>
      <w:r>
        <w:rPr>
          <w:rFonts w:hint="eastAsia" w:ascii="宋体" w:hAnsi="宋体" w:cs="宋体"/>
          <w:color w:val="auto"/>
          <w:sz w:val="22"/>
          <w:szCs w:val="22"/>
          <w:highlight w:val="none"/>
        </w:rPr>
        <w:t>签约日期： 年  月  日                    签约日期： 年  月  日</w:t>
      </w:r>
    </w:p>
    <w:p w14:paraId="1ABC6E00">
      <w:pPr>
        <w:spacing w:line="360" w:lineRule="auto"/>
        <w:rPr>
          <w:rFonts w:hint="eastAsia" w:ascii="宋体" w:hAnsi="宋体" w:cs="宋体"/>
          <w:color w:val="auto"/>
          <w:sz w:val="28"/>
          <w:szCs w:val="28"/>
          <w:highlight w:val="none"/>
        </w:rPr>
      </w:pPr>
    </w:p>
    <w:p w14:paraId="49D4B05E">
      <w:pPr>
        <w:rPr>
          <w:color w:val="auto"/>
          <w:highlight w:val="none"/>
          <w:lang w:bidi="zh-CN"/>
        </w:rPr>
      </w:pPr>
    </w:p>
    <w:p w14:paraId="7F7EF317">
      <w:pPr>
        <w:spacing w:line="360" w:lineRule="auto"/>
        <w:rPr>
          <w:rFonts w:hint="eastAsia" w:ascii="宋体" w:hAnsi="宋体" w:cs="宋体"/>
          <w:b/>
          <w:bCs/>
          <w:color w:val="auto"/>
          <w:sz w:val="36"/>
          <w:szCs w:val="36"/>
          <w:highlight w:val="none"/>
        </w:rPr>
      </w:pPr>
    </w:p>
    <w:p w14:paraId="4440BD9B">
      <w:pPr>
        <w:snapToGrid w:val="0"/>
        <w:spacing w:line="360" w:lineRule="auto"/>
        <w:rPr>
          <w:rFonts w:hint="eastAsia" w:ascii="宋体" w:hAnsi="宋体"/>
          <w:color w:val="auto"/>
          <w:highlight w:val="none"/>
        </w:rPr>
      </w:pPr>
    </w:p>
    <w:p w14:paraId="749A8236">
      <w:pPr>
        <w:pStyle w:val="2"/>
        <w:rPr>
          <w:rFonts w:hint="eastAsia" w:ascii="宋体" w:hAnsi="宋体"/>
          <w:color w:val="auto"/>
          <w:highlight w:val="none"/>
        </w:rPr>
      </w:pPr>
    </w:p>
    <w:p w14:paraId="222B3CF6">
      <w:pPr>
        <w:rPr>
          <w:rFonts w:hint="eastAsia" w:ascii="宋体" w:hAnsi="宋体"/>
          <w:color w:val="auto"/>
          <w:highlight w:val="none"/>
        </w:rPr>
      </w:pPr>
    </w:p>
    <w:p w14:paraId="0A059F2D">
      <w:pPr>
        <w:pStyle w:val="2"/>
        <w:rPr>
          <w:rFonts w:hint="eastAsia" w:ascii="宋体" w:hAnsi="宋体"/>
          <w:color w:val="auto"/>
          <w:highlight w:val="none"/>
        </w:rPr>
      </w:pPr>
    </w:p>
    <w:p w14:paraId="4AA2F9F8">
      <w:pPr>
        <w:rPr>
          <w:rFonts w:hint="eastAsia" w:ascii="宋体" w:hAnsi="宋体"/>
          <w:color w:val="auto"/>
          <w:highlight w:val="none"/>
        </w:rPr>
      </w:pPr>
    </w:p>
    <w:p w14:paraId="24AB7F87">
      <w:pPr>
        <w:pStyle w:val="2"/>
        <w:rPr>
          <w:rFonts w:hint="eastAsia" w:ascii="宋体" w:hAnsi="宋体"/>
          <w:color w:val="auto"/>
          <w:highlight w:val="none"/>
        </w:rPr>
      </w:pPr>
    </w:p>
    <w:p w14:paraId="6C0D6830">
      <w:pPr>
        <w:rPr>
          <w:rFonts w:hint="eastAsia" w:ascii="宋体" w:hAnsi="宋体"/>
          <w:color w:val="auto"/>
          <w:highlight w:val="none"/>
        </w:rPr>
      </w:pPr>
    </w:p>
    <w:p w14:paraId="30806EBA">
      <w:pPr>
        <w:pStyle w:val="2"/>
        <w:rPr>
          <w:rFonts w:hint="eastAsia"/>
          <w:highlight w:val="none"/>
        </w:rPr>
      </w:pPr>
    </w:p>
    <w:p w14:paraId="25DA5E7B">
      <w:pPr>
        <w:rPr>
          <w:rFonts w:hint="eastAsia" w:ascii="宋体" w:hAnsi="宋体"/>
          <w:color w:val="auto"/>
          <w:highlight w:val="none"/>
        </w:rPr>
      </w:pPr>
    </w:p>
    <w:p w14:paraId="28E55CEC">
      <w:pPr>
        <w:rPr>
          <w:rFonts w:hint="eastAsia" w:ascii="宋体" w:hAnsi="宋体"/>
          <w:color w:val="auto"/>
          <w:highlight w:val="none"/>
        </w:rPr>
      </w:pPr>
    </w:p>
    <w:p w14:paraId="02B6ADB7">
      <w:pPr>
        <w:pStyle w:val="42"/>
        <w:spacing w:line="360" w:lineRule="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附件八 报价保证金汇入情况说明</w:t>
      </w:r>
    </w:p>
    <w:p w14:paraId="3533071E">
      <w:pPr>
        <w:widowControl/>
        <w:spacing w:line="360" w:lineRule="auto"/>
        <w:jc w:val="center"/>
        <w:rPr>
          <w:rFonts w:hint="eastAsia" w:ascii="仿宋" w:hAnsi="仿宋" w:eastAsia="仿宋" w:cs="仿宋"/>
          <w:b/>
          <w:bCs/>
          <w:color w:val="auto"/>
          <w:sz w:val="32"/>
          <w:szCs w:val="32"/>
          <w:highlight w:val="none"/>
        </w:rPr>
      </w:pPr>
      <w:bookmarkStart w:id="11" w:name="_Toc5428"/>
      <w:bookmarkStart w:id="12" w:name="_Toc28801"/>
      <w:bookmarkStart w:id="13" w:name="_Toc30323"/>
      <w:bookmarkStart w:id="14" w:name="_Toc10037"/>
      <w:bookmarkStart w:id="15" w:name="_Toc3118"/>
      <w:bookmarkStart w:id="16" w:name="_Toc1367"/>
      <w:bookmarkStart w:id="17" w:name="_Toc3217"/>
      <w:bookmarkStart w:id="18" w:name="_Toc32088"/>
      <w:bookmarkStart w:id="19" w:name="_Toc12220"/>
      <w:bookmarkStart w:id="20" w:name="_Toc30346"/>
      <w:r>
        <w:rPr>
          <w:rFonts w:hint="eastAsia" w:ascii="仿宋" w:hAnsi="仿宋" w:eastAsia="仿宋" w:cs="仿宋"/>
          <w:b/>
          <w:bCs/>
          <w:color w:val="auto"/>
          <w:sz w:val="32"/>
          <w:szCs w:val="32"/>
          <w:highlight w:val="none"/>
        </w:rPr>
        <w:t>报价保证金汇入情况说明</w:t>
      </w:r>
      <w:bookmarkEnd w:id="11"/>
      <w:bookmarkEnd w:id="12"/>
      <w:bookmarkEnd w:id="13"/>
      <w:bookmarkEnd w:id="14"/>
      <w:bookmarkEnd w:id="15"/>
      <w:bookmarkEnd w:id="16"/>
      <w:bookmarkEnd w:id="17"/>
      <w:bookmarkEnd w:id="18"/>
      <w:bookmarkEnd w:id="19"/>
      <w:bookmarkEnd w:id="20"/>
    </w:p>
    <w:p w14:paraId="01A4E83D">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致：吐鲁番开能环保能源有限公司</w:t>
      </w:r>
    </w:p>
    <w:p w14:paraId="2E6E2A9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本单位已按</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zh-CN"/>
        </w:rPr>
        <w:t>项目名称）</w:t>
      </w:r>
      <w:r>
        <w:rPr>
          <w:rFonts w:hint="eastAsia" w:ascii="仿宋" w:hAnsi="仿宋" w:eastAsia="仿宋" w:cs="仿宋"/>
          <w:color w:val="auto"/>
          <w:szCs w:val="21"/>
          <w:highlight w:val="none"/>
        </w:rPr>
        <w:t>的采购文件要求，于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日前以</w:t>
      </w:r>
      <w:r>
        <w:rPr>
          <w:rFonts w:hint="eastAsia" w:ascii="仿宋" w:hAnsi="仿宋" w:eastAsia="仿宋" w:cs="仿宋"/>
          <w:color w:val="auto"/>
          <w:szCs w:val="21"/>
          <w:highlight w:val="none"/>
          <w:u w:val="single"/>
        </w:rPr>
        <w:t xml:space="preserve">    （付款形式）  </w:t>
      </w:r>
      <w:r>
        <w:rPr>
          <w:rFonts w:hint="eastAsia" w:ascii="仿宋" w:hAnsi="仿宋" w:eastAsia="仿宋" w:cs="仿宋"/>
          <w:color w:val="auto"/>
          <w:szCs w:val="21"/>
          <w:highlight w:val="none"/>
        </w:rPr>
        <w:t>方式汇入指定帐户（帐户名称：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，帐号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53642F0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本单位报价保证金的汇款情况：（详见附件－报价保证金进帐单）</w:t>
      </w:r>
    </w:p>
    <w:p w14:paraId="456C2A6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汇出时间：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1A32B9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汇款金额：（大写）人民币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p>
    <w:p w14:paraId="4BCB79C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汇款帐户名称：</w:t>
      </w:r>
      <w:r>
        <w:rPr>
          <w:rFonts w:hint="eastAsia" w:ascii="仿宋" w:hAnsi="仿宋" w:eastAsia="仿宋" w:cs="仿宋"/>
          <w:color w:val="auto"/>
          <w:szCs w:val="21"/>
          <w:highlight w:val="none"/>
          <w:u w:val="single"/>
        </w:rPr>
        <w:t xml:space="preserve">  （必须是报价时使用的帐户名）   </w:t>
      </w:r>
    </w:p>
    <w:p w14:paraId="580C67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号：</w:t>
      </w:r>
      <w:r>
        <w:rPr>
          <w:rFonts w:hint="eastAsia" w:ascii="仿宋" w:hAnsi="仿宋" w:eastAsia="仿宋" w:cs="仿宋"/>
          <w:color w:val="auto"/>
          <w:szCs w:val="21"/>
          <w:highlight w:val="none"/>
          <w:u w:val="single"/>
        </w:rPr>
        <w:t xml:space="preserve">      （必须是报价时使用的帐号）     </w:t>
      </w:r>
    </w:p>
    <w:p w14:paraId="6EE470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省    市                    </w:t>
      </w:r>
    </w:p>
    <w:p w14:paraId="4CCE3B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本单位谨承诺上述资料是正确、真实的，如因上述证明与事实不符导致的一切损失，本单位保证承担赔偿等一切法律责任。</w:t>
      </w:r>
    </w:p>
    <w:p w14:paraId="1EC899B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报价保证金退回时，请按上述资料退回。</w:t>
      </w:r>
    </w:p>
    <w:p w14:paraId="10BE7C32">
      <w:pPr>
        <w:spacing w:line="360" w:lineRule="auto"/>
        <w:ind w:right="844" w:rightChars="402" w:firstLine="42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（单位公章）</w:t>
      </w:r>
    </w:p>
    <w:p w14:paraId="76AF34CC">
      <w:pPr>
        <w:spacing w:line="360" w:lineRule="auto"/>
        <w:ind w:right="627" w:rightChars="299" w:firstLine="420" w:firstLineChars="2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3A895D8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r>
        <w:rPr>
          <w:rFonts w:hint="eastAsia" w:ascii="仿宋" w:hAnsi="仿宋" w:eastAsia="仿宋" w:cs="仿宋"/>
          <w:color w:val="auto"/>
          <w:szCs w:val="21"/>
          <w:highlight w:val="none"/>
          <w:u w:val="single"/>
        </w:rPr>
        <w:t xml:space="preserve">                   </w:t>
      </w:r>
    </w:p>
    <w:p w14:paraId="42D5378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 xml:space="preserve">                     </w:t>
      </w:r>
    </w:p>
    <w:p w14:paraId="08C097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F8F580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联系人手机：</w:t>
      </w:r>
      <w:r>
        <w:rPr>
          <w:rFonts w:hint="eastAsia" w:ascii="仿宋" w:hAnsi="仿宋" w:eastAsia="仿宋" w:cs="仿宋"/>
          <w:color w:val="auto"/>
          <w:szCs w:val="21"/>
          <w:highlight w:val="none"/>
          <w:u w:val="single"/>
        </w:rPr>
        <w:t xml:space="preserve">                </w:t>
      </w:r>
    </w:p>
    <w:p w14:paraId="19319E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附：我方报价保证金汇款凭证</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271C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000" w:type="pct"/>
            <w:tcBorders>
              <w:top w:val="single" w:color="auto" w:sz="4" w:space="0"/>
              <w:left w:val="single" w:color="auto" w:sz="4" w:space="0"/>
              <w:bottom w:val="single" w:color="auto" w:sz="4" w:space="0"/>
              <w:right w:val="single" w:color="auto" w:sz="4" w:space="0"/>
            </w:tcBorders>
            <w:vAlign w:val="center"/>
          </w:tcPr>
          <w:p w14:paraId="1FA8BB0A">
            <w:pPr>
              <w:tabs>
                <w:tab w:val="left" w:pos="3885"/>
              </w:tabs>
              <w:spacing w:line="360" w:lineRule="auto"/>
              <w:ind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（粘贴汇款单或转账凭证复印件，并在骑缝上加盖公章，或是直接把转账凭证复印到此张纸上）</w:t>
            </w:r>
          </w:p>
        </w:tc>
      </w:tr>
    </w:tbl>
    <w:p w14:paraId="7D74FC6B">
      <w:pPr>
        <w:pStyle w:val="42"/>
        <w:numPr>
          <w:ilvl w:val="255"/>
          <w:numId w:val="0"/>
        </w:numPr>
        <w:spacing w:line="360" w:lineRule="auto"/>
        <w:jc w:val="left"/>
        <w:outlineLvl w:val="1"/>
        <w:rPr>
          <w:rFonts w:eastAsia="黑体"/>
          <w:color w:val="auto"/>
          <w:sz w:val="28"/>
          <w:szCs w:val="44"/>
          <w:highlight w:val="none"/>
        </w:rPr>
      </w:pPr>
    </w:p>
    <w:p w14:paraId="0C048DA9">
      <w:pPr>
        <w:pStyle w:val="42"/>
        <w:numPr>
          <w:ilvl w:val="255"/>
          <w:numId w:val="0"/>
        </w:numPr>
        <w:spacing w:line="360" w:lineRule="auto"/>
        <w:jc w:val="left"/>
        <w:outlineLvl w:val="1"/>
        <w:rPr>
          <w:rFonts w:eastAsia="黑体"/>
          <w:color w:val="auto"/>
          <w:sz w:val="28"/>
          <w:szCs w:val="44"/>
          <w:highlight w:val="none"/>
        </w:rPr>
      </w:pPr>
      <w:r>
        <w:rPr>
          <w:rFonts w:hint="eastAsia" w:eastAsia="黑体"/>
          <w:color w:val="auto"/>
          <w:sz w:val="28"/>
          <w:szCs w:val="44"/>
          <w:highlight w:val="none"/>
        </w:rPr>
        <w:t>附件九 营业执照复印件（加盖公章）</w:t>
      </w:r>
    </w:p>
    <w:p w14:paraId="25BB3861">
      <w:pPr>
        <w:pStyle w:val="11"/>
        <w:ind w:firstLine="640"/>
        <w:rPr>
          <w:rFonts w:eastAsia="仿宋_GB2312"/>
          <w:color w:val="auto"/>
          <w:sz w:val="32"/>
          <w:szCs w:val="32"/>
          <w:highlight w:val="none"/>
        </w:rPr>
      </w:pPr>
    </w:p>
    <w:p w14:paraId="1A6EAC9E">
      <w:pPr>
        <w:rPr>
          <w:color w:val="auto"/>
          <w:highlight w:val="none"/>
        </w:rPr>
      </w:pPr>
    </w:p>
    <w:p w14:paraId="22E0F8E6">
      <w:pPr>
        <w:pStyle w:val="9"/>
        <w:rPr>
          <w:color w:val="auto"/>
          <w:highlight w:val="none"/>
        </w:rPr>
      </w:pPr>
    </w:p>
    <w:p w14:paraId="2BB95EAE">
      <w:pPr>
        <w:pStyle w:val="10"/>
        <w:ind w:firstLine="210"/>
        <w:rPr>
          <w:color w:val="auto"/>
          <w:highlight w:val="none"/>
        </w:rPr>
      </w:pPr>
    </w:p>
    <w:p w14:paraId="01720BDC">
      <w:pPr>
        <w:pStyle w:val="11"/>
        <w:ind w:firstLine="420"/>
        <w:rPr>
          <w:color w:val="auto"/>
          <w:highlight w:val="none"/>
        </w:rPr>
      </w:pPr>
    </w:p>
    <w:p w14:paraId="0F3DB7D0">
      <w:pPr>
        <w:rPr>
          <w:color w:val="auto"/>
          <w:highlight w:val="none"/>
        </w:rPr>
      </w:pPr>
    </w:p>
    <w:p w14:paraId="4DC16594">
      <w:pPr>
        <w:pStyle w:val="9"/>
        <w:rPr>
          <w:color w:val="auto"/>
          <w:highlight w:val="none"/>
        </w:rPr>
      </w:pPr>
    </w:p>
    <w:p w14:paraId="0F62BAE5">
      <w:pPr>
        <w:pStyle w:val="10"/>
        <w:ind w:firstLine="210"/>
        <w:rPr>
          <w:color w:val="auto"/>
          <w:highlight w:val="none"/>
        </w:rPr>
      </w:pPr>
    </w:p>
    <w:p w14:paraId="59A88FFF">
      <w:pPr>
        <w:pStyle w:val="11"/>
        <w:ind w:firstLine="420"/>
        <w:rPr>
          <w:color w:val="auto"/>
          <w:highlight w:val="none"/>
        </w:rPr>
      </w:pPr>
    </w:p>
    <w:p w14:paraId="32A91B4E">
      <w:pPr>
        <w:rPr>
          <w:color w:val="auto"/>
          <w:highlight w:val="none"/>
        </w:rPr>
      </w:pPr>
    </w:p>
    <w:p w14:paraId="1C8947DE">
      <w:pPr>
        <w:pStyle w:val="9"/>
        <w:rPr>
          <w:color w:val="auto"/>
          <w:highlight w:val="none"/>
        </w:rPr>
      </w:pPr>
    </w:p>
    <w:p w14:paraId="5996E2E4">
      <w:pPr>
        <w:pStyle w:val="10"/>
        <w:ind w:firstLine="210"/>
        <w:rPr>
          <w:color w:val="auto"/>
          <w:highlight w:val="none"/>
        </w:rPr>
      </w:pPr>
    </w:p>
    <w:p w14:paraId="0C8B3D77">
      <w:pPr>
        <w:pStyle w:val="11"/>
        <w:ind w:firstLine="420"/>
        <w:rPr>
          <w:color w:val="auto"/>
          <w:highlight w:val="none"/>
        </w:rPr>
      </w:pPr>
    </w:p>
    <w:p w14:paraId="54C1C2A4">
      <w:pPr>
        <w:rPr>
          <w:color w:val="auto"/>
          <w:highlight w:val="none"/>
        </w:rPr>
      </w:pPr>
    </w:p>
    <w:p w14:paraId="2854E133">
      <w:pPr>
        <w:pStyle w:val="9"/>
        <w:rPr>
          <w:color w:val="auto"/>
          <w:highlight w:val="none"/>
        </w:rPr>
      </w:pPr>
    </w:p>
    <w:p w14:paraId="5B503047">
      <w:pPr>
        <w:pStyle w:val="11"/>
        <w:ind w:firstLine="0" w:firstLineChars="0"/>
        <w:rPr>
          <w:color w:val="auto"/>
          <w:highlight w:val="none"/>
        </w:rPr>
      </w:pPr>
    </w:p>
    <w:p w14:paraId="78993FD7">
      <w:pPr>
        <w:rPr>
          <w:color w:val="auto"/>
          <w:highlight w:val="none"/>
        </w:rPr>
      </w:pPr>
    </w:p>
    <w:p w14:paraId="2E58E9F6">
      <w:pPr>
        <w:pStyle w:val="42"/>
        <w:numPr>
          <w:ilvl w:val="255"/>
          <w:numId w:val="0"/>
        </w:numPr>
        <w:spacing w:line="360" w:lineRule="auto"/>
        <w:jc w:val="left"/>
        <w:outlineLvl w:val="1"/>
        <w:rPr>
          <w:rFonts w:eastAsia="黑体"/>
          <w:color w:val="auto"/>
          <w:sz w:val="28"/>
          <w:szCs w:val="44"/>
          <w:highlight w:val="none"/>
        </w:rPr>
      </w:pPr>
      <w:r>
        <w:rPr>
          <w:rFonts w:hint="eastAsia" w:eastAsia="黑体"/>
          <w:color w:val="auto"/>
          <w:sz w:val="28"/>
          <w:szCs w:val="44"/>
          <w:highlight w:val="none"/>
        </w:rPr>
        <w:t>附件十 同类项目业绩合同</w:t>
      </w:r>
      <w:r>
        <w:rPr>
          <w:rFonts w:hint="eastAsia" w:eastAsia="黑体"/>
          <w:color w:val="auto"/>
          <w:sz w:val="28"/>
          <w:szCs w:val="44"/>
          <w:highlight w:val="none"/>
          <w:lang w:val="en-US" w:eastAsia="zh-CN"/>
        </w:rPr>
        <w:t>及检测报告</w:t>
      </w:r>
      <w:r>
        <w:rPr>
          <w:rFonts w:hint="eastAsia" w:eastAsia="黑体"/>
          <w:color w:val="auto"/>
          <w:sz w:val="28"/>
          <w:szCs w:val="44"/>
          <w:highlight w:val="none"/>
        </w:rPr>
        <w:t>（加盖公章）</w:t>
      </w:r>
    </w:p>
    <w:p w14:paraId="241457DD">
      <w:pPr>
        <w:pStyle w:val="42"/>
        <w:numPr>
          <w:ilvl w:val="0"/>
          <w:numId w:val="5"/>
        </w:numPr>
        <w:spacing w:line="360" w:lineRule="auto"/>
        <w:ind w:firstLine="0" w:firstLineChars="0"/>
        <w:jc w:val="left"/>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提供过往业绩合同主要页复印件（包含但不限于合同首页、合同金额页、合同盖章签字页等）及该项目任意一期已开具的发票复印件（加盖公章）】；</w:t>
      </w:r>
    </w:p>
    <w:p w14:paraId="011E09E2">
      <w:pPr>
        <w:pStyle w:val="42"/>
        <w:numPr>
          <w:ilvl w:val="0"/>
          <w:numId w:val="5"/>
        </w:numPr>
        <w:spacing w:line="360" w:lineRule="auto"/>
        <w:ind w:firstLine="0" w:firstLineChars="0"/>
        <w:jc w:val="left"/>
        <w:outlineLvl w:val="1"/>
        <w:rPr>
          <w:rFonts w:hint="eastAsia" w:ascii="仿宋_GB2312" w:hAnsi="仿宋_GB2312" w:eastAsia="仿宋_GB2312" w:cs="仿宋_GB2312"/>
          <w:color w:val="auto"/>
          <w:sz w:val="32"/>
          <w:szCs w:val="32"/>
          <w:highlight w:val="none"/>
        </w:rPr>
      </w:pPr>
      <w:r>
        <w:rPr>
          <w:rFonts w:hint="eastAsia" w:ascii="仿宋" w:hAnsi="仿宋" w:eastAsia="仿宋"/>
          <w:color w:val="auto"/>
          <w:sz w:val="32"/>
          <w:szCs w:val="32"/>
          <w:highlight w:val="none"/>
        </w:rPr>
        <w:t>响应人须提供所投产品202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月1日至采购公告发布之日具有检测资质的第三方检测公司出具的检测报告复印件加盖投标人公章(检测报告须：含水分＜15%，低位收到基发热量大于等于2400kcal/kg等指标）</w:t>
      </w:r>
    </w:p>
    <w:p w14:paraId="3B7B766D">
      <w:pPr>
        <w:rPr>
          <w:color w:val="auto"/>
          <w:highlight w:val="none"/>
        </w:rPr>
      </w:pPr>
    </w:p>
    <w:p w14:paraId="0A7B15D5">
      <w:pPr>
        <w:pStyle w:val="9"/>
        <w:rPr>
          <w:color w:val="auto"/>
          <w:highlight w:val="none"/>
        </w:rPr>
      </w:pPr>
    </w:p>
    <w:p w14:paraId="4109496E">
      <w:pPr>
        <w:pStyle w:val="10"/>
        <w:ind w:firstLine="0" w:firstLineChars="0"/>
        <w:rPr>
          <w:color w:val="auto"/>
          <w:highlight w:val="none"/>
        </w:rPr>
      </w:pPr>
    </w:p>
    <w:p w14:paraId="4DA04BAC">
      <w:pPr>
        <w:spacing w:before="332" w:beforeLines="100" w:after="332" w:afterLines="100"/>
        <w:outlineLvl w:val="1"/>
        <w:rPr>
          <w:rFonts w:eastAsia="黑体"/>
          <w:color w:val="auto"/>
          <w:sz w:val="28"/>
          <w:szCs w:val="44"/>
          <w:highlight w:val="none"/>
        </w:rPr>
      </w:pPr>
    </w:p>
    <w:p w14:paraId="64EF4CB9">
      <w:pPr>
        <w:spacing w:before="332" w:beforeLines="100" w:after="332" w:afterLines="100"/>
        <w:outlineLvl w:val="1"/>
        <w:rPr>
          <w:rFonts w:eastAsia="黑体"/>
          <w:color w:val="auto"/>
          <w:sz w:val="28"/>
          <w:szCs w:val="44"/>
          <w:highlight w:val="none"/>
        </w:rPr>
      </w:pPr>
    </w:p>
    <w:p w14:paraId="3FD7C1D7">
      <w:pPr>
        <w:spacing w:before="332" w:beforeLines="100" w:after="332" w:afterLines="100"/>
        <w:outlineLvl w:val="1"/>
        <w:rPr>
          <w:rFonts w:eastAsia="黑体"/>
          <w:color w:val="auto"/>
          <w:sz w:val="28"/>
          <w:szCs w:val="44"/>
          <w:highlight w:val="none"/>
        </w:rPr>
      </w:pPr>
    </w:p>
    <w:p w14:paraId="3A94F0BA">
      <w:pPr>
        <w:spacing w:before="332" w:beforeLines="100" w:after="332" w:afterLines="100"/>
        <w:outlineLvl w:val="1"/>
        <w:rPr>
          <w:rFonts w:eastAsia="黑体"/>
          <w:color w:val="auto"/>
          <w:sz w:val="28"/>
          <w:szCs w:val="44"/>
          <w:highlight w:val="none"/>
        </w:rPr>
      </w:pPr>
    </w:p>
    <w:p w14:paraId="627AF434">
      <w:pPr>
        <w:spacing w:before="332" w:beforeLines="100" w:after="332" w:afterLines="100"/>
        <w:outlineLvl w:val="1"/>
        <w:rPr>
          <w:rFonts w:eastAsia="黑体"/>
          <w:color w:val="auto"/>
          <w:sz w:val="28"/>
          <w:szCs w:val="44"/>
          <w:highlight w:val="none"/>
        </w:rPr>
      </w:pPr>
    </w:p>
    <w:p w14:paraId="0A8BE794">
      <w:pPr>
        <w:spacing w:before="332" w:beforeLines="100" w:after="332" w:afterLines="100"/>
        <w:outlineLvl w:val="1"/>
        <w:rPr>
          <w:rFonts w:eastAsia="黑体"/>
          <w:color w:val="auto"/>
          <w:sz w:val="28"/>
          <w:szCs w:val="44"/>
          <w:highlight w:val="none"/>
        </w:rPr>
      </w:pPr>
    </w:p>
    <w:p w14:paraId="49E0F920">
      <w:pPr>
        <w:spacing w:before="332" w:beforeLines="100" w:after="332" w:afterLines="100"/>
        <w:outlineLvl w:val="1"/>
        <w:rPr>
          <w:rFonts w:eastAsia="黑体"/>
          <w:color w:val="auto"/>
          <w:sz w:val="28"/>
          <w:szCs w:val="44"/>
          <w:highlight w:val="none"/>
        </w:rPr>
      </w:pPr>
    </w:p>
    <w:p w14:paraId="01517639">
      <w:pPr>
        <w:spacing w:before="332" w:beforeLines="100" w:after="332" w:afterLines="100"/>
        <w:outlineLvl w:val="1"/>
        <w:rPr>
          <w:rFonts w:eastAsia="黑体"/>
          <w:color w:val="auto"/>
          <w:sz w:val="28"/>
          <w:szCs w:val="44"/>
          <w:highlight w:val="none"/>
        </w:rPr>
      </w:pPr>
    </w:p>
    <w:p w14:paraId="1C52C8BF">
      <w:pPr>
        <w:spacing w:before="332" w:beforeLines="100" w:after="332" w:afterLines="100"/>
        <w:outlineLvl w:val="1"/>
        <w:rPr>
          <w:rFonts w:hint="eastAsia" w:ascii="宋体" w:hAnsi="宋体" w:eastAsia="黑体" w:cs="宋体"/>
          <w:b/>
          <w:bCs/>
          <w:color w:val="auto"/>
          <w:sz w:val="44"/>
          <w:szCs w:val="44"/>
          <w:highlight w:val="none"/>
        </w:rPr>
      </w:pPr>
      <w:r>
        <w:rPr>
          <w:rFonts w:eastAsia="黑体"/>
          <w:color w:val="auto"/>
          <w:sz w:val="28"/>
          <w:szCs w:val="44"/>
          <w:highlight w:val="none"/>
        </w:rPr>
        <w:t>附件</w:t>
      </w:r>
      <w:r>
        <w:rPr>
          <w:rFonts w:hint="eastAsia" w:eastAsia="黑体"/>
          <w:color w:val="auto"/>
          <w:sz w:val="28"/>
          <w:szCs w:val="44"/>
          <w:highlight w:val="none"/>
        </w:rPr>
        <w:t>十一商务</w:t>
      </w:r>
      <w:r>
        <w:rPr>
          <w:rFonts w:hint="eastAsia" w:eastAsia="黑体"/>
          <w:color w:val="auto"/>
          <w:sz w:val="28"/>
          <w:szCs w:val="44"/>
          <w:highlight w:val="none"/>
          <w:lang w:val="en-US" w:eastAsia="zh-CN"/>
        </w:rPr>
        <w:t>技术</w:t>
      </w:r>
      <w:r>
        <w:rPr>
          <w:rFonts w:hint="eastAsia" w:eastAsia="黑体"/>
          <w:color w:val="auto"/>
          <w:sz w:val="28"/>
          <w:szCs w:val="44"/>
          <w:highlight w:val="none"/>
        </w:rPr>
        <w:t>偏离表</w:t>
      </w:r>
    </w:p>
    <w:p w14:paraId="2EEBFB50">
      <w:pPr>
        <w:spacing w:before="332" w:beforeLines="100" w:after="332" w:afterLines="100"/>
        <w:jc w:val="center"/>
        <w:outlineLvl w:val="1"/>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商务/技术条款偏离表</w:t>
      </w:r>
    </w:p>
    <w:p w14:paraId="2E1501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20"/>
        <w:gridCol w:w="1958"/>
        <w:gridCol w:w="1955"/>
        <w:gridCol w:w="832"/>
        <w:gridCol w:w="831"/>
      </w:tblGrid>
      <w:tr w14:paraId="2564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76DB28BC">
            <w:pPr>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120" w:type="dxa"/>
            <w:vAlign w:val="center"/>
          </w:tcPr>
          <w:p w14:paraId="50B6AB22">
            <w:pPr>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1958" w:type="dxa"/>
            <w:vAlign w:val="center"/>
          </w:tcPr>
          <w:p w14:paraId="0AD0147E">
            <w:pPr>
              <w:jc w:val="center"/>
              <w:rPr>
                <w:rFonts w:hint="eastAsia" w:ascii="宋体" w:hAnsi="宋体" w:cs="宋体"/>
                <w:b/>
                <w:color w:val="auto"/>
                <w:sz w:val="24"/>
                <w:highlight w:val="none"/>
              </w:rPr>
            </w:pPr>
            <w:r>
              <w:rPr>
                <w:rFonts w:hint="eastAsia" w:ascii="宋体" w:hAnsi="宋体" w:cs="宋体"/>
                <w:b/>
                <w:color w:val="auto"/>
                <w:sz w:val="24"/>
                <w:highlight w:val="none"/>
              </w:rPr>
              <w:t>询价文件商务/技术条款</w:t>
            </w:r>
          </w:p>
        </w:tc>
        <w:tc>
          <w:tcPr>
            <w:tcW w:w="1955" w:type="dxa"/>
            <w:vAlign w:val="center"/>
          </w:tcPr>
          <w:p w14:paraId="6BAED0C8">
            <w:pPr>
              <w:jc w:val="center"/>
              <w:rPr>
                <w:rFonts w:hint="eastAsia" w:ascii="宋体" w:hAnsi="宋体" w:cs="宋体"/>
                <w:b/>
                <w:color w:val="auto"/>
                <w:sz w:val="24"/>
                <w:highlight w:val="none"/>
              </w:rPr>
            </w:pPr>
            <w:r>
              <w:rPr>
                <w:rFonts w:hint="eastAsia" w:ascii="宋体" w:hAnsi="宋体" w:cs="宋体"/>
                <w:b/>
                <w:color w:val="auto"/>
                <w:sz w:val="24"/>
                <w:highlight w:val="none"/>
              </w:rPr>
              <w:t>报价文件商务/技术条款</w:t>
            </w:r>
          </w:p>
        </w:tc>
        <w:tc>
          <w:tcPr>
            <w:tcW w:w="832" w:type="dxa"/>
            <w:vAlign w:val="center"/>
          </w:tcPr>
          <w:p w14:paraId="2C8C6C8A">
            <w:pPr>
              <w:jc w:val="center"/>
              <w:rPr>
                <w:rFonts w:hint="eastAsia" w:ascii="宋体" w:hAnsi="宋体" w:cs="宋体"/>
                <w:b/>
                <w:color w:val="auto"/>
                <w:sz w:val="24"/>
                <w:highlight w:val="none"/>
              </w:rPr>
            </w:pPr>
            <w:r>
              <w:rPr>
                <w:rFonts w:hint="eastAsia" w:ascii="宋体" w:hAnsi="宋体" w:cs="宋体"/>
                <w:b/>
                <w:color w:val="auto"/>
                <w:sz w:val="24"/>
                <w:highlight w:val="none"/>
              </w:rPr>
              <w:t>偏离</w:t>
            </w:r>
          </w:p>
        </w:tc>
        <w:tc>
          <w:tcPr>
            <w:tcW w:w="831" w:type="dxa"/>
            <w:vAlign w:val="center"/>
          </w:tcPr>
          <w:p w14:paraId="222CA28E">
            <w:pPr>
              <w:jc w:val="center"/>
              <w:rPr>
                <w:rFonts w:hint="eastAsia" w:ascii="宋体" w:hAnsi="宋体" w:cs="宋体"/>
                <w:b/>
                <w:color w:val="auto"/>
                <w:sz w:val="24"/>
                <w:highlight w:val="none"/>
              </w:rPr>
            </w:pPr>
            <w:r>
              <w:rPr>
                <w:rFonts w:hint="eastAsia" w:ascii="宋体" w:hAnsi="宋体" w:cs="宋体"/>
                <w:b/>
                <w:color w:val="auto"/>
                <w:sz w:val="24"/>
                <w:highlight w:val="none"/>
              </w:rPr>
              <w:t>说明</w:t>
            </w:r>
          </w:p>
        </w:tc>
      </w:tr>
      <w:tr w14:paraId="0B91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CC3C525">
            <w:pPr>
              <w:jc w:val="center"/>
              <w:rPr>
                <w:rFonts w:hint="eastAsia" w:ascii="宋体" w:hAnsi="宋体" w:cs="宋体"/>
                <w:color w:val="auto"/>
                <w:sz w:val="24"/>
                <w:highlight w:val="none"/>
              </w:rPr>
            </w:pPr>
          </w:p>
        </w:tc>
        <w:tc>
          <w:tcPr>
            <w:tcW w:w="2120" w:type="dxa"/>
            <w:vAlign w:val="center"/>
          </w:tcPr>
          <w:p w14:paraId="6D6EDD07">
            <w:pPr>
              <w:jc w:val="center"/>
              <w:rPr>
                <w:rFonts w:hint="eastAsia" w:ascii="宋体" w:hAnsi="宋体" w:cs="宋体"/>
                <w:color w:val="auto"/>
                <w:sz w:val="24"/>
                <w:highlight w:val="none"/>
              </w:rPr>
            </w:pPr>
          </w:p>
        </w:tc>
        <w:tc>
          <w:tcPr>
            <w:tcW w:w="1958" w:type="dxa"/>
            <w:vAlign w:val="center"/>
          </w:tcPr>
          <w:p w14:paraId="51224569">
            <w:pPr>
              <w:jc w:val="center"/>
              <w:rPr>
                <w:rFonts w:hint="eastAsia" w:ascii="宋体" w:hAnsi="宋体" w:cs="宋体"/>
                <w:color w:val="auto"/>
                <w:sz w:val="24"/>
                <w:highlight w:val="none"/>
              </w:rPr>
            </w:pPr>
          </w:p>
        </w:tc>
        <w:tc>
          <w:tcPr>
            <w:tcW w:w="1955" w:type="dxa"/>
            <w:vAlign w:val="center"/>
          </w:tcPr>
          <w:p w14:paraId="2ACDAE54">
            <w:pPr>
              <w:jc w:val="center"/>
              <w:rPr>
                <w:rFonts w:hint="eastAsia" w:ascii="宋体" w:hAnsi="宋体" w:cs="宋体"/>
                <w:color w:val="auto"/>
                <w:sz w:val="24"/>
                <w:highlight w:val="none"/>
              </w:rPr>
            </w:pPr>
          </w:p>
        </w:tc>
        <w:tc>
          <w:tcPr>
            <w:tcW w:w="832" w:type="dxa"/>
            <w:vAlign w:val="center"/>
          </w:tcPr>
          <w:p w14:paraId="2FA5968C">
            <w:pPr>
              <w:jc w:val="center"/>
              <w:rPr>
                <w:rFonts w:hint="eastAsia" w:ascii="宋体" w:hAnsi="宋体" w:cs="宋体"/>
                <w:color w:val="auto"/>
                <w:sz w:val="24"/>
                <w:highlight w:val="none"/>
              </w:rPr>
            </w:pPr>
          </w:p>
        </w:tc>
        <w:tc>
          <w:tcPr>
            <w:tcW w:w="831" w:type="dxa"/>
            <w:vAlign w:val="center"/>
          </w:tcPr>
          <w:p w14:paraId="7E8D3E04">
            <w:pPr>
              <w:jc w:val="center"/>
              <w:rPr>
                <w:rFonts w:hint="eastAsia" w:ascii="宋体" w:hAnsi="宋体" w:cs="宋体"/>
                <w:color w:val="auto"/>
                <w:sz w:val="24"/>
                <w:highlight w:val="none"/>
              </w:rPr>
            </w:pPr>
          </w:p>
        </w:tc>
      </w:tr>
      <w:tr w14:paraId="61F2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577B78BE">
            <w:pPr>
              <w:jc w:val="center"/>
              <w:rPr>
                <w:rFonts w:hint="eastAsia" w:ascii="宋体" w:hAnsi="宋体" w:cs="宋体"/>
                <w:color w:val="auto"/>
                <w:sz w:val="24"/>
                <w:highlight w:val="none"/>
              </w:rPr>
            </w:pPr>
          </w:p>
        </w:tc>
        <w:tc>
          <w:tcPr>
            <w:tcW w:w="2120" w:type="dxa"/>
            <w:vAlign w:val="center"/>
          </w:tcPr>
          <w:p w14:paraId="36D3F8E0">
            <w:pPr>
              <w:jc w:val="center"/>
              <w:rPr>
                <w:rFonts w:hint="eastAsia" w:ascii="宋体" w:hAnsi="宋体" w:cs="宋体"/>
                <w:color w:val="auto"/>
                <w:sz w:val="24"/>
                <w:highlight w:val="none"/>
              </w:rPr>
            </w:pPr>
          </w:p>
        </w:tc>
        <w:tc>
          <w:tcPr>
            <w:tcW w:w="1958" w:type="dxa"/>
            <w:vAlign w:val="center"/>
          </w:tcPr>
          <w:p w14:paraId="7CFF79C5">
            <w:pPr>
              <w:jc w:val="center"/>
              <w:rPr>
                <w:rFonts w:hint="eastAsia" w:ascii="宋体" w:hAnsi="宋体" w:cs="宋体"/>
                <w:color w:val="auto"/>
                <w:sz w:val="24"/>
                <w:highlight w:val="none"/>
              </w:rPr>
            </w:pPr>
          </w:p>
        </w:tc>
        <w:tc>
          <w:tcPr>
            <w:tcW w:w="1955" w:type="dxa"/>
            <w:vAlign w:val="center"/>
          </w:tcPr>
          <w:p w14:paraId="6FEF76F2">
            <w:pPr>
              <w:jc w:val="center"/>
              <w:rPr>
                <w:rFonts w:hint="eastAsia" w:ascii="宋体" w:hAnsi="宋体" w:cs="宋体"/>
                <w:color w:val="auto"/>
                <w:sz w:val="24"/>
                <w:highlight w:val="none"/>
              </w:rPr>
            </w:pPr>
          </w:p>
        </w:tc>
        <w:tc>
          <w:tcPr>
            <w:tcW w:w="832" w:type="dxa"/>
            <w:vAlign w:val="center"/>
          </w:tcPr>
          <w:p w14:paraId="50B30FD5">
            <w:pPr>
              <w:jc w:val="center"/>
              <w:rPr>
                <w:rFonts w:hint="eastAsia" w:ascii="宋体" w:hAnsi="宋体" w:cs="宋体"/>
                <w:color w:val="auto"/>
                <w:sz w:val="24"/>
                <w:highlight w:val="none"/>
              </w:rPr>
            </w:pPr>
          </w:p>
        </w:tc>
        <w:tc>
          <w:tcPr>
            <w:tcW w:w="831" w:type="dxa"/>
            <w:vAlign w:val="center"/>
          </w:tcPr>
          <w:p w14:paraId="00734A34">
            <w:pPr>
              <w:jc w:val="center"/>
              <w:rPr>
                <w:rFonts w:hint="eastAsia" w:ascii="宋体" w:hAnsi="宋体" w:cs="宋体"/>
                <w:color w:val="auto"/>
                <w:sz w:val="24"/>
                <w:highlight w:val="none"/>
              </w:rPr>
            </w:pPr>
          </w:p>
        </w:tc>
      </w:tr>
      <w:tr w14:paraId="4BE4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C984E9B">
            <w:pPr>
              <w:jc w:val="center"/>
              <w:rPr>
                <w:rFonts w:hint="eastAsia" w:ascii="宋体" w:hAnsi="宋体" w:cs="宋体"/>
                <w:color w:val="auto"/>
                <w:sz w:val="24"/>
                <w:highlight w:val="none"/>
              </w:rPr>
            </w:pPr>
          </w:p>
        </w:tc>
        <w:tc>
          <w:tcPr>
            <w:tcW w:w="2120" w:type="dxa"/>
            <w:vAlign w:val="center"/>
          </w:tcPr>
          <w:p w14:paraId="6A0C50D2">
            <w:pPr>
              <w:jc w:val="center"/>
              <w:rPr>
                <w:rFonts w:hint="eastAsia" w:ascii="宋体" w:hAnsi="宋体" w:cs="宋体"/>
                <w:color w:val="auto"/>
                <w:sz w:val="24"/>
                <w:highlight w:val="none"/>
              </w:rPr>
            </w:pPr>
          </w:p>
        </w:tc>
        <w:tc>
          <w:tcPr>
            <w:tcW w:w="1958" w:type="dxa"/>
            <w:vAlign w:val="center"/>
          </w:tcPr>
          <w:p w14:paraId="75857130">
            <w:pPr>
              <w:jc w:val="center"/>
              <w:rPr>
                <w:rFonts w:hint="eastAsia" w:ascii="宋体" w:hAnsi="宋体" w:cs="宋体"/>
                <w:color w:val="auto"/>
                <w:sz w:val="24"/>
                <w:highlight w:val="none"/>
              </w:rPr>
            </w:pPr>
          </w:p>
        </w:tc>
        <w:tc>
          <w:tcPr>
            <w:tcW w:w="1955" w:type="dxa"/>
            <w:vAlign w:val="center"/>
          </w:tcPr>
          <w:p w14:paraId="1B5423AB">
            <w:pPr>
              <w:jc w:val="center"/>
              <w:rPr>
                <w:rFonts w:hint="eastAsia" w:ascii="宋体" w:hAnsi="宋体" w:cs="宋体"/>
                <w:color w:val="auto"/>
                <w:sz w:val="24"/>
                <w:highlight w:val="none"/>
              </w:rPr>
            </w:pPr>
          </w:p>
        </w:tc>
        <w:tc>
          <w:tcPr>
            <w:tcW w:w="832" w:type="dxa"/>
            <w:vAlign w:val="center"/>
          </w:tcPr>
          <w:p w14:paraId="05E919E3">
            <w:pPr>
              <w:jc w:val="center"/>
              <w:rPr>
                <w:rFonts w:hint="eastAsia" w:ascii="宋体" w:hAnsi="宋体" w:cs="宋体"/>
                <w:color w:val="auto"/>
                <w:sz w:val="24"/>
                <w:highlight w:val="none"/>
              </w:rPr>
            </w:pPr>
          </w:p>
        </w:tc>
        <w:tc>
          <w:tcPr>
            <w:tcW w:w="831" w:type="dxa"/>
            <w:vAlign w:val="center"/>
          </w:tcPr>
          <w:p w14:paraId="5A92C6DF">
            <w:pPr>
              <w:jc w:val="center"/>
              <w:rPr>
                <w:rFonts w:hint="eastAsia" w:ascii="宋体" w:hAnsi="宋体" w:cs="宋体"/>
                <w:color w:val="auto"/>
                <w:sz w:val="24"/>
                <w:highlight w:val="none"/>
              </w:rPr>
            </w:pPr>
          </w:p>
        </w:tc>
      </w:tr>
      <w:tr w14:paraId="0145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CECE1F5">
            <w:pPr>
              <w:jc w:val="center"/>
              <w:rPr>
                <w:rFonts w:hint="eastAsia" w:ascii="宋体" w:hAnsi="宋体" w:cs="宋体"/>
                <w:color w:val="auto"/>
                <w:sz w:val="24"/>
                <w:highlight w:val="none"/>
              </w:rPr>
            </w:pPr>
          </w:p>
        </w:tc>
        <w:tc>
          <w:tcPr>
            <w:tcW w:w="2120" w:type="dxa"/>
            <w:vAlign w:val="center"/>
          </w:tcPr>
          <w:p w14:paraId="76A523E1">
            <w:pPr>
              <w:jc w:val="center"/>
              <w:rPr>
                <w:rFonts w:hint="eastAsia" w:ascii="宋体" w:hAnsi="宋体" w:cs="宋体"/>
                <w:color w:val="auto"/>
                <w:sz w:val="24"/>
                <w:highlight w:val="none"/>
              </w:rPr>
            </w:pPr>
          </w:p>
        </w:tc>
        <w:tc>
          <w:tcPr>
            <w:tcW w:w="1958" w:type="dxa"/>
            <w:vAlign w:val="center"/>
          </w:tcPr>
          <w:p w14:paraId="385E7190">
            <w:pPr>
              <w:jc w:val="center"/>
              <w:rPr>
                <w:rFonts w:hint="eastAsia" w:ascii="宋体" w:hAnsi="宋体" w:cs="宋体"/>
                <w:color w:val="auto"/>
                <w:sz w:val="24"/>
                <w:highlight w:val="none"/>
              </w:rPr>
            </w:pPr>
          </w:p>
        </w:tc>
        <w:tc>
          <w:tcPr>
            <w:tcW w:w="1955" w:type="dxa"/>
            <w:vAlign w:val="center"/>
          </w:tcPr>
          <w:p w14:paraId="1A3780D9">
            <w:pPr>
              <w:jc w:val="center"/>
              <w:rPr>
                <w:rFonts w:hint="eastAsia" w:ascii="宋体" w:hAnsi="宋体" w:cs="宋体"/>
                <w:color w:val="auto"/>
                <w:sz w:val="24"/>
                <w:highlight w:val="none"/>
              </w:rPr>
            </w:pPr>
          </w:p>
        </w:tc>
        <w:tc>
          <w:tcPr>
            <w:tcW w:w="832" w:type="dxa"/>
            <w:vAlign w:val="center"/>
          </w:tcPr>
          <w:p w14:paraId="5E56CF02">
            <w:pPr>
              <w:jc w:val="center"/>
              <w:rPr>
                <w:rFonts w:hint="eastAsia" w:ascii="宋体" w:hAnsi="宋体" w:cs="宋体"/>
                <w:color w:val="auto"/>
                <w:sz w:val="24"/>
                <w:highlight w:val="none"/>
              </w:rPr>
            </w:pPr>
          </w:p>
        </w:tc>
        <w:tc>
          <w:tcPr>
            <w:tcW w:w="831" w:type="dxa"/>
            <w:vAlign w:val="center"/>
          </w:tcPr>
          <w:p w14:paraId="4350792F">
            <w:pPr>
              <w:jc w:val="center"/>
              <w:rPr>
                <w:rFonts w:hint="eastAsia" w:ascii="宋体" w:hAnsi="宋体" w:cs="宋体"/>
                <w:color w:val="auto"/>
                <w:sz w:val="24"/>
                <w:highlight w:val="none"/>
              </w:rPr>
            </w:pPr>
          </w:p>
        </w:tc>
      </w:tr>
      <w:tr w14:paraId="6AB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724C7A94">
            <w:pPr>
              <w:jc w:val="center"/>
              <w:rPr>
                <w:rFonts w:hint="eastAsia" w:ascii="宋体" w:hAnsi="宋体" w:cs="宋体"/>
                <w:color w:val="auto"/>
                <w:sz w:val="24"/>
                <w:highlight w:val="none"/>
              </w:rPr>
            </w:pPr>
          </w:p>
        </w:tc>
        <w:tc>
          <w:tcPr>
            <w:tcW w:w="2120" w:type="dxa"/>
            <w:vAlign w:val="center"/>
          </w:tcPr>
          <w:p w14:paraId="7B0778FF">
            <w:pPr>
              <w:jc w:val="center"/>
              <w:rPr>
                <w:rFonts w:hint="eastAsia" w:ascii="宋体" w:hAnsi="宋体" w:cs="宋体"/>
                <w:color w:val="auto"/>
                <w:sz w:val="24"/>
                <w:highlight w:val="none"/>
              </w:rPr>
            </w:pPr>
          </w:p>
        </w:tc>
        <w:tc>
          <w:tcPr>
            <w:tcW w:w="1958" w:type="dxa"/>
            <w:vAlign w:val="center"/>
          </w:tcPr>
          <w:p w14:paraId="68B9D654">
            <w:pPr>
              <w:jc w:val="center"/>
              <w:rPr>
                <w:rFonts w:hint="eastAsia" w:ascii="宋体" w:hAnsi="宋体" w:cs="宋体"/>
                <w:color w:val="auto"/>
                <w:sz w:val="24"/>
                <w:highlight w:val="none"/>
              </w:rPr>
            </w:pPr>
          </w:p>
        </w:tc>
        <w:tc>
          <w:tcPr>
            <w:tcW w:w="1955" w:type="dxa"/>
            <w:vAlign w:val="center"/>
          </w:tcPr>
          <w:p w14:paraId="3C6052EC">
            <w:pPr>
              <w:jc w:val="center"/>
              <w:rPr>
                <w:rFonts w:hint="eastAsia" w:ascii="宋体" w:hAnsi="宋体" w:cs="宋体"/>
                <w:color w:val="auto"/>
                <w:sz w:val="24"/>
                <w:highlight w:val="none"/>
              </w:rPr>
            </w:pPr>
          </w:p>
        </w:tc>
        <w:tc>
          <w:tcPr>
            <w:tcW w:w="832" w:type="dxa"/>
            <w:vAlign w:val="center"/>
          </w:tcPr>
          <w:p w14:paraId="5659EB9E">
            <w:pPr>
              <w:jc w:val="center"/>
              <w:rPr>
                <w:rFonts w:hint="eastAsia" w:ascii="宋体" w:hAnsi="宋体" w:cs="宋体"/>
                <w:color w:val="auto"/>
                <w:sz w:val="24"/>
                <w:highlight w:val="none"/>
              </w:rPr>
            </w:pPr>
          </w:p>
        </w:tc>
        <w:tc>
          <w:tcPr>
            <w:tcW w:w="831" w:type="dxa"/>
            <w:vAlign w:val="center"/>
          </w:tcPr>
          <w:p w14:paraId="52B0FBF7">
            <w:pPr>
              <w:jc w:val="center"/>
              <w:rPr>
                <w:rFonts w:hint="eastAsia" w:ascii="宋体" w:hAnsi="宋体" w:cs="宋体"/>
                <w:color w:val="auto"/>
                <w:sz w:val="24"/>
                <w:highlight w:val="none"/>
              </w:rPr>
            </w:pPr>
          </w:p>
        </w:tc>
      </w:tr>
      <w:tr w14:paraId="3900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40FB5010">
            <w:pPr>
              <w:jc w:val="center"/>
              <w:rPr>
                <w:rFonts w:hint="eastAsia" w:ascii="宋体" w:hAnsi="宋体" w:cs="宋体"/>
                <w:color w:val="auto"/>
                <w:sz w:val="24"/>
                <w:highlight w:val="none"/>
              </w:rPr>
            </w:pPr>
          </w:p>
        </w:tc>
        <w:tc>
          <w:tcPr>
            <w:tcW w:w="2120" w:type="dxa"/>
            <w:vAlign w:val="center"/>
          </w:tcPr>
          <w:p w14:paraId="043B3D99">
            <w:pPr>
              <w:jc w:val="center"/>
              <w:rPr>
                <w:rFonts w:hint="eastAsia" w:ascii="宋体" w:hAnsi="宋体" w:cs="宋体"/>
                <w:color w:val="auto"/>
                <w:sz w:val="24"/>
                <w:highlight w:val="none"/>
              </w:rPr>
            </w:pPr>
          </w:p>
        </w:tc>
        <w:tc>
          <w:tcPr>
            <w:tcW w:w="1958" w:type="dxa"/>
            <w:vAlign w:val="center"/>
          </w:tcPr>
          <w:p w14:paraId="6FB6CA81">
            <w:pPr>
              <w:jc w:val="center"/>
              <w:rPr>
                <w:rFonts w:hint="eastAsia" w:ascii="宋体" w:hAnsi="宋体" w:cs="宋体"/>
                <w:color w:val="auto"/>
                <w:sz w:val="24"/>
                <w:highlight w:val="none"/>
              </w:rPr>
            </w:pPr>
          </w:p>
        </w:tc>
        <w:tc>
          <w:tcPr>
            <w:tcW w:w="1955" w:type="dxa"/>
            <w:vAlign w:val="center"/>
          </w:tcPr>
          <w:p w14:paraId="5283B258">
            <w:pPr>
              <w:jc w:val="center"/>
              <w:rPr>
                <w:rFonts w:hint="eastAsia" w:ascii="宋体" w:hAnsi="宋体" w:cs="宋体"/>
                <w:color w:val="auto"/>
                <w:sz w:val="24"/>
                <w:highlight w:val="none"/>
              </w:rPr>
            </w:pPr>
          </w:p>
        </w:tc>
        <w:tc>
          <w:tcPr>
            <w:tcW w:w="832" w:type="dxa"/>
            <w:vAlign w:val="center"/>
          </w:tcPr>
          <w:p w14:paraId="215DC0FF">
            <w:pPr>
              <w:jc w:val="center"/>
              <w:rPr>
                <w:rFonts w:hint="eastAsia" w:ascii="宋体" w:hAnsi="宋体" w:cs="宋体"/>
                <w:color w:val="auto"/>
                <w:sz w:val="24"/>
                <w:highlight w:val="none"/>
              </w:rPr>
            </w:pPr>
          </w:p>
        </w:tc>
        <w:tc>
          <w:tcPr>
            <w:tcW w:w="831" w:type="dxa"/>
            <w:vAlign w:val="center"/>
          </w:tcPr>
          <w:p w14:paraId="24C1C71D">
            <w:pPr>
              <w:jc w:val="center"/>
              <w:rPr>
                <w:rFonts w:hint="eastAsia" w:ascii="宋体" w:hAnsi="宋体" w:cs="宋体"/>
                <w:color w:val="auto"/>
                <w:sz w:val="24"/>
                <w:highlight w:val="none"/>
              </w:rPr>
            </w:pPr>
          </w:p>
        </w:tc>
      </w:tr>
    </w:tbl>
    <w:p w14:paraId="00CF2015">
      <w:pPr>
        <w:ind w:firstLine="480" w:firstLineChars="200"/>
        <w:jc w:val="left"/>
        <w:rPr>
          <w:rFonts w:hint="eastAsia" w:ascii="宋体" w:hAnsi="宋体" w:cs="宋体"/>
          <w:color w:val="auto"/>
          <w:sz w:val="24"/>
          <w:highlight w:val="none"/>
        </w:rPr>
      </w:pPr>
    </w:p>
    <w:p w14:paraId="250E7BBB">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p>
    <w:p w14:paraId="37AD6DF5">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1、响应人应对照询价文件商务要求，在“偏离”项中填写“正”、“负”或“无”，逐条说明已对询价文件的商务内容做出了实质性的报价，并申明与询价文件的偏差和例外。</w:t>
      </w:r>
    </w:p>
    <w:p w14:paraId="136017C0">
      <w:pPr>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2、商务条款包括但不限于合格供应商条件、供货时间、付款方式、品牌等要求。</w:t>
      </w:r>
    </w:p>
    <w:p w14:paraId="687BE455">
      <w:pPr>
        <w:pStyle w:val="9"/>
        <w:rPr>
          <w:color w:val="auto"/>
          <w:highlight w:val="none"/>
        </w:rPr>
      </w:pPr>
      <w:r>
        <w:rPr>
          <w:rFonts w:hint="eastAsia"/>
          <w:color w:val="auto"/>
          <w:highlight w:val="none"/>
        </w:rPr>
        <w:t xml:space="preserve">  </w:t>
      </w:r>
      <w:r>
        <w:rPr>
          <w:rFonts w:hint="eastAsia" w:ascii="宋体" w:hAnsi="宋体" w:cs="宋体"/>
          <w:color w:val="auto"/>
          <w:sz w:val="24"/>
          <w:highlight w:val="none"/>
        </w:rPr>
        <w:t xml:space="preserve">  3、技术条款包括但不限于询价文件中技术需求书相关要求。</w:t>
      </w:r>
    </w:p>
    <w:p w14:paraId="73F38AEF">
      <w:pPr>
        <w:spacing w:line="360" w:lineRule="exact"/>
        <w:ind w:firstLine="480" w:firstLineChars="200"/>
        <w:jc w:val="left"/>
        <w:rPr>
          <w:rFonts w:hint="eastAsia" w:ascii="宋体" w:hAnsi="宋体" w:cs="宋体"/>
          <w:color w:val="auto"/>
          <w:sz w:val="24"/>
          <w:highlight w:val="none"/>
        </w:rPr>
      </w:pPr>
    </w:p>
    <w:p w14:paraId="074B0C55">
      <w:pPr>
        <w:spacing w:line="360" w:lineRule="exact"/>
        <w:jc w:val="left"/>
        <w:rPr>
          <w:rFonts w:hint="eastAsia" w:ascii="宋体" w:hAnsi="宋体" w:cs="宋体"/>
          <w:color w:val="auto"/>
          <w:sz w:val="24"/>
          <w:highlight w:val="none"/>
        </w:rPr>
      </w:pPr>
    </w:p>
    <w:p w14:paraId="6524C862">
      <w:pPr>
        <w:pStyle w:val="9"/>
        <w:spacing w:after="0" w:line="3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响应人名称（加盖公章）：</w:t>
      </w:r>
    </w:p>
    <w:p w14:paraId="4F283796">
      <w:pPr>
        <w:pStyle w:val="9"/>
        <w:spacing w:after="0" w:line="3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响应人法定代表人或受委托人（签名或盖私章）：</w:t>
      </w:r>
    </w:p>
    <w:p w14:paraId="54E9431E">
      <w:pPr>
        <w:spacing w:line="360" w:lineRule="exact"/>
        <w:ind w:firstLine="480" w:firstLineChars="200"/>
        <w:jc w:val="left"/>
        <w:rPr>
          <w:rFonts w:eastAsia="黑体"/>
          <w:color w:val="auto"/>
          <w:sz w:val="28"/>
          <w:szCs w:val="44"/>
          <w:highlight w:val="none"/>
        </w:rPr>
      </w:pPr>
      <w:r>
        <w:rPr>
          <w:rFonts w:hint="eastAsia" w:ascii="宋体" w:hAnsi="宋体" w:cs="宋体"/>
          <w:color w:val="auto"/>
          <w:sz w:val="24"/>
          <w:highlight w:val="none"/>
        </w:rPr>
        <w:t>日      期：</w:t>
      </w:r>
    </w:p>
    <w:p w14:paraId="13C0B6A2">
      <w:pPr>
        <w:pStyle w:val="42"/>
        <w:spacing w:line="360" w:lineRule="auto"/>
        <w:ind w:firstLine="0" w:firstLineChars="0"/>
        <w:jc w:val="left"/>
        <w:outlineLvl w:val="1"/>
        <w:rPr>
          <w:rFonts w:eastAsia="黑体"/>
          <w:color w:val="auto"/>
          <w:sz w:val="28"/>
          <w:szCs w:val="44"/>
          <w:highlight w:val="none"/>
        </w:rPr>
      </w:pPr>
    </w:p>
    <w:p w14:paraId="632B2B6F">
      <w:pPr>
        <w:spacing w:before="332" w:beforeLines="100" w:after="332" w:afterLines="100"/>
        <w:outlineLvl w:val="1"/>
        <w:rPr>
          <w:rFonts w:hint="eastAsia" w:ascii="宋体" w:hAnsi="宋体" w:eastAsia="黑体" w:cs="宋体"/>
          <w:b/>
          <w:bCs/>
          <w:color w:val="auto"/>
          <w:sz w:val="44"/>
          <w:szCs w:val="44"/>
          <w:highlight w:val="none"/>
        </w:rPr>
      </w:pPr>
      <w:r>
        <w:rPr>
          <w:rFonts w:eastAsia="黑体"/>
          <w:color w:val="auto"/>
          <w:sz w:val="28"/>
          <w:szCs w:val="44"/>
          <w:highlight w:val="none"/>
        </w:rPr>
        <w:t>附件</w:t>
      </w:r>
      <w:r>
        <w:rPr>
          <w:rFonts w:hint="eastAsia" w:eastAsia="黑体"/>
          <w:color w:val="auto"/>
          <w:sz w:val="28"/>
          <w:szCs w:val="44"/>
          <w:highlight w:val="none"/>
        </w:rPr>
        <w:t>十二 投标人未到场声明（由寄送报价文件方式的响应人填写提交）</w:t>
      </w:r>
    </w:p>
    <w:p w14:paraId="0A2E1F37">
      <w:pPr>
        <w:rPr>
          <w:rFonts w:eastAsia="仿宋_GB2312"/>
          <w:color w:val="auto"/>
          <w:sz w:val="32"/>
          <w:szCs w:val="32"/>
          <w:highlight w:val="none"/>
        </w:rPr>
      </w:pPr>
      <w:r>
        <w:rPr>
          <w:rFonts w:hint="eastAsia" w:eastAsia="仿宋_GB2312"/>
          <w:color w:val="auto"/>
          <w:sz w:val="32"/>
          <w:szCs w:val="32"/>
          <w:highlight w:val="none"/>
        </w:rPr>
        <w:t>吐鲁番开能环保能源有限公司：</w:t>
      </w:r>
    </w:p>
    <w:p w14:paraId="267024F3">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ascii="Times New Roman" w:hAnsi="Times New Roman"/>
          <w:color w:val="auto"/>
          <w:sz w:val="32"/>
          <w:szCs w:val="32"/>
          <w:highlight w:val="none"/>
          <w:u w:val="single"/>
        </w:rPr>
        <w:t>吐鲁番开能环保能源有限公司202</w:t>
      </w:r>
      <w:r>
        <w:rPr>
          <w:rFonts w:hint="eastAsia" w:ascii="Times New Roman" w:hAnsi="Times New Roman"/>
          <w:color w:val="auto"/>
          <w:sz w:val="32"/>
          <w:szCs w:val="32"/>
          <w:highlight w:val="none"/>
          <w:u w:val="single"/>
          <w:lang w:val="en-US" w:eastAsia="zh-CN"/>
        </w:rPr>
        <w:t>6</w:t>
      </w:r>
      <w:r>
        <w:rPr>
          <w:rFonts w:hint="eastAsia" w:ascii="Times New Roman" w:hAnsi="Times New Roman"/>
          <w:color w:val="auto"/>
          <w:sz w:val="32"/>
          <w:szCs w:val="32"/>
          <w:highlight w:val="none"/>
          <w:u w:val="single"/>
        </w:rPr>
        <w:t>年煤泥采购项目</w:t>
      </w:r>
      <w:r>
        <w:rPr>
          <w:rFonts w:hint="eastAsia" w:ascii="Times New Roman" w:hAnsi="Times New Roman"/>
          <w:color w:val="auto"/>
          <w:sz w:val="32"/>
          <w:szCs w:val="32"/>
          <w:highlight w:val="none"/>
        </w:rPr>
        <w:t>，作出郑重说明：</w:t>
      </w:r>
    </w:p>
    <w:p w14:paraId="374638F2">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我司保证投标资格审查材料及其后提供的一切材料都是真实的；</w:t>
      </w:r>
    </w:p>
    <w:p w14:paraId="1C037E5F">
      <w:pPr>
        <w:pStyle w:val="41"/>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我司承诺未能参加开标工作皆我司原因导致，我司对开标结果不存在任何异议。</w:t>
      </w:r>
    </w:p>
    <w:p w14:paraId="4D13CFEA">
      <w:pPr>
        <w:pStyle w:val="41"/>
        <w:ind w:firstLine="0" w:firstLineChars="0"/>
        <w:jc w:val="left"/>
        <w:rPr>
          <w:rFonts w:ascii="Times New Roman" w:hAnsi="Times New Roman"/>
          <w:color w:val="auto"/>
          <w:sz w:val="32"/>
          <w:szCs w:val="32"/>
          <w:highlight w:val="none"/>
        </w:rPr>
      </w:pPr>
    </w:p>
    <w:p w14:paraId="0C1C0FD7">
      <w:pPr>
        <w:jc w:val="left"/>
        <w:rPr>
          <w:rFonts w:eastAsia="仿宋"/>
          <w:color w:val="auto"/>
          <w:sz w:val="32"/>
          <w:szCs w:val="32"/>
          <w:highlight w:val="none"/>
        </w:rPr>
      </w:pPr>
    </w:p>
    <w:p w14:paraId="2B9857B0">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响应人名称（加盖公章）：</w:t>
      </w:r>
    </w:p>
    <w:p w14:paraId="0E68D7B4">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法定代表人（签字或盖章）：</w:t>
      </w:r>
    </w:p>
    <w:p w14:paraId="391A1365">
      <w:pPr>
        <w:pStyle w:val="21"/>
        <w:ind w:left="0" w:leftChars="0" w:firstLine="640" w:firstLineChars="200"/>
        <w:rPr>
          <w:rFonts w:eastAsia="仿宋_GB2312"/>
          <w:color w:val="auto"/>
          <w:sz w:val="32"/>
          <w:szCs w:val="32"/>
          <w:highlight w:val="none"/>
        </w:rPr>
      </w:pPr>
      <w:r>
        <w:rPr>
          <w:rFonts w:hint="eastAsia" w:eastAsia="仿宋_GB2312"/>
          <w:color w:val="auto"/>
          <w:sz w:val="32"/>
          <w:szCs w:val="32"/>
          <w:highlight w:val="none"/>
        </w:rPr>
        <w:t>日期：</w:t>
      </w:r>
    </w:p>
    <w:sectPr>
      <w:pgSz w:w="11907" w:h="16840"/>
      <w:pgMar w:top="1531" w:right="1588" w:bottom="1418" w:left="1418" w:header="851" w:footer="1191" w:gutter="0"/>
      <w:cols w:space="720" w:num="1"/>
      <w:docGrid w:type="linesAndChar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7CBA">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4000"/>
              <wp:effectExtent l="0" t="0" r="0" b="0"/>
              <wp:wrapNone/>
              <wp:docPr id="744178866"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14:paraId="208ABEE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20pt;width:4.55pt;mso-position-horizontal:center;mso-position-horizontal-relative:margin;mso-wrap-style:none;z-index:251659264;mso-width-relative:page;mso-height-relative:page;" filled="f" stroked="f" coordsize="21600,21600" o:gfxdata="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gXe+NAAAAACAQAADwAAAAAAAAABACAAAAAiAAAAZHJzL2Rvd25yZXYu&#10;eG1sUEsBAhQAFAAAAAgAh07iQBU3NXQDAgAACwQAAA4AAAAAAAAAAQAgAAAAHwEAAGRycy9lMm9E&#10;b2MueG1sUEsFBgAAAAAGAAYAWQEAAJQFAAAAAA==&#10;">
              <v:fill on="f" focussize="0,0"/>
              <v:stroke on="f"/>
              <v:imagedata o:title=""/>
              <o:lock v:ext="edit" aspectratio="f"/>
              <v:textbox inset="0mm,0mm,0mm,0mm" style="mso-fit-shape-to-text:t;">
                <w:txbxContent>
                  <w:p w14:paraId="208ABEE7">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9D3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54000"/>
              <wp:effectExtent l="0" t="0" r="0" b="0"/>
              <wp:wrapNone/>
              <wp:docPr id="1546292917"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4935" cy="254000"/>
                      </a:xfrm>
                      <a:prstGeom prst="rect">
                        <a:avLst/>
                      </a:prstGeom>
                      <a:noFill/>
                      <a:ln>
                        <a:noFill/>
                      </a:ln>
                    </wps:spPr>
                    <wps:txbx>
                      <w:txbxContent>
                        <w:p w14:paraId="621CD215">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20pt;width:9.05pt;mso-position-horizontal:center;mso-position-horizontal-relative:margin;mso-wrap-style:none;z-index:251660288;mso-width-relative:page;mso-height-relative:page;" filled="f" stroked="f" coordsize="21600,21600" o:gfxdata="UEsDBAoAAAAAAIdO4kAAAAAAAAAAAAAAAAAEAAAAZHJzL1BLAwQUAAAACACHTuJAzmt99c8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mt99c8AAAADAQAADwAAAAAAAAABACAAAAAiAAAAZHJzL2Rvd25yZXYu&#10;eG1sUEsBAhQAFAAAAAgAh07iQHmV5ZAEAgAADQQAAA4AAAAAAAAAAQAgAAAAHgEAAGRycy9lMm9E&#10;b2MueG1sUEsFBgAAAAAGAAYAWQEAAJQFAAAAAA==&#10;">
              <v:fill on="f" focussize="0,0"/>
              <v:stroke on="f"/>
              <v:imagedata o:title=""/>
              <o:lock v:ext="edit" aspectratio="f"/>
              <v:textbox inset="0mm,0mm,0mm,0mm" style="mso-fit-shape-to-text:t;">
                <w:txbxContent>
                  <w:p w14:paraId="621CD215">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14:paraId="528FCA0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CA70">
    <w:pPr>
      <w:framePr w:wrap="around" w:vAnchor="text" w:hAnchor="margin" w:xAlign="right" w:y="1"/>
      <w:tabs>
        <w:tab w:val="center" w:pos="4153"/>
        <w:tab w:val="right" w:pos="8306"/>
      </w:tabs>
      <w:autoSpaceDE w:val="0"/>
      <w:autoSpaceDN w:val="0"/>
      <w:adjustRightInd w:val="0"/>
      <w:snapToGrid w:val="0"/>
      <w:jc w:val="left"/>
      <w:textAlignment w:val="baseline"/>
      <w:rPr>
        <w:rFonts w:ascii="宋体"/>
        <w:sz w:val="18"/>
      </w:rPr>
    </w:pPr>
    <w:r>
      <w:rPr>
        <w:rFonts w:ascii="宋体"/>
        <w:sz w:val="18"/>
      </w:rPr>
      <w:fldChar w:fldCharType="begin"/>
    </w:r>
    <w:r>
      <w:rPr>
        <w:rFonts w:ascii="Tahoma" w:hAnsi="Tahoma"/>
        <w:sz w:val="24"/>
      </w:rPr>
      <w:instrText xml:space="preserve">PAGE  </w:instrText>
    </w:r>
    <w:r>
      <w:rPr>
        <w:rFonts w:ascii="宋体"/>
        <w:sz w:val="18"/>
      </w:rPr>
      <w:fldChar w:fldCharType="end"/>
    </w:r>
  </w:p>
  <w:p w14:paraId="78E4E26E">
    <w:pPr>
      <w:tabs>
        <w:tab w:val="center" w:pos="4153"/>
        <w:tab w:val="right" w:pos="8306"/>
      </w:tabs>
      <w:autoSpaceDE w:val="0"/>
      <w:autoSpaceDN w:val="0"/>
      <w:adjustRightInd w:val="0"/>
      <w:snapToGrid w:val="0"/>
      <w:ind w:right="360"/>
      <w:jc w:val="left"/>
      <w:textAlignment w:val="baseline"/>
      <w:rPr>
        <w:rFonts w:ascii="宋体"/>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58E1">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254000"/>
              <wp:effectExtent l="0" t="0" r="0" b="0"/>
              <wp:wrapNone/>
              <wp:docPr id="1575161505"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14:paraId="3E2B9381">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20pt;width:4.55pt;mso-position-horizontal:center;mso-position-horizontal-relative:margin;mso-wrap-style:none;z-index:251661312;mso-width-relative:page;mso-height-relative:page;" filled="f" stroked="f" coordsize="21600,21600" o:gfxdata="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gXe+NAAAAACAQAADwAAAAAAAAABACAAAAAiAAAAZHJzL2Rvd25yZXYu&#10;eG1sUEsBAhQAFAAAAAgAh07iQFdLcKgDAgAADAQAAA4AAAAAAAAAAQAgAAAAHwEAAGRycy9lMm9E&#10;b2MueG1sUEsFBgAAAAAGAAYAWQEAAJQFAAAAAA==&#10;">
              <v:fill on="f" focussize="0,0"/>
              <v:stroke on="f"/>
              <v:imagedata o:title=""/>
              <o:lock v:ext="edit" aspectratio="f"/>
              <v:textbox inset="0mm,0mm,0mm,0mm" style="mso-fit-shape-to-text:t;">
                <w:txbxContent>
                  <w:p w14:paraId="3E2B9381">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8B7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1281">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BC5B">
    <w:pPr>
      <w:pBdr>
        <w:bottom w:val="single" w:color="auto" w:sz="6" w:space="1"/>
      </w:pBdr>
      <w:tabs>
        <w:tab w:val="center" w:pos="4153"/>
        <w:tab w:val="right" w:pos="8306"/>
      </w:tabs>
      <w:autoSpaceDE w:val="0"/>
      <w:autoSpaceDN w:val="0"/>
      <w:adjustRightInd w:val="0"/>
      <w:snapToGrid w:val="0"/>
      <w:jc w:val="center"/>
      <w:textAlignment w:val="baseline"/>
      <w:rPr>
        <w:rFonts w:ascii="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FF6BA"/>
    <w:multiLevelType w:val="singleLevel"/>
    <w:tmpl w:val="BECFF6BA"/>
    <w:lvl w:ilvl="0" w:tentative="0">
      <w:start w:val="1"/>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59"/>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8084967"/>
    <w:multiLevelType w:val="singleLevel"/>
    <w:tmpl w:val="48084967"/>
    <w:lvl w:ilvl="0" w:tentative="0">
      <w:start w:val="1"/>
      <w:numFmt w:val="decimal"/>
      <w:suff w:val="nothing"/>
      <w:lvlText w:val="%1、"/>
      <w:lvlJc w:val="left"/>
    </w:lvl>
  </w:abstractNum>
  <w:abstractNum w:abstractNumId="3">
    <w:nsid w:val="6099A159"/>
    <w:multiLevelType w:val="singleLevel"/>
    <w:tmpl w:val="6099A159"/>
    <w:lvl w:ilvl="0" w:tentative="0">
      <w:start w:val="1"/>
      <w:numFmt w:val="decimal"/>
      <w:suff w:val="nothing"/>
      <w:lvlText w:val="%1、"/>
      <w:lvlJc w:val="left"/>
      <w:rPr>
        <w:rFonts w:cs="Times New Roman"/>
      </w:rPr>
    </w:lvl>
  </w:abstractNum>
  <w:abstractNum w:abstractNumId="4">
    <w:nsid w:val="68B40337"/>
    <w:multiLevelType w:val="multilevel"/>
    <w:tmpl w:val="68B40337"/>
    <w:lvl w:ilvl="0" w:tentative="0">
      <w:start w:val="1"/>
      <w:numFmt w:val="japaneseCounting"/>
      <w:pStyle w:val="50"/>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OWQ3ZDEyNmY4MzRmZmQ5M2M0YTlhM2ZkOGE0ZjYifQ=="/>
  </w:docVars>
  <w:rsids>
    <w:rsidRoot w:val="00BD5ED0"/>
    <w:rsid w:val="00005B73"/>
    <w:rsid w:val="00012BFA"/>
    <w:rsid w:val="00027351"/>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0D3"/>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27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65DF"/>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179C9"/>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040"/>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9280D"/>
    <w:rsid w:val="00EA6B31"/>
    <w:rsid w:val="00EB4308"/>
    <w:rsid w:val="00EC0694"/>
    <w:rsid w:val="00EC1E4F"/>
    <w:rsid w:val="00EC4F40"/>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2141A6"/>
    <w:rsid w:val="028F0228"/>
    <w:rsid w:val="035D4211"/>
    <w:rsid w:val="03667363"/>
    <w:rsid w:val="037D5EE3"/>
    <w:rsid w:val="04CF6E29"/>
    <w:rsid w:val="05111DAD"/>
    <w:rsid w:val="059366CF"/>
    <w:rsid w:val="05D00163"/>
    <w:rsid w:val="064275A1"/>
    <w:rsid w:val="068D2A48"/>
    <w:rsid w:val="06F15928"/>
    <w:rsid w:val="077C34B8"/>
    <w:rsid w:val="07A209C4"/>
    <w:rsid w:val="07F56768"/>
    <w:rsid w:val="080D26DA"/>
    <w:rsid w:val="08284245"/>
    <w:rsid w:val="086F1260"/>
    <w:rsid w:val="0880226D"/>
    <w:rsid w:val="089F2BDE"/>
    <w:rsid w:val="08A952DB"/>
    <w:rsid w:val="08BB2505"/>
    <w:rsid w:val="099A07E1"/>
    <w:rsid w:val="0A9B4FED"/>
    <w:rsid w:val="0B0C0A79"/>
    <w:rsid w:val="0B451F6A"/>
    <w:rsid w:val="0BA14D3A"/>
    <w:rsid w:val="0BD701D2"/>
    <w:rsid w:val="0C6F4C8D"/>
    <w:rsid w:val="0D0E0EB6"/>
    <w:rsid w:val="0D706506"/>
    <w:rsid w:val="0DE142CB"/>
    <w:rsid w:val="0E1549DB"/>
    <w:rsid w:val="0FDC1CDC"/>
    <w:rsid w:val="10223C48"/>
    <w:rsid w:val="11A97DFC"/>
    <w:rsid w:val="12475EA9"/>
    <w:rsid w:val="133360BD"/>
    <w:rsid w:val="137F7471"/>
    <w:rsid w:val="13C12994"/>
    <w:rsid w:val="146E4633"/>
    <w:rsid w:val="150412EA"/>
    <w:rsid w:val="171438BA"/>
    <w:rsid w:val="17230955"/>
    <w:rsid w:val="172309AA"/>
    <w:rsid w:val="180F5427"/>
    <w:rsid w:val="182770BA"/>
    <w:rsid w:val="187E2975"/>
    <w:rsid w:val="18863017"/>
    <w:rsid w:val="18AC6D73"/>
    <w:rsid w:val="1A947B3A"/>
    <w:rsid w:val="1B4716B4"/>
    <w:rsid w:val="1B69793D"/>
    <w:rsid w:val="1BEE7E74"/>
    <w:rsid w:val="1C08419D"/>
    <w:rsid w:val="1C8C71B8"/>
    <w:rsid w:val="1D4D5FFD"/>
    <w:rsid w:val="1E65346E"/>
    <w:rsid w:val="1EB43554"/>
    <w:rsid w:val="1F245F41"/>
    <w:rsid w:val="1F7A0970"/>
    <w:rsid w:val="1FDF4F64"/>
    <w:rsid w:val="209E2C67"/>
    <w:rsid w:val="21581D11"/>
    <w:rsid w:val="216F32CA"/>
    <w:rsid w:val="22124112"/>
    <w:rsid w:val="225C19C8"/>
    <w:rsid w:val="23643F6C"/>
    <w:rsid w:val="23C81EED"/>
    <w:rsid w:val="23F57352"/>
    <w:rsid w:val="249A7996"/>
    <w:rsid w:val="260A352D"/>
    <w:rsid w:val="261C543B"/>
    <w:rsid w:val="267E2359"/>
    <w:rsid w:val="267E2989"/>
    <w:rsid w:val="26BC7CBC"/>
    <w:rsid w:val="26BD437F"/>
    <w:rsid w:val="27447ED5"/>
    <w:rsid w:val="275F3A77"/>
    <w:rsid w:val="284F0253"/>
    <w:rsid w:val="28644870"/>
    <w:rsid w:val="28941B11"/>
    <w:rsid w:val="28C36138"/>
    <w:rsid w:val="29D37560"/>
    <w:rsid w:val="2A76643B"/>
    <w:rsid w:val="2A891206"/>
    <w:rsid w:val="2AC5216B"/>
    <w:rsid w:val="2AE949DF"/>
    <w:rsid w:val="2B2C3F7A"/>
    <w:rsid w:val="2B3B474B"/>
    <w:rsid w:val="2B8D044E"/>
    <w:rsid w:val="2B8E43CA"/>
    <w:rsid w:val="2C016BB8"/>
    <w:rsid w:val="2D62205D"/>
    <w:rsid w:val="2D77461B"/>
    <w:rsid w:val="2E015014"/>
    <w:rsid w:val="2E1D1BA2"/>
    <w:rsid w:val="2E400C5F"/>
    <w:rsid w:val="2E5209E3"/>
    <w:rsid w:val="2EB01AFE"/>
    <w:rsid w:val="2F02606D"/>
    <w:rsid w:val="2F3B3CD8"/>
    <w:rsid w:val="30592C7B"/>
    <w:rsid w:val="30D1119A"/>
    <w:rsid w:val="30D91EED"/>
    <w:rsid w:val="30F12F4C"/>
    <w:rsid w:val="3112402E"/>
    <w:rsid w:val="313D3E38"/>
    <w:rsid w:val="324C6A81"/>
    <w:rsid w:val="32611BF0"/>
    <w:rsid w:val="33A83294"/>
    <w:rsid w:val="34011E26"/>
    <w:rsid w:val="341B4D23"/>
    <w:rsid w:val="345C5D91"/>
    <w:rsid w:val="35363278"/>
    <w:rsid w:val="35613714"/>
    <w:rsid w:val="358C4411"/>
    <w:rsid w:val="36A81FB2"/>
    <w:rsid w:val="3722158D"/>
    <w:rsid w:val="375E09FC"/>
    <w:rsid w:val="38525FA9"/>
    <w:rsid w:val="39003F1D"/>
    <w:rsid w:val="39276876"/>
    <w:rsid w:val="392B2930"/>
    <w:rsid w:val="3AB56764"/>
    <w:rsid w:val="3AC853CC"/>
    <w:rsid w:val="3B66136D"/>
    <w:rsid w:val="3C1029C7"/>
    <w:rsid w:val="3C582CD8"/>
    <w:rsid w:val="3CAB5734"/>
    <w:rsid w:val="3E094E14"/>
    <w:rsid w:val="3E2546CD"/>
    <w:rsid w:val="3E5874B7"/>
    <w:rsid w:val="3F282974"/>
    <w:rsid w:val="3F953281"/>
    <w:rsid w:val="40531C58"/>
    <w:rsid w:val="405D53B5"/>
    <w:rsid w:val="41192D98"/>
    <w:rsid w:val="413E5CD9"/>
    <w:rsid w:val="42E87780"/>
    <w:rsid w:val="433264B9"/>
    <w:rsid w:val="43425F9D"/>
    <w:rsid w:val="43F465D0"/>
    <w:rsid w:val="441D0A1C"/>
    <w:rsid w:val="442A053D"/>
    <w:rsid w:val="44440739"/>
    <w:rsid w:val="446F65B8"/>
    <w:rsid w:val="44F057A6"/>
    <w:rsid w:val="45923555"/>
    <w:rsid w:val="45A95346"/>
    <w:rsid w:val="46416F41"/>
    <w:rsid w:val="467D6748"/>
    <w:rsid w:val="46C4203A"/>
    <w:rsid w:val="470E29AE"/>
    <w:rsid w:val="48BC411A"/>
    <w:rsid w:val="496C09B9"/>
    <w:rsid w:val="49CB0CCD"/>
    <w:rsid w:val="4AA610D6"/>
    <w:rsid w:val="4AD618B2"/>
    <w:rsid w:val="4B0C055A"/>
    <w:rsid w:val="4C1B7A56"/>
    <w:rsid w:val="4C610D2E"/>
    <w:rsid w:val="4C8B4A7C"/>
    <w:rsid w:val="4CFC368B"/>
    <w:rsid w:val="4E7D412D"/>
    <w:rsid w:val="4EBE4481"/>
    <w:rsid w:val="4F086AAF"/>
    <w:rsid w:val="5069668A"/>
    <w:rsid w:val="50A83CB2"/>
    <w:rsid w:val="51147285"/>
    <w:rsid w:val="512B42F2"/>
    <w:rsid w:val="51AA58C4"/>
    <w:rsid w:val="5247520B"/>
    <w:rsid w:val="525E3DD9"/>
    <w:rsid w:val="538E5DEC"/>
    <w:rsid w:val="55E27D0D"/>
    <w:rsid w:val="56D076DF"/>
    <w:rsid w:val="56E34736"/>
    <w:rsid w:val="56FB15A3"/>
    <w:rsid w:val="572C3C94"/>
    <w:rsid w:val="576203AF"/>
    <w:rsid w:val="57806BBC"/>
    <w:rsid w:val="58963DA7"/>
    <w:rsid w:val="592C3305"/>
    <w:rsid w:val="5A2C7551"/>
    <w:rsid w:val="5A400720"/>
    <w:rsid w:val="5B33669F"/>
    <w:rsid w:val="5C072B21"/>
    <w:rsid w:val="5C4C35B3"/>
    <w:rsid w:val="5CF4139A"/>
    <w:rsid w:val="5D693C9C"/>
    <w:rsid w:val="5D9D7735"/>
    <w:rsid w:val="5DE973D6"/>
    <w:rsid w:val="5E5E457D"/>
    <w:rsid w:val="5E8D2D21"/>
    <w:rsid w:val="5EBD1212"/>
    <w:rsid w:val="5F1D6CF6"/>
    <w:rsid w:val="5F3D4482"/>
    <w:rsid w:val="5F616FA8"/>
    <w:rsid w:val="5FAD0DCB"/>
    <w:rsid w:val="60C82A21"/>
    <w:rsid w:val="61EE5BEB"/>
    <w:rsid w:val="623F329A"/>
    <w:rsid w:val="62695E27"/>
    <w:rsid w:val="628242DE"/>
    <w:rsid w:val="62BE7007"/>
    <w:rsid w:val="636127C3"/>
    <w:rsid w:val="637528F4"/>
    <w:rsid w:val="6381342F"/>
    <w:rsid w:val="650B601A"/>
    <w:rsid w:val="651C2317"/>
    <w:rsid w:val="6541100E"/>
    <w:rsid w:val="654C0BA8"/>
    <w:rsid w:val="664352EB"/>
    <w:rsid w:val="67173EFD"/>
    <w:rsid w:val="672079BD"/>
    <w:rsid w:val="683E7EE4"/>
    <w:rsid w:val="69356912"/>
    <w:rsid w:val="696610E4"/>
    <w:rsid w:val="697C3181"/>
    <w:rsid w:val="6A83721D"/>
    <w:rsid w:val="6AE21101"/>
    <w:rsid w:val="6B0C558D"/>
    <w:rsid w:val="6B4F3B9E"/>
    <w:rsid w:val="6B59484F"/>
    <w:rsid w:val="6BD63153"/>
    <w:rsid w:val="6BFE0B4D"/>
    <w:rsid w:val="6C124214"/>
    <w:rsid w:val="6C5B55DC"/>
    <w:rsid w:val="6CA565D4"/>
    <w:rsid w:val="6CAE03DD"/>
    <w:rsid w:val="6CE56E6B"/>
    <w:rsid w:val="6D032DAA"/>
    <w:rsid w:val="6D8C7A57"/>
    <w:rsid w:val="6E005A26"/>
    <w:rsid w:val="6E6329C5"/>
    <w:rsid w:val="6EFF345A"/>
    <w:rsid w:val="6F0E41D6"/>
    <w:rsid w:val="6F4F7C8F"/>
    <w:rsid w:val="6FB4540B"/>
    <w:rsid w:val="70C73255"/>
    <w:rsid w:val="70C81923"/>
    <w:rsid w:val="71126C39"/>
    <w:rsid w:val="715F328E"/>
    <w:rsid w:val="71610FBE"/>
    <w:rsid w:val="725008FF"/>
    <w:rsid w:val="72760778"/>
    <w:rsid w:val="743104E3"/>
    <w:rsid w:val="74320C3C"/>
    <w:rsid w:val="744D0596"/>
    <w:rsid w:val="74513162"/>
    <w:rsid w:val="74EC2A72"/>
    <w:rsid w:val="75431AF8"/>
    <w:rsid w:val="757B75BC"/>
    <w:rsid w:val="75C613DD"/>
    <w:rsid w:val="76A665D3"/>
    <w:rsid w:val="776150BB"/>
    <w:rsid w:val="77FA6F12"/>
    <w:rsid w:val="78932DAB"/>
    <w:rsid w:val="78BD1F9D"/>
    <w:rsid w:val="79201CE1"/>
    <w:rsid w:val="79B14724"/>
    <w:rsid w:val="7B3450D7"/>
    <w:rsid w:val="7B3E0A41"/>
    <w:rsid w:val="7C323980"/>
    <w:rsid w:val="7D4607F9"/>
    <w:rsid w:val="7D730629"/>
    <w:rsid w:val="7E01395C"/>
    <w:rsid w:val="7E1815B6"/>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2"/>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3"/>
    <w:qFormat/>
    <w:uiPriority w:val="99"/>
    <w:rPr>
      <w:rFonts w:ascii="宋体"/>
      <w:sz w:val="18"/>
      <w:szCs w:val="18"/>
    </w:rPr>
  </w:style>
  <w:style w:type="paragraph" w:styleId="8">
    <w:name w:val="annotation text"/>
    <w:basedOn w:val="1"/>
    <w:link w:val="34"/>
    <w:qFormat/>
    <w:uiPriority w:val="99"/>
    <w:pPr>
      <w:jc w:val="left"/>
    </w:pPr>
  </w:style>
  <w:style w:type="paragraph" w:styleId="9">
    <w:name w:val="Body Text"/>
    <w:basedOn w:val="1"/>
    <w:next w:val="10"/>
    <w:link w:val="35"/>
    <w:qFormat/>
    <w:uiPriority w:val="99"/>
    <w:pPr>
      <w:spacing w:after="120"/>
    </w:pPr>
  </w:style>
  <w:style w:type="paragraph" w:styleId="10">
    <w:name w:val="Body Text First Indent"/>
    <w:basedOn w:val="9"/>
    <w:next w:val="11"/>
    <w:link w:val="39"/>
    <w:qFormat/>
    <w:uiPriority w:val="99"/>
    <w:pPr>
      <w:widowControl/>
      <w:ind w:firstLine="420" w:firstLineChars="100"/>
    </w:pPr>
    <w:rPr>
      <w:rFonts w:ascii="Calibri" w:hAnsi="Calibri" w:cs="宋体"/>
      <w:szCs w:val="22"/>
    </w:rPr>
  </w:style>
  <w:style w:type="paragraph" w:customStyle="1" w:styleId="11">
    <w:name w:val="样式 正文首行缩进 + 首行缩进:  1 字符"/>
    <w:basedOn w:val="1"/>
    <w:next w:val="1"/>
    <w:qFormat/>
    <w:uiPriority w:val="0"/>
    <w:pPr>
      <w:ind w:firstLine="200" w:firstLineChars="200"/>
    </w:pPr>
    <w:rPr>
      <w:rFonts w:cs="宋体"/>
    </w:rPr>
  </w:style>
  <w:style w:type="paragraph" w:styleId="12">
    <w:name w:val="Body Text Indent"/>
    <w:basedOn w:val="1"/>
    <w:next w:val="13"/>
    <w:qFormat/>
    <w:uiPriority w:val="0"/>
    <w:pPr>
      <w:spacing w:after="120"/>
      <w:ind w:left="420" w:leftChars="200"/>
    </w:pPr>
  </w:style>
  <w:style w:type="paragraph" w:styleId="13">
    <w:name w:val="envelope return"/>
    <w:basedOn w:val="1"/>
    <w:unhideWhenUsed/>
    <w:qFormat/>
    <w:uiPriority w:val="99"/>
    <w:rPr>
      <w:rFonts w:hint="eastAsia" w:ascii="Arial" w:hAnsi="Arial"/>
    </w:rPr>
  </w:style>
  <w:style w:type="paragraph" w:styleId="14">
    <w:name w:val="Plain Text"/>
    <w:basedOn w:val="1"/>
    <w:link w:val="51"/>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6"/>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8"/>
    <w:next w:val="8"/>
    <w:link w:val="56"/>
    <w:semiHidden/>
    <w:qFormat/>
    <w:uiPriority w:val="99"/>
    <w:rPr>
      <w:b/>
      <w:bCs/>
    </w:rPr>
  </w:style>
  <w:style w:type="paragraph" w:styleId="21">
    <w:name w:val="Body Text First Indent 2"/>
    <w:basedOn w:val="12"/>
    <w:qFormat/>
    <w:uiPriority w:val="99"/>
    <w:pPr>
      <w:ind w:left="567" w:leftChars="270" w:firstLine="420" w:firstLineChars="200"/>
    </w:pPr>
    <w:rPr>
      <w:color w:val="00000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22"/>
    <w:rPr>
      <w:b/>
    </w:rPr>
  </w:style>
  <w:style w:type="character" w:styleId="26">
    <w:name w:val="Hyperlink"/>
    <w:basedOn w:val="24"/>
    <w:qFormat/>
    <w:uiPriority w:val="99"/>
    <w:rPr>
      <w:rFonts w:cs="Times New Roman"/>
      <w:color w:val="0000FF"/>
      <w:u w:val="single"/>
    </w:rPr>
  </w:style>
  <w:style w:type="character" w:styleId="27">
    <w:name w:val="annotation reference"/>
    <w:basedOn w:val="24"/>
    <w:qFormat/>
    <w:uiPriority w:val="99"/>
    <w:rPr>
      <w:rFonts w:cs="Times New Roman"/>
      <w:sz w:val="21"/>
      <w:szCs w:val="21"/>
    </w:rPr>
  </w:style>
  <w:style w:type="paragraph" w:customStyle="1" w:styleId="28">
    <w:name w:val="Default"/>
    <w:qFormat/>
    <w:uiPriority w:val="0"/>
    <w:pPr>
      <w:widowControl w:val="0"/>
      <w:autoSpaceDE w:val="0"/>
      <w:autoSpaceDN w:val="0"/>
      <w:adjustRightInd w:val="0"/>
      <w:spacing w:after="160" w:line="278" w:lineRule="auto"/>
    </w:pPr>
    <w:rPr>
      <w:rFonts w:ascii="MetaPlusLF" w:hAnsi="MetaPlusLF" w:eastAsia="宋体" w:cs="MetaPlusLF"/>
      <w:color w:val="000000"/>
      <w:sz w:val="24"/>
      <w:szCs w:val="24"/>
      <w:lang w:val="en-US" w:eastAsia="zh-CN" w:bidi="ar-SA"/>
    </w:rPr>
  </w:style>
  <w:style w:type="character" w:customStyle="1" w:styleId="29">
    <w:name w:val="标题 1 字符"/>
    <w:basedOn w:val="24"/>
    <w:link w:val="2"/>
    <w:qFormat/>
    <w:locked/>
    <w:uiPriority w:val="99"/>
    <w:rPr>
      <w:rFonts w:ascii="Times New Roman" w:hAnsi="Times New Roman" w:eastAsia="宋体" w:cs="Times New Roman"/>
      <w:b/>
      <w:bCs/>
      <w:kern w:val="44"/>
      <w:sz w:val="44"/>
      <w:szCs w:val="44"/>
    </w:rPr>
  </w:style>
  <w:style w:type="character" w:customStyle="1" w:styleId="30">
    <w:name w:val="标题 2 字符"/>
    <w:basedOn w:val="24"/>
    <w:link w:val="3"/>
    <w:qFormat/>
    <w:locked/>
    <w:uiPriority w:val="99"/>
    <w:rPr>
      <w:rFonts w:ascii="Cambria" w:hAnsi="Cambria" w:eastAsia="宋体" w:cs="Times New Roman"/>
      <w:b/>
      <w:bCs/>
      <w:kern w:val="2"/>
      <w:sz w:val="32"/>
      <w:szCs w:val="32"/>
    </w:rPr>
  </w:style>
  <w:style w:type="character" w:customStyle="1" w:styleId="31">
    <w:name w:val="标题 3 字符"/>
    <w:basedOn w:val="24"/>
    <w:link w:val="4"/>
    <w:qFormat/>
    <w:locked/>
    <w:uiPriority w:val="99"/>
    <w:rPr>
      <w:rFonts w:eastAsia="宋体" w:cs="Times New Roman"/>
      <w:b/>
      <w:sz w:val="32"/>
    </w:rPr>
  </w:style>
  <w:style w:type="character" w:customStyle="1" w:styleId="32">
    <w:name w:val="标题 4 字符1"/>
    <w:basedOn w:val="24"/>
    <w:link w:val="5"/>
    <w:qFormat/>
    <w:locked/>
    <w:uiPriority w:val="99"/>
    <w:rPr>
      <w:rFonts w:ascii="Arial" w:hAnsi="Arial" w:eastAsia="黑体" w:cs="Times New Roman"/>
      <w:b/>
      <w:bCs/>
      <w:kern w:val="2"/>
      <w:sz w:val="28"/>
      <w:szCs w:val="28"/>
    </w:rPr>
  </w:style>
  <w:style w:type="character" w:customStyle="1" w:styleId="33">
    <w:name w:val="文档结构图 字符"/>
    <w:basedOn w:val="24"/>
    <w:link w:val="7"/>
    <w:qFormat/>
    <w:locked/>
    <w:uiPriority w:val="99"/>
    <w:rPr>
      <w:rFonts w:ascii="宋体" w:hAnsi="Times New Roman" w:eastAsia="宋体" w:cs="Times New Roman"/>
      <w:kern w:val="2"/>
      <w:sz w:val="18"/>
      <w:szCs w:val="18"/>
    </w:rPr>
  </w:style>
  <w:style w:type="character" w:customStyle="1" w:styleId="34">
    <w:name w:val="批注文字 字符"/>
    <w:basedOn w:val="24"/>
    <w:link w:val="8"/>
    <w:qFormat/>
    <w:locked/>
    <w:uiPriority w:val="99"/>
    <w:rPr>
      <w:rFonts w:ascii="Times New Roman" w:hAnsi="Times New Roman" w:cs="Times New Roman"/>
      <w:kern w:val="2"/>
      <w:sz w:val="21"/>
    </w:rPr>
  </w:style>
  <w:style w:type="character" w:customStyle="1" w:styleId="35">
    <w:name w:val="正文文本 字符"/>
    <w:basedOn w:val="24"/>
    <w:link w:val="9"/>
    <w:qFormat/>
    <w:locked/>
    <w:uiPriority w:val="99"/>
    <w:rPr>
      <w:rFonts w:ascii="Times New Roman" w:hAnsi="Times New Roman" w:eastAsia="宋体" w:cs="Times New Roman"/>
      <w:sz w:val="20"/>
      <w:szCs w:val="20"/>
    </w:rPr>
  </w:style>
  <w:style w:type="character" w:customStyle="1" w:styleId="36">
    <w:name w:val="批注框文本 字符"/>
    <w:basedOn w:val="24"/>
    <w:link w:val="15"/>
    <w:qFormat/>
    <w:locked/>
    <w:uiPriority w:val="99"/>
    <w:rPr>
      <w:rFonts w:ascii="Times New Roman" w:hAnsi="Times New Roman" w:eastAsia="宋体" w:cs="Times New Roman"/>
      <w:kern w:val="2"/>
      <w:sz w:val="18"/>
      <w:szCs w:val="18"/>
    </w:rPr>
  </w:style>
  <w:style w:type="character" w:customStyle="1" w:styleId="37">
    <w:name w:val="页脚 字符"/>
    <w:basedOn w:val="24"/>
    <w:link w:val="16"/>
    <w:qFormat/>
    <w:locked/>
    <w:uiPriority w:val="99"/>
    <w:rPr>
      <w:rFonts w:ascii="Times New Roman" w:hAnsi="Times New Roman" w:eastAsia="宋体" w:cs="Times New Roman"/>
      <w:sz w:val="18"/>
      <w:szCs w:val="18"/>
    </w:rPr>
  </w:style>
  <w:style w:type="character" w:customStyle="1" w:styleId="38">
    <w:name w:val="页眉 字符"/>
    <w:basedOn w:val="24"/>
    <w:link w:val="17"/>
    <w:qFormat/>
    <w:locked/>
    <w:uiPriority w:val="99"/>
    <w:rPr>
      <w:rFonts w:ascii="Times New Roman" w:hAnsi="Times New Roman" w:eastAsia="宋体" w:cs="Times New Roman"/>
      <w:sz w:val="18"/>
      <w:szCs w:val="18"/>
    </w:rPr>
  </w:style>
  <w:style w:type="character" w:customStyle="1" w:styleId="39">
    <w:name w:val="正文文本首行缩进 字符"/>
    <w:basedOn w:val="35"/>
    <w:link w:val="10"/>
    <w:qFormat/>
    <w:locked/>
    <w:uiPriority w:val="99"/>
    <w:rPr>
      <w:rFonts w:ascii="Times New Roman" w:hAnsi="Times New Roman" w:eastAsia="宋体" w:cs="Times New Roman"/>
      <w:sz w:val="20"/>
      <w:szCs w:val="20"/>
    </w:rPr>
  </w:style>
  <w:style w:type="character" w:customStyle="1" w:styleId="40">
    <w:name w:val="正文缩进2格 Char"/>
    <w:link w:val="41"/>
    <w:qFormat/>
    <w:locked/>
    <w:uiPriority w:val="99"/>
    <w:rPr>
      <w:rFonts w:ascii="仿宋_GB2312" w:hAnsi="宋体" w:eastAsia="仿宋_GB2312"/>
      <w:sz w:val="31"/>
    </w:rPr>
  </w:style>
  <w:style w:type="paragraph" w:customStyle="1" w:styleId="41">
    <w:name w:val="正文缩进2格"/>
    <w:basedOn w:val="1"/>
    <w:next w:val="1"/>
    <w:link w:val="40"/>
    <w:qFormat/>
    <w:uiPriority w:val="99"/>
    <w:pPr>
      <w:spacing w:line="600" w:lineRule="exact"/>
      <w:ind w:firstLine="639" w:firstLineChars="206"/>
    </w:pPr>
    <w:rPr>
      <w:rFonts w:ascii="仿宋_GB2312" w:hAnsi="宋体" w:eastAsia="仿宋_GB2312"/>
      <w:kern w:val="0"/>
      <w:sz w:val="31"/>
      <w:szCs w:val="31"/>
    </w:rPr>
  </w:style>
  <w:style w:type="paragraph" w:customStyle="1" w:styleId="42">
    <w:name w:val="列出段落1"/>
    <w:basedOn w:val="1"/>
    <w:qFormat/>
    <w:uiPriority w:val="99"/>
    <w:pPr>
      <w:ind w:firstLine="420" w:firstLineChars="200"/>
    </w:pPr>
  </w:style>
  <w:style w:type="paragraph" w:customStyle="1" w:styleId="43">
    <w:name w:val="列出段落2"/>
    <w:basedOn w:val="1"/>
    <w:qFormat/>
    <w:uiPriority w:val="99"/>
    <w:pPr>
      <w:ind w:firstLine="420" w:firstLineChars="200"/>
    </w:pPr>
  </w:style>
  <w:style w:type="paragraph" w:styleId="44">
    <w:name w:val="List Paragraph"/>
    <w:basedOn w:val="1"/>
    <w:qFormat/>
    <w:uiPriority w:val="99"/>
    <w:pPr>
      <w:ind w:firstLine="420" w:firstLineChars="200"/>
    </w:pPr>
  </w:style>
  <w:style w:type="character" w:customStyle="1" w:styleId="45">
    <w:name w:val="fontstyle01"/>
    <w:basedOn w:val="24"/>
    <w:qFormat/>
    <w:uiPriority w:val="99"/>
    <w:rPr>
      <w:rFonts w:ascii="仿宋" w:hAnsi="仿宋" w:eastAsia="仿宋" w:cs="Times New Roman"/>
      <w:color w:val="000000"/>
      <w:sz w:val="28"/>
      <w:szCs w:val="28"/>
    </w:rPr>
  </w:style>
  <w:style w:type="character" w:customStyle="1" w:styleId="46">
    <w:name w:val="！正文 Char"/>
    <w:link w:val="47"/>
    <w:qFormat/>
    <w:locked/>
    <w:uiPriority w:val="99"/>
    <w:rPr>
      <w:rFonts w:ascii="Arial" w:hAnsi="Arial"/>
      <w:sz w:val="24"/>
    </w:rPr>
  </w:style>
  <w:style w:type="paragraph" w:customStyle="1" w:styleId="47">
    <w:name w:val="！正文"/>
    <w:basedOn w:val="1"/>
    <w:link w:val="46"/>
    <w:qFormat/>
    <w:uiPriority w:val="99"/>
    <w:pPr>
      <w:spacing w:line="360" w:lineRule="auto"/>
      <w:ind w:firstLine="200" w:firstLineChars="200"/>
    </w:pPr>
    <w:rPr>
      <w:rFonts w:ascii="Arial" w:hAnsi="Arial" w:eastAsia="等线"/>
      <w:kern w:val="0"/>
      <w:sz w:val="24"/>
      <w:szCs w:val="24"/>
    </w:rPr>
  </w:style>
  <w:style w:type="paragraph" w:customStyle="1" w:styleId="48">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9">
    <w:name w:val="正文缩进 字符"/>
    <w:link w:val="6"/>
    <w:qFormat/>
    <w:locked/>
    <w:uiPriority w:val="99"/>
    <w:rPr>
      <w:sz w:val="24"/>
    </w:rPr>
  </w:style>
  <w:style w:type="paragraph" w:customStyle="1" w:styleId="50">
    <w:name w:val="标准书脚_奇数页"/>
    <w:qFormat/>
    <w:uiPriority w:val="99"/>
    <w:pPr>
      <w:numPr>
        <w:ilvl w:val="0"/>
        <w:numId w:val="1"/>
      </w:numPr>
      <w:spacing w:before="120" w:after="160" w:line="278" w:lineRule="auto"/>
      <w:ind w:left="0" w:firstLine="0"/>
      <w:jc w:val="right"/>
    </w:pPr>
    <w:rPr>
      <w:rFonts w:ascii="Times New Roman" w:hAnsi="Times New Roman" w:eastAsia="宋体" w:cs="Times New Roman"/>
      <w:sz w:val="18"/>
      <w:lang w:val="en-US" w:eastAsia="zh-CN" w:bidi="ar-SA"/>
    </w:rPr>
  </w:style>
  <w:style w:type="character" w:customStyle="1" w:styleId="51">
    <w:name w:val="纯文本 字符"/>
    <w:basedOn w:val="24"/>
    <w:link w:val="14"/>
    <w:qFormat/>
    <w:locked/>
    <w:uiPriority w:val="99"/>
    <w:rPr>
      <w:rFonts w:ascii="宋体" w:hAnsi="Courier New" w:eastAsia="宋体" w:cs="Times New Roman"/>
      <w:kern w:val="2"/>
      <w:sz w:val="21"/>
      <w:szCs w:val="21"/>
    </w:rPr>
  </w:style>
  <w:style w:type="character" w:customStyle="1" w:styleId="52">
    <w:name w:val="未处理的提及1"/>
    <w:basedOn w:val="24"/>
    <w:semiHidden/>
    <w:qFormat/>
    <w:uiPriority w:val="99"/>
    <w:rPr>
      <w:rFonts w:cs="Times New Roman"/>
      <w:color w:val="605E5C"/>
      <w:shd w:val="clear" w:color="auto" w:fill="E1DFDD"/>
    </w:rPr>
  </w:style>
  <w:style w:type="paragraph" w:customStyle="1" w:styleId="53">
    <w:name w:val="样式"/>
    <w:basedOn w:val="1"/>
    <w:next w:val="44"/>
    <w:qFormat/>
    <w:uiPriority w:val="99"/>
    <w:pPr>
      <w:ind w:firstLine="420" w:firstLineChars="200"/>
    </w:pPr>
    <w:rPr>
      <w:rFonts w:ascii="Calibri" w:hAnsi="Calibri"/>
      <w:szCs w:val="22"/>
    </w:rPr>
  </w:style>
  <w:style w:type="character" w:customStyle="1" w:styleId="54">
    <w:name w:val="Body Text Indent 2 Char Char"/>
    <w:link w:val="55"/>
    <w:qFormat/>
    <w:locked/>
    <w:uiPriority w:val="99"/>
  </w:style>
  <w:style w:type="paragraph" w:customStyle="1" w:styleId="55">
    <w:name w:val="正文文本缩进 21"/>
    <w:basedOn w:val="1"/>
    <w:link w:val="54"/>
    <w:qFormat/>
    <w:uiPriority w:val="99"/>
    <w:pPr>
      <w:adjustRightInd w:val="0"/>
      <w:spacing w:line="480" w:lineRule="auto"/>
      <w:ind w:firstLine="540"/>
    </w:pPr>
    <w:rPr>
      <w:rFonts w:ascii="Calibri" w:hAnsi="Calibri" w:eastAsia="等线"/>
      <w:kern w:val="0"/>
      <w:sz w:val="20"/>
    </w:rPr>
  </w:style>
  <w:style w:type="character" w:customStyle="1" w:styleId="56">
    <w:name w:val="批注主题 字符"/>
    <w:basedOn w:val="34"/>
    <w:link w:val="20"/>
    <w:semiHidden/>
    <w:qFormat/>
    <w:locked/>
    <w:uiPriority w:val="99"/>
    <w:rPr>
      <w:rFonts w:ascii="Times New Roman" w:hAnsi="Times New Roman" w:eastAsia="宋体" w:cs="Times New Roman"/>
      <w:b/>
      <w:bCs/>
      <w:kern w:val="2"/>
      <w:sz w:val="21"/>
    </w:rPr>
  </w:style>
  <w:style w:type="character" w:customStyle="1" w:styleId="57">
    <w:name w:val="标题 4 字符"/>
    <w:basedOn w:val="24"/>
    <w:semiHidden/>
    <w:qFormat/>
    <w:uiPriority w:val="99"/>
    <w:rPr>
      <w:rFonts w:ascii="Cambria" w:hAnsi="Cambria" w:eastAsia="宋体" w:cs="Times New Roman"/>
      <w:b/>
      <w:bCs/>
      <w:kern w:val="2"/>
      <w:sz w:val="28"/>
      <w:szCs w:val="28"/>
    </w:rPr>
  </w:style>
  <w:style w:type="paragraph" w:customStyle="1" w:styleId="58">
    <w:name w:val="正文_0"/>
    <w:qFormat/>
    <w:uiPriority w:val="99"/>
    <w:pPr>
      <w:widowControl w:val="0"/>
      <w:spacing w:after="160" w:line="360" w:lineRule="auto"/>
      <w:jc w:val="both"/>
    </w:pPr>
    <w:rPr>
      <w:rFonts w:ascii="宋体" w:hAnsi="宋体" w:eastAsia="宋体" w:cs="Times New Roman"/>
      <w:kern w:val="2"/>
      <w:sz w:val="24"/>
      <w:szCs w:val="24"/>
      <w:lang w:val="en-US" w:eastAsia="zh-CN" w:bidi="ar-SA"/>
    </w:rPr>
  </w:style>
  <w:style w:type="paragraph" w:customStyle="1" w:styleId="59">
    <w:name w:val="致远要点"/>
    <w:basedOn w:val="44"/>
    <w:link w:val="60"/>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0">
    <w:name w:val="致远要点 字符"/>
    <w:basedOn w:val="24"/>
    <w:link w:val="59"/>
    <w:qFormat/>
    <w:locked/>
    <w:uiPriority w:val="99"/>
    <w:rPr>
      <w:rFonts w:ascii="黑体" w:hAnsi="黑体" w:eastAsia="黑体" w:cs="宋体"/>
      <w:kern w:val="2"/>
      <w:sz w:val="22"/>
      <w:szCs w:val="22"/>
    </w:rPr>
  </w:style>
  <w:style w:type="paragraph" w:customStyle="1" w:styleId="61">
    <w:name w:val="SANGFOR_6_正文"/>
    <w:basedOn w:val="1"/>
    <w:qFormat/>
    <w:uiPriority w:val="99"/>
    <w:pPr>
      <w:spacing w:line="360" w:lineRule="auto"/>
    </w:pPr>
    <w:rPr>
      <w:szCs w:val="24"/>
    </w:rPr>
  </w:style>
  <w:style w:type="character" w:customStyle="1" w:styleId="62">
    <w:name w:val="font01"/>
    <w:basedOn w:val="24"/>
    <w:qFormat/>
    <w:uiPriority w:val="0"/>
    <w:rPr>
      <w:rFonts w:hint="eastAsia" w:ascii="宋体" w:hAnsi="宋体" w:eastAsia="宋体" w:cs="宋体"/>
      <w:color w:val="FF0000"/>
      <w:sz w:val="24"/>
      <w:szCs w:val="24"/>
      <w:u w:val="none"/>
    </w:rPr>
  </w:style>
  <w:style w:type="character" w:customStyle="1" w:styleId="63">
    <w:name w:val="font21"/>
    <w:basedOn w:val="24"/>
    <w:qFormat/>
    <w:uiPriority w:val="0"/>
    <w:rPr>
      <w:rFonts w:hint="eastAsia" w:ascii="宋体" w:hAnsi="宋体" w:eastAsia="宋体" w:cs="宋体"/>
      <w:color w:val="000000"/>
      <w:sz w:val="24"/>
      <w:szCs w:val="24"/>
      <w:u w:val="none"/>
    </w:rPr>
  </w:style>
  <w:style w:type="paragraph" w:customStyle="1" w:styleId="64">
    <w:name w:val="Char Char Char"/>
    <w:basedOn w:val="1"/>
    <w:qFormat/>
    <w:uiPriority w:val="0"/>
    <w:rPr>
      <w:rFonts w:ascii="Tahoma" w:hAnsi="Tahoma"/>
      <w:sz w:val="24"/>
    </w:rPr>
  </w:style>
  <w:style w:type="paragraph" w:customStyle="1" w:styleId="65">
    <w:name w:val="标书正文文本"/>
    <w:qFormat/>
    <w:uiPriority w:val="0"/>
    <w:pPr>
      <w:spacing w:after="160"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39</Pages>
  <Words>14678</Words>
  <Characters>15153</Characters>
  <Lines>131</Lines>
  <Paragraphs>37</Paragraphs>
  <TotalTime>2</TotalTime>
  <ScaleCrop>false</ScaleCrop>
  <LinksUpToDate>false</LinksUpToDate>
  <CharactersWithSpaces>16166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2025-08-11T02:50:00Z</dcterms:created>
  <dc:creator>86138</dc:creator>
  <cp:lastModifiedBy>花粟鼠</cp:lastModifiedBy>
  <cp:lastPrinted>2020-06-08T08:11:00Z</cp:lastPrinted>
  <dcterms:modified xsi:type="dcterms:W3CDTF">2026-05-06T04:14:18Z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9C06B65765CB4A429B468F47EEFAB073</vt:lpwstr>
  </property>
  <property fmtid="{D5CDD505-2E9C-101B-9397-08002B2CF9AE}" pid="4" name="KSOTemplateDocerSaveRecord">
    <vt:lpwstr>eyJoZGlkIjoiNTUyNmUyYzdmZWQ1MWM1ZDU0OTEwMGNmNjE4NDFkYjUiLCJ1c2VySWQiOiIxMDcyNDUyNDE5In0=</vt:lpwstr>
  </property>
</Properties>
</file>