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5AE28">
      <w:pPr>
        <w:widowControl/>
        <w:shd w:val="clear"/>
        <w:spacing w:line="360" w:lineRule="auto"/>
        <w:ind w:right="-26"/>
        <w:jc w:val="center"/>
        <w:textAlignment w:val="bottom"/>
        <w:rPr>
          <w:rFonts w:hint="eastAsia" w:ascii="宋体" w:hAnsi="宋体" w:eastAsia="宋体" w:cs="宋体"/>
          <w:b/>
          <w:color w:val="auto"/>
          <w:sz w:val="52"/>
          <w:szCs w:val="52"/>
          <w:highlight w:val="none"/>
        </w:rPr>
      </w:pPr>
    </w:p>
    <w:p w14:paraId="1A295DF8">
      <w:pPr>
        <w:pStyle w:val="21"/>
        <w:shd w:val="clear"/>
        <w:rPr>
          <w:rFonts w:hint="eastAsia" w:ascii="宋体" w:hAnsi="宋体" w:eastAsia="宋体" w:cs="宋体"/>
          <w:color w:val="auto"/>
          <w:highlight w:val="none"/>
        </w:rPr>
      </w:pPr>
    </w:p>
    <w:p w14:paraId="583E3CF3">
      <w:pPr>
        <w:widowControl/>
        <w:shd w:val="clear"/>
        <w:spacing w:line="360" w:lineRule="auto"/>
        <w:ind w:right="-26"/>
        <w:jc w:val="center"/>
        <w:textAlignment w:val="bottom"/>
        <w:rPr>
          <w:rFonts w:hint="eastAsia" w:ascii="宋体" w:hAnsi="宋体" w:eastAsia="宋体" w:cs="宋体"/>
          <w:b/>
          <w:color w:val="auto"/>
          <w:sz w:val="72"/>
          <w:highlight w:val="none"/>
        </w:rPr>
      </w:pPr>
    </w:p>
    <w:p w14:paraId="088EE04F">
      <w:pPr>
        <w:shd w:val="clear"/>
        <w:snapToGrid w:val="0"/>
        <w:jc w:val="center"/>
        <w:outlineLvl w:val="0"/>
        <w:rPr>
          <w:rFonts w:hint="eastAsia" w:ascii="宋体" w:hAnsi="宋体" w:eastAsia="宋体" w:cs="宋体"/>
          <w:b/>
          <w:bCs/>
          <w:color w:val="auto"/>
          <w:sz w:val="72"/>
          <w:szCs w:val="72"/>
          <w:highlight w:val="none"/>
        </w:rPr>
      </w:pPr>
      <w:bookmarkStart w:id="0" w:name="_Toc5586"/>
      <w:r>
        <w:rPr>
          <w:rFonts w:hint="eastAsia" w:ascii="宋体" w:hAnsi="宋体" w:eastAsia="宋体" w:cs="宋体"/>
          <w:b/>
          <w:bCs/>
          <w:color w:val="auto"/>
          <w:sz w:val="72"/>
          <w:szCs w:val="72"/>
          <w:highlight w:val="none"/>
        </w:rPr>
        <w:t>竞争性磋商文件</w:t>
      </w:r>
      <w:bookmarkEnd w:id="0"/>
    </w:p>
    <w:p w14:paraId="5BC15E2E">
      <w:pPr>
        <w:widowControl/>
        <w:shd w:val="clear"/>
        <w:spacing w:line="360" w:lineRule="auto"/>
        <w:ind w:right="-26"/>
        <w:jc w:val="center"/>
        <w:textAlignment w:val="bottom"/>
        <w:rPr>
          <w:rFonts w:hint="eastAsia" w:ascii="宋体" w:hAnsi="宋体" w:eastAsia="宋体" w:cs="宋体"/>
          <w:b/>
          <w:color w:val="auto"/>
          <w:sz w:val="44"/>
          <w:highlight w:val="none"/>
        </w:rPr>
      </w:pPr>
    </w:p>
    <w:p w14:paraId="649672DC">
      <w:pPr>
        <w:widowControl/>
        <w:shd w:val="clear"/>
        <w:spacing w:line="360" w:lineRule="auto"/>
        <w:ind w:right="-26"/>
        <w:jc w:val="center"/>
        <w:textAlignment w:val="bottom"/>
        <w:rPr>
          <w:rFonts w:hint="eastAsia" w:ascii="宋体" w:hAnsi="宋体" w:eastAsia="宋体" w:cs="宋体"/>
          <w:b/>
          <w:color w:val="auto"/>
          <w:sz w:val="44"/>
          <w:highlight w:val="none"/>
        </w:rPr>
      </w:pPr>
    </w:p>
    <w:p w14:paraId="7476ABE2">
      <w:pPr>
        <w:widowControl/>
        <w:shd w:val="clear"/>
        <w:spacing w:line="360" w:lineRule="auto"/>
        <w:ind w:right="-26"/>
        <w:jc w:val="center"/>
        <w:textAlignment w:val="bottom"/>
        <w:rPr>
          <w:rFonts w:hint="eastAsia" w:ascii="宋体" w:hAnsi="宋体" w:eastAsia="宋体" w:cs="宋体"/>
          <w:b/>
          <w:color w:val="auto"/>
          <w:sz w:val="44"/>
          <w:highlight w:val="none"/>
        </w:rPr>
      </w:pPr>
    </w:p>
    <w:p w14:paraId="2E6BE9D0">
      <w:pPr>
        <w:pStyle w:val="63"/>
        <w:rPr>
          <w:rFonts w:hint="eastAsia" w:ascii="宋体" w:hAnsi="宋体" w:eastAsia="宋体" w:cs="宋体"/>
          <w:b/>
          <w:color w:val="auto"/>
          <w:sz w:val="44"/>
          <w:highlight w:val="none"/>
        </w:rPr>
      </w:pPr>
    </w:p>
    <w:p w14:paraId="2A6A466B">
      <w:pPr>
        <w:pStyle w:val="63"/>
        <w:rPr>
          <w:rFonts w:hint="eastAsia" w:ascii="宋体" w:hAnsi="宋体" w:eastAsia="宋体" w:cs="宋体"/>
          <w:b/>
          <w:color w:val="auto"/>
          <w:sz w:val="44"/>
          <w:highlight w:val="none"/>
        </w:rPr>
      </w:pPr>
    </w:p>
    <w:p w14:paraId="15CBE55E">
      <w:pPr>
        <w:widowControl/>
        <w:shd w:val="clear"/>
        <w:spacing w:line="360" w:lineRule="auto"/>
        <w:ind w:right="-26"/>
        <w:jc w:val="center"/>
        <w:textAlignment w:val="bottom"/>
        <w:rPr>
          <w:rFonts w:hint="eastAsia" w:ascii="宋体" w:hAnsi="宋体" w:eastAsia="宋体" w:cs="宋体"/>
          <w:b/>
          <w:color w:val="auto"/>
          <w:sz w:val="44"/>
          <w:highlight w:val="none"/>
        </w:rPr>
      </w:pPr>
      <w:r>
        <w:rPr>
          <w:rFonts w:hint="eastAsia" w:ascii="宋体" w:hAnsi="宋体" w:eastAsia="宋体" w:cs="宋体"/>
          <w:color w:val="auto"/>
          <w:sz w:val="44"/>
          <w:highlight w:val="none"/>
        </w:rPr>
        <mc:AlternateContent>
          <mc:Choice Requires="wps">
            <w:drawing>
              <wp:anchor distT="0" distB="0" distL="114300" distR="114300" simplePos="0" relativeHeight="251660288"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14:paraId="070926A9">
                            <w:pPr>
                              <w:widowControl/>
                              <w:spacing w:line="360" w:lineRule="auto"/>
                              <w:ind w:left="1606" w:right="-26" w:hanging="1606" w:hangingChars="500"/>
                              <w:jc w:val="both"/>
                              <w:textAlignment w:val="bottom"/>
                              <w:rPr>
                                <w:rFonts w:hint="eastAsia" w:ascii="宋体" w:hAnsi="宋体" w:eastAsia="宋体" w:cs="宋体"/>
                                <w:b/>
                                <w:sz w:val="32"/>
                                <w:lang w:eastAsia="zh-CN"/>
                              </w:rPr>
                            </w:pPr>
                            <w:r>
                              <w:rPr>
                                <w:rFonts w:hint="eastAsia" w:ascii="宋体" w:hAnsi="宋体" w:eastAsia="宋体" w:cs="宋体"/>
                                <w:b/>
                                <w:sz w:val="32"/>
                              </w:rPr>
                              <w:t>项目名称：</w:t>
                            </w:r>
                            <w:r>
                              <w:rPr>
                                <w:rFonts w:hint="eastAsia" w:hAnsi="宋体" w:cs="宋体"/>
                                <w:b/>
                                <w:sz w:val="32"/>
                                <w:lang w:val="en-US" w:eastAsia="zh-CN"/>
                              </w:rPr>
                              <w:t>东莞市立沙岛绿色新材料产业园项目招标代理服务</w:t>
                            </w:r>
                          </w:p>
                          <w:p w14:paraId="0371235D">
                            <w:pPr>
                              <w:widowControl/>
                              <w:spacing w:line="360" w:lineRule="auto"/>
                              <w:ind w:left="1606" w:right="-26" w:hanging="1606" w:hangingChars="500"/>
                              <w:jc w:val="both"/>
                              <w:textAlignment w:val="bottom"/>
                              <w:rPr>
                                <w:rFonts w:hint="eastAsia" w:ascii="宋体" w:hAnsi="宋体" w:eastAsia="宋体" w:cs="宋体"/>
                                <w:b/>
                                <w:color w:val="auto"/>
                                <w:sz w:val="32"/>
                                <w:lang w:val="en-US" w:eastAsia="zh-CN"/>
                              </w:rPr>
                            </w:pPr>
                            <w:r>
                              <w:rPr>
                                <w:rFonts w:hint="eastAsia" w:ascii="宋体" w:hAnsi="宋体" w:eastAsia="宋体" w:cs="宋体"/>
                                <w:b/>
                                <w:color w:val="auto"/>
                                <w:sz w:val="32"/>
                              </w:rPr>
                              <w:t>项目编号：</w:t>
                            </w:r>
                            <w:r>
                              <w:rPr>
                                <w:rFonts w:hint="eastAsia" w:hAnsi="宋体" w:cs="宋体"/>
                                <w:b/>
                                <w:color w:val="auto"/>
                                <w:sz w:val="32"/>
                                <w:lang w:eastAsia="zh-CN"/>
                              </w:rPr>
                              <w:t>DGQS-LS-03-001-001（2026）</w:t>
                            </w:r>
                          </w:p>
                          <w:p w14:paraId="46763E48">
                            <w:pPr>
                              <w:widowControl/>
                              <w:spacing w:line="360" w:lineRule="auto"/>
                              <w:ind w:right="-26"/>
                              <w:textAlignment w:val="bottom"/>
                              <w:rPr>
                                <w:rFonts w:hint="eastAsia" w:ascii="宋体" w:hAnsi="宋体" w:eastAsia="宋体" w:cs="宋体"/>
                                <w:b/>
                                <w:sz w:val="32"/>
                                <w:lang w:eastAsia="zh-CN"/>
                              </w:rPr>
                            </w:pPr>
                            <w:r>
                              <w:rPr>
                                <w:rFonts w:hint="eastAsia" w:ascii="宋体" w:hAnsi="宋体" w:eastAsia="宋体" w:cs="宋体"/>
                                <w:b/>
                                <w:sz w:val="32"/>
                              </w:rPr>
                              <w:t>采 购 人：</w:t>
                            </w:r>
                            <w:r>
                              <w:rPr>
                                <w:rFonts w:hint="eastAsia" w:hAnsi="宋体" w:cs="宋体"/>
                                <w:b/>
                                <w:sz w:val="32"/>
                                <w:lang w:val="en-US" w:eastAsia="zh-CN"/>
                              </w:rPr>
                              <w:t>东莞市立沙岛投资有限公司</w:t>
                            </w:r>
                          </w:p>
                          <w:p w14:paraId="753400F6"/>
                        </w:txbxContent>
                      </wps:txbx>
                      <wps:bodyPr upright="1"/>
                    </wps:wsp>
                  </a:graphicData>
                </a:graphic>
              </wp:anchor>
            </w:drawing>
          </mc:Choice>
          <mc:Fallback>
            <w:pict>
              <v:shape id="文本框 6" o:spid="_x0000_s1026" o:spt="202" type="#_x0000_t202" style="position:absolute;left:0pt;margin-left:14.3pt;margin-top:16.85pt;height:130.15pt;width:393.05pt;z-index:-251656192;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14:paraId="070926A9">
                      <w:pPr>
                        <w:widowControl/>
                        <w:spacing w:line="360" w:lineRule="auto"/>
                        <w:ind w:left="1606" w:right="-26" w:hanging="1606" w:hangingChars="500"/>
                        <w:jc w:val="both"/>
                        <w:textAlignment w:val="bottom"/>
                        <w:rPr>
                          <w:rFonts w:hint="eastAsia" w:ascii="宋体" w:hAnsi="宋体" w:eastAsia="宋体" w:cs="宋体"/>
                          <w:b/>
                          <w:sz w:val="32"/>
                          <w:lang w:eastAsia="zh-CN"/>
                        </w:rPr>
                      </w:pPr>
                      <w:r>
                        <w:rPr>
                          <w:rFonts w:hint="eastAsia" w:ascii="宋体" w:hAnsi="宋体" w:eastAsia="宋体" w:cs="宋体"/>
                          <w:b/>
                          <w:sz w:val="32"/>
                        </w:rPr>
                        <w:t>项目名称：</w:t>
                      </w:r>
                      <w:r>
                        <w:rPr>
                          <w:rFonts w:hint="eastAsia" w:hAnsi="宋体" w:cs="宋体"/>
                          <w:b/>
                          <w:sz w:val="32"/>
                          <w:lang w:val="en-US" w:eastAsia="zh-CN"/>
                        </w:rPr>
                        <w:t>东莞市立沙岛绿色新材料产业园项目招标代理服务</w:t>
                      </w:r>
                    </w:p>
                    <w:p w14:paraId="0371235D">
                      <w:pPr>
                        <w:widowControl/>
                        <w:spacing w:line="360" w:lineRule="auto"/>
                        <w:ind w:left="1606" w:right="-26" w:hanging="1606" w:hangingChars="500"/>
                        <w:jc w:val="both"/>
                        <w:textAlignment w:val="bottom"/>
                        <w:rPr>
                          <w:rFonts w:hint="eastAsia" w:ascii="宋体" w:hAnsi="宋体" w:eastAsia="宋体" w:cs="宋体"/>
                          <w:b/>
                          <w:color w:val="auto"/>
                          <w:sz w:val="32"/>
                          <w:lang w:val="en-US" w:eastAsia="zh-CN"/>
                        </w:rPr>
                      </w:pPr>
                      <w:r>
                        <w:rPr>
                          <w:rFonts w:hint="eastAsia" w:ascii="宋体" w:hAnsi="宋体" w:eastAsia="宋体" w:cs="宋体"/>
                          <w:b/>
                          <w:color w:val="auto"/>
                          <w:sz w:val="32"/>
                        </w:rPr>
                        <w:t>项目编号：</w:t>
                      </w:r>
                      <w:r>
                        <w:rPr>
                          <w:rFonts w:hint="eastAsia" w:hAnsi="宋体" w:cs="宋体"/>
                          <w:b/>
                          <w:color w:val="auto"/>
                          <w:sz w:val="32"/>
                          <w:lang w:eastAsia="zh-CN"/>
                        </w:rPr>
                        <w:t>DGQS-LS-03-001-001（2026）</w:t>
                      </w:r>
                    </w:p>
                    <w:p w14:paraId="46763E48">
                      <w:pPr>
                        <w:widowControl/>
                        <w:spacing w:line="360" w:lineRule="auto"/>
                        <w:ind w:right="-26"/>
                        <w:textAlignment w:val="bottom"/>
                        <w:rPr>
                          <w:rFonts w:hint="eastAsia" w:ascii="宋体" w:hAnsi="宋体" w:eastAsia="宋体" w:cs="宋体"/>
                          <w:b/>
                          <w:sz w:val="32"/>
                          <w:lang w:eastAsia="zh-CN"/>
                        </w:rPr>
                      </w:pPr>
                      <w:r>
                        <w:rPr>
                          <w:rFonts w:hint="eastAsia" w:ascii="宋体" w:hAnsi="宋体" w:eastAsia="宋体" w:cs="宋体"/>
                          <w:b/>
                          <w:sz w:val="32"/>
                        </w:rPr>
                        <w:t>采 购 人：</w:t>
                      </w:r>
                      <w:r>
                        <w:rPr>
                          <w:rFonts w:hint="eastAsia" w:hAnsi="宋体" w:cs="宋体"/>
                          <w:b/>
                          <w:sz w:val="32"/>
                          <w:lang w:val="en-US" w:eastAsia="zh-CN"/>
                        </w:rPr>
                        <w:t>东莞市立沙岛投资有限公司</w:t>
                      </w:r>
                    </w:p>
                    <w:p w14:paraId="753400F6"/>
                  </w:txbxContent>
                </v:textbox>
              </v:shape>
            </w:pict>
          </mc:Fallback>
        </mc:AlternateContent>
      </w:r>
    </w:p>
    <w:p w14:paraId="08AEFF87">
      <w:pPr>
        <w:widowControl/>
        <w:shd w:val="clear"/>
        <w:spacing w:line="360" w:lineRule="auto"/>
        <w:ind w:right="-26"/>
        <w:jc w:val="center"/>
        <w:textAlignment w:val="bottom"/>
        <w:rPr>
          <w:rFonts w:hint="eastAsia" w:ascii="宋体" w:hAnsi="宋体" w:eastAsia="宋体" w:cs="宋体"/>
          <w:b/>
          <w:color w:val="auto"/>
          <w:sz w:val="44"/>
          <w:highlight w:val="none"/>
        </w:rPr>
      </w:pPr>
    </w:p>
    <w:p w14:paraId="26A8648B">
      <w:pPr>
        <w:widowControl/>
        <w:shd w:val="clear"/>
        <w:spacing w:line="360" w:lineRule="auto"/>
        <w:ind w:right="-26"/>
        <w:jc w:val="center"/>
        <w:textAlignment w:val="bottom"/>
        <w:rPr>
          <w:rFonts w:hint="eastAsia" w:ascii="宋体" w:hAnsi="宋体" w:eastAsia="宋体" w:cs="宋体"/>
          <w:b/>
          <w:color w:val="auto"/>
          <w:sz w:val="44"/>
          <w:highlight w:val="none"/>
        </w:rPr>
      </w:pPr>
    </w:p>
    <w:p w14:paraId="130777B8">
      <w:pPr>
        <w:widowControl/>
        <w:shd w:val="clear"/>
        <w:spacing w:line="360" w:lineRule="auto"/>
        <w:ind w:right="-26"/>
        <w:jc w:val="center"/>
        <w:textAlignment w:val="bottom"/>
        <w:rPr>
          <w:rFonts w:hint="eastAsia" w:ascii="宋体" w:hAnsi="宋体" w:eastAsia="宋体" w:cs="宋体"/>
          <w:b/>
          <w:color w:val="auto"/>
          <w:sz w:val="44"/>
          <w:highlight w:val="none"/>
        </w:rPr>
      </w:pPr>
    </w:p>
    <w:p w14:paraId="5F7E2173">
      <w:pPr>
        <w:widowControl/>
        <w:shd w:val="clear"/>
        <w:spacing w:line="360" w:lineRule="auto"/>
        <w:ind w:right="-26"/>
        <w:jc w:val="center"/>
        <w:textAlignment w:val="bottom"/>
        <w:rPr>
          <w:rFonts w:hint="eastAsia" w:ascii="宋体" w:hAnsi="宋体" w:eastAsia="宋体" w:cs="宋体"/>
          <w:b/>
          <w:color w:val="auto"/>
          <w:sz w:val="44"/>
          <w:highlight w:val="none"/>
        </w:rPr>
      </w:pPr>
    </w:p>
    <w:p w14:paraId="217FAE4F">
      <w:pPr>
        <w:widowControl/>
        <w:shd w:val="clear"/>
        <w:spacing w:line="360" w:lineRule="auto"/>
        <w:ind w:right="-26"/>
        <w:jc w:val="center"/>
        <w:textAlignment w:val="bottom"/>
        <w:rPr>
          <w:rFonts w:hint="eastAsia" w:ascii="宋体" w:hAnsi="宋体" w:eastAsia="宋体" w:cs="宋体"/>
          <w:b/>
          <w:color w:val="auto"/>
          <w:sz w:val="44"/>
          <w:highlight w:val="none"/>
        </w:rPr>
      </w:pPr>
    </w:p>
    <w:p w14:paraId="6DB14F53">
      <w:pPr>
        <w:widowControl/>
        <w:shd w:val="clear"/>
        <w:spacing w:line="360" w:lineRule="auto"/>
        <w:ind w:right="-26"/>
        <w:textAlignment w:val="bottom"/>
        <w:rPr>
          <w:rFonts w:hint="eastAsia" w:ascii="宋体" w:hAnsi="宋体" w:eastAsia="宋体" w:cs="宋体"/>
          <w:b/>
          <w:color w:val="auto"/>
          <w:sz w:val="32"/>
          <w:highlight w:val="none"/>
        </w:rPr>
      </w:pPr>
    </w:p>
    <w:p w14:paraId="2CC7EFB7">
      <w:pPr>
        <w:widowControl/>
        <w:shd w:val="clear"/>
        <w:spacing w:line="360" w:lineRule="auto"/>
        <w:ind w:right="-26" w:firstLine="2249" w:firstLineChars="700"/>
        <w:textAlignment w:val="bottom"/>
        <w:outlineLvl w:val="0"/>
        <w:rPr>
          <w:rFonts w:hint="eastAsia" w:ascii="宋体" w:hAnsi="宋体" w:eastAsia="宋体" w:cs="宋体"/>
          <w:b/>
          <w:color w:val="auto"/>
          <w:sz w:val="32"/>
          <w:highlight w:val="none"/>
        </w:rPr>
      </w:pPr>
      <w:r>
        <w:rPr>
          <w:rFonts w:hint="eastAsia" w:hAnsi="宋体" w:cs="宋体"/>
          <w:b/>
          <w:color w:val="auto"/>
          <w:sz w:val="32"/>
          <w:highlight w:val="none"/>
          <w:lang w:eastAsia="zh-CN"/>
        </w:rPr>
        <w:t>中天项目咨询（东莞）有限公司</w:t>
      </w:r>
      <w:r>
        <w:rPr>
          <w:rFonts w:hint="eastAsia" w:ascii="宋体" w:hAnsi="宋体" w:eastAsia="宋体" w:cs="宋体"/>
          <w:b/>
          <w:color w:val="auto"/>
          <w:sz w:val="32"/>
          <w:highlight w:val="none"/>
        </w:rPr>
        <w:t xml:space="preserve"> </w:t>
      </w:r>
    </w:p>
    <w:p w14:paraId="565615CA">
      <w:pPr>
        <w:widowControl/>
        <w:shd w:val="clear"/>
        <w:spacing w:line="360" w:lineRule="auto"/>
        <w:ind w:right="-26" w:hanging="480"/>
        <w:jc w:val="center"/>
        <w:textAlignment w:val="bottom"/>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r>
        <w:rPr>
          <w:rFonts w:hint="eastAsia" w:ascii="宋体" w:hAnsi="宋体" w:eastAsia="宋体" w:cs="宋体"/>
          <w:b/>
          <w:color w:val="auto"/>
          <w:sz w:val="32"/>
          <w:highlight w:val="none"/>
          <w:lang w:eastAsia="zh-CN"/>
        </w:rPr>
        <w:t>二〇二</w:t>
      </w:r>
      <w:r>
        <w:rPr>
          <w:rFonts w:hint="eastAsia" w:hAnsi="宋体" w:cs="宋体"/>
          <w:b/>
          <w:color w:val="auto"/>
          <w:sz w:val="32"/>
          <w:highlight w:val="none"/>
          <w:lang w:val="en-US" w:eastAsia="zh-CN"/>
        </w:rPr>
        <w:t>六</w:t>
      </w:r>
      <w:r>
        <w:rPr>
          <w:rFonts w:hint="eastAsia" w:ascii="宋体" w:hAnsi="宋体" w:eastAsia="宋体" w:cs="宋体"/>
          <w:b/>
          <w:color w:val="auto"/>
          <w:sz w:val="32"/>
          <w:highlight w:val="none"/>
        </w:rPr>
        <w:t>年</w:t>
      </w:r>
      <w:r>
        <w:rPr>
          <w:rFonts w:hint="eastAsia" w:hAnsi="宋体" w:cs="宋体"/>
          <w:b/>
          <w:color w:val="auto"/>
          <w:sz w:val="32"/>
          <w:highlight w:val="none"/>
          <w:lang w:val="en-US" w:eastAsia="zh-CN"/>
        </w:rPr>
        <w:t>四</w:t>
      </w:r>
      <w:r>
        <w:rPr>
          <w:rFonts w:hint="eastAsia" w:ascii="宋体" w:hAnsi="宋体" w:eastAsia="宋体" w:cs="宋体"/>
          <w:b/>
          <w:color w:val="auto"/>
          <w:sz w:val="32"/>
          <w:highlight w:val="none"/>
        </w:rPr>
        <w:t>月</w:t>
      </w:r>
    </w:p>
    <w:p w14:paraId="7849750B">
      <w:pPr>
        <w:pStyle w:val="63"/>
        <w:ind w:left="0" w:leftChars="0" w:firstLine="0" w:firstLineChars="0"/>
        <w:rPr>
          <w:rFonts w:hint="eastAsia" w:ascii="宋体" w:hAnsi="宋体" w:eastAsia="宋体" w:cs="宋体"/>
          <w:color w:val="auto"/>
          <w:highlight w:val="none"/>
        </w:rPr>
      </w:pPr>
    </w:p>
    <w:p w14:paraId="5B4B9B8D">
      <w:pPr>
        <w:widowControl/>
        <w:shd w:val="clear"/>
        <w:spacing w:line="360" w:lineRule="auto"/>
        <w:ind w:right="-26" w:hanging="480"/>
        <w:jc w:val="center"/>
        <w:textAlignment w:val="bottom"/>
        <w:rPr>
          <w:rFonts w:hint="eastAsia" w:ascii="宋体" w:hAnsi="宋体" w:eastAsia="宋体" w:cs="宋体"/>
          <w:b/>
          <w:color w:val="auto"/>
          <w:sz w:val="32"/>
          <w:highlight w:val="none"/>
        </w:rPr>
      </w:pPr>
    </w:p>
    <w:p w14:paraId="52EB0F50">
      <w:pPr>
        <w:shd w:val="clear"/>
        <w:spacing w:line="360" w:lineRule="auto"/>
        <w:ind w:left="48" w:leftChars="20"/>
        <w:jc w:val="center"/>
        <w:rPr>
          <w:rFonts w:hint="eastAsia" w:ascii="宋体" w:hAnsi="宋体" w:eastAsia="宋体" w:cs="宋体"/>
          <w:color w:val="auto"/>
          <w:sz w:val="32"/>
          <w:szCs w:val="32"/>
          <w:highlight w:val="none"/>
        </w:rPr>
        <w:sectPr>
          <w:pgSz w:w="11906" w:h="16838"/>
          <w:pgMar w:top="1440" w:right="1800" w:bottom="1440" w:left="1800" w:header="851" w:footer="992" w:gutter="0"/>
          <w:pgNumType w:fmt="decimal"/>
          <w:cols w:space="425" w:num="1"/>
          <w:docGrid w:type="lines" w:linePitch="312" w:charSpace="0"/>
        </w:sectPr>
      </w:pPr>
      <w:bookmarkStart w:id="1" w:name="_Toc27261"/>
    </w:p>
    <w:p w14:paraId="1B8CD613">
      <w:pPr>
        <w:shd w:val="clear"/>
        <w:spacing w:line="360" w:lineRule="auto"/>
        <w:ind w:left="48" w:leftChars="2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温馨提示</w:t>
      </w:r>
    </w:p>
    <w:p w14:paraId="19A7944A">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（本提示内容非磋商文件的组成部分，仅为善意提醒。如有不一致，以磋商文件为准）</w:t>
      </w:r>
    </w:p>
    <w:p w14:paraId="61C3AC95">
      <w:pPr>
        <w:shd w:val="clear"/>
        <w:spacing w:line="360" w:lineRule="auto"/>
        <w:ind w:left="48" w:leftChars="20"/>
        <w:jc w:val="center"/>
        <w:rPr>
          <w:rFonts w:hint="eastAsia" w:ascii="宋体" w:hAnsi="宋体" w:eastAsia="宋体" w:cs="宋体"/>
          <w:color w:val="auto"/>
          <w:sz w:val="32"/>
          <w:szCs w:val="32"/>
          <w:highlight w:val="none"/>
        </w:rPr>
      </w:pPr>
    </w:p>
    <w:p w14:paraId="114B0E65">
      <w:pPr>
        <w:numPr>
          <w:ilvl w:val="0"/>
          <w:numId w:val="9"/>
        </w:numPr>
        <w:shd w:val="clear"/>
        <w:spacing w:line="360" w:lineRule="auto"/>
        <w:ind w:left="180" w:firstLine="48" w:firstLineChars="20"/>
        <w:jc w:val="both"/>
        <w:rPr>
          <w:rFonts w:hint="eastAsia" w:ascii="宋体" w:hAnsi="宋体" w:eastAsia="宋体" w:cs="宋体"/>
          <w:color w:val="auto"/>
          <w:highlight w:val="none"/>
        </w:rPr>
      </w:pPr>
      <w:r>
        <w:rPr>
          <w:rFonts w:hint="eastAsia" w:ascii="宋体" w:hAnsi="宋体" w:eastAsia="宋体" w:cs="宋体"/>
          <w:color w:val="auto"/>
          <w:highlight w:val="none"/>
        </w:rPr>
        <w:t>磋商截止时间一到，采购代理机构不接收供应商的任何相关磋商资料、文件。为此，请适当提前到达。</w:t>
      </w:r>
    </w:p>
    <w:p w14:paraId="3BD91DE4">
      <w:pPr>
        <w:numPr>
          <w:ilvl w:val="0"/>
          <w:numId w:val="9"/>
        </w:numPr>
        <w:shd w:val="clear"/>
        <w:spacing w:line="360" w:lineRule="auto"/>
        <w:ind w:left="180" w:firstLine="48" w:firstLineChars="20"/>
        <w:jc w:val="both"/>
        <w:rPr>
          <w:rFonts w:hint="eastAsia" w:ascii="宋体" w:hAnsi="宋体" w:eastAsia="宋体" w:cs="宋体"/>
          <w:color w:val="auto"/>
          <w:highlight w:val="none"/>
        </w:rPr>
      </w:pPr>
      <w:r>
        <w:rPr>
          <w:rFonts w:hint="eastAsia" w:ascii="宋体" w:hAnsi="宋体" w:eastAsia="宋体" w:cs="宋体"/>
          <w:color w:val="auto"/>
          <w:highlight w:val="none"/>
        </w:rPr>
        <w:t>磋商保证金必须于磋商截止时间前到达磋商文件中所注明账户。由于转账当天不一定能够</w:t>
      </w:r>
      <w:r>
        <w:rPr>
          <w:rFonts w:hint="eastAsia" w:hAnsi="宋体" w:cs="宋体"/>
          <w:color w:val="auto"/>
          <w:highlight w:val="none"/>
          <w:lang w:eastAsia="zh-CN"/>
        </w:rPr>
        <w:t>到</w:t>
      </w:r>
      <w:r>
        <w:rPr>
          <w:rFonts w:hint="eastAsia" w:ascii="宋体" w:hAnsi="宋体" w:eastAsia="宋体" w:cs="宋体"/>
          <w:color w:val="auto"/>
          <w:highlight w:val="none"/>
        </w:rPr>
        <w:t>账，为避免因磋商保证金未到账而导致磋商被拒，建议至少提前2个工作日转账。</w:t>
      </w:r>
    </w:p>
    <w:p w14:paraId="04A41E5B">
      <w:pPr>
        <w:numPr>
          <w:ilvl w:val="0"/>
          <w:numId w:val="9"/>
        </w:numPr>
        <w:shd w:val="clear"/>
        <w:spacing w:line="360" w:lineRule="auto"/>
        <w:ind w:left="180" w:firstLine="48" w:firstLineChars="20"/>
        <w:jc w:val="both"/>
        <w:rPr>
          <w:rFonts w:hint="eastAsia" w:ascii="宋体" w:hAnsi="宋体" w:eastAsia="宋体" w:cs="宋体"/>
          <w:color w:val="auto"/>
          <w:highlight w:val="none"/>
        </w:rPr>
      </w:pPr>
      <w:r>
        <w:rPr>
          <w:rFonts w:hint="eastAsia" w:ascii="宋体" w:hAnsi="宋体" w:eastAsia="宋体" w:cs="宋体"/>
          <w:color w:val="auto"/>
          <w:highlight w:val="none"/>
        </w:rPr>
        <w:t>请正确填写《报价一览表》。多子包项目请仔细检查子包号，子包号与子包名称必须对应。</w:t>
      </w:r>
    </w:p>
    <w:p w14:paraId="79296008">
      <w:pPr>
        <w:numPr>
          <w:ilvl w:val="0"/>
          <w:numId w:val="9"/>
        </w:numPr>
        <w:shd w:val="clear"/>
        <w:spacing w:line="360" w:lineRule="auto"/>
        <w:ind w:left="180" w:firstLine="48" w:firstLineChars="20"/>
        <w:jc w:val="both"/>
        <w:rPr>
          <w:rFonts w:hint="eastAsia" w:ascii="宋体" w:hAnsi="宋体" w:eastAsia="宋体" w:cs="宋体"/>
          <w:color w:val="auto"/>
          <w:highlight w:val="none"/>
        </w:rPr>
      </w:pPr>
      <w:r>
        <w:rPr>
          <w:rFonts w:hint="eastAsia" w:ascii="宋体" w:hAnsi="宋体" w:eastAsia="宋体" w:cs="宋体"/>
          <w:color w:val="auto"/>
          <w:highlight w:val="none"/>
        </w:rPr>
        <w:t>请仔细检查磋商响应文件是否已按磋商文件要求盖章、签名、签署日期。</w:t>
      </w:r>
    </w:p>
    <w:p w14:paraId="77B21788">
      <w:pPr>
        <w:numPr>
          <w:ilvl w:val="0"/>
          <w:numId w:val="9"/>
        </w:numPr>
        <w:shd w:val="clear"/>
        <w:spacing w:line="360" w:lineRule="auto"/>
        <w:ind w:left="180" w:firstLine="48" w:firstLineChars="20"/>
        <w:jc w:val="both"/>
        <w:outlineLvl w:val="0"/>
        <w:rPr>
          <w:rFonts w:hint="eastAsia" w:ascii="宋体" w:hAnsi="宋体" w:eastAsia="宋体" w:cs="宋体"/>
          <w:color w:val="auto"/>
          <w:highlight w:val="none"/>
        </w:rPr>
      </w:pPr>
      <w:bookmarkStart w:id="2" w:name="_Toc17927"/>
      <w:r>
        <w:rPr>
          <w:rFonts w:hint="eastAsia" w:ascii="宋体" w:hAnsi="宋体" w:eastAsia="宋体" w:cs="宋体"/>
          <w:color w:val="auto"/>
          <w:highlight w:val="none"/>
        </w:rPr>
        <w:t>磋商响应文件应按顺序编制页码。</w:t>
      </w:r>
      <w:bookmarkEnd w:id="2"/>
    </w:p>
    <w:p w14:paraId="552DA39B">
      <w:pPr>
        <w:numPr>
          <w:ilvl w:val="0"/>
          <w:numId w:val="9"/>
        </w:numPr>
        <w:shd w:val="clear"/>
        <w:spacing w:line="360" w:lineRule="auto"/>
        <w:ind w:left="180" w:firstLine="48" w:firstLineChars="20"/>
        <w:jc w:val="both"/>
        <w:rPr>
          <w:rFonts w:hint="eastAsia" w:ascii="宋体" w:hAnsi="宋体" w:eastAsia="宋体" w:cs="宋体"/>
          <w:color w:val="auto"/>
          <w:highlight w:val="none"/>
        </w:rPr>
      </w:pPr>
      <w:r>
        <w:rPr>
          <w:rFonts w:hint="eastAsia" w:ascii="宋体" w:hAnsi="宋体" w:eastAsia="宋体" w:cs="宋体"/>
          <w:color w:val="auto"/>
          <w:highlight w:val="none"/>
        </w:rPr>
        <w:t>如所投产品属于许可证管理范围内的，须提交相应的许可证复印件。</w:t>
      </w:r>
    </w:p>
    <w:p w14:paraId="214EE601">
      <w:pPr>
        <w:numPr>
          <w:ilvl w:val="0"/>
          <w:numId w:val="9"/>
        </w:numPr>
        <w:shd w:val="clear"/>
        <w:spacing w:line="360" w:lineRule="auto"/>
        <w:ind w:left="180" w:firstLine="48" w:firstLineChars="20"/>
        <w:jc w:val="both"/>
        <w:rPr>
          <w:rFonts w:hint="eastAsia" w:ascii="宋体" w:hAnsi="宋体" w:eastAsia="宋体" w:cs="宋体"/>
          <w:color w:val="auto"/>
          <w:highlight w:val="none"/>
        </w:rPr>
      </w:pPr>
      <w:r>
        <w:rPr>
          <w:rFonts w:hint="eastAsia" w:ascii="宋体" w:hAnsi="宋体" w:eastAsia="宋体" w:cs="宋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14:paraId="2A39EB85">
      <w:pPr>
        <w:numPr>
          <w:ilvl w:val="0"/>
          <w:numId w:val="9"/>
        </w:numPr>
        <w:shd w:val="clear"/>
        <w:spacing w:line="360" w:lineRule="auto"/>
        <w:ind w:left="180" w:firstLine="48" w:firstLineChars="20"/>
        <w:jc w:val="both"/>
        <w:rPr>
          <w:rFonts w:hint="eastAsia" w:ascii="宋体" w:hAnsi="宋体" w:eastAsia="宋体" w:cs="宋体"/>
          <w:color w:val="auto"/>
          <w:highlight w:val="none"/>
        </w:rPr>
      </w:pPr>
      <w:r>
        <w:rPr>
          <w:rFonts w:hint="eastAsia" w:ascii="宋体" w:hAnsi="宋体" w:eastAsia="宋体" w:cs="宋体"/>
          <w:color w:val="auto"/>
          <w:highlight w:val="none"/>
        </w:rPr>
        <w:t>如需供应商支付的各种费用，如磋商文件售价、工程图纸押金、保证金和采购代理服务费等，磋商文件将书面详细告知，请供应商按磋商文件规定的方式和金额支付。</w:t>
      </w:r>
    </w:p>
    <w:p w14:paraId="6A183F0D">
      <w:pPr>
        <w:shd w:val="clear"/>
        <w:jc w:val="both"/>
        <w:rPr>
          <w:rFonts w:hint="eastAsia" w:ascii="宋体" w:hAnsi="宋体" w:eastAsia="宋体" w:cs="宋体"/>
          <w:b/>
          <w:bCs/>
          <w:color w:val="auto"/>
          <w:sz w:val="32"/>
          <w:szCs w:val="32"/>
          <w:highlight w:val="none"/>
          <w:lang w:val="zh-CN"/>
        </w:rPr>
      </w:pPr>
    </w:p>
    <w:p w14:paraId="32202C69">
      <w:pPr>
        <w:shd w:val="clear"/>
        <w:jc w:val="both"/>
        <w:rPr>
          <w:rFonts w:hint="eastAsia" w:ascii="宋体" w:hAnsi="宋体" w:eastAsia="宋体" w:cs="宋体"/>
          <w:b/>
          <w:bCs/>
          <w:color w:val="auto"/>
          <w:sz w:val="32"/>
          <w:szCs w:val="32"/>
          <w:highlight w:val="none"/>
          <w:lang w:val="zh-CN"/>
        </w:rPr>
      </w:pPr>
    </w:p>
    <w:p w14:paraId="639437C7">
      <w:pPr>
        <w:shd w:val="clear"/>
        <w:jc w:val="both"/>
        <w:rPr>
          <w:rFonts w:hint="eastAsia" w:ascii="宋体" w:hAnsi="宋体" w:eastAsia="宋体" w:cs="宋体"/>
          <w:b/>
          <w:bCs/>
          <w:color w:val="auto"/>
          <w:sz w:val="32"/>
          <w:szCs w:val="32"/>
          <w:highlight w:val="none"/>
          <w:lang w:val="zh-CN"/>
        </w:rPr>
      </w:pPr>
    </w:p>
    <w:p w14:paraId="142665D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BA2B83C">
      <w:pPr>
        <w:shd w:val="clear"/>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目录</w:t>
      </w:r>
      <w:bookmarkStart w:id="3" w:name="_Toc396137229"/>
    </w:p>
    <w:sdt>
      <w:sdtPr>
        <w:rPr>
          <w:rFonts w:hint="eastAsia" w:ascii="宋体" w:hAnsi="宋体" w:eastAsia="宋体" w:cs="宋体"/>
          <w:b/>
          <w:bCs/>
          <w:color w:val="auto"/>
          <w:sz w:val="36"/>
          <w:szCs w:val="44"/>
          <w:highlight w:val="none"/>
        </w:rPr>
        <w:id w:val="147463129"/>
        <w15:color w:val="DBDBDB"/>
        <w:docPartObj>
          <w:docPartGallery w:val="Table of Contents"/>
          <w:docPartUnique/>
        </w:docPartObj>
      </w:sdtPr>
      <w:sdtEndPr>
        <w:rPr>
          <w:rFonts w:hint="eastAsia" w:ascii="宋体" w:hAnsi="宋体" w:eastAsia="宋体" w:cs="宋体"/>
          <w:b/>
          <w:bCs/>
          <w:color w:val="auto"/>
          <w:sz w:val="36"/>
          <w:szCs w:val="44"/>
          <w:highlight w:val="none"/>
        </w:rPr>
      </w:sdtEndPr>
      <w:sdtContent>
        <w:p w14:paraId="37352B77">
          <w:pPr>
            <w:shd w:val="clear"/>
            <w:spacing w:line="360" w:lineRule="auto"/>
            <w:jc w:val="both"/>
            <w:rPr>
              <w:rFonts w:hint="eastAsia" w:ascii="宋体" w:hAnsi="宋体" w:eastAsia="宋体" w:cs="宋体"/>
              <w:b/>
              <w:bCs/>
              <w:color w:val="auto"/>
              <w:sz w:val="44"/>
              <w:szCs w:val="44"/>
              <w:highlight w:val="none"/>
            </w:rPr>
          </w:pPr>
        </w:p>
        <w:p w14:paraId="3523544B">
          <w:pPr>
            <w:pStyle w:val="188"/>
            <w:shd w:val="clear"/>
            <w:tabs>
              <w:tab w:val="right" w:leader="dot" w:pos="8306"/>
            </w:tab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"_Toc3573" </w:instrText>
          </w:r>
          <w:r>
            <w:rPr>
              <w:rFonts w:hint="eastAsia" w:ascii="宋体" w:hAnsi="宋体" w:eastAsia="宋体" w:cs="宋体"/>
              <w:color w:val="auto"/>
              <w:highlight w:val="none"/>
            </w:rPr>
            <w:fldChar w:fldCharType="separate"/>
          </w:r>
          <w:r>
            <w:rPr>
              <w:rFonts w:hint="eastAsia" w:ascii="宋体" w:hAnsi="宋体" w:eastAsia="宋体" w:cs="宋体"/>
              <w:b/>
              <w:bCs/>
              <w:color w:val="auto"/>
              <w:kern w:val="44"/>
              <w:sz w:val="32"/>
              <w:szCs w:val="48"/>
              <w:highlight w:val="none"/>
              <w:lang w:val="zh-CN"/>
            </w:rPr>
            <w:t xml:space="preserve">第一篇 </w:t>
          </w:r>
          <w:r>
            <w:rPr>
              <w:rFonts w:hint="eastAsia" w:ascii="宋体" w:hAnsi="宋体" w:eastAsia="宋体" w:cs="宋体"/>
              <w:b/>
              <w:bCs/>
              <w:color w:val="auto"/>
              <w:kern w:val="44"/>
              <w:sz w:val="32"/>
              <w:szCs w:val="48"/>
              <w:highlight w:val="none"/>
            </w:rPr>
            <w:t>磋商邀请书</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_Toc3573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4</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24F80547">
          <w:pPr>
            <w:pStyle w:val="188"/>
            <w:shd w:val="clear"/>
            <w:tabs>
              <w:tab w:val="right" w:leader="dot" w:pos="8306"/>
            </w:tab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"_Toc17779" </w:instrText>
          </w:r>
          <w:r>
            <w:rPr>
              <w:rFonts w:hint="eastAsia" w:ascii="宋体" w:hAnsi="宋体" w:eastAsia="宋体" w:cs="宋体"/>
              <w:color w:val="auto"/>
              <w:highlight w:val="none"/>
            </w:rPr>
            <w:fldChar w:fldCharType="separate"/>
          </w:r>
          <w:r>
            <w:rPr>
              <w:rFonts w:hint="eastAsia" w:ascii="宋体" w:hAnsi="宋体" w:eastAsia="宋体" w:cs="宋体"/>
              <w:b/>
              <w:bCs/>
              <w:color w:val="auto"/>
              <w:kern w:val="44"/>
              <w:sz w:val="32"/>
              <w:szCs w:val="48"/>
              <w:highlight w:val="none"/>
              <w:lang w:val="zh-CN"/>
            </w:rPr>
            <w:t>第二篇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_Toc17779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6</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5154450D">
          <w:pPr>
            <w:pStyle w:val="188"/>
            <w:shd w:val="clear"/>
            <w:tabs>
              <w:tab w:val="right" w:leader="dot" w:pos="8306"/>
            </w:tab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"_Toc22134" </w:instrText>
          </w:r>
          <w:r>
            <w:rPr>
              <w:rFonts w:hint="eastAsia" w:ascii="宋体" w:hAnsi="宋体" w:eastAsia="宋体" w:cs="宋体"/>
              <w:color w:val="auto"/>
              <w:highlight w:val="none"/>
            </w:rPr>
            <w:fldChar w:fldCharType="separate"/>
          </w:r>
          <w:r>
            <w:rPr>
              <w:rFonts w:hint="eastAsia" w:ascii="宋体" w:hAnsi="宋体" w:eastAsia="宋体" w:cs="宋体"/>
              <w:b/>
              <w:bCs/>
              <w:color w:val="auto"/>
              <w:kern w:val="44"/>
              <w:sz w:val="32"/>
              <w:szCs w:val="48"/>
              <w:highlight w:val="none"/>
              <w:lang w:val="zh-CN"/>
            </w:rPr>
            <w:t>第三篇 用户需求书</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_Toc22134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18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47A0B60F">
          <w:pPr>
            <w:pStyle w:val="188"/>
            <w:shd w:val="clear"/>
            <w:tabs>
              <w:tab w:val="right" w:leader="dot" w:pos="8306"/>
            </w:tab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"_Toc28792" </w:instrText>
          </w:r>
          <w:r>
            <w:rPr>
              <w:rFonts w:hint="eastAsia" w:ascii="宋体" w:hAnsi="宋体" w:eastAsia="宋体" w:cs="宋体"/>
              <w:color w:val="auto"/>
              <w:highlight w:val="none"/>
            </w:rPr>
            <w:fldChar w:fldCharType="separate"/>
          </w:r>
          <w:r>
            <w:rPr>
              <w:rFonts w:hint="eastAsia" w:ascii="宋体" w:hAnsi="宋体" w:eastAsia="宋体" w:cs="宋体"/>
              <w:b/>
              <w:bCs/>
              <w:color w:val="auto"/>
              <w:kern w:val="44"/>
              <w:sz w:val="32"/>
              <w:szCs w:val="48"/>
              <w:highlight w:val="none"/>
              <w:lang w:val="zh-CN"/>
            </w:rPr>
            <w:t>第四篇 评审工作大纲</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_Toc28792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21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1BD59BD7">
          <w:pPr>
            <w:pStyle w:val="188"/>
            <w:shd w:val="clear"/>
            <w:tabs>
              <w:tab w:val="right" w:leader="dot" w:pos="8306"/>
            </w:tabs>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"_Toc3360" </w:instrText>
          </w:r>
          <w:r>
            <w:rPr>
              <w:rFonts w:hint="eastAsia" w:ascii="宋体" w:hAnsi="宋体" w:eastAsia="宋体" w:cs="宋体"/>
              <w:color w:val="auto"/>
              <w:highlight w:val="none"/>
            </w:rPr>
            <w:fldChar w:fldCharType="separate"/>
          </w:r>
          <w:r>
            <w:rPr>
              <w:rFonts w:hint="eastAsia" w:ascii="宋体" w:hAnsi="宋体" w:eastAsia="宋体" w:cs="宋体"/>
              <w:b/>
              <w:bCs/>
              <w:color w:val="auto"/>
              <w:sz w:val="32"/>
              <w:szCs w:val="32"/>
              <w:highlight w:val="none"/>
            </w:rPr>
            <w:t xml:space="preserve">第五篇 </w:t>
          </w:r>
          <w:r>
            <w:rPr>
              <w:rFonts w:hint="eastAsia" w:ascii="宋体" w:hAnsi="宋体" w:eastAsia="宋体" w:cs="宋体"/>
              <w:b/>
              <w:bCs/>
              <w:color w:val="auto"/>
              <w:kern w:val="44"/>
              <w:sz w:val="32"/>
              <w:szCs w:val="48"/>
              <w:highlight w:val="none"/>
              <w:lang w:val="zh-CN"/>
            </w:rPr>
            <w:t>合同条款格式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_Toc3360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27</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2DD7CB13">
          <w:pPr>
            <w:pStyle w:val="188"/>
            <w:shd w:val="clear"/>
            <w:tabs>
              <w:tab w:val="right" w:leader="dot" w:pos="8306"/>
            </w:tabs>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"_Toc9129" </w:instrText>
          </w:r>
          <w:r>
            <w:rPr>
              <w:rFonts w:hint="eastAsia" w:ascii="宋体" w:hAnsi="宋体" w:eastAsia="宋体" w:cs="宋体"/>
              <w:color w:val="auto"/>
              <w:highlight w:val="none"/>
            </w:rPr>
            <w:fldChar w:fldCharType="separate"/>
          </w:r>
          <w:r>
            <w:rPr>
              <w:rFonts w:hint="eastAsia" w:ascii="宋体" w:hAnsi="宋体" w:eastAsia="宋体" w:cs="宋体"/>
              <w:b/>
              <w:bCs/>
              <w:color w:val="auto"/>
              <w:kern w:val="44"/>
              <w:sz w:val="32"/>
              <w:szCs w:val="48"/>
              <w:highlight w:val="none"/>
              <w:lang w:val="zh-CN"/>
            </w:rPr>
            <w:t>第六篇</w:t>
          </w:r>
          <w:r>
            <w:rPr>
              <w:rFonts w:hint="eastAsia" w:ascii="宋体" w:hAnsi="宋体" w:eastAsia="宋体" w:cs="宋体"/>
              <w:b/>
              <w:bCs/>
              <w:color w:val="auto"/>
              <w:kern w:val="44"/>
              <w:sz w:val="32"/>
              <w:szCs w:val="48"/>
              <w:highlight w:val="none"/>
            </w:rPr>
            <w:t xml:space="preserve"> </w:t>
          </w:r>
          <w:r>
            <w:rPr>
              <w:rFonts w:hint="eastAsia" w:ascii="宋体" w:hAnsi="宋体" w:eastAsia="宋体" w:cs="宋体"/>
              <w:b/>
              <w:bCs/>
              <w:color w:val="auto"/>
              <w:kern w:val="44"/>
              <w:sz w:val="32"/>
              <w:szCs w:val="48"/>
              <w:highlight w:val="none"/>
              <w:lang w:val="zh-CN"/>
            </w:rPr>
            <w:t>磋商响应文件格式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lang w:val="en-US" w:eastAsia="zh-CN"/>
            </w:rPr>
            <w:t>0</w:t>
          </w:r>
        </w:p>
        <w:p w14:paraId="6E595650">
          <w:pPr>
            <w:shd w:val="clear"/>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end"/>
          </w:r>
        </w:p>
      </w:sdtContent>
    </w:sdt>
    <w:p w14:paraId="043EE748">
      <w:pPr>
        <w:shd w:val="clear"/>
        <w:jc w:val="center"/>
        <w:rPr>
          <w:rFonts w:hint="eastAsia" w:ascii="宋体" w:hAnsi="宋体" w:eastAsia="宋体" w:cs="宋体"/>
          <w:color w:val="auto"/>
          <w:highlight w:val="none"/>
        </w:rPr>
      </w:pPr>
      <w:r>
        <w:rPr>
          <w:rFonts w:hint="eastAsia" w:ascii="宋体" w:hAnsi="宋体" w:eastAsia="宋体" w:cs="宋体"/>
          <w:b/>
          <w:bCs/>
          <w:caps/>
          <w:color w:val="auto"/>
          <w:sz w:val="21"/>
          <w:szCs w:val="21"/>
          <w:highlight w:val="none"/>
        </w:rPr>
        <w:fldChar w:fldCharType="begin"/>
      </w:r>
      <w:r>
        <w:rPr>
          <w:rStyle w:val="60"/>
          <w:rFonts w:hint="eastAsia" w:ascii="宋体" w:hAnsi="宋体" w:eastAsia="宋体" w:cs="宋体"/>
          <w:b/>
          <w:bCs/>
          <w:caps/>
          <w:color w:val="auto"/>
          <w:sz w:val="21"/>
          <w:szCs w:val="21"/>
          <w:highlight w:val="none"/>
        </w:rPr>
        <w:instrText xml:space="preserve"> TOC \o "1-3" \h \z \u </w:instrText>
      </w:r>
      <w:r>
        <w:rPr>
          <w:rFonts w:hint="eastAsia" w:ascii="宋体" w:hAnsi="宋体" w:eastAsia="宋体" w:cs="宋体"/>
          <w:b/>
          <w:bCs/>
          <w:caps/>
          <w:color w:val="auto"/>
          <w:sz w:val="21"/>
          <w:szCs w:val="21"/>
          <w:highlight w:val="none"/>
        </w:rPr>
        <w:fldChar w:fldCharType="separate"/>
      </w:r>
    </w:p>
    <w:p w14:paraId="7DF13867">
      <w:pPr>
        <w:pStyle w:val="3"/>
        <w:keepNext/>
        <w:keepLines/>
        <w:pageBreakBefore/>
        <w:numPr>
          <w:ilvl w:val="0"/>
          <w:numId w:val="10"/>
        </w:numPr>
        <w:shd w:val="clear"/>
        <w:tabs>
          <w:tab w:val="left" w:pos="1080"/>
        </w:tabs>
        <w:spacing w:line="360" w:lineRule="auto"/>
        <w:ind w:left="1078" w:hanging="1077" w:hangingChars="449"/>
        <w:jc w:val="center"/>
        <w:rPr>
          <w:rFonts w:hint="eastAsia" w:ascii="宋体" w:hAnsi="宋体" w:eastAsia="宋体" w:cs="宋体"/>
          <w:b/>
          <w:bCs/>
          <w:color w:val="auto"/>
          <w:kern w:val="44"/>
          <w:sz w:val="28"/>
          <w:szCs w:val="28"/>
          <w:highlight w:val="none"/>
          <w:lang w:val="zh-CN"/>
        </w:rPr>
      </w:pPr>
      <w:bookmarkStart w:id="4" w:name="_Toc3573"/>
      <w:r>
        <w:rPr>
          <w:rFonts w:hint="eastAsia" w:ascii="宋体" w:hAnsi="宋体" w:eastAsia="宋体" w:cs="宋体"/>
          <w:color w:val="auto"/>
          <w:highlight w:val="none"/>
        </w:rPr>
        <w:fldChar w:fldCharType="end"/>
      </w:r>
      <w:bookmarkEnd w:id="3"/>
      <w:r>
        <w:rPr>
          <w:rFonts w:hint="eastAsia" w:ascii="宋体" w:hAnsi="宋体" w:eastAsia="宋体" w:cs="宋体"/>
          <w:b/>
          <w:bCs/>
          <w:color w:val="auto"/>
          <w:kern w:val="44"/>
          <w:sz w:val="28"/>
          <w:szCs w:val="28"/>
          <w:highlight w:val="none"/>
        </w:rPr>
        <w:t>磋商邀请书</w:t>
      </w:r>
      <w:bookmarkEnd w:id="1"/>
      <w:bookmarkEnd w:id="4"/>
    </w:p>
    <w:p w14:paraId="6BD1F732">
      <w:pPr>
        <w:keepNext w:val="0"/>
        <w:keepLines w:val="0"/>
        <w:pageBreakBefore w:val="0"/>
        <w:widowControl/>
        <w:shd w:val="clear"/>
        <w:tabs>
          <w:tab w:val="left" w:pos="-360"/>
        </w:tabs>
        <w:kinsoku/>
        <w:overflowPunct/>
        <w:topLinePunct w:val="0"/>
        <w:autoSpaceDE w:val="0"/>
        <w:autoSpaceDN w:val="0"/>
        <w:bidi w:val="0"/>
        <w:adjustRightInd/>
        <w:snapToGrid/>
        <w:spacing w:line="440" w:lineRule="exact"/>
        <w:ind w:right="-34" w:firstLine="420" w:firstLineChars="200"/>
        <w:jc w:val="both"/>
        <w:textAlignment w:val="bottom"/>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中天项目咨询（东莞）有限公司</w:t>
      </w:r>
      <w:r>
        <w:rPr>
          <w:rFonts w:hint="eastAsia" w:ascii="宋体" w:hAnsi="宋体" w:eastAsia="宋体" w:cs="宋体"/>
          <w:color w:val="auto"/>
          <w:sz w:val="21"/>
          <w:szCs w:val="21"/>
          <w:highlight w:val="none"/>
        </w:rPr>
        <w:t>（以下简称“采购代理机构”）受</w:t>
      </w:r>
      <w:r>
        <w:rPr>
          <w:rFonts w:hint="eastAsia" w:hAnsi="宋体" w:cs="宋体"/>
          <w:color w:val="auto"/>
          <w:sz w:val="21"/>
          <w:szCs w:val="21"/>
          <w:highlight w:val="none"/>
          <w:lang w:val="en-US" w:eastAsia="zh-CN"/>
        </w:rPr>
        <w:t>东莞市立沙岛投资有限公司</w:t>
      </w:r>
      <w:r>
        <w:rPr>
          <w:rFonts w:hint="eastAsia" w:ascii="宋体" w:hAnsi="宋体" w:eastAsia="宋体" w:cs="宋体"/>
          <w:color w:val="auto"/>
          <w:sz w:val="21"/>
          <w:szCs w:val="21"/>
          <w:highlight w:val="none"/>
        </w:rPr>
        <w:t>（以下简称“采购人”）的委托，为</w:t>
      </w:r>
      <w:r>
        <w:rPr>
          <w:rFonts w:hint="eastAsia" w:hAnsi="宋体" w:cs="宋体"/>
          <w:color w:val="auto"/>
          <w:sz w:val="21"/>
          <w:szCs w:val="21"/>
          <w:highlight w:val="none"/>
          <w:lang w:val="en-US" w:eastAsia="zh-CN"/>
        </w:rPr>
        <w:t>东莞市立沙岛绿色新材料产业园项目招标代理服务（</w:t>
      </w:r>
      <w:r>
        <w:rPr>
          <w:rFonts w:hint="eastAsia" w:ascii="宋体" w:hAnsi="宋体" w:eastAsia="宋体" w:cs="宋体"/>
          <w:color w:val="auto"/>
          <w:sz w:val="21"/>
          <w:szCs w:val="21"/>
          <w:highlight w:val="none"/>
        </w:rPr>
        <w:t>项目编号：</w:t>
      </w:r>
      <w:r>
        <w:rPr>
          <w:rFonts w:hint="eastAsia" w:hAnsi="宋体" w:cs="宋体"/>
          <w:color w:val="auto"/>
          <w:sz w:val="21"/>
          <w:szCs w:val="21"/>
          <w:highlight w:val="none"/>
          <w:lang w:val="en-US" w:eastAsia="zh-CN"/>
        </w:rPr>
        <w:t>DGQS-LS-03-001-001（2026））</w:t>
      </w:r>
      <w:r>
        <w:rPr>
          <w:rFonts w:hint="eastAsia" w:ascii="宋体" w:hAnsi="宋体" w:eastAsia="宋体" w:cs="宋体"/>
          <w:color w:val="auto"/>
          <w:sz w:val="21"/>
          <w:szCs w:val="21"/>
          <w:highlight w:val="none"/>
        </w:rPr>
        <w:t>采购所需的服务。本项目采用竞争性磋商采购方式，欢迎合格供应商就本项目提交密封磋商。</w:t>
      </w:r>
    </w:p>
    <w:p w14:paraId="42539DC5">
      <w:pPr>
        <w:keepNext w:val="0"/>
        <w:keepLines w:val="0"/>
        <w:pageBreakBefore w:val="0"/>
        <w:shd w:val="clear"/>
        <w:kinsoku/>
        <w:overflowPunct/>
        <w:topLinePunct w:val="0"/>
        <w:autoSpaceDE w:val="0"/>
        <w:autoSpaceDN w:val="0"/>
        <w:bidi w:val="0"/>
        <w:snapToGrid/>
        <w:spacing w:line="440" w:lineRule="exact"/>
        <w:rPr>
          <w:rFonts w:hint="eastAsia" w:ascii="宋体" w:hAnsi="宋体" w:eastAsia="宋体" w:cs="宋体"/>
          <w:b/>
          <w:color w:val="auto"/>
          <w:sz w:val="21"/>
          <w:szCs w:val="21"/>
          <w:highlight w:val="none"/>
        </w:rPr>
      </w:pPr>
      <w:bookmarkStart w:id="5" w:name="_Toc4600"/>
      <w:r>
        <w:rPr>
          <w:rFonts w:hint="eastAsia" w:ascii="宋体" w:hAnsi="宋体" w:eastAsia="宋体" w:cs="宋体"/>
          <w:b/>
          <w:color w:val="auto"/>
          <w:sz w:val="21"/>
          <w:szCs w:val="21"/>
          <w:highlight w:val="none"/>
        </w:rPr>
        <w:t>一、采购项目概况</w:t>
      </w:r>
    </w:p>
    <w:p w14:paraId="016AA892">
      <w:pPr>
        <w:keepNext w:val="0"/>
        <w:keepLines w:val="0"/>
        <w:pageBreakBefore w:val="0"/>
        <w:shd w:val="clear"/>
        <w:kinsoku/>
        <w:overflowPunct/>
        <w:topLinePunct w:val="0"/>
        <w:autoSpaceDE w:val="0"/>
        <w:autoSpaceDN w:val="0"/>
        <w:bidi w:val="0"/>
        <w:snapToGrid/>
        <w:spacing w:line="44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1、采购项目名称：</w:t>
      </w:r>
      <w:r>
        <w:rPr>
          <w:rFonts w:hint="eastAsia" w:hAnsi="宋体" w:cs="宋体"/>
          <w:b/>
          <w:color w:val="auto"/>
          <w:sz w:val="21"/>
          <w:szCs w:val="21"/>
          <w:highlight w:val="none"/>
          <w:u w:val="single"/>
          <w:lang w:val="en-US" w:eastAsia="zh-CN"/>
        </w:rPr>
        <w:t>东莞市立沙岛绿色新材料产业园项目招标代理服务</w:t>
      </w:r>
    </w:p>
    <w:p w14:paraId="07EDDAFE">
      <w:pPr>
        <w:keepNext w:val="0"/>
        <w:keepLines w:val="0"/>
        <w:pageBreakBefore w:val="0"/>
        <w:shd w:val="clear"/>
        <w:kinsoku/>
        <w:overflowPunct/>
        <w:topLinePunct w:val="0"/>
        <w:autoSpaceDE w:val="0"/>
        <w:autoSpaceDN w:val="0"/>
        <w:bidi w:val="0"/>
        <w:snapToGrid/>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2、预算金额（元）：¥</w:t>
      </w:r>
      <w:r>
        <w:rPr>
          <w:rFonts w:hint="eastAsia" w:hAnsi="宋体"/>
          <w:color w:val="auto"/>
          <w:sz w:val="21"/>
          <w:szCs w:val="21"/>
          <w:highlight w:val="none"/>
        </w:rPr>
        <w:t>684276.80</w:t>
      </w:r>
      <w:r>
        <w:rPr>
          <w:rFonts w:hint="eastAsia" w:hAnsi="宋体" w:cs="宋体"/>
          <w:color w:val="auto"/>
          <w:sz w:val="21"/>
          <w:szCs w:val="21"/>
          <w:highlight w:val="none"/>
          <w:lang w:val="en-US" w:eastAsia="zh-CN"/>
        </w:rPr>
        <w:t>元</w:t>
      </w:r>
    </w:p>
    <w:p w14:paraId="721FD216">
      <w:pPr>
        <w:keepNext w:val="0"/>
        <w:keepLines w:val="0"/>
        <w:pageBreakBefore w:val="0"/>
        <w:shd w:val="clear"/>
        <w:kinsoku/>
        <w:overflowPunct/>
        <w:topLinePunct w:val="0"/>
        <w:autoSpaceDE w:val="0"/>
        <w:autoSpaceDN w:val="0"/>
        <w:bidi w:val="0"/>
        <w:snapToGrid/>
        <w:spacing w:line="440" w:lineRule="exact"/>
        <w:ind w:firstLine="420" w:firstLineChars="200"/>
        <w:rPr>
          <w:rFonts w:hint="eastAsia" w:ascii="宋体" w:hAnsi="宋体" w:eastAsia="宋体" w:cs="宋体"/>
          <w:color w:val="auto"/>
          <w:sz w:val="21"/>
          <w:szCs w:val="21"/>
          <w:highlight w:val="none"/>
          <w:u w:val="none"/>
          <w:lang w:val="en-US"/>
        </w:rPr>
      </w:pPr>
      <w:r>
        <w:rPr>
          <w:rFonts w:hint="eastAsia" w:ascii="宋体" w:hAnsi="宋体" w:eastAsia="宋体" w:cs="宋体"/>
          <w:color w:val="auto"/>
          <w:sz w:val="21"/>
          <w:szCs w:val="21"/>
          <w:highlight w:val="none"/>
        </w:rPr>
        <w:t>3、最高限价（元）：¥</w:t>
      </w:r>
      <w:r>
        <w:rPr>
          <w:rFonts w:hint="eastAsia" w:hAnsi="宋体" w:cs="宋体"/>
          <w:color w:val="auto"/>
          <w:sz w:val="21"/>
          <w:szCs w:val="21"/>
          <w:highlight w:val="none"/>
          <w:lang w:eastAsia="zh-CN"/>
        </w:rPr>
        <w:t>478993.76</w:t>
      </w:r>
      <w:r>
        <w:rPr>
          <w:rFonts w:hint="eastAsia" w:hAnsi="宋体" w:cs="宋体"/>
          <w:color w:val="auto"/>
          <w:sz w:val="21"/>
          <w:szCs w:val="21"/>
          <w:highlight w:val="none"/>
          <w:lang w:val="en-US" w:eastAsia="zh-CN"/>
        </w:rPr>
        <w:t>元</w:t>
      </w:r>
      <w:r>
        <w:rPr>
          <w:rFonts w:hint="eastAsia" w:ascii="宋体" w:hAnsi="宋体" w:eastAsia="宋体" w:cs="宋体"/>
          <w:color w:val="auto"/>
          <w:sz w:val="21"/>
          <w:szCs w:val="21"/>
          <w:highlight w:val="none"/>
        </w:rPr>
        <w:t>（服务</w:t>
      </w:r>
      <w:r>
        <w:rPr>
          <w:rFonts w:hint="eastAsia" w:hAnsi="宋体" w:cs="宋体"/>
          <w:color w:val="auto"/>
          <w:sz w:val="21"/>
          <w:szCs w:val="21"/>
          <w:highlight w:val="none"/>
          <w:lang w:val="en-US" w:eastAsia="zh-CN"/>
        </w:rPr>
        <w:t>费</w:t>
      </w:r>
      <w:r>
        <w:rPr>
          <w:rFonts w:hint="eastAsia" w:ascii="宋体" w:hAnsi="宋体" w:eastAsia="宋体" w:cs="宋体"/>
          <w:color w:val="auto"/>
          <w:sz w:val="21"/>
          <w:szCs w:val="21"/>
          <w:highlight w:val="none"/>
        </w:rPr>
        <w:t>系数0.</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lang w:eastAsia="zh-CN"/>
        </w:rPr>
        <w:t>。</w:t>
      </w:r>
    </w:p>
    <w:p w14:paraId="35BBE566">
      <w:pPr>
        <w:keepNext w:val="0"/>
        <w:keepLines w:val="0"/>
        <w:pageBreakBefore w:val="0"/>
        <w:shd w:val="clear"/>
        <w:kinsoku/>
        <w:overflowPunct/>
        <w:topLinePunct w:val="0"/>
        <w:autoSpaceDE w:val="0"/>
        <w:autoSpaceDN w:val="0"/>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、项目内容</w:t>
      </w:r>
    </w:p>
    <w:tbl>
      <w:tblPr>
        <w:tblStyle w:val="53"/>
        <w:tblW w:w="42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6"/>
        <w:gridCol w:w="1921"/>
      </w:tblGrid>
      <w:tr w14:paraId="347F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683" w:type="pct"/>
            <w:vAlign w:val="center"/>
          </w:tcPr>
          <w:p w14:paraId="4A78E52E">
            <w:pPr>
              <w:keepNext w:val="0"/>
              <w:keepLines w:val="0"/>
              <w:pageBreakBefore w:val="0"/>
              <w:shd w:val="clear"/>
              <w:kinsoku/>
              <w:overflowPunct/>
              <w:topLinePunct w:val="0"/>
              <w:autoSpaceDE w:val="0"/>
              <w:autoSpaceDN w:val="0"/>
              <w:bidi w:val="0"/>
              <w:snapToGrid/>
              <w:spacing w:line="440" w:lineRule="exact"/>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项目内容</w:t>
            </w:r>
          </w:p>
        </w:tc>
        <w:tc>
          <w:tcPr>
            <w:tcW w:w="1316" w:type="pct"/>
            <w:vAlign w:val="center"/>
          </w:tcPr>
          <w:p w14:paraId="201D4D31">
            <w:pPr>
              <w:keepNext w:val="0"/>
              <w:keepLines w:val="0"/>
              <w:pageBreakBefore w:val="0"/>
              <w:shd w:val="clear"/>
              <w:kinsoku/>
              <w:overflowPunct/>
              <w:topLinePunct w:val="0"/>
              <w:autoSpaceDE w:val="0"/>
              <w:autoSpaceDN w:val="0"/>
              <w:bidi w:val="0"/>
              <w:snapToGrid/>
              <w:spacing w:line="440" w:lineRule="exact"/>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采购服务单位数量</w:t>
            </w:r>
          </w:p>
        </w:tc>
      </w:tr>
      <w:tr w14:paraId="5321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83" w:type="pct"/>
            <w:vAlign w:val="center"/>
          </w:tcPr>
          <w:p w14:paraId="1E5B476F">
            <w:pPr>
              <w:keepNext w:val="0"/>
              <w:keepLines w:val="0"/>
              <w:pageBreakBefore w:val="0"/>
              <w:shd w:val="clear"/>
              <w:kinsoku/>
              <w:overflowPunct/>
              <w:topLinePunct w:val="0"/>
              <w:autoSpaceDE w:val="0"/>
              <w:autoSpaceDN w:val="0"/>
              <w:bidi w:val="0"/>
              <w:snapToGrid/>
              <w:spacing w:line="440" w:lineRule="exact"/>
              <w:jc w:val="center"/>
              <w:rPr>
                <w:rFonts w:hint="eastAsia" w:ascii="宋体" w:hAnsi="宋体" w:eastAsia="宋体" w:cs="宋体"/>
                <w:color w:val="auto"/>
                <w:sz w:val="21"/>
                <w:szCs w:val="21"/>
                <w:highlight w:val="none"/>
                <w:lang w:eastAsia="zh-CN"/>
              </w:rPr>
            </w:pPr>
            <w:r>
              <w:rPr>
                <w:rFonts w:hint="eastAsia" w:hAnsi="宋体" w:cs="宋体"/>
                <w:b w:val="0"/>
                <w:bCs/>
                <w:color w:val="auto"/>
                <w:sz w:val="21"/>
                <w:szCs w:val="21"/>
                <w:highlight w:val="none"/>
                <w:u w:val="none"/>
                <w:lang w:val="en-US" w:eastAsia="zh-CN"/>
              </w:rPr>
              <w:t>东莞市立沙岛绿色新材料产业园项目招标代理服务</w:t>
            </w:r>
          </w:p>
        </w:tc>
        <w:tc>
          <w:tcPr>
            <w:tcW w:w="1316" w:type="pct"/>
            <w:vAlign w:val="center"/>
          </w:tcPr>
          <w:p w14:paraId="1C98D3DE">
            <w:pPr>
              <w:keepNext w:val="0"/>
              <w:keepLines w:val="0"/>
              <w:pageBreakBefore w:val="0"/>
              <w:shd w:val="clear"/>
              <w:kinsoku/>
              <w:overflowPunct/>
              <w:topLinePunct w:val="0"/>
              <w:autoSpaceDE w:val="0"/>
              <w:autoSpaceDN w:val="0"/>
              <w:bidi w:val="0"/>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bl>
    <w:p w14:paraId="26DEEC83">
      <w:pPr>
        <w:keepNext w:val="0"/>
        <w:keepLines w:val="0"/>
        <w:pageBreakBefore w:val="0"/>
        <w:shd w:val="clear"/>
        <w:kinsoku/>
        <w:overflowPunct/>
        <w:topLinePunct w:val="0"/>
        <w:autoSpaceDE w:val="0"/>
        <w:autoSpaceDN w:val="0"/>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、项目需求</w:t>
      </w:r>
    </w:p>
    <w:p w14:paraId="74CA9D05">
      <w:pPr>
        <w:keepNext w:val="0"/>
        <w:keepLines w:val="0"/>
        <w:pageBreakBefore w:val="0"/>
        <w:shd w:val="clear"/>
        <w:kinsoku/>
        <w:overflowPunct/>
        <w:topLinePunct w:val="0"/>
        <w:autoSpaceDE w:val="0"/>
        <w:autoSpaceDN w:val="0"/>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详细内容请参阅</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第三部分《用户需求书》。</w:t>
      </w:r>
    </w:p>
    <w:p w14:paraId="28CA9A77">
      <w:pPr>
        <w:keepNext w:val="0"/>
        <w:keepLines w:val="0"/>
        <w:pageBreakBefore w:val="0"/>
        <w:widowControl/>
        <w:shd w:val="clear"/>
        <w:kinsoku/>
        <w:overflowPunct/>
        <w:topLinePunct w:val="0"/>
        <w:autoSpaceDE w:val="0"/>
        <w:autoSpaceDN w:val="0"/>
        <w:bidi w:val="0"/>
        <w:adjustRightInd/>
        <w:snapToGrid/>
        <w:spacing w:line="440" w:lineRule="exact"/>
        <w:outlineLvl w:val="0"/>
        <w:rPr>
          <w:rFonts w:hint="eastAsia" w:ascii="宋体" w:hAnsi="宋体" w:eastAsia="宋体" w:cs="宋体"/>
          <w:b/>
          <w:bCs/>
          <w:color w:val="auto"/>
          <w:kern w:val="28"/>
          <w:sz w:val="21"/>
          <w:szCs w:val="21"/>
          <w:highlight w:val="none"/>
        </w:rPr>
      </w:pPr>
      <w:r>
        <w:rPr>
          <w:rFonts w:hint="eastAsia" w:ascii="宋体" w:hAnsi="宋体" w:eastAsia="宋体" w:cs="宋体"/>
          <w:b/>
          <w:bCs/>
          <w:color w:val="auto"/>
          <w:kern w:val="28"/>
          <w:sz w:val="21"/>
          <w:szCs w:val="21"/>
          <w:highlight w:val="none"/>
          <w:lang w:val="zh-CN"/>
        </w:rPr>
        <w:t>二、供应商须满足以下资格条件</w:t>
      </w:r>
      <w:r>
        <w:rPr>
          <w:rFonts w:hint="eastAsia" w:ascii="宋体" w:hAnsi="宋体" w:eastAsia="宋体" w:cs="宋体"/>
          <w:b/>
          <w:bCs/>
          <w:color w:val="auto"/>
          <w:kern w:val="28"/>
          <w:sz w:val="21"/>
          <w:szCs w:val="21"/>
          <w:highlight w:val="none"/>
        </w:rPr>
        <w:t>：</w:t>
      </w:r>
      <w:bookmarkEnd w:id="5"/>
    </w:p>
    <w:p w14:paraId="7167B351">
      <w:pPr>
        <w:keepNext w:val="0"/>
        <w:keepLines w:val="0"/>
        <w:pageBreakBefore w:val="0"/>
        <w:widowControl w:val="0"/>
        <w:kinsoku/>
        <w:wordWrap/>
        <w:overflowPunct/>
        <w:topLinePunct w:val="0"/>
        <w:autoSpaceDE w:val="0"/>
        <w:autoSpaceDN w:val="0"/>
        <w:bidi w:val="0"/>
        <w:adjustRightInd w:val="0"/>
        <w:snapToGrid/>
        <w:spacing w:line="440" w:lineRule="exact"/>
        <w:ind w:firstLine="411" w:firstLineChars="196"/>
        <w:textAlignment w:val="auto"/>
        <w:rPr>
          <w:rFonts w:hint="eastAsia" w:ascii="宋体" w:hAnsi="宋体" w:eastAsia="宋体" w:cs="宋体"/>
          <w:color w:val="auto"/>
          <w:sz w:val="21"/>
          <w:szCs w:val="21"/>
          <w:highlight w:val="none"/>
        </w:rPr>
      </w:pPr>
      <w:bookmarkStart w:id="6" w:name="_Toc8581"/>
      <w:bookmarkStart w:id="7" w:name="_Toc396137230"/>
      <w:r>
        <w:rPr>
          <w:rFonts w:hint="eastAsia" w:ascii="宋体" w:hAnsi="宋体" w:eastAsia="宋体" w:cs="宋体"/>
          <w:color w:val="auto"/>
          <w:sz w:val="21"/>
          <w:szCs w:val="21"/>
          <w:highlight w:val="none"/>
        </w:rPr>
        <w:t>1、一般要求：</w:t>
      </w:r>
    </w:p>
    <w:p w14:paraId="5A142B39">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须为在中华人民共和国境内登记注册的具有独立承担民事责任能力的法人或其他组织【提供《营业执照》复印件（加盖公章）或《事业单位法人证书》复印件（加盖公章）或其他主体证书复印件（加盖公章）】。</w:t>
      </w:r>
    </w:p>
    <w:p w14:paraId="0B59C925">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1800C95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，不得参加同一合同项下的采购活动。</w:t>
      </w:r>
    </w:p>
    <w:p w14:paraId="10C909EE">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（4）未被列入“信用中国”网站(www.creditchina.gov.cn )“记录失信被执行人或重大税收违法失信主体或政府采购严重违法失信行为”记录名单。以代理机构于</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截止日当天在“信用中国”网站查询结果为准，如相关失信记录已失效，</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需提供相关证明资料。</w:t>
      </w:r>
    </w:p>
    <w:p w14:paraId="6AEFD5A9">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（5）未被列入东实集团及下属企业相关领域黑名单。【以</w:t>
      </w:r>
      <w:r>
        <w:rPr>
          <w:rFonts w:hint="eastAsia" w:ascii="宋体" w:hAnsi="宋体" w:eastAsia="宋体" w:cs="宋体"/>
          <w:color w:val="auto"/>
          <w:kern w:val="2"/>
          <w:sz w:val="21"/>
          <w:szCs w:val="21"/>
          <w:highlight w:val="none"/>
          <w:lang w:val="zh-CN"/>
        </w:rPr>
        <w:t>东莞实业投资控股集团有限公司</w:t>
      </w:r>
      <w:r>
        <w:rPr>
          <w:rFonts w:hint="eastAsia" w:ascii="宋体" w:hAnsi="宋体" w:eastAsia="宋体" w:cs="宋体"/>
          <w:color w:val="auto"/>
          <w:sz w:val="21"/>
          <w:szCs w:val="21"/>
          <w:highlight w:val="none"/>
        </w:rPr>
        <w:t>发文（东实通〔2021〕44号）、（东实通〔2021〕98号）、（东实通〔2022〕75号）、（东实通〔2023〕37号）、（东实通〔2024〕163号）、（东实通〔2024〕195号）、（东实通</w:t>
      </w:r>
      <w:r>
        <w:rPr>
          <w:rFonts w:hint="eastAsia" w:hAnsi="宋体" w:cs="宋体"/>
          <w:color w:val="auto"/>
          <w:sz w:val="21"/>
          <w:szCs w:val="21"/>
          <w:highlight w:val="none"/>
          <w:lang w:eastAsia="zh-CN"/>
        </w:rPr>
        <w:t>〔2025〕</w:t>
      </w:r>
      <w:r>
        <w:rPr>
          <w:rFonts w:hint="eastAsia" w:ascii="宋体" w:hAnsi="宋体" w:eastAsia="宋体" w:cs="宋体"/>
          <w:color w:val="auto"/>
          <w:sz w:val="21"/>
          <w:szCs w:val="21"/>
          <w:highlight w:val="none"/>
        </w:rPr>
        <w:t>157）及下属企业发文为准</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如有最新发文通知，按最新文件执行。】</w:t>
      </w:r>
    </w:p>
    <w:p w14:paraId="55F3FC5E">
      <w:pPr>
        <w:keepNext w:val="0"/>
        <w:keepLines w:val="0"/>
        <w:pageBreakBefore w:val="0"/>
        <w:kinsoku/>
        <w:overflowPunct/>
        <w:topLinePunct w:val="0"/>
        <w:autoSpaceDE w:val="0"/>
        <w:autoSpaceDN w:val="0"/>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w:t>
      </w:r>
    </w:p>
    <w:p w14:paraId="060A64DE">
      <w:pPr>
        <w:keepNext w:val="0"/>
        <w:keepLines w:val="0"/>
        <w:pageBreakBefore w:val="0"/>
        <w:kinsoku/>
        <w:overflowPunct/>
        <w:topLinePunct w:val="0"/>
        <w:autoSpaceDE w:val="0"/>
        <w:autoSpaceDN w:val="0"/>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）本项目不接受联合体参与</w:t>
      </w:r>
      <w:r>
        <w:rPr>
          <w:rFonts w:hint="eastAsia"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eastAsia="zh-CN"/>
        </w:rPr>
        <w:t>。</w:t>
      </w:r>
    </w:p>
    <w:p w14:paraId="735653DD">
      <w:pPr>
        <w:keepNext w:val="0"/>
        <w:keepLines w:val="0"/>
        <w:pageBreakBefore w:val="0"/>
        <w:shd w:val="clear"/>
        <w:kinsoku/>
        <w:overflowPunct/>
        <w:topLinePunct w:val="0"/>
        <w:autoSpaceDE w:val="0"/>
        <w:autoSpaceDN w:val="0"/>
        <w:bidi w:val="0"/>
        <w:snapToGrid/>
        <w:spacing w:line="440" w:lineRule="exac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三、获取磋商文件：</w:t>
      </w:r>
      <w:bookmarkEnd w:id="6"/>
    </w:p>
    <w:p w14:paraId="54C65BBD">
      <w:pPr>
        <w:keepNext w:val="0"/>
        <w:keepLines w:val="0"/>
        <w:pageBreakBefore w:val="0"/>
        <w:widowControl/>
        <w:shd w:val="clear"/>
        <w:kinsoku/>
        <w:overflowPunct/>
        <w:topLinePunct w:val="0"/>
        <w:autoSpaceDE w:val="0"/>
        <w:autoSpaceDN w:val="0"/>
        <w:bidi w:val="0"/>
        <w:adjustRightInd/>
        <w:snapToGrid/>
        <w:spacing w:line="440" w:lineRule="exact"/>
        <w:ind w:left="0" w:right="0" w:firstLine="420" w:firstLineChars="200"/>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本项目不进行实名登记报名，拟参加磋商的供应商于磋商截止时间前自行网上下载</w:t>
      </w:r>
      <w:r>
        <w:rPr>
          <w:rFonts w:hint="eastAsia" w:hAnsi="宋体" w:cs="宋体"/>
          <w:color w:val="auto"/>
          <w:kern w:val="2"/>
          <w:sz w:val="21"/>
          <w:szCs w:val="21"/>
          <w:highlight w:val="none"/>
          <w:lang w:eastAsia="zh-CN"/>
        </w:rPr>
        <w:t>磋商文件</w:t>
      </w:r>
      <w:r>
        <w:rPr>
          <w:rFonts w:hint="eastAsia" w:ascii="宋体" w:hAnsi="宋体" w:eastAsia="宋体" w:cs="宋体"/>
          <w:color w:val="auto"/>
          <w:kern w:val="2"/>
          <w:sz w:val="21"/>
          <w:szCs w:val="21"/>
          <w:highlight w:val="none"/>
        </w:rPr>
        <w:t>。</w:t>
      </w:r>
      <w:r>
        <w:rPr>
          <w:rFonts w:hint="eastAsia" w:hAnsi="宋体" w:cs="宋体"/>
          <w:color w:val="auto"/>
          <w:kern w:val="2"/>
          <w:sz w:val="21"/>
          <w:szCs w:val="21"/>
          <w:highlight w:val="none"/>
          <w:lang w:eastAsia="zh-CN"/>
        </w:rPr>
        <w:t>磋商文件</w:t>
      </w:r>
      <w:r>
        <w:rPr>
          <w:rFonts w:hint="eastAsia" w:ascii="宋体" w:hAnsi="宋体" w:eastAsia="宋体" w:cs="宋体"/>
          <w:color w:val="auto"/>
          <w:kern w:val="2"/>
          <w:sz w:val="21"/>
          <w:szCs w:val="21"/>
          <w:highlight w:val="none"/>
        </w:rPr>
        <w:t>下载地址：中国招标投标公共服务平台（http://www.cebpubservice.com/）、</w:t>
      </w:r>
      <w:r>
        <w:rPr>
          <w:rFonts w:hint="eastAsia" w:ascii="宋体" w:hAnsi="宋体" w:eastAsia="宋体" w:cs="宋体"/>
          <w:strike w:val="0"/>
          <w:color w:val="auto"/>
          <w:kern w:val="2"/>
          <w:sz w:val="21"/>
          <w:szCs w:val="21"/>
          <w:highlight w:val="none"/>
        </w:rPr>
        <w:t>东莞实业投资控股集团有限公司-招标采购栏目（http://www.dgsy.com.cn/）、</w:t>
      </w:r>
      <w:r>
        <w:rPr>
          <w:rFonts w:hint="eastAsia" w:hAnsi="宋体" w:cs="宋体"/>
          <w:color w:val="auto"/>
          <w:kern w:val="2"/>
          <w:sz w:val="21"/>
          <w:szCs w:val="21"/>
          <w:highlight w:val="none"/>
          <w:lang w:eastAsia="zh-CN"/>
        </w:rPr>
        <w:t>中天项目咨询（东莞）有限公司</w:t>
      </w:r>
      <w:r>
        <w:rPr>
          <w:rFonts w:hint="eastAsia" w:ascii="宋体" w:hAnsi="宋体" w:eastAsia="宋体" w:cs="宋体"/>
          <w:color w:val="auto"/>
          <w:kern w:val="2"/>
          <w:sz w:val="21"/>
          <w:szCs w:val="21"/>
          <w:highlight w:val="none"/>
          <w:lang w:eastAsia="zh-CN"/>
        </w:rPr>
        <w:t>网站（</w:t>
      </w:r>
      <w:r>
        <w:rPr>
          <w:rFonts w:hint="eastAsia" w:hAnsi="宋体" w:cs="宋体"/>
          <w:color w:val="auto"/>
          <w:kern w:val="2"/>
          <w:sz w:val="21"/>
          <w:szCs w:val="21"/>
          <w:highlight w:val="none"/>
          <w:lang w:eastAsia="zh-CN"/>
        </w:rPr>
        <w:t>http://www.ztxmzx.com/</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p w14:paraId="6AC8645C">
      <w:pPr>
        <w:pStyle w:val="2"/>
        <w:keepNext w:val="0"/>
        <w:keepLines w:val="0"/>
        <w:pageBreakBefore w:val="0"/>
        <w:kinsoku/>
        <w:overflowPunct/>
        <w:topLinePunct w:val="0"/>
        <w:autoSpaceDE w:val="0"/>
        <w:autoSpaceDN w:val="0"/>
        <w:bidi w:val="0"/>
        <w:snapToGrid/>
        <w:spacing w:line="440" w:lineRule="exact"/>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采购结果公告发布媒介：</w:t>
      </w:r>
      <w:r>
        <w:rPr>
          <w:rFonts w:hint="eastAsia" w:ascii="宋体" w:hAnsi="宋体" w:eastAsia="宋体" w:cs="宋体"/>
          <w:color w:val="auto"/>
          <w:sz w:val="21"/>
          <w:szCs w:val="21"/>
          <w:highlight w:val="none"/>
        </w:rPr>
        <w:t>东莞实业投资控股集团有限公司-招标采购栏目（http://www.dgsy.com.cn/）。</w:t>
      </w:r>
    </w:p>
    <w:p w14:paraId="2C7F45A2">
      <w:pPr>
        <w:keepNext w:val="0"/>
        <w:keepLines w:val="0"/>
        <w:pageBreakBefore w:val="0"/>
        <w:widowControl/>
        <w:shd w:val="clear"/>
        <w:kinsoku/>
        <w:overflowPunct/>
        <w:topLinePunct w:val="0"/>
        <w:autoSpaceDE w:val="0"/>
        <w:autoSpaceDN w:val="0"/>
        <w:bidi w:val="0"/>
        <w:snapToGrid/>
        <w:spacing w:line="440" w:lineRule="exact"/>
        <w:textAlignment w:val="bottom"/>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四、接收响应文件的时间、地点、截止时间，开启响应文件时间、地点</w:t>
      </w:r>
      <w:r>
        <w:rPr>
          <w:rFonts w:hint="eastAsia" w:ascii="宋体" w:hAnsi="宋体" w:eastAsia="宋体" w:cs="宋体"/>
          <w:b/>
          <w:color w:val="auto"/>
          <w:szCs w:val="21"/>
          <w:highlight w:val="none"/>
        </w:rPr>
        <w:t>：</w:t>
      </w:r>
    </w:p>
    <w:p w14:paraId="77442CD4">
      <w:pPr>
        <w:keepNext w:val="0"/>
        <w:keepLines w:val="0"/>
        <w:pageBreakBefore w:val="0"/>
        <w:shd w:val="clear"/>
        <w:kinsoku/>
        <w:overflowPunct/>
        <w:topLinePunct w:val="0"/>
        <w:autoSpaceDE w:val="0"/>
        <w:autoSpaceDN w:val="0"/>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1、接收响应文件的时间：</w:t>
      </w:r>
      <w:r>
        <w:rPr>
          <w:rFonts w:hint="eastAsia" w:ascii="宋体" w:hAnsi="宋体" w:eastAsia="宋体" w:cs="宋体"/>
          <w:color w:val="auto"/>
          <w:sz w:val="21"/>
          <w:szCs w:val="21"/>
          <w:highlight w:val="none"/>
          <w:u w:val="single"/>
        </w:rPr>
        <w:t>202</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rPr>
        <w:t>月</w:t>
      </w:r>
      <w:r>
        <w:rPr>
          <w:rFonts w:hint="eastAsia"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日（北京时间）</w:t>
      </w:r>
      <w:r>
        <w:rPr>
          <w:rFonts w:hint="eastAsia"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w:t>
      </w:r>
      <w:r>
        <w:rPr>
          <w:rFonts w:hint="eastAsia" w:hAnsi="宋体" w:cs="宋体"/>
          <w:color w:val="auto"/>
          <w:sz w:val="21"/>
          <w:szCs w:val="21"/>
          <w:highlight w:val="none"/>
          <w:u w:val="single"/>
          <w:lang w:val="en-US" w:eastAsia="zh-CN"/>
        </w:rPr>
        <w:t>14</w:t>
      </w:r>
      <w:r>
        <w:rPr>
          <w:rFonts w:hint="eastAsia" w:ascii="宋体" w:hAnsi="宋体" w:eastAsia="宋体" w:cs="宋体"/>
          <w:color w:val="auto"/>
          <w:sz w:val="21"/>
          <w:szCs w:val="21"/>
          <w:highlight w:val="none"/>
        </w:rPr>
        <w:t>:</w:t>
      </w:r>
      <w:r>
        <w:rPr>
          <w:rFonts w:hint="eastAsia"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w:t>
      </w:r>
    </w:p>
    <w:p w14:paraId="5F5B7D00">
      <w:pPr>
        <w:keepNext w:val="0"/>
        <w:keepLines w:val="0"/>
        <w:pageBreakBefore w:val="0"/>
        <w:shd w:val="clear"/>
        <w:kinsoku/>
        <w:overflowPunct/>
        <w:topLinePunct w:val="0"/>
        <w:autoSpaceDE w:val="0"/>
        <w:autoSpaceDN w:val="0"/>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2、接收响应文件截止时间及开启响应文件时间：</w:t>
      </w:r>
      <w:r>
        <w:rPr>
          <w:rFonts w:hint="eastAsia" w:ascii="宋体" w:hAnsi="宋体" w:eastAsia="宋体" w:cs="宋体"/>
          <w:color w:val="auto"/>
          <w:sz w:val="21"/>
          <w:szCs w:val="21"/>
          <w:highlight w:val="none"/>
          <w:u w:val="single"/>
        </w:rPr>
        <w:t>202</w:t>
      </w:r>
      <w:r>
        <w:rPr>
          <w:rFonts w:hint="eastAsia"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rPr>
        <w:t>月</w:t>
      </w:r>
      <w:r>
        <w:rPr>
          <w:rFonts w:hint="eastAsia"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日</w:t>
      </w:r>
      <w:r>
        <w:rPr>
          <w:rFonts w:hint="eastAsia" w:hAnsi="宋体" w:cs="宋体"/>
          <w:color w:val="auto"/>
          <w:sz w:val="21"/>
          <w:szCs w:val="21"/>
          <w:highlight w:val="none"/>
          <w:u w:val="single"/>
          <w:lang w:val="en-US" w:eastAsia="zh-CN"/>
        </w:rPr>
        <w:t>14</w:t>
      </w:r>
      <w:bookmarkStart w:id="338" w:name="_GoBack"/>
      <w:bookmarkEnd w:id="338"/>
      <w:r>
        <w:rPr>
          <w:rFonts w:hint="eastAsia" w:ascii="宋体" w:hAnsi="宋体" w:eastAsia="宋体" w:cs="宋体"/>
          <w:color w:val="auto"/>
          <w:sz w:val="21"/>
          <w:szCs w:val="21"/>
          <w:highlight w:val="none"/>
        </w:rPr>
        <w:t>:</w:t>
      </w:r>
      <w:r>
        <w:rPr>
          <w:rFonts w:hint="eastAsia"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w:t>
      </w:r>
    </w:p>
    <w:p w14:paraId="76EA8360">
      <w:pPr>
        <w:keepNext w:val="0"/>
        <w:keepLines w:val="0"/>
        <w:pageBreakBefore w:val="0"/>
        <w:shd w:val="clear"/>
        <w:kinsoku/>
        <w:overflowPunct/>
        <w:topLinePunct w:val="0"/>
        <w:autoSpaceDE w:val="0"/>
        <w:autoSpaceDN w:val="0"/>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3、接收响应文件地点：</w:t>
      </w:r>
      <w:r>
        <w:rPr>
          <w:rFonts w:hint="eastAsia" w:ascii="宋体" w:hAnsi="宋体" w:eastAsia="宋体" w:cs="宋体"/>
          <w:color w:val="auto"/>
          <w:sz w:val="21"/>
          <w:szCs w:val="21"/>
          <w:highlight w:val="none"/>
          <w:lang w:eastAsia="zh-CN"/>
        </w:rPr>
        <w:t>广东省东莞市南城街道鸿福路102号汇成大厦1栋406室</w:t>
      </w:r>
      <w:r>
        <w:rPr>
          <w:rFonts w:hint="eastAsia" w:ascii="宋体" w:hAnsi="宋体" w:eastAsia="宋体" w:cs="宋体"/>
          <w:color w:val="auto"/>
          <w:sz w:val="21"/>
          <w:szCs w:val="21"/>
          <w:highlight w:val="none"/>
        </w:rPr>
        <w:t>。</w:t>
      </w:r>
    </w:p>
    <w:p w14:paraId="33487190">
      <w:pPr>
        <w:keepNext w:val="0"/>
        <w:keepLines w:val="0"/>
        <w:pageBreakBefore w:val="0"/>
        <w:shd w:val="clear"/>
        <w:kinsoku/>
        <w:overflowPunct/>
        <w:topLinePunct w:val="0"/>
        <w:autoSpaceDE w:val="0"/>
        <w:autoSpaceDN w:val="0"/>
        <w:bidi w:val="0"/>
        <w:snapToGrid/>
        <w:spacing w:line="440" w:lineRule="exact"/>
        <w:outlineLvl w:val="0"/>
        <w:rPr>
          <w:rFonts w:hint="eastAsia" w:ascii="宋体" w:hAnsi="宋体" w:eastAsia="宋体" w:cs="宋体"/>
          <w:b/>
          <w:bCs/>
          <w:color w:val="auto"/>
          <w:sz w:val="21"/>
          <w:szCs w:val="21"/>
          <w:highlight w:val="none"/>
        </w:rPr>
      </w:pPr>
      <w:bookmarkStart w:id="8" w:name="_Toc26926"/>
      <w:r>
        <w:rPr>
          <w:rFonts w:hint="eastAsia" w:ascii="宋体" w:hAnsi="宋体" w:eastAsia="宋体" w:cs="宋体"/>
          <w:b/>
          <w:bCs/>
          <w:color w:val="auto"/>
          <w:sz w:val="21"/>
          <w:szCs w:val="21"/>
          <w:highlight w:val="none"/>
        </w:rPr>
        <w:t>五、</w:t>
      </w:r>
      <w:r>
        <w:rPr>
          <w:rFonts w:hint="eastAsia" w:ascii="宋体" w:hAnsi="宋体" w:eastAsia="宋体" w:cs="宋体"/>
          <w:b/>
          <w:color w:val="auto"/>
          <w:sz w:val="21"/>
          <w:szCs w:val="21"/>
          <w:highlight w:val="none"/>
        </w:rPr>
        <w:t>采购代理机构</w:t>
      </w:r>
      <w:r>
        <w:rPr>
          <w:rFonts w:hint="eastAsia" w:ascii="宋体" w:hAnsi="宋体" w:eastAsia="宋体" w:cs="宋体"/>
          <w:b/>
          <w:bCs/>
          <w:color w:val="auto"/>
          <w:sz w:val="21"/>
          <w:szCs w:val="21"/>
          <w:highlight w:val="none"/>
        </w:rPr>
        <w:t>及采购人</w:t>
      </w:r>
      <w:r>
        <w:rPr>
          <w:rFonts w:hint="eastAsia" w:ascii="宋体" w:hAnsi="宋体" w:eastAsia="宋体" w:cs="宋体"/>
          <w:b/>
          <w:color w:val="auto"/>
          <w:sz w:val="21"/>
          <w:szCs w:val="21"/>
          <w:highlight w:val="none"/>
        </w:rPr>
        <w:t>的地址和联系方式</w:t>
      </w:r>
      <w:r>
        <w:rPr>
          <w:rFonts w:hint="eastAsia" w:ascii="宋体" w:hAnsi="宋体" w:eastAsia="宋体" w:cs="宋体"/>
          <w:b/>
          <w:bCs/>
          <w:color w:val="auto"/>
          <w:sz w:val="21"/>
          <w:szCs w:val="21"/>
          <w:highlight w:val="none"/>
        </w:rPr>
        <w:t>：</w:t>
      </w:r>
      <w:bookmarkEnd w:id="8"/>
    </w:p>
    <w:p w14:paraId="6967A03B">
      <w:pPr>
        <w:keepNext w:val="0"/>
        <w:keepLines w:val="0"/>
        <w:pageBreakBefore w:val="0"/>
        <w:shd w:val="clear"/>
        <w:kinsoku/>
        <w:overflowPunct/>
        <w:topLinePunct w:val="0"/>
        <w:autoSpaceDE w:val="0"/>
        <w:autoSpaceDN w:val="0"/>
        <w:bidi w:val="0"/>
        <w:snapToGrid/>
        <w:spacing w:line="440" w:lineRule="exact"/>
        <w:ind w:right="-34" w:firstLine="424" w:firstLineChars="20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 购 人：</w:t>
      </w:r>
      <w:r>
        <w:rPr>
          <w:rFonts w:hint="eastAsia" w:hAnsi="宋体" w:cs="宋体"/>
          <w:color w:val="auto"/>
          <w:sz w:val="21"/>
          <w:szCs w:val="21"/>
          <w:highlight w:val="none"/>
          <w:lang w:val="en-US" w:eastAsia="zh-CN"/>
        </w:rPr>
        <w:t>东莞市立沙岛投资有限公司</w:t>
      </w:r>
    </w:p>
    <w:p w14:paraId="3C43D352">
      <w:pPr>
        <w:keepNext w:val="0"/>
        <w:keepLines w:val="0"/>
        <w:pageBreakBefore w:val="0"/>
        <w:shd w:val="clear"/>
        <w:kinsoku/>
        <w:overflowPunct/>
        <w:topLinePunct w:val="0"/>
        <w:autoSpaceDE w:val="0"/>
        <w:autoSpaceDN w:val="0"/>
        <w:bidi w:val="0"/>
        <w:snapToGrid/>
        <w:spacing w:line="440" w:lineRule="exact"/>
        <w:ind w:right="-34" w:firstLine="424" w:firstLineChars="20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址：广东省东莞市沙田镇䲞沙东路30号304室</w:t>
      </w:r>
    </w:p>
    <w:p w14:paraId="7111ABA8">
      <w:pPr>
        <w:keepNext w:val="0"/>
        <w:keepLines w:val="0"/>
        <w:pageBreakBefore w:val="0"/>
        <w:shd w:val="clear"/>
        <w:kinsoku/>
        <w:overflowPunct/>
        <w:topLinePunct w:val="0"/>
        <w:autoSpaceDE w:val="0"/>
        <w:autoSpaceDN w:val="0"/>
        <w:bidi w:val="0"/>
        <w:snapToGrid/>
        <w:spacing w:line="440" w:lineRule="exact"/>
        <w:ind w:right="-34" w:firstLine="424" w:firstLineChars="202"/>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 系 人：</w:t>
      </w:r>
      <w:r>
        <w:rPr>
          <w:rFonts w:hint="eastAsia" w:hAnsi="宋体" w:cs="宋体"/>
          <w:color w:val="auto"/>
          <w:sz w:val="21"/>
          <w:szCs w:val="21"/>
          <w:highlight w:val="none"/>
          <w:lang w:val="en-US" w:eastAsia="zh-CN"/>
        </w:rPr>
        <w:t>曾小姐</w:t>
      </w:r>
    </w:p>
    <w:p w14:paraId="4856B96C">
      <w:pPr>
        <w:keepNext w:val="0"/>
        <w:keepLines w:val="0"/>
        <w:pageBreakBefore w:val="0"/>
        <w:shd w:val="clear"/>
        <w:kinsoku/>
        <w:overflowPunct/>
        <w:topLinePunct w:val="0"/>
        <w:autoSpaceDE w:val="0"/>
        <w:autoSpaceDN w:val="0"/>
        <w:bidi w:val="0"/>
        <w:snapToGrid/>
        <w:spacing w:line="440" w:lineRule="exact"/>
        <w:ind w:right="-34" w:firstLine="424" w:firstLineChars="202"/>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    话：0769-28681293</w:t>
      </w:r>
    </w:p>
    <w:p w14:paraId="142EB538">
      <w:pPr>
        <w:keepNext w:val="0"/>
        <w:keepLines w:val="0"/>
        <w:pageBreakBefore w:val="0"/>
        <w:shd w:val="clear"/>
        <w:kinsoku/>
        <w:overflowPunct/>
        <w:topLinePunct w:val="0"/>
        <w:autoSpaceDE w:val="0"/>
        <w:autoSpaceDN w:val="0"/>
        <w:bidi w:val="0"/>
        <w:snapToGrid/>
        <w:spacing w:line="440" w:lineRule="exact"/>
        <w:ind w:right="-34" w:firstLine="424" w:firstLineChars="20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hAnsi="宋体" w:cs="宋体"/>
          <w:color w:val="auto"/>
          <w:sz w:val="21"/>
          <w:szCs w:val="21"/>
          <w:highlight w:val="none"/>
          <w:lang w:eastAsia="zh-CN"/>
        </w:rPr>
        <w:t>中天项目咨询（东莞）有限公司</w:t>
      </w:r>
    </w:p>
    <w:p w14:paraId="619E99C3">
      <w:pPr>
        <w:keepNext w:val="0"/>
        <w:keepLines w:val="0"/>
        <w:pageBreakBefore w:val="0"/>
        <w:shd w:val="clear"/>
        <w:kinsoku/>
        <w:overflowPunct/>
        <w:topLinePunct w:val="0"/>
        <w:autoSpaceDE w:val="0"/>
        <w:autoSpaceDN w:val="0"/>
        <w:bidi w:val="0"/>
        <w:snapToGrid/>
        <w:spacing w:line="440" w:lineRule="exact"/>
        <w:ind w:right="-34" w:firstLine="424" w:firstLineChars="202"/>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广东省东莞市南城街道鸿福路102号汇成大厦1栋406室</w:t>
      </w:r>
    </w:p>
    <w:p w14:paraId="2319231D">
      <w:pPr>
        <w:keepNext w:val="0"/>
        <w:keepLines w:val="0"/>
        <w:pageBreakBefore w:val="0"/>
        <w:shd w:val="clear"/>
        <w:kinsoku/>
        <w:overflowPunct/>
        <w:topLinePunct w:val="0"/>
        <w:autoSpaceDE w:val="0"/>
        <w:autoSpaceDN w:val="0"/>
        <w:bidi w:val="0"/>
        <w:snapToGrid/>
        <w:spacing w:line="440" w:lineRule="exact"/>
        <w:ind w:right="-34" w:firstLine="424" w:firstLineChars="202"/>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val="en-US" w:eastAsia="zh-CN"/>
        </w:rPr>
        <w:t>袁小姐</w:t>
      </w:r>
    </w:p>
    <w:p w14:paraId="522D4092">
      <w:pPr>
        <w:keepNext w:val="0"/>
        <w:keepLines w:val="0"/>
        <w:pageBreakBefore w:val="0"/>
        <w:shd w:val="clear"/>
        <w:kinsoku/>
        <w:overflowPunct/>
        <w:topLinePunct w:val="0"/>
        <w:autoSpaceDE w:val="0"/>
        <w:autoSpaceDN w:val="0"/>
        <w:bidi w:val="0"/>
        <w:snapToGrid/>
        <w:spacing w:line="440" w:lineRule="exact"/>
        <w:ind w:right="-34" w:firstLine="424" w:firstLineChars="202"/>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eastAsia="zh-CN"/>
        </w:rPr>
        <w:t>0769-</w:t>
      </w:r>
      <w:r>
        <w:rPr>
          <w:rFonts w:hint="eastAsia" w:hAnsi="宋体" w:cs="宋体"/>
          <w:color w:val="auto"/>
          <w:sz w:val="21"/>
          <w:szCs w:val="21"/>
          <w:highlight w:val="none"/>
          <w:lang w:val="en-US" w:eastAsia="zh-CN"/>
        </w:rPr>
        <w:t>22086988</w:t>
      </w:r>
    </w:p>
    <w:p w14:paraId="5B94B8F8">
      <w:pPr>
        <w:keepNext w:val="0"/>
        <w:keepLines w:val="0"/>
        <w:pageBreakBefore w:val="0"/>
        <w:shd w:val="clear"/>
        <w:kinsoku/>
        <w:overflowPunct/>
        <w:topLinePunct w:val="0"/>
        <w:autoSpaceDE w:val="0"/>
        <w:autoSpaceDN w:val="0"/>
        <w:bidi w:val="0"/>
        <w:snapToGrid/>
        <w:spacing w:line="440" w:lineRule="exact"/>
        <w:ind w:right="-34" w:firstLine="424" w:firstLineChars="202"/>
        <w:jc w:val="both"/>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邮    箱：</w:t>
      </w:r>
      <w:r>
        <w:rPr>
          <w:rFonts w:hint="eastAsia" w:ascii="宋体" w:hAnsi="宋体" w:eastAsia="宋体" w:cs="宋体"/>
          <w:color w:val="auto"/>
          <w:sz w:val="21"/>
          <w:szCs w:val="21"/>
          <w:highlight w:val="none"/>
          <w:lang w:eastAsia="zh-CN"/>
        </w:rPr>
        <w:t>ztxmzx@126.com</w:t>
      </w:r>
      <w:r>
        <w:rPr>
          <w:rFonts w:hint="eastAsia" w:ascii="宋体" w:hAnsi="宋体" w:eastAsia="宋体" w:cs="宋体"/>
          <w:b/>
          <w:color w:val="auto"/>
          <w:sz w:val="21"/>
          <w:szCs w:val="21"/>
          <w:highlight w:val="none"/>
        </w:rPr>
        <w:t xml:space="preserve">                                    </w:t>
      </w:r>
    </w:p>
    <w:p w14:paraId="64C1DC14">
      <w:pPr>
        <w:keepNext w:val="0"/>
        <w:keepLines w:val="0"/>
        <w:pageBreakBefore w:val="0"/>
        <w:shd w:val="clear"/>
        <w:kinsoku/>
        <w:overflowPunct/>
        <w:topLinePunct w:val="0"/>
        <w:autoSpaceDE w:val="0"/>
        <w:autoSpaceDN w:val="0"/>
        <w:bidi w:val="0"/>
        <w:snapToGrid/>
        <w:spacing w:line="440" w:lineRule="exact"/>
        <w:ind w:firstLine="422" w:firstLineChars="200"/>
        <w:jc w:val="right"/>
        <w:rPr>
          <w:rFonts w:hint="eastAsia" w:ascii="宋体" w:hAnsi="宋体" w:eastAsia="宋体" w:cs="宋体"/>
          <w:b/>
          <w:color w:val="auto"/>
          <w:sz w:val="21"/>
          <w:szCs w:val="21"/>
          <w:highlight w:val="none"/>
          <w:lang w:eastAsia="zh-CN"/>
        </w:rPr>
      </w:pPr>
      <w:r>
        <w:rPr>
          <w:rFonts w:hint="eastAsia" w:hAnsi="宋体" w:cs="宋体"/>
          <w:b/>
          <w:color w:val="auto"/>
          <w:sz w:val="21"/>
          <w:szCs w:val="21"/>
          <w:highlight w:val="none"/>
          <w:lang w:val="en-US" w:eastAsia="zh-CN"/>
        </w:rPr>
        <w:t>东莞市立沙岛投资有限公司</w:t>
      </w:r>
    </w:p>
    <w:p w14:paraId="6B2D76F1">
      <w:pPr>
        <w:keepNext w:val="0"/>
        <w:keepLines w:val="0"/>
        <w:pageBreakBefore w:val="0"/>
        <w:shd w:val="clear"/>
        <w:kinsoku/>
        <w:overflowPunct/>
        <w:topLinePunct w:val="0"/>
        <w:autoSpaceDE w:val="0"/>
        <w:autoSpaceDN w:val="0"/>
        <w:bidi w:val="0"/>
        <w:snapToGrid/>
        <w:spacing w:line="440" w:lineRule="exact"/>
        <w:ind w:firstLine="422" w:firstLineChars="200"/>
        <w:jc w:val="right"/>
        <w:rPr>
          <w:rFonts w:hint="eastAsia" w:ascii="宋体" w:hAnsi="宋体" w:eastAsia="宋体" w:cs="宋体"/>
          <w:b/>
          <w:color w:val="auto"/>
          <w:sz w:val="21"/>
          <w:szCs w:val="21"/>
          <w:highlight w:val="none"/>
          <w:lang w:eastAsia="zh-CN"/>
        </w:rPr>
      </w:pPr>
      <w:r>
        <w:rPr>
          <w:rFonts w:hint="eastAsia" w:hAnsi="宋体" w:cs="宋体"/>
          <w:b/>
          <w:color w:val="auto"/>
          <w:sz w:val="21"/>
          <w:szCs w:val="21"/>
          <w:highlight w:val="none"/>
          <w:lang w:eastAsia="zh-CN"/>
        </w:rPr>
        <w:t>中天项目咨询（东莞）有限公司</w:t>
      </w:r>
    </w:p>
    <w:p w14:paraId="7B9BE314">
      <w:pPr>
        <w:keepNext w:val="0"/>
        <w:keepLines w:val="0"/>
        <w:pageBreakBefore w:val="0"/>
        <w:shd w:val="clear"/>
        <w:kinsoku/>
        <w:wordWrap w:val="0"/>
        <w:overflowPunct/>
        <w:topLinePunct w:val="0"/>
        <w:autoSpaceDE w:val="0"/>
        <w:autoSpaceDN w:val="0"/>
        <w:bidi w:val="0"/>
        <w:snapToGrid/>
        <w:spacing w:line="440" w:lineRule="exact"/>
        <w:ind w:right="-34" w:firstLine="426" w:firstLineChars="202"/>
        <w:jc w:val="right"/>
        <w:rPr>
          <w:rFonts w:hint="eastAsia" w:ascii="宋体" w:hAnsi="宋体" w:eastAsia="宋体" w:cs="宋体"/>
          <w:b/>
          <w:color w:val="auto"/>
          <w:sz w:val="21"/>
          <w:szCs w:val="21"/>
          <w:highlight w:val="none"/>
          <w:lang w:eastAsia="zh-CN"/>
        </w:rPr>
      </w:pPr>
    </w:p>
    <w:p w14:paraId="3154009E">
      <w:pPr>
        <w:keepNext w:val="0"/>
        <w:keepLines w:val="0"/>
        <w:pageBreakBefore w:val="0"/>
        <w:shd w:val="clear"/>
        <w:kinsoku/>
        <w:wordWrap w:val="0"/>
        <w:overflowPunct/>
        <w:topLinePunct w:val="0"/>
        <w:autoSpaceDE w:val="0"/>
        <w:autoSpaceDN w:val="0"/>
        <w:bidi w:val="0"/>
        <w:snapToGrid/>
        <w:spacing w:line="440" w:lineRule="exact"/>
        <w:ind w:right="-34" w:firstLine="426" w:firstLineChars="202"/>
        <w:jc w:val="righ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202</w:t>
      </w:r>
      <w:r>
        <w:rPr>
          <w:rFonts w:hint="eastAsia"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年</w:t>
      </w:r>
      <w:r>
        <w:rPr>
          <w:rFonts w:hint="eastAsia"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月</w:t>
      </w:r>
      <w:r>
        <w:rPr>
          <w:rFonts w:hint="eastAsia" w:hAnsi="宋体" w:cs="宋体"/>
          <w:b/>
          <w:color w:val="auto"/>
          <w:sz w:val="21"/>
          <w:szCs w:val="21"/>
          <w:highlight w:val="none"/>
          <w:lang w:val="en-US" w:eastAsia="zh-CN"/>
        </w:rPr>
        <w:t>29</w:t>
      </w:r>
      <w:r>
        <w:rPr>
          <w:rFonts w:hint="eastAsia" w:ascii="宋体" w:hAnsi="宋体" w:eastAsia="宋体" w:cs="宋体"/>
          <w:b/>
          <w:color w:val="auto"/>
          <w:sz w:val="21"/>
          <w:szCs w:val="21"/>
          <w:highlight w:val="none"/>
        </w:rPr>
        <w:t>日</w:t>
      </w:r>
    </w:p>
    <w:p w14:paraId="2224CE1B">
      <w:pPr>
        <w:pStyle w:val="3"/>
        <w:keepNext/>
        <w:keepLines/>
        <w:pageBreakBefore/>
        <w:numPr>
          <w:ilvl w:val="0"/>
          <w:numId w:val="10"/>
        </w:numPr>
        <w:shd w:val="clear"/>
        <w:tabs>
          <w:tab w:val="left" w:pos="1080"/>
        </w:tabs>
        <w:spacing w:line="360" w:lineRule="auto"/>
        <w:ind w:left="1262" w:hanging="1262" w:hangingChars="449"/>
        <w:jc w:val="center"/>
        <w:rPr>
          <w:rFonts w:hint="eastAsia" w:ascii="宋体" w:hAnsi="宋体" w:eastAsia="宋体" w:cs="宋体"/>
          <w:b/>
          <w:bCs/>
          <w:color w:val="auto"/>
          <w:kern w:val="44"/>
          <w:sz w:val="28"/>
          <w:szCs w:val="28"/>
          <w:highlight w:val="none"/>
          <w:lang w:val="zh-CN"/>
        </w:rPr>
      </w:pPr>
      <w:bookmarkStart w:id="9" w:name="_Toc17779"/>
      <w:bookmarkStart w:id="10" w:name="_Toc16634"/>
      <w:r>
        <w:rPr>
          <w:rFonts w:hint="eastAsia" w:ascii="宋体" w:hAnsi="宋体" w:eastAsia="宋体" w:cs="宋体"/>
          <w:b/>
          <w:bCs/>
          <w:color w:val="auto"/>
          <w:kern w:val="44"/>
          <w:sz w:val="28"/>
          <w:szCs w:val="28"/>
          <w:highlight w:val="none"/>
          <w:lang w:val="zh-CN"/>
        </w:rPr>
        <w:t>供应商须知</w:t>
      </w:r>
      <w:bookmarkEnd w:id="7"/>
      <w:bookmarkEnd w:id="9"/>
      <w:bookmarkEnd w:id="10"/>
    </w:p>
    <w:p w14:paraId="4A19D223">
      <w:pPr>
        <w:pStyle w:val="4"/>
        <w:shd w:val="clear"/>
        <w:adjustRightInd/>
        <w:spacing w:line="360" w:lineRule="auto"/>
        <w:ind w:firstLine="562" w:firstLineChars="200"/>
        <w:jc w:val="center"/>
        <w:rPr>
          <w:rFonts w:hint="eastAsia" w:ascii="宋体" w:hAnsi="宋体" w:eastAsia="宋体" w:cs="宋体"/>
          <w:color w:val="auto"/>
          <w:sz w:val="28"/>
          <w:szCs w:val="28"/>
          <w:highlight w:val="none"/>
        </w:rPr>
      </w:pPr>
      <w:bookmarkStart w:id="11" w:name="_Toc7897861"/>
      <w:bookmarkStart w:id="12" w:name="_Toc507407359"/>
      <w:bookmarkStart w:id="13" w:name="_Toc6968687"/>
      <w:bookmarkStart w:id="14" w:name="_Toc102277756"/>
      <w:bookmarkStart w:id="15" w:name="_Toc5203"/>
      <w:bookmarkStart w:id="16" w:name="_Toc12804"/>
      <w:bookmarkStart w:id="17" w:name="_Toc466786434"/>
      <w:bookmarkStart w:id="18" w:name="_Toc6882675"/>
      <w:r>
        <w:rPr>
          <w:rFonts w:hint="eastAsia" w:ascii="宋体" w:hAnsi="宋体" w:eastAsia="宋体" w:cs="宋体"/>
          <w:color w:val="auto"/>
          <w:sz w:val="28"/>
          <w:szCs w:val="28"/>
          <w:highlight w:val="none"/>
        </w:rPr>
        <w:t>一、说  明</w:t>
      </w:r>
      <w:bookmarkEnd w:id="11"/>
      <w:bookmarkEnd w:id="12"/>
      <w:bookmarkEnd w:id="13"/>
      <w:bookmarkEnd w:id="14"/>
      <w:bookmarkEnd w:id="15"/>
      <w:bookmarkEnd w:id="16"/>
      <w:bookmarkEnd w:id="17"/>
      <w:bookmarkEnd w:id="18"/>
    </w:p>
    <w:p w14:paraId="2F1FD360">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19" w:name="_Toc24987"/>
      <w:bookmarkStart w:id="20" w:name="_Toc7897862"/>
      <w:bookmarkStart w:id="21" w:name="_Toc3730"/>
      <w:bookmarkStart w:id="22" w:name="_Toc475249114"/>
      <w:r>
        <w:rPr>
          <w:rFonts w:hint="eastAsia" w:ascii="宋体" w:hAnsi="宋体" w:eastAsia="宋体" w:cs="宋体"/>
          <w:color w:val="auto"/>
          <w:sz w:val="21"/>
          <w:szCs w:val="21"/>
          <w:highlight w:val="none"/>
        </w:rPr>
        <w:t>1.适用范围</w:t>
      </w:r>
      <w:bookmarkEnd w:id="19"/>
      <w:bookmarkEnd w:id="20"/>
      <w:bookmarkEnd w:id="21"/>
      <w:bookmarkEnd w:id="22"/>
    </w:p>
    <w:p w14:paraId="18524424">
      <w:pPr>
        <w:shd w:val="clear"/>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1.1本磋商文件仅适用于本次采购邀请中所叙述的项目。</w:t>
      </w:r>
    </w:p>
    <w:p w14:paraId="591B9B59">
      <w:pPr>
        <w:shd w:val="clear"/>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1.2本磋商文件的解释权在采购代理机构。</w:t>
      </w:r>
    </w:p>
    <w:p w14:paraId="190ED55C">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23" w:name="_Toc9738"/>
      <w:bookmarkStart w:id="24" w:name="_Toc475249115"/>
      <w:bookmarkStart w:id="25" w:name="_Toc598"/>
      <w:bookmarkStart w:id="26" w:name="_Toc7897863"/>
      <w:r>
        <w:rPr>
          <w:rFonts w:hint="eastAsia" w:ascii="宋体" w:hAnsi="宋体" w:eastAsia="宋体" w:cs="宋体"/>
          <w:color w:val="auto"/>
          <w:sz w:val="21"/>
          <w:szCs w:val="21"/>
          <w:highlight w:val="none"/>
        </w:rPr>
        <w:t>2.定义</w:t>
      </w:r>
      <w:bookmarkEnd w:id="23"/>
      <w:bookmarkEnd w:id="24"/>
      <w:bookmarkEnd w:id="25"/>
      <w:bookmarkEnd w:id="26"/>
    </w:p>
    <w:p w14:paraId="214F48F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2.1“采购人”是指</w:t>
      </w:r>
      <w:r>
        <w:rPr>
          <w:rFonts w:hint="eastAsia" w:hAnsi="宋体" w:cs="宋体"/>
          <w:color w:val="auto"/>
          <w:sz w:val="21"/>
          <w:szCs w:val="21"/>
          <w:highlight w:val="none"/>
          <w:lang w:eastAsia="zh-CN"/>
        </w:rPr>
        <w:t>东莞市立沙岛投资有限公司</w:t>
      </w:r>
      <w:r>
        <w:rPr>
          <w:rFonts w:hint="eastAsia" w:ascii="宋体" w:hAnsi="宋体" w:eastAsia="宋体" w:cs="宋体"/>
          <w:color w:val="auto"/>
          <w:sz w:val="21"/>
          <w:szCs w:val="21"/>
          <w:highlight w:val="none"/>
        </w:rPr>
        <w:t>。</w:t>
      </w:r>
    </w:p>
    <w:p w14:paraId="1D289111">
      <w:pPr>
        <w:shd w:val="clea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2.2“采购代理机构”是指</w:t>
      </w:r>
      <w:r>
        <w:rPr>
          <w:rFonts w:hint="eastAsia" w:hAnsi="宋体" w:cs="宋体"/>
          <w:color w:val="auto"/>
          <w:sz w:val="21"/>
          <w:szCs w:val="21"/>
          <w:highlight w:val="none"/>
          <w:lang w:eastAsia="zh-CN"/>
        </w:rPr>
        <w:t>中天项目咨询（东莞）有限公司</w:t>
      </w:r>
      <w:r>
        <w:rPr>
          <w:rFonts w:hint="eastAsia" w:ascii="宋体" w:hAnsi="宋体" w:eastAsia="宋体" w:cs="宋体"/>
          <w:color w:val="auto"/>
          <w:sz w:val="21"/>
          <w:szCs w:val="21"/>
          <w:highlight w:val="none"/>
        </w:rPr>
        <w:t>。</w:t>
      </w:r>
    </w:p>
    <w:p w14:paraId="59B654B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2.3“供应商”指向采购代理机构提交响应文件的法人。</w:t>
      </w:r>
    </w:p>
    <w:p w14:paraId="4BEC0D0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货物：卖方按磋商文件规定向买方提供的货物。</w:t>
      </w:r>
    </w:p>
    <w:p w14:paraId="7023749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服务：磋商文件规定卖方必须承担的咨询、技术协助、培训及其它相关义务。</w:t>
      </w:r>
    </w:p>
    <w:p w14:paraId="77E06E5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 语言：磋商文件的语言为简体中文。</w:t>
      </w:r>
    </w:p>
    <w:p w14:paraId="44B818F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日期：指公历日。</w:t>
      </w:r>
    </w:p>
    <w:p w14:paraId="7C8AE36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 时间：指北京时间。</w:t>
      </w:r>
    </w:p>
    <w:p w14:paraId="4A51FC87">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27" w:name="_Toc7897864"/>
      <w:bookmarkStart w:id="28" w:name="_Toc110953831"/>
      <w:bookmarkStart w:id="29" w:name="_Toc24709"/>
      <w:bookmarkStart w:id="30" w:name="_Toc367"/>
      <w:bookmarkStart w:id="31" w:name="_Toc102277757"/>
      <w:bookmarkStart w:id="32" w:name="_Toc466786435"/>
      <w:bookmarkStart w:id="33" w:name="_Toc507407360"/>
      <w:bookmarkStart w:id="34" w:name="_Toc6882676"/>
      <w:bookmarkStart w:id="35" w:name="_Toc6968688"/>
      <w:r>
        <w:rPr>
          <w:rFonts w:hint="eastAsia" w:ascii="宋体" w:hAnsi="宋体" w:eastAsia="宋体" w:cs="宋体"/>
          <w:color w:val="auto"/>
          <w:sz w:val="21"/>
          <w:szCs w:val="21"/>
          <w:highlight w:val="none"/>
        </w:rPr>
        <w:t>3.适用法律</w:t>
      </w:r>
      <w:bookmarkEnd w:id="27"/>
      <w:bookmarkEnd w:id="28"/>
      <w:bookmarkEnd w:id="29"/>
      <w:bookmarkEnd w:id="30"/>
    </w:p>
    <w:p w14:paraId="30E7624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采购人、供应商和采购代理机构均应当参照</w:t>
      </w:r>
      <w:r>
        <w:rPr>
          <w:rFonts w:hint="eastAsia" w:hAnsi="宋体" w:cs="宋体"/>
          <w:color w:val="auto"/>
          <w:sz w:val="21"/>
          <w:szCs w:val="21"/>
          <w:highlight w:val="none"/>
          <w:lang w:eastAsia="zh-CN"/>
        </w:rPr>
        <w:t>东莞市立沙岛投资有限公司</w:t>
      </w:r>
      <w:r>
        <w:rPr>
          <w:rFonts w:hint="eastAsia" w:ascii="宋体" w:hAnsi="宋体" w:eastAsia="宋体" w:cs="宋体"/>
          <w:color w:val="auto"/>
          <w:sz w:val="21"/>
          <w:szCs w:val="21"/>
          <w:highlight w:val="none"/>
        </w:rPr>
        <w:t>相关招标采购规定执行。</w:t>
      </w:r>
    </w:p>
    <w:p w14:paraId="0233840F">
      <w:pPr>
        <w:pStyle w:val="5"/>
        <w:shd w:val="clear"/>
        <w:adjustRightInd/>
        <w:spacing w:line="360" w:lineRule="auto"/>
        <w:ind w:firstLine="420" w:firstLineChars="200"/>
        <w:rPr>
          <w:rFonts w:hint="eastAsia" w:ascii="宋体" w:hAnsi="宋体" w:eastAsia="宋体" w:cs="宋体"/>
          <w:color w:val="auto"/>
          <w:sz w:val="21"/>
          <w:szCs w:val="21"/>
          <w:highlight w:val="none"/>
          <w:lang w:val="zh-CN"/>
        </w:rPr>
      </w:pPr>
      <w:bookmarkStart w:id="36" w:name="_Toc20707"/>
      <w:bookmarkStart w:id="37" w:name="_Toc10397"/>
      <w:bookmarkStart w:id="38" w:name="_Toc110953833"/>
      <w:bookmarkStart w:id="39" w:name="_Toc7897866"/>
      <w:r>
        <w:rPr>
          <w:rFonts w:hint="eastAsia" w:ascii="宋体" w:hAnsi="宋体" w:eastAsia="宋体" w:cs="宋体"/>
          <w:color w:val="auto"/>
          <w:sz w:val="21"/>
          <w:szCs w:val="21"/>
          <w:highlight w:val="none"/>
          <w:lang w:val="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本项目不接受联合体磋商。</w:t>
      </w:r>
      <w:bookmarkEnd w:id="36"/>
    </w:p>
    <w:p w14:paraId="11C6AA39">
      <w:pPr>
        <w:pStyle w:val="5"/>
        <w:shd w:val="clear"/>
        <w:adjustRightInd/>
        <w:spacing w:line="360" w:lineRule="auto"/>
        <w:ind w:firstLine="420" w:firstLineChars="200"/>
        <w:rPr>
          <w:rFonts w:hint="eastAsia" w:ascii="宋体" w:hAnsi="宋体" w:eastAsia="宋体" w:cs="宋体"/>
          <w:bCs/>
          <w:color w:val="auto"/>
          <w:sz w:val="21"/>
          <w:szCs w:val="21"/>
          <w:highlight w:val="none"/>
        </w:rPr>
      </w:pPr>
      <w:bookmarkStart w:id="40" w:name="_Toc10368"/>
      <w:r>
        <w:rPr>
          <w:rFonts w:hint="eastAsia" w:ascii="宋体" w:hAnsi="宋体" w:eastAsia="宋体" w:cs="宋体"/>
          <w:color w:val="auto"/>
          <w:sz w:val="21"/>
          <w:szCs w:val="21"/>
          <w:highlight w:val="none"/>
        </w:rPr>
        <w:t>5.禁止事项</w:t>
      </w:r>
      <w:bookmarkEnd w:id="37"/>
      <w:bookmarkEnd w:id="38"/>
      <w:bookmarkEnd w:id="39"/>
      <w:bookmarkEnd w:id="40"/>
    </w:p>
    <w:p w14:paraId="2370E164">
      <w:pPr>
        <w:shd w:val="clear"/>
        <w:spacing w:line="360" w:lineRule="auto"/>
        <w:ind w:firstLine="420" w:firstLineChars="200"/>
        <w:rPr>
          <w:rFonts w:hint="eastAsia" w:ascii="宋体" w:hAnsi="宋体" w:eastAsia="宋体" w:cs="宋体"/>
          <w:color w:val="auto"/>
          <w:sz w:val="21"/>
          <w:szCs w:val="21"/>
          <w:highlight w:val="none"/>
        </w:rPr>
      </w:pPr>
      <w:bookmarkStart w:id="41" w:name="_Toc98126293"/>
      <w:bookmarkStart w:id="42" w:name="_Toc98126218"/>
      <w:r>
        <w:rPr>
          <w:rFonts w:hint="eastAsia" w:ascii="宋体" w:hAnsi="宋体" w:eastAsia="宋体" w:cs="宋体"/>
          <w:color w:val="auto"/>
          <w:sz w:val="21"/>
          <w:szCs w:val="21"/>
          <w:highlight w:val="none"/>
        </w:rPr>
        <w:t>5.1采购人、供应商和采购代理机构不得相互串通损害国家利益、社会公共利益和其他当事人的合法权益。</w:t>
      </w:r>
    </w:p>
    <w:p w14:paraId="48793BA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5.2供应商不得向采购人、采购代理机构、磋商小组的组成人员行贿或者采取其他不正当手段谋取成交。</w:t>
      </w:r>
      <w:bookmarkEnd w:id="41"/>
      <w:bookmarkEnd w:id="42"/>
    </w:p>
    <w:p w14:paraId="398BC4BB">
      <w:pPr>
        <w:shd w:val="clear"/>
        <w:spacing w:line="360" w:lineRule="auto"/>
        <w:ind w:firstLine="420" w:firstLineChars="200"/>
        <w:rPr>
          <w:rFonts w:hint="eastAsia" w:ascii="宋体" w:hAnsi="宋体" w:eastAsia="宋体" w:cs="宋体"/>
          <w:color w:val="auto"/>
          <w:sz w:val="21"/>
          <w:szCs w:val="21"/>
          <w:highlight w:val="none"/>
        </w:rPr>
      </w:pPr>
      <w:bookmarkStart w:id="43" w:name="_Toc98126294"/>
      <w:bookmarkStart w:id="44" w:name="_Toc98126219"/>
      <w:r>
        <w:rPr>
          <w:rFonts w:hint="eastAsia" w:ascii="宋体" w:hAnsi="宋体" w:eastAsia="宋体" w:cs="宋体"/>
          <w:color w:val="auto"/>
          <w:sz w:val="21"/>
          <w:szCs w:val="21"/>
          <w:highlight w:val="none"/>
        </w:rPr>
        <w:t>5.3采购代理机构不得向采购人行贿或者采取其他不正当手段谋取非法利益。</w:t>
      </w:r>
      <w:bookmarkEnd w:id="43"/>
      <w:bookmarkEnd w:id="44"/>
    </w:p>
    <w:p w14:paraId="3B236511">
      <w:pPr>
        <w:shd w:val="clear"/>
        <w:spacing w:line="360" w:lineRule="auto"/>
        <w:ind w:firstLine="420" w:firstLineChars="200"/>
        <w:rPr>
          <w:rFonts w:hint="eastAsia" w:ascii="宋体" w:hAnsi="宋体" w:eastAsia="宋体" w:cs="宋体"/>
          <w:color w:val="auto"/>
          <w:sz w:val="21"/>
          <w:szCs w:val="21"/>
          <w:highlight w:val="none"/>
        </w:rPr>
      </w:pPr>
      <w:bookmarkStart w:id="45" w:name="_Toc98126295"/>
      <w:bookmarkStart w:id="46" w:name="_Toc98126220"/>
      <w:r>
        <w:rPr>
          <w:rFonts w:hint="eastAsia" w:ascii="宋体" w:hAnsi="宋体" w:eastAsia="宋体" w:cs="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5"/>
      <w:bookmarkEnd w:id="46"/>
    </w:p>
    <w:p w14:paraId="115EA147">
      <w:pPr>
        <w:pStyle w:val="5"/>
        <w:shd w:val="clear"/>
        <w:adjustRightInd/>
        <w:spacing w:line="360" w:lineRule="auto"/>
        <w:ind w:firstLine="420" w:firstLineChars="200"/>
        <w:rPr>
          <w:rFonts w:hint="eastAsia" w:ascii="宋体" w:hAnsi="宋体" w:eastAsia="宋体" w:cs="宋体"/>
          <w:bCs/>
          <w:color w:val="auto"/>
          <w:sz w:val="21"/>
          <w:szCs w:val="21"/>
          <w:highlight w:val="none"/>
        </w:rPr>
      </w:pPr>
      <w:bookmarkStart w:id="47" w:name="_Toc7897867"/>
      <w:bookmarkStart w:id="48" w:name="_Toc2863"/>
      <w:bookmarkStart w:id="49" w:name="_Toc110953834"/>
      <w:bookmarkStart w:id="50" w:name="_Toc25870"/>
      <w:r>
        <w:rPr>
          <w:rFonts w:hint="eastAsia" w:ascii="宋体" w:hAnsi="宋体" w:eastAsia="宋体" w:cs="宋体"/>
          <w:color w:val="auto"/>
          <w:sz w:val="21"/>
          <w:szCs w:val="21"/>
          <w:highlight w:val="none"/>
        </w:rPr>
        <w:t>6.保密及其它注意事项</w:t>
      </w:r>
      <w:bookmarkEnd w:id="47"/>
      <w:bookmarkEnd w:id="48"/>
      <w:bookmarkEnd w:id="49"/>
      <w:bookmarkEnd w:id="50"/>
    </w:p>
    <w:p w14:paraId="5D830EA6">
      <w:pPr>
        <w:shd w:val="clear"/>
        <w:spacing w:line="360" w:lineRule="auto"/>
        <w:ind w:firstLine="420" w:firstLineChars="200"/>
        <w:rPr>
          <w:rFonts w:hint="eastAsia" w:ascii="宋体" w:hAnsi="宋体" w:eastAsia="宋体" w:cs="宋体"/>
          <w:color w:val="auto"/>
          <w:sz w:val="21"/>
          <w:szCs w:val="21"/>
          <w:highlight w:val="none"/>
        </w:rPr>
      </w:pPr>
      <w:bookmarkStart w:id="51" w:name="_Toc98126222"/>
      <w:bookmarkStart w:id="52" w:name="_Toc98126297"/>
      <w:r>
        <w:rPr>
          <w:rFonts w:hint="eastAsia" w:ascii="宋体" w:hAnsi="宋体" w:eastAsia="宋体" w:cs="宋体"/>
          <w:color w:val="auto"/>
          <w:sz w:val="21"/>
          <w:szCs w:val="21"/>
          <w:highlight w:val="none"/>
        </w:rPr>
        <w:t>6.1凡参与采购工作的有关人员均应自觉接受有关主管部门的监督，不得向他人透露可能影响公平竞争的有关情况。</w:t>
      </w:r>
      <w:bookmarkEnd w:id="51"/>
      <w:bookmarkEnd w:id="52"/>
    </w:p>
    <w:p w14:paraId="2F5EC141">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6.2开启响应文件后，直至向</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发出《成交通知书》止，凡与审查、澄清、评估和比较有关资料以及评审意见等，均不得向供应商及与评审无关的其他人透露。在采购工作结束后，与评审情况有接触的任何人，不得将评审情况扩散出磋商小组人员之外。</w:t>
      </w:r>
    </w:p>
    <w:p w14:paraId="63A9BF29">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6.3在评审期间，供应商不得向磋商小组成员询问评审情况，不得进行旨在影响评审结果的活动。</w:t>
      </w:r>
    </w:p>
    <w:p w14:paraId="642E1C48">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6.4磋商小组不向未</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解释落选原因，不退还响应文件。</w:t>
      </w:r>
    </w:p>
    <w:p w14:paraId="7C2D522D">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6.5所有供应商自行承担与响应有关的全部费用。采购人和采购代理机构在任何情况下均不承担该费用。</w:t>
      </w:r>
    </w:p>
    <w:p w14:paraId="4EFE87AB">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53" w:name="_Toc497016085"/>
      <w:bookmarkStart w:id="54" w:name="_Toc13371"/>
      <w:bookmarkStart w:id="55" w:name="_Toc7897868"/>
      <w:bookmarkStart w:id="56" w:name="_Toc27298"/>
      <w:r>
        <w:rPr>
          <w:rFonts w:hint="eastAsia" w:ascii="宋体" w:hAnsi="宋体" w:eastAsia="宋体" w:cs="宋体"/>
          <w:color w:val="auto"/>
          <w:sz w:val="21"/>
          <w:szCs w:val="21"/>
          <w:highlight w:val="none"/>
        </w:rPr>
        <w:t>7.供应商诚信管理</w:t>
      </w:r>
      <w:bookmarkEnd w:id="53"/>
      <w:bookmarkEnd w:id="54"/>
      <w:bookmarkEnd w:id="55"/>
      <w:bookmarkEnd w:id="56"/>
    </w:p>
    <w:p w14:paraId="1C5998A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0F71E4AC">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7.2如果采购人或采购代理机构有证据表明供应商在本磋商项目的竞争中存在腐败、欺诈或其他严重违背诚信原则的行为，则将拒绝其响应。</w:t>
      </w:r>
    </w:p>
    <w:p w14:paraId="090B6E91">
      <w:pPr>
        <w:shd w:val="clear"/>
        <w:spacing w:line="360" w:lineRule="auto"/>
        <w:rPr>
          <w:rFonts w:hint="eastAsia" w:ascii="宋体" w:hAnsi="宋体" w:eastAsia="宋体" w:cs="宋体"/>
          <w:color w:val="auto"/>
          <w:sz w:val="21"/>
          <w:szCs w:val="21"/>
          <w:highlight w:val="none"/>
        </w:rPr>
      </w:pPr>
    </w:p>
    <w:p w14:paraId="766FD1D9">
      <w:pPr>
        <w:pStyle w:val="4"/>
        <w:shd w:val="clear"/>
        <w:adjustRightInd/>
        <w:spacing w:line="360" w:lineRule="auto"/>
        <w:ind w:firstLine="562" w:firstLineChars="200"/>
        <w:jc w:val="center"/>
        <w:rPr>
          <w:rFonts w:hint="eastAsia" w:ascii="宋体" w:hAnsi="宋体" w:eastAsia="宋体" w:cs="宋体"/>
          <w:color w:val="auto"/>
          <w:sz w:val="28"/>
          <w:szCs w:val="28"/>
          <w:highlight w:val="none"/>
        </w:rPr>
      </w:pPr>
      <w:bookmarkStart w:id="57" w:name="_Toc7897869"/>
      <w:bookmarkStart w:id="58" w:name="_Toc23741"/>
      <w:bookmarkStart w:id="59" w:name="_Toc17498"/>
      <w:r>
        <w:rPr>
          <w:rFonts w:hint="eastAsia" w:ascii="宋体" w:hAnsi="宋体" w:eastAsia="宋体" w:cs="宋体"/>
          <w:color w:val="auto"/>
          <w:sz w:val="28"/>
          <w:szCs w:val="28"/>
          <w:highlight w:val="none"/>
        </w:rPr>
        <w:t>二、磋商文件说明</w:t>
      </w:r>
      <w:bookmarkEnd w:id="31"/>
      <w:bookmarkEnd w:id="32"/>
      <w:bookmarkEnd w:id="33"/>
      <w:bookmarkEnd w:id="34"/>
      <w:bookmarkEnd w:id="35"/>
      <w:bookmarkEnd w:id="57"/>
      <w:bookmarkEnd w:id="58"/>
      <w:bookmarkEnd w:id="59"/>
    </w:p>
    <w:p w14:paraId="3D496942">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60" w:name="_Toc110953836"/>
      <w:bookmarkStart w:id="61" w:name="_Toc23606"/>
      <w:bookmarkStart w:id="62" w:name="_Toc29560"/>
      <w:bookmarkStart w:id="63" w:name="_Toc7897870"/>
      <w:bookmarkStart w:id="64" w:name="_Toc102277758"/>
      <w:bookmarkStart w:id="65" w:name="_Toc507407361"/>
      <w:bookmarkStart w:id="66" w:name="_Toc466786436"/>
      <w:bookmarkStart w:id="67" w:name="_Toc6882677"/>
      <w:bookmarkStart w:id="68" w:name="_Toc6968689"/>
      <w:r>
        <w:rPr>
          <w:rFonts w:hint="eastAsia" w:ascii="宋体" w:hAnsi="宋体" w:eastAsia="宋体" w:cs="宋体"/>
          <w:color w:val="auto"/>
          <w:sz w:val="21"/>
          <w:szCs w:val="21"/>
          <w:highlight w:val="none"/>
        </w:rPr>
        <w:t>8.磋商文件构成</w:t>
      </w:r>
      <w:bookmarkEnd w:id="60"/>
      <w:bookmarkEnd w:id="61"/>
      <w:bookmarkEnd w:id="62"/>
      <w:bookmarkEnd w:id="63"/>
    </w:p>
    <w:p w14:paraId="10AD326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8.1磋商文件用以阐明项目情况、评审程序、评审办法、定标标准和合同条款参考范本和响应文件的制作等，由磋商邀请书、供应商须知、用户需求书、合同范本和响应文件格式构成。</w:t>
      </w:r>
    </w:p>
    <w:p w14:paraId="6C936950">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69" w:name="_Toc110953837"/>
      <w:bookmarkStart w:id="70" w:name="_Toc19701"/>
      <w:bookmarkStart w:id="71" w:name="_Toc7897871"/>
      <w:bookmarkStart w:id="72" w:name="_Toc16827"/>
      <w:r>
        <w:rPr>
          <w:rFonts w:hint="eastAsia" w:ascii="宋体" w:hAnsi="宋体" w:eastAsia="宋体" w:cs="宋体"/>
          <w:color w:val="auto"/>
          <w:sz w:val="21"/>
          <w:szCs w:val="21"/>
          <w:highlight w:val="none"/>
        </w:rPr>
        <w:t>9.磋商文件的修改</w:t>
      </w:r>
      <w:bookmarkEnd w:id="69"/>
      <w:bookmarkEnd w:id="70"/>
      <w:bookmarkEnd w:id="71"/>
      <w:bookmarkEnd w:id="72"/>
    </w:p>
    <w:p w14:paraId="0808733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14:paraId="74AC4961">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9.2如果修改的时间距响应文件递交截止时间不足5日的，将相应顺延递交首次响应文件截止时间。</w:t>
      </w:r>
    </w:p>
    <w:p w14:paraId="669DC697">
      <w:pPr>
        <w:pStyle w:val="13"/>
        <w:shd w:val="clear"/>
        <w:ind w:firstLine="400"/>
        <w:rPr>
          <w:rFonts w:hint="eastAsia" w:ascii="宋体" w:hAnsi="宋体" w:eastAsia="宋体" w:cs="宋体"/>
          <w:color w:val="auto"/>
          <w:highlight w:val="none"/>
        </w:rPr>
      </w:pPr>
    </w:p>
    <w:bookmarkEnd w:id="64"/>
    <w:bookmarkEnd w:id="65"/>
    <w:bookmarkEnd w:id="66"/>
    <w:bookmarkEnd w:id="67"/>
    <w:bookmarkEnd w:id="68"/>
    <w:p w14:paraId="259B494C">
      <w:pPr>
        <w:pStyle w:val="4"/>
        <w:shd w:val="clear"/>
        <w:adjustRightInd/>
        <w:spacing w:line="360" w:lineRule="auto"/>
        <w:ind w:firstLine="562" w:firstLineChars="200"/>
        <w:jc w:val="center"/>
        <w:rPr>
          <w:rFonts w:hint="eastAsia" w:ascii="宋体" w:hAnsi="宋体" w:eastAsia="宋体" w:cs="宋体"/>
          <w:color w:val="auto"/>
          <w:sz w:val="28"/>
          <w:szCs w:val="28"/>
          <w:highlight w:val="none"/>
        </w:rPr>
      </w:pPr>
      <w:bookmarkStart w:id="73" w:name="_Toc15398"/>
      <w:bookmarkStart w:id="74" w:name="_Toc110953838"/>
      <w:bookmarkStart w:id="75" w:name="_Toc7897872"/>
      <w:bookmarkStart w:id="76" w:name="_Toc18245"/>
      <w:bookmarkStart w:id="77" w:name="_Toc6968690"/>
      <w:bookmarkStart w:id="78" w:name="_Toc466786437"/>
      <w:bookmarkStart w:id="79" w:name="_Toc6882678"/>
      <w:bookmarkStart w:id="80" w:name="_Toc507407362"/>
      <w:bookmarkStart w:id="81" w:name="_Toc102277759"/>
      <w:r>
        <w:rPr>
          <w:rFonts w:hint="eastAsia" w:ascii="宋体" w:hAnsi="宋体" w:eastAsia="宋体" w:cs="宋体"/>
          <w:color w:val="auto"/>
          <w:sz w:val="28"/>
          <w:szCs w:val="28"/>
          <w:highlight w:val="none"/>
        </w:rPr>
        <w:t>三、响应文件的制作</w:t>
      </w:r>
      <w:bookmarkEnd w:id="73"/>
      <w:bookmarkEnd w:id="74"/>
      <w:bookmarkEnd w:id="75"/>
      <w:bookmarkEnd w:id="76"/>
    </w:p>
    <w:p w14:paraId="2FEB50AA">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82" w:name="_Toc23789"/>
      <w:bookmarkStart w:id="83" w:name="_Toc110953839"/>
      <w:bookmarkStart w:id="84" w:name="_Toc7897873"/>
      <w:bookmarkStart w:id="85" w:name="_Toc15756"/>
      <w:r>
        <w:rPr>
          <w:rFonts w:hint="eastAsia" w:ascii="宋体" w:hAnsi="宋体" w:eastAsia="宋体" w:cs="宋体"/>
          <w:color w:val="auto"/>
          <w:sz w:val="21"/>
          <w:szCs w:val="21"/>
          <w:highlight w:val="none"/>
        </w:rPr>
        <w:t>10.制作要求</w:t>
      </w:r>
      <w:bookmarkEnd w:id="82"/>
      <w:bookmarkEnd w:id="83"/>
      <w:bookmarkEnd w:id="84"/>
      <w:bookmarkEnd w:id="85"/>
    </w:p>
    <w:p w14:paraId="74F16C1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10.1供应商应当仔细阅读磋商文件的所有内容，按磋商文件的要求提供响应文件，并保证所提供的全部资料的真实性及对磋商文件作出实质性响应。</w:t>
      </w:r>
    </w:p>
    <w:p w14:paraId="1964F4CC">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14:paraId="5CCDD9F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b/>
          <w:color w:val="auto"/>
          <w:sz w:val="21"/>
          <w:szCs w:val="21"/>
          <w:highlight w:val="none"/>
        </w:rPr>
        <w:t>3供应商应提供正本一份、副本</w:t>
      </w: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份、唱标信封一份。</w:t>
      </w:r>
      <w:r>
        <w:rPr>
          <w:rFonts w:hint="eastAsia" w:ascii="宋体" w:hAnsi="宋体" w:eastAsia="宋体" w:cs="宋体"/>
          <w:color w:val="auto"/>
          <w:sz w:val="21"/>
          <w:szCs w:val="21"/>
          <w:highlight w:val="none"/>
        </w:rPr>
        <w:t>在每一份响应文件上要明确注明“正本</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副本”或“唱标信封”字样，一旦正本和副本有差异，以正本为准。</w:t>
      </w:r>
    </w:p>
    <w:p w14:paraId="021B89E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14:paraId="6FD4E11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14:paraId="12E29081">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10.6电报、电话、传真、电子邮件形式的响应概不接受。</w:t>
      </w:r>
    </w:p>
    <w:p w14:paraId="580DAD6D">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86" w:name="_Toc18079"/>
      <w:bookmarkStart w:id="87" w:name="_Toc20552"/>
      <w:bookmarkStart w:id="88" w:name="_Toc110953840"/>
      <w:bookmarkStart w:id="89" w:name="_Toc7897874"/>
      <w:r>
        <w:rPr>
          <w:rFonts w:hint="eastAsia" w:ascii="宋体" w:hAnsi="宋体" w:eastAsia="宋体" w:cs="宋体"/>
          <w:color w:val="auto"/>
          <w:sz w:val="21"/>
          <w:szCs w:val="21"/>
          <w:highlight w:val="none"/>
        </w:rPr>
        <w:t>11.响应文件的内容</w:t>
      </w:r>
      <w:bookmarkEnd w:id="86"/>
      <w:bookmarkEnd w:id="87"/>
      <w:bookmarkEnd w:id="88"/>
      <w:bookmarkEnd w:id="89"/>
    </w:p>
    <w:p w14:paraId="496F6541">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11.1响应文件应包括下列部分：</w:t>
      </w:r>
    </w:p>
    <w:p w14:paraId="7E997C9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11.1.1价格文件</w:t>
      </w:r>
    </w:p>
    <w:p w14:paraId="3525003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11.1.2商务文件</w:t>
      </w:r>
    </w:p>
    <w:p w14:paraId="47E0ADEC">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技术文件</w:t>
      </w:r>
    </w:p>
    <w:p w14:paraId="4AE4D4C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唱标信封（须独立密封）</w:t>
      </w:r>
    </w:p>
    <w:p w14:paraId="5A450666">
      <w:pPr>
        <w:shd w:val="clea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供应商应如实详细提供第11.1款所要求的全部资料，价格文件</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商务</w:t>
      </w:r>
      <w:r>
        <w:rPr>
          <w:rFonts w:hint="eastAsia" w:ascii="宋体" w:hAnsi="宋体" w:eastAsia="宋体" w:cs="宋体"/>
          <w:b/>
          <w:color w:val="auto"/>
          <w:sz w:val="21"/>
          <w:szCs w:val="21"/>
          <w:highlight w:val="none"/>
          <w:lang w:val="en-US" w:eastAsia="zh-CN"/>
        </w:rPr>
        <w:t>文件和</w:t>
      </w:r>
      <w:r>
        <w:rPr>
          <w:rFonts w:hint="eastAsia" w:ascii="宋体" w:hAnsi="宋体" w:eastAsia="宋体" w:cs="宋体"/>
          <w:b/>
          <w:color w:val="auto"/>
          <w:sz w:val="21"/>
          <w:szCs w:val="21"/>
          <w:highlight w:val="none"/>
        </w:rPr>
        <w:t>技术</w:t>
      </w:r>
      <w:r>
        <w:rPr>
          <w:rFonts w:hint="eastAsia" w:ascii="宋体" w:hAnsi="宋体" w:eastAsia="宋体" w:cs="宋体"/>
          <w:b/>
          <w:color w:val="auto"/>
          <w:sz w:val="21"/>
          <w:szCs w:val="21"/>
          <w:highlight w:val="none"/>
          <w:lang w:val="en-US" w:eastAsia="zh-CN"/>
        </w:rPr>
        <w:t>文件</w:t>
      </w:r>
      <w:r>
        <w:rPr>
          <w:rFonts w:hint="eastAsia" w:ascii="宋体" w:hAnsi="宋体" w:eastAsia="宋体" w:cs="宋体"/>
          <w:b/>
          <w:color w:val="auto"/>
          <w:sz w:val="21"/>
          <w:szCs w:val="21"/>
          <w:highlight w:val="none"/>
        </w:rPr>
        <w:t>必须单独装订成册，商务、技术和其他证明资料等磋商响应文件不能出现磋商价格。</w:t>
      </w:r>
    </w:p>
    <w:p w14:paraId="218786E6">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11.2响应（磋商）报价</w:t>
      </w:r>
    </w:p>
    <w:p w14:paraId="297747D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14:paraId="186F332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（2）磋商报价应包括所有应支付的对专利权和版权、设计或其他知识产权而需要向其他方支付的版税。</w:t>
      </w:r>
    </w:p>
    <w:p w14:paraId="332E397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（3）供应商应按响应文件的《报价一览表》格式填写响应内容的单价和总价。</w:t>
      </w:r>
    </w:p>
    <w:p w14:paraId="102C264B">
      <w:pPr>
        <w:shd w:val="clea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bCs/>
          <w:color w:val="auto"/>
          <w:sz w:val="21"/>
          <w:szCs w:val="21"/>
          <w:highlight w:val="none"/>
        </w:rPr>
        <w:t>供应商每次报价超过</w:t>
      </w:r>
      <w:r>
        <w:rPr>
          <w:rFonts w:hint="eastAsia" w:ascii="宋体" w:hAnsi="宋体" w:eastAsia="宋体" w:cs="宋体"/>
          <w:b/>
          <w:bCs/>
          <w:color w:val="auto"/>
          <w:sz w:val="21"/>
          <w:szCs w:val="21"/>
          <w:highlight w:val="none"/>
          <w:lang w:eastAsia="zh-CN"/>
        </w:rPr>
        <w:t>最高报价</w:t>
      </w:r>
      <w:r>
        <w:rPr>
          <w:rFonts w:hint="eastAsia" w:ascii="宋体" w:hAnsi="宋体" w:eastAsia="宋体" w:cs="宋体"/>
          <w:b/>
          <w:bCs/>
          <w:color w:val="auto"/>
          <w:sz w:val="21"/>
          <w:szCs w:val="21"/>
          <w:highlight w:val="none"/>
        </w:rPr>
        <w:t>视为非实质性响应磋商而予以拒绝。</w:t>
      </w:r>
    </w:p>
    <w:p w14:paraId="43C1F51D">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（5）经磋商后，供应商所报的最后磋商报价在合同执行过程中是固定不变的，不得以任何理由予以变更。</w:t>
      </w:r>
    </w:p>
    <w:p w14:paraId="68BA0134">
      <w:pPr>
        <w:shd w:val="clea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（6）供应商只能就单个项目提供唯一的方案和报价，不接受选择性的方案和报价。</w:t>
      </w:r>
    </w:p>
    <w:p w14:paraId="5D331A3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11.3证明供应商合格和资格的文件</w:t>
      </w:r>
    </w:p>
    <w:p w14:paraId="14C691A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11.4供应商应当提交具备履行合同的证明文件。</w:t>
      </w:r>
    </w:p>
    <w:p w14:paraId="0D2D70E1">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11.5证明文件包括：履行合同所必须具备的财务能力证明、技术能力证明，符合磋商文件资格要求的证明等。</w:t>
      </w:r>
    </w:p>
    <w:p w14:paraId="29C71B2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11.6证明服务的合格性和符合磋商文件规定的文件。</w:t>
      </w:r>
    </w:p>
    <w:p w14:paraId="0820DDCC">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11.7供应商应提交其</w:t>
      </w:r>
      <w:r>
        <w:rPr>
          <w:rFonts w:hint="eastAsia" w:hAnsi="宋体" w:cs="宋体"/>
          <w:color w:val="auto"/>
          <w:sz w:val="21"/>
          <w:szCs w:val="21"/>
          <w:highlight w:val="none"/>
          <w:lang w:eastAsia="zh-CN"/>
        </w:rPr>
        <w:t>拟提</w:t>
      </w:r>
      <w:r>
        <w:rPr>
          <w:rFonts w:hint="eastAsia" w:ascii="宋体" w:hAnsi="宋体" w:eastAsia="宋体" w:cs="宋体"/>
          <w:color w:val="auto"/>
          <w:sz w:val="21"/>
          <w:szCs w:val="21"/>
          <w:highlight w:val="none"/>
        </w:rPr>
        <w:t>供的合同项下的服务的合格性符合磋商文件规定的证明文件，并作为其响应文件的一部分。</w:t>
      </w:r>
    </w:p>
    <w:p w14:paraId="44D8DA0C">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14:paraId="27D73166">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90" w:name="_Toc21763"/>
      <w:bookmarkStart w:id="91" w:name="_Toc110953841"/>
      <w:bookmarkStart w:id="92" w:name="_Toc7897875"/>
      <w:bookmarkStart w:id="93" w:name="_Toc9150"/>
      <w:r>
        <w:rPr>
          <w:rFonts w:hint="eastAsia" w:ascii="宋体" w:hAnsi="宋体" w:eastAsia="宋体" w:cs="宋体"/>
          <w:color w:val="auto"/>
          <w:sz w:val="21"/>
          <w:szCs w:val="21"/>
          <w:highlight w:val="none"/>
        </w:rPr>
        <w:t>12.响应文件格式</w:t>
      </w:r>
      <w:bookmarkEnd w:id="90"/>
      <w:bookmarkEnd w:id="91"/>
      <w:bookmarkEnd w:id="92"/>
      <w:bookmarkEnd w:id="93"/>
    </w:p>
    <w:p w14:paraId="21F6F7B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14:paraId="0B3FC406">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94" w:name="_Toc185150707"/>
      <w:bookmarkStart w:id="95" w:name="_Toc7897876"/>
      <w:bookmarkStart w:id="96" w:name="_Toc30889"/>
      <w:bookmarkStart w:id="97" w:name="_Toc24570"/>
      <w:r>
        <w:rPr>
          <w:rFonts w:hint="eastAsia" w:ascii="宋体" w:hAnsi="宋体" w:eastAsia="宋体" w:cs="宋体"/>
          <w:color w:val="auto"/>
          <w:sz w:val="21"/>
          <w:szCs w:val="21"/>
          <w:highlight w:val="none"/>
        </w:rPr>
        <w:t>13.</w:t>
      </w:r>
      <w:bookmarkEnd w:id="94"/>
      <w:r>
        <w:rPr>
          <w:rFonts w:hint="eastAsia" w:ascii="宋体" w:hAnsi="宋体" w:eastAsia="宋体" w:cs="宋体"/>
          <w:color w:val="auto"/>
          <w:sz w:val="21"/>
          <w:szCs w:val="21"/>
          <w:highlight w:val="none"/>
        </w:rPr>
        <w:t>磋商保证金</w:t>
      </w:r>
      <w:bookmarkEnd w:id="95"/>
      <w:bookmarkEnd w:id="96"/>
      <w:bookmarkEnd w:id="97"/>
    </w:p>
    <w:p w14:paraId="1E69F37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13.1供应商应向采购代理机构提交磋商保证金，并作为其响应文件的一部分。磋商保证金的金额：</w:t>
      </w:r>
    </w:p>
    <w:tbl>
      <w:tblPr>
        <w:tblStyle w:val="5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8"/>
        <w:gridCol w:w="3810"/>
      </w:tblGrid>
      <w:tr w14:paraId="3C54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4998" w:type="dxa"/>
            <w:shd w:val="clear" w:color="auto" w:fill="E0E0E0"/>
            <w:vAlign w:val="center"/>
          </w:tcPr>
          <w:p w14:paraId="478F643B">
            <w:pPr>
              <w:shd w:val="clea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3810" w:type="dxa"/>
            <w:shd w:val="clear" w:color="auto" w:fill="E0E0E0"/>
            <w:vAlign w:val="center"/>
          </w:tcPr>
          <w:p w14:paraId="300442B5">
            <w:pPr>
              <w:shd w:val="clea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保证金</w:t>
            </w:r>
          </w:p>
        </w:tc>
      </w:tr>
      <w:tr w14:paraId="508F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98" w:type="dxa"/>
            <w:vAlign w:val="center"/>
          </w:tcPr>
          <w:p w14:paraId="263510F3">
            <w:pPr>
              <w:widowControl/>
              <w:shd w:val="clear"/>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东莞市立沙岛绿色新材料产业园项目招标代理服务</w:t>
            </w:r>
          </w:p>
        </w:tc>
        <w:tc>
          <w:tcPr>
            <w:tcW w:w="3810" w:type="dxa"/>
            <w:vAlign w:val="center"/>
          </w:tcPr>
          <w:p w14:paraId="424EA6C3">
            <w:pPr>
              <w:widowControl/>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人民币</w:t>
            </w:r>
            <w:r>
              <w:rPr>
                <w:rFonts w:hint="eastAsia" w:hAnsi="宋体" w:cs="宋体"/>
                <w:color w:val="auto"/>
                <w:sz w:val="21"/>
                <w:szCs w:val="21"/>
                <w:highlight w:val="none"/>
                <w:lang w:val="en-US" w:eastAsia="zh-CN"/>
              </w:rPr>
              <w:t>玖仟元整</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9000</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元）</w:t>
            </w:r>
          </w:p>
        </w:tc>
      </w:tr>
    </w:tbl>
    <w:p w14:paraId="7CCE48A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13.2供应商应按要求提交磋商保证金，供应商采用银行转账、</w:t>
      </w:r>
      <w:r>
        <w:rPr>
          <w:rFonts w:hint="eastAsia" w:ascii="宋体" w:hAnsi="宋体" w:eastAsia="宋体" w:cs="宋体"/>
          <w:color w:val="auto"/>
          <w:kern w:val="2"/>
          <w:sz w:val="21"/>
          <w:szCs w:val="21"/>
          <w:highlight w:val="none"/>
          <w:lang w:val="zh-CN"/>
        </w:rPr>
        <w:t>电汇</w:t>
      </w:r>
      <w:r>
        <w:rPr>
          <w:rFonts w:hint="eastAsia" w:ascii="宋体" w:hAnsi="宋体" w:eastAsia="宋体" w:cs="宋体"/>
          <w:color w:val="auto"/>
          <w:sz w:val="21"/>
          <w:szCs w:val="21"/>
          <w:highlight w:val="none"/>
        </w:rPr>
        <w:t>的形式缴交，磋商供应商与交款人名称必须一致，非磋商供应商缴纳的磋商保证金无效。</w:t>
      </w:r>
    </w:p>
    <w:p w14:paraId="568BD87D">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13.3磋商保证金的提交，应符合下列规定： </w:t>
      </w:r>
    </w:p>
    <w:p w14:paraId="0439AC34">
      <w:pPr>
        <w:shd w:val="clear"/>
        <w:tabs>
          <w:tab w:val="left" w:pos="567"/>
        </w:tabs>
        <w:spacing w:line="360" w:lineRule="auto"/>
        <w:ind w:firstLine="420" w:firstLineChars="20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磋商保证金采用</w:t>
      </w:r>
      <w:r>
        <w:rPr>
          <w:rFonts w:hint="eastAsia" w:hAnsi="宋体" w:cs="宋体"/>
          <w:color w:val="auto"/>
          <w:kern w:val="2"/>
          <w:sz w:val="21"/>
          <w:szCs w:val="21"/>
          <w:highlight w:val="none"/>
          <w:lang w:val="zh-CN"/>
        </w:rPr>
        <w:t>转账</w:t>
      </w:r>
      <w:r>
        <w:rPr>
          <w:rFonts w:hint="eastAsia" w:ascii="宋体" w:hAnsi="宋体" w:eastAsia="宋体" w:cs="宋体"/>
          <w:color w:val="auto"/>
          <w:kern w:val="2"/>
          <w:sz w:val="21"/>
          <w:szCs w:val="21"/>
          <w:highlight w:val="none"/>
          <w:lang w:val="zh-CN"/>
        </w:rPr>
        <w:t>、电汇方式提交，应符合以下要求：保证金汇入以下磋商保证金专用账户，不接收</w:t>
      </w:r>
      <w:r>
        <w:rPr>
          <w:rFonts w:hint="eastAsia" w:hAnsi="宋体" w:cs="宋体"/>
          <w:color w:val="auto"/>
          <w:kern w:val="2"/>
          <w:sz w:val="21"/>
          <w:szCs w:val="21"/>
          <w:highlight w:val="none"/>
          <w:lang w:val="zh-CN"/>
        </w:rPr>
        <w:t>由</w:t>
      </w:r>
      <w:r>
        <w:rPr>
          <w:rFonts w:hint="eastAsia" w:ascii="宋体" w:hAnsi="宋体" w:eastAsia="宋体" w:cs="宋体"/>
          <w:color w:val="auto"/>
          <w:kern w:val="2"/>
          <w:sz w:val="21"/>
          <w:szCs w:val="21"/>
          <w:highlight w:val="none"/>
          <w:lang w:val="zh-CN"/>
        </w:rPr>
        <w:t>供应商分支机构、</w:t>
      </w:r>
      <w:r>
        <w:rPr>
          <w:rFonts w:hint="eastAsia" w:hAnsi="宋体" w:cs="宋体"/>
          <w:color w:val="auto"/>
          <w:kern w:val="2"/>
          <w:sz w:val="21"/>
          <w:szCs w:val="21"/>
          <w:highlight w:val="none"/>
          <w:lang w:val="zh-CN"/>
        </w:rPr>
        <w:t>私人账户</w:t>
      </w:r>
      <w:r>
        <w:rPr>
          <w:rFonts w:hint="eastAsia" w:ascii="宋体" w:hAnsi="宋体" w:eastAsia="宋体" w:cs="宋体"/>
          <w:color w:val="auto"/>
          <w:kern w:val="2"/>
          <w:sz w:val="21"/>
          <w:szCs w:val="21"/>
          <w:highlight w:val="none"/>
          <w:lang w:val="zh-CN"/>
        </w:rPr>
        <w:t>和其他单位转入的保证金。磋商保证金必须在磋商响应文件递交截止前到账，磋商保证金未按规定时间到达指定账户或提交金额不足的，将被视为无效响应。且在备注或用途中注明本项目的项目编号。</w:t>
      </w:r>
    </w:p>
    <w:p w14:paraId="71EEEDC3">
      <w:pPr>
        <w:shd w:val="clea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磋商保证金专用账户如下：</w:t>
      </w:r>
    </w:p>
    <w:p w14:paraId="25DBF603">
      <w:pPr>
        <w:shd w:val="clear"/>
        <w:spacing w:line="360" w:lineRule="auto"/>
        <w:ind w:firstLine="422" w:firstLineChars="200"/>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账户名称：</w:t>
      </w:r>
      <w:r>
        <w:rPr>
          <w:rFonts w:hint="eastAsia" w:hAnsi="宋体" w:cs="宋体"/>
          <w:b/>
          <w:bCs/>
          <w:color w:val="auto"/>
          <w:kern w:val="2"/>
          <w:sz w:val="21"/>
          <w:szCs w:val="21"/>
          <w:highlight w:val="none"/>
          <w:lang w:val="zh-CN"/>
        </w:rPr>
        <w:t>中天项目咨询（东莞）有限公司</w:t>
      </w:r>
    </w:p>
    <w:p w14:paraId="5DFFD260">
      <w:pPr>
        <w:shd w:val="clear"/>
        <w:spacing w:line="360" w:lineRule="auto"/>
        <w:ind w:firstLine="422" w:firstLineChars="200"/>
        <w:rPr>
          <w:rFonts w:hint="eastAsia" w:ascii="宋体" w:hAnsi="宋体" w:eastAsia="宋体" w:cs="宋体"/>
          <w:b/>
          <w:bCs/>
          <w:color w:val="auto"/>
          <w:kern w:val="2"/>
          <w:sz w:val="21"/>
          <w:szCs w:val="21"/>
          <w:highlight w:val="none"/>
          <w:lang w:val="zh-CN" w:eastAsia="zh-CN"/>
        </w:rPr>
      </w:pPr>
      <w:r>
        <w:rPr>
          <w:rFonts w:hint="eastAsia" w:ascii="宋体" w:hAnsi="宋体" w:eastAsia="宋体" w:cs="宋体"/>
          <w:b/>
          <w:bCs/>
          <w:color w:val="auto"/>
          <w:kern w:val="2"/>
          <w:sz w:val="21"/>
          <w:szCs w:val="21"/>
          <w:highlight w:val="none"/>
          <w:lang w:val="zh-CN"/>
        </w:rPr>
        <w:t>账  号：310010190010074516</w:t>
      </w:r>
    </w:p>
    <w:p w14:paraId="5B7AC58D">
      <w:pPr>
        <w:shd w:val="clear"/>
        <w:spacing w:line="360" w:lineRule="auto"/>
        <w:ind w:firstLine="422" w:firstLineChars="200"/>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开户行：东莞农村商业银行东联支行营业部</w:t>
      </w:r>
    </w:p>
    <w:p w14:paraId="517EF60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供应商必须保证资金以其供应商的名称（以分公司或子公司汇款无效）在本项目磋商响应文件截止前汇入到保证金专用账户（以银行</w:t>
      </w:r>
      <w:r>
        <w:rPr>
          <w:rFonts w:hint="eastAsia" w:hAnsi="宋体" w:cs="宋体"/>
          <w:color w:val="auto"/>
          <w:sz w:val="21"/>
          <w:szCs w:val="21"/>
          <w:highlight w:val="none"/>
          <w:lang w:eastAsia="zh-CN"/>
        </w:rPr>
        <w:t>到账为准</w:t>
      </w:r>
      <w:r>
        <w:rPr>
          <w:rFonts w:hint="eastAsia" w:ascii="宋体" w:hAnsi="宋体" w:eastAsia="宋体" w:cs="宋体"/>
          <w:color w:val="auto"/>
          <w:sz w:val="21"/>
          <w:szCs w:val="21"/>
          <w:highlight w:val="none"/>
        </w:rPr>
        <w:t>），可采用</w:t>
      </w:r>
      <w:r>
        <w:rPr>
          <w:rFonts w:hint="eastAsia" w:hAnsi="宋体" w:cs="宋体"/>
          <w:color w:val="auto"/>
          <w:sz w:val="21"/>
          <w:szCs w:val="21"/>
          <w:highlight w:val="none"/>
          <w:lang w:eastAsia="zh-CN"/>
        </w:rPr>
        <w:t>银行转账</w:t>
      </w:r>
      <w:r>
        <w:rPr>
          <w:rFonts w:hint="eastAsia" w:ascii="宋体" w:hAnsi="宋体" w:eastAsia="宋体" w:cs="宋体"/>
          <w:color w:val="auto"/>
          <w:sz w:val="21"/>
          <w:szCs w:val="21"/>
          <w:highlight w:val="none"/>
        </w:rPr>
        <w:t>方式提交，但不可以采用现金方式（包括以存现方式）提交，未按要求提交磋商保证金的将导致废标。</w:t>
      </w:r>
    </w:p>
    <w:p w14:paraId="01F554E2">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14:paraId="4875FAF9">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13.5凡没有根据规定递交磋商保证金的，应视为非响应性磋商予以拒绝。</w:t>
      </w:r>
    </w:p>
    <w:p w14:paraId="1ABBECE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13.6未</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的磋商保证金自成交通知书发出后5个工作日内退还（不计利息）；</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的磋商保证金，将在其签署合同后，采购代理机构在5个工作日内退还（不计利息）。逾期办理的，采购人不承担迟延退款责任。</w:t>
      </w:r>
    </w:p>
    <w:p w14:paraId="05DF414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13.7下列任何情况发生时，磋商保证金将被没收：</w:t>
      </w:r>
    </w:p>
    <w:p w14:paraId="13687988">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13.7.1供应商在磋商文件中规定的磋商有效期内撤回其磋商；</w:t>
      </w:r>
    </w:p>
    <w:p w14:paraId="305B27F3">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13.7.2供应商串通磋商或者以其他弄虚作假方式磋商；</w:t>
      </w:r>
    </w:p>
    <w:p w14:paraId="55F86EE3">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13.7.3</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在规定期限内未能按规定签订合同；</w:t>
      </w:r>
    </w:p>
    <w:p w14:paraId="50B2E1A3">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13.7.4法律法规规定和磋商文件中规定的</w:t>
      </w:r>
      <w:r>
        <w:rPr>
          <w:rFonts w:hint="eastAsia" w:hAnsi="宋体" w:cs="宋体"/>
          <w:color w:val="auto"/>
          <w:sz w:val="21"/>
          <w:szCs w:val="21"/>
          <w:highlight w:val="none"/>
          <w:lang w:eastAsia="zh-CN"/>
        </w:rPr>
        <w:t>其他情况</w:t>
      </w:r>
      <w:r>
        <w:rPr>
          <w:rFonts w:hint="eastAsia" w:ascii="宋体" w:hAnsi="宋体" w:eastAsia="宋体" w:cs="宋体"/>
          <w:color w:val="auto"/>
          <w:sz w:val="21"/>
          <w:szCs w:val="21"/>
          <w:highlight w:val="none"/>
        </w:rPr>
        <w:t>。</w:t>
      </w:r>
    </w:p>
    <w:p w14:paraId="5A0047E6">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98" w:name="_Toc468157537"/>
      <w:bookmarkStart w:id="99" w:name="_Toc454701382"/>
      <w:bookmarkStart w:id="100" w:name="_Toc467987824"/>
      <w:bookmarkStart w:id="101" w:name="_Toc458262615"/>
      <w:bookmarkStart w:id="102" w:name="_Toc7897877"/>
      <w:bookmarkStart w:id="103" w:name="_Toc503758471"/>
      <w:bookmarkStart w:id="104" w:name="_Toc480021054"/>
      <w:bookmarkStart w:id="105" w:name="_Toc2525"/>
      <w:bookmarkStart w:id="106" w:name="_Toc479991583"/>
      <w:bookmarkStart w:id="107" w:name="_Toc32304"/>
      <w:bookmarkStart w:id="108" w:name="_Toc468606030"/>
      <w:bookmarkStart w:id="109" w:name="_Toc480020258"/>
      <w:bookmarkStart w:id="110" w:name="_Toc480171880"/>
      <w:bookmarkStart w:id="111" w:name="_Toc467236741"/>
      <w:bookmarkStart w:id="112" w:name="_Toc110953842"/>
      <w:bookmarkStart w:id="113" w:name="_Toc480010709"/>
      <w:r>
        <w:rPr>
          <w:rFonts w:hint="eastAsia" w:ascii="宋体" w:hAnsi="宋体" w:eastAsia="宋体" w:cs="宋体"/>
          <w:color w:val="auto"/>
          <w:sz w:val="21"/>
          <w:szCs w:val="21"/>
          <w:highlight w:val="none"/>
        </w:rPr>
        <w:t>14.响应有效期</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9F3AEA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14.1响应文件从开启响应文件之日起，响应有效期为90个工作日。</w:t>
      </w:r>
    </w:p>
    <w:p w14:paraId="2FAA82A2">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14:paraId="335E88C2">
      <w:pPr>
        <w:pStyle w:val="13"/>
        <w:shd w:val="clear"/>
        <w:ind w:firstLine="400"/>
        <w:rPr>
          <w:rFonts w:hint="eastAsia" w:ascii="宋体" w:hAnsi="宋体" w:eastAsia="宋体" w:cs="宋体"/>
          <w:color w:val="auto"/>
          <w:highlight w:val="none"/>
        </w:rPr>
      </w:pPr>
    </w:p>
    <w:bookmarkEnd w:id="77"/>
    <w:bookmarkEnd w:id="78"/>
    <w:bookmarkEnd w:id="79"/>
    <w:bookmarkEnd w:id="80"/>
    <w:bookmarkEnd w:id="81"/>
    <w:p w14:paraId="0C23B41C">
      <w:pPr>
        <w:pStyle w:val="4"/>
        <w:shd w:val="clear"/>
        <w:adjustRightInd/>
        <w:spacing w:line="360" w:lineRule="auto"/>
        <w:ind w:firstLine="562" w:firstLineChars="200"/>
        <w:jc w:val="center"/>
        <w:rPr>
          <w:rFonts w:hint="eastAsia" w:ascii="宋体" w:hAnsi="宋体" w:eastAsia="宋体" w:cs="宋体"/>
          <w:color w:val="auto"/>
          <w:sz w:val="28"/>
          <w:szCs w:val="28"/>
          <w:highlight w:val="none"/>
        </w:rPr>
      </w:pPr>
      <w:bookmarkStart w:id="114" w:name="_Toc17761"/>
      <w:bookmarkStart w:id="115" w:name="_Toc110953843"/>
      <w:bookmarkStart w:id="116" w:name="_Toc7897878"/>
      <w:bookmarkStart w:id="117" w:name="_Toc2740"/>
      <w:bookmarkStart w:id="118" w:name="_Toc466786438"/>
      <w:bookmarkStart w:id="119" w:name="_Toc6968691"/>
      <w:bookmarkStart w:id="120" w:name="_Toc507407363"/>
      <w:bookmarkStart w:id="121" w:name="_Toc6882679"/>
      <w:bookmarkStart w:id="122" w:name="_Toc102277760"/>
      <w:r>
        <w:rPr>
          <w:rFonts w:hint="eastAsia" w:ascii="宋体" w:hAnsi="宋体" w:eastAsia="宋体" w:cs="宋体"/>
          <w:color w:val="auto"/>
          <w:sz w:val="28"/>
          <w:szCs w:val="28"/>
          <w:highlight w:val="none"/>
        </w:rPr>
        <w:t>四、响应文件的递交</w:t>
      </w:r>
      <w:bookmarkEnd w:id="114"/>
      <w:bookmarkEnd w:id="115"/>
      <w:bookmarkEnd w:id="116"/>
      <w:bookmarkEnd w:id="117"/>
    </w:p>
    <w:p w14:paraId="0982D1C2">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123" w:name="_Toc11500"/>
      <w:bookmarkStart w:id="124" w:name="_Toc7897879"/>
      <w:bookmarkStart w:id="125" w:name="_Toc110953844"/>
      <w:bookmarkStart w:id="126" w:name="_Toc2684"/>
      <w:r>
        <w:rPr>
          <w:rFonts w:hint="eastAsia" w:ascii="宋体" w:hAnsi="宋体" w:eastAsia="宋体" w:cs="宋体"/>
          <w:color w:val="auto"/>
          <w:sz w:val="21"/>
          <w:szCs w:val="21"/>
          <w:highlight w:val="none"/>
        </w:rPr>
        <w:t>15.响应文件的密封和标记</w:t>
      </w:r>
      <w:bookmarkEnd w:id="123"/>
      <w:bookmarkEnd w:id="124"/>
      <w:bookmarkEnd w:id="125"/>
      <w:bookmarkEnd w:id="126"/>
    </w:p>
    <w:p w14:paraId="111A33BD">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15.1供应商应将响应文件正本和副本用信封分别密封，并标明供应商的名称、采购编号及“正本”或“副本”字样。</w:t>
      </w:r>
    </w:p>
    <w:p w14:paraId="2858BC5D">
      <w:pPr>
        <w:shd w:val="clea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15.2唱标信封应单独密封，与磋商响应文件一同提交。</w:t>
      </w:r>
    </w:p>
    <w:p w14:paraId="1BB83808">
      <w:pPr>
        <w:shd w:val="clear"/>
        <w:tabs>
          <w:tab w:val="left" w:pos="567"/>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15.3在磋商响应文件密封袋上均应标明以下内容：</w:t>
      </w:r>
    </w:p>
    <w:p w14:paraId="29AB31C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收 件 人：；</w:t>
      </w:r>
    </w:p>
    <w:p w14:paraId="50F2673C">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项目名称：；</w:t>
      </w:r>
    </w:p>
    <w:p w14:paraId="25E8B1B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采购编号：；</w:t>
      </w:r>
    </w:p>
    <w:p w14:paraId="4E0121C2">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年   月   日   时   分开标，此时间以前不得开封；</w:t>
      </w:r>
    </w:p>
    <w:p w14:paraId="7BC92E7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标明供应商名称、地址、联系人和电话以及文件的种类（如价格文件、商务技术文件、唱标信封等）。</w:t>
      </w:r>
    </w:p>
    <w:p w14:paraId="1F70D00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15.4供应商应按上述规定进行密封和标记后，将响应文件按照磋商文件中规定的时间和地址送至采购代理机构。</w:t>
      </w:r>
    </w:p>
    <w:p w14:paraId="096B84B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15.5未按上述规定进行密封、标记和递交的，采购代理机构对响应文件的不依时间递交、误投、破损、封装不合格或提前拆封不负责。</w:t>
      </w:r>
    </w:p>
    <w:p w14:paraId="71FCEBCB">
      <w:pPr>
        <w:pStyle w:val="5"/>
        <w:shd w:val="clear"/>
        <w:adjustRightInd/>
        <w:spacing w:line="360" w:lineRule="auto"/>
        <w:ind w:firstLine="420" w:firstLineChars="200"/>
        <w:rPr>
          <w:rFonts w:hint="eastAsia" w:ascii="宋体" w:hAnsi="宋体" w:eastAsia="宋体" w:cs="宋体"/>
          <w:color w:val="auto"/>
          <w:sz w:val="21"/>
          <w:szCs w:val="21"/>
          <w:highlight w:val="none"/>
        </w:rPr>
      </w:pPr>
      <w:bookmarkStart w:id="127" w:name="_Toc10017"/>
      <w:bookmarkStart w:id="128" w:name="_Toc12710"/>
      <w:bookmarkStart w:id="129" w:name="_Toc110953845"/>
      <w:bookmarkStart w:id="130" w:name="_Toc7897880"/>
      <w:r>
        <w:rPr>
          <w:rFonts w:hint="eastAsia" w:ascii="宋体" w:hAnsi="宋体" w:eastAsia="宋体" w:cs="宋体"/>
          <w:color w:val="auto"/>
          <w:sz w:val="21"/>
          <w:szCs w:val="21"/>
          <w:highlight w:val="none"/>
        </w:rPr>
        <w:t>16.响应文件的递交</w:t>
      </w:r>
      <w:bookmarkEnd w:id="127"/>
      <w:bookmarkEnd w:id="128"/>
      <w:bookmarkEnd w:id="129"/>
      <w:bookmarkEnd w:id="130"/>
    </w:p>
    <w:p w14:paraId="79807C6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16.1所有响应文件都必须在响应截止时间之前送至采购代理机构。</w:t>
      </w:r>
    </w:p>
    <w:p w14:paraId="1CDD4CF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16.2采购代理机构拒绝接受以下文件：</w:t>
      </w:r>
    </w:p>
    <w:p w14:paraId="36FAA85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（1）提前递交的文件，</w:t>
      </w:r>
    </w:p>
    <w:p w14:paraId="09B3B46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（2）在响应截止时间后递交的响应文件，</w:t>
      </w:r>
    </w:p>
    <w:p w14:paraId="584F275D">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（3）未按规定包装和密封的响应文件。</w:t>
      </w:r>
    </w:p>
    <w:p w14:paraId="66E6F6AF">
      <w:pPr>
        <w:shd w:val="clear"/>
        <w:spacing w:line="360" w:lineRule="auto"/>
        <w:ind w:firstLine="420" w:firstLineChars="200"/>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16.3响应文件的修改与撤回</w:t>
      </w:r>
    </w:p>
    <w:p w14:paraId="4564B69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w:t>
      </w:r>
      <w:r>
        <w:rPr>
          <w:rFonts w:hint="eastAsia" w:hAnsi="宋体" w:cs="宋体"/>
          <w:color w:val="auto"/>
          <w:sz w:val="21"/>
          <w:szCs w:val="21"/>
          <w:highlight w:val="none"/>
          <w:lang w:val="en-US" w:eastAsia="zh-CN"/>
        </w:rPr>
        <w:t>充</w:t>
      </w:r>
      <w:r>
        <w:rPr>
          <w:rFonts w:hint="eastAsia" w:ascii="宋体" w:hAnsi="宋体" w:eastAsia="宋体" w:cs="宋体"/>
          <w:color w:val="auto"/>
          <w:sz w:val="21"/>
          <w:szCs w:val="21"/>
          <w:highlight w:val="none"/>
        </w:rPr>
        <w:t>、修改的内容为准。</w:t>
      </w:r>
    </w:p>
    <w:p w14:paraId="5DDE03C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14:paraId="19567B50">
      <w:pPr>
        <w:shd w:val="clear"/>
        <w:spacing w:line="360" w:lineRule="auto"/>
        <w:ind w:firstLine="420" w:firstLineChars="200"/>
        <w:rPr>
          <w:rFonts w:hint="eastAsia" w:ascii="宋体" w:hAnsi="宋体" w:eastAsia="宋体" w:cs="宋体"/>
          <w:color w:val="auto"/>
          <w:sz w:val="21"/>
          <w:szCs w:val="21"/>
          <w:highlight w:val="none"/>
        </w:rPr>
      </w:pPr>
    </w:p>
    <w:p w14:paraId="77987865">
      <w:pPr>
        <w:pStyle w:val="4"/>
        <w:shd w:val="clear"/>
        <w:adjustRightInd/>
        <w:spacing w:line="360" w:lineRule="auto"/>
        <w:ind w:firstLine="562" w:firstLineChars="200"/>
        <w:jc w:val="center"/>
        <w:rPr>
          <w:rFonts w:hint="eastAsia" w:ascii="宋体" w:hAnsi="宋体" w:eastAsia="宋体" w:cs="宋体"/>
          <w:color w:val="auto"/>
          <w:sz w:val="28"/>
          <w:szCs w:val="28"/>
          <w:highlight w:val="none"/>
        </w:rPr>
      </w:pPr>
      <w:bookmarkStart w:id="131" w:name="_Toc7897881"/>
      <w:bookmarkStart w:id="132" w:name="_Toc22874"/>
      <w:bookmarkStart w:id="133" w:name="_Toc3138"/>
      <w:r>
        <w:rPr>
          <w:rFonts w:hint="eastAsia" w:ascii="宋体" w:hAnsi="宋体" w:eastAsia="宋体" w:cs="宋体"/>
          <w:color w:val="auto"/>
          <w:sz w:val="28"/>
          <w:szCs w:val="28"/>
          <w:highlight w:val="none"/>
        </w:rPr>
        <w:t>五、采购仪式和</w:t>
      </w:r>
      <w:bookmarkEnd w:id="118"/>
      <w:bookmarkEnd w:id="119"/>
      <w:bookmarkEnd w:id="120"/>
      <w:bookmarkEnd w:id="121"/>
      <w:bookmarkEnd w:id="122"/>
      <w:r>
        <w:rPr>
          <w:rFonts w:hint="eastAsia" w:ascii="宋体" w:hAnsi="宋体" w:eastAsia="宋体" w:cs="宋体"/>
          <w:color w:val="auto"/>
          <w:sz w:val="28"/>
          <w:szCs w:val="28"/>
          <w:highlight w:val="none"/>
        </w:rPr>
        <w:t>评审会议</w:t>
      </w:r>
      <w:bookmarkEnd w:id="131"/>
      <w:bookmarkEnd w:id="132"/>
      <w:bookmarkEnd w:id="133"/>
    </w:p>
    <w:p w14:paraId="299C4191">
      <w:pPr>
        <w:pStyle w:val="5"/>
        <w:shd w:val="clear"/>
        <w:adjustRightInd/>
        <w:spacing w:line="360" w:lineRule="auto"/>
        <w:ind w:firstLine="422" w:firstLineChars="200"/>
        <w:rPr>
          <w:rFonts w:hint="eastAsia" w:ascii="宋体" w:hAnsi="宋体" w:eastAsia="宋体" w:cs="宋体"/>
          <w:b/>
          <w:color w:val="auto"/>
          <w:sz w:val="21"/>
          <w:szCs w:val="21"/>
          <w:highlight w:val="none"/>
        </w:rPr>
      </w:pPr>
      <w:bookmarkStart w:id="134" w:name="_Toc475249134"/>
      <w:r>
        <w:rPr>
          <w:rFonts w:hint="eastAsia" w:ascii="宋体" w:hAnsi="宋体" w:eastAsia="宋体" w:cs="宋体"/>
          <w:b/>
          <w:color w:val="auto"/>
          <w:sz w:val="21"/>
          <w:szCs w:val="21"/>
          <w:highlight w:val="none"/>
        </w:rPr>
        <w:t>17.</w:t>
      </w:r>
      <w:bookmarkEnd w:id="134"/>
      <w:r>
        <w:rPr>
          <w:rFonts w:hint="eastAsia" w:ascii="宋体" w:hAnsi="宋体" w:eastAsia="宋体" w:cs="宋体"/>
          <w:b/>
          <w:color w:val="auto"/>
          <w:sz w:val="21"/>
          <w:szCs w:val="21"/>
          <w:highlight w:val="none"/>
        </w:rPr>
        <w:t>开启响应文件</w:t>
      </w:r>
    </w:p>
    <w:p w14:paraId="5C2F2973">
      <w:pPr>
        <w:shd w:val="clear"/>
        <w:spacing w:line="360" w:lineRule="auto"/>
        <w:ind w:firstLine="420" w:firstLineChars="200"/>
        <w:rPr>
          <w:rFonts w:hint="eastAsia" w:ascii="宋体" w:hAnsi="宋体" w:eastAsia="宋体" w:cs="宋体"/>
          <w:color w:val="auto"/>
          <w:sz w:val="21"/>
          <w:szCs w:val="21"/>
          <w:highlight w:val="none"/>
        </w:rPr>
      </w:pPr>
      <w:bookmarkStart w:id="135" w:name="_Toc475249135"/>
      <w:bookmarkStart w:id="136" w:name="_Toc475249138"/>
      <w:r>
        <w:rPr>
          <w:rFonts w:hint="eastAsia" w:ascii="宋体" w:hAnsi="宋体" w:eastAsia="宋体" w:cs="宋体"/>
          <w:color w:val="auto"/>
          <w:sz w:val="21"/>
          <w:szCs w:val="21"/>
          <w:highlight w:val="none"/>
        </w:rPr>
        <w:t>17.1采购代理机构在《磋商邀请书》规定的日期、时间和地点在有供应商代表在场的场合组织采购仪式，参加采购仪式的代表应签名报到以证明其出席。</w:t>
      </w:r>
    </w:p>
    <w:p w14:paraId="5CA8410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记录。</w:t>
      </w:r>
    </w:p>
    <w:p w14:paraId="603BD0D6">
      <w:pPr>
        <w:pStyle w:val="5"/>
        <w:shd w:val="clear"/>
        <w:adjustRightIn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18.磋商小组</w:t>
      </w:r>
      <w:bookmarkEnd w:id="135"/>
    </w:p>
    <w:p w14:paraId="47EC94C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18.1采购代理机构将根据项目特点组建磋商小组，磋商小组由采购人代表和评审专家共3人或以上单数组成，其中评审专家人数不得少于磋商小组成员总数的2/3。</w:t>
      </w:r>
    </w:p>
    <w:p w14:paraId="35AB79E8">
      <w:pPr>
        <w:pStyle w:val="5"/>
        <w:shd w:val="clear"/>
        <w:adjustRightInd/>
        <w:spacing w:line="360" w:lineRule="auto"/>
        <w:ind w:firstLine="422" w:firstLineChars="200"/>
        <w:rPr>
          <w:rFonts w:hint="eastAsia" w:ascii="宋体" w:hAnsi="宋体" w:eastAsia="宋体" w:cs="宋体"/>
          <w:b/>
          <w:color w:val="auto"/>
          <w:sz w:val="21"/>
          <w:szCs w:val="21"/>
          <w:highlight w:val="none"/>
        </w:rPr>
      </w:pPr>
      <w:bookmarkStart w:id="137" w:name="_Toc535141844"/>
      <w:bookmarkStart w:id="138" w:name="_Toc37121259"/>
      <w:r>
        <w:rPr>
          <w:rFonts w:hint="eastAsia" w:ascii="宋体" w:hAnsi="宋体" w:eastAsia="宋体" w:cs="宋体"/>
          <w:b/>
          <w:color w:val="auto"/>
          <w:sz w:val="21"/>
          <w:szCs w:val="21"/>
          <w:highlight w:val="none"/>
        </w:rPr>
        <w:t>19.对响应文件的初审</w:t>
      </w:r>
      <w:bookmarkEnd w:id="137"/>
      <w:bookmarkEnd w:id="138"/>
    </w:p>
    <w:p w14:paraId="0C647C7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19.1开启响应文件后，采购代理机构将组织磋商小组对响应文件进行初审，初审包括资格性审查和符合性审查。</w:t>
      </w:r>
    </w:p>
    <w:p w14:paraId="02362B4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19.2资格性审查是指依据法律规定和磋商文件的规定，对响应文件中的资格证明等进行审查，确定供应商是否具备响应资格。</w:t>
      </w:r>
    </w:p>
    <w:p w14:paraId="15FC1A9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14:paraId="21B538B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w:t>
      </w:r>
      <w:r>
        <w:rPr>
          <w:rFonts w:hint="eastAsia" w:hAnsi="宋体" w:cs="宋体"/>
          <w:color w:val="auto"/>
          <w:sz w:val="21"/>
          <w:szCs w:val="21"/>
          <w:highlight w:val="none"/>
          <w:lang w:eastAsia="zh-CN"/>
        </w:rPr>
        <w:t>响应</w:t>
      </w:r>
      <w:r>
        <w:rPr>
          <w:rFonts w:hint="eastAsia" w:ascii="宋体" w:hAnsi="宋体" w:eastAsia="宋体" w:cs="宋体"/>
          <w:color w:val="auto"/>
          <w:sz w:val="21"/>
          <w:szCs w:val="21"/>
          <w:highlight w:val="none"/>
        </w:rPr>
        <w:t>的供应商的公平竞争地位。</w:t>
      </w:r>
    </w:p>
    <w:p w14:paraId="0C66D6E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19.5磋商小组确定响应文件的响应性，只根据响应文件本身的内容，而不寻找外部的证据。</w:t>
      </w:r>
    </w:p>
    <w:p w14:paraId="677CD08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19.6实质上没有响应磋商文件要求的响应文件将被拒绝。供应商不得通过修正或撤销</w:t>
      </w:r>
      <w:r>
        <w:rPr>
          <w:rFonts w:hint="eastAsia" w:hAnsi="宋体" w:cs="宋体"/>
          <w:color w:val="auto"/>
          <w:sz w:val="21"/>
          <w:szCs w:val="21"/>
          <w:highlight w:val="none"/>
          <w:lang w:eastAsia="zh-CN"/>
        </w:rPr>
        <w:t>不符</w:t>
      </w:r>
      <w:r>
        <w:rPr>
          <w:rFonts w:hint="eastAsia" w:ascii="宋体" w:hAnsi="宋体" w:eastAsia="宋体" w:cs="宋体"/>
          <w:color w:val="auto"/>
          <w:sz w:val="21"/>
          <w:szCs w:val="21"/>
          <w:highlight w:val="none"/>
        </w:rPr>
        <w:t>合要求的偏离或保留从而使其响应成为实质上的响应。</w:t>
      </w:r>
    </w:p>
    <w:p w14:paraId="2AB307AF">
      <w:pPr>
        <w:pStyle w:val="5"/>
        <w:shd w:val="clear"/>
        <w:adjustRightIn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20.对响应文件的澄清</w:t>
      </w:r>
    </w:p>
    <w:p w14:paraId="79625F58">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14:paraId="7E9EFE1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14:paraId="49BA363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20.3供应商的法定代表人或委托代理人应当按照采购代理机构通知的时间和地点接受询问，对响应文件中含义不明确的内容作必要的澄清、说明或者纠正。</w:t>
      </w:r>
    </w:p>
    <w:p w14:paraId="67ACC931">
      <w:pPr>
        <w:pStyle w:val="5"/>
        <w:shd w:val="clear"/>
        <w:adjustRightIn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21.开展磋商</w:t>
      </w:r>
    </w:p>
    <w:p w14:paraId="1C6B1621">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21.1主持人宣布评审纪律，磋商小组所有成员及相关工作人员签名确认。</w:t>
      </w:r>
    </w:p>
    <w:p w14:paraId="790D6B42">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14:paraId="54CD4F2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14:paraId="21A065F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14:paraId="65A55C8F">
      <w:pPr>
        <w:pStyle w:val="5"/>
        <w:shd w:val="clear"/>
        <w:adjustRightIn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22.最后报价</w:t>
      </w:r>
    </w:p>
    <w:p w14:paraId="3CDDFDE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22.1磋商文件能够详细列明采购标的的技术、服务要求的，磋商结束后，磋商小组应当要求所有实质性响应的供应商在规定时间内提交最后报价，除法律法规规定</w:t>
      </w:r>
      <w:r>
        <w:rPr>
          <w:rFonts w:hint="eastAsia" w:hAnsi="宋体" w:cs="宋体"/>
          <w:color w:val="auto"/>
          <w:sz w:val="21"/>
          <w:szCs w:val="21"/>
          <w:highlight w:val="none"/>
          <w:lang w:eastAsia="zh-CN"/>
        </w:rPr>
        <w:t>允许的情况</w:t>
      </w:r>
      <w:r>
        <w:rPr>
          <w:rFonts w:hint="eastAsia" w:ascii="宋体" w:hAnsi="宋体" w:eastAsia="宋体" w:cs="宋体"/>
          <w:color w:val="auto"/>
          <w:sz w:val="21"/>
          <w:szCs w:val="21"/>
          <w:highlight w:val="none"/>
        </w:rPr>
        <w:t>外，提交最后报价的供应商不得少于3家。最后报价是供应商响应文件的有效组成部分。</w:t>
      </w:r>
    </w:p>
    <w:p w14:paraId="43E698C1">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36"/>
    <w:p w14:paraId="3FAD0EB0">
      <w:pPr>
        <w:pStyle w:val="5"/>
        <w:shd w:val="clear"/>
        <w:adjustRightIn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23.综合评分</w:t>
      </w:r>
    </w:p>
    <w:p w14:paraId="51715E1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14:paraId="573CF65D">
      <w:pPr>
        <w:pStyle w:val="13"/>
        <w:shd w:val="clear"/>
        <w:ind w:firstLine="400"/>
        <w:rPr>
          <w:rFonts w:hint="eastAsia" w:ascii="宋体" w:hAnsi="宋体" w:eastAsia="宋体" w:cs="宋体"/>
          <w:color w:val="auto"/>
          <w:highlight w:val="none"/>
        </w:rPr>
      </w:pPr>
    </w:p>
    <w:p w14:paraId="1AFD7FA7">
      <w:pPr>
        <w:pStyle w:val="4"/>
        <w:shd w:val="clear"/>
        <w:adjustRightInd/>
        <w:spacing w:line="360" w:lineRule="auto"/>
        <w:ind w:firstLine="562" w:firstLineChars="200"/>
        <w:jc w:val="center"/>
        <w:rPr>
          <w:rFonts w:hint="eastAsia" w:ascii="宋体" w:hAnsi="宋体" w:eastAsia="宋体" w:cs="宋体"/>
          <w:color w:val="auto"/>
          <w:sz w:val="28"/>
          <w:szCs w:val="28"/>
          <w:highlight w:val="none"/>
          <w:lang w:eastAsia="zh-CN"/>
        </w:rPr>
      </w:pPr>
      <w:bookmarkStart w:id="139" w:name="_Toc21174"/>
      <w:bookmarkStart w:id="140" w:name="_Toc18625"/>
      <w:bookmarkStart w:id="141" w:name="_Toc7897882"/>
      <w:r>
        <w:rPr>
          <w:rFonts w:hint="eastAsia" w:ascii="宋体" w:hAnsi="宋体" w:eastAsia="宋体" w:cs="宋体"/>
          <w:color w:val="auto"/>
          <w:sz w:val="28"/>
          <w:szCs w:val="28"/>
          <w:highlight w:val="none"/>
        </w:rPr>
        <w:t>六、确定</w:t>
      </w:r>
      <w:bookmarkEnd w:id="139"/>
      <w:bookmarkEnd w:id="140"/>
      <w:bookmarkEnd w:id="141"/>
      <w:r>
        <w:rPr>
          <w:rFonts w:hint="eastAsia" w:cs="宋体"/>
          <w:color w:val="auto"/>
          <w:sz w:val="28"/>
          <w:szCs w:val="28"/>
          <w:highlight w:val="none"/>
          <w:lang w:eastAsia="zh-CN"/>
        </w:rPr>
        <w:t>成交人</w:t>
      </w:r>
    </w:p>
    <w:p w14:paraId="07EC11F4">
      <w:pPr>
        <w:pStyle w:val="5"/>
        <w:shd w:val="clear"/>
        <w:adjustRightIn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24.确定成交</w:t>
      </w:r>
    </w:p>
    <w:p w14:paraId="1363FE0C">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24.1磋商小组完成评审工作后，出具评审报告，推荐3名以上成交候选供应商。符合法律法规允许的情况的，可以推荐2家成交候选供应商。</w:t>
      </w:r>
    </w:p>
    <w:p w14:paraId="162C6FD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24.2采购人从成交候选供应商名单中按照综合得分排序确定1名</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w:t>
      </w:r>
    </w:p>
    <w:p w14:paraId="55B0E5B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24.3根据响应或评审情况，采购代理机构保留在确定</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之前任何时候接受或拒绝任何响应，以及宣布评审程序无效或拒绝所有响应的权力，对受影响的供应商不承担任何责任，也无义务向受影响的供应商解释这一行动的理由。</w:t>
      </w:r>
    </w:p>
    <w:p w14:paraId="0C466AFB">
      <w:pPr>
        <w:pStyle w:val="5"/>
        <w:shd w:val="clear"/>
        <w:adjustRightInd/>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25.资格后审</w:t>
      </w:r>
    </w:p>
    <w:p w14:paraId="16C27C59">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25.1采购人将</w:t>
      </w:r>
      <w:r>
        <w:rPr>
          <w:rFonts w:hint="eastAsia" w:hAnsi="宋体" w:cs="宋体"/>
          <w:color w:val="auto"/>
          <w:sz w:val="21"/>
          <w:szCs w:val="21"/>
          <w:highlight w:val="none"/>
          <w:lang w:val="en-US" w:eastAsia="zh-CN"/>
        </w:rPr>
        <w:t>有权根据</w:t>
      </w:r>
      <w:r>
        <w:rPr>
          <w:rFonts w:hint="eastAsia" w:ascii="宋体" w:hAnsi="宋体" w:eastAsia="宋体" w:cs="宋体"/>
          <w:color w:val="auto"/>
          <w:sz w:val="21"/>
          <w:szCs w:val="21"/>
          <w:highlight w:val="none"/>
        </w:rPr>
        <w:t>磋商文件中的要求，对评委会推荐的成交候选人进行资格后审。</w:t>
      </w:r>
    </w:p>
    <w:p w14:paraId="15E048B3">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25.2成交候选人须无条件配合资格后审，否则采购人有权取消成交资格。</w:t>
      </w:r>
    </w:p>
    <w:p w14:paraId="4A44348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25.3资格后审须提供包括但不限于营业执照、税务登记证和在磋商响应文件中提供的资质证明文件、合同等重要证明文件的原件进行核对，综合考察</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的履约能力。如采购人要求还须提供业绩证明的其他材料</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成交候选人须配合提供。如授权其分支机构进行项目实施或提供售后服务的，亦应提供其与分支机构关系的法律证明材料。</w:t>
      </w:r>
    </w:p>
    <w:p w14:paraId="4A8E3A6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25.4如发现供应商提交虚假资料谋取成交的，采购人有权没收其磋商保证金，并保留追究其赔偿采购人由此而造成一切损失的责任。</w:t>
      </w:r>
    </w:p>
    <w:p w14:paraId="34D1D8F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25.5采购人保留审查</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是否有能力令采购人满意的履行合同的权利，包括但不限于对</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的规模、人员、场地、生产能力、供货能力等方面的核实或现场考察。如果审查通过，采购人将把合同授予该供应商；如果审查没有通过，采购人将拒绝其磋商，并对下一个候选的供应商能否令人满意地履行合同作类似的审查或重新采购。</w:t>
      </w:r>
    </w:p>
    <w:p w14:paraId="14B81100">
      <w:pPr>
        <w:pStyle w:val="13"/>
        <w:shd w:val="clear"/>
        <w:ind w:firstLine="400"/>
        <w:rPr>
          <w:rFonts w:hint="eastAsia" w:ascii="宋体" w:hAnsi="宋体" w:eastAsia="宋体" w:cs="宋体"/>
          <w:color w:val="auto"/>
          <w:highlight w:val="none"/>
        </w:rPr>
      </w:pPr>
      <w:bookmarkStart w:id="142" w:name="_Toc475249142"/>
    </w:p>
    <w:p w14:paraId="1ACE1AF0">
      <w:pPr>
        <w:pStyle w:val="5"/>
        <w:shd w:val="clear"/>
        <w:adjustRightIn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26.成交通知</w:t>
      </w:r>
      <w:bookmarkEnd w:id="142"/>
    </w:p>
    <w:p w14:paraId="2AB7799B">
      <w:pPr>
        <w:shd w:val="clear"/>
        <w:spacing w:line="360" w:lineRule="auto"/>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 xml:space="preserve">26.1 </w:t>
      </w:r>
      <w:r>
        <w:rPr>
          <w:rFonts w:hint="eastAsia" w:ascii="宋体" w:hAnsi="宋体" w:eastAsia="宋体" w:cs="宋体"/>
          <w:color w:val="auto"/>
          <w:sz w:val="21"/>
          <w:szCs w:val="21"/>
          <w:highlight w:val="none"/>
        </w:rPr>
        <w:t>成交结果将在</w:t>
      </w:r>
      <w:r>
        <w:rPr>
          <w:rFonts w:hint="eastAsia" w:ascii="宋体" w:hAnsi="宋体" w:eastAsia="宋体" w:cs="宋体"/>
          <w:color w:val="auto"/>
          <w:kern w:val="28"/>
          <w:sz w:val="21"/>
          <w:szCs w:val="21"/>
          <w:highlight w:val="none"/>
        </w:rPr>
        <w:t>东莞实业投资控股集团有限公司-招标采购栏目（http://www.dgsy.com.cn/）</w:t>
      </w:r>
      <w:r>
        <w:rPr>
          <w:rFonts w:hint="eastAsia" w:ascii="宋体" w:hAnsi="宋体" w:eastAsia="宋体" w:cs="宋体"/>
          <w:color w:val="auto"/>
          <w:sz w:val="21"/>
          <w:szCs w:val="21"/>
          <w:highlight w:val="none"/>
        </w:rPr>
        <w:t>上公告。</w:t>
      </w:r>
    </w:p>
    <w:p w14:paraId="35783164">
      <w:pPr>
        <w:shd w:val="clear"/>
        <w:spacing w:line="36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26.2 采购代理机构将在采购人确定成交人后之日起的2个工作日内发出《成交通知书》。</w:t>
      </w:r>
    </w:p>
    <w:p w14:paraId="155CFC6A">
      <w:pPr>
        <w:pStyle w:val="63"/>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SA"/>
        </w:rPr>
        <w:t>26.</w:t>
      </w:r>
      <w:r>
        <w:rPr>
          <w:rFonts w:hint="eastAsia" w:ascii="宋体" w:hAnsi="宋体" w:cs="宋体"/>
          <w:color w:val="auto"/>
          <w:kern w:val="0"/>
          <w:sz w:val="21"/>
          <w:szCs w:val="21"/>
          <w:highlight w:val="none"/>
          <w:lang w:val="en-US" w:eastAsia="zh-CN" w:bidi="ar-SA"/>
        </w:rPr>
        <w:t>3</w:t>
      </w:r>
      <w:r>
        <w:rPr>
          <w:rFonts w:hint="eastAsia" w:hAnsi="宋体" w:cs="宋体"/>
          <w:color w:val="auto"/>
          <w:sz w:val="21"/>
          <w:szCs w:val="21"/>
          <w:highlight w:val="none"/>
          <w:lang w:val="en-US" w:eastAsia="zh-CN"/>
        </w:rPr>
        <w:t xml:space="preserve"> 《成交通知书》是签订采购合同的依据和组成部分。</w:t>
      </w:r>
    </w:p>
    <w:p w14:paraId="3FA831F4">
      <w:pPr>
        <w:pStyle w:val="13"/>
        <w:shd w:val="clear"/>
        <w:ind w:firstLine="400"/>
        <w:rPr>
          <w:rFonts w:hint="eastAsia" w:ascii="宋体" w:hAnsi="宋体" w:eastAsia="宋体" w:cs="宋体"/>
          <w:color w:val="auto"/>
          <w:highlight w:val="none"/>
          <w:lang w:eastAsia="zh-CN"/>
        </w:rPr>
      </w:pPr>
    </w:p>
    <w:p w14:paraId="56533BB7">
      <w:pPr>
        <w:pStyle w:val="4"/>
        <w:shd w:val="clear"/>
        <w:adjustRightInd/>
        <w:spacing w:line="360" w:lineRule="auto"/>
        <w:ind w:firstLine="562" w:firstLineChars="200"/>
        <w:jc w:val="center"/>
        <w:rPr>
          <w:rFonts w:hint="eastAsia" w:ascii="宋体" w:hAnsi="宋体" w:eastAsia="宋体" w:cs="宋体"/>
          <w:color w:val="auto"/>
          <w:sz w:val="28"/>
          <w:szCs w:val="28"/>
          <w:highlight w:val="none"/>
        </w:rPr>
      </w:pPr>
      <w:bookmarkStart w:id="143" w:name="_Toc110953852"/>
      <w:bookmarkStart w:id="144" w:name="_Toc37756778"/>
      <w:bookmarkStart w:id="145" w:name="_Toc20980"/>
      <w:bookmarkStart w:id="146" w:name="_Toc7897883"/>
      <w:bookmarkStart w:id="147" w:name="_Toc28276"/>
      <w:bookmarkStart w:id="148" w:name="_Toc475249143"/>
      <w:r>
        <w:rPr>
          <w:rFonts w:hint="eastAsia" w:ascii="宋体" w:hAnsi="宋体" w:eastAsia="宋体" w:cs="宋体"/>
          <w:color w:val="auto"/>
          <w:sz w:val="28"/>
          <w:szCs w:val="28"/>
          <w:highlight w:val="none"/>
        </w:rPr>
        <w:t>七、签订采购合同</w:t>
      </w:r>
      <w:bookmarkEnd w:id="143"/>
      <w:bookmarkEnd w:id="144"/>
      <w:bookmarkEnd w:id="145"/>
      <w:bookmarkEnd w:id="146"/>
      <w:bookmarkEnd w:id="147"/>
    </w:p>
    <w:p w14:paraId="2365FD92">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27.采购人与成交</w:t>
      </w:r>
      <w:r>
        <w:rPr>
          <w:rFonts w:hint="eastAsia" w:hAnsi="宋体" w:cs="宋体"/>
          <w:color w:val="auto"/>
          <w:sz w:val="21"/>
          <w:szCs w:val="21"/>
          <w:highlight w:val="none"/>
          <w:lang w:val="en-US" w:eastAsia="zh-CN"/>
        </w:rPr>
        <w:t>人</w:t>
      </w:r>
      <w:r>
        <w:rPr>
          <w:rFonts w:hint="eastAsia" w:ascii="宋体" w:hAnsi="宋体" w:eastAsia="宋体" w:cs="宋体"/>
          <w:color w:val="auto"/>
          <w:sz w:val="21"/>
          <w:szCs w:val="21"/>
          <w:highlight w:val="none"/>
        </w:rPr>
        <w:t>应当在成交通知书发出之日起30日内，按照磋商文件确定的事项签订采购合同。</w:t>
      </w:r>
    </w:p>
    <w:p w14:paraId="0AD0017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28.合同内容不得与磋商文件和响应文件内容有实质性偏离。</w:t>
      </w:r>
    </w:p>
    <w:p w14:paraId="3412D289">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29.采购合同自签订之日起7个工作日内，</w:t>
      </w:r>
      <w:r>
        <w:rPr>
          <w:rFonts w:hint="eastAsia" w:hAnsi="宋体" w:cs="宋体"/>
          <w:color w:val="auto"/>
          <w:sz w:val="21"/>
          <w:szCs w:val="21"/>
          <w:highlight w:val="none"/>
          <w:lang w:val="en-US" w:eastAsia="zh-CN"/>
        </w:rPr>
        <w:t>成交人</w:t>
      </w:r>
      <w:r>
        <w:rPr>
          <w:rFonts w:hint="eastAsia" w:ascii="宋体" w:hAnsi="宋体" w:eastAsia="宋体" w:cs="宋体"/>
          <w:color w:val="auto"/>
          <w:sz w:val="21"/>
          <w:szCs w:val="21"/>
          <w:highlight w:val="none"/>
        </w:rPr>
        <w:t>应将合同副本报采购代理机构归档。</w:t>
      </w:r>
    </w:p>
    <w:p w14:paraId="56AC78BD">
      <w:pPr>
        <w:shd w:val="clea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ab/>
      </w:r>
      <w:r>
        <w:rPr>
          <w:rFonts w:hint="eastAsia" w:ascii="宋体" w:hAnsi="宋体" w:eastAsia="宋体" w:cs="宋体"/>
          <w:color w:val="auto"/>
          <w:sz w:val="21"/>
          <w:szCs w:val="21"/>
          <w:highlight w:val="none"/>
          <w:lang w:val="zh-CN"/>
        </w:rPr>
        <w:t>履约</w:t>
      </w:r>
      <w:r>
        <w:rPr>
          <w:rFonts w:hint="eastAsia" w:ascii="宋体" w:hAnsi="宋体" w:eastAsia="宋体" w:cs="宋体"/>
          <w:color w:val="auto"/>
          <w:sz w:val="21"/>
          <w:szCs w:val="21"/>
          <w:highlight w:val="none"/>
        </w:rPr>
        <w:t>担保</w:t>
      </w:r>
    </w:p>
    <w:p w14:paraId="2528DA2D">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1.履约担保金额为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暂定合同金额的10%。</w:t>
      </w:r>
    </w:p>
    <w:p w14:paraId="63C9F51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2.履约保证金账户信息：</w:t>
      </w:r>
    </w:p>
    <w:p w14:paraId="2375C159">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账户名称：东莞市立沙岛投资有限公司 </w:t>
      </w:r>
    </w:p>
    <w:p w14:paraId="058093E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银行账号：5580 0001 5835 930 </w:t>
      </w:r>
    </w:p>
    <w:p w14:paraId="6D59AA3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开户银行：东莞银行股份有限公司沙田支行</w:t>
      </w:r>
    </w:p>
    <w:p w14:paraId="5EF06108">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在采购（合同签署）时提交履约担保，履约担保金额不超过成交合同金额的10%，如果</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提交的履约保函的有效期先于合同要求的履约保函有效期到达，</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应在原提交的履约保函有效期满前15天，无条件办理保函延期手续。否则，视为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违约，采购人可在保函到期前将保函金额转为现金存入履约保证金账户。</w:t>
      </w:r>
    </w:p>
    <w:p w14:paraId="7CC6597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4.履约担保期限从合同签订之日起至项目完工验收合格并结算完毕后，经双方签字30天内保持有效。</w:t>
      </w:r>
    </w:p>
    <w:p w14:paraId="64F0782E">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履约担保要求：</w:t>
      </w:r>
    </w:p>
    <w:p w14:paraId="42794CF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（1）履约保函。如果</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的履约担保是以银行保函形式提供的，则该银行保函应：</w:t>
      </w:r>
    </w:p>
    <w:p w14:paraId="6D33E7F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①保函应由银行支行或以上银行机构开具。</w:t>
      </w:r>
    </w:p>
    <w:p w14:paraId="1007EC1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②保函的格式参考</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附件中提供的无条件不可撤销履约保函格式，保函担保期内若项目未能按期竣工，保函必须延期，办理延期手续时在银行方面所产生费用由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负责。</w:t>
      </w:r>
    </w:p>
    <w:p w14:paraId="0051D4FD">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③履约保函必须打印，手写、涂改无效。</w:t>
      </w:r>
    </w:p>
    <w:p w14:paraId="286F3E6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（2）履约保证金。可采用电汇、银行汇票等</w:t>
      </w:r>
      <w:r>
        <w:rPr>
          <w:rFonts w:hint="eastAsia" w:hAnsi="宋体" w:cs="宋体"/>
          <w:color w:val="auto"/>
          <w:sz w:val="21"/>
          <w:szCs w:val="21"/>
          <w:highlight w:val="none"/>
          <w:lang w:eastAsia="zh-CN"/>
        </w:rPr>
        <w:t>银行转账</w:t>
      </w:r>
      <w:r>
        <w:rPr>
          <w:rFonts w:hint="eastAsia" w:ascii="宋体" w:hAnsi="宋体" w:eastAsia="宋体" w:cs="宋体"/>
          <w:color w:val="auto"/>
          <w:sz w:val="21"/>
          <w:szCs w:val="21"/>
          <w:highlight w:val="none"/>
        </w:rPr>
        <w:t>方式提交，但不可以采用现金方式提交。</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必须保证履约保证金以</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名称在签订合同前提交至采购人指定账户。</w:t>
      </w:r>
    </w:p>
    <w:p w14:paraId="1231798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不能按本</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的规定提交履约保证金的，采购人将有权取消</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资格（采购人可以按照</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提出的</w:t>
      </w:r>
      <w:r>
        <w:rPr>
          <w:rFonts w:hint="eastAsia"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候选人名单排序依次确定其他</w:t>
      </w:r>
      <w:r>
        <w:rPr>
          <w:rFonts w:hint="eastAsia"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候选人为</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，也可以重新采购），</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保证金不予退还，给采购人造成的损失如果超过</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保证金数额的，还应当对超过部分予以赔偿。</w:t>
      </w:r>
    </w:p>
    <w:p w14:paraId="47962EFA">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（4）为取得履约担保所需的费用，由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承担；若工期延误，履约担保时间延长，延长费用由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承担。</w:t>
      </w:r>
    </w:p>
    <w:p w14:paraId="1412F51B">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在合同履行过程中出现项目质量事故、工期拖延、欠付工人工资、欠付材料款等情况，采购人在经核查属实后，有权将履约保函金额转为现金存入履约保证金账户；</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造成采购人损失的，采购人有权立即没收其履约担保，若造成损失超过履约担保的，还应当对超过部分予以赔偿。</w:t>
      </w:r>
    </w:p>
    <w:p w14:paraId="50E02EE9">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（6）下列任何情况发生时，采购人有权行使享有的担保权利：</w:t>
      </w:r>
    </w:p>
    <w:p w14:paraId="178ED05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将本项目转让给他人，或者在</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中未说明，且未经采购人同意，将</w:t>
      </w:r>
      <w:r>
        <w:rPr>
          <w:rFonts w:hint="eastAsia"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项目分包给他人的；</w:t>
      </w:r>
    </w:p>
    <w:p w14:paraId="4F59CB4F">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在履行采购合同期间，违反有关法律法规的规定及合同约定的条款，损害了采购人的利益。</w:t>
      </w:r>
    </w:p>
    <w:p w14:paraId="595FCBE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（7）在整个项目验收合格后，</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向采购人提交退回履约担保的申请，采购人办理履约担保退还手续。</w:t>
      </w:r>
    </w:p>
    <w:p w14:paraId="21DBF3D3">
      <w:pPr>
        <w:shd w:val="clea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31.发票</w:t>
      </w:r>
    </w:p>
    <w:p w14:paraId="490D3CF8">
      <w:pPr>
        <w:shd w:val="clea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.1该项目获得成交的</w:t>
      </w:r>
      <w:r>
        <w:rPr>
          <w:rFonts w:hint="eastAsia" w:hAnsi="宋体" w:cs="宋体"/>
          <w:color w:val="auto"/>
          <w:sz w:val="21"/>
          <w:szCs w:val="21"/>
          <w:highlight w:val="none"/>
          <w:lang w:val="zh-CN"/>
        </w:rPr>
        <w:t>成交人</w:t>
      </w:r>
      <w:r>
        <w:rPr>
          <w:rFonts w:hint="eastAsia" w:ascii="宋体" w:hAnsi="宋体" w:eastAsia="宋体" w:cs="宋体"/>
          <w:color w:val="auto"/>
          <w:sz w:val="21"/>
          <w:szCs w:val="21"/>
          <w:highlight w:val="none"/>
          <w:lang w:val="zh-CN"/>
        </w:rPr>
        <w:t>在执行合同过程中，向采购人出具的发票必须是由</w:t>
      </w:r>
      <w:r>
        <w:rPr>
          <w:rFonts w:hint="eastAsia" w:hAnsi="宋体" w:cs="宋体"/>
          <w:color w:val="auto"/>
          <w:sz w:val="21"/>
          <w:szCs w:val="21"/>
          <w:highlight w:val="none"/>
          <w:lang w:val="zh-CN"/>
        </w:rPr>
        <w:t>成交人</w:t>
      </w:r>
      <w:r>
        <w:rPr>
          <w:rFonts w:hint="eastAsia" w:ascii="宋体" w:hAnsi="宋体" w:eastAsia="宋体" w:cs="宋体"/>
          <w:color w:val="auto"/>
          <w:sz w:val="21"/>
          <w:szCs w:val="21"/>
          <w:highlight w:val="none"/>
          <w:lang w:val="zh-CN"/>
        </w:rPr>
        <w:t>开具，不得以其他单位或个人名义出具。</w:t>
      </w:r>
    </w:p>
    <w:p w14:paraId="116D4AAC">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需提交增值税专用发票，并于备注栏写明项目名称及合同名称。</w:t>
      </w:r>
    </w:p>
    <w:p w14:paraId="601C5331">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31.3在合同履行期间，如遇国家的税率调整，则以开具发票的时间为准，以原合同约定价格不含税金额不变作为基准，按照新税率重新计算含税价格。</w:t>
      </w:r>
    </w:p>
    <w:p w14:paraId="496F0ECA">
      <w:pPr>
        <w:shd w:val="clear"/>
        <w:rPr>
          <w:rFonts w:hint="eastAsia" w:ascii="宋体" w:hAnsi="宋体" w:eastAsia="宋体" w:cs="宋体"/>
          <w:color w:val="auto"/>
          <w:highlight w:val="none"/>
        </w:rPr>
      </w:pPr>
    </w:p>
    <w:bookmarkEnd w:id="148"/>
    <w:p w14:paraId="1672CA78">
      <w:pPr>
        <w:pStyle w:val="4"/>
        <w:shd w:val="clear"/>
        <w:adjustRightInd/>
        <w:spacing w:line="360" w:lineRule="auto"/>
        <w:ind w:firstLine="562" w:firstLineChars="200"/>
        <w:jc w:val="center"/>
        <w:rPr>
          <w:rFonts w:hint="eastAsia" w:ascii="宋体" w:hAnsi="宋体" w:eastAsia="宋体" w:cs="宋体"/>
          <w:color w:val="auto"/>
          <w:sz w:val="21"/>
          <w:szCs w:val="21"/>
          <w:highlight w:val="none"/>
          <w:lang w:eastAsia="zh-CN"/>
        </w:rPr>
      </w:pPr>
      <w:bookmarkStart w:id="149" w:name="_Toc7897884"/>
      <w:bookmarkStart w:id="150" w:name="_Toc8766"/>
      <w:bookmarkStart w:id="151" w:name="_Toc152"/>
      <w:bookmarkStart w:id="152" w:name="_Toc3498"/>
      <w:bookmarkStart w:id="153" w:name="_Toc396137239"/>
      <w:bookmarkStart w:id="154" w:name="_Toc5141"/>
      <w:bookmarkStart w:id="155" w:name="_Toc396137240"/>
      <w:bookmarkStart w:id="156" w:name="_Toc22751"/>
      <w:r>
        <w:rPr>
          <w:rFonts w:hint="eastAsia" w:ascii="宋体" w:hAnsi="宋体" w:eastAsia="宋体" w:cs="宋体"/>
          <w:color w:val="auto"/>
          <w:sz w:val="28"/>
          <w:szCs w:val="28"/>
          <w:highlight w:val="none"/>
        </w:rPr>
        <w:t>八、</w:t>
      </w:r>
      <w:bookmarkEnd w:id="149"/>
      <w:bookmarkEnd w:id="150"/>
      <w:bookmarkEnd w:id="151"/>
      <w:r>
        <w:rPr>
          <w:rFonts w:hint="eastAsia" w:ascii="宋体" w:hAnsi="宋体" w:eastAsia="宋体" w:cs="宋体"/>
          <w:color w:val="auto"/>
          <w:sz w:val="28"/>
          <w:szCs w:val="28"/>
          <w:highlight w:val="none"/>
          <w:lang w:eastAsia="zh-CN"/>
        </w:rPr>
        <w:t>采购代理服务费</w:t>
      </w:r>
    </w:p>
    <w:p w14:paraId="47E041EA">
      <w:pPr>
        <w:shd w:val="clear"/>
        <w:spacing w:line="360" w:lineRule="auto"/>
        <w:ind w:firstLine="428" w:firstLineChars="20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eastAsia="zh-CN"/>
        </w:rPr>
        <w:t>采购代理服务费</w:t>
      </w:r>
    </w:p>
    <w:p w14:paraId="7F2EC71F">
      <w:pPr>
        <w:shd w:val="clear"/>
        <w:spacing w:line="360" w:lineRule="auto"/>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32.1本项目</w:t>
      </w:r>
      <w:r>
        <w:rPr>
          <w:rFonts w:hint="eastAsia"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服务费由采购人支付，人民币壹万伍仟元整（¥15,000.00元）</w:t>
      </w:r>
      <w:r>
        <w:rPr>
          <w:rFonts w:hint="eastAsia" w:ascii="宋体" w:hAnsi="宋体" w:eastAsia="宋体" w:cs="宋体"/>
          <w:color w:val="auto"/>
          <w:sz w:val="21"/>
          <w:szCs w:val="21"/>
          <w:highlight w:val="none"/>
          <w:lang w:eastAsia="zh-CN"/>
        </w:rPr>
        <w:t>。</w:t>
      </w:r>
    </w:p>
    <w:p w14:paraId="4CD2F419">
      <w:pPr>
        <w:pStyle w:val="13"/>
        <w:shd w:val="clear"/>
        <w:ind w:firstLine="400"/>
        <w:rPr>
          <w:rFonts w:hint="eastAsia" w:ascii="宋体" w:hAnsi="宋体" w:eastAsia="宋体" w:cs="宋体"/>
          <w:color w:val="auto"/>
          <w:highlight w:val="none"/>
        </w:rPr>
      </w:pPr>
    </w:p>
    <w:p w14:paraId="1182FB8E">
      <w:pPr>
        <w:pStyle w:val="4"/>
        <w:shd w:val="clear"/>
        <w:adjustRightInd/>
        <w:spacing w:line="360" w:lineRule="auto"/>
        <w:ind w:firstLine="562" w:firstLineChars="200"/>
        <w:jc w:val="center"/>
        <w:rPr>
          <w:rFonts w:hint="eastAsia" w:ascii="宋体" w:hAnsi="宋体" w:eastAsia="宋体" w:cs="宋体"/>
          <w:color w:val="auto"/>
          <w:sz w:val="28"/>
          <w:szCs w:val="28"/>
          <w:highlight w:val="none"/>
          <w:lang w:val="zh-CN"/>
        </w:rPr>
      </w:pPr>
      <w:bookmarkStart w:id="157" w:name="_Toc17153"/>
      <w:r>
        <w:rPr>
          <w:rFonts w:hint="eastAsia" w:ascii="宋体" w:hAnsi="宋体" w:eastAsia="宋体" w:cs="宋体"/>
          <w:color w:val="auto"/>
          <w:sz w:val="28"/>
          <w:szCs w:val="28"/>
          <w:highlight w:val="none"/>
          <w:lang w:val="zh-CN"/>
        </w:rPr>
        <w:t>九、质疑与回复</w:t>
      </w:r>
      <w:bookmarkEnd w:id="152"/>
      <w:bookmarkEnd w:id="153"/>
      <w:bookmarkEnd w:id="154"/>
      <w:bookmarkEnd w:id="157"/>
    </w:p>
    <w:p w14:paraId="23FB118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质疑与回复</w:t>
      </w:r>
    </w:p>
    <w:p w14:paraId="75E64E43">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质疑书应当包括下列主要内容：</w:t>
      </w:r>
    </w:p>
    <w:p w14:paraId="0ABB3C6D">
      <w:pPr>
        <w:shd w:val="clear"/>
        <w:spacing w:line="360" w:lineRule="auto"/>
        <w:ind w:left="539" w:right="17" w:hanging="53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（1）供应商的姓名或者名称、地址、邮编、联系人及联系电话；</w:t>
      </w:r>
    </w:p>
    <w:p w14:paraId="59E212F2">
      <w:pPr>
        <w:shd w:val="clear"/>
        <w:spacing w:line="360" w:lineRule="auto"/>
        <w:ind w:left="539" w:right="17" w:hanging="53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（2）质疑项目的名称、编号；</w:t>
      </w:r>
    </w:p>
    <w:p w14:paraId="22026D96">
      <w:pPr>
        <w:shd w:val="clear"/>
        <w:spacing w:line="360" w:lineRule="auto"/>
        <w:ind w:left="539" w:right="17" w:hanging="53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（3）具体、明确的质疑事项和与质疑事项相关的请求；</w:t>
      </w:r>
    </w:p>
    <w:p w14:paraId="0C0FCFDC">
      <w:pPr>
        <w:shd w:val="clear"/>
        <w:spacing w:line="360" w:lineRule="auto"/>
        <w:ind w:left="539" w:right="17" w:hanging="53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（4）事实依据；</w:t>
      </w:r>
    </w:p>
    <w:p w14:paraId="6F467D1A">
      <w:pPr>
        <w:shd w:val="clear"/>
        <w:spacing w:line="360" w:lineRule="auto"/>
        <w:ind w:left="539" w:right="17" w:hanging="53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（5）必要的法律依据；</w:t>
      </w:r>
    </w:p>
    <w:p w14:paraId="2DD9AB4E">
      <w:pPr>
        <w:shd w:val="clear"/>
        <w:spacing w:line="360" w:lineRule="auto"/>
        <w:ind w:left="539" w:right="17" w:hanging="53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（6）提出质疑的日期。</w:t>
      </w:r>
    </w:p>
    <w:p w14:paraId="633E7D57">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33</w:t>
      </w:r>
      <w:r>
        <w:rPr>
          <w:rFonts w:hint="eastAsia" w:ascii="宋体" w:hAnsi="宋体" w:eastAsia="宋体" w:cs="宋体"/>
          <w:color w:val="auto"/>
          <w:sz w:val="21"/>
          <w:szCs w:val="21"/>
          <w:highlight w:val="none"/>
        </w:rPr>
        <w:t>.2. 质疑书应当署名。质疑人为自然人的，应当由本人签名；质疑人为法人或者</w:t>
      </w:r>
      <w:r>
        <w:rPr>
          <w:rFonts w:hint="eastAsia" w:ascii="宋体" w:hAnsi="宋体" w:eastAsia="宋体" w:cs="宋体"/>
          <w:color w:val="auto"/>
          <w:kern w:val="2"/>
          <w:sz w:val="21"/>
          <w:szCs w:val="21"/>
          <w:highlight w:val="none"/>
          <w:lang w:val="zh-CN"/>
        </w:rPr>
        <w:t>其他</w:t>
      </w:r>
      <w:r>
        <w:rPr>
          <w:rFonts w:hint="eastAsia" w:ascii="宋体" w:hAnsi="宋体" w:eastAsia="宋体" w:cs="宋体"/>
          <w:color w:val="auto"/>
          <w:sz w:val="21"/>
          <w:szCs w:val="21"/>
          <w:highlight w:val="none"/>
        </w:rPr>
        <w:t>组织的，应当由法定代表人或者主要负责人签名并加盖公章。</w:t>
      </w:r>
    </w:p>
    <w:p w14:paraId="46988166">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14:paraId="14E69762">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w:t>
      </w:r>
      <w:r>
        <w:rPr>
          <w:rFonts w:hint="eastAsia" w:hAnsi="宋体" w:cs="宋体"/>
          <w:color w:val="auto"/>
          <w:sz w:val="21"/>
          <w:szCs w:val="21"/>
          <w:highlight w:val="none"/>
          <w:lang w:val="en-US" w:eastAsia="zh-CN"/>
        </w:rPr>
        <w:t>江小姐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0769-</w:t>
      </w:r>
      <w:r>
        <w:rPr>
          <w:rFonts w:hint="eastAsia" w:hAnsi="宋体" w:cs="宋体"/>
          <w:color w:val="auto"/>
          <w:sz w:val="21"/>
          <w:szCs w:val="21"/>
          <w:highlight w:val="none"/>
          <w:lang w:val="en-US" w:eastAsia="zh-CN"/>
        </w:rPr>
        <w:t>22086988</w:t>
      </w: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lang w:eastAsia="zh-CN"/>
        </w:rPr>
        <w:t>广东省东莞市南城街道鸿福路102号汇成大厦1栋406室</w:t>
      </w:r>
      <w:r>
        <w:rPr>
          <w:rFonts w:hint="eastAsia" w:ascii="宋体" w:hAnsi="宋体" w:eastAsia="宋体" w:cs="宋体"/>
          <w:color w:val="auto"/>
          <w:sz w:val="21"/>
          <w:szCs w:val="21"/>
          <w:highlight w:val="none"/>
        </w:rPr>
        <w:t>。</w:t>
      </w:r>
    </w:p>
    <w:p w14:paraId="21AA159D">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33.5.供应商在法定质疑期内一次性提出针对同一采购程序环节的质疑。</w:t>
      </w:r>
    </w:p>
    <w:p w14:paraId="4A66E460">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14:paraId="23714F7F">
      <w:pPr>
        <w:shd w:val="clear"/>
        <w:spacing w:line="360" w:lineRule="auto"/>
        <w:ind w:firstLine="420" w:firstLineChars="200"/>
        <w:rPr>
          <w:rFonts w:hint="eastAsia" w:ascii="宋体" w:hAnsi="宋体" w:eastAsia="宋体" w:cs="宋体"/>
          <w:bCs/>
          <w:color w:val="auto"/>
          <w:sz w:val="21"/>
          <w:szCs w:val="21"/>
          <w:highlight w:val="none"/>
        </w:rPr>
      </w:pPr>
      <w:bookmarkStart w:id="158" w:name="_Toc29421"/>
      <w:r>
        <w:rPr>
          <w:rFonts w:hint="eastAsia" w:ascii="宋体" w:hAnsi="宋体" w:eastAsia="宋体" w:cs="宋体"/>
          <w:color w:val="auto"/>
          <w:sz w:val="21"/>
          <w:szCs w:val="21"/>
          <w:highlight w:val="none"/>
        </w:rPr>
        <w:t>33.7.采购代理机构在收到供应商的有效书面质疑后7个工作日内作出答复，但答复的内容不涉及商业秘密。</w:t>
      </w:r>
      <w:bookmarkEnd w:id="158"/>
    </w:p>
    <w:p w14:paraId="4CA403C0">
      <w:pPr>
        <w:pStyle w:val="3"/>
        <w:keepNext/>
        <w:keepLines/>
        <w:pageBreakBefore/>
        <w:numPr>
          <w:ilvl w:val="0"/>
          <w:numId w:val="10"/>
        </w:numPr>
        <w:shd w:val="clear"/>
        <w:tabs>
          <w:tab w:val="left" w:pos="1080"/>
        </w:tabs>
        <w:spacing w:line="360" w:lineRule="auto"/>
        <w:ind w:left="1262" w:hanging="1262" w:hangingChars="449"/>
        <w:jc w:val="center"/>
        <w:rPr>
          <w:rFonts w:hint="eastAsia" w:ascii="宋体" w:hAnsi="宋体" w:eastAsia="宋体" w:cs="宋体"/>
          <w:b/>
          <w:bCs/>
          <w:color w:val="auto"/>
          <w:kern w:val="44"/>
          <w:sz w:val="28"/>
          <w:szCs w:val="28"/>
          <w:highlight w:val="none"/>
          <w:lang w:val="zh-CN"/>
        </w:rPr>
      </w:pPr>
      <w:bookmarkStart w:id="159" w:name="_Toc22134"/>
      <w:r>
        <w:rPr>
          <w:rFonts w:hint="eastAsia" w:ascii="宋体" w:hAnsi="宋体" w:eastAsia="宋体" w:cs="宋体"/>
          <w:b/>
          <w:bCs/>
          <w:color w:val="auto"/>
          <w:kern w:val="44"/>
          <w:sz w:val="28"/>
          <w:szCs w:val="28"/>
          <w:highlight w:val="none"/>
          <w:lang w:val="zh-CN"/>
        </w:rPr>
        <w:t>用户需求书</w:t>
      </w:r>
      <w:bookmarkEnd w:id="155"/>
      <w:bookmarkEnd w:id="156"/>
      <w:bookmarkEnd w:id="159"/>
    </w:p>
    <w:p w14:paraId="1145EC12">
      <w:pPr>
        <w:rPr>
          <w:rFonts w:hint="eastAsia" w:ascii="宋体" w:hAnsi="宋体" w:eastAsia="宋体" w:cs="宋体"/>
          <w:color w:val="auto"/>
          <w:highlight w:val="none"/>
        </w:rPr>
      </w:pPr>
      <w:bookmarkStart w:id="160" w:name="_Toc15266"/>
      <w:bookmarkStart w:id="161" w:name="_Toc1593"/>
      <w:bookmarkStart w:id="162" w:name="_Toc13957"/>
      <w:bookmarkStart w:id="163" w:name="_Toc20858"/>
      <w:bookmarkStart w:id="164" w:name="_Toc308786492"/>
    </w:p>
    <w:p w14:paraId="1765A078">
      <w:pPr>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val="zh-CN"/>
        </w:rPr>
      </w:pPr>
      <w:bookmarkStart w:id="165" w:name="_Toc19316"/>
      <w:bookmarkStart w:id="166" w:name="_Toc30066"/>
      <w:r>
        <w:rPr>
          <w:rFonts w:hint="eastAsia" w:ascii="宋体" w:hAnsi="宋体" w:eastAsia="宋体" w:cs="宋体"/>
          <w:color w:val="auto"/>
          <w:sz w:val="21"/>
          <w:szCs w:val="21"/>
          <w:highlight w:val="none"/>
          <w:lang w:val="zh-CN"/>
        </w:rPr>
        <w:t>一、项目概况</w:t>
      </w:r>
    </w:p>
    <w:p w14:paraId="76216C52">
      <w:pPr>
        <w:pStyle w:val="18"/>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cs="宋体"/>
          <w:color w:val="auto"/>
          <w:sz w:val="21"/>
          <w:szCs w:val="21"/>
          <w:highlight w:val="none"/>
          <w:lang w:val="en-US" w:eastAsia="zh-CN"/>
        </w:rPr>
        <w:t>项目</w:t>
      </w:r>
      <w:r>
        <w:rPr>
          <w:rFonts w:hint="eastAsia" w:hAnsi="宋体" w:eastAsia="宋体" w:cs="宋体"/>
          <w:color w:val="auto"/>
          <w:sz w:val="21"/>
          <w:szCs w:val="21"/>
          <w:highlight w:val="none"/>
        </w:rPr>
        <w:t>名称：</w:t>
      </w:r>
      <w:r>
        <w:rPr>
          <w:rFonts w:hint="eastAsia" w:hAnsi="宋体" w:eastAsia="宋体" w:cs="宋体"/>
          <w:color w:val="auto"/>
          <w:sz w:val="21"/>
          <w:szCs w:val="21"/>
          <w:highlight w:val="none"/>
          <w:lang w:val="en-US" w:eastAsia="zh-CN"/>
        </w:rPr>
        <w:t>东莞市立沙岛绿色新材料产业园项目招标代理服务</w:t>
      </w:r>
    </w:p>
    <w:p w14:paraId="3642E6D2">
      <w:pPr>
        <w:pStyle w:val="18"/>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（一）项目地点</w:t>
      </w:r>
    </w:p>
    <w:p w14:paraId="1E28C09A">
      <w:pPr>
        <w:pStyle w:val="18"/>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本项目拟建设于广东省东莞市立沙岛精细化工园区。东莞市位于广东省中南部、珠江口东岸，南与深圳接壤，北靠广州市东部地区，东与惠州为邻，西与广州市番禺区隔江相望。东莞市立沙岛精细化工园区位于沙田镇的北部，面积约为13.20km²。</w:t>
      </w:r>
    </w:p>
    <w:p w14:paraId="60ED3A24">
      <w:pPr>
        <w:pStyle w:val="18"/>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（二）项目内容及规模</w:t>
      </w:r>
    </w:p>
    <w:p w14:paraId="4E9954FA">
      <w:pPr>
        <w:pStyle w:val="18"/>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项目总占地280亩，新建15栋甲类车间、18栋甲类仓库及科研综合楼、7060米综合管廊等建筑；配套给排水、供电、供热、空压制氮、RTO焚烧、智慧化管控等公用工程；搭建研发-中试-产业化一体化平台，完善安全环保与运营服务体系，打造高端电子化学品、精细化工、绿色新材料产业承载载体。</w:t>
      </w:r>
    </w:p>
    <w:p w14:paraId="4B5BED0E">
      <w:pPr>
        <w:pStyle w:val="18"/>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规划建设道路4.16公里、敷设电缆沟4.16公里、污水管网4.16公里；实施反无人机系统、立沙运河改道及新建水闸工程、泥洲岛两水夹一堤修复工程与立沙岛三线整治项目，构建集约高效、安全可靠的园区基础设施网络。</w:t>
      </w:r>
    </w:p>
    <w:p w14:paraId="5775FCFD">
      <w:pPr>
        <w:pStyle w:val="18"/>
        <w:keepNext w:val="0"/>
        <w:keepLines w:val="0"/>
        <w:pageBreakBefore w:val="0"/>
        <w:widowControl/>
        <w:kinsoku/>
        <w:wordWrap/>
        <w:overflowPunct/>
        <w:topLinePunct w:val="0"/>
        <w:autoSpaceDE/>
        <w:autoSpaceDN/>
        <w:bidi w:val="0"/>
        <w:adjustRightInd w:val="0"/>
        <w:snapToGrid w:val="0"/>
        <w:spacing w:before="0"/>
        <w:ind w:firstLine="422" w:firstLineChars="200"/>
        <w:textAlignment w:val="auto"/>
        <w:rPr>
          <w:rFonts w:hint="eastAsia" w:hAnsi="宋体" w:eastAsia="宋体" w:cs="宋体"/>
          <w:color w:val="auto"/>
          <w:sz w:val="21"/>
          <w:szCs w:val="21"/>
          <w:highlight w:val="none"/>
        </w:rPr>
      </w:pPr>
      <w:r>
        <w:rPr>
          <w:rFonts w:hint="eastAsia" w:hAnsi="宋体" w:eastAsia="宋体" w:cs="宋体"/>
          <w:b/>
          <w:bCs/>
          <w:color w:val="auto"/>
          <w:sz w:val="21"/>
          <w:szCs w:val="21"/>
          <w:highlight w:val="none"/>
          <w:lang w:val="en-US" w:eastAsia="zh-CN"/>
        </w:rPr>
        <w:t>项目后续</w:t>
      </w:r>
      <w:r>
        <w:rPr>
          <w:rFonts w:hint="eastAsia" w:ascii="Arial" w:hAnsi="宋体" w:eastAsia="宋体" w:cs="宋体"/>
          <w:b/>
          <w:bCs/>
          <w:color w:val="auto"/>
          <w:sz w:val="21"/>
          <w:szCs w:val="21"/>
          <w:highlight w:val="none"/>
        </w:rPr>
        <w:t>采用“</w:t>
      </w:r>
      <w:r>
        <w:rPr>
          <w:rFonts w:hint="eastAsia" w:hAnsi="宋体" w:cs="宋体"/>
          <w:b/>
          <w:bCs/>
          <w:color w:val="auto"/>
          <w:sz w:val="21"/>
          <w:szCs w:val="21"/>
          <w:highlight w:val="none"/>
          <w:lang w:val="en-US" w:eastAsia="zh-CN"/>
        </w:rPr>
        <w:t>投资人</w:t>
      </w:r>
      <w:r>
        <w:rPr>
          <w:rFonts w:hint="eastAsia" w:ascii="Arial" w:hAnsi="宋体" w:eastAsia="宋体" w:cs="宋体"/>
          <w:b/>
          <w:bCs/>
          <w:color w:val="auto"/>
          <w:sz w:val="21"/>
          <w:szCs w:val="21"/>
          <w:highlight w:val="none"/>
        </w:rPr>
        <w:t>+EPC+O”的合作模式招采社会投资人（具体合作模式以后续项目具体实施为准），由项目公司负责园中园项目的规划设计、投融资、建设、运营维护等工作</w:t>
      </w:r>
      <w:r>
        <w:rPr>
          <w:rFonts w:hint="eastAsia" w:hAnsi="宋体" w:eastAsia="宋体" w:cs="宋体"/>
          <w:b/>
          <w:bCs/>
          <w:color w:val="auto"/>
          <w:sz w:val="21"/>
          <w:szCs w:val="21"/>
          <w:highlight w:val="none"/>
          <w:lang w:eastAsia="zh-CN"/>
        </w:rPr>
        <w:t>。</w:t>
      </w:r>
    </w:p>
    <w:p w14:paraId="74ED9607">
      <w:pPr>
        <w:pStyle w:val="18"/>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三</w:t>
      </w:r>
      <w:r>
        <w:rPr>
          <w:rFonts w:hint="eastAsia" w:hAnsi="宋体" w:cs="宋体"/>
          <w:color w:val="auto"/>
          <w:sz w:val="21"/>
          <w:szCs w:val="21"/>
          <w:highlight w:val="none"/>
          <w:lang w:eastAsia="zh-CN"/>
        </w:rPr>
        <w:t>）</w:t>
      </w:r>
      <w:r>
        <w:rPr>
          <w:rFonts w:hint="eastAsia" w:hAnsi="宋体" w:eastAsia="宋体" w:cs="宋体"/>
          <w:color w:val="auto"/>
          <w:sz w:val="21"/>
          <w:szCs w:val="21"/>
          <w:highlight w:val="none"/>
        </w:rPr>
        <w:t>服务期限：从合同签订之日起至咨询合同结算完毕经</w:t>
      </w:r>
      <w:r>
        <w:rPr>
          <w:rFonts w:hint="eastAsia" w:hAnsi="宋体" w:cs="宋体"/>
          <w:color w:val="auto"/>
          <w:sz w:val="21"/>
          <w:szCs w:val="21"/>
          <w:highlight w:val="none"/>
          <w:lang w:val="en-US" w:eastAsia="zh-CN"/>
        </w:rPr>
        <w:t>双</w:t>
      </w:r>
      <w:r>
        <w:rPr>
          <w:rFonts w:hint="eastAsia" w:hAnsi="宋体" w:eastAsia="宋体" w:cs="宋体"/>
          <w:color w:val="auto"/>
          <w:sz w:val="21"/>
          <w:szCs w:val="21"/>
          <w:highlight w:val="none"/>
        </w:rPr>
        <w:t xml:space="preserve">方确认后结束。 </w:t>
      </w:r>
    </w:p>
    <w:p w14:paraId="3CBCFB9E">
      <w:pPr>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val="zh-CN"/>
        </w:rPr>
      </w:pPr>
      <w:bookmarkStart w:id="167" w:name="_Toc60995814"/>
      <w:bookmarkStart w:id="168" w:name="_Toc388458957"/>
      <w:bookmarkStart w:id="169" w:name="_Toc21262"/>
      <w:bookmarkStart w:id="170" w:name="_Toc17618"/>
      <w:bookmarkStart w:id="171" w:name="_Toc2022"/>
      <w:bookmarkStart w:id="172" w:name="_Toc5059"/>
      <w:r>
        <w:rPr>
          <w:rFonts w:hint="eastAsia" w:ascii="宋体" w:hAnsi="宋体" w:eastAsia="宋体" w:cs="宋体"/>
          <w:color w:val="auto"/>
          <w:sz w:val="21"/>
          <w:szCs w:val="21"/>
          <w:highlight w:val="none"/>
          <w:lang w:val="zh-CN"/>
        </w:rPr>
        <w:t>二、服务内容</w:t>
      </w:r>
      <w:bookmarkEnd w:id="167"/>
      <w:bookmarkEnd w:id="168"/>
      <w:bookmarkEnd w:id="169"/>
      <w:bookmarkEnd w:id="170"/>
      <w:bookmarkEnd w:id="171"/>
      <w:bookmarkEnd w:id="172"/>
    </w:p>
    <w:p w14:paraId="00650859">
      <w:pPr>
        <w:pStyle w:val="18"/>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招标代理具体工作范围包括但不限于以下内容</w:t>
      </w:r>
      <w:r>
        <w:rPr>
          <w:rFonts w:hint="eastAsia" w:hAnsi="宋体" w:cs="宋体"/>
          <w:color w:val="auto"/>
          <w:sz w:val="21"/>
          <w:szCs w:val="21"/>
          <w:highlight w:val="none"/>
          <w:lang w:eastAsia="zh-CN"/>
        </w:rPr>
        <w:t>：</w:t>
      </w:r>
      <w:r>
        <w:rPr>
          <w:rFonts w:hint="eastAsia" w:hAnsi="宋体" w:eastAsia="宋体" w:cs="宋体"/>
          <w:color w:val="auto"/>
          <w:sz w:val="21"/>
          <w:szCs w:val="21"/>
          <w:highlight w:val="none"/>
        </w:rPr>
        <w:t>拟定招标方案；发布招标公告或者发出投标邀请书；协助甲方审查投标报名人资格；编制招标文件；组织现场踏勘和答疑；申请评标及评标专家抽取（如需评标）；组织预备、交底、答疑、开标、评标、定标会议；签发中标通知书；草拟合同；办理相应备案手续；编写招标情况报告；招标资料整理归档；处理招标工程后续工作（协助调解争议、为招标人提供项目咨询等）；其他保证招标工作按时按质顺利进行的事项。</w:t>
      </w:r>
    </w:p>
    <w:p w14:paraId="22112DB5">
      <w:pPr>
        <w:keepNext w:val="0"/>
        <w:keepLines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zh-CN"/>
        </w:rPr>
        <w:t>、组织招标工作的内容和时间：（按招标工作的程序写明每项工作的具体内容和时间）</w:t>
      </w:r>
    </w:p>
    <w:p w14:paraId="1A038517">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拟定招标方案（受领任务后3天内提交）；</w:t>
      </w:r>
    </w:p>
    <w:p w14:paraId="2B006076">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编制招标文件（受领任务后3天内完成招标文件初稿，根据甲方提出的意见，在2天内完成招标文件终稿）；</w:t>
      </w:r>
    </w:p>
    <w:p w14:paraId="17C8E580">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办理招标登记（1个工作日）；</w:t>
      </w:r>
    </w:p>
    <w:p w14:paraId="19E0061C">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发布招标公告或者发出投标邀请书（1个工作日）；</w:t>
      </w:r>
    </w:p>
    <w:p w14:paraId="6034A36C">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办理招标文件备案（1个工作日）；</w:t>
      </w:r>
    </w:p>
    <w:p w14:paraId="0F76B033">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发售招标文件（5个工作日）；</w:t>
      </w:r>
    </w:p>
    <w:p w14:paraId="6A276F19">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组织现场踏勘和答疑（如果需要，1个工作日）；</w:t>
      </w:r>
    </w:p>
    <w:p w14:paraId="2E140FBA">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签发中标通知书（5个工作日）；</w:t>
      </w:r>
    </w:p>
    <w:p w14:paraId="4041CC8B">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草拟合同（确定中标人后3个工作日内）；</w:t>
      </w:r>
    </w:p>
    <w:p w14:paraId="149CAA66">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编写招标情况报告（中标通知书签发后3个工作日内）；</w:t>
      </w:r>
    </w:p>
    <w:p w14:paraId="757F1559">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招标资料整理归档移交（招标人和中标人签订合同协议书后5个工作日内）。</w:t>
      </w:r>
    </w:p>
    <w:p w14:paraId="6F30451D">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zh-CN"/>
        </w:rPr>
        <w:t>、招标代理收费标准</w:t>
      </w:r>
      <w:r>
        <w:rPr>
          <w:rFonts w:hint="eastAsia" w:ascii="宋体" w:hAnsi="宋体" w:cs="宋体"/>
          <w:color w:val="auto"/>
          <w:sz w:val="21"/>
          <w:szCs w:val="21"/>
          <w:highlight w:val="none"/>
          <w:lang w:val="en-US" w:eastAsia="zh-CN"/>
        </w:rPr>
        <w:t>统一按国家发展计划委员会颁发的《招标代理服务收费管理暂行办法》（计价格</w:t>
      </w:r>
      <w:r>
        <w:rPr>
          <w:rFonts w:hint="eastAsia" w:hAnsi="宋体" w:cs="宋体"/>
          <w:color w:val="auto"/>
          <w:sz w:val="21"/>
          <w:szCs w:val="21"/>
          <w:highlight w:val="none"/>
          <w:lang w:val="en-US" w:eastAsia="zh-CN"/>
        </w:rPr>
        <w:t>〔2002〕1980号</w:t>
      </w:r>
      <w:r>
        <w:rPr>
          <w:rFonts w:hint="eastAsia" w:ascii="宋体" w:hAnsi="宋体" w:cs="宋体"/>
          <w:color w:val="auto"/>
          <w:sz w:val="21"/>
          <w:szCs w:val="21"/>
          <w:highlight w:val="none"/>
          <w:lang w:val="en-US" w:eastAsia="zh-CN"/>
        </w:rPr>
        <w:t>）及《国家发展改革委关于降低部分建设项目收费标准规范收费行为等有关问题的通知》（发改价格</w:t>
      </w:r>
      <w:r>
        <w:rPr>
          <w:rFonts w:hint="eastAsia" w:hAnsi="宋体" w:cs="宋体"/>
          <w:color w:val="auto"/>
          <w:sz w:val="21"/>
          <w:szCs w:val="21"/>
          <w:highlight w:val="none"/>
          <w:lang w:val="en-US" w:eastAsia="zh-CN"/>
        </w:rPr>
        <w:t>〔2011〕534号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规定标准</w:t>
      </w:r>
      <w:r>
        <w:rPr>
          <w:rFonts w:hint="eastAsia" w:hAnsi="宋体" w:cs="宋体"/>
          <w:color w:val="auto"/>
          <w:sz w:val="21"/>
          <w:szCs w:val="21"/>
          <w:highlight w:val="none"/>
          <w:lang w:val="en-US" w:eastAsia="zh-CN"/>
        </w:rPr>
        <w:t>乘以中标</w:t>
      </w:r>
      <w:r>
        <w:rPr>
          <w:rFonts w:hint="eastAsia" w:ascii="宋体" w:hAnsi="宋体" w:eastAsia="宋体" w:cs="宋体"/>
          <w:color w:val="auto"/>
          <w:kern w:val="0"/>
          <w:sz w:val="21"/>
          <w:szCs w:val="21"/>
          <w:highlight w:val="none"/>
        </w:rPr>
        <w:t>服务费系数</w:t>
      </w:r>
      <w:r>
        <w:rPr>
          <w:rFonts w:hint="eastAsia" w:ascii="宋体" w:hAnsi="宋体" w:eastAsia="宋体" w:cs="宋体"/>
          <w:color w:val="auto"/>
          <w:sz w:val="21"/>
          <w:szCs w:val="21"/>
          <w:highlight w:val="none"/>
        </w:rPr>
        <w:t>执行。</w:t>
      </w:r>
    </w:p>
    <w:p w14:paraId="47EDA7A1">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zh-CN"/>
        </w:rPr>
        <w:t>、严格按照国家</w:t>
      </w:r>
      <w:r>
        <w:rPr>
          <w:rFonts w:hint="eastAsia" w:hAnsi="宋体" w:cs="宋体"/>
          <w:color w:val="auto"/>
          <w:sz w:val="21"/>
          <w:szCs w:val="21"/>
          <w:highlight w:val="none"/>
          <w:lang w:val="zh-CN"/>
        </w:rPr>
        <w:t>法律法规</w:t>
      </w:r>
      <w:r>
        <w:rPr>
          <w:rFonts w:hint="eastAsia" w:ascii="宋体" w:hAnsi="宋体" w:eastAsia="宋体" w:cs="宋体"/>
          <w:color w:val="auto"/>
          <w:sz w:val="21"/>
          <w:szCs w:val="21"/>
          <w:highlight w:val="none"/>
          <w:lang w:val="zh-CN"/>
        </w:rPr>
        <w:t>以及建设行政主管部门及有关行政部门的规定从事工程、服务、货物招标代理活动，本着科学、客观、公正地开展招标代理工作；应按委托人的要求，按时按质按量提供成果文件，对成果文件的合法性、合理性负责，并负有保密责任。</w:t>
      </w:r>
    </w:p>
    <w:p w14:paraId="0A5182C1">
      <w:pPr>
        <w:keepNext w:val="0"/>
        <w:keepLines w:val="0"/>
        <w:pageBreakBefore w:val="0"/>
        <w:tabs>
          <w:tab w:val="left" w:pos="1365"/>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r>
        <w:rPr>
          <w:rFonts w:hint="default"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lang w:val="zh-CN"/>
        </w:rPr>
        <w:t>、做好招投标过程资料整理工作，并妥善保存。整个项目的存档资料要求完整，不能缺损，严格按照国家、省、市的相关执行。</w:t>
      </w:r>
    </w:p>
    <w:p w14:paraId="21ECB18C">
      <w:pPr>
        <w:keepNext w:val="0"/>
        <w:keepLines w:val="0"/>
        <w:pageBreakBefore w:val="0"/>
        <w:tabs>
          <w:tab w:val="left" w:pos="1365"/>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r>
        <w:rPr>
          <w:rFonts w:hint="default"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val="zh-CN"/>
        </w:rPr>
        <w:t>、不得接受同一项目不同委托人的招投标服务委托，即就同一项目既接受</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zh-CN"/>
        </w:rPr>
        <w:t>的委托，又接受项目投标</w:t>
      </w:r>
      <w:r>
        <w:rPr>
          <w:rFonts w:hint="eastAsia" w:ascii="宋体" w:hAnsi="宋体" w:cs="宋体"/>
          <w:color w:val="auto"/>
          <w:sz w:val="21"/>
          <w:szCs w:val="21"/>
          <w:highlight w:val="none"/>
          <w:lang w:val="en-US" w:eastAsia="zh-CN"/>
        </w:rPr>
        <w:t>单位</w:t>
      </w:r>
      <w:r>
        <w:rPr>
          <w:rFonts w:hint="eastAsia" w:ascii="宋体" w:hAnsi="宋体" w:eastAsia="宋体" w:cs="宋体"/>
          <w:color w:val="auto"/>
          <w:sz w:val="21"/>
          <w:szCs w:val="21"/>
          <w:highlight w:val="none"/>
          <w:lang w:val="zh-CN"/>
        </w:rPr>
        <w:t>等相对利益关系人的委托。</w:t>
      </w:r>
    </w:p>
    <w:p w14:paraId="3C098E61">
      <w:pPr>
        <w:keepNext w:val="0"/>
        <w:keepLines w:val="0"/>
        <w:pageBreakBefore w:val="0"/>
        <w:tabs>
          <w:tab w:val="left" w:pos="1365"/>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被委托的</w:t>
      </w:r>
      <w:r>
        <w:rPr>
          <w:rFonts w:hint="eastAsia" w:ascii="宋体" w:hAnsi="宋体" w:eastAsia="宋体" w:cs="宋体"/>
          <w:color w:val="auto"/>
          <w:sz w:val="21"/>
          <w:szCs w:val="21"/>
          <w:highlight w:val="none"/>
          <w:lang w:val="zh-CN"/>
        </w:rPr>
        <w:t>项目的结果未经委托单位许可，不得泄露给他人。招标代理对本项招标代理服务涉及的有关资料、内容、成果以及结论，需承担保密的义务。</w:t>
      </w:r>
    </w:p>
    <w:p w14:paraId="183E904B">
      <w:pPr>
        <w:keepNext w:val="0"/>
        <w:keepLines w:val="0"/>
        <w:pageBreakBefore w:val="0"/>
        <w:tabs>
          <w:tab w:val="left" w:pos="1365"/>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九</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应满足以下要求或可提供更优的条件。</w:t>
      </w:r>
    </w:p>
    <w:p w14:paraId="733CE0FD">
      <w:pPr>
        <w:keepNext w:val="0"/>
        <w:keepLines w:val="0"/>
        <w:pageBreakBefore w:val="0"/>
        <w:tabs>
          <w:tab w:val="left" w:pos="1365"/>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1．拥有足够的人力、财力、物力和技术能力等资源保证按时按质按量完成委托的招标代理服务业务。</w:t>
      </w:r>
    </w:p>
    <w:p w14:paraId="2FA908AE">
      <w:pPr>
        <w:keepNext w:val="0"/>
        <w:keepLines w:val="0"/>
        <w:pageBreakBefore w:val="0"/>
        <w:tabs>
          <w:tab w:val="left" w:pos="1365"/>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2.供应商</w:t>
      </w:r>
      <w:r>
        <w:rPr>
          <w:rFonts w:hint="eastAsia" w:ascii="宋体" w:hAnsi="宋体" w:eastAsia="宋体" w:cs="宋体"/>
          <w:color w:val="auto"/>
          <w:sz w:val="21"/>
          <w:szCs w:val="21"/>
          <w:highlight w:val="none"/>
        </w:rPr>
        <w:t>须具备满足本项目需求的</w:t>
      </w:r>
      <w:r>
        <w:rPr>
          <w:rFonts w:hint="eastAsia" w:ascii="宋体" w:hAnsi="宋体" w:eastAsia="宋体" w:cs="宋体"/>
          <w:b w:val="0"/>
          <w:bCs w:val="0"/>
          <w:color w:val="auto"/>
          <w:sz w:val="21"/>
          <w:szCs w:val="21"/>
          <w:highlight w:val="none"/>
        </w:rPr>
        <w:t>本地化服务保障能力</w:t>
      </w:r>
      <w:r>
        <w:rPr>
          <w:rFonts w:hint="eastAsia" w:ascii="宋体" w:hAnsi="宋体" w:eastAsia="宋体" w:cs="宋体"/>
          <w:color w:val="auto"/>
          <w:sz w:val="21"/>
          <w:szCs w:val="21"/>
          <w:highlight w:val="none"/>
        </w:rPr>
        <w:t>，确保服务响应及时、</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高效、</w:t>
      </w:r>
      <w:r>
        <w:rPr>
          <w:rFonts w:hint="eastAsia" w:ascii="宋体" w:hAnsi="宋体" w:eastAsia="宋体" w:cs="宋体"/>
          <w:color w:val="auto"/>
          <w:sz w:val="21"/>
          <w:szCs w:val="21"/>
          <w:highlight w:val="none"/>
          <w:lang w:val="en-US" w:eastAsia="zh-CN"/>
        </w:rPr>
        <w:t>工作人员</w:t>
      </w:r>
      <w:r>
        <w:rPr>
          <w:rFonts w:hint="eastAsia" w:ascii="宋体" w:hAnsi="宋体" w:eastAsia="宋体" w:cs="宋体"/>
          <w:color w:val="auto"/>
          <w:sz w:val="21"/>
          <w:szCs w:val="21"/>
          <w:highlight w:val="none"/>
        </w:rPr>
        <w:t>稳定。</w:t>
      </w:r>
    </w:p>
    <w:p w14:paraId="51BB514A">
      <w:pPr>
        <w:keepNext w:val="0"/>
        <w:keepLines w:val="0"/>
        <w:pageBreakBefore w:val="0"/>
        <w:tabs>
          <w:tab w:val="left" w:pos="1365"/>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．具有丰富的招标工作经验和高中级专业技术人员。</w:t>
      </w:r>
      <w:r>
        <w:rPr>
          <w:rFonts w:hint="eastAsia" w:ascii="宋体" w:hAnsi="宋体" w:eastAsia="宋体" w:cs="宋体"/>
          <w:color w:val="auto"/>
          <w:sz w:val="21"/>
          <w:szCs w:val="21"/>
          <w:highlight w:val="none"/>
        </w:rPr>
        <w:t>每次领受任务时</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代理机构指派的项目负责人必须</w:t>
      </w:r>
      <w:r>
        <w:rPr>
          <w:rFonts w:hint="eastAsia" w:ascii="宋体" w:hAnsi="宋体" w:cs="宋体"/>
          <w:color w:val="auto"/>
          <w:sz w:val="21"/>
          <w:szCs w:val="21"/>
          <w:highlight w:val="none"/>
          <w:lang w:val="en-US" w:eastAsia="zh-CN"/>
        </w:rPr>
        <w:t>具有</w:t>
      </w:r>
      <w:r>
        <w:rPr>
          <w:rFonts w:hint="eastAsia" w:ascii="宋体" w:hAnsi="宋体" w:eastAsia="宋体" w:cs="宋体"/>
          <w:color w:val="auto"/>
          <w:sz w:val="21"/>
          <w:szCs w:val="21"/>
          <w:highlight w:val="none"/>
        </w:rPr>
        <w:t>人力资源部门颁发的中级（或以上）职称的技术人员，不具有该资格人不得担任项目负责人；</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代理机构更换项目负责人的，应至少提前7天以书面形式通知</w:t>
      </w:r>
      <w:r>
        <w:rPr>
          <w:rFonts w:hint="eastAsia" w:ascii="宋体" w:hAnsi="宋体" w:cs="宋体"/>
          <w:color w:val="auto"/>
          <w:sz w:val="21"/>
          <w:szCs w:val="21"/>
          <w:highlight w:val="none"/>
          <w:lang w:val="en-US" w:eastAsia="zh-CN"/>
        </w:rPr>
        <w:t>委托人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委托人</w:t>
      </w:r>
      <w:r>
        <w:rPr>
          <w:rFonts w:hint="eastAsia" w:ascii="宋体" w:hAnsi="宋体" w:eastAsia="宋体" w:cs="宋体"/>
          <w:color w:val="auto"/>
          <w:sz w:val="21"/>
          <w:szCs w:val="21"/>
          <w:highlight w:val="none"/>
        </w:rPr>
        <w:t>应在收到通知后7天内予以答复，否则视为同意，更换人员的技术职称不得低于原指派的项目负责人的技术职称。如未经同意擅自变更的，将取消其下一轮抽签轮单轮排的资格。</w:t>
      </w:r>
      <w:r>
        <w:rPr>
          <w:rFonts w:hint="eastAsia" w:ascii="宋体" w:hAnsi="宋体" w:cs="宋体"/>
          <w:color w:val="auto"/>
          <w:sz w:val="21"/>
          <w:szCs w:val="21"/>
          <w:highlight w:val="none"/>
          <w:lang w:val="en-US" w:eastAsia="zh-CN"/>
        </w:rPr>
        <w:t>委托</w:t>
      </w:r>
      <w:r>
        <w:rPr>
          <w:rFonts w:hint="eastAsia" w:ascii="宋体" w:hAnsi="宋体" w:eastAsia="宋体" w:cs="宋体"/>
          <w:color w:val="auto"/>
          <w:sz w:val="21"/>
          <w:szCs w:val="21"/>
          <w:highlight w:val="none"/>
        </w:rPr>
        <w:t>任务中要求</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代理机构必须安排驻场人员的</w:t>
      </w:r>
      <w:r>
        <w:rPr>
          <w:rFonts w:hint="eastAsia" w:ascii="宋体" w:hAnsi="宋体" w:eastAsia="宋体" w:cs="宋体"/>
          <w:color w:val="auto"/>
          <w:sz w:val="21"/>
          <w:szCs w:val="21"/>
          <w:highlight w:val="none"/>
          <w:lang w:val="zh-CN"/>
        </w:rPr>
        <w:t>，如</w:t>
      </w:r>
      <w:r>
        <w:rPr>
          <w:rFonts w:hint="eastAsia" w:ascii="宋体" w:hAnsi="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rPr>
        <w:t>配备相关人员或者驻场不及时，则</w:t>
      </w:r>
      <w:r>
        <w:rPr>
          <w:rFonts w:hint="eastAsia" w:ascii="宋体" w:hAnsi="宋体" w:cs="宋体"/>
          <w:color w:val="auto"/>
          <w:sz w:val="21"/>
          <w:szCs w:val="21"/>
          <w:highlight w:val="none"/>
          <w:lang w:val="en-US" w:eastAsia="zh-CN"/>
        </w:rPr>
        <w:t>委托人</w:t>
      </w:r>
      <w:r>
        <w:rPr>
          <w:rFonts w:hint="eastAsia" w:ascii="宋体" w:hAnsi="宋体" w:eastAsia="宋体" w:cs="宋体"/>
          <w:color w:val="auto"/>
          <w:sz w:val="21"/>
          <w:szCs w:val="21"/>
          <w:highlight w:val="none"/>
          <w:lang w:val="zh-CN"/>
        </w:rPr>
        <w:t>有权取消合同；驻场人员必须为</w:t>
      </w:r>
      <w:r>
        <w:rPr>
          <w:rFonts w:hint="eastAsia" w:ascii="宋体" w:hAnsi="宋体" w:cs="宋体"/>
          <w:color w:val="auto"/>
          <w:sz w:val="21"/>
          <w:szCs w:val="21"/>
          <w:highlight w:val="none"/>
          <w:lang w:val="en-US" w:eastAsia="zh-CN"/>
        </w:rPr>
        <w:t>具有</w:t>
      </w:r>
      <w:r>
        <w:rPr>
          <w:rFonts w:hint="eastAsia" w:ascii="宋体" w:hAnsi="宋体" w:eastAsia="宋体" w:cs="宋体"/>
          <w:color w:val="auto"/>
          <w:sz w:val="21"/>
          <w:szCs w:val="21"/>
          <w:highlight w:val="none"/>
        </w:rPr>
        <w:t>人力资源部门颁发的中级（或以上）职称</w:t>
      </w:r>
      <w:r>
        <w:rPr>
          <w:rFonts w:hint="eastAsia" w:ascii="宋体" w:hAnsi="宋体" w:eastAsia="宋体" w:cs="宋体"/>
          <w:color w:val="auto"/>
          <w:sz w:val="21"/>
          <w:szCs w:val="21"/>
          <w:highlight w:val="none"/>
          <w:lang w:val="zh-CN"/>
        </w:rPr>
        <w:t>的技术人员。</w:t>
      </w:r>
    </w:p>
    <w:p w14:paraId="142F65A0">
      <w:pPr>
        <w:keepNext w:val="0"/>
        <w:keepLines w:val="0"/>
        <w:pageBreakBefore w:val="0"/>
        <w:tabs>
          <w:tab w:val="left" w:pos="1365"/>
        </w:tabs>
        <w:kinsoku/>
        <w:wordWrap/>
        <w:overflowPunct/>
        <w:topLinePunct w:val="0"/>
        <w:autoSpaceDE/>
        <w:autoSpaceDN/>
        <w:bidi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4.没有拟派</w:t>
      </w:r>
      <w:r>
        <w:rPr>
          <w:rFonts w:hint="eastAsia" w:hAnsi="宋体" w:cs="宋体"/>
          <w:color w:val="auto"/>
          <w:sz w:val="21"/>
          <w:szCs w:val="21"/>
          <w:highlight w:val="none"/>
          <w:lang w:val="en-US" w:eastAsia="zh-CN"/>
        </w:rPr>
        <w:t>响应文件</w:t>
      </w:r>
      <w:r>
        <w:rPr>
          <w:rFonts w:hint="eastAsia" w:ascii="宋体" w:hAnsi="宋体" w:cs="宋体"/>
          <w:color w:val="auto"/>
          <w:sz w:val="21"/>
          <w:szCs w:val="21"/>
          <w:highlight w:val="none"/>
          <w:lang w:val="en-US" w:eastAsia="zh-CN"/>
        </w:rPr>
        <w:t>中承诺的技术人员，导致在项目实施过程中造成项目进度不顺利或重大失误的，采购人有权取消其协议资格。</w:t>
      </w:r>
    </w:p>
    <w:p w14:paraId="2479B084">
      <w:pPr>
        <w:keepNext w:val="0"/>
        <w:keepLines w:val="0"/>
        <w:pageBreakBefore w:val="0"/>
        <w:tabs>
          <w:tab w:val="left" w:pos="1365"/>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具有丰富的招标业绩（包括财政性资金投资的项目），且完成情况良好。</w:t>
      </w:r>
    </w:p>
    <w:p w14:paraId="2EF18489">
      <w:pPr>
        <w:keepNext w:val="0"/>
        <w:keepLines w:val="0"/>
        <w:pageBreakBefore w:val="0"/>
        <w:tabs>
          <w:tab w:val="left" w:pos="1365"/>
        </w:tabs>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有健全的组织机构的内部管理制度，有完善的质量保证体系和技术经济档案管理制度，有良好的</w:t>
      </w:r>
      <w:r>
        <w:rPr>
          <w:rFonts w:hint="eastAsia" w:hAnsi="宋体" w:cs="宋体"/>
          <w:color w:val="auto"/>
          <w:sz w:val="21"/>
          <w:szCs w:val="21"/>
          <w:highlight w:val="none"/>
          <w:lang w:val="zh-CN"/>
        </w:rPr>
        <w:t>服务态度</w:t>
      </w:r>
      <w:r>
        <w:rPr>
          <w:rFonts w:hint="eastAsia" w:ascii="宋体" w:hAnsi="宋体" w:eastAsia="宋体" w:cs="宋体"/>
          <w:color w:val="auto"/>
          <w:sz w:val="21"/>
          <w:szCs w:val="21"/>
          <w:highlight w:val="none"/>
          <w:lang w:val="zh-CN"/>
        </w:rPr>
        <w:t xml:space="preserve">较好的社会信誉。 </w:t>
      </w:r>
    </w:p>
    <w:p w14:paraId="62D70162">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应熟悉国家、省、市招投标主管部门关于招投标方面的有关政策、法规和知识，并有一定的实践经验。</w:t>
      </w:r>
    </w:p>
    <w:p w14:paraId="2D2828D4">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十</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rPr>
        <w:t>代理机构应及时与招标有关各方保持沟通，在合同的授权范围内为委托人提供招标代理服务，不得将本合同所确定的招标代理服务转让给第三方；有义务向委托人提供招标计划及相关的招投标资料，做好相关法律、法规及规章的解释工作；对所代理</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zh-CN"/>
        </w:rPr>
        <w:t>中提出的技术方案、数据参数、技术经济分析结论负责。</w:t>
      </w:r>
    </w:p>
    <w:p w14:paraId="236E3D5C">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lang w:val="zh-CN"/>
        </w:rPr>
      </w:pPr>
      <w:r>
        <w:rPr>
          <w:rFonts w:hint="eastAsia" w:hAnsi="宋体" w:cs="宋体"/>
          <w:b/>
          <w:bCs/>
          <w:color w:val="auto"/>
          <w:sz w:val="21"/>
          <w:szCs w:val="21"/>
          <w:highlight w:val="none"/>
          <w:lang w:val="en-US" w:eastAsia="zh-CN"/>
        </w:rPr>
        <w:t>十一、</w:t>
      </w:r>
      <w:r>
        <w:rPr>
          <w:rFonts w:hint="eastAsia" w:ascii="宋体" w:hAnsi="宋体" w:eastAsia="宋体" w:cs="宋体"/>
          <w:b/>
          <w:bCs/>
          <w:color w:val="auto"/>
          <w:sz w:val="21"/>
          <w:szCs w:val="21"/>
          <w:highlight w:val="none"/>
          <w:lang w:val="zh-CN"/>
        </w:rPr>
        <w:t>因政策或其他客观原因导致本项目无法正常开展的，招标人可与投标人友好协商终止本次招标工作，双方互不追究缔约过失责任及违约责任。</w:t>
      </w:r>
    </w:p>
    <w:p w14:paraId="3543E2D8">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val="zh-CN"/>
        </w:rPr>
      </w:pPr>
    </w:p>
    <w:p w14:paraId="237FF836">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160"/>
    <w:bookmarkEnd w:id="161"/>
    <w:bookmarkEnd w:id="162"/>
    <w:bookmarkEnd w:id="163"/>
    <w:bookmarkEnd w:id="164"/>
    <w:bookmarkEnd w:id="165"/>
    <w:bookmarkEnd w:id="166"/>
    <w:p w14:paraId="1A13EDBC">
      <w:pPr>
        <w:pStyle w:val="3"/>
        <w:keepNext/>
        <w:keepLines/>
        <w:pageBreakBefore/>
        <w:numPr>
          <w:ilvl w:val="0"/>
          <w:numId w:val="0"/>
        </w:numPr>
        <w:shd w:val="clear"/>
        <w:spacing w:line="360" w:lineRule="auto"/>
        <w:ind w:leftChars="0"/>
        <w:jc w:val="center"/>
        <w:rPr>
          <w:rFonts w:hint="eastAsia" w:ascii="宋体" w:hAnsi="宋体" w:eastAsia="宋体" w:cs="宋体"/>
          <w:b/>
          <w:bCs/>
          <w:color w:val="auto"/>
          <w:kern w:val="44"/>
          <w:sz w:val="28"/>
          <w:szCs w:val="28"/>
          <w:highlight w:val="none"/>
          <w:lang w:val="zh-CN"/>
        </w:rPr>
      </w:pPr>
      <w:bookmarkStart w:id="173" w:name="_Toc28792"/>
      <w:bookmarkStart w:id="174" w:name="_Toc4437"/>
      <w:r>
        <w:rPr>
          <w:rFonts w:hint="eastAsia" w:hAnsi="宋体" w:cs="宋体"/>
          <w:b/>
          <w:bCs/>
          <w:color w:val="auto"/>
          <w:kern w:val="44"/>
          <w:sz w:val="28"/>
          <w:szCs w:val="28"/>
          <w:highlight w:val="none"/>
          <w:lang w:val="en-US" w:eastAsia="zh-CN"/>
        </w:rPr>
        <w:t xml:space="preserve">第四篇 </w:t>
      </w:r>
      <w:r>
        <w:rPr>
          <w:rFonts w:hint="eastAsia" w:ascii="宋体" w:hAnsi="宋体" w:eastAsia="宋体" w:cs="宋体"/>
          <w:b/>
          <w:bCs/>
          <w:color w:val="auto"/>
          <w:kern w:val="44"/>
          <w:sz w:val="28"/>
          <w:szCs w:val="28"/>
          <w:highlight w:val="none"/>
          <w:lang w:val="zh-CN"/>
        </w:rPr>
        <w:t>评审工作大纲</w:t>
      </w:r>
      <w:bookmarkEnd w:id="173"/>
    </w:p>
    <w:p w14:paraId="10B3E61E">
      <w:pPr>
        <w:pStyle w:val="21"/>
        <w:shd w:val="clear"/>
        <w:spacing w:line="360" w:lineRule="auto"/>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一、磋商小组对响应文件进行初审，初审包括资格性审查和符合性审查。</w:t>
      </w:r>
    </w:p>
    <w:p w14:paraId="7CD1598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《资格性、符合性审查表》</w:t>
      </w:r>
    </w:p>
    <w:tbl>
      <w:tblPr>
        <w:tblStyle w:val="5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14:paraId="420F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1A733CFA">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EE7D98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 审 内 容</w:t>
            </w:r>
          </w:p>
        </w:tc>
      </w:tr>
      <w:tr w14:paraId="50DE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vAlign w:val="center"/>
          </w:tcPr>
          <w:p w14:paraId="40EF1BE1">
            <w:pPr>
              <w:numPr>
                <w:ilvl w:val="0"/>
                <w:numId w:val="0"/>
              </w:numPr>
              <w:tabs>
                <w:tab w:val="left" w:pos="176"/>
                <w:tab w:val="left" w:pos="612"/>
              </w:tabs>
              <w:ind w:left="420" w:leftChars="0" w:hanging="420" w:firstLineChars="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u w:val="none"/>
                <w:lang w:val="en-US" w:eastAsia="zh-CN" w:bidi="ar-SA"/>
              </w:rPr>
              <w:t>1</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7849CC08">
            <w:pPr>
              <w:tabs>
                <w:tab w:val="left" w:pos="612"/>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须为在中华人民共和国境内登记注册的具有独立承担民事责任能力的法人或其他组织【提供《营业执照》复印件（加盖公章）或《事业单位法人证书》复印件（加盖公章）或其他主体证书复印件（加盖公章）】；</w:t>
            </w:r>
          </w:p>
        </w:tc>
      </w:tr>
      <w:tr w14:paraId="64B0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416F3608">
            <w:pPr>
              <w:tabs>
                <w:tab w:val="left" w:pos="176"/>
                <w:tab w:val="left" w:pos="420"/>
                <w:tab w:val="left" w:pos="612"/>
              </w:tabs>
              <w:jc w:val="center"/>
              <w:rPr>
                <w:rFonts w:hint="eastAsia" w:ascii="宋体" w:hAnsi="宋体" w:eastAsia="宋体" w:cs="宋体"/>
                <w:color w:val="auto"/>
                <w:sz w:val="21"/>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306B6FF8">
            <w:pPr>
              <w:tabs>
                <w:tab w:val="left" w:pos="612"/>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（2）参加采购活动前三年内，在经营活动中没有重大违法记录（须提供书面声明）；</w:t>
            </w:r>
          </w:p>
        </w:tc>
      </w:tr>
      <w:tr w14:paraId="471C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2AF939D2">
            <w:pPr>
              <w:tabs>
                <w:tab w:val="left" w:pos="176"/>
                <w:tab w:val="left" w:pos="420"/>
                <w:tab w:val="left" w:pos="612"/>
              </w:tabs>
              <w:jc w:val="center"/>
              <w:rPr>
                <w:rFonts w:hint="eastAsia" w:ascii="宋体" w:hAnsi="宋体" w:eastAsia="宋体" w:cs="宋体"/>
                <w:color w:val="auto"/>
                <w:sz w:val="21"/>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2D1591B8">
            <w:pPr>
              <w:tabs>
                <w:tab w:val="left" w:pos="612"/>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，不得参加同一合同项下的采购活动；</w:t>
            </w:r>
          </w:p>
        </w:tc>
      </w:tr>
      <w:tr w14:paraId="65DD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793B82CF">
            <w:pPr>
              <w:tabs>
                <w:tab w:val="left" w:pos="176"/>
                <w:tab w:val="left" w:pos="420"/>
                <w:tab w:val="left" w:pos="612"/>
              </w:tabs>
              <w:jc w:val="center"/>
              <w:rPr>
                <w:rFonts w:hint="eastAsia" w:ascii="宋体" w:hAnsi="宋体" w:eastAsia="宋体" w:cs="宋体"/>
                <w:color w:val="auto"/>
                <w:sz w:val="21"/>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2707063B">
            <w:pPr>
              <w:tabs>
                <w:tab w:val="left" w:pos="612"/>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（4）未被列入“信用中国”网站</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www.creditchina.gov.cn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“记录失信被执行人或重大税收违法失信主体或政府采购严重违法失信行为”记录名单。以代理机构于响应截止日当天在“信用中国”网站查询结果为准，如相关失信记录已失效，</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需提供相关证明资料；</w:t>
            </w:r>
          </w:p>
        </w:tc>
      </w:tr>
      <w:tr w14:paraId="09F4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4F18884A">
            <w:pPr>
              <w:tabs>
                <w:tab w:val="left" w:pos="176"/>
                <w:tab w:val="left" w:pos="420"/>
                <w:tab w:val="left" w:pos="612"/>
              </w:tabs>
              <w:jc w:val="center"/>
              <w:rPr>
                <w:rFonts w:hint="eastAsia" w:ascii="宋体" w:hAnsi="宋体" w:eastAsia="宋体" w:cs="宋体"/>
                <w:color w:val="auto"/>
                <w:sz w:val="21"/>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3D484D21">
            <w:pPr>
              <w:tabs>
                <w:tab w:val="left" w:pos="612"/>
              </w:tabs>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（5）未被列入东实集团及下属企业相关领域黑名单。【以</w:t>
            </w:r>
            <w:r>
              <w:rPr>
                <w:rFonts w:hint="eastAsia" w:ascii="宋体" w:hAnsi="宋体" w:eastAsia="宋体" w:cs="宋体"/>
                <w:color w:val="auto"/>
                <w:sz w:val="21"/>
                <w:szCs w:val="21"/>
                <w:highlight w:val="none"/>
                <w:lang w:val="zh-CN"/>
              </w:rPr>
              <w:t>东莞实业投资控股集团有限公司</w:t>
            </w:r>
            <w:r>
              <w:rPr>
                <w:rFonts w:hint="eastAsia" w:ascii="宋体" w:hAnsi="宋体" w:eastAsia="宋体" w:cs="宋体"/>
                <w:color w:val="auto"/>
                <w:sz w:val="21"/>
                <w:szCs w:val="21"/>
                <w:highlight w:val="none"/>
              </w:rPr>
              <w:t>发文（东实通〔2021〕44号）、（东实通〔2021〕98号）、（东实通〔2022〕75号）、（东实通〔2023〕37号）、（东实通〔2024〕163号）、（东实通〔2024〕195号）、（东实通</w:t>
            </w:r>
            <w:r>
              <w:rPr>
                <w:rFonts w:hint="eastAsia" w:hAnsi="宋体" w:cs="宋体"/>
                <w:color w:val="auto"/>
                <w:sz w:val="21"/>
                <w:szCs w:val="21"/>
                <w:highlight w:val="none"/>
                <w:lang w:eastAsia="zh-CN"/>
              </w:rPr>
              <w:t>〔2025〕</w:t>
            </w:r>
            <w:r>
              <w:rPr>
                <w:rFonts w:hint="eastAsia" w:ascii="宋体" w:hAnsi="宋体" w:eastAsia="宋体" w:cs="宋体"/>
                <w:color w:val="auto"/>
                <w:sz w:val="21"/>
                <w:szCs w:val="21"/>
                <w:highlight w:val="none"/>
              </w:rPr>
              <w:t>157）</w:t>
            </w:r>
            <w:r>
              <w:rPr>
                <w:rFonts w:hint="eastAsia" w:hAnsi="宋体"/>
                <w:color w:val="auto"/>
                <w:sz w:val="21"/>
                <w:szCs w:val="21"/>
                <w:highlight w:val="none"/>
              </w:rPr>
              <w:t>及下属企业发文为准，</w:t>
            </w:r>
            <w:r>
              <w:rPr>
                <w:rFonts w:hint="eastAsia" w:ascii="宋体" w:hAnsi="宋体" w:eastAsia="宋体" w:cs="宋体"/>
                <w:color w:val="auto"/>
                <w:sz w:val="21"/>
                <w:szCs w:val="21"/>
                <w:highlight w:val="none"/>
              </w:rPr>
              <w:t>如有最新发文通知，按最新文件执行。】</w:t>
            </w:r>
          </w:p>
        </w:tc>
      </w:tr>
      <w:tr w14:paraId="31B2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3980C4FC">
            <w:pPr>
              <w:numPr>
                <w:ilvl w:val="0"/>
                <w:numId w:val="0"/>
              </w:numPr>
              <w:tabs>
                <w:tab w:val="left" w:pos="176"/>
                <w:tab w:val="left" w:pos="612"/>
              </w:tabs>
              <w:ind w:left="420" w:leftChars="0" w:hanging="420" w:firstLineChars="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u w:val="none"/>
                <w:lang w:val="en-US" w:eastAsia="zh-CN" w:bidi="ar-SA"/>
              </w:rPr>
              <w:t>2</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25A18A72">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供应商</w:t>
            </w:r>
            <w:r>
              <w:rPr>
                <w:rFonts w:hint="eastAsia" w:ascii="宋体" w:hAnsi="宋体" w:eastAsia="宋体" w:cs="宋体"/>
                <w:color w:val="auto"/>
                <w:sz w:val="21"/>
                <w:szCs w:val="21"/>
                <w:highlight w:val="none"/>
                <w:lang w:bidi="ar"/>
              </w:rPr>
              <w:t>按照</w:t>
            </w:r>
            <w:r>
              <w:rPr>
                <w:rFonts w:hint="eastAsia" w:hAnsi="宋体" w:cs="宋体"/>
                <w:color w:val="auto"/>
                <w:sz w:val="21"/>
                <w:szCs w:val="21"/>
                <w:highlight w:val="none"/>
                <w:lang w:val="en-US" w:eastAsia="zh-CN" w:bidi="ar"/>
              </w:rPr>
              <w:t>磋商</w:t>
            </w:r>
            <w:r>
              <w:rPr>
                <w:rFonts w:hint="eastAsia" w:ascii="宋体" w:hAnsi="宋体" w:eastAsia="宋体" w:cs="宋体"/>
                <w:color w:val="auto"/>
                <w:sz w:val="21"/>
                <w:szCs w:val="21"/>
                <w:highlight w:val="none"/>
                <w:lang w:bidi="ar"/>
              </w:rPr>
              <w:t>文件要求提交</w:t>
            </w:r>
            <w:r>
              <w:rPr>
                <w:rFonts w:hint="eastAsia" w:hAnsi="宋体" w:cs="宋体"/>
                <w:color w:val="auto"/>
                <w:sz w:val="21"/>
                <w:szCs w:val="21"/>
                <w:highlight w:val="none"/>
                <w:lang w:val="en-US" w:eastAsia="zh-CN" w:bidi="ar"/>
              </w:rPr>
              <w:t>响应</w:t>
            </w:r>
            <w:r>
              <w:rPr>
                <w:rFonts w:hint="eastAsia" w:ascii="宋体" w:hAnsi="宋体" w:eastAsia="宋体" w:cs="宋体"/>
                <w:color w:val="auto"/>
                <w:sz w:val="21"/>
                <w:szCs w:val="21"/>
                <w:highlight w:val="none"/>
                <w:lang w:bidi="ar"/>
              </w:rPr>
              <w:t>保证金；</w:t>
            </w:r>
          </w:p>
        </w:tc>
      </w:tr>
      <w:tr w14:paraId="2854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1D8745E2">
            <w:pPr>
              <w:numPr>
                <w:ilvl w:val="0"/>
                <w:numId w:val="0"/>
              </w:numPr>
              <w:tabs>
                <w:tab w:val="left" w:pos="176"/>
                <w:tab w:val="left" w:pos="612"/>
              </w:tabs>
              <w:ind w:left="420" w:leftChars="0" w:hanging="420" w:firstLineChars="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u w:val="none"/>
                <w:lang w:val="en-US" w:eastAsia="zh-CN" w:bidi="ar-SA"/>
              </w:rPr>
              <w:t>3</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DCAC45A">
            <w:pPr>
              <w:textAlignment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bidi="ar"/>
              </w:rPr>
              <w:t>响应文件</w:t>
            </w:r>
            <w:r>
              <w:rPr>
                <w:rFonts w:hint="eastAsia" w:ascii="宋体" w:hAnsi="宋体" w:eastAsia="宋体" w:cs="宋体"/>
                <w:color w:val="auto"/>
                <w:sz w:val="21"/>
                <w:szCs w:val="21"/>
                <w:highlight w:val="none"/>
                <w:lang w:bidi="ar"/>
              </w:rPr>
              <w:t>按照</w:t>
            </w:r>
            <w:r>
              <w:rPr>
                <w:rFonts w:hint="eastAsia" w:hAnsi="宋体" w:cs="宋体"/>
                <w:color w:val="auto"/>
                <w:sz w:val="21"/>
                <w:szCs w:val="21"/>
                <w:highlight w:val="none"/>
                <w:lang w:val="en-US" w:eastAsia="zh-CN" w:bidi="ar"/>
              </w:rPr>
              <w:t>磋商</w:t>
            </w:r>
            <w:r>
              <w:rPr>
                <w:rFonts w:hint="eastAsia" w:ascii="宋体" w:hAnsi="宋体" w:eastAsia="宋体" w:cs="宋体"/>
                <w:color w:val="auto"/>
                <w:sz w:val="21"/>
                <w:szCs w:val="21"/>
                <w:highlight w:val="none"/>
                <w:lang w:bidi="ar"/>
              </w:rPr>
              <w:t>文件要求签署盖章；</w:t>
            </w:r>
          </w:p>
        </w:tc>
      </w:tr>
      <w:tr w14:paraId="36B7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5802BC3B">
            <w:pPr>
              <w:numPr>
                <w:ilvl w:val="0"/>
                <w:numId w:val="0"/>
              </w:numPr>
              <w:tabs>
                <w:tab w:val="left" w:pos="176"/>
                <w:tab w:val="left" w:pos="612"/>
              </w:tabs>
              <w:ind w:leftChars="0"/>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0EB6EF8">
            <w:pPr>
              <w:textAlignment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bidi="ar"/>
              </w:rPr>
              <w:t>响应报价按照磋商文件要求报价</w:t>
            </w:r>
            <w:r>
              <w:rPr>
                <w:rFonts w:hint="eastAsia" w:ascii="宋体" w:hAnsi="宋体" w:eastAsia="宋体" w:cs="宋体"/>
                <w:color w:val="auto"/>
                <w:sz w:val="21"/>
                <w:szCs w:val="21"/>
                <w:highlight w:val="none"/>
                <w:lang w:bidi="ar"/>
              </w:rPr>
              <w:t>；</w:t>
            </w:r>
          </w:p>
        </w:tc>
      </w:tr>
      <w:tr w14:paraId="7656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0B78EE05">
            <w:pPr>
              <w:tabs>
                <w:tab w:val="left" w:pos="176"/>
                <w:tab w:val="left" w:pos="612"/>
              </w:tabs>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2242A991">
            <w:pPr>
              <w:textAlignment w:val="center"/>
              <w:rPr>
                <w:rFonts w:hint="eastAsia" w:ascii="宋体" w:hAnsi="宋体" w:eastAsia="宋体" w:cs="宋体"/>
                <w:color w:val="auto"/>
                <w:sz w:val="21"/>
                <w:szCs w:val="21"/>
                <w:highlight w:val="none"/>
                <w:lang w:bidi="ar"/>
              </w:rPr>
            </w:pPr>
            <w:r>
              <w:rPr>
                <w:rFonts w:hint="eastAsia" w:hAnsi="宋体" w:cs="宋体"/>
                <w:color w:val="auto"/>
                <w:sz w:val="21"/>
                <w:szCs w:val="21"/>
                <w:highlight w:val="none"/>
                <w:lang w:eastAsia="zh-CN" w:bidi="ar"/>
              </w:rPr>
              <w:t>响应文件</w:t>
            </w:r>
            <w:r>
              <w:rPr>
                <w:rFonts w:hint="eastAsia" w:ascii="宋体" w:hAnsi="宋体" w:eastAsia="宋体" w:cs="宋体"/>
                <w:color w:val="auto"/>
                <w:sz w:val="21"/>
                <w:szCs w:val="21"/>
                <w:highlight w:val="none"/>
                <w:lang w:bidi="ar"/>
              </w:rPr>
              <w:t>未含有采购人不能接受的附加条件；</w:t>
            </w:r>
          </w:p>
        </w:tc>
      </w:tr>
      <w:tr w14:paraId="43EF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57C8B319">
            <w:pPr>
              <w:tabs>
                <w:tab w:val="left" w:pos="176"/>
                <w:tab w:val="left" w:pos="612"/>
              </w:tabs>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30CFA311">
            <w:pP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无负偏离标注“★”符号的条款。</w:t>
            </w:r>
          </w:p>
        </w:tc>
      </w:tr>
      <w:tr w14:paraId="4D54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0B3928DE">
            <w:pPr>
              <w:tabs>
                <w:tab w:val="left" w:pos="176"/>
                <w:tab w:val="left" w:pos="612"/>
              </w:tabs>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1298F03C">
            <w:pP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未出现</w:t>
            </w:r>
            <w:r>
              <w:rPr>
                <w:rFonts w:hint="eastAsia" w:ascii="宋体" w:hAnsi="宋体" w:eastAsia="宋体" w:cs="宋体"/>
                <w:color w:val="auto"/>
                <w:sz w:val="21"/>
                <w:szCs w:val="21"/>
                <w:highlight w:val="none"/>
                <w:lang w:bidi="ar"/>
              </w:rPr>
              <w:t>法律、法规和</w:t>
            </w:r>
            <w:r>
              <w:rPr>
                <w:rFonts w:hint="eastAsia" w:hAnsi="宋体" w:cs="宋体"/>
                <w:color w:val="auto"/>
                <w:sz w:val="21"/>
                <w:szCs w:val="21"/>
                <w:highlight w:val="none"/>
                <w:lang w:val="en-US" w:eastAsia="zh-CN" w:bidi="ar"/>
              </w:rPr>
              <w:t>磋商</w:t>
            </w:r>
            <w:r>
              <w:rPr>
                <w:rFonts w:hint="eastAsia" w:ascii="宋体" w:hAnsi="宋体" w:eastAsia="宋体" w:cs="宋体"/>
                <w:color w:val="auto"/>
                <w:sz w:val="21"/>
                <w:szCs w:val="21"/>
                <w:highlight w:val="none"/>
                <w:lang w:bidi="ar"/>
              </w:rPr>
              <w:t>文件规定的其他无效情形。</w:t>
            </w:r>
          </w:p>
        </w:tc>
      </w:tr>
    </w:tbl>
    <w:p w14:paraId="0882E10D">
      <w:pPr>
        <w:pStyle w:val="21"/>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right="-28"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以上资格性、符合性审查中带有不合格分项的</w:t>
      </w:r>
      <w:r>
        <w:rPr>
          <w:rFonts w:hint="eastAsia" w:hAnsi="宋体" w:cs="宋体"/>
          <w:color w:val="auto"/>
          <w:sz w:val="21"/>
          <w:szCs w:val="21"/>
          <w:highlight w:val="none"/>
          <w:lang w:eastAsia="zh-CN"/>
        </w:rPr>
        <w:t>响应文件</w:t>
      </w:r>
      <w:r>
        <w:rPr>
          <w:rFonts w:hint="eastAsia" w:ascii="宋体" w:hAnsi="宋体" w:eastAsia="宋体" w:cs="宋体"/>
          <w:color w:val="auto"/>
          <w:sz w:val="21"/>
          <w:szCs w:val="21"/>
          <w:highlight w:val="none"/>
        </w:rPr>
        <w:t>，将作</w:t>
      </w:r>
      <w:r>
        <w:rPr>
          <w:rFonts w:hint="eastAsia" w:ascii="宋体" w:hAnsi="宋体" w:eastAsia="宋体" w:cs="宋体"/>
          <w:color w:val="auto"/>
          <w:sz w:val="21"/>
          <w:szCs w:val="21"/>
          <w:highlight w:val="none"/>
          <w:lang w:eastAsia="zh-CN"/>
        </w:rPr>
        <w:t>无效响应</w:t>
      </w:r>
      <w:r>
        <w:rPr>
          <w:rFonts w:hint="eastAsia" w:ascii="宋体" w:hAnsi="宋体" w:eastAsia="宋体" w:cs="宋体"/>
          <w:color w:val="auto"/>
          <w:sz w:val="21"/>
          <w:szCs w:val="21"/>
          <w:highlight w:val="none"/>
        </w:rPr>
        <w:t>处理。经</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确认的无效</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文件，采购人和采购代理机构将予以拒绝，并且不允许通过修正或</w:t>
      </w:r>
      <w:r>
        <w:rPr>
          <w:rFonts w:hint="eastAsia" w:hAnsi="宋体" w:cs="宋体"/>
          <w:color w:val="auto"/>
          <w:sz w:val="21"/>
          <w:szCs w:val="21"/>
          <w:highlight w:val="none"/>
          <w:lang w:eastAsia="zh-CN"/>
        </w:rPr>
        <w:t>撤销其</w:t>
      </w:r>
      <w:r>
        <w:rPr>
          <w:rFonts w:hint="eastAsia" w:ascii="宋体" w:hAnsi="宋体" w:eastAsia="宋体" w:cs="宋体"/>
          <w:color w:val="auto"/>
          <w:sz w:val="21"/>
          <w:szCs w:val="21"/>
          <w:highlight w:val="none"/>
        </w:rPr>
        <w:t>不符合要求的差异，使之成为具有符合性的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文件。经</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资格性、符合性审查确认具有有效</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不足三家时将重新组织采购。</w:t>
      </w:r>
    </w:p>
    <w:p w14:paraId="35500C22">
      <w:pPr>
        <w:pStyle w:val="21"/>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360" w:lineRule="auto"/>
        <w:ind w:right="-28" w:righ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经过磋商阶段后，磋商小组按照磋商文件确定的评审标准和方法对提交最后报价的供应商的响应文件进行评审和比较，推荐候选</w:t>
      </w:r>
      <w:r>
        <w:rPr>
          <w:rFonts w:hint="eastAsia" w:hAnsi="宋体" w:cs="宋体"/>
          <w:color w:val="auto"/>
          <w:sz w:val="21"/>
          <w:szCs w:val="21"/>
          <w:highlight w:val="none"/>
          <w:lang w:eastAsia="zh-CN"/>
        </w:rPr>
        <w:t>成交人</w:t>
      </w:r>
      <w:r>
        <w:rPr>
          <w:rFonts w:hint="eastAsia" w:ascii="宋体" w:hAnsi="宋体" w:eastAsia="宋体" w:cs="宋体"/>
          <w:color w:val="auto"/>
          <w:sz w:val="21"/>
          <w:szCs w:val="21"/>
          <w:highlight w:val="none"/>
        </w:rPr>
        <w:t>，编制评审报告。</w:t>
      </w:r>
    </w:p>
    <w:p w14:paraId="7AA22FC5">
      <w:pPr>
        <w:pStyle w:val="30"/>
        <w:shd w:val="clear"/>
        <w:spacing w:line="360" w:lineRule="auto"/>
        <w:ind w:firstLine="422" w:firstLineChars="200"/>
        <w:outlineLvl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三、评审因素及评分权重</w:t>
      </w:r>
      <w:bookmarkEnd w:id="174"/>
    </w:p>
    <w:p w14:paraId="5176D01E">
      <w:pPr>
        <w:shd w:val="clear"/>
        <w:tabs>
          <w:tab w:val="left" w:pos="660"/>
        </w:tabs>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1、评委考核打分的评分因素及分值</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总分100分</w:t>
      </w:r>
    </w:p>
    <w:tbl>
      <w:tblPr>
        <w:tblStyle w:val="53"/>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9"/>
        <w:gridCol w:w="671"/>
        <w:gridCol w:w="63"/>
        <w:gridCol w:w="6214"/>
      </w:tblGrid>
      <w:tr w14:paraId="2EDD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C0F0556">
            <w:pPr>
              <w:pStyle w:val="78"/>
              <w:keepNext w:val="0"/>
              <w:keepLines w:val="0"/>
              <w:pageBreakBefore w:val="0"/>
              <w:kinsoku/>
              <w:wordWrap/>
              <w:overflowPunct/>
              <w:topLinePunct w:val="0"/>
              <w:bidi w:val="0"/>
              <w:snapToGrid/>
              <w:spacing w:line="440" w:lineRule="exact"/>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09" w:type="dxa"/>
            <w:tcBorders>
              <w:top w:val="single" w:color="auto" w:sz="4" w:space="0"/>
              <w:left w:val="single" w:color="auto" w:sz="4" w:space="0"/>
              <w:bottom w:val="single" w:color="auto" w:sz="4" w:space="0"/>
              <w:right w:val="single" w:color="auto" w:sz="4" w:space="0"/>
            </w:tcBorders>
            <w:vAlign w:val="center"/>
          </w:tcPr>
          <w:p w14:paraId="60F85B4A">
            <w:pPr>
              <w:pStyle w:val="78"/>
              <w:keepNext w:val="0"/>
              <w:keepLines w:val="0"/>
              <w:pageBreakBefore w:val="0"/>
              <w:kinsoku/>
              <w:wordWrap/>
              <w:overflowPunct/>
              <w:topLinePunct w:val="0"/>
              <w:bidi w:val="0"/>
              <w:snapToGrid/>
              <w:spacing w:line="440" w:lineRule="exact"/>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671" w:type="dxa"/>
            <w:tcBorders>
              <w:top w:val="single" w:color="auto" w:sz="4" w:space="0"/>
              <w:left w:val="single" w:color="auto" w:sz="4" w:space="0"/>
              <w:bottom w:val="single" w:color="auto" w:sz="4" w:space="0"/>
              <w:right w:val="single" w:color="auto" w:sz="4" w:space="0"/>
            </w:tcBorders>
            <w:vAlign w:val="center"/>
          </w:tcPr>
          <w:p w14:paraId="6D873ACA">
            <w:pPr>
              <w:pStyle w:val="78"/>
              <w:keepNext w:val="0"/>
              <w:keepLines w:val="0"/>
              <w:pageBreakBefore w:val="0"/>
              <w:kinsoku/>
              <w:wordWrap/>
              <w:overflowPunct/>
              <w:topLinePunct w:val="0"/>
              <w:bidi w:val="0"/>
              <w:snapToGrid/>
              <w:spacing w:line="440" w:lineRule="exact"/>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277" w:type="dxa"/>
            <w:gridSpan w:val="2"/>
            <w:tcBorders>
              <w:top w:val="single" w:color="auto" w:sz="4" w:space="0"/>
              <w:left w:val="single" w:color="auto" w:sz="4" w:space="0"/>
              <w:bottom w:val="single" w:color="auto" w:sz="4" w:space="0"/>
              <w:right w:val="single" w:color="auto" w:sz="4" w:space="0"/>
            </w:tcBorders>
            <w:vAlign w:val="center"/>
          </w:tcPr>
          <w:p w14:paraId="0C359D28">
            <w:pPr>
              <w:pStyle w:val="78"/>
              <w:keepNext w:val="0"/>
              <w:keepLines w:val="0"/>
              <w:pageBreakBefore w:val="0"/>
              <w:kinsoku/>
              <w:wordWrap/>
              <w:overflowPunct/>
              <w:topLinePunct w:val="0"/>
              <w:bidi w:val="0"/>
              <w:snapToGrid/>
              <w:spacing w:line="440" w:lineRule="exact"/>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2642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47" w:type="dxa"/>
            <w:gridSpan w:val="5"/>
            <w:tcBorders>
              <w:top w:val="single" w:color="auto" w:sz="4" w:space="0"/>
              <w:left w:val="single" w:color="auto" w:sz="4" w:space="0"/>
              <w:bottom w:val="single" w:color="auto" w:sz="4" w:space="0"/>
              <w:right w:val="single" w:color="auto" w:sz="4" w:space="0"/>
            </w:tcBorders>
            <w:vAlign w:val="center"/>
          </w:tcPr>
          <w:p w14:paraId="415467DC">
            <w:pPr>
              <w:pStyle w:val="78"/>
              <w:keepNext w:val="0"/>
              <w:keepLines w:val="0"/>
              <w:pageBreakBefore w:val="0"/>
              <w:kinsoku/>
              <w:wordWrap/>
              <w:overflowPunct/>
              <w:topLinePunct w:val="0"/>
              <w:bidi w:val="0"/>
              <w:snapToGrid/>
              <w:spacing w:line="440" w:lineRule="exact"/>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r>
      <w:tr w14:paraId="0ECF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14:paraId="2C55824B">
            <w:pPr>
              <w:pStyle w:val="78"/>
              <w:keepNext w:val="0"/>
              <w:keepLines w:val="0"/>
              <w:pageBreakBefore w:val="0"/>
              <w:kinsoku/>
              <w:wordWrap/>
              <w:overflowPunct/>
              <w:topLinePunct w:val="0"/>
              <w:bidi w:val="0"/>
              <w:snapToGrid/>
              <w:spacing w:line="440" w:lineRule="exact"/>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9" w:type="dxa"/>
            <w:tcBorders>
              <w:top w:val="single" w:color="auto" w:sz="4" w:space="0"/>
              <w:left w:val="single" w:color="auto" w:sz="4" w:space="0"/>
              <w:right w:val="single" w:color="auto" w:sz="4" w:space="0"/>
            </w:tcBorders>
            <w:vAlign w:val="center"/>
          </w:tcPr>
          <w:p w14:paraId="1FDD3EEC">
            <w:pPr>
              <w:pStyle w:val="78"/>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rPr>
              <w:t>业绩</w:t>
            </w:r>
          </w:p>
        </w:tc>
        <w:tc>
          <w:tcPr>
            <w:tcW w:w="671" w:type="dxa"/>
            <w:tcBorders>
              <w:top w:val="single" w:color="auto" w:sz="4" w:space="0"/>
              <w:left w:val="single" w:color="auto" w:sz="4" w:space="0"/>
              <w:bottom w:val="single" w:color="auto" w:sz="4" w:space="0"/>
              <w:right w:val="single" w:color="auto" w:sz="4" w:space="0"/>
            </w:tcBorders>
            <w:vAlign w:val="center"/>
          </w:tcPr>
          <w:p w14:paraId="61D97CDF">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12</w:t>
            </w:r>
            <w:r>
              <w:rPr>
                <w:rFonts w:hint="eastAsia" w:ascii="宋体" w:hAnsi="宋体" w:eastAsia="宋体" w:cs="宋体"/>
                <w:color w:val="auto"/>
                <w:kern w:val="2"/>
                <w:sz w:val="21"/>
                <w:szCs w:val="21"/>
                <w:highlight w:val="none"/>
                <w:u w:val="none"/>
                <w:lang w:val="en-US" w:eastAsia="zh-CN" w:bidi="ar-SA"/>
              </w:rPr>
              <w:t>分</w:t>
            </w:r>
          </w:p>
        </w:tc>
        <w:tc>
          <w:tcPr>
            <w:tcW w:w="6277" w:type="dxa"/>
            <w:gridSpan w:val="2"/>
            <w:tcBorders>
              <w:top w:val="single" w:color="auto" w:sz="4" w:space="0"/>
              <w:left w:val="single" w:color="auto" w:sz="4" w:space="0"/>
              <w:bottom w:val="single" w:color="auto" w:sz="4" w:space="0"/>
              <w:right w:val="single" w:color="auto" w:sz="4" w:space="0"/>
            </w:tcBorders>
            <w:vAlign w:val="center"/>
          </w:tcPr>
          <w:p w14:paraId="0ED2CB28">
            <w:pPr>
              <w:pStyle w:val="78"/>
              <w:keepNext w:val="0"/>
              <w:keepLines w:val="0"/>
              <w:pageBreakBefore w:val="0"/>
              <w:widowControl w:val="0"/>
              <w:kinsoku/>
              <w:wordWrap/>
              <w:overflowPunct/>
              <w:topLinePunct w:val="0"/>
              <w:bidi w:val="0"/>
              <w:snapToGrid/>
              <w:spacing w:line="440" w:lineRule="exact"/>
              <w:ind w:firstLine="0" w:firstLineChars="0"/>
              <w:textAlignment w:val="auto"/>
              <w:rPr>
                <w:rFonts w:hint="default" w:ascii="宋体" w:eastAsia="宋体" w:cs="宋体"/>
                <w:bCs/>
                <w:color w:val="auto"/>
                <w:sz w:val="21"/>
                <w:szCs w:val="21"/>
                <w:highlight w:val="none"/>
                <w:u w:val="none"/>
                <w:lang w:val="en-US" w:eastAsia="zh-CN"/>
              </w:rPr>
            </w:pPr>
            <w:r>
              <w:rPr>
                <w:rFonts w:hint="default" w:ascii="宋体" w:eastAsia="宋体" w:cs="宋体"/>
                <w:bCs/>
                <w:color w:val="auto"/>
                <w:sz w:val="21"/>
                <w:szCs w:val="21"/>
                <w:highlight w:val="none"/>
                <w:u w:val="none"/>
                <w:lang w:val="en-US" w:eastAsia="zh-CN"/>
              </w:rPr>
              <w:t>根据</w:t>
            </w:r>
            <w:r>
              <w:rPr>
                <w:rFonts w:hint="eastAsia" w:ascii="宋体" w:eastAsia="宋体" w:cs="宋体"/>
                <w:bCs/>
                <w:color w:val="auto"/>
                <w:sz w:val="21"/>
                <w:szCs w:val="21"/>
                <w:highlight w:val="none"/>
                <w:u w:val="none"/>
                <w:lang w:val="en-US" w:eastAsia="zh-CN"/>
              </w:rPr>
              <w:t>供应商自</w:t>
            </w:r>
            <w:r>
              <w:rPr>
                <w:rFonts w:hint="default" w:ascii="宋体" w:eastAsia="宋体" w:cs="宋体"/>
                <w:bCs/>
                <w:color w:val="auto"/>
                <w:sz w:val="21"/>
                <w:szCs w:val="21"/>
                <w:highlight w:val="none"/>
                <w:u w:val="none"/>
                <w:lang w:val="en-US" w:eastAsia="zh-CN"/>
              </w:rPr>
              <w:t>202</w:t>
            </w:r>
            <w:r>
              <w:rPr>
                <w:rFonts w:hint="eastAsia" w:ascii="宋体" w:eastAsia="宋体" w:cs="宋体"/>
                <w:bCs/>
                <w:color w:val="auto"/>
                <w:sz w:val="21"/>
                <w:szCs w:val="21"/>
                <w:highlight w:val="none"/>
                <w:u w:val="none"/>
                <w:lang w:val="en-US" w:eastAsia="zh-CN"/>
              </w:rPr>
              <w:t>1</w:t>
            </w:r>
            <w:r>
              <w:rPr>
                <w:rFonts w:hint="default" w:ascii="宋体" w:eastAsia="宋体" w:cs="宋体"/>
                <w:bCs/>
                <w:color w:val="auto"/>
                <w:sz w:val="21"/>
                <w:szCs w:val="21"/>
                <w:highlight w:val="none"/>
                <w:u w:val="none"/>
                <w:lang w:val="en-US" w:eastAsia="zh-CN"/>
              </w:rPr>
              <w:t>年</w:t>
            </w:r>
            <w:r>
              <w:rPr>
                <w:rFonts w:hint="eastAsia" w:ascii="宋体" w:eastAsia="宋体" w:cs="宋体"/>
                <w:bCs/>
                <w:color w:val="auto"/>
                <w:sz w:val="21"/>
                <w:szCs w:val="21"/>
                <w:highlight w:val="none"/>
                <w:u w:val="none"/>
                <w:lang w:val="en-US" w:eastAsia="zh-CN"/>
              </w:rPr>
              <w:t>4</w:t>
            </w:r>
            <w:r>
              <w:rPr>
                <w:rFonts w:hint="default" w:ascii="宋体" w:eastAsia="宋体" w:cs="宋体"/>
                <w:bCs/>
                <w:color w:val="auto"/>
                <w:sz w:val="21"/>
                <w:szCs w:val="21"/>
                <w:highlight w:val="none"/>
                <w:u w:val="none"/>
                <w:lang w:val="en-US" w:eastAsia="zh-CN"/>
              </w:rPr>
              <w:t>月1日至今完成的工程类（仅限工程施工</w:t>
            </w:r>
            <w:r>
              <w:rPr>
                <w:rFonts w:hint="eastAsia" w:ascii="宋体" w:eastAsia="宋体" w:cs="宋体"/>
                <w:bCs/>
                <w:color w:val="auto"/>
                <w:sz w:val="21"/>
                <w:szCs w:val="21"/>
                <w:highlight w:val="none"/>
                <w:u w:val="none"/>
                <w:lang w:val="en-US" w:eastAsia="zh-CN"/>
              </w:rPr>
              <w:t>或</w:t>
            </w:r>
            <w:r>
              <w:rPr>
                <w:rFonts w:hint="default" w:ascii="宋体" w:eastAsia="宋体" w:cs="宋体"/>
                <w:bCs/>
                <w:color w:val="auto"/>
                <w:sz w:val="21"/>
                <w:szCs w:val="21"/>
                <w:highlight w:val="none"/>
                <w:u w:val="none"/>
                <w:lang w:val="en-US" w:eastAsia="zh-CN"/>
              </w:rPr>
              <w:t>工程施工总承包 EPC</w:t>
            </w:r>
            <w:r>
              <w:rPr>
                <w:rFonts w:hint="eastAsia" w:ascii="宋体" w:eastAsia="宋体" w:cs="宋体"/>
                <w:bCs/>
                <w:color w:val="auto"/>
                <w:sz w:val="21"/>
                <w:szCs w:val="21"/>
                <w:highlight w:val="none"/>
                <w:u w:val="none"/>
                <w:lang w:val="en-US" w:eastAsia="zh-CN"/>
              </w:rPr>
              <w:t>或</w:t>
            </w:r>
            <w:r>
              <w:rPr>
                <w:rFonts w:hint="default" w:ascii="宋体" w:eastAsia="宋体" w:cs="宋体"/>
                <w:bCs/>
                <w:color w:val="auto"/>
                <w:sz w:val="21"/>
                <w:szCs w:val="21"/>
                <w:highlight w:val="none"/>
                <w:u w:val="none"/>
                <w:lang w:val="en-US" w:eastAsia="zh-CN"/>
              </w:rPr>
              <w:t>工程施工总承包EPC+</w:t>
            </w:r>
            <w:r>
              <w:rPr>
                <w:rFonts w:hint="default" w:eastAsia="方正仿宋_GB2312" w:cs="方正仿宋_GB2312" w:asciiTheme="minorAscii" w:hAnsiTheme="minorAscii"/>
                <w:bCs/>
                <w:color w:val="auto"/>
                <w:sz w:val="21"/>
                <w:szCs w:val="21"/>
                <w:highlight w:val="none"/>
                <w:u w:val="none"/>
                <w:lang w:val="en-US" w:eastAsia="zh-CN"/>
              </w:rPr>
              <w:t>O</w:t>
            </w:r>
            <w:r>
              <w:rPr>
                <w:rFonts w:hint="eastAsia" w:ascii="宋体" w:eastAsia="宋体" w:cs="宋体"/>
                <w:bCs/>
                <w:color w:val="auto"/>
                <w:sz w:val="21"/>
                <w:szCs w:val="21"/>
                <w:highlight w:val="none"/>
                <w:u w:val="none"/>
                <w:lang w:val="en-US" w:eastAsia="zh-CN"/>
              </w:rPr>
              <w:t>或投资人+ EPC+</w:t>
            </w:r>
            <w:r>
              <w:rPr>
                <w:rFonts w:hint="default" w:eastAsia="方正仿宋_GB2312" w:cs="方正仿宋_GB2312" w:asciiTheme="minorAscii" w:hAnsiTheme="minorAscii"/>
                <w:bCs/>
                <w:color w:val="auto"/>
                <w:sz w:val="21"/>
                <w:szCs w:val="21"/>
                <w:highlight w:val="none"/>
                <w:u w:val="none"/>
                <w:lang w:val="en-US" w:eastAsia="zh-CN"/>
              </w:rPr>
              <w:t>O</w:t>
            </w:r>
            <w:r>
              <w:rPr>
                <w:rFonts w:hint="default" w:ascii="宋体" w:eastAsia="宋体" w:cs="宋体"/>
                <w:bCs/>
                <w:color w:val="auto"/>
                <w:sz w:val="21"/>
                <w:szCs w:val="21"/>
                <w:highlight w:val="none"/>
                <w:u w:val="none"/>
                <w:lang w:val="en-US" w:eastAsia="zh-CN"/>
              </w:rPr>
              <w:t>）</w:t>
            </w:r>
            <w:r>
              <w:rPr>
                <w:rFonts w:hint="eastAsia" w:ascii="宋体" w:eastAsia="宋体" w:cs="宋体"/>
                <w:bCs/>
                <w:color w:val="auto"/>
                <w:sz w:val="21"/>
                <w:szCs w:val="21"/>
                <w:highlight w:val="none"/>
                <w:u w:val="none"/>
                <w:lang w:val="en-US" w:eastAsia="zh-CN"/>
              </w:rPr>
              <w:t>模式</w:t>
            </w:r>
            <w:r>
              <w:rPr>
                <w:rFonts w:hint="default" w:ascii="宋体" w:eastAsia="宋体" w:cs="宋体"/>
                <w:bCs/>
                <w:color w:val="auto"/>
                <w:sz w:val="21"/>
                <w:szCs w:val="21"/>
                <w:highlight w:val="none"/>
                <w:u w:val="none"/>
                <w:lang w:val="en-US" w:eastAsia="zh-CN"/>
              </w:rPr>
              <w:t>招标代理</w:t>
            </w:r>
            <w:r>
              <w:rPr>
                <w:rFonts w:hint="eastAsia" w:ascii="宋体" w:eastAsia="宋体" w:cs="宋体"/>
                <w:bCs/>
                <w:color w:val="auto"/>
                <w:sz w:val="21"/>
                <w:szCs w:val="21"/>
                <w:highlight w:val="none"/>
                <w:u w:val="none"/>
                <w:lang w:val="en-US" w:eastAsia="zh-CN"/>
              </w:rPr>
              <w:t>项目的，每提供1个有效业绩，得2分，满分12分。</w:t>
            </w:r>
          </w:p>
          <w:p w14:paraId="4CE2C3DB">
            <w:pPr>
              <w:pStyle w:val="78"/>
              <w:keepNext w:val="0"/>
              <w:keepLines w:val="0"/>
              <w:pageBreakBefore w:val="0"/>
              <w:widowControl w:val="0"/>
              <w:kinsoku/>
              <w:wordWrap/>
              <w:overflowPunct/>
              <w:topLinePunct w:val="0"/>
              <w:bidi w:val="0"/>
              <w:snapToGrid/>
              <w:spacing w:line="440" w:lineRule="exact"/>
              <w:ind w:firstLine="0" w:firstLineChars="0"/>
              <w:textAlignment w:val="auto"/>
              <w:rPr>
                <w:rFonts w:hint="default" w:ascii="宋体" w:eastAsia="宋体" w:cs="宋体"/>
                <w:bCs/>
                <w:color w:val="auto"/>
                <w:sz w:val="21"/>
                <w:szCs w:val="21"/>
                <w:highlight w:val="none"/>
                <w:u w:val="none"/>
                <w:lang w:val="en-US" w:eastAsia="zh-CN"/>
              </w:rPr>
            </w:pPr>
            <w:r>
              <w:rPr>
                <w:rFonts w:hint="default" w:ascii="宋体" w:eastAsia="宋体" w:cs="宋体"/>
                <w:bCs/>
                <w:color w:val="auto"/>
                <w:sz w:val="21"/>
                <w:szCs w:val="21"/>
                <w:highlight w:val="none"/>
                <w:u w:val="none"/>
                <w:lang w:val="en-US" w:eastAsia="zh-CN"/>
              </w:rPr>
              <w:t>注：</w:t>
            </w:r>
          </w:p>
          <w:p w14:paraId="3A82AC2C">
            <w:pPr>
              <w:pStyle w:val="78"/>
              <w:keepNext w:val="0"/>
              <w:keepLines w:val="0"/>
              <w:pageBreakBefore w:val="0"/>
              <w:widowControl w:val="0"/>
              <w:kinsoku/>
              <w:wordWrap/>
              <w:overflowPunct/>
              <w:topLinePunct w:val="0"/>
              <w:bidi w:val="0"/>
              <w:snapToGrid/>
              <w:spacing w:line="440" w:lineRule="exact"/>
              <w:ind w:firstLine="0" w:firstLineChars="0"/>
              <w:textAlignment w:val="auto"/>
              <w:rPr>
                <w:rFonts w:hint="default" w:ascii="宋体" w:eastAsia="宋体" w:cs="宋体"/>
                <w:bCs/>
                <w:color w:val="auto"/>
                <w:sz w:val="21"/>
                <w:szCs w:val="21"/>
                <w:highlight w:val="none"/>
                <w:u w:val="none"/>
                <w:lang w:val="en-US" w:eastAsia="zh-CN"/>
              </w:rPr>
            </w:pPr>
            <w:r>
              <w:rPr>
                <w:rFonts w:hint="default" w:ascii="宋体" w:eastAsia="宋体" w:cs="宋体"/>
                <w:bCs/>
                <w:color w:val="auto"/>
                <w:sz w:val="21"/>
                <w:szCs w:val="21"/>
                <w:highlight w:val="none"/>
                <w:u w:val="none"/>
                <w:lang w:val="en-US" w:eastAsia="zh-CN"/>
              </w:rPr>
              <w:t>①以上</w:t>
            </w:r>
            <w:r>
              <w:rPr>
                <w:rFonts w:hint="eastAsia" w:ascii="宋体" w:eastAsia="宋体" w:cs="宋体"/>
                <w:bCs/>
                <w:color w:val="auto"/>
                <w:sz w:val="21"/>
                <w:szCs w:val="21"/>
                <w:highlight w:val="none"/>
                <w:u w:val="none"/>
                <w:lang w:val="en-US" w:eastAsia="zh-CN"/>
              </w:rPr>
              <w:t>代理</w:t>
            </w:r>
            <w:r>
              <w:rPr>
                <w:rFonts w:hint="default" w:ascii="宋体" w:eastAsia="宋体" w:cs="宋体"/>
                <w:bCs/>
                <w:color w:val="auto"/>
                <w:sz w:val="21"/>
                <w:szCs w:val="21"/>
                <w:highlight w:val="none"/>
                <w:u w:val="none"/>
                <w:lang w:val="en-US" w:eastAsia="zh-CN"/>
              </w:rPr>
              <w:t>业绩的时间以</w:t>
            </w:r>
            <w:r>
              <w:rPr>
                <w:rFonts w:hint="default" w:ascii="宋体" w:eastAsia="宋体"/>
                <w:bCs/>
                <w:color w:val="auto"/>
                <w:sz w:val="21"/>
                <w:szCs w:val="21"/>
                <w:highlight w:val="none"/>
                <w:u w:val="none"/>
              </w:rPr>
              <w:t>委托代理合同（或协议书）签订时间</w:t>
            </w:r>
            <w:r>
              <w:rPr>
                <w:rFonts w:hint="default" w:ascii="宋体" w:eastAsia="宋体" w:cs="宋体"/>
                <w:bCs/>
                <w:color w:val="auto"/>
                <w:sz w:val="21"/>
                <w:szCs w:val="21"/>
                <w:highlight w:val="none"/>
                <w:u w:val="none"/>
                <w:lang w:val="en-US" w:eastAsia="zh-CN"/>
              </w:rPr>
              <w:t>为准；</w:t>
            </w:r>
          </w:p>
          <w:p w14:paraId="3BF324BE">
            <w:pPr>
              <w:pStyle w:val="78"/>
              <w:keepNext w:val="0"/>
              <w:keepLines w:val="0"/>
              <w:pageBreakBefore w:val="0"/>
              <w:widowControl w:val="0"/>
              <w:kinsoku/>
              <w:wordWrap/>
              <w:overflowPunct/>
              <w:topLinePunct w:val="0"/>
              <w:bidi w:val="0"/>
              <w:snapToGrid/>
              <w:spacing w:line="440" w:lineRule="exact"/>
              <w:ind w:firstLine="0" w:firstLineChars="0"/>
              <w:textAlignment w:val="auto"/>
              <w:rPr>
                <w:rFonts w:hint="default" w:ascii="宋体" w:eastAsia="宋体" w:cs="宋体"/>
                <w:bCs/>
                <w:color w:val="auto"/>
                <w:sz w:val="21"/>
                <w:szCs w:val="21"/>
                <w:highlight w:val="none"/>
                <w:u w:val="none"/>
                <w:lang w:val="en-US" w:eastAsia="zh-CN"/>
              </w:rPr>
            </w:pPr>
            <w:r>
              <w:rPr>
                <w:rFonts w:hint="default" w:ascii="宋体" w:eastAsia="宋体" w:cs="宋体"/>
                <w:bCs/>
                <w:color w:val="auto"/>
                <w:sz w:val="21"/>
                <w:szCs w:val="21"/>
                <w:highlight w:val="none"/>
                <w:u w:val="none"/>
                <w:lang w:val="en-US" w:eastAsia="zh-CN"/>
              </w:rPr>
              <w:t>②须同时提供招标人与代理机构签订的委托代理合同（若为框架协议须提供相关委托书或证明资料）</w:t>
            </w:r>
            <w:r>
              <w:rPr>
                <w:rFonts w:hint="default" w:ascii="宋体" w:eastAsia="宋体"/>
                <w:bCs/>
                <w:color w:val="auto"/>
                <w:sz w:val="21"/>
                <w:szCs w:val="21"/>
                <w:highlight w:val="none"/>
                <w:u w:val="none"/>
              </w:rPr>
              <w:t>关键页复印件</w:t>
            </w:r>
            <w:r>
              <w:rPr>
                <w:rFonts w:hint="default" w:ascii="宋体" w:eastAsia="宋体" w:cs="宋体"/>
                <w:bCs/>
                <w:color w:val="auto"/>
                <w:sz w:val="21"/>
                <w:szCs w:val="21"/>
                <w:highlight w:val="none"/>
                <w:u w:val="none"/>
                <w:lang w:val="en-US" w:eastAsia="zh-CN"/>
              </w:rPr>
              <w:t>、代理项目的中标（成交）通知书、项目发布网站的结果公告页面截图</w:t>
            </w:r>
            <w:r>
              <w:rPr>
                <w:rFonts w:hint="eastAsia" w:ascii="宋体" w:eastAsia="宋体" w:cs="宋体"/>
                <w:bCs/>
                <w:color w:val="auto"/>
                <w:sz w:val="21"/>
                <w:szCs w:val="21"/>
                <w:highlight w:val="none"/>
                <w:u w:val="none"/>
                <w:lang w:val="en-US" w:eastAsia="zh-CN"/>
              </w:rPr>
              <w:t>及与项目相关的发票等材料（张数不限）</w:t>
            </w:r>
            <w:r>
              <w:rPr>
                <w:rFonts w:hint="default" w:ascii="宋体" w:eastAsia="宋体" w:cs="宋体"/>
                <w:bCs/>
                <w:color w:val="auto"/>
                <w:sz w:val="21"/>
                <w:szCs w:val="21"/>
                <w:highlight w:val="none"/>
                <w:u w:val="none"/>
                <w:lang w:val="en-US" w:eastAsia="zh-CN"/>
              </w:rPr>
              <w:t>，加盖</w:t>
            </w:r>
            <w:r>
              <w:rPr>
                <w:rFonts w:hint="eastAsia" w:ascii="宋体" w:eastAsia="宋体" w:cs="宋体"/>
                <w:bCs/>
                <w:color w:val="auto"/>
                <w:sz w:val="21"/>
                <w:szCs w:val="21"/>
                <w:highlight w:val="none"/>
                <w:u w:val="none"/>
                <w:lang w:val="en-US" w:eastAsia="zh-CN"/>
              </w:rPr>
              <w:t>供应商</w:t>
            </w:r>
            <w:r>
              <w:rPr>
                <w:rFonts w:hint="default" w:ascii="宋体" w:eastAsia="宋体" w:cs="宋体"/>
                <w:bCs/>
                <w:color w:val="auto"/>
                <w:sz w:val="21"/>
                <w:szCs w:val="21"/>
                <w:highlight w:val="none"/>
                <w:u w:val="none"/>
                <w:lang w:val="en-US" w:eastAsia="zh-CN"/>
              </w:rPr>
              <w:t>公章；</w:t>
            </w:r>
          </w:p>
          <w:p w14:paraId="70FCAB91">
            <w:pPr>
              <w:pStyle w:val="78"/>
              <w:keepNext w:val="0"/>
              <w:keepLines w:val="0"/>
              <w:pageBreakBefore w:val="0"/>
              <w:widowControl w:val="0"/>
              <w:kinsoku/>
              <w:wordWrap/>
              <w:overflowPunct/>
              <w:topLinePunct w:val="0"/>
              <w:bidi w:val="0"/>
              <w:snapToGrid/>
              <w:spacing w:line="440" w:lineRule="exact"/>
              <w:ind w:firstLine="0" w:firstLineChars="0"/>
              <w:textAlignment w:val="auto"/>
              <w:rPr>
                <w:rFonts w:hint="default" w:ascii="宋体" w:eastAsia="宋体" w:cs="宋体"/>
                <w:bCs/>
                <w:color w:val="auto"/>
                <w:sz w:val="21"/>
                <w:szCs w:val="21"/>
                <w:highlight w:val="none"/>
                <w:u w:val="none"/>
                <w:lang w:val="en-US" w:eastAsia="zh-CN"/>
              </w:rPr>
            </w:pPr>
            <w:r>
              <w:rPr>
                <w:rFonts w:hint="default" w:ascii="宋体" w:eastAsia="宋体" w:cs="宋体"/>
                <w:bCs/>
                <w:color w:val="auto"/>
                <w:sz w:val="21"/>
                <w:szCs w:val="21"/>
                <w:highlight w:val="none"/>
                <w:u w:val="none"/>
                <w:lang w:val="en-US" w:eastAsia="zh-CN"/>
              </w:rPr>
              <w:t>③同一项业绩不可重复计分。</w:t>
            </w:r>
          </w:p>
        </w:tc>
      </w:tr>
      <w:tr w14:paraId="0C10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690" w:type="dxa"/>
            <w:vMerge w:val="restart"/>
            <w:tcBorders>
              <w:top w:val="single" w:color="auto" w:sz="4" w:space="0"/>
              <w:left w:val="single" w:color="auto" w:sz="4" w:space="0"/>
              <w:right w:val="single" w:color="auto" w:sz="4" w:space="0"/>
            </w:tcBorders>
            <w:vAlign w:val="center"/>
          </w:tcPr>
          <w:p w14:paraId="5ECA1968">
            <w:pPr>
              <w:pStyle w:val="78"/>
              <w:keepNext w:val="0"/>
              <w:keepLines w:val="0"/>
              <w:pageBreakBefore w:val="0"/>
              <w:kinsoku/>
              <w:wordWrap/>
              <w:overflowPunct/>
              <w:topLinePunct w:val="0"/>
              <w:bidi w:val="0"/>
              <w:snapToGrid/>
              <w:spacing w:line="440" w:lineRule="exact"/>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609" w:type="dxa"/>
            <w:vMerge w:val="restart"/>
            <w:tcBorders>
              <w:top w:val="single" w:color="auto" w:sz="4" w:space="0"/>
              <w:left w:val="single" w:color="auto" w:sz="4" w:space="0"/>
              <w:right w:val="single" w:color="auto" w:sz="4" w:space="0"/>
            </w:tcBorders>
            <w:vAlign w:val="center"/>
          </w:tcPr>
          <w:p w14:paraId="0D027632">
            <w:pPr>
              <w:pStyle w:val="78"/>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eastAsia="宋体" w:cs="宋体"/>
                <w:color w:val="auto"/>
                <w:sz w:val="21"/>
                <w:szCs w:val="21"/>
                <w:highlight w:val="none"/>
                <w:u w:val="none"/>
              </w:rPr>
            </w:pPr>
            <w:r>
              <w:rPr>
                <w:rFonts w:hint="eastAsia" w:ascii="宋体" w:eastAsia="宋体" w:cs="宋体"/>
                <w:color w:val="auto"/>
                <w:sz w:val="21"/>
                <w:szCs w:val="21"/>
                <w:highlight w:val="none"/>
                <w:u w:val="none"/>
              </w:rPr>
              <w:t>人员要求</w:t>
            </w:r>
          </w:p>
        </w:tc>
        <w:tc>
          <w:tcPr>
            <w:tcW w:w="671" w:type="dxa"/>
            <w:vMerge w:val="restart"/>
            <w:tcBorders>
              <w:top w:val="single" w:color="auto" w:sz="4" w:space="0"/>
              <w:left w:val="single" w:color="auto" w:sz="4" w:space="0"/>
              <w:right w:val="single" w:color="auto" w:sz="4" w:space="0"/>
            </w:tcBorders>
            <w:vAlign w:val="center"/>
          </w:tcPr>
          <w:p w14:paraId="14B430C5">
            <w:pPr>
              <w:pStyle w:val="78"/>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cs="宋体"/>
                <w:color w:val="auto"/>
                <w:kern w:val="2"/>
                <w:sz w:val="21"/>
                <w:szCs w:val="21"/>
                <w:highlight w:val="none"/>
                <w:u w:val="none"/>
                <w:lang w:val="en-US" w:eastAsia="zh-CN" w:bidi="ar-SA"/>
              </w:rPr>
            </w:pPr>
            <w:r>
              <w:rPr>
                <w:rFonts w:hint="eastAsia" w:ascii="宋体" w:eastAsia="宋体" w:cs="宋体"/>
                <w:color w:val="auto"/>
                <w:sz w:val="21"/>
                <w:szCs w:val="21"/>
                <w:highlight w:val="none"/>
                <w:u w:val="none"/>
                <w:lang w:val="en-US" w:eastAsia="zh-CN"/>
              </w:rPr>
              <w:t>8分</w:t>
            </w:r>
          </w:p>
        </w:tc>
        <w:tc>
          <w:tcPr>
            <w:tcW w:w="6277" w:type="dxa"/>
            <w:gridSpan w:val="2"/>
            <w:tcBorders>
              <w:top w:val="single" w:color="auto" w:sz="4" w:space="0"/>
              <w:left w:val="single" w:color="auto" w:sz="4" w:space="0"/>
              <w:bottom w:val="single" w:color="auto" w:sz="4" w:space="0"/>
              <w:right w:val="single" w:color="auto" w:sz="4" w:space="0"/>
            </w:tcBorders>
            <w:vAlign w:val="center"/>
          </w:tcPr>
          <w:p w14:paraId="72CCCC9F">
            <w:pPr>
              <w:pStyle w:val="78"/>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0" w:firstLineChars="0"/>
              <w:textAlignment w:val="auto"/>
              <w:rPr>
                <w:rFonts w:hint="eastAsia" w:ascii="宋体" w:eastAsia="宋体" w:cs="宋体"/>
                <w:bCs/>
                <w:color w:val="auto"/>
                <w:sz w:val="21"/>
                <w:szCs w:val="21"/>
                <w:highlight w:val="none"/>
                <w:u w:val="none"/>
                <w:lang w:val="en-US" w:eastAsia="zh-CN"/>
              </w:rPr>
            </w:pPr>
            <w:r>
              <w:rPr>
                <w:rFonts w:hint="eastAsia" w:ascii="宋体" w:eastAsia="宋体" w:cs="宋体"/>
                <w:bCs/>
                <w:color w:val="auto"/>
                <w:sz w:val="21"/>
                <w:szCs w:val="21"/>
                <w:highlight w:val="none"/>
                <w:u w:val="none"/>
                <w:lang w:val="en-US" w:eastAsia="zh-CN"/>
              </w:rPr>
              <w:t>1.根据供应商拟派本项目项目负责人（仅一人）进行评审：</w:t>
            </w:r>
          </w:p>
          <w:p w14:paraId="58B2A9FF">
            <w:pPr>
              <w:pStyle w:val="78"/>
              <w:keepNext w:val="0"/>
              <w:keepLines w:val="0"/>
              <w:pageBreakBefore w:val="0"/>
              <w:widowControl w:val="0"/>
              <w:numPr>
                <w:ilvl w:val="0"/>
                <w:numId w:val="11"/>
              </w:numPr>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eastAsia="宋体" w:cs="宋体"/>
                <w:bCs/>
                <w:color w:val="auto"/>
                <w:sz w:val="21"/>
                <w:szCs w:val="21"/>
                <w:highlight w:val="none"/>
                <w:u w:val="none"/>
                <w:lang w:val="en-US" w:eastAsia="zh-CN"/>
              </w:rPr>
              <w:t>项目负责人具有工程类中级（或以上）职称</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4C26C2F">
            <w:pPr>
              <w:pStyle w:val="78"/>
              <w:keepNext w:val="0"/>
              <w:keepLines w:val="0"/>
              <w:pageBreakBefore w:val="0"/>
              <w:widowControl w:val="0"/>
              <w:numPr>
                <w:ilvl w:val="0"/>
                <w:numId w:val="11"/>
              </w:numPr>
              <w:kinsoku/>
              <w:wordWrap/>
              <w:overflowPunct/>
              <w:topLinePunct w:val="0"/>
              <w:autoSpaceDE/>
              <w:autoSpaceDN/>
              <w:bidi w:val="0"/>
              <w:adjustRightInd/>
              <w:snapToGrid/>
              <w:spacing w:line="440" w:lineRule="exact"/>
              <w:ind w:firstLine="0" w:firstLineChars="0"/>
              <w:textAlignment w:val="auto"/>
              <w:rPr>
                <w:rFonts w:hint="eastAsia" w:ascii="宋体" w:eastAsia="宋体" w:cs="宋体"/>
                <w:bCs/>
                <w:color w:val="auto"/>
                <w:sz w:val="21"/>
                <w:szCs w:val="21"/>
                <w:highlight w:val="none"/>
                <w:u w:val="none"/>
                <w:lang w:val="en-US" w:eastAsia="zh-CN"/>
              </w:rPr>
            </w:pPr>
            <w:r>
              <w:rPr>
                <w:rFonts w:hint="eastAsia" w:ascii="宋体" w:eastAsia="宋体" w:cs="宋体"/>
                <w:bCs/>
                <w:color w:val="auto"/>
                <w:sz w:val="21"/>
                <w:szCs w:val="21"/>
                <w:highlight w:val="none"/>
                <w:u w:val="none"/>
                <w:lang w:val="en-US" w:eastAsia="zh-CN"/>
              </w:rPr>
              <w:t>项目负责人自</w:t>
            </w:r>
            <w:r>
              <w:rPr>
                <w:rFonts w:hint="default" w:ascii="宋体" w:eastAsia="宋体" w:cs="宋体"/>
                <w:bCs/>
                <w:color w:val="auto"/>
                <w:sz w:val="21"/>
                <w:szCs w:val="21"/>
                <w:highlight w:val="none"/>
                <w:u w:val="none"/>
                <w:lang w:val="en-US" w:eastAsia="zh-CN"/>
              </w:rPr>
              <w:t>202</w:t>
            </w:r>
            <w:r>
              <w:rPr>
                <w:rFonts w:hint="eastAsia" w:ascii="宋体" w:eastAsia="宋体" w:cs="宋体"/>
                <w:bCs/>
                <w:color w:val="auto"/>
                <w:sz w:val="21"/>
                <w:szCs w:val="21"/>
                <w:highlight w:val="none"/>
                <w:u w:val="none"/>
                <w:lang w:val="en-US" w:eastAsia="zh-CN"/>
              </w:rPr>
              <w:t>1</w:t>
            </w:r>
            <w:r>
              <w:rPr>
                <w:rFonts w:hint="default" w:ascii="宋体" w:eastAsia="宋体" w:cs="宋体"/>
                <w:bCs/>
                <w:color w:val="auto"/>
                <w:sz w:val="21"/>
                <w:szCs w:val="21"/>
                <w:highlight w:val="none"/>
                <w:u w:val="none"/>
                <w:lang w:val="en-US" w:eastAsia="zh-CN"/>
              </w:rPr>
              <w:t>年</w:t>
            </w:r>
            <w:r>
              <w:rPr>
                <w:rFonts w:hint="eastAsia" w:ascii="宋体" w:eastAsia="宋体" w:cs="宋体"/>
                <w:bCs/>
                <w:color w:val="auto"/>
                <w:sz w:val="21"/>
                <w:szCs w:val="21"/>
                <w:highlight w:val="none"/>
                <w:u w:val="none"/>
                <w:lang w:val="en-US" w:eastAsia="zh-CN"/>
              </w:rPr>
              <w:t>4</w:t>
            </w:r>
            <w:r>
              <w:rPr>
                <w:rFonts w:hint="default" w:ascii="宋体" w:eastAsia="宋体" w:cs="宋体"/>
                <w:bCs/>
                <w:color w:val="auto"/>
                <w:sz w:val="21"/>
                <w:szCs w:val="21"/>
                <w:highlight w:val="none"/>
                <w:u w:val="none"/>
                <w:lang w:val="en-US" w:eastAsia="zh-CN"/>
              </w:rPr>
              <w:t>月1</w:t>
            </w:r>
            <w:r>
              <w:rPr>
                <w:rFonts w:hint="eastAsia" w:ascii="宋体" w:eastAsia="宋体" w:cs="宋体"/>
                <w:bCs/>
                <w:color w:val="auto"/>
                <w:sz w:val="21"/>
                <w:szCs w:val="21"/>
                <w:highlight w:val="none"/>
                <w:u w:val="none"/>
                <w:lang w:val="en-US" w:eastAsia="zh-CN"/>
              </w:rPr>
              <w:t>日起（以</w:t>
            </w:r>
            <w:r>
              <w:rPr>
                <w:rFonts w:hint="eastAsia" w:ascii="宋体" w:eastAsia="宋体"/>
                <w:bCs/>
                <w:color w:val="auto"/>
                <w:sz w:val="21"/>
                <w:szCs w:val="21"/>
                <w:highlight w:val="none"/>
                <w:u w:val="none"/>
              </w:rPr>
              <w:t>委托代理合同（或协议书）签订时间为准</w:t>
            </w:r>
            <w:r>
              <w:rPr>
                <w:rFonts w:hint="eastAsia" w:ascii="宋体" w:eastAsia="宋体" w:cs="宋体"/>
                <w:bCs/>
                <w:color w:val="auto"/>
                <w:sz w:val="21"/>
                <w:szCs w:val="21"/>
                <w:highlight w:val="none"/>
                <w:u w:val="none"/>
                <w:lang w:val="en-US" w:eastAsia="zh-CN"/>
              </w:rPr>
              <w:t>）独立主持过至少1个工程类招标代理项目（含工程施工、EPC、EPC+</w:t>
            </w:r>
            <w:r>
              <w:rPr>
                <w:rFonts w:hint="default" w:eastAsia="方正仿宋_GB2312" w:cs="方正仿宋_GB2312" w:asciiTheme="minorAscii" w:hAnsiTheme="minorAscii"/>
                <w:bCs/>
                <w:color w:val="auto"/>
                <w:sz w:val="21"/>
                <w:szCs w:val="21"/>
                <w:highlight w:val="none"/>
                <w:u w:val="none"/>
                <w:lang w:val="en-US" w:eastAsia="zh-CN"/>
              </w:rPr>
              <w:t>O</w:t>
            </w:r>
            <w:r>
              <w:rPr>
                <w:rFonts w:hint="eastAsia" w:ascii="宋体" w:eastAsia="宋体" w:cs="宋体"/>
                <w:bCs/>
                <w:color w:val="auto"/>
                <w:sz w:val="21"/>
                <w:szCs w:val="21"/>
                <w:highlight w:val="none"/>
                <w:u w:val="none"/>
                <w:lang w:val="en-US" w:eastAsia="zh-CN"/>
              </w:rPr>
              <w:t>、投资人+ EPC+</w:t>
            </w:r>
            <w:r>
              <w:rPr>
                <w:rFonts w:hint="default" w:eastAsia="方正仿宋_GB2312" w:cs="方正仿宋_GB2312" w:asciiTheme="minorAscii" w:hAnsiTheme="minorAscii"/>
                <w:bCs/>
                <w:color w:val="auto"/>
                <w:sz w:val="21"/>
                <w:szCs w:val="21"/>
                <w:highlight w:val="none"/>
                <w:u w:val="none"/>
                <w:lang w:val="en-US" w:eastAsia="zh-CN"/>
              </w:rPr>
              <w:t>O</w:t>
            </w:r>
            <w:r>
              <w:rPr>
                <w:rFonts w:hint="eastAsia" w:ascii="宋体" w:eastAsia="宋体" w:cs="宋体"/>
                <w:bCs/>
                <w:color w:val="auto"/>
                <w:sz w:val="21"/>
                <w:szCs w:val="21"/>
                <w:highlight w:val="none"/>
                <w:u w:val="none"/>
                <w:lang w:val="en-US" w:eastAsia="zh-CN"/>
              </w:rPr>
              <w:t xml:space="preserve"> ）的，</w:t>
            </w:r>
            <w:r>
              <w:rPr>
                <w:rFonts w:hint="eastAsia" w:ascii="宋体" w:hAnsi="宋体" w:eastAsia="宋体" w:cs="宋体"/>
                <w:color w:val="auto"/>
                <w:sz w:val="21"/>
                <w:szCs w:val="21"/>
                <w:highlight w:val="none"/>
                <w:lang w:eastAsia="zh-CN"/>
              </w:rPr>
              <w:t>每个</w:t>
            </w:r>
            <w:r>
              <w:rPr>
                <w:rFonts w:hint="eastAsia" w:ascii="宋体" w:hAnsi="宋体" w:eastAsia="宋体" w:cs="宋体"/>
                <w:color w:val="auto"/>
                <w:sz w:val="21"/>
                <w:szCs w:val="21"/>
                <w:highlight w:val="none"/>
              </w:rPr>
              <w:t>得</w:t>
            </w:r>
            <w:r>
              <w:rPr>
                <w:rFonts w:hint="eastAsia" w:asci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本项最高得</w:t>
            </w:r>
            <w:r>
              <w:rPr>
                <w:rFonts w:hint="eastAsia" w:asci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r>
              <w:rPr>
                <w:rFonts w:hint="eastAsia" w:ascii="宋体" w:eastAsia="宋体" w:cs="宋体"/>
                <w:bCs/>
                <w:color w:val="auto"/>
                <w:sz w:val="21"/>
                <w:szCs w:val="21"/>
                <w:highlight w:val="none"/>
                <w:u w:val="none"/>
                <w:lang w:val="en-US" w:eastAsia="zh-CN"/>
              </w:rPr>
              <w:t>。</w:t>
            </w:r>
          </w:p>
          <w:p w14:paraId="1CC62652">
            <w:pPr>
              <w:pStyle w:val="78"/>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eastAsia="宋体" w:cs="宋体"/>
                <w:bCs/>
                <w:color w:val="auto"/>
                <w:sz w:val="21"/>
                <w:szCs w:val="21"/>
                <w:highlight w:val="none"/>
                <w:u w:val="none"/>
                <w:lang w:val="en-US" w:eastAsia="zh-CN"/>
              </w:rPr>
            </w:pPr>
            <w:r>
              <w:rPr>
                <w:rFonts w:hint="eastAsia" w:ascii="宋体" w:eastAsia="宋体" w:cs="宋体"/>
                <w:bCs/>
                <w:color w:val="auto"/>
                <w:sz w:val="21"/>
                <w:szCs w:val="21"/>
                <w:highlight w:val="none"/>
                <w:u w:val="none"/>
                <w:lang w:val="en-US" w:eastAsia="zh-CN"/>
              </w:rPr>
              <w:t>注：①</w:t>
            </w:r>
            <w:r>
              <w:rPr>
                <w:rFonts w:hint="eastAsia" w:ascii="宋体" w:eastAsia="宋体"/>
                <w:bCs/>
                <w:color w:val="auto"/>
                <w:sz w:val="21"/>
                <w:szCs w:val="21"/>
                <w:highlight w:val="none"/>
                <w:u w:val="none"/>
              </w:rPr>
              <w:t>上述人员须提供相关证件复印件、社保证明（社保证明应为投标文件递交截止日前半年时间内连续不少于三个月的有效证明材料，可以是在投标人总公司或分公司的社保缴纳证明文件，可以是原件或复印件但均需加盖投标人公章）、劳动合同复印件等</w:t>
            </w:r>
            <w:r>
              <w:rPr>
                <w:rFonts w:hint="eastAsia" w:ascii="宋体" w:eastAsia="宋体"/>
                <w:bCs/>
                <w:color w:val="auto"/>
                <w:sz w:val="21"/>
                <w:szCs w:val="21"/>
                <w:highlight w:val="none"/>
                <w:u w:val="none"/>
                <w:lang w:val="en-US" w:eastAsia="zh-CN"/>
              </w:rPr>
              <w:t>加盖供应商公章</w:t>
            </w:r>
            <w:r>
              <w:rPr>
                <w:rFonts w:hint="eastAsia" w:ascii="宋体" w:eastAsia="宋体" w:cs="宋体"/>
                <w:bCs/>
                <w:color w:val="auto"/>
                <w:sz w:val="21"/>
                <w:szCs w:val="21"/>
                <w:highlight w:val="none"/>
                <w:u w:val="none"/>
                <w:lang w:val="en-US" w:eastAsia="zh-CN"/>
              </w:rPr>
              <w:t>，否则不得分。（同一人不重复得分）</w:t>
            </w:r>
          </w:p>
          <w:p w14:paraId="78645D36">
            <w:pPr>
              <w:pStyle w:val="78"/>
              <w:keepNext w:val="0"/>
              <w:keepLines w:val="0"/>
              <w:pageBreakBefore w:val="0"/>
              <w:widowControl w:val="0"/>
              <w:kinsoku/>
              <w:wordWrap/>
              <w:overflowPunct/>
              <w:topLinePunct w:val="0"/>
              <w:bidi w:val="0"/>
              <w:snapToGrid/>
              <w:spacing w:line="440" w:lineRule="exact"/>
              <w:ind w:firstLine="0" w:firstLineChars="0"/>
              <w:textAlignment w:val="auto"/>
              <w:rPr>
                <w:rFonts w:hint="default" w:ascii="宋体" w:eastAsia="宋体" w:cs="宋体"/>
                <w:bCs/>
                <w:color w:val="auto"/>
                <w:sz w:val="21"/>
                <w:szCs w:val="21"/>
                <w:highlight w:val="none"/>
                <w:u w:val="none"/>
                <w:lang w:val="en-US" w:eastAsia="zh-CN"/>
              </w:rPr>
            </w:pPr>
            <w:r>
              <w:rPr>
                <w:rFonts w:hint="eastAsia" w:ascii="宋体" w:eastAsia="宋体" w:cs="宋体"/>
                <w:bCs/>
                <w:color w:val="auto"/>
                <w:sz w:val="21"/>
                <w:szCs w:val="21"/>
                <w:highlight w:val="none"/>
                <w:u w:val="none"/>
                <w:lang w:val="en-US" w:eastAsia="zh-CN"/>
              </w:rPr>
              <w:t>②业绩</w:t>
            </w:r>
            <w:r>
              <w:rPr>
                <w:rFonts w:hint="default" w:ascii="宋体" w:eastAsia="宋体" w:cs="宋体"/>
                <w:bCs/>
                <w:color w:val="auto"/>
                <w:sz w:val="21"/>
                <w:szCs w:val="21"/>
                <w:highlight w:val="none"/>
                <w:u w:val="none"/>
                <w:lang w:val="en-US" w:eastAsia="zh-CN"/>
              </w:rPr>
              <w:t>须同时提供招标人与代理机构签订的委托代理合同（若为框架协议须提供相关委托书或证明资料）</w:t>
            </w:r>
            <w:r>
              <w:rPr>
                <w:rFonts w:hint="default" w:ascii="宋体" w:eastAsia="宋体"/>
                <w:bCs/>
                <w:color w:val="auto"/>
                <w:sz w:val="21"/>
                <w:szCs w:val="21"/>
                <w:highlight w:val="none"/>
                <w:u w:val="none"/>
              </w:rPr>
              <w:t>关键页复印件</w:t>
            </w:r>
            <w:r>
              <w:rPr>
                <w:rFonts w:hint="eastAsia" w:ascii="宋体" w:eastAsia="宋体" w:cs="宋体"/>
                <w:bCs/>
                <w:color w:val="auto"/>
                <w:sz w:val="21"/>
                <w:szCs w:val="21"/>
                <w:highlight w:val="none"/>
                <w:u w:val="none"/>
                <w:lang w:val="en-US" w:eastAsia="zh-CN"/>
              </w:rPr>
              <w:t>、</w:t>
            </w:r>
            <w:r>
              <w:rPr>
                <w:rFonts w:hint="default" w:ascii="宋体" w:eastAsia="宋体" w:cs="宋体"/>
                <w:bCs/>
                <w:color w:val="auto"/>
                <w:sz w:val="21"/>
                <w:szCs w:val="21"/>
                <w:highlight w:val="none"/>
                <w:u w:val="none"/>
                <w:lang w:val="en-US" w:eastAsia="zh-CN"/>
              </w:rPr>
              <w:t>代理项目的中标（成交）通知书、项目发布网站的结果公告页面截图</w:t>
            </w:r>
            <w:r>
              <w:rPr>
                <w:rFonts w:hint="eastAsia" w:ascii="宋体" w:eastAsia="宋体" w:cs="宋体"/>
                <w:bCs/>
                <w:color w:val="auto"/>
                <w:sz w:val="21"/>
                <w:szCs w:val="21"/>
                <w:highlight w:val="none"/>
                <w:u w:val="none"/>
                <w:lang w:val="en-US" w:eastAsia="zh-CN"/>
              </w:rPr>
              <w:t>及与项目相关的发票等材料（张数不限）</w:t>
            </w:r>
            <w:r>
              <w:rPr>
                <w:rFonts w:hint="default" w:ascii="宋体" w:eastAsia="宋体" w:cs="宋体"/>
                <w:bCs/>
                <w:color w:val="auto"/>
                <w:sz w:val="21"/>
                <w:szCs w:val="21"/>
                <w:highlight w:val="none"/>
                <w:u w:val="none"/>
                <w:lang w:val="en-US" w:eastAsia="zh-CN"/>
              </w:rPr>
              <w:t>，加盖供应商公章；</w:t>
            </w:r>
          </w:p>
          <w:p w14:paraId="4601B0D4">
            <w:pPr>
              <w:pStyle w:val="78"/>
              <w:keepNext w:val="0"/>
              <w:keepLines w:val="0"/>
              <w:pageBreakBefore w:val="0"/>
              <w:widowControl w:val="0"/>
              <w:kinsoku/>
              <w:wordWrap/>
              <w:overflowPunct/>
              <w:topLinePunct w:val="0"/>
              <w:bidi w:val="0"/>
              <w:snapToGrid/>
              <w:spacing w:line="440" w:lineRule="exact"/>
              <w:ind w:firstLine="0" w:firstLineChars="0"/>
              <w:textAlignment w:val="auto"/>
              <w:rPr>
                <w:rFonts w:hint="default" w:ascii="宋体" w:hAnsi="宋体" w:eastAsia="宋体" w:cs="宋体"/>
                <w:b w:val="0"/>
                <w:bCs/>
                <w:color w:val="auto"/>
                <w:sz w:val="21"/>
                <w:szCs w:val="21"/>
                <w:highlight w:val="none"/>
                <w:u w:val="none"/>
              </w:rPr>
            </w:pPr>
            <w:r>
              <w:rPr>
                <w:rFonts w:hint="default" w:ascii="宋体" w:hAnsi="宋体" w:eastAsia="宋体" w:cs="宋体"/>
                <w:b w:val="0"/>
                <w:bCs/>
                <w:color w:val="auto"/>
                <w:sz w:val="21"/>
                <w:szCs w:val="21"/>
                <w:highlight w:val="none"/>
                <w:u w:val="none"/>
              </w:rPr>
              <w:t>③若合同复印件中不能体现项目负责人姓名的，还需提供担任项目负责人职位的相关证明文件</w:t>
            </w:r>
            <w:r>
              <w:rPr>
                <w:rFonts w:hint="default" w:ascii="宋体" w:eastAsia="宋体" w:cs="宋体"/>
                <w:bCs/>
                <w:color w:val="auto"/>
                <w:sz w:val="21"/>
                <w:szCs w:val="21"/>
                <w:highlight w:val="none"/>
                <w:u w:val="none"/>
                <w:lang w:val="en-US" w:eastAsia="zh-CN"/>
              </w:rPr>
              <w:t>加盖供应商公章</w:t>
            </w:r>
            <w:r>
              <w:rPr>
                <w:rFonts w:hint="default" w:ascii="宋体" w:hAnsi="宋体" w:eastAsia="宋体" w:cs="宋体"/>
                <w:b w:val="0"/>
                <w:bCs/>
                <w:color w:val="auto"/>
                <w:sz w:val="21"/>
                <w:szCs w:val="21"/>
                <w:highlight w:val="none"/>
                <w:u w:val="none"/>
              </w:rPr>
              <w:t>，否则不得分。</w:t>
            </w:r>
          </w:p>
          <w:p w14:paraId="795E9032">
            <w:pPr>
              <w:pStyle w:val="78"/>
              <w:keepNext w:val="0"/>
              <w:keepLines w:val="0"/>
              <w:pageBreakBefore w:val="0"/>
              <w:widowControl w:val="0"/>
              <w:kinsoku/>
              <w:wordWrap/>
              <w:overflowPunct/>
              <w:topLinePunct w:val="0"/>
              <w:bidi w:val="0"/>
              <w:snapToGrid/>
              <w:spacing w:line="440" w:lineRule="exact"/>
              <w:ind w:firstLine="0" w:firstLineChars="0"/>
              <w:textAlignment w:val="auto"/>
              <w:rPr>
                <w:rFonts w:hint="default" w:ascii="宋体" w:hAnsi="宋体" w:eastAsia="宋体" w:cs="宋体"/>
                <w:b w:val="0"/>
                <w:bCs/>
                <w:color w:val="auto"/>
                <w:sz w:val="21"/>
                <w:szCs w:val="21"/>
                <w:highlight w:val="none"/>
                <w:u w:val="none"/>
                <w:lang w:val="en-US" w:eastAsia="zh-CN"/>
              </w:rPr>
            </w:pPr>
            <w:r>
              <w:rPr>
                <w:rFonts w:hint="eastAsia" w:ascii="仿宋_GB2312" w:hAnsi="仿宋_GB2312" w:eastAsia="仿宋_GB2312" w:cs="仿宋_GB2312"/>
                <w:bCs/>
                <w:color w:val="auto"/>
                <w:sz w:val="21"/>
                <w:szCs w:val="21"/>
                <w:highlight w:val="none"/>
                <w:u w:val="none"/>
                <w:lang w:val="en-US" w:eastAsia="zh-CN"/>
              </w:rPr>
              <w:t>④</w:t>
            </w:r>
            <w:r>
              <w:rPr>
                <w:rFonts w:hint="eastAsia" w:ascii="宋体" w:eastAsia="宋体" w:cs="宋体"/>
                <w:bCs/>
                <w:color w:val="auto"/>
                <w:sz w:val="21"/>
                <w:szCs w:val="21"/>
                <w:highlight w:val="none"/>
                <w:u w:val="none"/>
                <w:lang w:val="en-US" w:eastAsia="zh-CN"/>
              </w:rPr>
              <w:t>代理</w:t>
            </w:r>
            <w:r>
              <w:rPr>
                <w:rFonts w:hint="default" w:ascii="宋体" w:eastAsia="宋体" w:cs="宋体"/>
                <w:bCs/>
                <w:color w:val="auto"/>
                <w:sz w:val="21"/>
                <w:szCs w:val="21"/>
                <w:highlight w:val="none"/>
                <w:u w:val="none"/>
                <w:lang w:val="en-US" w:eastAsia="zh-CN"/>
              </w:rPr>
              <w:t>业绩的时间以</w:t>
            </w:r>
            <w:r>
              <w:rPr>
                <w:rFonts w:hint="default" w:ascii="宋体" w:eastAsia="宋体"/>
                <w:bCs/>
                <w:color w:val="auto"/>
                <w:sz w:val="21"/>
                <w:szCs w:val="21"/>
                <w:highlight w:val="none"/>
                <w:u w:val="none"/>
              </w:rPr>
              <w:t>委托代理合同（或协议书）签订时间</w:t>
            </w:r>
            <w:r>
              <w:rPr>
                <w:rFonts w:hint="default" w:ascii="宋体" w:eastAsia="宋体" w:cs="宋体"/>
                <w:bCs/>
                <w:color w:val="auto"/>
                <w:sz w:val="21"/>
                <w:szCs w:val="21"/>
                <w:highlight w:val="none"/>
                <w:u w:val="none"/>
                <w:lang w:val="en-US" w:eastAsia="zh-CN"/>
              </w:rPr>
              <w:t>为准</w:t>
            </w:r>
            <w:r>
              <w:rPr>
                <w:rFonts w:hint="eastAsia" w:ascii="宋体" w:eastAsia="宋体" w:cs="宋体"/>
                <w:bCs/>
                <w:color w:val="auto"/>
                <w:sz w:val="21"/>
                <w:szCs w:val="21"/>
                <w:highlight w:val="none"/>
                <w:u w:val="none"/>
                <w:lang w:val="en-US" w:eastAsia="zh-CN"/>
              </w:rPr>
              <w:t>。</w:t>
            </w:r>
          </w:p>
        </w:tc>
      </w:tr>
      <w:tr w14:paraId="4157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690" w:type="dxa"/>
            <w:vMerge w:val="continue"/>
            <w:tcBorders>
              <w:left w:val="single" w:color="auto" w:sz="4" w:space="0"/>
              <w:right w:val="single" w:color="auto" w:sz="4" w:space="0"/>
            </w:tcBorders>
            <w:vAlign w:val="center"/>
          </w:tcPr>
          <w:p w14:paraId="0AE596FE">
            <w:pPr>
              <w:pStyle w:val="78"/>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color w:val="auto"/>
              </w:rPr>
            </w:pPr>
          </w:p>
        </w:tc>
        <w:tc>
          <w:tcPr>
            <w:tcW w:w="1609" w:type="dxa"/>
            <w:vMerge w:val="continue"/>
            <w:tcBorders>
              <w:left w:val="single" w:color="auto" w:sz="4" w:space="0"/>
              <w:right w:val="single" w:color="auto" w:sz="4" w:space="0"/>
            </w:tcBorders>
            <w:vAlign w:val="center"/>
          </w:tcPr>
          <w:p w14:paraId="5F2F2C45">
            <w:pPr>
              <w:pStyle w:val="78"/>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color w:val="auto"/>
              </w:rPr>
            </w:pPr>
          </w:p>
        </w:tc>
        <w:tc>
          <w:tcPr>
            <w:tcW w:w="671" w:type="dxa"/>
            <w:vMerge w:val="continue"/>
            <w:tcBorders>
              <w:left w:val="single" w:color="auto" w:sz="4" w:space="0"/>
              <w:bottom w:val="single" w:color="auto" w:sz="4" w:space="0"/>
              <w:right w:val="single" w:color="auto" w:sz="4" w:space="0"/>
            </w:tcBorders>
            <w:vAlign w:val="center"/>
          </w:tcPr>
          <w:p w14:paraId="4098A4D1">
            <w:pPr>
              <w:pStyle w:val="78"/>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color w:val="auto"/>
              </w:rPr>
            </w:pPr>
          </w:p>
        </w:tc>
        <w:tc>
          <w:tcPr>
            <w:tcW w:w="6277" w:type="dxa"/>
            <w:gridSpan w:val="2"/>
            <w:tcBorders>
              <w:top w:val="single" w:color="auto" w:sz="4" w:space="0"/>
              <w:left w:val="single" w:color="auto" w:sz="4" w:space="0"/>
              <w:bottom w:val="single" w:color="auto" w:sz="4" w:space="0"/>
              <w:right w:val="single" w:color="auto" w:sz="4" w:space="0"/>
            </w:tcBorders>
            <w:vAlign w:val="center"/>
          </w:tcPr>
          <w:p w14:paraId="6155AC17">
            <w:pPr>
              <w:pStyle w:val="78"/>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eastAsia="宋体" w:cs="宋体"/>
                <w:bCs/>
                <w:color w:val="auto"/>
                <w:sz w:val="21"/>
                <w:szCs w:val="21"/>
                <w:highlight w:val="none"/>
                <w:u w:val="none"/>
                <w:lang w:val="en-US" w:eastAsia="zh-CN"/>
              </w:rPr>
            </w:pPr>
            <w:r>
              <w:rPr>
                <w:rFonts w:hint="eastAsia" w:ascii="宋体" w:eastAsia="宋体" w:cs="宋体"/>
                <w:bCs/>
                <w:color w:val="auto"/>
                <w:sz w:val="21"/>
                <w:szCs w:val="21"/>
                <w:highlight w:val="none"/>
                <w:u w:val="none"/>
                <w:lang w:val="en-US" w:eastAsia="zh-CN"/>
              </w:rPr>
              <w:t>2.根据供应商拟派本项目的实施人员（除项目负责人）进行评审：拟派承接业务的实施人员（指具有执业资格或者具有中级及以上职称的人员）每人得1分，本项最高得2分。</w:t>
            </w:r>
          </w:p>
          <w:p w14:paraId="5ED98647">
            <w:pPr>
              <w:pStyle w:val="78"/>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eastAsia="宋体" w:cs="宋体"/>
                <w:bCs/>
                <w:color w:val="auto"/>
                <w:sz w:val="21"/>
                <w:szCs w:val="21"/>
                <w:highlight w:val="none"/>
                <w:u w:val="none"/>
                <w:lang w:val="en-US" w:eastAsia="zh-CN"/>
              </w:rPr>
            </w:pPr>
            <w:r>
              <w:rPr>
                <w:rFonts w:hint="eastAsia" w:ascii="宋体" w:eastAsia="宋体" w:cs="宋体"/>
                <w:bCs/>
                <w:color w:val="auto"/>
                <w:sz w:val="21"/>
                <w:szCs w:val="21"/>
                <w:highlight w:val="none"/>
                <w:u w:val="none"/>
                <w:lang w:val="en-US" w:eastAsia="zh-CN"/>
              </w:rPr>
              <w:t>注：①</w:t>
            </w:r>
            <w:r>
              <w:rPr>
                <w:rFonts w:hint="eastAsia" w:ascii="宋体" w:eastAsia="宋体"/>
                <w:bCs/>
                <w:color w:val="auto"/>
                <w:sz w:val="21"/>
                <w:szCs w:val="21"/>
                <w:highlight w:val="none"/>
                <w:u w:val="none"/>
              </w:rPr>
              <w:t>上述人员须提供相关证件复印件、社保证明（社保证明应为投标文件递交截止日前半年时间内连续不少于三个月的有效证明材料，可以是在投标人总公司或分公司的社保缴纳证明文件，可以是原件或复印件但均需加盖投标人公章）、劳动合同复印件等</w:t>
            </w:r>
            <w:r>
              <w:rPr>
                <w:rFonts w:hint="eastAsia" w:ascii="宋体" w:eastAsia="宋体"/>
                <w:bCs/>
                <w:color w:val="auto"/>
                <w:sz w:val="21"/>
                <w:szCs w:val="21"/>
                <w:highlight w:val="none"/>
                <w:u w:val="none"/>
                <w:lang w:val="en-US" w:eastAsia="zh-CN"/>
              </w:rPr>
              <w:t>加盖供应商公章</w:t>
            </w:r>
            <w:r>
              <w:rPr>
                <w:rFonts w:hint="eastAsia" w:ascii="宋体" w:eastAsia="宋体" w:cs="宋体"/>
                <w:bCs/>
                <w:color w:val="auto"/>
                <w:sz w:val="21"/>
                <w:szCs w:val="21"/>
                <w:highlight w:val="none"/>
                <w:u w:val="none"/>
                <w:lang w:val="en-US" w:eastAsia="zh-CN"/>
              </w:rPr>
              <w:t>，否则不得分。（同一人不重复得分）</w:t>
            </w:r>
          </w:p>
        </w:tc>
      </w:tr>
      <w:tr w14:paraId="26A1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47" w:type="dxa"/>
            <w:gridSpan w:val="5"/>
            <w:tcBorders>
              <w:top w:val="single" w:color="auto" w:sz="4" w:space="0"/>
              <w:left w:val="single" w:color="auto" w:sz="4" w:space="0"/>
              <w:bottom w:val="single" w:color="auto" w:sz="4" w:space="0"/>
              <w:right w:val="single" w:color="auto" w:sz="4" w:space="0"/>
            </w:tcBorders>
            <w:vAlign w:val="center"/>
          </w:tcPr>
          <w:p w14:paraId="7E2F0663">
            <w:pPr>
              <w:pStyle w:val="78"/>
              <w:keepNext w:val="0"/>
              <w:keepLines w:val="0"/>
              <w:pageBreakBefore w:val="0"/>
              <w:kinsoku/>
              <w:wordWrap/>
              <w:overflowPunct/>
              <w:topLinePunct w:val="0"/>
              <w:bidi w:val="0"/>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技术评审（</w:t>
            </w:r>
            <w:r>
              <w:rPr>
                <w:rFonts w:hint="eastAsia" w:asci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r>
      <w:tr w14:paraId="4DCD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7FB8C0A">
            <w:pPr>
              <w:pStyle w:val="78"/>
              <w:keepNext w:val="0"/>
              <w:keepLines w:val="0"/>
              <w:pageBreakBefore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09" w:type="dxa"/>
            <w:tcBorders>
              <w:top w:val="single" w:color="auto" w:sz="4" w:space="0"/>
              <w:left w:val="single" w:color="auto" w:sz="4" w:space="0"/>
              <w:bottom w:val="single" w:color="auto" w:sz="4" w:space="0"/>
              <w:right w:val="single" w:color="auto" w:sz="4" w:space="0"/>
            </w:tcBorders>
            <w:vAlign w:val="center"/>
          </w:tcPr>
          <w:p w14:paraId="11B01B49">
            <w:pPr>
              <w:keepNext w:val="0"/>
              <w:keepLines w:val="0"/>
              <w:pageBreakBefore w:val="0"/>
              <w:widowControl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pacing w:val="2"/>
                <w:sz w:val="21"/>
                <w:szCs w:val="21"/>
                <w:highlight w:val="none"/>
                <w:u w:val="none"/>
              </w:rPr>
              <w:t>项目组织管理体系与人员配置方案</w:t>
            </w:r>
          </w:p>
        </w:tc>
        <w:tc>
          <w:tcPr>
            <w:tcW w:w="671" w:type="dxa"/>
            <w:tcBorders>
              <w:top w:val="single" w:color="auto" w:sz="4" w:space="0"/>
              <w:left w:val="single" w:color="auto" w:sz="4" w:space="0"/>
              <w:bottom w:val="single" w:color="auto" w:sz="4" w:space="0"/>
              <w:right w:val="single" w:color="auto" w:sz="4" w:space="0"/>
            </w:tcBorders>
            <w:vAlign w:val="center"/>
          </w:tcPr>
          <w:p w14:paraId="389125D3">
            <w:pPr>
              <w:keepNext w:val="0"/>
              <w:keepLines w:val="0"/>
              <w:pageBreakBefore w:val="0"/>
              <w:widowControl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en-US" w:eastAsia="zh-CN"/>
              </w:rPr>
              <w:t>分</w:t>
            </w:r>
          </w:p>
        </w:tc>
        <w:tc>
          <w:tcPr>
            <w:tcW w:w="6277" w:type="dxa"/>
            <w:gridSpan w:val="2"/>
            <w:tcBorders>
              <w:top w:val="single" w:color="auto" w:sz="4" w:space="0"/>
              <w:left w:val="single" w:color="auto" w:sz="4" w:space="0"/>
              <w:bottom w:val="single" w:color="auto" w:sz="4" w:space="0"/>
              <w:right w:val="single" w:color="auto" w:sz="4" w:space="0"/>
            </w:tcBorders>
            <w:vAlign w:val="center"/>
          </w:tcPr>
          <w:p w14:paraId="5F4FEE2E">
            <w:pPr>
              <w:pStyle w:val="147"/>
              <w:keepNext w:val="0"/>
              <w:keepLines w:val="0"/>
              <w:pageBreakBefore w:val="0"/>
              <w:numPr>
                <w:ilvl w:val="0"/>
                <w:numId w:val="0"/>
              </w:numPr>
              <w:kinsoku/>
              <w:wordWrap/>
              <w:overflowPunct/>
              <w:topLinePunct w:val="0"/>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根据供应商提供的项目组织管理体系、人员配置及岗位职责方案进行综合评审：</w:t>
            </w:r>
          </w:p>
          <w:p w14:paraId="63451923">
            <w:pPr>
              <w:pStyle w:val="147"/>
              <w:keepNext w:val="0"/>
              <w:keepLines w:val="0"/>
              <w:pageBreakBefore w:val="0"/>
              <w:numPr>
                <w:ilvl w:val="0"/>
                <w:numId w:val="0"/>
              </w:numPr>
              <w:kinsoku/>
              <w:wordWrap/>
              <w:overflowPunct/>
              <w:topLinePunct w:val="0"/>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优：针对本项目特点建立完整、科学、高效的组织管理架构，岗位职责清晰、分工明确，人员配置充足且专业匹配，管理制度完善、沟通协调机制健全，风险预判与应急处置能力突出，得8分；</w:t>
            </w:r>
          </w:p>
          <w:p w14:paraId="53D95653">
            <w:pPr>
              <w:pStyle w:val="147"/>
              <w:keepNext w:val="0"/>
              <w:keepLines w:val="0"/>
              <w:pageBreakBefore w:val="0"/>
              <w:numPr>
                <w:ilvl w:val="0"/>
                <w:numId w:val="0"/>
              </w:numPr>
              <w:kinsoku/>
              <w:wordWrap/>
              <w:overflowPunct/>
              <w:topLinePunct w:val="0"/>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良：组织架构合理、职责划分较清晰，人员配置满足项目需求，管理流程规范，协调能力较强，得6分；</w:t>
            </w:r>
          </w:p>
          <w:p w14:paraId="18933551">
            <w:pPr>
              <w:pStyle w:val="147"/>
              <w:keepNext w:val="0"/>
              <w:keepLines w:val="0"/>
              <w:pageBreakBefore w:val="0"/>
              <w:numPr>
                <w:ilvl w:val="0"/>
                <w:numId w:val="0"/>
              </w:numPr>
              <w:kinsoku/>
              <w:wordWrap/>
              <w:overflowPunct/>
              <w:topLinePunct w:val="0"/>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中：组织架构基本完整，岗位职责基本明确，人员配置基本满足需求，具备基本管理与协调能力，得3分；</w:t>
            </w:r>
          </w:p>
          <w:p w14:paraId="652AFAAB">
            <w:pPr>
              <w:pStyle w:val="147"/>
              <w:keepNext w:val="0"/>
              <w:keepLines w:val="0"/>
              <w:pageBreakBefore w:val="0"/>
              <w:numPr>
                <w:ilvl w:val="0"/>
                <w:numId w:val="0"/>
              </w:numPr>
              <w:kinsoku/>
              <w:wordWrap/>
              <w:overflowPunct/>
              <w:topLinePunct w:val="0"/>
              <w:bidi w:val="0"/>
              <w:adjustRightInd/>
              <w:snapToGrid/>
              <w:spacing w:line="440" w:lineRule="exact"/>
              <w:ind w:left="0" w:leftChars="0" w:firstLine="0" w:firstLineChars="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差：组织架构混乱、职责不清、人员配置不足、管理流程缺失，得1分；</w:t>
            </w:r>
          </w:p>
          <w:p w14:paraId="1B2E3B66">
            <w:pPr>
              <w:pStyle w:val="147"/>
              <w:keepNext w:val="0"/>
              <w:keepLines w:val="0"/>
              <w:pageBreakBefore w:val="0"/>
              <w:numPr>
                <w:ilvl w:val="0"/>
                <w:numId w:val="0"/>
              </w:numPr>
              <w:kinsoku/>
              <w:wordWrap/>
              <w:overflowPunct/>
              <w:topLinePunct w:val="0"/>
              <w:bidi w:val="0"/>
              <w:adjustRightInd/>
              <w:snapToGrid/>
              <w:spacing w:line="440" w:lineRule="exact"/>
              <w:ind w:left="0" w:leftChars="0" w:firstLine="0" w:firstLineChars="0"/>
              <w:textAlignment w:val="auto"/>
              <w:rPr>
                <w:rFonts w:hint="default" w:ascii="宋体" w:hAnsi="宋体" w:eastAsia="宋体" w:cs="宋体"/>
                <w:color w:val="auto"/>
                <w:sz w:val="21"/>
                <w:szCs w:val="21"/>
                <w:highlight w:val="none"/>
                <w:u w:val="none"/>
                <w:lang w:val="en-US" w:eastAsia="zh-CN" w:bidi="ar-SA"/>
              </w:rPr>
            </w:pPr>
            <w:r>
              <w:rPr>
                <w:rFonts w:hint="eastAsia" w:ascii="宋体" w:hAnsi="宋体" w:eastAsia="宋体" w:cs="宋体"/>
                <w:color w:val="auto"/>
                <w:sz w:val="21"/>
                <w:szCs w:val="21"/>
                <w:highlight w:val="none"/>
                <w:u w:val="none"/>
                <w:lang w:val="zh-CN"/>
              </w:rPr>
              <w:t>未提供不得分。</w:t>
            </w:r>
          </w:p>
        </w:tc>
      </w:tr>
      <w:tr w14:paraId="788D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D643227">
            <w:pPr>
              <w:pStyle w:val="78"/>
              <w:keepNext w:val="0"/>
              <w:keepLines w:val="0"/>
              <w:pageBreakBefore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09" w:type="dxa"/>
            <w:tcBorders>
              <w:top w:val="single" w:color="auto" w:sz="4" w:space="0"/>
              <w:left w:val="single" w:color="auto" w:sz="4" w:space="0"/>
              <w:bottom w:val="single" w:color="auto" w:sz="4" w:space="0"/>
              <w:right w:val="single" w:color="auto" w:sz="4" w:space="0"/>
            </w:tcBorders>
            <w:vAlign w:val="center"/>
          </w:tcPr>
          <w:p w14:paraId="5DA1EF08">
            <w:pPr>
              <w:keepNext w:val="0"/>
              <w:keepLines w:val="0"/>
              <w:pageBreakBefore w:val="0"/>
              <w:widowControl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pacing w:val="2"/>
                <w:sz w:val="21"/>
                <w:szCs w:val="21"/>
                <w:highlight w:val="none"/>
                <w:u w:val="none"/>
                <w:lang w:val="en-US" w:eastAsia="zh-CN"/>
              </w:rPr>
              <w:t>招标代理全流程重点难点分析及应对方案</w:t>
            </w:r>
          </w:p>
        </w:tc>
        <w:tc>
          <w:tcPr>
            <w:tcW w:w="671" w:type="dxa"/>
            <w:tcBorders>
              <w:top w:val="single" w:color="auto" w:sz="4" w:space="0"/>
              <w:left w:val="single" w:color="auto" w:sz="4" w:space="0"/>
              <w:bottom w:val="single" w:color="auto" w:sz="4" w:space="0"/>
              <w:right w:val="single" w:color="auto" w:sz="4" w:space="0"/>
            </w:tcBorders>
            <w:vAlign w:val="center"/>
          </w:tcPr>
          <w:p w14:paraId="332FAF72">
            <w:pPr>
              <w:keepNext w:val="0"/>
              <w:keepLines w:val="0"/>
              <w:pageBreakBefore w:val="0"/>
              <w:widowControl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en-US" w:eastAsia="zh-CN"/>
              </w:rPr>
              <w:t>分</w:t>
            </w:r>
          </w:p>
        </w:tc>
        <w:tc>
          <w:tcPr>
            <w:tcW w:w="6277" w:type="dxa"/>
            <w:gridSpan w:val="2"/>
            <w:tcBorders>
              <w:top w:val="single" w:color="auto" w:sz="4" w:space="0"/>
              <w:left w:val="single" w:color="auto" w:sz="4" w:space="0"/>
              <w:bottom w:val="single" w:color="auto" w:sz="4" w:space="0"/>
              <w:right w:val="single" w:color="auto" w:sz="4" w:space="0"/>
            </w:tcBorders>
            <w:vAlign w:val="center"/>
          </w:tcPr>
          <w:p w14:paraId="683CB70A">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根据供应商提供的招标代理重点难点分析及应对措施方案进行综合评审：</w:t>
            </w:r>
          </w:p>
          <w:p w14:paraId="1B2B8A12">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优：精准识别本项目招标代理全流程（需求梳理、文件编制、公告发布、开评标组织、结果公示、质疑投诉处理、档案归档）重点、难点、风险点，分析透彻全面，应对措施具体可行、针对性极强，保障措施严谨完善，得8分；</w:t>
            </w:r>
          </w:p>
          <w:p w14:paraId="4425125D">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良：能识别主要重点难点，分析较为全面，应对措施合理可行，具备一定风险防控能力，得6分；</w:t>
            </w:r>
          </w:p>
          <w:p w14:paraId="0F89B2F5">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中：能识别部分重点难点，分析较为浅显，应对措施基本可行，得3分；</w:t>
            </w:r>
          </w:p>
          <w:p w14:paraId="7C3624D6">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差：重点难点识别缺失、分析笼统、措施无针对性，得 1 分；</w:t>
            </w:r>
          </w:p>
          <w:p w14:paraId="34EE4EB6">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未提供不得分。</w:t>
            </w:r>
          </w:p>
        </w:tc>
      </w:tr>
      <w:tr w14:paraId="6070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17116D6">
            <w:pPr>
              <w:pStyle w:val="78"/>
              <w:keepNext w:val="0"/>
              <w:keepLines w:val="0"/>
              <w:pageBreakBefore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09" w:type="dxa"/>
            <w:tcBorders>
              <w:top w:val="single" w:color="auto" w:sz="4" w:space="0"/>
              <w:left w:val="single" w:color="auto" w:sz="4" w:space="0"/>
              <w:bottom w:val="single" w:color="auto" w:sz="4" w:space="0"/>
              <w:right w:val="single" w:color="auto" w:sz="4" w:space="0"/>
            </w:tcBorders>
            <w:vAlign w:val="center"/>
          </w:tcPr>
          <w:p w14:paraId="343C1591">
            <w:pPr>
              <w:keepNext w:val="0"/>
              <w:keepLines w:val="0"/>
              <w:pageBreakBefore w:val="0"/>
              <w:widowControl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pacing w:val="2"/>
                <w:sz w:val="21"/>
                <w:szCs w:val="21"/>
                <w:highlight w:val="none"/>
                <w:u w:val="none"/>
              </w:rPr>
              <w:t>招标代理工作进度计划与保障措施</w:t>
            </w:r>
          </w:p>
        </w:tc>
        <w:tc>
          <w:tcPr>
            <w:tcW w:w="671" w:type="dxa"/>
            <w:tcBorders>
              <w:top w:val="single" w:color="auto" w:sz="4" w:space="0"/>
              <w:left w:val="single" w:color="auto" w:sz="4" w:space="0"/>
              <w:bottom w:val="single" w:color="auto" w:sz="4" w:space="0"/>
              <w:right w:val="single" w:color="auto" w:sz="4" w:space="0"/>
            </w:tcBorders>
            <w:vAlign w:val="center"/>
          </w:tcPr>
          <w:p w14:paraId="3166A30C">
            <w:pPr>
              <w:keepNext w:val="0"/>
              <w:keepLines w:val="0"/>
              <w:pageBreakBefore w:val="0"/>
              <w:widowControl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en-US" w:eastAsia="zh-CN"/>
              </w:rPr>
              <w:t>分</w:t>
            </w:r>
          </w:p>
        </w:tc>
        <w:tc>
          <w:tcPr>
            <w:tcW w:w="6277" w:type="dxa"/>
            <w:gridSpan w:val="2"/>
            <w:tcBorders>
              <w:top w:val="single" w:color="auto" w:sz="4" w:space="0"/>
              <w:left w:val="single" w:color="auto" w:sz="4" w:space="0"/>
              <w:bottom w:val="single" w:color="auto" w:sz="4" w:space="0"/>
              <w:right w:val="single" w:color="auto" w:sz="4" w:space="0"/>
            </w:tcBorders>
            <w:vAlign w:val="center"/>
          </w:tcPr>
          <w:p w14:paraId="24871F2B">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根据供应商提供的招标代理工作进度计划、节点安排及保障措施方案进行综合评审：</w:t>
            </w:r>
          </w:p>
          <w:p w14:paraId="44830D0C">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优：结合项目实际需求制定详细、可落地、可量化的招标代理全流程进度计划，明确各阶段工作节点、完成时限、责任主体，配备充足人力与资源保障，制定科学的进度纠偏机制与应急赶工措施，确保高效按期完成全部招标工作，得8分；</w:t>
            </w:r>
          </w:p>
          <w:p w14:paraId="7683B49F">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良：进度计划合理、节点清晰，资源配置到位，具备基本进度保障措施，得6分；</w:t>
            </w:r>
          </w:p>
          <w:p w14:paraId="11A82D74">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中：进度计划基本可行，节点设置一般，有简单保障措施，得3分；</w:t>
            </w:r>
          </w:p>
          <w:p w14:paraId="05508629">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差：进度计划模糊、节点不清、无保障措施，无法保证按期完成，得1分；</w:t>
            </w:r>
          </w:p>
          <w:p w14:paraId="61065F9B">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en-US" w:eastAsia="zh-CN"/>
              </w:rPr>
              <w:t>未提供不得分。</w:t>
            </w:r>
          </w:p>
        </w:tc>
      </w:tr>
      <w:tr w14:paraId="3A94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1CFFC0B">
            <w:pPr>
              <w:pStyle w:val="78"/>
              <w:keepNext w:val="0"/>
              <w:keepLines w:val="0"/>
              <w:pageBreakBefore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09" w:type="dxa"/>
            <w:tcBorders>
              <w:top w:val="single" w:color="auto" w:sz="4" w:space="0"/>
              <w:left w:val="single" w:color="auto" w:sz="4" w:space="0"/>
              <w:bottom w:val="single" w:color="auto" w:sz="4" w:space="0"/>
              <w:right w:val="single" w:color="auto" w:sz="4" w:space="0"/>
            </w:tcBorders>
            <w:vAlign w:val="center"/>
          </w:tcPr>
          <w:p w14:paraId="5AD5650F">
            <w:pPr>
              <w:keepNext w:val="0"/>
              <w:keepLines w:val="0"/>
              <w:pageBreakBefore w:val="0"/>
              <w:widowControl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pacing w:val="2"/>
                <w:sz w:val="21"/>
                <w:szCs w:val="21"/>
                <w:highlight w:val="none"/>
                <w:u w:val="none"/>
              </w:rPr>
              <w:t>招标代理质量控制体系及履约承诺</w:t>
            </w:r>
          </w:p>
        </w:tc>
        <w:tc>
          <w:tcPr>
            <w:tcW w:w="671" w:type="dxa"/>
            <w:tcBorders>
              <w:top w:val="single" w:color="auto" w:sz="4" w:space="0"/>
              <w:left w:val="single" w:color="auto" w:sz="4" w:space="0"/>
              <w:bottom w:val="single" w:color="auto" w:sz="4" w:space="0"/>
              <w:right w:val="single" w:color="auto" w:sz="4" w:space="0"/>
            </w:tcBorders>
            <w:vAlign w:val="center"/>
          </w:tcPr>
          <w:p w14:paraId="322EF033">
            <w:pPr>
              <w:keepNext w:val="0"/>
              <w:keepLines w:val="0"/>
              <w:pageBreakBefore w:val="0"/>
              <w:widowControl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en-US" w:eastAsia="zh-CN"/>
              </w:rPr>
              <w:t>分</w:t>
            </w:r>
          </w:p>
        </w:tc>
        <w:tc>
          <w:tcPr>
            <w:tcW w:w="6277" w:type="dxa"/>
            <w:gridSpan w:val="2"/>
            <w:tcBorders>
              <w:top w:val="single" w:color="auto" w:sz="4" w:space="0"/>
              <w:left w:val="single" w:color="auto" w:sz="4" w:space="0"/>
              <w:bottom w:val="single" w:color="auto" w:sz="4" w:space="0"/>
              <w:right w:val="single" w:color="auto" w:sz="4" w:space="0"/>
            </w:tcBorders>
            <w:vAlign w:val="center"/>
          </w:tcPr>
          <w:p w14:paraId="4E71B79F">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根据供应商提供的招标代理质量控制体系、管控措施及履约承诺方案进行综合评审：</w:t>
            </w:r>
          </w:p>
          <w:p w14:paraId="2C813887">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优：建立覆盖招标全过程的质量控制体系，文件编制、流程合规、专家抽取、开评标组织、资料归档等环节管控严格，质量责任明确，资源投入充足，针对质量违约、服务延误、流程瑕疵等作出详细、具体、可落地的违约责任承诺，得8分；</w:t>
            </w:r>
          </w:p>
          <w:p w14:paraId="4146346F">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良：质量控制体系较完善，关键环节管控到位，履约承诺较为具体，得6分；</w:t>
            </w:r>
          </w:p>
          <w:p w14:paraId="0D27BAE0">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中：具备基本质量控制措施，履约承诺基本满足要求，得3分；</w:t>
            </w:r>
          </w:p>
          <w:p w14:paraId="742182A0">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差：质量管控措施简单、资源投入不足、履约承诺笼统，得</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分；</w:t>
            </w:r>
          </w:p>
          <w:p w14:paraId="4E7665E9">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eastAsia="zh-CN" w:bidi="ar-SA"/>
              </w:rPr>
            </w:pPr>
            <w:r>
              <w:rPr>
                <w:rFonts w:hint="eastAsia" w:ascii="宋体" w:hAnsi="宋体" w:eastAsia="宋体" w:cs="宋体"/>
                <w:color w:val="auto"/>
                <w:sz w:val="21"/>
                <w:szCs w:val="21"/>
                <w:highlight w:val="none"/>
                <w:u w:val="none"/>
                <w:lang w:val="en-US" w:eastAsia="zh-CN"/>
              </w:rPr>
              <w:t>未提供不得分。</w:t>
            </w:r>
          </w:p>
        </w:tc>
      </w:tr>
      <w:tr w14:paraId="43A0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131062B">
            <w:pPr>
              <w:pStyle w:val="78"/>
              <w:keepNext w:val="0"/>
              <w:keepLines w:val="0"/>
              <w:pageBreakBefore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09" w:type="dxa"/>
            <w:tcBorders>
              <w:top w:val="single" w:color="auto" w:sz="4" w:space="0"/>
              <w:left w:val="single" w:color="auto" w:sz="4" w:space="0"/>
              <w:bottom w:val="single" w:color="auto" w:sz="4" w:space="0"/>
              <w:right w:val="single" w:color="auto" w:sz="4" w:space="0"/>
            </w:tcBorders>
            <w:vAlign w:val="center"/>
          </w:tcPr>
          <w:p w14:paraId="14B691A6">
            <w:pPr>
              <w:keepNext w:val="0"/>
              <w:keepLines w:val="0"/>
              <w:pageBreakBefore w:val="0"/>
              <w:widowControl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pacing w:val="2"/>
                <w:sz w:val="21"/>
                <w:szCs w:val="21"/>
                <w:highlight w:val="none"/>
                <w:u w:val="none"/>
                <w:lang w:eastAsia="zh-CN"/>
              </w:rPr>
            </w:pPr>
            <w:r>
              <w:rPr>
                <w:rFonts w:hint="eastAsia" w:ascii="宋体" w:hAnsi="宋体" w:eastAsia="宋体" w:cs="宋体"/>
                <w:color w:val="auto"/>
                <w:sz w:val="21"/>
                <w:szCs w:val="21"/>
                <w:highlight w:val="none"/>
                <w:u w:val="none"/>
              </w:rPr>
              <w:t>质疑投诉处理机制及增值服务方案</w:t>
            </w:r>
          </w:p>
        </w:tc>
        <w:tc>
          <w:tcPr>
            <w:tcW w:w="671" w:type="dxa"/>
            <w:tcBorders>
              <w:top w:val="single" w:color="auto" w:sz="4" w:space="0"/>
              <w:left w:val="single" w:color="auto" w:sz="4" w:space="0"/>
              <w:bottom w:val="single" w:color="auto" w:sz="4" w:space="0"/>
              <w:right w:val="single" w:color="auto" w:sz="4" w:space="0"/>
            </w:tcBorders>
            <w:vAlign w:val="center"/>
          </w:tcPr>
          <w:p w14:paraId="3A96C9E5">
            <w:pPr>
              <w:keepNext w:val="0"/>
              <w:keepLines w:val="0"/>
              <w:pageBreakBefore w:val="0"/>
              <w:widowControl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hAnsi="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en-US" w:eastAsia="zh-CN"/>
              </w:rPr>
              <w:t>分</w:t>
            </w:r>
          </w:p>
        </w:tc>
        <w:tc>
          <w:tcPr>
            <w:tcW w:w="6277" w:type="dxa"/>
            <w:gridSpan w:val="2"/>
            <w:tcBorders>
              <w:top w:val="single" w:color="auto" w:sz="4" w:space="0"/>
              <w:left w:val="single" w:color="auto" w:sz="4" w:space="0"/>
              <w:bottom w:val="single" w:color="auto" w:sz="4" w:space="0"/>
              <w:right w:val="single" w:color="auto" w:sz="4" w:space="0"/>
            </w:tcBorders>
            <w:vAlign w:val="center"/>
          </w:tcPr>
          <w:p w14:paraId="2852FD9E">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根据供应商提供的质疑投诉处理流程、管理制度及增值服务方案进行综合评审：</w:t>
            </w:r>
          </w:p>
          <w:p w14:paraId="6ABD33E6">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优：建立规范、高效、合法合规的质疑投诉处理流程与应急预案，响应及时、处置专业、闭环管理；同时提供政策解读、业务培训、标准化文件编制、紧急项目驻场、流程优化建议等贴合项目需求的增值服务，方案详实、操作性极强，得8分；</w:t>
            </w:r>
          </w:p>
          <w:p w14:paraId="629B4C11">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良：质疑投诉流程合理，处置能力较强，提供一定增值服务，内容较完善，得6分；</w:t>
            </w:r>
          </w:p>
          <w:p w14:paraId="7BE091E8">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中：具备基本质疑投诉处理能力，增值服务内容简单，得3分；</w:t>
            </w:r>
          </w:p>
          <w:p w14:paraId="72C3BE48">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差：流程缺失、处置能力不足、增值服务空洞无物，得1分；</w:t>
            </w:r>
          </w:p>
          <w:p w14:paraId="0EAF3B1F">
            <w:pPr>
              <w:pStyle w:val="22"/>
              <w:keepNext w:val="0"/>
              <w:keepLines w:val="0"/>
              <w:pageBreakBefore w:val="0"/>
              <w:kinsoku/>
              <w:wordWrap/>
              <w:overflowPunct/>
              <w:topLinePunct w:val="0"/>
              <w:bidi w:val="0"/>
              <w:adjustRightInd/>
              <w:snapToGrid/>
              <w:spacing w:after="0" w:line="440" w:lineRule="exact"/>
              <w:ind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未提供不得分。</w:t>
            </w:r>
          </w:p>
        </w:tc>
      </w:tr>
      <w:tr w14:paraId="1387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247" w:type="dxa"/>
            <w:gridSpan w:val="5"/>
            <w:tcBorders>
              <w:top w:val="single" w:color="auto" w:sz="4" w:space="0"/>
              <w:left w:val="single" w:color="auto" w:sz="4" w:space="0"/>
              <w:bottom w:val="single" w:color="auto" w:sz="4" w:space="0"/>
              <w:right w:val="single" w:color="auto" w:sz="4" w:space="0"/>
            </w:tcBorders>
            <w:vAlign w:val="center"/>
          </w:tcPr>
          <w:p w14:paraId="69BAC9AF">
            <w:pPr>
              <w:keepNext w:val="0"/>
              <w:keepLines w:val="0"/>
              <w:pageBreakBefore w:val="0"/>
              <w:widowControl w:val="0"/>
              <w:tabs>
                <w:tab w:val="left" w:pos="907"/>
              </w:tabs>
              <w:kinsoku/>
              <w:wordWrap/>
              <w:overflowPunct/>
              <w:topLinePunct w:val="0"/>
              <w:bidi w:val="0"/>
              <w:adjustRightInd/>
              <w:snapToGrid/>
              <w:spacing w:line="44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1C6CE279">
            <w:pPr>
              <w:keepNext w:val="0"/>
              <w:keepLines w:val="0"/>
              <w:pageBreakBefore w:val="0"/>
              <w:widowControl w:val="0"/>
              <w:tabs>
                <w:tab w:val="left" w:pos="907"/>
              </w:tabs>
              <w:kinsoku/>
              <w:wordWrap/>
              <w:overflowPunct/>
              <w:topLinePunct w:val="0"/>
              <w:bidi w:val="0"/>
              <w:adjustRightInd/>
              <w:snapToGrid/>
              <w:spacing w:line="44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（1）无特殊说明外，以上评审项，同一证明文件不重复计分。</w:t>
            </w:r>
          </w:p>
          <w:p w14:paraId="43DA9851">
            <w:pPr>
              <w:keepNext w:val="0"/>
              <w:keepLines w:val="0"/>
              <w:pageBreakBefore w:val="0"/>
              <w:widowControl w:val="0"/>
              <w:tabs>
                <w:tab w:val="left" w:pos="907"/>
              </w:tabs>
              <w:kinsoku/>
              <w:wordWrap/>
              <w:overflowPunct/>
              <w:topLinePunct w:val="0"/>
              <w:bidi w:val="0"/>
              <w:adjustRightInd/>
              <w:snapToGrid/>
              <w:spacing w:line="440" w:lineRule="exact"/>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根据以上评分要求提供的</w:t>
            </w:r>
            <w:r>
              <w:rPr>
                <w:rFonts w:hint="eastAsia" w:hAnsi="宋体" w:cs="宋体"/>
                <w:b/>
                <w:color w:val="auto"/>
                <w:sz w:val="21"/>
                <w:szCs w:val="21"/>
                <w:highlight w:val="none"/>
                <w:lang w:val="en-US" w:eastAsia="zh-CN"/>
              </w:rPr>
              <w:t>响应</w:t>
            </w:r>
            <w:r>
              <w:rPr>
                <w:rFonts w:hint="eastAsia" w:ascii="宋体" w:hAnsi="宋体" w:eastAsia="宋体" w:cs="宋体"/>
                <w:b/>
                <w:color w:val="auto"/>
                <w:sz w:val="21"/>
                <w:szCs w:val="21"/>
                <w:highlight w:val="none"/>
              </w:rPr>
              <w:t>材料因模糊不清导致</w:t>
            </w:r>
            <w:r>
              <w:rPr>
                <w:rFonts w:hint="eastAsia" w:ascii="宋体" w:hAnsi="宋体" w:eastAsia="宋体" w:cs="宋体"/>
                <w:b/>
                <w:color w:val="auto"/>
                <w:sz w:val="21"/>
                <w:szCs w:val="21"/>
                <w:highlight w:val="none"/>
                <w:lang w:eastAsia="zh-CN"/>
              </w:rPr>
              <w:t>磋商小组</w:t>
            </w:r>
            <w:r>
              <w:rPr>
                <w:rFonts w:hint="eastAsia" w:ascii="宋体" w:hAnsi="宋体" w:eastAsia="宋体" w:cs="宋体"/>
                <w:b/>
                <w:color w:val="auto"/>
                <w:sz w:val="21"/>
                <w:szCs w:val="21"/>
                <w:highlight w:val="none"/>
              </w:rPr>
              <w:t>无法清晰辨认进行评审的，视为无效材料。</w:t>
            </w:r>
          </w:p>
        </w:tc>
      </w:tr>
      <w:tr w14:paraId="5964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47" w:type="dxa"/>
            <w:gridSpan w:val="5"/>
            <w:tcBorders>
              <w:top w:val="single" w:color="auto" w:sz="4" w:space="0"/>
              <w:left w:val="single" w:color="auto" w:sz="4" w:space="0"/>
              <w:bottom w:val="single" w:color="auto" w:sz="4" w:space="0"/>
              <w:right w:val="single" w:color="auto" w:sz="4" w:space="0"/>
            </w:tcBorders>
            <w:vAlign w:val="center"/>
          </w:tcPr>
          <w:p w14:paraId="3169E767">
            <w:pPr>
              <w:pStyle w:val="78"/>
              <w:keepNext w:val="0"/>
              <w:keepLines w:val="0"/>
              <w:pageBreakBefore w:val="0"/>
              <w:kinsoku/>
              <w:wordWrap/>
              <w:overflowPunct/>
              <w:topLinePunct w:val="0"/>
              <w:bidi w:val="0"/>
              <w:snapToGrid/>
              <w:spacing w:line="440" w:lineRule="exact"/>
              <w:ind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u w:val="none"/>
              </w:rPr>
              <w:t>价格评审（</w:t>
            </w:r>
            <w:r>
              <w:rPr>
                <w:rFonts w:hint="eastAsia" w:ascii="宋体" w:eastAsia="宋体" w:cs="宋体"/>
                <w:b/>
                <w:bCs/>
                <w:color w:val="auto"/>
                <w:sz w:val="21"/>
                <w:szCs w:val="21"/>
                <w:highlight w:val="none"/>
                <w:u w:val="none"/>
                <w:lang w:val="en-US" w:eastAsia="zh-CN"/>
              </w:rPr>
              <w:t>4</w:t>
            </w:r>
            <w:r>
              <w:rPr>
                <w:rFonts w:hint="eastAsia" w:ascii="宋体" w:hAnsi="宋体" w:eastAsia="宋体" w:cs="宋体"/>
                <w:b/>
                <w:bCs/>
                <w:color w:val="auto"/>
                <w:sz w:val="21"/>
                <w:szCs w:val="21"/>
                <w:highlight w:val="none"/>
                <w:u w:val="none"/>
                <w:lang w:val="en-US" w:eastAsia="zh-CN"/>
              </w:rPr>
              <w:t>0</w:t>
            </w:r>
            <w:r>
              <w:rPr>
                <w:rFonts w:hint="eastAsia" w:ascii="宋体" w:hAnsi="宋体" w:eastAsia="宋体" w:cs="宋体"/>
                <w:b/>
                <w:bCs/>
                <w:color w:val="auto"/>
                <w:sz w:val="21"/>
                <w:szCs w:val="21"/>
                <w:highlight w:val="none"/>
                <w:u w:val="none"/>
              </w:rPr>
              <w:t>分）</w:t>
            </w:r>
          </w:p>
        </w:tc>
      </w:tr>
      <w:tr w14:paraId="628C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DD1ABC0">
            <w:pPr>
              <w:pStyle w:val="78"/>
              <w:keepNext w:val="0"/>
              <w:keepLines w:val="0"/>
              <w:pageBreakBefore w:val="0"/>
              <w:kinsoku/>
              <w:wordWrap/>
              <w:overflowPunct/>
              <w:topLinePunct w:val="0"/>
              <w:bidi w:val="0"/>
              <w:snapToGrid/>
              <w:spacing w:line="44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09" w:type="dxa"/>
            <w:tcBorders>
              <w:top w:val="single" w:color="auto" w:sz="4" w:space="0"/>
              <w:left w:val="single" w:color="auto" w:sz="4" w:space="0"/>
              <w:bottom w:val="single" w:color="auto" w:sz="4" w:space="0"/>
              <w:right w:val="single" w:color="auto" w:sz="4" w:space="0"/>
            </w:tcBorders>
            <w:vAlign w:val="center"/>
          </w:tcPr>
          <w:p w14:paraId="6B3956F8">
            <w:pPr>
              <w:keepNext w:val="0"/>
              <w:keepLines w:val="0"/>
              <w:pageBreakBefore w:val="0"/>
              <w:widowControl w:val="0"/>
              <w:kinsoku/>
              <w:wordWrap/>
              <w:overflowPunct/>
              <w:topLinePunct w:val="0"/>
              <w:bidi w:val="0"/>
              <w:adjustRightInd/>
              <w:snapToGrid/>
              <w:spacing w:line="440" w:lineRule="exact"/>
              <w:ind w:firstLine="0" w:firstLineChars="0"/>
              <w:jc w:val="center"/>
              <w:textAlignment w:val="auto"/>
              <w:rPr>
                <w:rFonts w:hint="default" w:ascii="宋体" w:hAnsi="宋体" w:eastAsia="宋体" w:cs="宋体"/>
                <w:color w:val="auto"/>
                <w:kern w:val="2"/>
                <w:sz w:val="21"/>
                <w:szCs w:val="21"/>
                <w:highlight w:val="none"/>
                <w:lang w:val="en-US"/>
              </w:rPr>
            </w:pPr>
            <w:r>
              <w:rPr>
                <w:rFonts w:hint="eastAsia" w:hAnsi="宋体" w:cs="宋体"/>
                <w:color w:val="auto"/>
                <w:kern w:val="2"/>
                <w:sz w:val="21"/>
                <w:szCs w:val="21"/>
                <w:highlight w:val="none"/>
                <w:lang w:val="en-US" w:eastAsia="zh-CN"/>
              </w:rPr>
              <w:t>响应报价</w:t>
            </w:r>
          </w:p>
        </w:tc>
        <w:tc>
          <w:tcPr>
            <w:tcW w:w="734" w:type="dxa"/>
            <w:gridSpan w:val="2"/>
            <w:tcBorders>
              <w:top w:val="single" w:color="auto" w:sz="4" w:space="0"/>
              <w:left w:val="single" w:color="auto" w:sz="4" w:space="0"/>
              <w:bottom w:val="single" w:color="auto" w:sz="4" w:space="0"/>
              <w:right w:val="single" w:color="auto" w:sz="4" w:space="0"/>
            </w:tcBorders>
            <w:vAlign w:val="center"/>
          </w:tcPr>
          <w:p w14:paraId="1414A24F">
            <w:pPr>
              <w:keepNext w:val="0"/>
              <w:keepLines w:val="0"/>
              <w:pageBreakBefore w:val="0"/>
              <w:widowControl w:val="0"/>
              <w:kinsoku/>
              <w:wordWrap/>
              <w:overflowPunct/>
              <w:topLinePunct w:val="0"/>
              <w:bidi w:val="0"/>
              <w:adjustRightInd/>
              <w:snapToGrid/>
              <w:spacing w:line="440" w:lineRule="exact"/>
              <w:ind w:firstLine="0" w:firstLineChars="0"/>
              <w:jc w:val="center"/>
              <w:textAlignment w:val="auto"/>
              <w:rPr>
                <w:rFonts w:hint="eastAsia" w:ascii="宋体"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0分</w:t>
            </w:r>
          </w:p>
        </w:tc>
        <w:tc>
          <w:tcPr>
            <w:tcW w:w="6214" w:type="dxa"/>
            <w:tcBorders>
              <w:top w:val="single" w:color="auto" w:sz="4" w:space="0"/>
              <w:left w:val="single" w:color="auto" w:sz="4" w:space="0"/>
              <w:bottom w:val="single" w:color="auto" w:sz="4" w:space="0"/>
              <w:right w:val="single" w:color="auto" w:sz="4" w:space="0"/>
            </w:tcBorders>
            <w:vAlign w:val="center"/>
          </w:tcPr>
          <w:p w14:paraId="24A01ED7">
            <w:pPr>
              <w:keepNext w:val="0"/>
              <w:keepLines w:val="0"/>
              <w:pageBreakBefore w:val="0"/>
              <w:widowControl w:val="0"/>
              <w:kinsoku/>
              <w:wordWrap/>
              <w:overflowPunct/>
              <w:topLinePunct w:val="0"/>
              <w:bidi w:val="0"/>
              <w:adjustRightInd/>
              <w:snapToGrid/>
              <w:spacing w:line="440" w:lineRule="exact"/>
              <w:ind w:firstLine="0" w:firstLineChars="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价格分计算方法：满足</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要求且</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价格（服务费系数）最低的</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报价为评标基准价，其价格分为满分。其他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的价格分统一按照下列公式计算：响应报价得分=</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评标基准价／响应报价</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×价格权重×</w:t>
            </w:r>
            <w:r>
              <w:rPr>
                <w:rFonts w:hint="eastAsia" w:hAnsi="宋体" w:cs="宋体"/>
                <w:color w:val="auto"/>
                <w:sz w:val="21"/>
                <w:szCs w:val="21"/>
                <w:highlight w:val="none"/>
                <w:lang w:val="en-US" w:eastAsia="zh-CN"/>
              </w:rPr>
              <w:t>40</w:t>
            </w:r>
            <w:r>
              <w:rPr>
                <w:rFonts w:hint="eastAsia" w:ascii="宋体" w:hAnsi="宋体" w:eastAsia="宋体" w:cs="宋体"/>
                <w:color w:val="auto"/>
                <w:sz w:val="21"/>
                <w:szCs w:val="21"/>
                <w:highlight w:val="none"/>
              </w:rPr>
              <w:t>。</w:t>
            </w:r>
          </w:p>
        </w:tc>
      </w:tr>
    </w:tbl>
    <w:p w14:paraId="7919E045">
      <w:pPr>
        <w:widowControl/>
        <w:shd w:val="clear"/>
        <w:tabs>
          <w:tab w:val="left" w:pos="907"/>
        </w:tabs>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w:t>
      </w:r>
    </w:p>
    <w:p w14:paraId="1A34FAD0">
      <w:pPr>
        <w:widowControl/>
        <w:shd w:val="clear"/>
        <w:tabs>
          <w:tab w:val="left" w:pos="907"/>
        </w:tabs>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hAnsi="宋体" w:cs="宋体"/>
          <w:bCs/>
          <w:color w:val="auto"/>
          <w:sz w:val="21"/>
          <w:szCs w:val="21"/>
          <w:highlight w:val="none"/>
          <w:lang w:eastAsia="zh-CN"/>
        </w:rPr>
        <w:t>）以</w:t>
      </w:r>
      <w:r>
        <w:rPr>
          <w:rFonts w:hint="eastAsia" w:ascii="宋体" w:hAnsi="宋体" w:eastAsia="宋体" w:cs="宋体"/>
          <w:bCs/>
          <w:color w:val="auto"/>
          <w:sz w:val="21"/>
          <w:szCs w:val="21"/>
          <w:highlight w:val="none"/>
        </w:rPr>
        <w:t>上证明文件均提供加盖公章复印件。</w:t>
      </w:r>
    </w:p>
    <w:p w14:paraId="6E77C362">
      <w:pPr>
        <w:widowControl/>
        <w:shd w:val="clear"/>
        <w:tabs>
          <w:tab w:val="left" w:pos="907"/>
        </w:tabs>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（2）若开标当日磋商小组需要查看以上证明文件原件，供应商请在接到通知后规定时间内携带原件到达评标会场，接受核查，如因迟到</w:t>
      </w:r>
      <w:r>
        <w:rPr>
          <w:rFonts w:hint="eastAsia" w:hAnsi="宋体" w:cs="宋体"/>
          <w:bCs/>
          <w:color w:val="auto"/>
          <w:sz w:val="21"/>
          <w:szCs w:val="21"/>
          <w:highlight w:val="none"/>
          <w:lang w:eastAsia="zh-CN"/>
        </w:rPr>
        <w:t>或</w:t>
      </w:r>
      <w:r>
        <w:rPr>
          <w:rFonts w:hint="eastAsia" w:ascii="宋体" w:hAnsi="宋体" w:eastAsia="宋体" w:cs="宋体"/>
          <w:bCs/>
          <w:color w:val="auto"/>
          <w:sz w:val="21"/>
          <w:szCs w:val="21"/>
          <w:highlight w:val="none"/>
        </w:rPr>
        <w:t>其他原因不能</w:t>
      </w:r>
      <w:r>
        <w:rPr>
          <w:rFonts w:hint="eastAsia" w:hAnsi="宋体" w:cs="宋体"/>
          <w:bCs/>
          <w:color w:val="auto"/>
          <w:sz w:val="21"/>
          <w:szCs w:val="21"/>
          <w:highlight w:val="none"/>
          <w:lang w:eastAsia="zh-CN"/>
        </w:rPr>
        <w:t>携带</w:t>
      </w:r>
      <w:r>
        <w:rPr>
          <w:rFonts w:hint="eastAsia" w:ascii="宋体" w:hAnsi="宋体" w:eastAsia="宋体" w:cs="宋体"/>
          <w:bCs/>
          <w:color w:val="auto"/>
          <w:sz w:val="21"/>
          <w:szCs w:val="21"/>
          <w:highlight w:val="none"/>
        </w:rPr>
        <w:t>原件到达现场接受检查，其造成的所有后</w:t>
      </w:r>
      <w:r>
        <w:rPr>
          <w:rFonts w:hint="eastAsia" w:hAnsi="宋体" w:cs="宋体"/>
          <w:bCs/>
          <w:color w:val="auto"/>
          <w:sz w:val="21"/>
          <w:szCs w:val="21"/>
          <w:highlight w:val="none"/>
          <w:lang w:eastAsia="zh-CN"/>
        </w:rPr>
        <w:t>果由</w:t>
      </w:r>
      <w:r>
        <w:rPr>
          <w:rFonts w:hint="eastAsia" w:ascii="宋体" w:hAnsi="宋体" w:eastAsia="宋体" w:cs="宋体"/>
          <w:bCs/>
          <w:color w:val="auto"/>
          <w:sz w:val="21"/>
          <w:szCs w:val="21"/>
          <w:highlight w:val="none"/>
        </w:rPr>
        <w:t>供应商自行承担。</w:t>
      </w:r>
    </w:p>
    <w:p w14:paraId="2C673313">
      <w:pPr>
        <w:widowControl/>
        <w:shd w:val="clea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（3）若成交将在发放成交通知书前逐一核对核查原件，请勿提供虚假、过期材料，否则将依据相关规定严肃处理。</w:t>
      </w:r>
    </w:p>
    <w:p w14:paraId="60FECC3F">
      <w:pPr>
        <w:pStyle w:val="30"/>
        <w:shd w:val="clear"/>
        <w:spacing w:line="360" w:lineRule="auto"/>
        <w:ind w:firstLine="422" w:firstLineChars="200"/>
        <w:rPr>
          <w:rFonts w:hint="eastAsia" w:ascii="宋体" w:hAnsi="宋体" w:eastAsia="宋体" w:cs="宋体"/>
          <w:b/>
          <w:color w:val="auto"/>
          <w:szCs w:val="21"/>
          <w:highlight w:val="none"/>
        </w:rPr>
      </w:pPr>
    </w:p>
    <w:p w14:paraId="1644EFE5">
      <w:pPr>
        <w:pStyle w:val="30"/>
        <w:shd w:val="clear"/>
        <w:spacing w:line="360" w:lineRule="auto"/>
        <w:ind w:firstLine="422" w:firstLineChars="200"/>
        <w:outlineLvl w:val="0"/>
        <w:rPr>
          <w:rFonts w:hint="eastAsia" w:ascii="宋体" w:hAnsi="宋体" w:eastAsia="宋体" w:cs="宋体"/>
          <w:b/>
          <w:color w:val="auto"/>
          <w:szCs w:val="21"/>
          <w:highlight w:val="none"/>
        </w:rPr>
      </w:pPr>
      <w:bookmarkStart w:id="175" w:name="_Toc15603"/>
      <w:r>
        <w:rPr>
          <w:rFonts w:hint="eastAsia" w:ascii="宋体" w:hAnsi="宋体" w:eastAsia="宋体" w:cs="宋体"/>
          <w:b/>
          <w:color w:val="auto"/>
          <w:szCs w:val="21"/>
          <w:highlight w:val="none"/>
        </w:rPr>
        <w:t>四、技术评审</w:t>
      </w:r>
      <w:bookmarkEnd w:id="175"/>
    </w:p>
    <w:p w14:paraId="28AAE1C3">
      <w:pPr>
        <w:shd w:val="clea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1.由磋商小组对所有响应文件的技术部分响应和指标进行审核和分析；对响应文件中文字、图纸说明和指标响应进行评分，填写《技术评分表》。</w:t>
      </w:r>
    </w:p>
    <w:p w14:paraId="2379BD63">
      <w:pPr>
        <w:pStyle w:val="30"/>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2.磋商小组按评标标准独立对技术标进行评审，得出技术标评分。当磋商小组为五人时，在所有评委对同一份</w:t>
      </w:r>
      <w:r>
        <w:rPr>
          <w:rFonts w:hint="eastAsia" w:hAnsi="宋体" w:cs="宋体"/>
          <w:color w:val="auto"/>
          <w:szCs w:val="21"/>
          <w:highlight w:val="none"/>
          <w:lang w:eastAsia="zh-CN"/>
        </w:rPr>
        <w:t>响应文件</w:t>
      </w:r>
      <w:r>
        <w:rPr>
          <w:rFonts w:hint="eastAsia" w:ascii="宋体" w:hAnsi="宋体" w:eastAsia="宋体" w:cs="宋体"/>
          <w:color w:val="auto"/>
          <w:szCs w:val="21"/>
          <w:highlight w:val="none"/>
        </w:rPr>
        <w:t>技术标评审的总评分中，去掉一个最高分和一个最低分，计算剩余总评分的算术平均值即为该供应商技术标的最终综合得分；当磋商小组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w:t>
      </w:r>
      <w:r>
        <w:rPr>
          <w:rFonts w:hint="eastAsia" w:hAnsi="宋体" w:cs="宋体"/>
          <w:color w:val="auto"/>
          <w:szCs w:val="21"/>
          <w:highlight w:val="none"/>
          <w:lang w:eastAsia="zh-CN"/>
        </w:rPr>
        <w:t>响应文件</w:t>
      </w:r>
      <w:r>
        <w:rPr>
          <w:rFonts w:hint="eastAsia" w:ascii="宋体" w:hAnsi="宋体" w:eastAsia="宋体" w:cs="宋体"/>
          <w:color w:val="auto"/>
          <w:szCs w:val="21"/>
          <w:highlight w:val="none"/>
        </w:rPr>
        <w:t>技术部分评审的总评分中，去掉一个最高分和一个最低分，计算剩余总评分的算术平均值即为该供应商技术部分的最终综合得分。</w:t>
      </w:r>
    </w:p>
    <w:p w14:paraId="1AF6290F">
      <w:pPr>
        <w:pStyle w:val="30"/>
        <w:shd w:val="clear"/>
        <w:spacing w:line="360" w:lineRule="auto"/>
        <w:ind w:firstLine="422" w:firstLineChars="200"/>
        <w:rPr>
          <w:rFonts w:hint="eastAsia" w:ascii="宋体" w:hAnsi="宋体" w:eastAsia="宋体" w:cs="宋体"/>
          <w:b/>
          <w:color w:val="auto"/>
          <w:szCs w:val="21"/>
          <w:highlight w:val="none"/>
        </w:rPr>
      </w:pPr>
    </w:p>
    <w:p w14:paraId="12E09484">
      <w:pPr>
        <w:pStyle w:val="30"/>
        <w:shd w:val="clear"/>
        <w:spacing w:line="360" w:lineRule="auto"/>
        <w:ind w:firstLine="422" w:firstLineChars="200"/>
        <w:outlineLvl w:val="0"/>
        <w:rPr>
          <w:rFonts w:hint="eastAsia" w:ascii="宋体" w:hAnsi="宋体" w:eastAsia="宋体" w:cs="宋体"/>
          <w:b/>
          <w:color w:val="auto"/>
          <w:szCs w:val="21"/>
          <w:highlight w:val="none"/>
        </w:rPr>
      </w:pPr>
      <w:bookmarkStart w:id="176" w:name="_Toc4394"/>
      <w:r>
        <w:rPr>
          <w:rFonts w:hint="eastAsia" w:ascii="宋体" w:hAnsi="宋体" w:eastAsia="宋体" w:cs="宋体"/>
          <w:b/>
          <w:color w:val="auto"/>
          <w:szCs w:val="21"/>
          <w:highlight w:val="none"/>
        </w:rPr>
        <w:t>五、商务评审</w:t>
      </w:r>
      <w:bookmarkEnd w:id="176"/>
    </w:p>
    <w:p w14:paraId="3B16CA32">
      <w:pPr>
        <w:pStyle w:val="30"/>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1.由磋商小组评价每个供应商的商务条件，填写《商务评分表》。</w:t>
      </w:r>
    </w:p>
    <w:p w14:paraId="11308D31">
      <w:pPr>
        <w:pStyle w:val="30"/>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2.将每一个磋商小组成员的评分汇总，取其算术平均值，为该供应商的商务得分。</w:t>
      </w:r>
    </w:p>
    <w:p w14:paraId="7F9673FB">
      <w:pPr>
        <w:pStyle w:val="30"/>
        <w:shd w:val="clear"/>
        <w:spacing w:line="360" w:lineRule="auto"/>
        <w:ind w:firstLine="422" w:firstLineChars="200"/>
        <w:rPr>
          <w:rFonts w:hint="eastAsia" w:ascii="宋体" w:hAnsi="宋体" w:eastAsia="宋体" w:cs="宋体"/>
          <w:b/>
          <w:color w:val="auto"/>
          <w:szCs w:val="21"/>
          <w:highlight w:val="none"/>
        </w:rPr>
      </w:pPr>
    </w:p>
    <w:p w14:paraId="33122996">
      <w:pPr>
        <w:pStyle w:val="30"/>
        <w:shd w:val="clear"/>
        <w:spacing w:line="360" w:lineRule="auto"/>
        <w:ind w:firstLine="422" w:firstLineChars="200"/>
        <w:outlineLvl w:val="0"/>
        <w:rPr>
          <w:rFonts w:hint="eastAsia" w:ascii="宋体" w:hAnsi="宋体" w:eastAsia="宋体" w:cs="宋体"/>
          <w:b/>
          <w:color w:val="auto"/>
          <w:szCs w:val="21"/>
          <w:highlight w:val="none"/>
        </w:rPr>
      </w:pPr>
      <w:bookmarkStart w:id="177" w:name="_Toc19007"/>
      <w:r>
        <w:rPr>
          <w:rFonts w:hint="eastAsia" w:ascii="宋体" w:hAnsi="宋体" w:eastAsia="宋体" w:cs="宋体"/>
          <w:b/>
          <w:color w:val="auto"/>
          <w:szCs w:val="21"/>
          <w:highlight w:val="none"/>
        </w:rPr>
        <w:t>六、报价评审</w:t>
      </w:r>
      <w:bookmarkEnd w:id="177"/>
    </w:p>
    <w:p w14:paraId="158FFBA5">
      <w:pPr>
        <w:shd w:val="clear"/>
        <w:tabs>
          <w:tab w:val="left" w:pos="1365"/>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1.价格核准：磋商小组对有效供应商的详细报价进行复核，审查是否有计算上的错误或供货范围上的错误。对错误修正的原则如下：</w:t>
      </w:r>
    </w:p>
    <w:p w14:paraId="22666F48">
      <w:pPr>
        <w:shd w:val="clear"/>
        <w:tabs>
          <w:tab w:val="left" w:pos="1365"/>
          <w:tab w:val="left" w:pos="147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1.1响应文件的大写金额和小写金额不一致的，以大写金额为准；</w:t>
      </w:r>
    </w:p>
    <w:p w14:paraId="029B47F0">
      <w:pPr>
        <w:shd w:val="clear"/>
        <w:tabs>
          <w:tab w:val="left" w:pos="1365"/>
          <w:tab w:val="left" w:pos="147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1.2当单价和数量的乘积与总价不一致时，以单价为准，并修正总价，但单价金额小数点有明显错误的除外；</w:t>
      </w:r>
    </w:p>
    <w:p w14:paraId="05F995A5">
      <w:pPr>
        <w:shd w:val="clear"/>
        <w:tabs>
          <w:tab w:val="left" w:pos="1365"/>
          <w:tab w:val="left" w:pos="147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1.3当分项之和与总价不一致时，以单价为准，并修正总价。</w:t>
      </w:r>
    </w:p>
    <w:p w14:paraId="2F7907FB">
      <w:pPr>
        <w:pStyle w:val="30"/>
        <w:shd w:val="clear"/>
        <w:tabs>
          <w:tab w:val="left" w:pos="1365"/>
        </w:tabs>
        <w:spacing w:line="360" w:lineRule="auto"/>
        <w:ind w:left="16" w:firstLine="422" w:firstLineChars="200"/>
        <w:rPr>
          <w:rFonts w:hint="eastAsia" w:ascii="宋体" w:hAnsi="宋体" w:eastAsia="宋体" w:cs="宋体"/>
          <w:b/>
          <w:color w:val="auto"/>
          <w:szCs w:val="21"/>
          <w:highlight w:val="none"/>
        </w:rPr>
      </w:pPr>
    </w:p>
    <w:p w14:paraId="14BF1866">
      <w:pPr>
        <w:pStyle w:val="30"/>
        <w:shd w:val="clear"/>
        <w:tabs>
          <w:tab w:val="left" w:pos="1365"/>
        </w:tabs>
        <w:spacing w:line="360" w:lineRule="auto"/>
        <w:ind w:left="16" w:firstLine="422" w:firstLineChars="200"/>
        <w:outlineLvl w:val="0"/>
        <w:rPr>
          <w:rFonts w:hint="eastAsia" w:ascii="宋体" w:hAnsi="宋体" w:eastAsia="宋体" w:cs="宋体"/>
          <w:b/>
          <w:color w:val="auto"/>
          <w:szCs w:val="21"/>
          <w:highlight w:val="none"/>
        </w:rPr>
      </w:pPr>
      <w:bookmarkStart w:id="178" w:name="_Toc3331"/>
      <w:r>
        <w:rPr>
          <w:rFonts w:hint="eastAsia" w:ascii="宋体" w:hAnsi="宋体" w:eastAsia="宋体" w:cs="宋体"/>
          <w:b/>
          <w:color w:val="auto"/>
          <w:szCs w:val="21"/>
          <w:highlight w:val="none"/>
        </w:rPr>
        <w:t>七、综合得分的计算</w:t>
      </w:r>
      <w:bookmarkEnd w:id="178"/>
    </w:p>
    <w:p w14:paraId="661BEA35">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1.综合得分=技术评审得分+商务评审得分+磋商报价得分。</w:t>
      </w:r>
    </w:p>
    <w:p w14:paraId="150FC734">
      <w:pPr>
        <w:shd w:val="clea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14:paraId="088E9013">
      <w:pPr>
        <w:shd w:val="clear"/>
        <w:rPr>
          <w:rFonts w:hint="eastAsia" w:ascii="宋体" w:hAnsi="宋体" w:eastAsia="宋体" w:cs="宋体"/>
          <w:color w:val="auto"/>
          <w:highlight w:val="none"/>
          <w:lang w:val="zh-CN"/>
        </w:rPr>
      </w:pPr>
    </w:p>
    <w:p w14:paraId="62AA4AFC">
      <w:pPr>
        <w:pStyle w:val="3"/>
        <w:keepNext/>
        <w:keepLines/>
        <w:pageBreakBefore/>
        <w:numPr>
          <w:ilvl w:val="0"/>
          <w:numId w:val="12"/>
        </w:numPr>
        <w:shd w:val="clear"/>
        <w:spacing w:line="360" w:lineRule="auto"/>
        <w:jc w:val="center"/>
        <w:rPr>
          <w:rFonts w:hint="eastAsia" w:ascii="宋体" w:hAnsi="宋体" w:eastAsia="宋体" w:cs="宋体"/>
          <w:b/>
          <w:bCs/>
          <w:color w:val="auto"/>
          <w:highlight w:val="none"/>
        </w:rPr>
      </w:pPr>
      <w:bookmarkStart w:id="179" w:name="_Toc15636"/>
      <w:bookmarkStart w:id="180" w:name="_Toc3360"/>
      <w:bookmarkStart w:id="181" w:name="_Toc9129"/>
      <w:bookmarkStart w:id="182" w:name="_Toc396137242"/>
      <w:bookmarkStart w:id="183" w:name="_Toc8470"/>
      <w:r>
        <w:rPr>
          <w:rFonts w:hint="eastAsia" w:ascii="宋体" w:hAnsi="宋体" w:eastAsia="宋体" w:cs="宋体"/>
          <w:b/>
          <w:bCs/>
          <w:color w:val="auto"/>
          <w:kern w:val="44"/>
          <w:sz w:val="28"/>
          <w:szCs w:val="28"/>
          <w:highlight w:val="none"/>
          <w:lang w:val="zh-CN"/>
        </w:rPr>
        <w:t>合同条款格式</w:t>
      </w:r>
      <w:bookmarkEnd w:id="179"/>
      <w:bookmarkEnd w:id="180"/>
    </w:p>
    <w:p w14:paraId="7C9578BE">
      <w:pPr>
        <w:spacing w:line="400" w:lineRule="exact"/>
        <w:rPr>
          <w:rFonts w:hint="eastAsia" w:hAnsi="宋体"/>
          <w:b/>
          <w:bCs/>
          <w:color w:val="auto"/>
          <w:highlight w:val="none"/>
        </w:rPr>
      </w:pPr>
    </w:p>
    <w:p w14:paraId="54C17EA9">
      <w:pPr>
        <w:spacing w:line="400" w:lineRule="exact"/>
        <w:rPr>
          <w:rFonts w:hint="eastAsia" w:hAnsi="宋体"/>
          <w:b/>
          <w:bCs/>
          <w:color w:val="auto"/>
          <w:highlight w:val="none"/>
        </w:rPr>
      </w:pPr>
    </w:p>
    <w:p w14:paraId="553A3669">
      <w:pPr>
        <w:spacing w:line="400" w:lineRule="exact"/>
        <w:rPr>
          <w:rFonts w:hAnsi="宋体"/>
          <w:b/>
          <w:bCs/>
          <w:color w:val="auto"/>
          <w:sz w:val="28"/>
          <w:szCs w:val="28"/>
          <w:highlight w:val="none"/>
        </w:rPr>
      </w:pPr>
    </w:p>
    <w:p w14:paraId="18160B9F">
      <w:pPr>
        <w:spacing w:line="400" w:lineRule="exact"/>
        <w:rPr>
          <w:rFonts w:hAnsi="宋体"/>
          <w:b/>
          <w:bCs/>
          <w:color w:val="auto"/>
          <w:sz w:val="28"/>
          <w:szCs w:val="28"/>
          <w:highlight w:val="none"/>
        </w:rPr>
      </w:pPr>
    </w:p>
    <w:p w14:paraId="21AA6158">
      <w:pPr>
        <w:spacing w:line="400" w:lineRule="exact"/>
        <w:rPr>
          <w:rFonts w:hint="eastAsia" w:hAnsi="宋体"/>
          <w:b/>
          <w:bCs/>
          <w:color w:val="auto"/>
          <w:sz w:val="28"/>
          <w:szCs w:val="28"/>
          <w:highlight w:val="none"/>
        </w:rPr>
      </w:pPr>
    </w:p>
    <w:p w14:paraId="1CF39A29">
      <w:pPr>
        <w:spacing w:line="400" w:lineRule="exact"/>
        <w:rPr>
          <w:rFonts w:hint="eastAsia" w:hAnsi="宋体"/>
          <w:b/>
          <w:bCs/>
          <w:color w:val="auto"/>
          <w:sz w:val="54"/>
          <w:szCs w:val="28"/>
          <w:highlight w:val="none"/>
        </w:rPr>
      </w:pPr>
    </w:p>
    <w:p w14:paraId="4CECA82E">
      <w:pPr>
        <w:pStyle w:val="43"/>
        <w:spacing w:after="156"/>
        <w:ind w:firstLine="0" w:firstLineChars="0"/>
        <w:jc w:val="center"/>
        <w:rPr>
          <w:rFonts w:hint="eastAsia"/>
          <w:b/>
          <w:color w:val="auto"/>
          <w:sz w:val="48"/>
          <w:szCs w:val="48"/>
          <w:highlight w:val="none"/>
        </w:rPr>
      </w:pPr>
      <w:r>
        <w:rPr>
          <w:rFonts w:hint="eastAsia"/>
          <w:b/>
          <w:color w:val="auto"/>
          <w:sz w:val="48"/>
          <w:szCs w:val="48"/>
          <w:highlight w:val="none"/>
        </w:rPr>
        <w:t>招标代理合同</w:t>
      </w:r>
    </w:p>
    <w:p w14:paraId="055F8573">
      <w:pPr>
        <w:spacing w:line="400" w:lineRule="exact"/>
        <w:ind w:firstLine="240"/>
        <w:rPr>
          <w:rFonts w:hint="eastAsia" w:hAnsi="宋体"/>
          <w:b/>
          <w:bCs/>
          <w:color w:val="auto"/>
          <w:sz w:val="28"/>
          <w:szCs w:val="28"/>
          <w:highlight w:val="none"/>
        </w:rPr>
      </w:pPr>
    </w:p>
    <w:p w14:paraId="616A3678">
      <w:pPr>
        <w:spacing w:line="400" w:lineRule="exact"/>
        <w:ind w:firstLine="240"/>
        <w:rPr>
          <w:rFonts w:hint="eastAsia" w:hAnsi="宋体"/>
          <w:b/>
          <w:bCs/>
          <w:color w:val="auto"/>
          <w:sz w:val="28"/>
          <w:szCs w:val="28"/>
          <w:highlight w:val="none"/>
        </w:rPr>
      </w:pPr>
    </w:p>
    <w:p w14:paraId="0F4CC8C4">
      <w:pPr>
        <w:spacing w:line="400" w:lineRule="exact"/>
        <w:ind w:firstLine="240"/>
        <w:rPr>
          <w:rFonts w:hint="eastAsia" w:hAnsi="宋体"/>
          <w:b/>
          <w:bCs/>
          <w:color w:val="auto"/>
          <w:sz w:val="28"/>
          <w:szCs w:val="28"/>
          <w:highlight w:val="none"/>
        </w:rPr>
      </w:pPr>
    </w:p>
    <w:p w14:paraId="52E563B2">
      <w:pPr>
        <w:spacing w:line="400" w:lineRule="exact"/>
        <w:ind w:firstLine="240"/>
        <w:rPr>
          <w:rFonts w:hint="eastAsia" w:hAnsi="宋体"/>
          <w:b/>
          <w:bCs/>
          <w:color w:val="auto"/>
          <w:sz w:val="28"/>
          <w:szCs w:val="28"/>
          <w:highlight w:val="none"/>
        </w:rPr>
      </w:pPr>
    </w:p>
    <w:p w14:paraId="017302CE">
      <w:pPr>
        <w:spacing w:line="400" w:lineRule="exact"/>
        <w:rPr>
          <w:rFonts w:hint="eastAsia" w:hAnsi="宋体"/>
          <w:b/>
          <w:bCs/>
          <w:color w:val="auto"/>
          <w:sz w:val="28"/>
          <w:szCs w:val="28"/>
          <w:highlight w:val="none"/>
        </w:rPr>
      </w:pPr>
    </w:p>
    <w:p w14:paraId="751B5D6D">
      <w:pPr>
        <w:spacing w:line="400" w:lineRule="exact"/>
        <w:ind w:firstLine="240"/>
        <w:rPr>
          <w:rFonts w:hint="eastAsia" w:hAnsi="宋体"/>
          <w:b/>
          <w:bCs/>
          <w:color w:val="auto"/>
          <w:sz w:val="28"/>
          <w:szCs w:val="28"/>
          <w:highlight w:val="none"/>
        </w:rPr>
      </w:pPr>
    </w:p>
    <w:p w14:paraId="29BE75E5">
      <w:pPr>
        <w:spacing w:line="360" w:lineRule="auto"/>
        <w:rPr>
          <w:rFonts w:hint="eastAsia" w:hAnsi="宋体"/>
          <w:b/>
          <w:bCs/>
          <w:color w:val="auto"/>
          <w:sz w:val="28"/>
          <w:szCs w:val="28"/>
          <w:highlight w:val="none"/>
        </w:rPr>
      </w:pPr>
    </w:p>
    <w:p w14:paraId="65FE094E">
      <w:pPr>
        <w:spacing w:line="360" w:lineRule="auto"/>
        <w:ind w:firstLine="240"/>
        <w:rPr>
          <w:rFonts w:hint="eastAsia" w:hAnsi="宋体"/>
          <w:b/>
          <w:bCs/>
          <w:color w:val="auto"/>
          <w:sz w:val="28"/>
          <w:szCs w:val="28"/>
          <w:highlight w:val="none"/>
        </w:rPr>
      </w:pPr>
    </w:p>
    <w:p w14:paraId="4A4E4083">
      <w:pPr>
        <w:spacing w:line="360" w:lineRule="exact"/>
        <w:ind w:firstLine="2880"/>
        <w:rPr>
          <w:rFonts w:hint="eastAsia" w:hAnsi="宋体"/>
          <w:color w:val="auto"/>
          <w:sz w:val="28"/>
          <w:szCs w:val="28"/>
          <w:highlight w:val="none"/>
        </w:rPr>
      </w:pPr>
    </w:p>
    <w:p w14:paraId="6AB0BE01">
      <w:pPr>
        <w:spacing w:line="480" w:lineRule="auto"/>
        <w:rPr>
          <w:rFonts w:hint="eastAsia" w:cstheme="minorBidi"/>
          <w:b/>
          <w:sz w:val="32"/>
          <w:szCs w:val="22"/>
          <w:lang w:val="en-US" w:eastAsia="zh-CN" w:bidi="ar-SA"/>
        </w:rPr>
      </w:pPr>
      <w:r>
        <w:rPr>
          <w:rFonts w:hint="eastAsia" w:ascii="Tahoma" w:hAnsi="Tahoma" w:eastAsia="宋体" w:cstheme="minorBidi"/>
          <w:b/>
          <w:sz w:val="32"/>
          <w:szCs w:val="22"/>
          <w:lang w:val="en-US" w:eastAsia="zh-CN" w:bidi="ar-SA"/>
        </w:rPr>
        <w:t>项目名称：</w:t>
      </w:r>
      <w:r>
        <w:rPr>
          <w:rFonts w:hint="eastAsia" w:cstheme="minorBidi"/>
          <w:b/>
          <w:sz w:val="32"/>
          <w:szCs w:val="22"/>
          <w:lang w:val="en-US" w:eastAsia="zh-CN" w:bidi="ar-SA"/>
        </w:rPr>
        <w:t xml:space="preserve"> 东莞市立沙岛绿色新材料产业园项目招标代理</w:t>
      </w:r>
    </w:p>
    <w:p w14:paraId="30C93356">
      <w:pPr>
        <w:spacing w:line="480" w:lineRule="auto"/>
        <w:rPr>
          <w:rFonts w:hint="eastAsia" w:ascii="Tahoma" w:hAnsi="Tahoma" w:eastAsia="宋体" w:cstheme="minorBidi"/>
          <w:b/>
          <w:sz w:val="32"/>
          <w:szCs w:val="22"/>
          <w:lang w:val="en-US" w:eastAsia="zh-CN" w:bidi="ar-SA"/>
        </w:rPr>
      </w:pPr>
      <w:r>
        <w:rPr>
          <w:rFonts w:hint="eastAsia" w:ascii="Tahoma" w:hAnsi="Tahoma" w:eastAsia="宋体" w:cstheme="minorBidi"/>
          <w:b/>
          <w:sz w:val="32"/>
          <w:szCs w:val="22"/>
          <w:lang w:val="en-US" w:eastAsia="zh-CN" w:bidi="ar-SA"/>
        </w:rPr>
        <w:t>甲方（招标人）：</w:t>
      </w:r>
    </w:p>
    <w:p w14:paraId="78C6A2CB">
      <w:pPr>
        <w:pStyle w:val="2"/>
        <w:spacing w:line="480" w:lineRule="auto"/>
        <w:ind w:left="0" w:leftChars="0" w:firstLine="0" w:firstLineChars="0"/>
        <w:rPr>
          <w:rFonts w:hint="default" w:ascii="Tahoma" w:hAnsi="Tahoma" w:eastAsia="宋体" w:cstheme="minorBidi"/>
          <w:b/>
          <w:sz w:val="32"/>
          <w:szCs w:val="22"/>
          <w:lang w:val="en-US" w:eastAsia="zh-CN" w:bidi="ar-SA"/>
        </w:rPr>
      </w:pPr>
      <w:r>
        <w:rPr>
          <w:rFonts w:hint="eastAsia" w:ascii="Tahoma" w:hAnsi="Tahoma" w:eastAsia="宋体" w:cstheme="minorBidi"/>
          <w:b/>
          <w:sz w:val="32"/>
          <w:szCs w:val="22"/>
          <w:lang w:val="en-US" w:eastAsia="zh-CN" w:bidi="ar-SA"/>
        </w:rPr>
        <w:t>乙方（代理人）：</w:t>
      </w:r>
    </w:p>
    <w:p w14:paraId="2703D492">
      <w:pPr>
        <w:keepNext w:val="0"/>
        <w:keepLines w:val="0"/>
        <w:kinsoku/>
        <w:wordWrap/>
        <w:overflowPunct/>
        <w:topLinePunct w:val="0"/>
        <w:bidi w:val="0"/>
        <w:spacing w:line="360" w:lineRule="auto"/>
        <w:jc w:val="center"/>
        <w:textAlignment w:val="auto"/>
        <w:outlineLvl w:val="0"/>
        <w:rPr>
          <w:rFonts w:hint="eastAsia" w:ascii="宋体" w:hAnsi="宋体" w:eastAsia="宋体" w:cs="宋体"/>
          <w:b/>
          <w:bCs/>
          <w:color w:val="auto"/>
          <w:sz w:val="36"/>
          <w:szCs w:val="36"/>
          <w:highlight w:val="none"/>
        </w:rPr>
        <w:sectPr>
          <w:footerReference r:id="rId3" w:type="default"/>
          <w:pgSz w:w="11906" w:h="16838"/>
          <w:pgMar w:top="1440" w:right="1800" w:bottom="1440" w:left="1800" w:header="851" w:footer="992" w:gutter="0"/>
          <w:pgNumType w:fmt="decimal" w:start="2"/>
          <w:cols w:space="425" w:num="1"/>
          <w:docGrid w:type="lines" w:linePitch="312" w:charSpace="0"/>
        </w:sectPr>
      </w:pPr>
    </w:p>
    <w:p w14:paraId="2EBF144C">
      <w:pPr>
        <w:keepNext w:val="0"/>
        <w:keepLines w:val="0"/>
        <w:kinsoku/>
        <w:wordWrap/>
        <w:overflowPunct/>
        <w:topLinePunct w:val="0"/>
        <w:bidi w:val="0"/>
        <w:spacing w:line="360" w:lineRule="auto"/>
        <w:jc w:val="center"/>
        <w:textAlignment w:val="auto"/>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招标代理合同</w:t>
      </w:r>
    </w:p>
    <w:p w14:paraId="36AA5D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0489B5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招标人（甲方）：</w:t>
      </w:r>
    </w:p>
    <w:p w14:paraId="398431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代理人（乙方）：</w:t>
      </w:r>
    </w:p>
    <w:p w14:paraId="6EEA59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依照《中华人民共和国民法典》《中华人民共和国招标投标法》及国家的有关法律、行政法规，遵循平等、自愿、公平和诚实信用的原则，双方就</w:t>
      </w:r>
      <w:r>
        <w:rPr>
          <w:rFonts w:hint="eastAsia" w:ascii="宋体" w:hAnsi="宋体" w:cs="宋体"/>
          <w:color w:val="auto"/>
          <w:sz w:val="21"/>
          <w:szCs w:val="21"/>
          <w:highlight w:val="none"/>
          <w:u w:val="single"/>
          <w:lang w:eastAsia="zh-CN"/>
        </w:rPr>
        <w:t>东莞市立沙岛绿色新材料产业园项目</w:t>
      </w:r>
      <w:r>
        <w:rPr>
          <w:rFonts w:hint="eastAsia" w:ascii="宋体" w:hAnsi="宋体" w:eastAsia="宋体" w:cs="宋体"/>
          <w:color w:val="auto"/>
          <w:sz w:val="21"/>
          <w:szCs w:val="21"/>
          <w:highlight w:val="none"/>
          <w:u w:val="single"/>
        </w:rPr>
        <w:t>招标代理</w:t>
      </w:r>
      <w:r>
        <w:rPr>
          <w:rFonts w:hint="eastAsia" w:ascii="宋体" w:hAnsi="宋体" w:eastAsia="宋体" w:cs="宋体"/>
          <w:color w:val="auto"/>
          <w:sz w:val="21"/>
          <w:szCs w:val="21"/>
          <w:highlight w:val="none"/>
        </w:rPr>
        <w:t>事项协商一致，订立本合同。</w:t>
      </w:r>
    </w:p>
    <w:p w14:paraId="770369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一、项目概况</w:t>
      </w:r>
    </w:p>
    <w:p w14:paraId="4EA4ED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东莞市立沙岛绿色新材料产业园项目招标代理</w:t>
      </w:r>
    </w:p>
    <w:p w14:paraId="18F226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点：</w:t>
      </w:r>
      <w:r>
        <w:rPr>
          <w:rFonts w:hint="eastAsia" w:ascii="宋体" w:hAnsi="宋体" w:cs="宋体"/>
          <w:color w:val="auto"/>
          <w:sz w:val="21"/>
          <w:szCs w:val="21"/>
          <w:highlight w:val="none"/>
          <w:lang w:val="en-US" w:eastAsia="zh-CN"/>
        </w:rPr>
        <w:t>东莞市沙田镇</w:t>
      </w:r>
    </w:p>
    <w:p w14:paraId="72362B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    模：项目总占地280亩，新建15栋甲类车间、18栋甲类仓库及科研综合楼、7060米综合管廊等建筑；配套给排水、供电、供热、空压制氮、RTO焚烧、智慧化管控等公用工程；搭建研发-中试-产业化一体化平台，完善安全环保与运营服务体系，打造高端电子化学品、精细化工、绿色新材料产业承载载体。</w:t>
      </w:r>
    </w:p>
    <w:p w14:paraId="24C139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规模：项目总占地280亩，新建15栋甲类车间、18栋甲类仓库及科研综合楼、7060米综合管廊等建筑；配套给排水、供电、供热、空压制氮、RTO焚烧、智慧化管控等公用工程；搭建研发-中试-产业化一体化平台，完善安全环保与运营服务体系，打造高端电子化学品、精细化工、绿色新材料产业承载载体。</w:t>
      </w:r>
    </w:p>
    <w:p w14:paraId="54F8D5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总投资额：</w:t>
      </w:r>
      <w:r>
        <w:rPr>
          <w:rFonts w:hint="eastAsia" w:ascii="宋体" w:hAnsi="宋体" w:cs="宋体"/>
          <w:color w:val="auto"/>
          <w:sz w:val="21"/>
          <w:szCs w:val="21"/>
          <w:highlight w:val="none"/>
          <w:lang w:eastAsia="zh-CN"/>
        </w:rPr>
        <w:t>项目投资估算总投资</w:t>
      </w:r>
      <w:r>
        <w:rPr>
          <w:rFonts w:hint="eastAsia" w:hAnsi="宋体" w:cs="宋体"/>
          <w:color w:val="auto"/>
          <w:sz w:val="21"/>
          <w:szCs w:val="21"/>
          <w:highlight w:val="none"/>
          <w:lang w:val="en-US" w:eastAsia="zh-CN"/>
        </w:rPr>
        <w:t>约</w:t>
      </w:r>
      <w:r>
        <w:rPr>
          <w:rFonts w:hint="eastAsia" w:ascii="宋体" w:hAnsi="宋体" w:cs="宋体"/>
          <w:color w:val="auto"/>
          <w:sz w:val="21"/>
          <w:szCs w:val="21"/>
          <w:highlight w:val="none"/>
          <w:lang w:eastAsia="zh-CN"/>
        </w:rPr>
        <w:t>为1</w:t>
      </w:r>
      <w:r>
        <w:rPr>
          <w:rFonts w:hint="eastAsia" w:hAnsi="宋体" w:cs="宋体"/>
          <w:color w:val="auto"/>
          <w:sz w:val="21"/>
          <w:szCs w:val="21"/>
          <w:highlight w:val="none"/>
          <w:lang w:val="en-US" w:eastAsia="zh-CN"/>
        </w:rPr>
        <w:t>4亿</w:t>
      </w:r>
      <w:r>
        <w:rPr>
          <w:rFonts w:hint="eastAsia" w:ascii="宋体" w:hAnsi="宋体" w:cs="宋体"/>
          <w:color w:val="auto"/>
          <w:sz w:val="21"/>
          <w:szCs w:val="21"/>
          <w:highlight w:val="none"/>
          <w:lang w:eastAsia="zh-CN"/>
        </w:rPr>
        <w:t>元</w:t>
      </w:r>
      <w:r>
        <w:rPr>
          <w:rFonts w:hint="eastAsia" w:ascii="宋体" w:hAnsi="宋体" w:cs="宋体"/>
          <w:color w:val="auto"/>
          <w:sz w:val="21"/>
          <w:szCs w:val="21"/>
          <w:highlight w:val="none"/>
          <w:lang w:val="en-US" w:eastAsia="zh-CN"/>
        </w:rPr>
        <w:t>（具体以批复的文件为准</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eastAsia="zh-CN"/>
        </w:rPr>
        <w:t>。</w:t>
      </w:r>
    </w:p>
    <w:p w14:paraId="675248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二、甲方委托乙方为</w:t>
      </w:r>
    </w:p>
    <w:p w14:paraId="1BA1B1C5">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招标代理机构，承担</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东莞市立沙岛绿色新材料产业园项目</w:t>
      </w:r>
      <w:r>
        <w:rPr>
          <w:rFonts w:hint="eastAsia" w:ascii="宋体" w:hAnsi="宋体" w:eastAsia="宋体" w:cs="宋体"/>
          <w:color w:val="auto"/>
          <w:sz w:val="21"/>
          <w:szCs w:val="21"/>
          <w:highlight w:val="none"/>
        </w:rPr>
        <w:t>的招标代理工作。</w:t>
      </w:r>
    </w:p>
    <w:p w14:paraId="529241BE">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三、招标代理具体工作范围和内容：</w:t>
      </w:r>
    </w:p>
    <w:p w14:paraId="43472CE9">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招标代理具体工作范围和内容：</w:t>
      </w:r>
      <w:r>
        <w:rPr>
          <w:rFonts w:hint="eastAsia" w:ascii="宋体" w:hAnsi="宋体" w:eastAsia="宋体" w:cs="宋体"/>
          <w:color w:val="auto"/>
          <w:sz w:val="21"/>
          <w:szCs w:val="21"/>
          <w:highlight w:val="none"/>
          <w:u w:val="single"/>
        </w:rPr>
        <w:t>拟定招标方案；发布招标公告或者发出投标邀请书；协助甲方审查投标报名人资格；编制招标文件；组织现场踏勘和答疑；申请评标及评标专家抽取（如需评标）；组织预备、交底、答疑、开标、评标、定标会议；签发中标通知书；草拟合同；办理相应备案手续；编写招标情况报告；招标资料整理归档；处理招标工程后续工作（协助调解争议、为招标人提供项目咨询等）；其他保证招标工作按时按质顺利进行的事项。</w:t>
      </w:r>
    </w:p>
    <w:p w14:paraId="28800C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四、合同价款</w:t>
      </w:r>
    </w:p>
    <w:p w14:paraId="235BEA38">
      <w:pPr>
        <w:keepNext w:val="0"/>
        <w:keepLines w:val="0"/>
        <w:pageBreakBefore w:val="0"/>
        <w:widowControl w:val="0"/>
        <w:kinsoku/>
        <w:wordWrap/>
        <w:overflowPunct/>
        <w:topLinePunct w:val="0"/>
        <w:autoSpaceDE/>
        <w:autoSpaceDN/>
        <w:bidi w:val="0"/>
        <w:adjustRightInd/>
        <w:snapToGrid/>
        <w:spacing w:line="430" w:lineRule="exact"/>
        <w:ind w:right="-322" w:rightChars="-134"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auto"/>
          <w:sz w:val="21"/>
          <w:szCs w:val="21"/>
          <w:highlight w:val="none"/>
        </w:rPr>
        <w:t>代理报酬暂定为（人民币大写）：</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（小写</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），其中：增值税税率为</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%，税金金额</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元，不含税合同总价款为</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最终结算金额根据代理项目中标金额数为基数</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结合招标代理服务收费标准乘以中标服务费系数计算。</w:t>
      </w:r>
    </w:p>
    <w:p w14:paraId="23B8719F">
      <w:pPr>
        <w:widowControl w:val="0"/>
        <w:adjustRightInd/>
        <w:snapToGrid/>
        <w:spacing w:line="360" w:lineRule="auto"/>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代理报酬的金额或收取比例：按国家计委《招标代理服务收费管理暂行办法》（计价格</w:t>
      </w:r>
      <w:r>
        <w:rPr>
          <w:rFonts w:hint="eastAsia" w:hAnsi="宋体" w:cs="宋体"/>
          <w:color w:val="auto"/>
          <w:sz w:val="21"/>
          <w:szCs w:val="21"/>
          <w:highlight w:val="none"/>
          <w:lang w:eastAsia="zh-CN"/>
        </w:rPr>
        <w:t>〔2002〕1980号</w:t>
      </w:r>
      <w:r>
        <w:rPr>
          <w:rFonts w:hint="eastAsia" w:ascii="宋体" w:hAnsi="宋体" w:eastAsia="宋体" w:cs="宋体"/>
          <w:color w:val="auto"/>
          <w:sz w:val="21"/>
          <w:szCs w:val="21"/>
          <w:highlight w:val="none"/>
        </w:rPr>
        <w:t>）及《国家发展改革委关于降低部分建设项目收费标准规范收费行为等有关问题的通知》（发改价格</w:t>
      </w:r>
      <w:r>
        <w:rPr>
          <w:rFonts w:hint="eastAsia" w:hAnsi="宋体" w:cs="宋体"/>
          <w:color w:val="auto"/>
          <w:sz w:val="21"/>
          <w:szCs w:val="21"/>
          <w:highlight w:val="none"/>
          <w:lang w:eastAsia="zh-CN"/>
        </w:rPr>
        <w:t>〔2011〕534号</w:t>
      </w:r>
      <w:r>
        <w:rPr>
          <w:rFonts w:hint="eastAsia" w:ascii="宋体" w:hAnsi="宋体" w:eastAsia="宋体" w:cs="宋体"/>
          <w:color w:val="auto"/>
          <w:sz w:val="21"/>
          <w:szCs w:val="21"/>
          <w:highlight w:val="none"/>
        </w:rPr>
        <w:t>）规定标准的</w:t>
      </w:r>
      <w:r>
        <w:rPr>
          <w:rFonts w:hint="eastAsia" w:hAnsi="宋体" w:cs="宋体"/>
          <w:color w:val="auto"/>
          <w:sz w:val="21"/>
          <w:szCs w:val="21"/>
          <w:highlight w:val="none"/>
          <w:u w:val="single"/>
          <w:lang w:eastAsia="zh-CN"/>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%收取。</w:t>
      </w:r>
    </w:p>
    <w:p w14:paraId="53E139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现行税收政策规定，每次付款前，乙方必须提供合法有效、与本合同总价款条款中增值税税率一致的增值税专用发票给甲方，否则甲方有权拒绝付款且不构成违约；在甲方除支付质保金（如有）外的最后一期款项前，乙方须连同当期支付款项发票和质保金发票一并提交给甲方；若后续出现质保问题，按照质保责任和条款，部分或全部扣除质保金的，不退还相应金额的发票。若合同执行期间，遇国家税务政策调整所引起的合同价格变化，按照不含税价格调整结算价格。如因乙方未及时提供发票导致甲方未能按照约定支付款项的，甲方不承担逾期支付的责任。</w:t>
      </w:r>
    </w:p>
    <w:p w14:paraId="74DC5C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五、合同解释顺序：</w:t>
      </w:r>
    </w:p>
    <w:p w14:paraId="5E38A3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1、本合同履行过程中双方以书面形式签署的补充和修正文件；</w:t>
      </w:r>
    </w:p>
    <w:p w14:paraId="56F6E8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2、本合同协议书；</w:t>
      </w:r>
    </w:p>
    <w:p w14:paraId="0D40A5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3、本合同专用条款；</w:t>
      </w:r>
    </w:p>
    <w:p w14:paraId="466853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4、本合同通用条款。</w:t>
      </w:r>
    </w:p>
    <w:p w14:paraId="6560C2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w:t>
      </w:r>
      <w:r>
        <w:rPr>
          <w:rStyle w:val="61"/>
          <w:rFonts w:hint="eastAsia" w:ascii="宋体" w:hAnsi="宋体" w:eastAsia="宋体" w:cs="宋体"/>
          <w:color w:val="auto"/>
          <w:sz w:val="21"/>
          <w:szCs w:val="21"/>
          <w:highlight w:val="none"/>
        </w:rPr>
        <w:t>和招标文件</w:t>
      </w:r>
      <w:r>
        <w:rPr>
          <w:rFonts w:hint="eastAsia" w:ascii="宋体" w:hAnsi="宋体" w:eastAsia="宋体" w:cs="宋体"/>
          <w:color w:val="auto"/>
          <w:sz w:val="21"/>
          <w:szCs w:val="21"/>
          <w:highlight w:val="none"/>
        </w:rPr>
        <w:t>。</w:t>
      </w:r>
    </w:p>
    <w:p w14:paraId="6B9001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六、合同附件</w:t>
      </w:r>
    </w:p>
    <w:p w14:paraId="666856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1、阳光合作协议；</w:t>
      </w:r>
    </w:p>
    <w:p w14:paraId="29897A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2、保密承诺书；</w:t>
      </w:r>
    </w:p>
    <w:p w14:paraId="30BAEE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3、项目考核表。</w:t>
      </w:r>
    </w:p>
    <w:p w14:paraId="74E32D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七、本协议书中的有关词语定义与本合同第一部分《通用条款》中分别赋予它们的定义相同。</w:t>
      </w:r>
    </w:p>
    <w:p w14:paraId="2096D1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八、乙方向甲方承诺，按照本合同的约定，承担本合同专用条款中约定范围内的代理业务。</w:t>
      </w:r>
    </w:p>
    <w:p w14:paraId="603A96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九、甲方向乙方承诺，按照本合同的约定，确保代理报酬的支付。</w:t>
      </w:r>
    </w:p>
    <w:p w14:paraId="3AD282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十、合同订立</w:t>
      </w:r>
    </w:p>
    <w:p w14:paraId="0D3F8E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合同订立时间：  </w:t>
      </w:r>
      <w:r>
        <w:rPr>
          <w:rFonts w:hint="eastAsia" w:ascii="宋体" w:hAnsi="宋体" w:cs="宋体"/>
          <w:color w:val="auto"/>
          <w:sz w:val="21"/>
          <w:szCs w:val="21"/>
          <w:highlight w:val="none"/>
          <w:lang w:val="en-US" w:eastAsia="zh-CN"/>
        </w:rPr>
        <w:t>2026</w:t>
      </w:r>
      <w:r>
        <w:rPr>
          <w:rFonts w:hint="eastAsia" w:ascii="宋体" w:hAnsi="宋体" w:eastAsia="宋体" w:cs="宋体"/>
          <w:color w:val="auto"/>
          <w:sz w:val="21"/>
          <w:szCs w:val="21"/>
          <w:highlight w:val="none"/>
        </w:rPr>
        <w:t xml:space="preserve"> 年         月         日</w:t>
      </w:r>
    </w:p>
    <w:p w14:paraId="1A66BE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东莞市</w:t>
      </w:r>
      <w:r>
        <w:rPr>
          <w:rFonts w:hint="eastAsia" w:ascii="宋体" w:hAnsi="宋体" w:cs="宋体"/>
          <w:color w:val="auto"/>
          <w:sz w:val="21"/>
          <w:szCs w:val="21"/>
          <w:highlight w:val="none"/>
          <w:lang w:eastAsia="zh-CN"/>
        </w:rPr>
        <w:t>。</w:t>
      </w:r>
    </w:p>
    <w:p w14:paraId="12559A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十一、合同生效</w:t>
      </w:r>
    </w:p>
    <w:p w14:paraId="43852C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w:t>
      </w:r>
      <w:r>
        <w:rPr>
          <w:rFonts w:hint="eastAsia" w:ascii="宋体" w:hAnsi="宋体" w:cs="宋体"/>
          <w:color w:val="auto"/>
          <w:sz w:val="21"/>
          <w:szCs w:val="21"/>
          <w:highlight w:val="none"/>
          <w:lang w:val="en-US" w:eastAsia="zh-CN"/>
        </w:rPr>
        <w:t>经</w:t>
      </w:r>
      <w:r>
        <w:rPr>
          <w:rFonts w:hint="eastAsia" w:ascii="宋体" w:hAnsi="宋体" w:eastAsia="宋体" w:cs="宋体"/>
          <w:color w:val="auto"/>
          <w:sz w:val="21"/>
          <w:szCs w:val="21"/>
          <w:highlight w:val="none"/>
        </w:rPr>
        <w:t>双方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签字盖章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后生效。</w:t>
      </w:r>
    </w:p>
    <w:p w14:paraId="20E43710">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sectPr>
          <w:footerReference r:id="rId4" w:type="default"/>
          <w:pgSz w:w="11906" w:h="16838"/>
          <w:pgMar w:top="1440" w:right="1800" w:bottom="1440" w:left="1800" w:header="851" w:footer="992" w:gutter="0"/>
          <w:pgNumType w:fmt="decimal"/>
          <w:cols w:space="425" w:num="1"/>
          <w:docGrid w:type="lines" w:linePitch="312" w:charSpace="0"/>
        </w:sectPr>
      </w:pPr>
    </w:p>
    <w:p w14:paraId="15B003E4">
      <w:pPr>
        <w:keepNext w:val="0"/>
        <w:keepLines w:val="0"/>
        <w:pageBreakBefore/>
        <w:kinsoku/>
        <w:wordWrap/>
        <w:overflowPunct/>
        <w:topLinePunct w:val="0"/>
        <w:bidi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（本页无正文，为合同签章页）</w:t>
      </w:r>
    </w:p>
    <w:tbl>
      <w:tblPr>
        <w:tblStyle w:val="53"/>
        <w:tblW w:w="0" w:type="auto"/>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90"/>
        <w:gridCol w:w="4196"/>
      </w:tblGrid>
      <w:tr w14:paraId="26C2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390" w:type="dxa"/>
            <w:tcBorders>
              <w:top w:val="nil"/>
              <w:left w:val="nil"/>
              <w:bottom w:val="nil"/>
              <w:right w:val="nil"/>
            </w:tcBorders>
            <w:shd w:val="clear" w:color="auto" w:fill="auto"/>
            <w:noWrap/>
            <w:vAlign w:val="center"/>
          </w:tcPr>
          <w:p w14:paraId="582EE9AD">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甲方（盖章）：</w:t>
            </w:r>
            <w:r>
              <w:rPr>
                <w:rFonts w:hint="eastAsia" w:ascii="宋体" w:hAnsi="宋体" w:cs="宋体"/>
                <w:color w:val="auto"/>
                <w:sz w:val="21"/>
                <w:szCs w:val="21"/>
                <w:highlight w:val="none"/>
                <w:lang w:val="en-US" w:eastAsia="zh-CN"/>
              </w:rPr>
              <w:t>东莞市立沙岛投资有限公司</w:t>
            </w:r>
          </w:p>
        </w:tc>
        <w:tc>
          <w:tcPr>
            <w:tcW w:w="4196" w:type="dxa"/>
            <w:tcBorders>
              <w:top w:val="nil"/>
              <w:left w:val="nil"/>
              <w:bottom w:val="nil"/>
              <w:right w:val="nil"/>
            </w:tcBorders>
            <w:shd w:val="clear" w:color="auto" w:fill="auto"/>
            <w:noWrap/>
            <w:vAlign w:val="center"/>
          </w:tcPr>
          <w:p w14:paraId="0C4B130D">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乙方（盖章）：</w:t>
            </w:r>
            <w:r>
              <w:rPr>
                <w:rFonts w:hint="eastAsia" w:ascii="宋体" w:hAnsi="宋体" w:cs="宋体"/>
                <w:color w:val="auto"/>
                <w:sz w:val="21"/>
                <w:szCs w:val="21"/>
                <w:highlight w:val="none"/>
                <w:lang w:val="en-US" w:eastAsia="zh-CN"/>
              </w:rPr>
              <w:t xml:space="preserve"> </w:t>
            </w:r>
          </w:p>
        </w:tc>
      </w:tr>
      <w:tr w14:paraId="5A51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0" w:type="dxa"/>
            <w:tcBorders>
              <w:top w:val="nil"/>
              <w:left w:val="nil"/>
              <w:bottom w:val="nil"/>
              <w:right w:val="nil"/>
            </w:tcBorders>
            <w:shd w:val="clear" w:color="auto" w:fill="auto"/>
            <w:noWrap/>
            <w:vAlign w:val="center"/>
          </w:tcPr>
          <w:p w14:paraId="371C0AFB">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法定代表人（签字或盖章）：            </w:t>
            </w:r>
          </w:p>
        </w:tc>
        <w:tc>
          <w:tcPr>
            <w:tcW w:w="4196" w:type="dxa"/>
            <w:tcBorders>
              <w:top w:val="nil"/>
              <w:left w:val="nil"/>
              <w:bottom w:val="nil"/>
              <w:right w:val="nil"/>
            </w:tcBorders>
            <w:shd w:val="clear" w:color="auto" w:fill="auto"/>
            <w:noWrap/>
            <w:vAlign w:val="center"/>
          </w:tcPr>
          <w:p w14:paraId="72E620F3">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法定代表人（签字或盖章）：</w:t>
            </w:r>
          </w:p>
        </w:tc>
      </w:tr>
      <w:tr w14:paraId="60A4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0" w:type="dxa"/>
            <w:tcBorders>
              <w:top w:val="nil"/>
              <w:left w:val="nil"/>
              <w:bottom w:val="nil"/>
              <w:right w:val="nil"/>
            </w:tcBorders>
            <w:shd w:val="clear" w:color="auto" w:fill="auto"/>
            <w:noWrap/>
            <w:vAlign w:val="center"/>
          </w:tcPr>
          <w:p w14:paraId="7D157FAD">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授权代理人（签字或盖章）：            </w:t>
            </w:r>
          </w:p>
        </w:tc>
        <w:tc>
          <w:tcPr>
            <w:tcW w:w="4196" w:type="dxa"/>
            <w:tcBorders>
              <w:top w:val="nil"/>
              <w:left w:val="nil"/>
              <w:bottom w:val="nil"/>
              <w:right w:val="nil"/>
            </w:tcBorders>
            <w:shd w:val="clear" w:color="auto" w:fill="auto"/>
            <w:noWrap/>
            <w:vAlign w:val="center"/>
          </w:tcPr>
          <w:p w14:paraId="48AB51E5">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授权代理人（签字或盖章）：</w:t>
            </w:r>
          </w:p>
        </w:tc>
      </w:tr>
      <w:tr w14:paraId="0526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0" w:type="dxa"/>
            <w:tcBorders>
              <w:top w:val="nil"/>
              <w:left w:val="nil"/>
              <w:bottom w:val="nil"/>
              <w:right w:val="nil"/>
            </w:tcBorders>
            <w:shd w:val="clear" w:color="auto" w:fill="auto"/>
            <w:noWrap/>
            <w:vAlign w:val="center"/>
          </w:tcPr>
          <w:p w14:paraId="6DF05FBA">
            <w:pPr>
              <w:keepNext w:val="0"/>
              <w:keepLines w:val="0"/>
              <w:kinsoku/>
              <w:wordWrap/>
              <w:overflowPunct/>
              <w:topLinePunct w:val="0"/>
              <w:bidi w:val="0"/>
              <w:spacing w:line="360" w:lineRule="auto"/>
              <w:jc w:val="left"/>
              <w:textAlignment w:val="auto"/>
              <w:rPr>
                <w:rFonts w:hint="eastAsia"/>
              </w:rPr>
            </w:pPr>
            <w:r>
              <w:rPr>
                <w:rFonts w:hint="eastAsia"/>
                <w:lang w:val="en-US" w:eastAsia="zh-CN"/>
              </w:rPr>
              <w:t>单位地址：</w:t>
            </w:r>
          </w:p>
        </w:tc>
        <w:tc>
          <w:tcPr>
            <w:tcW w:w="4196" w:type="dxa"/>
            <w:tcBorders>
              <w:top w:val="nil"/>
              <w:left w:val="nil"/>
              <w:bottom w:val="nil"/>
              <w:right w:val="nil"/>
            </w:tcBorders>
            <w:shd w:val="clear" w:color="auto" w:fill="auto"/>
            <w:noWrap/>
            <w:vAlign w:val="center"/>
          </w:tcPr>
          <w:p w14:paraId="45552307">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单位地址：</w:t>
            </w:r>
          </w:p>
        </w:tc>
      </w:tr>
      <w:tr w14:paraId="21A4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0" w:type="dxa"/>
            <w:tcBorders>
              <w:top w:val="nil"/>
              <w:left w:val="nil"/>
              <w:bottom w:val="nil"/>
              <w:right w:val="nil"/>
            </w:tcBorders>
            <w:shd w:val="clear" w:color="auto" w:fill="auto"/>
            <w:noWrap/>
            <w:vAlign w:val="center"/>
          </w:tcPr>
          <w:p w14:paraId="3C721E75">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邮政编码：</w:t>
            </w:r>
          </w:p>
        </w:tc>
        <w:tc>
          <w:tcPr>
            <w:tcW w:w="4196" w:type="dxa"/>
            <w:tcBorders>
              <w:top w:val="nil"/>
              <w:left w:val="nil"/>
              <w:bottom w:val="nil"/>
              <w:right w:val="nil"/>
            </w:tcBorders>
            <w:shd w:val="clear" w:color="auto" w:fill="auto"/>
            <w:noWrap/>
            <w:vAlign w:val="center"/>
          </w:tcPr>
          <w:p w14:paraId="29354E31">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邮政编码：</w:t>
            </w:r>
          </w:p>
        </w:tc>
      </w:tr>
      <w:tr w14:paraId="5307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0" w:type="dxa"/>
            <w:tcBorders>
              <w:top w:val="nil"/>
              <w:left w:val="nil"/>
              <w:bottom w:val="nil"/>
              <w:right w:val="nil"/>
            </w:tcBorders>
            <w:shd w:val="clear" w:color="auto" w:fill="auto"/>
            <w:noWrap/>
            <w:vAlign w:val="center"/>
          </w:tcPr>
          <w:p w14:paraId="19F4D0D2">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联系电话：</w:t>
            </w:r>
          </w:p>
        </w:tc>
        <w:tc>
          <w:tcPr>
            <w:tcW w:w="4196" w:type="dxa"/>
            <w:tcBorders>
              <w:top w:val="nil"/>
              <w:left w:val="nil"/>
              <w:bottom w:val="nil"/>
              <w:right w:val="nil"/>
            </w:tcBorders>
            <w:shd w:val="clear" w:color="auto" w:fill="auto"/>
            <w:noWrap/>
            <w:vAlign w:val="center"/>
          </w:tcPr>
          <w:p w14:paraId="02116DBB">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联系电话：</w:t>
            </w:r>
          </w:p>
        </w:tc>
      </w:tr>
      <w:tr w14:paraId="1953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0" w:type="dxa"/>
            <w:tcBorders>
              <w:top w:val="nil"/>
              <w:left w:val="nil"/>
              <w:bottom w:val="nil"/>
              <w:right w:val="nil"/>
            </w:tcBorders>
            <w:shd w:val="clear" w:color="auto" w:fill="auto"/>
            <w:noWrap/>
            <w:vAlign w:val="center"/>
          </w:tcPr>
          <w:p w14:paraId="2D241C0B">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传    真：</w:t>
            </w:r>
          </w:p>
        </w:tc>
        <w:tc>
          <w:tcPr>
            <w:tcW w:w="4196" w:type="dxa"/>
            <w:tcBorders>
              <w:top w:val="nil"/>
              <w:left w:val="nil"/>
              <w:bottom w:val="nil"/>
              <w:right w:val="nil"/>
            </w:tcBorders>
            <w:shd w:val="clear" w:color="auto" w:fill="auto"/>
            <w:noWrap/>
            <w:vAlign w:val="center"/>
          </w:tcPr>
          <w:p w14:paraId="3CB133E8">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传    真：</w:t>
            </w:r>
          </w:p>
        </w:tc>
      </w:tr>
      <w:tr w14:paraId="073A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0" w:type="dxa"/>
            <w:tcBorders>
              <w:top w:val="nil"/>
              <w:left w:val="nil"/>
              <w:bottom w:val="nil"/>
              <w:right w:val="nil"/>
            </w:tcBorders>
            <w:shd w:val="clear" w:color="auto" w:fill="auto"/>
            <w:noWrap/>
            <w:vAlign w:val="center"/>
          </w:tcPr>
          <w:p w14:paraId="1039E38D">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电子信箱：</w:t>
            </w:r>
          </w:p>
        </w:tc>
        <w:tc>
          <w:tcPr>
            <w:tcW w:w="4196" w:type="dxa"/>
            <w:tcBorders>
              <w:top w:val="nil"/>
              <w:left w:val="nil"/>
              <w:bottom w:val="nil"/>
              <w:right w:val="nil"/>
            </w:tcBorders>
            <w:shd w:val="clear" w:color="auto" w:fill="auto"/>
            <w:noWrap/>
            <w:vAlign w:val="center"/>
          </w:tcPr>
          <w:p w14:paraId="5B5E9B67">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电子信箱：</w:t>
            </w:r>
          </w:p>
        </w:tc>
      </w:tr>
      <w:tr w14:paraId="69C6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0" w:type="dxa"/>
            <w:tcBorders>
              <w:top w:val="nil"/>
              <w:left w:val="nil"/>
              <w:bottom w:val="nil"/>
              <w:right w:val="nil"/>
            </w:tcBorders>
            <w:shd w:val="clear" w:color="auto" w:fill="auto"/>
            <w:noWrap/>
            <w:vAlign w:val="center"/>
          </w:tcPr>
          <w:p w14:paraId="51A35885">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开户银行：</w:t>
            </w:r>
          </w:p>
        </w:tc>
        <w:tc>
          <w:tcPr>
            <w:tcW w:w="4196" w:type="dxa"/>
            <w:tcBorders>
              <w:top w:val="nil"/>
              <w:left w:val="nil"/>
              <w:bottom w:val="nil"/>
              <w:right w:val="nil"/>
            </w:tcBorders>
            <w:shd w:val="clear" w:color="auto" w:fill="auto"/>
            <w:noWrap/>
            <w:vAlign w:val="center"/>
          </w:tcPr>
          <w:p w14:paraId="056124DE">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开户银行：</w:t>
            </w:r>
          </w:p>
        </w:tc>
      </w:tr>
      <w:tr w14:paraId="60DC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90" w:type="dxa"/>
            <w:tcBorders>
              <w:top w:val="nil"/>
              <w:left w:val="nil"/>
              <w:bottom w:val="nil"/>
              <w:right w:val="nil"/>
            </w:tcBorders>
            <w:shd w:val="clear" w:color="auto" w:fill="auto"/>
            <w:noWrap/>
            <w:vAlign w:val="center"/>
          </w:tcPr>
          <w:p w14:paraId="64670A48">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账</w:t>
            </w:r>
            <w:r>
              <w:rPr>
                <w:rFonts w:hint="eastAsia" w:ascii="宋体" w:hAnsi="宋体" w:eastAsia="宋体" w:cs="宋体"/>
                <w:color w:val="auto"/>
                <w:sz w:val="21"/>
                <w:szCs w:val="21"/>
                <w:highlight w:val="none"/>
                <w:lang w:val="en-US" w:eastAsia="zh-CN"/>
              </w:rPr>
              <w:t xml:space="preserve">    号：</w:t>
            </w:r>
          </w:p>
        </w:tc>
        <w:tc>
          <w:tcPr>
            <w:tcW w:w="4196" w:type="dxa"/>
            <w:tcBorders>
              <w:top w:val="nil"/>
              <w:left w:val="nil"/>
              <w:bottom w:val="nil"/>
              <w:right w:val="nil"/>
            </w:tcBorders>
            <w:shd w:val="clear" w:color="auto" w:fill="auto"/>
            <w:noWrap/>
            <w:vAlign w:val="center"/>
          </w:tcPr>
          <w:p w14:paraId="62A1A55C">
            <w:pPr>
              <w:keepNext w:val="0"/>
              <w:keepLines w:val="0"/>
              <w:kinsoku/>
              <w:wordWrap/>
              <w:overflowPunct/>
              <w:topLinePunct w:val="0"/>
              <w:bidi w:val="0"/>
              <w:spacing w:line="360" w:lineRule="auto"/>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账</w:t>
            </w:r>
            <w:r>
              <w:rPr>
                <w:rFonts w:hint="eastAsia" w:ascii="宋体" w:hAnsi="宋体" w:eastAsia="宋体" w:cs="宋体"/>
                <w:color w:val="auto"/>
                <w:sz w:val="21"/>
                <w:szCs w:val="21"/>
                <w:highlight w:val="none"/>
                <w:lang w:val="en-US" w:eastAsia="zh-CN"/>
              </w:rPr>
              <w:t xml:space="preserve">    号：</w:t>
            </w:r>
          </w:p>
        </w:tc>
      </w:tr>
    </w:tbl>
    <w:p w14:paraId="7C5B2FC8">
      <w:pPr>
        <w:keepNext w:val="0"/>
        <w:keepLines w:val="0"/>
        <w:pageBreakBefore/>
        <w:kinsoku/>
        <w:wordWrap/>
        <w:overflowPunct/>
        <w:topLinePunct w:val="0"/>
        <w:bidi w:val="0"/>
        <w:spacing w:line="360" w:lineRule="auto"/>
        <w:jc w:val="center"/>
        <w:textAlignment w:val="auto"/>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第一部分    通用条款</w:t>
      </w:r>
    </w:p>
    <w:p w14:paraId="3875CBB9">
      <w:pPr>
        <w:keepNext w:val="0"/>
        <w:keepLines w:val="0"/>
        <w:kinsoku/>
        <w:wordWrap/>
        <w:overflowPunct/>
        <w:topLinePunct w:val="0"/>
        <w:bidi w:val="0"/>
        <w:spacing w:line="360" w:lineRule="auto"/>
        <w:ind w:firstLine="54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一、词语定义和适用法律</w:t>
      </w:r>
    </w:p>
    <w:p w14:paraId="6280EB1E">
      <w:pPr>
        <w:keepNext w:val="0"/>
        <w:keepLines w:val="0"/>
        <w:kinsoku/>
        <w:wordWrap/>
        <w:overflowPunct/>
        <w:topLinePunct w:val="0"/>
        <w:bidi w:val="0"/>
        <w:spacing w:line="360" w:lineRule="auto"/>
        <w:ind w:firstLine="54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1、词语定义</w:t>
      </w:r>
    </w:p>
    <w:p w14:paraId="08F055F1">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下列词语除本合同专用条款另有约定外，应具有本条款所赋予的定义：</w:t>
      </w:r>
    </w:p>
    <w:p w14:paraId="3F8CB5F5">
      <w:pPr>
        <w:keepNext w:val="0"/>
        <w:keepLines w:val="0"/>
        <w:kinsoku/>
        <w:wordWrap/>
        <w:overflowPunct/>
        <w:topLinePunct w:val="0"/>
        <w:bidi w:val="0"/>
        <w:spacing w:line="360" w:lineRule="auto"/>
        <w:ind w:firstLine="3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l</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 招标代理合同：甲方将招标工作委托给具有相应招标代理资质的乙方，实施招标活动签订的委托合同，</w:t>
      </w:r>
    </w:p>
    <w:p w14:paraId="784A4E94">
      <w:pPr>
        <w:keepNext w:val="0"/>
        <w:keepLines w:val="0"/>
        <w:kinsoku/>
        <w:wordWrap/>
        <w:overflowPunct/>
        <w:topLinePunct w:val="0"/>
        <w:bidi w:val="0"/>
        <w:spacing w:line="360" w:lineRule="auto"/>
        <w:ind w:firstLine="3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l</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2通用条款：是根据有关法律、行政法规和招标代理的需要所订立，通用于各类项目招标代理的条款。</w:t>
      </w:r>
    </w:p>
    <w:p w14:paraId="1B0DEA50">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3专用条款：是甲方与乙方根据有关法律、行政法规规定，结合具体招标代理的实际，经协商达成一致意见的条款，是对通用条款的具体化、补充或修改。</w:t>
      </w:r>
    </w:p>
    <w:p w14:paraId="1AF1170A">
      <w:pPr>
        <w:keepNext w:val="0"/>
        <w:keepLines w:val="0"/>
        <w:tabs>
          <w:tab w:val="left" w:pos="540"/>
        </w:tabs>
        <w:kinsoku/>
        <w:wordWrap/>
        <w:overflowPunct/>
        <w:topLinePunct w:val="0"/>
        <w:bidi w:val="0"/>
        <w:spacing w:line="360" w:lineRule="auto"/>
        <w:ind w:firstLine="3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4甲方：指在合同中约定的，具有建设项目招标委托主体资格的当事人，以及取得该当事人资格的合法继承人。</w:t>
      </w:r>
    </w:p>
    <w:p w14:paraId="4D7B1479">
      <w:pPr>
        <w:keepNext w:val="0"/>
        <w:keepLines w:val="0"/>
        <w:tabs>
          <w:tab w:val="left" w:pos="360"/>
          <w:tab w:val="left" w:pos="540"/>
        </w:tabs>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5  乙方：指在合同中约定的，被甲方接受的具有建设项目招标代理主体资格的当事人，以及取得该当事人资格的合法继承人。</w:t>
      </w:r>
    </w:p>
    <w:p w14:paraId="675C9D4F">
      <w:pPr>
        <w:keepNext w:val="0"/>
        <w:keepLines w:val="0"/>
        <w:tabs>
          <w:tab w:val="left" w:pos="360"/>
          <w:tab w:val="left" w:pos="540"/>
        </w:tabs>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6  招标代理项目负责人：指乙方在专用条款中指定的负责合同履行的代表。</w:t>
      </w:r>
    </w:p>
    <w:p w14:paraId="00F73AE4">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7  工程建设项目：指由甲方和乙方在合同中约定的委托代理招标的工程。</w:t>
      </w:r>
    </w:p>
    <w:p w14:paraId="24AE9F6C">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1.8  代理项目：指由甲方和乙方在合同中约定的委托代理项目。</w:t>
      </w:r>
    </w:p>
    <w:p w14:paraId="57E26F95">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9  招标代理业务：甲方委托乙方代理实施项目招标的工作内容。</w:t>
      </w:r>
    </w:p>
    <w:p w14:paraId="77569B1A">
      <w:pPr>
        <w:keepNext w:val="0"/>
        <w:keepLines w:val="0"/>
        <w:kinsoku/>
        <w:wordWrap/>
        <w:overflowPunct/>
        <w:topLinePunct w:val="0"/>
        <w:bidi w:val="0"/>
        <w:spacing w:line="360" w:lineRule="auto"/>
        <w:ind w:firstLine="3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1.10  附加服务：指甲方和乙方在本合同通用条款4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1款和专用条款4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1款中双方约定工作范围之外的附加工作。</w:t>
      </w:r>
    </w:p>
    <w:p w14:paraId="62D3BF3A">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11  代理报酬：甲方和乙方在合同中约定的，乙方按照约定应收取的代理报酬总额。</w:t>
      </w:r>
    </w:p>
    <w:p w14:paraId="1053F830">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12  图纸：指由甲方提供的满足招标需要的所有图纸、计算书、配套说明以及相关的技术资料。</w:t>
      </w:r>
    </w:p>
    <w:p w14:paraId="0AA59461">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13书面形式：指具有公章、法定代表人或授权代理人签字的合同书、信件和数据电文（包括电报、电传、传真）等可以有形地表现所载内容的形式。</w:t>
      </w:r>
    </w:p>
    <w:p w14:paraId="0B748AB1">
      <w:pPr>
        <w:keepNext w:val="0"/>
        <w:keepLines w:val="0"/>
        <w:tabs>
          <w:tab w:val="left" w:pos="540"/>
        </w:tabs>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14违约责任：指合同一方不履行合同义务或履行合同义务不符合约定所应承担的责任。</w:t>
      </w:r>
    </w:p>
    <w:p w14:paraId="4954AC2A">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15索赔：指在合同履行过程中，对于并非自己的过错，而是应由对方承担责任的情况造成的实际损失，向对方提出经济补偿或其他的要求。</w:t>
      </w:r>
    </w:p>
    <w:p w14:paraId="75828DEE">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16不可抗力：指双方无法控制和不可预见的事件，但不包括双方的违约或疏忽。这些事件包括但不限于战争、严重火灾、洪水、台风、地震，或其他双方一致认为属于不可抗力的事件。</w:t>
      </w:r>
    </w:p>
    <w:p w14:paraId="61EEAC5F">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17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381634C3">
      <w:pPr>
        <w:keepNext w:val="0"/>
        <w:keepLines w:val="0"/>
        <w:kinsoku/>
        <w:wordWrap/>
        <w:overflowPunct/>
        <w:topLinePunct w:val="0"/>
        <w:bidi w:val="0"/>
        <w:spacing w:line="360" w:lineRule="auto"/>
        <w:ind w:firstLine="18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2、合同文件及解释顺序</w:t>
      </w:r>
    </w:p>
    <w:p w14:paraId="57CB14F9">
      <w:pPr>
        <w:keepNext w:val="0"/>
        <w:keepLines w:val="0"/>
        <w:tabs>
          <w:tab w:val="left" w:pos="540"/>
        </w:tabs>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l  合同文件应能互相解释，互为说明。除本合同专用条款另有约定外，组成本合同的文件及优先解释顺序如下：</w:t>
      </w:r>
    </w:p>
    <w:p w14:paraId="532507CE">
      <w:pPr>
        <w:keepNext w:val="0"/>
        <w:keepLines w:val="0"/>
        <w:tabs>
          <w:tab w:val="left" w:pos="360"/>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（1）本合同履行过程中双方以书面形式签署的补充和修正文件；</w:t>
      </w:r>
    </w:p>
    <w:p w14:paraId="6A9D9A60">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（2）本合同协议书：</w:t>
      </w:r>
    </w:p>
    <w:p w14:paraId="71255E9E">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（3）本合同专用条款；</w:t>
      </w:r>
    </w:p>
    <w:p w14:paraId="60FF8288">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（4）本合同通用条款。</w:t>
      </w:r>
    </w:p>
    <w:p w14:paraId="425E0F4F">
      <w:pPr>
        <w:keepNext w:val="0"/>
        <w:keepLines w:val="0"/>
        <w:tabs>
          <w:tab w:val="left" w:pos="540"/>
        </w:tabs>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  当合同文件内容出现含糊不清或不相一致时，应在不影响招标代理业务正常进行的情况下，由甲方和乙方协商解决。双方协商不成时，按本合同通用条款第12条关于争议的约定处理。</w:t>
      </w:r>
    </w:p>
    <w:p w14:paraId="2550592C">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3、语言文字和适用法律</w:t>
      </w:r>
    </w:p>
    <w:p w14:paraId="079AD97C">
      <w:pPr>
        <w:keepNext w:val="0"/>
        <w:keepLines w:val="0"/>
        <w:tabs>
          <w:tab w:val="left" w:pos="540"/>
        </w:tabs>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  语言文字</w:t>
      </w:r>
    </w:p>
    <w:p w14:paraId="7AF7841A">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除本合同专用条款中另有约定，本合同文件使用汉语语言文字书写、解释和说明。如本合同专用条款约定使用两种以上（含两种）语言文字时，汉语应为解释和说明本合同的标准语言文字。</w:t>
      </w:r>
    </w:p>
    <w:p w14:paraId="708C5F74">
      <w:pPr>
        <w:keepNext w:val="0"/>
        <w:keepLines w:val="0"/>
        <w:tabs>
          <w:tab w:val="left" w:pos="360"/>
        </w:tabs>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 适用法律和行政法规</w:t>
      </w:r>
    </w:p>
    <w:p w14:paraId="51D08812">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本合同文件适用有关法律和行政法规。需要明示的法律和行政法规，双方可在本合同专用条款中约定。</w:t>
      </w:r>
    </w:p>
    <w:p w14:paraId="6178B1F2">
      <w:pPr>
        <w:keepNext w:val="0"/>
        <w:keepLines w:val="0"/>
        <w:kinsoku/>
        <w:wordWrap/>
        <w:overflowPunct/>
        <w:topLinePunct w:val="0"/>
        <w:bidi w:val="0"/>
        <w:spacing w:line="360"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二、双方一般权利和义务</w:t>
      </w:r>
    </w:p>
    <w:p w14:paraId="621F2AE8">
      <w:pPr>
        <w:keepNext w:val="0"/>
        <w:keepLines w:val="0"/>
        <w:tabs>
          <w:tab w:val="left" w:pos="360"/>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4、甲方的义务</w:t>
      </w:r>
    </w:p>
    <w:p w14:paraId="6F0D0808">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 甲方将委托招标代理工作的具体范围和内容在本合同专用条款中约定。</w:t>
      </w:r>
    </w:p>
    <w:p w14:paraId="74B33D86">
      <w:pPr>
        <w:keepNext w:val="0"/>
        <w:keepLines w:val="0"/>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 甲方按本合同专用条款约定的内容和时间完成下列工作：</w:t>
      </w:r>
    </w:p>
    <w:p w14:paraId="431EC2B6">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（1）向乙方提供本工程或其他项目招标代理业务应具备的相关前期资料（如立项批准手续规划许可、报建证等）及资金落实情况资料；</w:t>
      </w:r>
    </w:p>
    <w:p w14:paraId="16C99807">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（2）向乙方提供完成本工程招标代理业务所需的全部技术资料和图纸，需要交底的须向乙方详细交底，并对提供资料的真实性、完整性、准确性负责；</w:t>
      </w:r>
    </w:p>
    <w:p w14:paraId="35759ECF">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（3）向乙方提供保证招标工作顺利完成的条件，提供的条件在本合同专用条款内约定；</w:t>
      </w:r>
    </w:p>
    <w:p w14:paraId="419722EF">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（4）指定专人与乙方联系，指定人员的姓名、职务、职称在本合同专用条款内约定；</w:t>
      </w:r>
    </w:p>
    <w:p w14:paraId="26F4C25B">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（5）根据需要，做好与第三方的协调工作；</w:t>
      </w:r>
    </w:p>
    <w:p w14:paraId="46E95725">
      <w:pPr>
        <w:keepNext w:val="0"/>
        <w:keepLines w:val="0"/>
        <w:kinsoku/>
        <w:wordWrap/>
        <w:overflowPunct/>
        <w:topLinePunct w:val="0"/>
        <w:bidi w:val="0"/>
        <w:spacing w:line="360" w:lineRule="auto"/>
        <w:ind w:firstLine="367" w:firstLineChars="17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（6）按本合同专用条款的约定支付代理报酬；</w:t>
      </w:r>
    </w:p>
    <w:p w14:paraId="272B80EC">
      <w:pPr>
        <w:keepNext w:val="0"/>
        <w:keepLines w:val="0"/>
        <w:kinsoku/>
        <w:wordWrap/>
        <w:overflowPunct/>
        <w:topLinePunct w:val="0"/>
        <w:bidi w:val="0"/>
        <w:spacing w:line="360" w:lineRule="auto"/>
        <w:ind w:firstLine="367" w:firstLineChars="17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（7）依法应尽的其他义务，双方在本合同专用条款内约定。</w:t>
      </w:r>
    </w:p>
    <w:p w14:paraId="45038D0F">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3乙方在履行招标代理业务过程中，提出的超出招标代理范围的合理化建议，经甲方同意并取得经济效益，甲方应向乙方支付一定的经济奖励。</w:t>
      </w:r>
    </w:p>
    <w:p w14:paraId="69FCCCDA">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 甲方负有对乙方为本合同提供的技术服务进行知识产权保护的责任。</w:t>
      </w:r>
    </w:p>
    <w:p w14:paraId="4FE6578D">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5甲方未能履行以上各项义务，给乙方造成损失的，应当赔偿乙方的有关损失。</w:t>
      </w:r>
    </w:p>
    <w:p w14:paraId="70C1ADDA">
      <w:pPr>
        <w:keepNext w:val="0"/>
        <w:keepLines w:val="0"/>
        <w:tabs>
          <w:tab w:val="left" w:pos="360"/>
        </w:tabs>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5、乙方的义务</w:t>
      </w:r>
    </w:p>
    <w:p w14:paraId="2706CCB8">
      <w:pPr>
        <w:keepNext w:val="0"/>
        <w:keepLines w:val="0"/>
        <w:tabs>
          <w:tab w:val="left" w:pos="360"/>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1乙方应根据本合同专用条款中约定的委托招标代理业务的工作范围和内容，选择有足够经验的专职技术经济人员担任招标代理项目负责人。招标代理项目负责人的姓名、身份证号在专用条款内写明。</w:t>
      </w:r>
    </w:p>
    <w:p w14:paraId="362D7B6B">
      <w:pPr>
        <w:keepNext w:val="0"/>
        <w:keepLines w:val="0"/>
        <w:tabs>
          <w:tab w:val="left" w:pos="360"/>
        </w:tabs>
        <w:kinsoku/>
        <w:wordWrap/>
        <w:overflowPunct/>
        <w:topLinePunct w:val="0"/>
        <w:bidi w:val="0"/>
        <w:spacing w:line="360" w:lineRule="auto"/>
        <w:ind w:firstLine="1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2乙方按本合同专用条款约定的内容和时间完成下列工作：</w:t>
      </w:r>
    </w:p>
    <w:p w14:paraId="04D98339">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（1）依法按照公开、公平、公正和诚实信用原则，组织招标工作，维护各方的合法权益；</w:t>
      </w:r>
    </w:p>
    <w:p w14:paraId="3DD88E0E">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（2）应用专业技术与技能为甲方提供完成招标工作相关的咨询服务；</w:t>
      </w:r>
    </w:p>
    <w:p w14:paraId="6D75C62A">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（3）向甲方宣传有关工程招标的法律、行政法规和规章，解释合理的招标程序，以便得到甲方的支持和配合；</w:t>
      </w:r>
    </w:p>
    <w:p w14:paraId="45851E24">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（4）依法应尽的其他义务，双方在本合同专用条款内约定。</w:t>
      </w:r>
    </w:p>
    <w:p w14:paraId="268563B6">
      <w:pPr>
        <w:keepNext w:val="0"/>
        <w:keepLines w:val="0"/>
        <w:tabs>
          <w:tab w:val="left" w:pos="360"/>
        </w:tabs>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3乙方应对招标工作中乙方所出具有关数据的计算、技术经济资料等的科学性和准确性负责。</w:t>
      </w:r>
    </w:p>
    <w:p w14:paraId="0A3A4BA9">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4乙方不得接受与本合同项目中委托招标范围之内的相关的投标咨询业务。</w:t>
      </w:r>
    </w:p>
    <w:p w14:paraId="095A5E0C">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5乙方为本合同提供技术服务的知识产权应属乙方专有。任何第三方如果提出侵权指控，乙方须与第三方交涉并承担由此而引起的一切法律责任和费用。</w:t>
      </w:r>
    </w:p>
    <w:p w14:paraId="5A3D5AB4">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6 未经甲方书面同意，乙方不得分包或转让本合同的任何权利和义务。</w:t>
      </w:r>
    </w:p>
    <w:p w14:paraId="4750E874">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7乙方不得接受所有投标人的礼品、宴请和任何其它好处，不得泄露招标、评标、定标过程中依法需要保密的内容。合同终止后，未经甲方同意，乙方不得泄漏与本合同相关的任何招标资料和情况。</w:t>
      </w:r>
    </w:p>
    <w:p w14:paraId="72390EDB">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8乙方未能履行以上各项义务，给甲方造成损失的，应当赔偿甲方的有关损失。</w:t>
      </w:r>
    </w:p>
    <w:p w14:paraId="146A0420">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6、甲方的权利</w:t>
      </w:r>
    </w:p>
    <w:p w14:paraId="19837F44">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1甲方拥有下列权利：</w:t>
      </w:r>
    </w:p>
    <w:p w14:paraId="1EEAD74E">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（1）按合同约定，接收招标代理成果；</w:t>
      </w:r>
    </w:p>
    <w:p w14:paraId="281BC53D">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（2）向乙方询问本合同招标工作进展情况和相关内容或提出不违反法律、行政法规的建议；</w:t>
      </w:r>
    </w:p>
    <w:p w14:paraId="7D7080DB">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（3）审查乙方为本合同编制的各种文件，并提出修正意见；</w:t>
      </w:r>
    </w:p>
    <w:p w14:paraId="58D474CE">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（4）要求乙方提交招标代理业务工作报告；</w:t>
      </w:r>
    </w:p>
    <w:p w14:paraId="0E99F082">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（5）与乙方协商，建议更换其不称职的招标代理从业人员；</w:t>
      </w:r>
    </w:p>
    <w:p w14:paraId="15E1C5A0">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（6）依法选择中标人；</w:t>
      </w:r>
    </w:p>
    <w:p w14:paraId="52665711">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（7）本合同履行期间，由于乙方不履行合同约定的内容，给甲方造成损失或影响招标工作正常进行的，甲方有权终止本合同，并依法向乙方追索经济赔偿，直至追究法律责任；</w:t>
      </w:r>
    </w:p>
    <w:p w14:paraId="5F33841A">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（8）依法享有的其他权利，双方在本合同专用条款内约定。</w:t>
      </w:r>
    </w:p>
    <w:p w14:paraId="0EEE1C45">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7、乙方的权利</w:t>
      </w:r>
    </w:p>
    <w:p w14:paraId="3CD21E35">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1乙方拥有下列权利：</w:t>
      </w:r>
    </w:p>
    <w:p w14:paraId="03783A0C">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（1）按合同约定收取委托代理报酬；</w:t>
      </w:r>
    </w:p>
    <w:p w14:paraId="7EE7B74F">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（2）对招标过程中应由甲方做出的决定，乙方有权提出建议；</w:t>
      </w:r>
    </w:p>
    <w:p w14:paraId="401B6C41">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（3）当甲方提供的资料不足或不明确时，有权要求甲方补足资料或作出明确的答复；</w:t>
      </w:r>
    </w:p>
    <w:p w14:paraId="3BEF6C7D">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（4）拒绝甲方提出的违反法律、行政法规的要求，并向甲方作出解释；</w:t>
      </w:r>
    </w:p>
    <w:p w14:paraId="3C87C6D2">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（5）有权参加甲方组织的涉及招标工作的所有会议和活动；    </w:t>
      </w:r>
    </w:p>
    <w:p w14:paraId="42F8DC71">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（6）对于为本合同编制的所有文件拥有的知识产权，甲方仅有使用或复制的权利；</w:t>
      </w:r>
    </w:p>
    <w:p w14:paraId="7140A0FE">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（7）依法享有的其他权利，双方在本合同专用条款内约定。</w:t>
      </w:r>
    </w:p>
    <w:p w14:paraId="2AE4D7C9">
      <w:pPr>
        <w:keepNext w:val="0"/>
        <w:keepLines w:val="0"/>
        <w:kinsoku/>
        <w:wordWrap/>
        <w:overflowPunct/>
        <w:topLinePunct w:val="0"/>
        <w:bidi w:val="0"/>
        <w:spacing w:line="360" w:lineRule="auto"/>
        <w:ind w:firstLine="48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三、委托代理报酬与收取</w:t>
      </w:r>
    </w:p>
    <w:p w14:paraId="7834FC3B">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8、委托代理报酬</w:t>
      </w:r>
    </w:p>
    <w:p w14:paraId="4BE5E406">
      <w:pPr>
        <w:keepNext w:val="0"/>
        <w:keepLines w:val="0"/>
        <w:tabs>
          <w:tab w:val="left" w:pos="540"/>
        </w:tabs>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 xml:space="preserve">1双方按照本合同约定的招标代理业务范围，在本合同专用条款内约定委托代理报酬的计算方法、金额、币种、汇率和支付方式、支付时间。 </w:t>
      </w:r>
    </w:p>
    <w:p w14:paraId="7AE6DD47">
      <w:pPr>
        <w:keepNext w:val="0"/>
        <w:keepLines w:val="0"/>
        <w:tabs>
          <w:tab w:val="left" w:pos="540"/>
        </w:tabs>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8</w:t>
      </w:r>
      <w:r>
        <w:rPr>
          <w:rFonts w:hint="eastAsia" w:ascii="宋体" w:hAnsi="宋体" w:eastAsia="宋体" w:cs="宋体"/>
          <w:color w:val="auto"/>
          <w:sz w:val="21"/>
          <w:szCs w:val="21"/>
          <w:highlight w:val="none"/>
          <w:lang w:val="zh-CN"/>
        </w:rPr>
        <w:t>.</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在招标代理业务范围内所发生的费用如未包含在合同内（如：评标会务费、评标专家的差旅费、劳务费、公证费等），由甲方与乙方在补充条款中约定。</w:t>
      </w:r>
    </w:p>
    <w:p w14:paraId="21D14F8A">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9、委托代理报酬的收取</w:t>
      </w:r>
    </w:p>
    <w:p w14:paraId="70477596">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1由甲方支付代理报酬的，在本合同签订后10日内，甲方应向乙方支付</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具体额度（或比例）双方在专用条款内约定。</w:t>
      </w:r>
    </w:p>
    <w:p w14:paraId="6AF3E20A">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由中标人支付代理报酬的，在中标人与甲方签订承包合同后5日内，中标人需将本合同约定的全部委托代理报酬一次性支付给乙方。</w:t>
      </w:r>
    </w:p>
    <w:p w14:paraId="64652049">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2乙方完成甲方委托的招标代理工作范围以外的工作，为附加服务项目，应收取的报酬由双方协商，签订补充协议。</w:t>
      </w:r>
    </w:p>
    <w:p w14:paraId="2AA1F4BC">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3甲方在本合同专用条款约定的支付时间内，未能如期支付代理预付费用，自应支付之日起，按全国银行间同业拆借中心</w:t>
      </w:r>
      <w:r>
        <w:rPr>
          <w:rFonts w:hint="eastAsia" w:hAnsi="宋体" w:cs="宋体"/>
          <w:color w:val="auto"/>
          <w:sz w:val="21"/>
          <w:szCs w:val="21"/>
          <w:highlight w:val="none"/>
          <w:lang w:eastAsia="zh-CN"/>
        </w:rPr>
        <w:t>授权</w:t>
      </w:r>
      <w:r>
        <w:rPr>
          <w:rFonts w:hint="eastAsia" w:ascii="宋体" w:hAnsi="宋体" w:eastAsia="宋体" w:cs="宋体"/>
          <w:color w:val="auto"/>
          <w:sz w:val="21"/>
          <w:szCs w:val="21"/>
          <w:highlight w:val="none"/>
        </w:rPr>
        <w:t>公布贷款市场报价利率（LPR），计算支付代理预付费用的利息。</w:t>
      </w:r>
    </w:p>
    <w:p w14:paraId="569E3B1A">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4甲方在本合同专用条款约定的支付时间内，未能如期支付代理报酬，除应承担违约责任外，还应按全国银行间同业拆借中心</w:t>
      </w:r>
      <w:r>
        <w:rPr>
          <w:rFonts w:hint="eastAsia" w:hAnsi="宋体" w:cs="宋体"/>
          <w:color w:val="auto"/>
          <w:sz w:val="21"/>
          <w:szCs w:val="21"/>
          <w:highlight w:val="none"/>
          <w:lang w:eastAsia="zh-CN"/>
        </w:rPr>
        <w:t>授权</w:t>
      </w:r>
      <w:r>
        <w:rPr>
          <w:rFonts w:hint="eastAsia" w:ascii="宋体" w:hAnsi="宋体" w:eastAsia="宋体" w:cs="宋体"/>
          <w:color w:val="auto"/>
          <w:sz w:val="21"/>
          <w:szCs w:val="21"/>
          <w:highlight w:val="none"/>
        </w:rPr>
        <w:t>公布贷款市场报价利率（LPR），计算支付应付代理报酬的利息。</w:t>
      </w:r>
    </w:p>
    <w:p w14:paraId="0880B11C">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9</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5委托代理报酬应由甲方按本合同专用条款约定的支付方法和时间，直接向乙方支付；或乙方按照约定直接向中标人收取。</w:t>
      </w:r>
    </w:p>
    <w:p w14:paraId="1700CC54">
      <w:pPr>
        <w:keepNext w:val="0"/>
        <w:keepLines w:val="0"/>
        <w:kinsoku/>
        <w:wordWrap/>
        <w:overflowPunct/>
        <w:topLinePunct w:val="0"/>
        <w:bidi w:val="0"/>
        <w:spacing w:line="360" w:lineRule="auto"/>
        <w:ind w:firstLine="24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四、违约、索赔和争议</w:t>
      </w:r>
    </w:p>
    <w:p w14:paraId="36888DCF">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10、违约</w:t>
      </w:r>
    </w:p>
    <w:p w14:paraId="067AEC56">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 甲方违约。 当发生下列情况时：</w:t>
      </w:r>
    </w:p>
    <w:p w14:paraId="548A3C9C">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（1）本合同通用条款第4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2 -（3）款提到的甲方未按本合同专用条款的约定向甲方提供为保证招标工作顺利完成的条件，致使招标工作无法进行；</w:t>
      </w:r>
    </w:p>
    <w:p w14:paraId="58F83467">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（2）本合同通用条款第4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2 -（6）款提到的甲方未按本合同专用条款的约定向乙方支付委托代理报酬；</w:t>
      </w:r>
    </w:p>
    <w:p w14:paraId="3EBE5A42">
      <w:pPr>
        <w:keepNext w:val="0"/>
        <w:keepLines w:val="0"/>
        <w:kinsoku/>
        <w:wordWrap/>
        <w:overflowPunct/>
        <w:topLinePunct w:val="0"/>
        <w:bidi w:val="0"/>
        <w:spacing w:line="360" w:lineRule="auto"/>
        <w:ind w:firstLine="2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（3）甲方不履行合同义务或不按合同约定履行义务的其他情况。</w:t>
      </w:r>
    </w:p>
    <w:p w14:paraId="39E6346A">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甲方承担违约责任，赔偿因其违约给乙方造成的经济损失，双方在本合同专用条款内约定甲方赔偿乙方损失的计算方法或甲方应当支付违约金的数额或计算方法。</w:t>
      </w:r>
    </w:p>
    <w:p w14:paraId="1500F57B">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  乙方违约。 当发生下列情况时：</w:t>
      </w:r>
    </w:p>
    <w:p w14:paraId="27ADCA8C">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（1）本合同通用条款第5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2 -（2）款提到的乙方未按本合同专用条款的约定，向甲方提供为完成招标工作的咨询服务；</w:t>
      </w:r>
    </w:p>
    <w:p w14:paraId="2626B467">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（2）本合同通用条款第5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4款提到的乙方未按本合同专用条款的约定，接受了与本合同项目有关的投标咨询业务；</w:t>
      </w:r>
    </w:p>
    <w:p w14:paraId="5032CE2C">
      <w:pPr>
        <w:keepNext w:val="0"/>
        <w:keepLines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（3）本合同通用条款第5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7款提到的乙方未按本合同专用条款的约定，泄露了与本合同相关的任何招标资料和情况；</w:t>
      </w:r>
    </w:p>
    <w:p w14:paraId="1401B365">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（4）乙方不履行合同义务或不按合同约定履行义务的其他情况。</w:t>
      </w:r>
    </w:p>
    <w:p w14:paraId="43F8CC03">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承担违约责任，赔偿因其违约给甲方造成的经济损失，双方在本合同专用条款内约定乙方赔偿甲方损失的计算方法或乙方应当支付违约金的数额或计算方法。乙方承担违约责任，赔偿金额最高不应超过委托代理报酬的金额（扣除税金）。</w:t>
      </w:r>
    </w:p>
    <w:p w14:paraId="7A7C34C2">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  第三方违约。如果一方的违约被认定为是与第三方共同造成的，则应由合同双方中有违约的一方先行向另一方承担全部违约责任，再由承担违约责任的一方向第三方追索。</w:t>
      </w:r>
    </w:p>
    <w:p w14:paraId="4230094B">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11、索赔</w:t>
      </w:r>
    </w:p>
    <w:p w14:paraId="7CBD464A">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1当事人一方向另一方提出索赔时，要有正当的索赔理由，且有索赔事件发生时的有效证据。</w:t>
      </w:r>
    </w:p>
    <w:p w14:paraId="5DAF7761">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hAnsi="宋体" w:cs="宋体"/>
          <w:color w:val="auto"/>
          <w:sz w:val="21"/>
          <w:szCs w:val="21"/>
          <w:highlight w:val="none"/>
          <w:lang w:val="en-US" w:eastAsia="zh-CN"/>
        </w:rPr>
        <w:t xml:space="preserve"> 违约方</w:t>
      </w:r>
      <w:r>
        <w:rPr>
          <w:rFonts w:hint="eastAsia" w:ascii="宋体" w:hAnsi="宋体" w:eastAsia="宋体" w:cs="宋体"/>
          <w:color w:val="auto"/>
          <w:sz w:val="21"/>
          <w:szCs w:val="21"/>
          <w:highlight w:val="none"/>
        </w:rPr>
        <w:t>未能按合同约定履行自己的各项义务，或者发生应由</w:t>
      </w:r>
      <w:r>
        <w:rPr>
          <w:rFonts w:hint="eastAsia" w:hAnsi="宋体" w:cs="宋体"/>
          <w:color w:val="auto"/>
          <w:sz w:val="21"/>
          <w:szCs w:val="21"/>
          <w:highlight w:val="none"/>
          <w:lang w:val="en-US" w:eastAsia="zh-CN"/>
        </w:rPr>
        <w:t>违约方</w:t>
      </w:r>
      <w:r>
        <w:rPr>
          <w:rFonts w:hint="eastAsia" w:ascii="宋体" w:hAnsi="宋体" w:eastAsia="宋体" w:cs="宋体"/>
          <w:color w:val="auto"/>
          <w:sz w:val="21"/>
          <w:szCs w:val="21"/>
          <w:highlight w:val="none"/>
        </w:rPr>
        <w:t>承担责任的其他情况，给</w:t>
      </w:r>
      <w:r>
        <w:rPr>
          <w:rFonts w:hint="eastAsia" w:hAnsi="宋体" w:cs="宋体"/>
          <w:color w:val="auto"/>
          <w:sz w:val="21"/>
          <w:szCs w:val="21"/>
          <w:highlight w:val="none"/>
          <w:lang w:val="en-US" w:eastAsia="zh-CN"/>
        </w:rPr>
        <w:t>守约方</w:t>
      </w:r>
      <w:r>
        <w:rPr>
          <w:rFonts w:hint="eastAsia" w:ascii="宋体" w:hAnsi="宋体" w:eastAsia="宋体" w:cs="宋体"/>
          <w:color w:val="auto"/>
          <w:sz w:val="21"/>
          <w:szCs w:val="21"/>
          <w:highlight w:val="none"/>
        </w:rPr>
        <w:t>造成损失，</w:t>
      </w:r>
      <w:r>
        <w:rPr>
          <w:rFonts w:hint="eastAsia" w:hAnsi="宋体" w:cs="宋体"/>
          <w:color w:val="auto"/>
          <w:sz w:val="21"/>
          <w:szCs w:val="21"/>
          <w:highlight w:val="none"/>
          <w:lang w:val="en-US" w:eastAsia="zh-CN"/>
        </w:rPr>
        <w:t>守约方</w:t>
      </w:r>
      <w:r>
        <w:rPr>
          <w:rFonts w:hint="eastAsia" w:ascii="宋体" w:hAnsi="宋体" w:eastAsia="宋体" w:cs="宋体"/>
          <w:color w:val="auto"/>
          <w:sz w:val="21"/>
          <w:szCs w:val="21"/>
          <w:highlight w:val="none"/>
        </w:rPr>
        <w:t>可按下列程序以书面形式向</w:t>
      </w:r>
      <w:r>
        <w:rPr>
          <w:rFonts w:hint="eastAsia" w:hAnsi="宋体" w:cs="宋体"/>
          <w:color w:val="auto"/>
          <w:sz w:val="21"/>
          <w:szCs w:val="21"/>
          <w:highlight w:val="none"/>
          <w:lang w:val="en-US" w:eastAsia="zh-CN"/>
        </w:rPr>
        <w:t>违约方</w:t>
      </w:r>
      <w:r>
        <w:rPr>
          <w:rFonts w:hint="eastAsia" w:ascii="宋体" w:hAnsi="宋体" w:eastAsia="宋体" w:cs="宋体"/>
          <w:color w:val="auto"/>
          <w:sz w:val="21"/>
          <w:szCs w:val="21"/>
          <w:highlight w:val="none"/>
        </w:rPr>
        <w:t>索赔：</w:t>
      </w:r>
    </w:p>
    <w:p w14:paraId="7034CA4D">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（1）索赔事件发生后7天内，向</w:t>
      </w:r>
      <w:r>
        <w:rPr>
          <w:rFonts w:hint="eastAsia" w:hAnsi="宋体" w:cs="宋体"/>
          <w:color w:val="auto"/>
          <w:sz w:val="21"/>
          <w:szCs w:val="21"/>
          <w:highlight w:val="none"/>
          <w:lang w:val="en-US" w:eastAsia="zh-CN"/>
        </w:rPr>
        <w:t>违约方</w:t>
      </w:r>
      <w:r>
        <w:rPr>
          <w:rFonts w:hint="eastAsia" w:ascii="宋体" w:hAnsi="宋体" w:eastAsia="宋体" w:cs="宋体"/>
          <w:color w:val="auto"/>
          <w:sz w:val="21"/>
          <w:szCs w:val="21"/>
          <w:highlight w:val="none"/>
        </w:rPr>
        <w:t>发出索赔报告及有关资料；</w:t>
      </w:r>
    </w:p>
    <w:p w14:paraId="4A44032B">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hAnsi="宋体" w:cs="宋体"/>
          <w:color w:val="auto"/>
          <w:sz w:val="21"/>
          <w:szCs w:val="21"/>
          <w:highlight w:val="none"/>
          <w:lang w:val="en-US" w:eastAsia="zh-CN"/>
        </w:rPr>
        <w:t>违约方</w:t>
      </w:r>
      <w:r>
        <w:rPr>
          <w:rFonts w:hint="eastAsia" w:ascii="宋体" w:hAnsi="宋体" w:eastAsia="宋体" w:cs="宋体"/>
          <w:color w:val="auto"/>
          <w:sz w:val="21"/>
          <w:szCs w:val="21"/>
          <w:highlight w:val="none"/>
        </w:rPr>
        <w:t>收到</w:t>
      </w:r>
      <w:r>
        <w:rPr>
          <w:rFonts w:hint="eastAsia" w:hAnsi="宋体" w:cs="宋体"/>
          <w:color w:val="auto"/>
          <w:sz w:val="21"/>
          <w:szCs w:val="21"/>
          <w:highlight w:val="none"/>
          <w:lang w:val="en-US" w:eastAsia="zh-CN"/>
        </w:rPr>
        <w:t>守约方</w:t>
      </w:r>
      <w:r>
        <w:rPr>
          <w:rFonts w:hint="eastAsia" w:ascii="宋体" w:hAnsi="宋体" w:eastAsia="宋体" w:cs="宋体"/>
          <w:color w:val="auto"/>
          <w:sz w:val="21"/>
          <w:szCs w:val="21"/>
          <w:highlight w:val="none"/>
        </w:rPr>
        <w:t>的索赔报告及有关资料后，于7天内给予答复，或要求</w:t>
      </w:r>
      <w:r>
        <w:rPr>
          <w:rFonts w:hint="eastAsia" w:hAnsi="宋体" w:cs="宋体"/>
          <w:color w:val="auto"/>
          <w:sz w:val="21"/>
          <w:szCs w:val="21"/>
          <w:highlight w:val="none"/>
          <w:lang w:val="en-US" w:eastAsia="zh-CN"/>
        </w:rPr>
        <w:t>守约方</w:t>
      </w:r>
      <w:r>
        <w:rPr>
          <w:rFonts w:hint="eastAsia" w:ascii="宋体" w:hAnsi="宋体" w:eastAsia="宋体" w:cs="宋体"/>
          <w:color w:val="auto"/>
          <w:sz w:val="21"/>
          <w:szCs w:val="21"/>
          <w:highlight w:val="none"/>
        </w:rPr>
        <w:t>进一步补充索赔理由和证据；</w:t>
      </w:r>
    </w:p>
    <w:p w14:paraId="157F702C">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hAnsi="宋体" w:cs="宋体"/>
          <w:color w:val="auto"/>
          <w:sz w:val="21"/>
          <w:szCs w:val="21"/>
          <w:highlight w:val="none"/>
          <w:lang w:val="en-US" w:eastAsia="zh-CN"/>
        </w:rPr>
        <w:t>违约方</w:t>
      </w:r>
      <w:r>
        <w:rPr>
          <w:rFonts w:hint="eastAsia" w:ascii="宋体" w:hAnsi="宋体" w:eastAsia="宋体" w:cs="宋体"/>
          <w:color w:val="auto"/>
          <w:sz w:val="21"/>
          <w:szCs w:val="21"/>
          <w:highlight w:val="none"/>
        </w:rPr>
        <w:t>在收到</w:t>
      </w:r>
      <w:r>
        <w:rPr>
          <w:rFonts w:hint="eastAsia" w:hAnsi="宋体" w:cs="宋体"/>
          <w:color w:val="auto"/>
          <w:sz w:val="21"/>
          <w:szCs w:val="21"/>
          <w:highlight w:val="none"/>
          <w:lang w:val="en-US" w:eastAsia="zh-CN"/>
        </w:rPr>
        <w:t>守约方</w:t>
      </w:r>
      <w:r>
        <w:rPr>
          <w:rFonts w:hint="eastAsia" w:ascii="宋体" w:hAnsi="宋体" w:eastAsia="宋体" w:cs="宋体"/>
          <w:color w:val="auto"/>
          <w:sz w:val="21"/>
          <w:szCs w:val="21"/>
          <w:highlight w:val="none"/>
        </w:rPr>
        <w:t>送交的索赔报告和有关资料后7天内未予答复，或未对</w:t>
      </w:r>
      <w:r>
        <w:rPr>
          <w:rFonts w:hint="eastAsia" w:hAnsi="宋体" w:cs="宋体"/>
          <w:color w:val="auto"/>
          <w:sz w:val="21"/>
          <w:szCs w:val="21"/>
          <w:highlight w:val="none"/>
          <w:lang w:val="en-US" w:eastAsia="zh-CN"/>
        </w:rPr>
        <w:t>守约方</w:t>
      </w:r>
      <w:r>
        <w:rPr>
          <w:rFonts w:hint="eastAsia" w:ascii="宋体" w:hAnsi="宋体" w:eastAsia="宋体" w:cs="宋体"/>
          <w:color w:val="auto"/>
          <w:sz w:val="21"/>
          <w:szCs w:val="21"/>
          <w:highlight w:val="none"/>
        </w:rPr>
        <w:t>作进一步要求，视为对该项索赔已经认可。</w:t>
      </w:r>
    </w:p>
    <w:p w14:paraId="469D82E6">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3乙方未能按合同约定履行自己的各项义务，或者发生应由乙方承担责任的其他情况，给甲方造成经济损失，甲方可按11</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2款确定的时限和程序向乙方提出索赔。</w:t>
      </w:r>
    </w:p>
    <w:p w14:paraId="4083B9E4">
      <w:pPr>
        <w:keepNext w:val="0"/>
        <w:keepLines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12、争议</w:t>
      </w:r>
    </w:p>
    <w:p w14:paraId="00F7DD84">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  甲方和乙方履行合同时发生争议，可以和解或者向有关部门或机构申请调解。当事人不愿和解、调解或者和解、调解不成的，双方可以在本合同专用条款约定以下一种方式解决争议：</w:t>
      </w:r>
    </w:p>
    <w:p w14:paraId="37671065">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（1）双方达成仲裁协议的，向约定的仲裁委员会申请仲裁；</w:t>
      </w:r>
    </w:p>
    <w:p w14:paraId="6EE7D27E">
      <w:pPr>
        <w:keepNext w:val="0"/>
        <w:keepLines w:val="0"/>
        <w:kinsoku/>
        <w:wordWrap/>
        <w:overflowPunct/>
        <w:topLinePunct w:val="0"/>
        <w:bidi w:val="0"/>
        <w:spacing w:line="360" w:lineRule="auto"/>
        <w:ind w:left="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（2）向有管辖权的人民法院起诉。</w:t>
      </w:r>
    </w:p>
    <w:p w14:paraId="02338FA4">
      <w:pPr>
        <w:keepNext w:val="0"/>
        <w:keepLines w:val="0"/>
        <w:kinsoku/>
        <w:wordWrap/>
        <w:overflowPunct/>
        <w:topLinePunct w:val="0"/>
        <w:bidi w:val="0"/>
        <w:spacing w:line="360" w:lineRule="auto"/>
        <w:ind w:firstLine="422" w:firstLineChars="200"/>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五、合同变更、生效与终止</w:t>
      </w:r>
    </w:p>
    <w:p w14:paraId="0EB84B10">
      <w:pPr>
        <w:keepNext w:val="0"/>
        <w:keepLines w:val="0"/>
        <w:kinsoku/>
        <w:wordWrap/>
        <w:overflowPunct/>
        <w:topLinePunct w:val="0"/>
        <w:bidi w:val="0"/>
        <w:spacing w:line="360" w:lineRule="auto"/>
        <w:ind w:left="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13、合同变更或解除</w:t>
      </w:r>
    </w:p>
    <w:p w14:paraId="4EDC911D">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1本合同签订后，由于甲方原因，使得乙方不能持续履行招标代理业务时，甲方应及时通知乙方暂停招标代理业务。当需要恢复招标代理业务时，应当在正式恢复前7天内通知乙方。</w:t>
      </w:r>
    </w:p>
    <w:p w14:paraId="0BFEF29D">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310E3D15">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13.3 本合同当事人一方要求变更或解除合同时，除法律、行政法规另有规定外，应与对方当事人协商一致并达成书面协议。未达成书面协议的，本合同依然有效。</w:t>
      </w:r>
    </w:p>
    <w:p w14:paraId="0E2FC9DB">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13.4 因解除合同使当事人一方遭受损失的，除依法可以免除责任外，应由责任方负责赔偿对方的损失，赔偿方法与金额由双方在合同或补充协议中约定。</w:t>
      </w:r>
    </w:p>
    <w:p w14:paraId="5E6B22DE">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14、合同生效</w:t>
      </w:r>
    </w:p>
    <w:p w14:paraId="53375D9B">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14.1除生效条件双方在协议书中另有约定外，本合同自双方签字盖章之日起生效。</w:t>
      </w:r>
    </w:p>
    <w:p w14:paraId="4C6DA2B8">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15、合同终止</w:t>
      </w:r>
    </w:p>
    <w:p w14:paraId="7E0D7D3B">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15.1 乙方完成甲方全部委托招标代理业务，且甲方或中标人支付了全部代理报酬（含附加服务的报酬）后本合同终止。</w:t>
      </w:r>
    </w:p>
    <w:p w14:paraId="75E97F39">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15.2 本合同终止并不影响各方应有的权利和应承担的义务。</w:t>
      </w:r>
    </w:p>
    <w:p w14:paraId="7C00E280">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15.3 因不可抗力，致使当事人一方或双方不能履行本合同时，双方应协商确定本合同继续履行的条件或终止本合同。如果双方不能就本合同继续履行的条件或终止本合同达成一致意见，本合同自行终止。除甲方应付给乙方已完成工作的报酬外，各自承担相应的损失。</w:t>
      </w:r>
    </w:p>
    <w:p w14:paraId="2778B729">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15.4 本合同的权利和义务终止后，甲方和乙方应当遵循诚实信用原则，履行通知、协助、保密等义务。</w:t>
      </w:r>
    </w:p>
    <w:p w14:paraId="310AEFDA">
      <w:pPr>
        <w:keepNext w:val="0"/>
        <w:keepLines w:val="0"/>
        <w:kinsoku/>
        <w:wordWrap/>
        <w:overflowPunct/>
        <w:topLinePunct w:val="0"/>
        <w:autoSpaceDE w:val="0"/>
        <w:autoSpaceDN w:val="0"/>
        <w:bidi w:val="0"/>
        <w:adjustRightInd w:val="0"/>
        <w:spacing w:line="360" w:lineRule="auto"/>
        <w:ind w:firstLine="480"/>
        <w:textAlignment w:val="auto"/>
        <w:outlineLvl w:val="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六、其他</w:t>
      </w:r>
    </w:p>
    <w:p w14:paraId="6FD201A5">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16、合同的份数</w:t>
      </w:r>
    </w:p>
    <w:p w14:paraId="4614CBFB">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16.1 本合同正本一式两份，甲方和乙方各执一份。副本根据双方需要在本合同专用条款内约定。</w:t>
      </w:r>
    </w:p>
    <w:p w14:paraId="7A589EDF">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17、补充条款</w:t>
      </w:r>
    </w:p>
    <w:p w14:paraId="12E83200">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双方根据有关法律、行政法规规定，结合本合同招标工程实际，经协商一致后，可对本合同通用条款未涉及的内容进行补充。</w:t>
      </w:r>
    </w:p>
    <w:p w14:paraId="49542A3B">
      <w:pPr>
        <w:keepNext w:val="0"/>
        <w:keepLines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highlight w:val="none"/>
          <w:lang w:val="zh-CN"/>
        </w:rPr>
      </w:pPr>
    </w:p>
    <w:p w14:paraId="5CB7164E">
      <w:pPr>
        <w:keepNext w:val="0"/>
        <w:keepLines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olor w:val="auto"/>
          <w:sz w:val="21"/>
          <w:szCs w:val="21"/>
          <w:highlight w:val="none"/>
          <w:lang w:val="zh-CN"/>
        </w:rPr>
      </w:pPr>
    </w:p>
    <w:p w14:paraId="41DEDBF1">
      <w:pPr>
        <w:keepNext w:val="0"/>
        <w:keepLines w:val="0"/>
        <w:kinsoku/>
        <w:wordWrap/>
        <w:overflowPunct/>
        <w:topLinePunct w:val="0"/>
        <w:autoSpaceDE w:val="0"/>
        <w:autoSpaceDN w:val="0"/>
        <w:bidi w:val="0"/>
        <w:adjustRightInd w:val="0"/>
        <w:spacing w:line="360" w:lineRule="auto"/>
        <w:jc w:val="center"/>
        <w:textAlignment w:val="auto"/>
        <w:outlineLvl w:val="0"/>
        <w:rPr>
          <w:rFonts w:hint="eastAsia" w:ascii="宋体" w:hAnsi="宋体" w:eastAsia="宋体" w:cs="宋体"/>
          <w:b/>
          <w:bCs/>
          <w:color w:val="auto"/>
          <w:sz w:val="21"/>
          <w:szCs w:val="21"/>
          <w:highlight w:val="none"/>
          <w:lang w:val="zh-CN"/>
        </w:rPr>
        <w:sectPr>
          <w:pgSz w:w="11906" w:h="16838"/>
          <w:pgMar w:top="1440" w:right="1800" w:bottom="1440" w:left="1800" w:header="851" w:footer="992" w:gutter="0"/>
          <w:pgNumType w:fmt="decimal"/>
          <w:cols w:space="425" w:num="1"/>
          <w:docGrid w:type="lines" w:linePitch="312" w:charSpace="0"/>
        </w:sectPr>
      </w:pPr>
    </w:p>
    <w:p w14:paraId="78786ADD">
      <w:pPr>
        <w:keepNext w:val="0"/>
        <w:keepLines w:val="0"/>
        <w:kinsoku/>
        <w:wordWrap/>
        <w:overflowPunct/>
        <w:topLinePunct w:val="0"/>
        <w:autoSpaceDE w:val="0"/>
        <w:autoSpaceDN w:val="0"/>
        <w:bidi w:val="0"/>
        <w:adjustRightInd w:val="0"/>
        <w:spacing w:line="360" w:lineRule="auto"/>
        <w:jc w:val="center"/>
        <w:textAlignment w:val="auto"/>
        <w:outlineLvl w:val="0"/>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第二部分   专用条款</w:t>
      </w:r>
    </w:p>
    <w:p w14:paraId="6DA12CFC">
      <w:pPr>
        <w:keepNext w:val="0"/>
        <w:keepLines w:val="0"/>
        <w:kinsoku/>
        <w:wordWrap/>
        <w:overflowPunct/>
        <w:topLinePunct w:val="0"/>
        <w:autoSpaceDE w:val="0"/>
        <w:autoSpaceDN w:val="0"/>
        <w:bidi w:val="0"/>
        <w:adjustRightInd w:val="0"/>
        <w:spacing w:line="360" w:lineRule="auto"/>
        <w:ind w:firstLine="540"/>
        <w:textAlignment w:val="auto"/>
        <w:outlineLvl w:val="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一、词语定义和适用法律</w:t>
      </w:r>
    </w:p>
    <w:p w14:paraId="3C85D9A6">
      <w:pPr>
        <w:keepNext w:val="0"/>
        <w:keepLines w:val="0"/>
        <w:kinsoku/>
        <w:wordWrap/>
        <w:overflowPunct/>
        <w:topLinePunct w:val="0"/>
        <w:autoSpaceDE w:val="0"/>
        <w:autoSpaceDN w:val="0"/>
        <w:bidi w:val="0"/>
        <w:adjustRightInd w:val="0"/>
        <w:spacing w:line="360" w:lineRule="auto"/>
        <w:ind w:firstLine="54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、合同文件及解释顺序</w:t>
      </w:r>
    </w:p>
    <w:p w14:paraId="0FA02CF0">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.1 合同文件及解释顺序</w:t>
      </w:r>
      <w:r>
        <w:rPr>
          <w:rFonts w:hint="eastAsia" w:ascii="宋体" w:hAnsi="宋体" w:eastAsia="宋体" w:cs="宋体"/>
          <w:color w:val="auto"/>
          <w:kern w:val="0"/>
          <w:sz w:val="21"/>
          <w:szCs w:val="21"/>
          <w:highlight w:val="none"/>
          <w:lang w:val="zh-CN"/>
        </w:rPr>
        <w:t>：</w:t>
      </w:r>
      <w:bookmarkStart w:id="184" w:name="OLE_LINK2"/>
      <w:r>
        <w:rPr>
          <w:rFonts w:hint="eastAsia" w:ascii="宋体" w:hAnsi="宋体" w:eastAsia="宋体" w:cs="宋体"/>
          <w:b/>
          <w:color w:val="auto"/>
          <w:kern w:val="0"/>
          <w:sz w:val="21"/>
          <w:szCs w:val="21"/>
          <w:highlight w:val="none"/>
          <w:u w:val="single"/>
          <w:lang w:val="zh-CN"/>
        </w:rPr>
        <w:t>按通用条款执行。</w:t>
      </w:r>
      <w:bookmarkEnd w:id="184"/>
    </w:p>
    <w:p w14:paraId="45D07DC8">
      <w:pPr>
        <w:keepNext w:val="0"/>
        <w:keepLines w:val="0"/>
        <w:kinsoku/>
        <w:wordWrap/>
        <w:overflowPunct/>
        <w:topLinePunct w:val="0"/>
        <w:autoSpaceDE w:val="0"/>
        <w:autoSpaceDN w:val="0"/>
        <w:bidi w:val="0"/>
        <w:adjustRightInd w:val="0"/>
        <w:spacing w:line="360" w:lineRule="auto"/>
        <w:ind w:firstLine="54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、语言文字和适用法律</w:t>
      </w:r>
    </w:p>
    <w:p w14:paraId="575D7BF8">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.1 语言文字</w:t>
      </w:r>
    </w:p>
    <w:p w14:paraId="728FC44A">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本合同采用的文字为：</w:t>
      </w:r>
      <w:r>
        <w:rPr>
          <w:rFonts w:hint="eastAsia" w:ascii="宋体" w:hAnsi="宋体" w:eastAsia="宋体" w:cs="宋体"/>
          <w:b/>
          <w:color w:val="auto"/>
          <w:kern w:val="0"/>
          <w:sz w:val="21"/>
          <w:szCs w:val="21"/>
          <w:highlight w:val="none"/>
          <w:u w:val="single"/>
          <w:lang w:val="zh-CN"/>
        </w:rPr>
        <w:t>简体中文。</w:t>
      </w:r>
    </w:p>
    <w:p w14:paraId="41DDDF32">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.2 本合同需要明示的法律、行政法规：</w:t>
      </w:r>
      <w:r>
        <w:rPr>
          <w:rFonts w:hint="eastAsia" w:ascii="宋体" w:hAnsi="宋体" w:eastAsia="宋体" w:cs="宋体"/>
          <w:b/>
          <w:color w:val="auto"/>
          <w:kern w:val="0"/>
          <w:sz w:val="21"/>
          <w:szCs w:val="21"/>
          <w:highlight w:val="none"/>
          <w:u w:val="single"/>
          <w:lang w:val="zh-CN"/>
        </w:rPr>
        <w:t>《中华人民共和国招标投标法》，国家、广东省、东莞市招标有关的其他法律、法规、规章和规定。</w:t>
      </w:r>
    </w:p>
    <w:p w14:paraId="0A31AAD1">
      <w:pPr>
        <w:keepNext w:val="0"/>
        <w:keepLines w:val="0"/>
        <w:kinsoku/>
        <w:wordWrap/>
        <w:overflowPunct/>
        <w:topLinePunct w:val="0"/>
        <w:autoSpaceDE w:val="0"/>
        <w:autoSpaceDN w:val="0"/>
        <w:bidi w:val="0"/>
        <w:adjustRightInd w:val="0"/>
        <w:spacing w:line="360" w:lineRule="auto"/>
        <w:ind w:firstLine="540"/>
        <w:textAlignment w:val="auto"/>
        <w:outlineLvl w:val="1"/>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二、双方一般权利和义务</w:t>
      </w:r>
    </w:p>
    <w:p w14:paraId="091CD083">
      <w:pPr>
        <w:keepNext w:val="0"/>
        <w:keepLines w:val="0"/>
        <w:kinsoku/>
        <w:wordWrap/>
        <w:overflowPunct/>
        <w:topLinePunct w:val="0"/>
        <w:autoSpaceDE w:val="0"/>
        <w:autoSpaceDN w:val="0"/>
        <w:bidi w:val="0"/>
        <w:adjustRightInd w:val="0"/>
        <w:spacing w:line="360" w:lineRule="auto"/>
        <w:ind w:firstLine="54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、甲方的义务</w:t>
      </w:r>
    </w:p>
    <w:p w14:paraId="7E3DBE82">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 xml:space="preserve"> 甲方应按约定的时间和要求完成下列工作：</w:t>
      </w:r>
    </w:p>
    <w:p w14:paraId="49517806">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vertAlign w:val="subscript"/>
        </w:rPr>
      </w:pPr>
      <w:r>
        <w:rPr>
          <w:rFonts w:hint="eastAsia" w:ascii="宋体" w:hAnsi="宋体" w:eastAsia="宋体" w:cs="宋体"/>
          <w:color w:val="auto"/>
          <w:sz w:val="21"/>
          <w:szCs w:val="21"/>
          <w:highlight w:val="none"/>
          <w:lang w:val="zh-CN"/>
        </w:rPr>
        <w:t>（1）向乙方提供本项目招标代理业务应具备的相关工作前期资料（如立项批准手续、规划许可、报建证等）及资金落实情况资料的时间：</w:t>
      </w:r>
      <w:r>
        <w:rPr>
          <w:rFonts w:hint="eastAsia" w:ascii="宋体" w:hAnsi="宋体" w:eastAsia="宋体" w:cs="宋体"/>
          <w:b/>
          <w:color w:val="auto"/>
          <w:kern w:val="0"/>
          <w:sz w:val="21"/>
          <w:szCs w:val="21"/>
          <w:highlight w:val="none"/>
          <w:u w:val="single"/>
          <w:lang w:val="zh-CN"/>
        </w:rPr>
        <w:t>招标代理合同签订后3天内。</w:t>
      </w:r>
    </w:p>
    <w:p w14:paraId="16B018A3">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（2）向乙方提供完成代理招标业务所需全部资料的时间：</w:t>
      </w:r>
      <w:r>
        <w:rPr>
          <w:rFonts w:hint="eastAsia" w:ascii="宋体" w:hAnsi="宋体" w:eastAsia="宋体" w:cs="宋体"/>
          <w:b/>
          <w:color w:val="auto"/>
          <w:kern w:val="0"/>
          <w:sz w:val="21"/>
          <w:szCs w:val="21"/>
          <w:highlight w:val="none"/>
          <w:u w:val="single"/>
          <w:lang w:val="zh-CN"/>
        </w:rPr>
        <w:t>发布招标公告3天前。</w:t>
      </w:r>
    </w:p>
    <w:p w14:paraId="2599D53A">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color w:val="auto"/>
          <w:sz w:val="21"/>
          <w:szCs w:val="21"/>
          <w:highlight w:val="none"/>
          <w:lang w:val="zh-CN"/>
        </w:rPr>
        <w:t>（3）向乙方提供保证招标工作顺利完成的条件：</w:t>
      </w:r>
      <w:r>
        <w:rPr>
          <w:rFonts w:hint="eastAsia" w:ascii="宋体" w:hAnsi="宋体" w:eastAsia="宋体" w:cs="宋体"/>
          <w:b/>
          <w:color w:val="auto"/>
          <w:kern w:val="0"/>
          <w:sz w:val="21"/>
          <w:szCs w:val="21"/>
          <w:highlight w:val="none"/>
          <w:u w:val="single"/>
          <w:lang w:val="zh-CN"/>
        </w:rPr>
        <w:t>及时审核和签署招标文件和其他相关资料。</w:t>
      </w:r>
    </w:p>
    <w:p w14:paraId="7800CCFA">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（4）指定的与乙方联系的人员</w:t>
      </w:r>
    </w:p>
    <w:p w14:paraId="12FE15D5">
      <w:pPr>
        <w:keepNext w:val="0"/>
        <w:keepLines w:val="0"/>
        <w:kinsoku/>
        <w:wordWrap/>
        <w:overflowPunct/>
        <w:topLinePunct w:val="0"/>
        <w:autoSpaceDE w:val="0"/>
        <w:autoSpaceDN w:val="0"/>
        <w:bidi w:val="0"/>
        <w:adjustRightInd w:val="0"/>
        <w:spacing w:line="360" w:lineRule="auto"/>
        <w:ind w:firstLine="420" w:firstLineChars="200"/>
        <w:textAlignment w:val="auto"/>
        <w:rPr>
          <w:rFonts w:hint="default" w:ascii="宋体" w:hAnsi="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zh-CN"/>
        </w:rPr>
        <w:t>姓名：</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p>
    <w:p w14:paraId="3A0A259F">
      <w:pPr>
        <w:keepNext w:val="0"/>
        <w:keepLines w:val="0"/>
        <w:kinsoku/>
        <w:wordWrap/>
        <w:overflowPunct/>
        <w:topLinePunct w:val="0"/>
        <w:autoSpaceDE w:val="0"/>
        <w:autoSpaceDN w:val="0"/>
        <w:bidi w:val="0"/>
        <w:adjustRightInd w:val="0"/>
        <w:spacing w:line="360" w:lineRule="auto"/>
        <w:ind w:firstLine="420" w:firstLineChars="200"/>
        <w:textAlignment w:val="auto"/>
        <w:rPr>
          <w:rFonts w:hint="default" w:ascii="宋体" w:hAnsi="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zh-CN"/>
        </w:rPr>
        <w:t>电话：</w:t>
      </w:r>
      <w:r>
        <w:rPr>
          <w:rFonts w:hint="eastAsia" w:ascii="宋体" w:hAnsi="宋体" w:cs="宋体"/>
          <w:color w:val="auto"/>
          <w:sz w:val="21"/>
          <w:szCs w:val="21"/>
          <w:highlight w:val="none"/>
          <w:u w:val="single"/>
          <w:lang w:val="en-US" w:eastAsia="zh-CN"/>
        </w:rPr>
        <w:t xml:space="preserve">      </w:t>
      </w:r>
    </w:p>
    <w:p w14:paraId="7FDB1DD2">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u w:val="none"/>
          <w:lang w:val="zh-CN"/>
        </w:rPr>
        <w:t>需要与第三方协调的工作：</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none"/>
          <w:lang w:val="zh-CN"/>
        </w:rPr>
        <w:t>。</w:t>
      </w:r>
    </w:p>
    <w:p w14:paraId="6FE3C8F0">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vertAlign w:val="subscript"/>
        </w:rPr>
      </w:pPr>
      <w:r>
        <w:rPr>
          <w:rFonts w:hint="eastAsia" w:ascii="宋体" w:hAnsi="宋体" w:eastAsia="宋体" w:cs="宋体"/>
          <w:color w:val="auto"/>
          <w:sz w:val="21"/>
          <w:szCs w:val="21"/>
          <w:highlight w:val="none"/>
          <w:lang w:val="zh-CN"/>
        </w:rPr>
        <w:t>（6）应尽的其他义务：</w:t>
      </w:r>
      <w:r>
        <w:rPr>
          <w:rFonts w:hint="eastAsia" w:ascii="宋体" w:hAnsi="宋体" w:eastAsia="宋体" w:cs="宋体"/>
          <w:b/>
          <w:color w:val="auto"/>
          <w:kern w:val="0"/>
          <w:sz w:val="21"/>
          <w:szCs w:val="21"/>
          <w:highlight w:val="none"/>
          <w:u w:val="single"/>
          <w:lang w:val="zh-CN"/>
        </w:rPr>
        <w:t>甲方负责与本项目招标有关的第三方的协调，为乙方工作提供外部条件；乙方要求第三方提供有关资料时，甲方应负责转达及资料转送。</w:t>
      </w:r>
    </w:p>
    <w:p w14:paraId="013D9EBF">
      <w:pPr>
        <w:keepNext w:val="0"/>
        <w:keepLines w:val="0"/>
        <w:kinsoku/>
        <w:wordWrap/>
        <w:overflowPunct/>
        <w:topLinePunct w:val="0"/>
        <w:autoSpaceDE w:val="0"/>
        <w:autoSpaceDN w:val="0"/>
        <w:bidi w:val="0"/>
        <w:adjustRightInd w:val="0"/>
        <w:spacing w:line="360" w:lineRule="auto"/>
        <w:ind w:firstLine="54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、乙方的义务</w:t>
      </w:r>
    </w:p>
    <w:p w14:paraId="27F3F210">
      <w:pPr>
        <w:keepNext w:val="0"/>
        <w:keepLines w:val="0"/>
        <w:kinsoku/>
        <w:wordWrap/>
        <w:overflowPunct/>
        <w:topLinePunct w:val="0"/>
        <w:autoSpaceDE w:val="0"/>
        <w:autoSpaceDN w:val="0"/>
        <w:bidi w:val="0"/>
        <w:adjustRightInd w:val="0"/>
        <w:spacing w:line="360" w:lineRule="auto"/>
        <w:ind w:firstLine="540"/>
        <w:textAlignment w:val="auto"/>
        <w:rPr>
          <w:rFonts w:hint="default" w:ascii="宋体" w:hAnsi="宋体" w:eastAsia="宋体" w:cs="宋体"/>
          <w:b w:val="0"/>
          <w:bCs w:val="0"/>
          <w:color w:val="auto"/>
          <w:sz w:val="21"/>
          <w:szCs w:val="21"/>
          <w:highlight w:val="none"/>
          <w:lang w:val="en-US"/>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.1 招标代理项目负责人姓名</w:t>
      </w:r>
      <w:r>
        <w:rPr>
          <w:rFonts w:hint="eastAsia" w:ascii="宋体" w:hAnsi="宋体" w:eastAsia="宋体" w:cs="宋体"/>
          <w:b w:val="0"/>
          <w:bCs w:val="0"/>
          <w:color w:val="auto"/>
          <w:sz w:val="21"/>
          <w:szCs w:val="21"/>
          <w:highlight w:val="none"/>
          <w:lang w:val="zh-CN"/>
        </w:rPr>
        <w:t>：</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i w:val="0"/>
          <w:iCs w:val="0"/>
          <w:color w:val="auto"/>
          <w:sz w:val="21"/>
          <w:szCs w:val="21"/>
          <w:highlight w:val="none"/>
          <w:u w:val="none"/>
          <w:lang w:val="zh-CN"/>
        </w:rPr>
        <w:t>身份证</w:t>
      </w:r>
      <w:r>
        <w:rPr>
          <w:rFonts w:hint="eastAsia" w:ascii="宋体" w:hAnsi="宋体" w:eastAsia="宋体" w:cs="宋体"/>
          <w:b w:val="0"/>
          <w:bCs w:val="0"/>
          <w:color w:val="auto"/>
          <w:sz w:val="21"/>
          <w:szCs w:val="21"/>
          <w:highlight w:val="none"/>
          <w:lang w:val="zh-CN"/>
        </w:rPr>
        <w:t>号：</w:t>
      </w:r>
      <w:r>
        <w:rPr>
          <w:rFonts w:hint="eastAsia" w:ascii="宋体" w:hAnsi="宋体" w:cs="宋体"/>
          <w:b w:val="0"/>
          <w:bCs w:val="0"/>
          <w:color w:val="auto"/>
          <w:sz w:val="21"/>
          <w:szCs w:val="21"/>
          <w:highlight w:val="none"/>
          <w:u w:val="single"/>
          <w:lang w:val="en-US" w:eastAsia="zh-CN"/>
        </w:rPr>
        <w:t xml:space="preserve">            </w:t>
      </w:r>
    </w:p>
    <w:p w14:paraId="67B4F672">
      <w:pPr>
        <w:keepNext w:val="0"/>
        <w:keepLines w:val="0"/>
        <w:kinsoku/>
        <w:wordWrap/>
        <w:overflowPunct/>
        <w:topLinePunct w:val="0"/>
        <w:autoSpaceDE w:val="0"/>
        <w:autoSpaceDN w:val="0"/>
        <w:bidi w:val="0"/>
        <w:adjustRightInd w:val="0"/>
        <w:spacing w:line="360" w:lineRule="auto"/>
        <w:ind w:firstLine="1260" w:firstLineChars="600"/>
        <w:textAlignment w:val="auto"/>
        <w:rPr>
          <w:rFonts w:hint="eastAsia" w:ascii="宋体" w:hAnsi="宋体" w:eastAsia="宋体" w:cs="宋体"/>
          <w:b w:val="0"/>
          <w:bCs w:val="0"/>
          <w:color w:val="auto"/>
          <w:kern w:val="0"/>
          <w:sz w:val="21"/>
          <w:szCs w:val="21"/>
          <w:highlight w:val="none"/>
          <w:u w:val="single"/>
          <w:lang w:val="en-US" w:eastAsia="zh-CN"/>
        </w:rPr>
      </w:pP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zh-CN"/>
        </w:rPr>
        <w:t>参与项目人员姓名：</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zh-CN"/>
        </w:rPr>
        <w:t>身份证号：</w:t>
      </w:r>
      <w:r>
        <w:rPr>
          <w:rFonts w:hint="eastAsia" w:ascii="宋体" w:hAnsi="宋体" w:cs="宋体"/>
          <w:b w:val="0"/>
          <w:bCs w:val="0"/>
          <w:color w:val="auto"/>
          <w:sz w:val="21"/>
          <w:szCs w:val="21"/>
          <w:highlight w:val="none"/>
          <w:u w:val="single"/>
          <w:lang w:val="en-US" w:eastAsia="zh-CN"/>
        </w:rPr>
        <w:t xml:space="preserve">            </w:t>
      </w:r>
    </w:p>
    <w:p w14:paraId="003B0838">
      <w:pPr>
        <w:keepNext w:val="0"/>
        <w:keepLines w:val="0"/>
        <w:kinsoku/>
        <w:wordWrap/>
        <w:overflowPunct/>
        <w:topLinePunct w:val="0"/>
        <w:autoSpaceDE w:val="0"/>
        <w:autoSpaceDN w:val="0"/>
        <w:bidi w:val="0"/>
        <w:adjustRightInd w:val="0"/>
        <w:spacing w:line="360" w:lineRule="auto"/>
        <w:ind w:firstLine="1260" w:firstLineChars="600"/>
        <w:textAlignment w:val="auto"/>
        <w:rPr>
          <w:rFonts w:hint="eastAsia" w:ascii="宋体" w:hAnsi="宋体" w:eastAsia="宋体" w:cs="宋体"/>
          <w:b w:val="0"/>
          <w:bCs w:val="0"/>
          <w:color w:val="auto"/>
          <w:kern w:val="0"/>
          <w:sz w:val="21"/>
          <w:szCs w:val="21"/>
          <w:highlight w:val="none"/>
          <w:u w:val="single"/>
          <w:lang w:val="en-US" w:eastAsia="zh-CN"/>
        </w:rPr>
      </w:pP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zh-CN"/>
        </w:rPr>
        <w:t>参与项目人员姓名：</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zh-CN"/>
        </w:rPr>
        <w:t>身份证号：</w:t>
      </w:r>
      <w:r>
        <w:rPr>
          <w:rFonts w:hint="eastAsia" w:ascii="宋体" w:hAnsi="宋体" w:cs="宋体"/>
          <w:b w:val="0"/>
          <w:bCs w:val="0"/>
          <w:color w:val="auto"/>
          <w:sz w:val="21"/>
          <w:szCs w:val="21"/>
          <w:highlight w:val="none"/>
          <w:u w:val="single"/>
          <w:lang w:val="en-US" w:eastAsia="zh-CN"/>
        </w:rPr>
        <w:t xml:space="preserve">            </w:t>
      </w:r>
    </w:p>
    <w:p w14:paraId="07C567CF">
      <w:pPr>
        <w:keepNext w:val="0"/>
        <w:keepLines w:val="0"/>
        <w:kinsoku/>
        <w:wordWrap/>
        <w:overflowPunct/>
        <w:topLinePunct w:val="0"/>
        <w:autoSpaceDE w:val="0"/>
        <w:autoSpaceDN w:val="0"/>
        <w:bidi w:val="0"/>
        <w:adjustRightInd w:val="0"/>
        <w:spacing w:line="360" w:lineRule="auto"/>
        <w:ind w:firstLine="1260" w:firstLineChars="600"/>
        <w:textAlignment w:val="auto"/>
        <w:rPr>
          <w:rFonts w:hint="eastAsia" w:ascii="宋体" w:hAnsi="宋体" w:eastAsia="宋体" w:cs="宋体"/>
          <w:b w:val="0"/>
          <w:bCs w:val="0"/>
          <w:color w:val="auto"/>
          <w:kern w:val="0"/>
          <w:sz w:val="21"/>
          <w:szCs w:val="21"/>
          <w:highlight w:val="none"/>
          <w:u w:val="single"/>
          <w:lang w:val="en-US" w:eastAsia="zh-CN"/>
        </w:rPr>
      </w:pP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zh-CN"/>
        </w:rPr>
        <w:t>参与项目人员姓名：</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zh-CN"/>
        </w:rPr>
        <w:t>身份证号：</w:t>
      </w:r>
      <w:r>
        <w:rPr>
          <w:rFonts w:hint="eastAsia" w:ascii="宋体" w:hAnsi="宋体" w:cs="宋体"/>
          <w:b w:val="0"/>
          <w:bCs w:val="0"/>
          <w:color w:val="auto"/>
          <w:sz w:val="21"/>
          <w:szCs w:val="21"/>
          <w:highlight w:val="none"/>
          <w:u w:val="single"/>
          <w:lang w:val="en-US" w:eastAsia="zh-CN"/>
        </w:rPr>
        <w:t xml:space="preserve">            </w:t>
      </w:r>
    </w:p>
    <w:p w14:paraId="17229EFE">
      <w:pPr>
        <w:keepNext w:val="0"/>
        <w:keepLines w:val="0"/>
        <w:kinsoku/>
        <w:wordWrap/>
        <w:overflowPunct/>
        <w:topLinePunct w:val="0"/>
        <w:autoSpaceDE w:val="0"/>
        <w:autoSpaceDN w:val="0"/>
        <w:bidi w:val="0"/>
        <w:adjustRightInd w:val="0"/>
        <w:spacing w:line="360" w:lineRule="auto"/>
        <w:ind w:firstLine="1260" w:firstLineChars="600"/>
        <w:textAlignment w:val="auto"/>
        <w:rPr>
          <w:rFonts w:hint="eastAsia" w:ascii="宋体" w:hAnsi="宋体" w:eastAsia="宋体" w:cs="宋体"/>
          <w:b w:val="0"/>
          <w:bCs w:val="0"/>
          <w:color w:val="auto"/>
          <w:kern w:val="0"/>
          <w:sz w:val="21"/>
          <w:szCs w:val="21"/>
          <w:highlight w:val="none"/>
          <w:u w:val="single"/>
          <w:lang w:val="en-US" w:eastAsia="zh-CN"/>
        </w:rPr>
      </w:pP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zh-CN"/>
        </w:rPr>
        <w:t>参与项目人员姓名：</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zh-CN"/>
        </w:rPr>
        <w:t>身份证号：</w:t>
      </w:r>
      <w:r>
        <w:rPr>
          <w:rFonts w:hint="eastAsia" w:ascii="宋体" w:hAnsi="宋体" w:cs="宋体"/>
          <w:b w:val="0"/>
          <w:bCs w:val="0"/>
          <w:color w:val="auto"/>
          <w:sz w:val="21"/>
          <w:szCs w:val="21"/>
          <w:highlight w:val="none"/>
          <w:u w:val="single"/>
          <w:lang w:val="en-US" w:eastAsia="zh-CN"/>
        </w:rPr>
        <w:t xml:space="preserve">            </w:t>
      </w:r>
    </w:p>
    <w:p w14:paraId="1826EF84">
      <w:pPr>
        <w:keepNext w:val="0"/>
        <w:keepLines w:val="0"/>
        <w:kinsoku/>
        <w:wordWrap/>
        <w:overflowPunct/>
        <w:topLinePunct w:val="0"/>
        <w:autoSpaceDE w:val="0"/>
        <w:autoSpaceDN w:val="0"/>
        <w:bidi w:val="0"/>
        <w:adjustRightInd w:val="0"/>
        <w:spacing w:line="360" w:lineRule="auto"/>
        <w:ind w:firstLine="1260" w:firstLineChars="600"/>
        <w:textAlignment w:val="auto"/>
        <w:rPr>
          <w:rFonts w:hint="eastAsia" w:ascii="宋体" w:hAnsi="宋体" w:eastAsia="宋体" w:cs="宋体"/>
          <w:b w:val="0"/>
          <w:bCs w:val="0"/>
          <w:color w:val="auto"/>
          <w:kern w:val="0"/>
          <w:sz w:val="21"/>
          <w:szCs w:val="21"/>
          <w:highlight w:val="none"/>
          <w:u w:val="single"/>
          <w:lang w:val="en-US" w:eastAsia="zh-CN"/>
        </w:rPr>
      </w:pP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zh-CN"/>
        </w:rPr>
        <w:t>参与项目人员姓名：</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zh-CN"/>
        </w:rPr>
        <w:t>身份证号：</w:t>
      </w:r>
      <w:r>
        <w:rPr>
          <w:rFonts w:hint="eastAsia" w:ascii="宋体" w:hAnsi="宋体" w:cs="宋体"/>
          <w:b w:val="0"/>
          <w:bCs w:val="0"/>
          <w:color w:val="auto"/>
          <w:sz w:val="21"/>
          <w:szCs w:val="21"/>
          <w:highlight w:val="none"/>
          <w:u w:val="single"/>
          <w:lang w:val="en-US" w:eastAsia="zh-CN"/>
        </w:rPr>
        <w:t xml:space="preserve">            </w:t>
      </w:r>
    </w:p>
    <w:p w14:paraId="1F78B6B0">
      <w:pPr>
        <w:keepNext w:val="0"/>
        <w:keepLines w:val="0"/>
        <w:kinsoku/>
        <w:wordWrap/>
        <w:overflowPunct/>
        <w:topLinePunct w:val="0"/>
        <w:autoSpaceDE w:val="0"/>
        <w:autoSpaceDN w:val="0"/>
        <w:bidi w:val="0"/>
        <w:adjustRightInd w:val="0"/>
        <w:spacing w:line="360" w:lineRule="auto"/>
        <w:ind w:firstLine="1260" w:firstLineChars="600"/>
        <w:textAlignment w:val="auto"/>
        <w:rPr>
          <w:rFonts w:hint="eastAsia" w:ascii="宋体" w:hAnsi="宋体" w:eastAsia="宋体" w:cs="宋体"/>
          <w:b w:val="0"/>
          <w:bCs w:val="0"/>
          <w:color w:val="auto"/>
          <w:kern w:val="0"/>
          <w:sz w:val="21"/>
          <w:szCs w:val="21"/>
          <w:highlight w:val="none"/>
          <w:u w:val="single"/>
          <w:lang w:val="en-US" w:eastAsia="zh-CN"/>
        </w:rPr>
      </w:pP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zh-CN"/>
        </w:rPr>
        <w:t>参与项目人员姓名：</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zh-CN"/>
        </w:rPr>
        <w:t>身份证号：</w:t>
      </w:r>
      <w:r>
        <w:rPr>
          <w:rFonts w:hint="eastAsia" w:ascii="宋体" w:hAnsi="宋体" w:cs="宋体"/>
          <w:b w:val="0"/>
          <w:bCs w:val="0"/>
          <w:color w:val="auto"/>
          <w:sz w:val="21"/>
          <w:szCs w:val="21"/>
          <w:highlight w:val="none"/>
          <w:u w:val="single"/>
          <w:lang w:val="en-US" w:eastAsia="zh-CN"/>
        </w:rPr>
        <w:t xml:space="preserve">            </w:t>
      </w:r>
    </w:p>
    <w:p w14:paraId="7D3E311D">
      <w:pPr>
        <w:keepNext w:val="0"/>
        <w:keepLines w:val="0"/>
        <w:kinsoku/>
        <w:wordWrap/>
        <w:overflowPunct/>
        <w:topLinePunct w:val="0"/>
        <w:autoSpaceDE w:val="0"/>
        <w:autoSpaceDN w:val="0"/>
        <w:bidi w:val="0"/>
        <w:adjustRightInd w:val="0"/>
        <w:spacing w:line="360" w:lineRule="auto"/>
        <w:ind w:firstLine="1260" w:firstLineChars="600"/>
        <w:textAlignment w:val="auto"/>
        <w:rPr>
          <w:rFonts w:hint="eastAsia" w:ascii="宋体" w:hAnsi="宋体" w:eastAsia="宋体" w:cs="宋体"/>
          <w:b w:val="0"/>
          <w:bCs w:val="0"/>
          <w:color w:val="auto"/>
          <w:kern w:val="0"/>
          <w:sz w:val="21"/>
          <w:szCs w:val="21"/>
          <w:highlight w:val="none"/>
          <w:u w:val="single"/>
          <w:lang w:val="en-US" w:eastAsia="zh-CN"/>
        </w:rPr>
      </w:pP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zh-CN"/>
        </w:rPr>
        <w:t>参与项目人员姓名：</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zh-CN"/>
        </w:rPr>
        <w:t>身份证号：</w:t>
      </w:r>
      <w:r>
        <w:rPr>
          <w:rFonts w:hint="eastAsia" w:ascii="宋体" w:hAnsi="宋体" w:cs="宋体"/>
          <w:b w:val="0"/>
          <w:bCs w:val="0"/>
          <w:color w:val="auto"/>
          <w:sz w:val="21"/>
          <w:szCs w:val="21"/>
          <w:highlight w:val="none"/>
          <w:u w:val="single"/>
          <w:lang w:val="en-US" w:eastAsia="zh-CN"/>
        </w:rPr>
        <w:t xml:space="preserve">            </w:t>
      </w:r>
    </w:p>
    <w:p w14:paraId="006FA1BF">
      <w:pPr>
        <w:keepNext w:val="0"/>
        <w:keepLines w:val="0"/>
        <w:kinsoku/>
        <w:wordWrap/>
        <w:overflowPunct/>
        <w:topLinePunct w:val="0"/>
        <w:autoSpaceDE w:val="0"/>
        <w:autoSpaceDN w:val="0"/>
        <w:bidi w:val="0"/>
        <w:adjustRightInd w:val="0"/>
        <w:spacing w:line="360" w:lineRule="auto"/>
        <w:ind w:firstLine="1260" w:firstLineChars="600"/>
        <w:textAlignment w:val="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服务过程中须有一名具有中级职称以上的人员提供全过程服务。</w:t>
      </w:r>
    </w:p>
    <w:p w14:paraId="445F5062">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如项目负责人为非投标时承诺的人员,更换前须书面经甲方同意，并且只能更换为同级别水平或以上人员。</w:t>
      </w:r>
    </w:p>
    <w:p w14:paraId="7E79541F">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.2 乙方应按约定的时间和要求完成下列工作：</w:t>
      </w:r>
    </w:p>
    <w:p w14:paraId="4D1996F4">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（1）组织招标工作的内容和时间：（按招标工作的程序写明每项工作的具体内容和时间）</w:t>
      </w:r>
    </w:p>
    <w:p w14:paraId="1E4FB0D4">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拟定招标方案（受领任务后3天内提交）；</w:t>
      </w:r>
    </w:p>
    <w:p w14:paraId="431508AF">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编制招标文件（受领任务后3天内完成招标文件初稿，根据甲方提出的意见，在2天内完成招标文件终稿）；</w:t>
      </w:r>
    </w:p>
    <w:p w14:paraId="004309BC">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办理招标登记（1个工作日）；</w:t>
      </w:r>
    </w:p>
    <w:p w14:paraId="6FB26F1D">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发布招标公告或者发出投标邀请书（1个工作日）；</w:t>
      </w:r>
    </w:p>
    <w:p w14:paraId="747CAC01">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办理招标文件备案（1个工作日）；</w:t>
      </w:r>
    </w:p>
    <w:p w14:paraId="3AB1FF5B">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发售招标文件（5个工作日）；</w:t>
      </w:r>
    </w:p>
    <w:p w14:paraId="04F10A7B">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组织现场踏勘和答疑（如果需要，1个工作日）；</w:t>
      </w:r>
    </w:p>
    <w:p w14:paraId="6D40B3E3">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签发中标通知书（5个工作日）；</w:t>
      </w:r>
    </w:p>
    <w:p w14:paraId="6ACE1D2E">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草拟合同（确定中标人后3个工作日内）；</w:t>
      </w:r>
    </w:p>
    <w:p w14:paraId="2CE30456">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编写招标情况报告（中标通知书签发后3个工作日内）；</w:t>
      </w:r>
    </w:p>
    <w:p w14:paraId="6B110EFE">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b/>
          <w:color w:val="auto"/>
          <w:kern w:val="0"/>
          <w:sz w:val="21"/>
          <w:szCs w:val="21"/>
          <w:highlight w:val="none"/>
          <w:u w:val="single"/>
          <w:lang w:val="zh-CN"/>
        </w:rPr>
        <w:t>招标资料整理归档移交（招标人和中标人签订合同协议书后5个工作日内）。</w:t>
      </w:r>
    </w:p>
    <w:p w14:paraId="32E71F11">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（2）为甲方提供的为完成招标工作的相关咨询服务：</w:t>
      </w:r>
      <w:r>
        <w:rPr>
          <w:rFonts w:hint="eastAsia" w:ascii="宋体" w:hAnsi="宋体" w:eastAsia="宋体" w:cs="宋体"/>
          <w:b/>
          <w:color w:val="auto"/>
          <w:kern w:val="0"/>
          <w:sz w:val="21"/>
          <w:szCs w:val="21"/>
          <w:highlight w:val="none"/>
          <w:u w:val="single"/>
          <w:lang w:val="zh-CN"/>
        </w:rPr>
        <w:t>应用专业技术与技能为甲方提供完成招标工作相关的咨询服务；向甲方宣传有关工程招标的法律、行政法规和规章，解释合理的招标程序，以便得到甲方的支持和配合。</w:t>
      </w:r>
    </w:p>
    <w:p w14:paraId="44BD3BCA">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（3）承担招标代理业务过程中，应由乙方支付的费用：</w:t>
      </w:r>
      <w:r>
        <w:rPr>
          <w:rFonts w:hint="eastAsia" w:ascii="宋体" w:hAnsi="宋体" w:eastAsia="宋体" w:cs="宋体"/>
          <w:b/>
          <w:color w:val="auto"/>
          <w:kern w:val="0"/>
          <w:sz w:val="21"/>
          <w:szCs w:val="21"/>
          <w:highlight w:val="none"/>
          <w:u w:val="single"/>
          <w:lang w:val="zh-CN"/>
        </w:rPr>
        <w:t>招标文件编制费用、招标过程中所需文件的印刷费用、乙方代理人员费用（人员薪酬、福利、交通、通信等费用）、税金、评标费用（评标专家劳务费和差旅费、评标场地费）。</w:t>
      </w:r>
    </w:p>
    <w:p w14:paraId="6FAA85B8">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color w:val="auto"/>
          <w:sz w:val="21"/>
          <w:szCs w:val="21"/>
          <w:highlight w:val="none"/>
          <w:lang w:val="zh-CN"/>
        </w:rPr>
        <w:t>（4）应尽的其他义务：</w:t>
      </w:r>
      <w:r>
        <w:rPr>
          <w:rFonts w:hint="eastAsia" w:ascii="宋体" w:hAnsi="宋体" w:eastAsia="宋体" w:cs="宋体"/>
          <w:b/>
          <w:color w:val="auto"/>
          <w:kern w:val="0"/>
          <w:sz w:val="21"/>
          <w:szCs w:val="21"/>
          <w:highlight w:val="none"/>
          <w:u w:val="single"/>
          <w:lang w:val="zh-CN"/>
        </w:rPr>
        <w:t>其他保证招标工作按时按质顺利进行的事项。</w:t>
      </w:r>
    </w:p>
    <w:p w14:paraId="61E3C16C">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vertAlign w:val="subscript"/>
        </w:rPr>
      </w:pPr>
      <w:r>
        <w:rPr>
          <w:rFonts w:hint="eastAsia" w:ascii="宋体" w:hAnsi="宋体" w:eastAsia="宋体" w:cs="宋体"/>
          <w:color w:val="auto"/>
          <w:sz w:val="21"/>
          <w:szCs w:val="21"/>
          <w:highlight w:val="none"/>
          <w:lang w:val="zh-CN"/>
        </w:rPr>
        <w:t>（5）项目考核：</w:t>
      </w:r>
      <w:r>
        <w:rPr>
          <w:rFonts w:hint="eastAsia" w:ascii="宋体" w:hAnsi="宋体" w:eastAsia="宋体" w:cs="宋体"/>
          <w:b/>
          <w:color w:val="auto"/>
          <w:kern w:val="0"/>
          <w:sz w:val="21"/>
          <w:szCs w:val="21"/>
          <w:highlight w:val="none"/>
          <w:u w:val="single"/>
          <w:lang w:val="zh-CN"/>
        </w:rPr>
        <w:t>无条件接受甲方单方面评价考核服务质量的结果。</w:t>
      </w:r>
    </w:p>
    <w:p w14:paraId="0A0FD05D">
      <w:pPr>
        <w:keepNext w:val="0"/>
        <w:keepLines w:val="0"/>
        <w:kinsoku/>
        <w:wordWrap/>
        <w:overflowPunct/>
        <w:topLinePunct w:val="0"/>
        <w:autoSpaceDE w:val="0"/>
        <w:autoSpaceDN w:val="0"/>
        <w:bidi w:val="0"/>
        <w:adjustRightInd w:val="0"/>
        <w:spacing w:line="360" w:lineRule="auto"/>
        <w:ind w:firstLine="54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、甲方的权利</w:t>
      </w:r>
    </w:p>
    <w:p w14:paraId="14390677">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.1 甲方拥有的权利：</w:t>
      </w:r>
      <w:r>
        <w:rPr>
          <w:rFonts w:hint="eastAsia" w:ascii="宋体" w:hAnsi="宋体" w:eastAsia="宋体" w:cs="宋体"/>
          <w:b/>
          <w:color w:val="auto"/>
          <w:kern w:val="0"/>
          <w:sz w:val="21"/>
          <w:szCs w:val="21"/>
          <w:highlight w:val="none"/>
          <w:u w:val="single"/>
          <w:lang w:val="zh-CN"/>
        </w:rPr>
        <w:t>按合同通用条款约定。</w:t>
      </w:r>
    </w:p>
    <w:p w14:paraId="7882A0A1">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.2 甲方有权委托招标代理完成以下具体工作的范围和内容：</w:t>
      </w:r>
      <w:r>
        <w:rPr>
          <w:rFonts w:hint="eastAsia" w:ascii="宋体" w:hAnsi="宋体" w:eastAsia="宋体" w:cs="宋体"/>
          <w:b/>
          <w:color w:val="auto"/>
          <w:kern w:val="0"/>
          <w:sz w:val="21"/>
          <w:szCs w:val="21"/>
          <w:highlight w:val="none"/>
          <w:u w:val="single"/>
          <w:lang w:val="zh-CN"/>
        </w:rPr>
        <w:t>拟定招标方案；发布招标公告或者发出投标邀请书；协助甲方审查投标报名人资格；编制招标文件；组织现场踏勘和答疑；申请评标及评标专家抽取（如需评标）；组织预备、交底、答疑、开标、评标、定标会议；签发中标通知书；草拟合同；办理相应备案手续；编写招标情况报告；招标资料整理归档；处理招标工程后续工作（协助调解争议、为招标人提供项目咨询等）；其他保证招标工作按时按质顺利进行的事项。</w:t>
      </w:r>
    </w:p>
    <w:p w14:paraId="24340D7D">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.3 甲方拥有的其他权利：</w:t>
      </w:r>
      <w:r>
        <w:rPr>
          <w:rFonts w:hint="eastAsia" w:ascii="宋体" w:hAnsi="宋体" w:eastAsia="宋体" w:cs="宋体"/>
          <w:b/>
          <w:color w:val="auto"/>
          <w:kern w:val="0"/>
          <w:sz w:val="21"/>
          <w:szCs w:val="21"/>
          <w:highlight w:val="none"/>
          <w:u w:val="single"/>
          <w:lang w:val="zh-CN"/>
        </w:rPr>
        <w:t>有权参加及监督委托代理工程招投标的有关活动；有权了解招投标活动的计划安排，并可要求代理方提供招标阶段（保密事项除外）和全过程书面报告；有权要求代理方更换代理招标进程中不称职或应回避的人员；有权参加投标申请人的资格审查和考察工作并有最终决定权；有权参加开标、评标以及评标委员会评标、定标的全过程工作并有最终决定权。</w:t>
      </w:r>
    </w:p>
    <w:p w14:paraId="4DD3A3B6">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vertAlign w:val="subscript"/>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.4 项目考核：</w:t>
      </w:r>
      <w:r>
        <w:rPr>
          <w:rFonts w:hint="eastAsia" w:ascii="宋体" w:hAnsi="宋体" w:eastAsia="宋体" w:cs="宋体"/>
          <w:b/>
          <w:color w:val="auto"/>
          <w:kern w:val="0"/>
          <w:sz w:val="21"/>
          <w:szCs w:val="21"/>
          <w:highlight w:val="none"/>
          <w:u w:val="single"/>
          <w:lang w:val="zh-CN"/>
        </w:rPr>
        <w:t>单方面评价考核乙方服务质量的权利。</w:t>
      </w:r>
    </w:p>
    <w:p w14:paraId="51A15766">
      <w:pPr>
        <w:keepNext w:val="0"/>
        <w:keepLines w:val="0"/>
        <w:tabs>
          <w:tab w:val="left" w:pos="540"/>
        </w:tabs>
        <w:kinsoku/>
        <w:wordWrap/>
        <w:overflowPunct/>
        <w:topLinePunct w:val="0"/>
        <w:autoSpaceDE w:val="0"/>
        <w:autoSpaceDN w:val="0"/>
        <w:bidi w:val="0"/>
        <w:adjustRightInd w:val="0"/>
        <w:spacing w:line="360" w:lineRule="auto"/>
        <w:ind w:firstLine="54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、乙方的权利</w:t>
      </w:r>
    </w:p>
    <w:p w14:paraId="76FB86F1">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b/>
          <w:color w:val="auto"/>
          <w:kern w:val="0"/>
          <w:sz w:val="21"/>
          <w:szCs w:val="21"/>
          <w:highlight w:val="none"/>
          <w:u w:val="single"/>
          <w:lang w:val="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.1 乙方拥有的权利：</w:t>
      </w:r>
      <w:r>
        <w:rPr>
          <w:rFonts w:hint="eastAsia" w:ascii="宋体" w:hAnsi="宋体" w:eastAsia="宋体" w:cs="宋体"/>
          <w:b/>
          <w:color w:val="auto"/>
          <w:kern w:val="0"/>
          <w:sz w:val="21"/>
          <w:szCs w:val="21"/>
          <w:highlight w:val="none"/>
          <w:u w:val="single"/>
          <w:lang w:val="zh-CN"/>
        </w:rPr>
        <w:t>按合同通用条款约定。</w:t>
      </w:r>
    </w:p>
    <w:p w14:paraId="1CB70752">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.2 乙方拥有的其他权利：</w:t>
      </w:r>
      <w:r>
        <w:rPr>
          <w:rFonts w:hint="eastAsia" w:ascii="宋体" w:hAnsi="宋体" w:eastAsia="宋体" w:cs="宋体"/>
          <w:b/>
          <w:color w:val="auto"/>
          <w:kern w:val="0"/>
          <w:sz w:val="21"/>
          <w:szCs w:val="21"/>
          <w:highlight w:val="none"/>
          <w:u w:val="single"/>
          <w:lang w:val="zh-CN"/>
        </w:rPr>
        <w:t>拒绝违反国家法律、法规和规章以及建设行政主管部门、有关行政主管部门规定的人为干预；依据国家有关法律法规的规定，在授权范围内办理招标代理工作；与甲方协商，建议更换其不称职或有其它原因不宜参与招标活动的甲方人员。</w:t>
      </w:r>
    </w:p>
    <w:p w14:paraId="0E737B4D">
      <w:pPr>
        <w:keepNext w:val="0"/>
        <w:keepLines w:val="0"/>
        <w:tabs>
          <w:tab w:val="left" w:pos="540"/>
        </w:tabs>
        <w:kinsoku/>
        <w:wordWrap/>
        <w:overflowPunct/>
        <w:topLinePunct w:val="0"/>
        <w:autoSpaceDE w:val="0"/>
        <w:autoSpaceDN w:val="0"/>
        <w:bidi w:val="0"/>
        <w:adjustRightInd w:val="0"/>
        <w:spacing w:line="360" w:lineRule="auto"/>
        <w:ind w:firstLine="540"/>
        <w:textAlignment w:val="auto"/>
        <w:outlineLvl w:val="2"/>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三、委托代理报酬与收取</w:t>
      </w:r>
    </w:p>
    <w:p w14:paraId="0C00DBF6">
      <w:pPr>
        <w:keepNext w:val="0"/>
        <w:keepLines w:val="0"/>
        <w:tabs>
          <w:tab w:val="left" w:pos="540"/>
        </w:tabs>
        <w:kinsoku/>
        <w:wordWrap/>
        <w:overflowPunct/>
        <w:topLinePunct w:val="0"/>
        <w:autoSpaceDE w:val="0"/>
        <w:autoSpaceDN w:val="0"/>
        <w:bidi w:val="0"/>
        <w:adjustRightInd w:val="0"/>
        <w:spacing w:line="360" w:lineRule="auto"/>
        <w:ind w:firstLine="540"/>
        <w:textAlignment w:val="auto"/>
        <w:outlineLvl w:val="2"/>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8、委托代理报酬</w:t>
      </w:r>
    </w:p>
    <w:p w14:paraId="3DC1125F">
      <w:pPr>
        <w:tabs>
          <w:tab w:val="left" w:pos="540"/>
        </w:tabs>
        <w:autoSpaceDE w:val="0"/>
        <w:autoSpaceDN w:val="0"/>
        <w:adjustRightInd w:val="0"/>
        <w:spacing w:line="360" w:lineRule="auto"/>
        <w:ind w:firstLine="540"/>
        <w:outlineLvl w:val="2"/>
        <w:rPr>
          <w:rFonts w:hint="eastAsia" w:ascii="宋体" w:hAnsi="宋体" w:eastAsia="宋体" w:cs="宋体"/>
          <w:b w:val="0"/>
          <w:color w:val="auto"/>
          <w:kern w:val="0"/>
          <w:sz w:val="21"/>
          <w:szCs w:val="21"/>
          <w:highlight w:val="none"/>
          <w:u w:val="none"/>
          <w:lang w:val="en-US"/>
        </w:rPr>
      </w:pPr>
      <w:r>
        <w:rPr>
          <w:rFonts w:hint="eastAsia" w:ascii="宋体" w:hAnsi="宋体" w:cs="宋体"/>
          <w:color w:val="auto"/>
          <w:sz w:val="21"/>
          <w:szCs w:val="21"/>
          <w:highlight w:val="none"/>
          <w:lang w:val="en-US" w:eastAsia="zh-CN"/>
        </w:rPr>
        <w:t>8.1代理报酬的计算方法：</w:t>
      </w:r>
      <w:r>
        <w:rPr>
          <w:rFonts w:hint="eastAsia" w:ascii="宋体" w:hAnsi="宋体" w:eastAsia="宋体" w:cs="宋体"/>
          <w:b w:val="0"/>
          <w:color w:val="auto"/>
          <w:kern w:val="0"/>
          <w:sz w:val="21"/>
          <w:szCs w:val="21"/>
          <w:highlight w:val="none"/>
          <w:u w:val="single"/>
          <w:lang w:val="en-US"/>
        </w:rPr>
        <w:t>按</w:t>
      </w:r>
      <w:r>
        <w:rPr>
          <w:rFonts w:hint="eastAsia" w:ascii="宋体" w:hAnsi="宋体" w:cs="宋体"/>
          <w:color w:val="auto"/>
          <w:szCs w:val="21"/>
          <w:highlight w:val="none"/>
          <w:u w:val="single"/>
        </w:rPr>
        <w:t>代理项目</w:t>
      </w:r>
      <w:r>
        <w:rPr>
          <w:rFonts w:hint="eastAsia" w:ascii="宋体" w:hAnsi="宋体" w:eastAsia="宋体" w:cs="宋体"/>
          <w:b w:val="0"/>
          <w:color w:val="auto"/>
          <w:kern w:val="0"/>
          <w:sz w:val="21"/>
          <w:szCs w:val="21"/>
          <w:highlight w:val="none"/>
          <w:u w:val="single"/>
          <w:lang w:val="en-US"/>
        </w:rPr>
        <w:t>中标金额数为基数，按国家计委《招标代理服务收费管理暂行办法》（计价格[2002]1980号）及《国家发展改革委关于降低部分建设项目收费标准规范收费行为等有关问题的通知》（发改价格[2011]534号）规定标准乘以乘以中标服务费系数计取代理报酬（若工程分为若干标段进行招标的，则分别按各标段中标合同价计算代理报酬），收费标准摘录如下表所列（按差额定率累进法计算收取）</w:t>
      </w:r>
    </w:p>
    <w:p w14:paraId="17299C2E">
      <w:pPr>
        <w:autoSpaceDE w:val="0"/>
        <w:autoSpaceDN w:val="0"/>
        <w:adjustRightInd w:val="0"/>
        <w:spacing w:line="540" w:lineRule="exact"/>
        <w:jc w:val="center"/>
        <w:rPr>
          <w:rFonts w:ascii="仿宋" w:hAnsi="仿宋" w:eastAsia="仿宋"/>
          <w:b/>
          <w:color w:val="auto"/>
          <w:sz w:val="24"/>
          <w:highlight w:val="none"/>
          <w:lang w:val="zh-CN"/>
        </w:rPr>
      </w:pPr>
      <w:r>
        <w:rPr>
          <w:rFonts w:hint="eastAsia" w:ascii="仿宋" w:hAnsi="仿宋" w:eastAsia="仿宋"/>
          <w:b/>
          <w:color w:val="auto"/>
          <w:sz w:val="24"/>
          <w:highlight w:val="none"/>
          <w:lang w:val="zh-CN"/>
        </w:rPr>
        <w:t>招标代理服务收费标准(费率)</w:t>
      </w:r>
    </w:p>
    <w:tbl>
      <w:tblPr>
        <w:tblStyle w:val="53"/>
        <w:tblW w:w="4803"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115"/>
        <w:gridCol w:w="1467"/>
        <w:gridCol w:w="1713"/>
        <w:gridCol w:w="1713"/>
      </w:tblGrid>
      <w:tr w14:paraId="5DC5CF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Header/>
          <w:tblCellSpacing w:w="0" w:type="dxa"/>
          <w:jc w:val="center"/>
        </w:trPr>
        <w:tc>
          <w:tcPr>
            <w:tcW w:w="3309" w:type="dxa"/>
            <w:tcBorders>
              <w:top w:val="outset" w:color="auto" w:sz="6" w:space="0"/>
              <w:left w:val="outset" w:color="auto" w:sz="6" w:space="0"/>
              <w:bottom w:val="outset" w:color="auto" w:sz="6" w:space="0"/>
              <w:right w:val="outset" w:color="auto" w:sz="6" w:space="0"/>
            </w:tcBorders>
            <w:vAlign w:val="center"/>
          </w:tcPr>
          <w:p w14:paraId="072437EF">
            <w:pPr>
              <w:autoSpaceDE w:val="0"/>
              <w:autoSpaceDN w:val="0"/>
              <w:adjustRightInd w:val="0"/>
              <w:spacing w:line="540" w:lineRule="exact"/>
              <w:jc w:val="center"/>
              <w:rPr>
                <w:rFonts w:ascii="仿宋" w:hAnsi="仿宋" w:eastAsia="仿宋"/>
                <w:b/>
                <w:color w:val="auto"/>
                <w:sz w:val="24"/>
                <w:highlight w:val="none"/>
                <w:lang w:val="zh-CN"/>
              </w:rPr>
            </w:pPr>
            <w:r>
              <w:rPr>
                <w:rFonts w:hint="eastAsia" w:ascii="仿宋" w:hAnsi="仿宋" w:eastAsia="仿宋"/>
                <w:b/>
                <w:color w:val="auto"/>
                <w:sz w:val="24"/>
                <w:highlight w:val="none"/>
                <w:lang w:val="zh-CN"/>
              </w:rPr>
              <w:t>服务类型中标金额（万元）</w:t>
            </w:r>
          </w:p>
        </w:tc>
        <w:tc>
          <w:tcPr>
            <w:tcW w:w="1583" w:type="dxa"/>
            <w:tcBorders>
              <w:top w:val="outset" w:color="auto" w:sz="6" w:space="0"/>
              <w:left w:val="outset" w:color="auto" w:sz="6" w:space="0"/>
              <w:bottom w:val="outset" w:color="auto" w:sz="6" w:space="0"/>
              <w:right w:val="outset" w:color="auto" w:sz="6" w:space="0"/>
            </w:tcBorders>
            <w:vAlign w:val="center"/>
          </w:tcPr>
          <w:p w14:paraId="64521B51">
            <w:pPr>
              <w:autoSpaceDE w:val="0"/>
              <w:autoSpaceDN w:val="0"/>
              <w:adjustRightInd w:val="0"/>
              <w:spacing w:line="540" w:lineRule="exact"/>
              <w:jc w:val="center"/>
              <w:rPr>
                <w:rFonts w:ascii="仿宋" w:hAnsi="仿宋" w:eastAsia="仿宋"/>
                <w:b/>
                <w:color w:val="auto"/>
                <w:sz w:val="24"/>
                <w:highlight w:val="none"/>
                <w:lang w:val="zh-CN"/>
              </w:rPr>
            </w:pPr>
            <w:r>
              <w:rPr>
                <w:rFonts w:hint="eastAsia" w:ascii="仿宋" w:hAnsi="仿宋" w:eastAsia="仿宋"/>
                <w:b/>
                <w:color w:val="auto"/>
                <w:sz w:val="24"/>
                <w:highlight w:val="none"/>
                <w:lang w:val="zh-CN"/>
              </w:rPr>
              <w:t>货物招标</w:t>
            </w:r>
          </w:p>
        </w:tc>
        <w:tc>
          <w:tcPr>
            <w:tcW w:w="1925" w:type="dxa"/>
            <w:tcBorders>
              <w:top w:val="outset" w:color="auto" w:sz="6" w:space="0"/>
              <w:left w:val="outset" w:color="auto" w:sz="6" w:space="0"/>
              <w:bottom w:val="outset" w:color="auto" w:sz="6" w:space="0"/>
              <w:right w:val="outset" w:color="auto" w:sz="6" w:space="0"/>
            </w:tcBorders>
            <w:vAlign w:val="center"/>
          </w:tcPr>
          <w:p w14:paraId="22B7D583">
            <w:pPr>
              <w:autoSpaceDE w:val="0"/>
              <w:autoSpaceDN w:val="0"/>
              <w:adjustRightInd w:val="0"/>
              <w:spacing w:line="540" w:lineRule="exact"/>
              <w:jc w:val="center"/>
              <w:rPr>
                <w:rFonts w:ascii="仿宋" w:hAnsi="仿宋" w:eastAsia="仿宋"/>
                <w:b/>
                <w:color w:val="auto"/>
                <w:sz w:val="24"/>
                <w:highlight w:val="none"/>
                <w:lang w:val="zh-CN"/>
              </w:rPr>
            </w:pPr>
            <w:r>
              <w:rPr>
                <w:rFonts w:hint="eastAsia" w:ascii="仿宋" w:hAnsi="仿宋" w:eastAsia="仿宋"/>
                <w:b/>
                <w:color w:val="auto"/>
                <w:sz w:val="24"/>
                <w:highlight w:val="none"/>
                <w:lang w:val="zh-CN"/>
              </w:rPr>
              <w:t>服务招标</w:t>
            </w:r>
          </w:p>
        </w:tc>
        <w:tc>
          <w:tcPr>
            <w:tcW w:w="1925" w:type="dxa"/>
            <w:tcBorders>
              <w:top w:val="outset" w:color="auto" w:sz="6" w:space="0"/>
              <w:left w:val="outset" w:color="auto" w:sz="6" w:space="0"/>
              <w:bottom w:val="outset" w:color="auto" w:sz="6" w:space="0"/>
              <w:right w:val="outset" w:color="auto" w:sz="6" w:space="0"/>
            </w:tcBorders>
            <w:vAlign w:val="center"/>
          </w:tcPr>
          <w:p w14:paraId="0D622D84">
            <w:pPr>
              <w:autoSpaceDE w:val="0"/>
              <w:autoSpaceDN w:val="0"/>
              <w:adjustRightInd w:val="0"/>
              <w:spacing w:line="540" w:lineRule="exact"/>
              <w:jc w:val="center"/>
              <w:rPr>
                <w:rFonts w:ascii="仿宋" w:hAnsi="仿宋" w:eastAsia="仿宋"/>
                <w:b/>
                <w:color w:val="auto"/>
                <w:sz w:val="24"/>
                <w:highlight w:val="none"/>
                <w:lang w:val="zh-CN"/>
              </w:rPr>
            </w:pPr>
            <w:r>
              <w:rPr>
                <w:rFonts w:hint="eastAsia" w:ascii="仿宋" w:hAnsi="仿宋" w:eastAsia="仿宋"/>
                <w:b/>
                <w:color w:val="auto"/>
                <w:sz w:val="24"/>
                <w:highlight w:val="none"/>
                <w:lang w:val="zh-CN"/>
              </w:rPr>
              <w:t>工程招标</w:t>
            </w:r>
          </w:p>
        </w:tc>
      </w:tr>
      <w:tr w14:paraId="54EFDD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309" w:type="dxa"/>
            <w:tcBorders>
              <w:top w:val="outset" w:color="auto" w:sz="6" w:space="0"/>
              <w:left w:val="outset" w:color="auto" w:sz="6" w:space="0"/>
              <w:bottom w:val="outset" w:color="auto" w:sz="6" w:space="0"/>
              <w:right w:val="outset" w:color="auto" w:sz="6" w:space="0"/>
            </w:tcBorders>
            <w:vAlign w:val="center"/>
          </w:tcPr>
          <w:p w14:paraId="4A3939B9">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100以下</w:t>
            </w:r>
          </w:p>
        </w:tc>
        <w:tc>
          <w:tcPr>
            <w:tcW w:w="1583" w:type="dxa"/>
            <w:tcBorders>
              <w:top w:val="outset" w:color="auto" w:sz="6" w:space="0"/>
              <w:left w:val="outset" w:color="auto" w:sz="6" w:space="0"/>
              <w:bottom w:val="outset" w:color="auto" w:sz="6" w:space="0"/>
              <w:right w:val="outset" w:color="auto" w:sz="6" w:space="0"/>
            </w:tcBorders>
            <w:vAlign w:val="center"/>
          </w:tcPr>
          <w:p w14:paraId="2346F1F3">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1.5％</w:t>
            </w:r>
          </w:p>
        </w:tc>
        <w:tc>
          <w:tcPr>
            <w:tcW w:w="1925" w:type="dxa"/>
            <w:tcBorders>
              <w:top w:val="outset" w:color="auto" w:sz="6" w:space="0"/>
              <w:left w:val="outset" w:color="auto" w:sz="6" w:space="0"/>
              <w:bottom w:val="outset" w:color="auto" w:sz="6" w:space="0"/>
              <w:right w:val="outset" w:color="auto" w:sz="6" w:space="0"/>
            </w:tcBorders>
            <w:vAlign w:val="center"/>
          </w:tcPr>
          <w:p w14:paraId="36D99EB3">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1.5％</w:t>
            </w:r>
          </w:p>
        </w:tc>
        <w:tc>
          <w:tcPr>
            <w:tcW w:w="1925" w:type="dxa"/>
            <w:tcBorders>
              <w:top w:val="outset" w:color="auto" w:sz="6" w:space="0"/>
              <w:left w:val="outset" w:color="auto" w:sz="6" w:space="0"/>
              <w:bottom w:val="outset" w:color="auto" w:sz="6" w:space="0"/>
              <w:right w:val="outset" w:color="auto" w:sz="6" w:space="0"/>
            </w:tcBorders>
            <w:vAlign w:val="center"/>
          </w:tcPr>
          <w:p w14:paraId="4913BB3C">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1.0％</w:t>
            </w:r>
          </w:p>
        </w:tc>
      </w:tr>
      <w:tr w14:paraId="63657B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309" w:type="dxa"/>
            <w:tcBorders>
              <w:top w:val="outset" w:color="auto" w:sz="6" w:space="0"/>
              <w:left w:val="outset" w:color="auto" w:sz="6" w:space="0"/>
              <w:bottom w:val="outset" w:color="auto" w:sz="6" w:space="0"/>
              <w:right w:val="outset" w:color="auto" w:sz="6" w:space="0"/>
            </w:tcBorders>
            <w:vAlign w:val="center"/>
          </w:tcPr>
          <w:p w14:paraId="01F68270">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100—500</w:t>
            </w:r>
          </w:p>
        </w:tc>
        <w:tc>
          <w:tcPr>
            <w:tcW w:w="1583" w:type="dxa"/>
            <w:tcBorders>
              <w:top w:val="outset" w:color="auto" w:sz="6" w:space="0"/>
              <w:left w:val="outset" w:color="auto" w:sz="6" w:space="0"/>
              <w:bottom w:val="outset" w:color="auto" w:sz="6" w:space="0"/>
              <w:right w:val="outset" w:color="auto" w:sz="6" w:space="0"/>
            </w:tcBorders>
            <w:vAlign w:val="center"/>
          </w:tcPr>
          <w:p w14:paraId="6B9DBAAC">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1.1％</w:t>
            </w:r>
          </w:p>
        </w:tc>
        <w:tc>
          <w:tcPr>
            <w:tcW w:w="1925" w:type="dxa"/>
            <w:tcBorders>
              <w:top w:val="outset" w:color="auto" w:sz="6" w:space="0"/>
              <w:left w:val="outset" w:color="auto" w:sz="6" w:space="0"/>
              <w:bottom w:val="outset" w:color="auto" w:sz="6" w:space="0"/>
              <w:right w:val="outset" w:color="auto" w:sz="6" w:space="0"/>
            </w:tcBorders>
            <w:vAlign w:val="center"/>
          </w:tcPr>
          <w:p w14:paraId="071EB5C7">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0.8％</w:t>
            </w:r>
          </w:p>
        </w:tc>
        <w:tc>
          <w:tcPr>
            <w:tcW w:w="1925" w:type="dxa"/>
            <w:tcBorders>
              <w:top w:val="outset" w:color="auto" w:sz="6" w:space="0"/>
              <w:left w:val="outset" w:color="auto" w:sz="6" w:space="0"/>
              <w:bottom w:val="outset" w:color="auto" w:sz="6" w:space="0"/>
              <w:right w:val="outset" w:color="auto" w:sz="6" w:space="0"/>
            </w:tcBorders>
            <w:vAlign w:val="center"/>
          </w:tcPr>
          <w:p w14:paraId="72E935CE">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0.7％</w:t>
            </w:r>
          </w:p>
        </w:tc>
      </w:tr>
      <w:tr w14:paraId="155219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309" w:type="dxa"/>
            <w:tcBorders>
              <w:top w:val="outset" w:color="auto" w:sz="6" w:space="0"/>
              <w:left w:val="outset" w:color="auto" w:sz="6" w:space="0"/>
              <w:bottom w:val="outset" w:color="auto" w:sz="6" w:space="0"/>
              <w:right w:val="outset" w:color="auto" w:sz="6" w:space="0"/>
            </w:tcBorders>
            <w:vAlign w:val="center"/>
          </w:tcPr>
          <w:p w14:paraId="0832E870">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500—1000</w:t>
            </w:r>
          </w:p>
        </w:tc>
        <w:tc>
          <w:tcPr>
            <w:tcW w:w="1583" w:type="dxa"/>
            <w:tcBorders>
              <w:top w:val="outset" w:color="auto" w:sz="6" w:space="0"/>
              <w:left w:val="outset" w:color="auto" w:sz="6" w:space="0"/>
              <w:bottom w:val="outset" w:color="auto" w:sz="6" w:space="0"/>
              <w:right w:val="outset" w:color="auto" w:sz="6" w:space="0"/>
            </w:tcBorders>
            <w:vAlign w:val="center"/>
          </w:tcPr>
          <w:p w14:paraId="10E2CD87">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0.8％</w:t>
            </w:r>
          </w:p>
        </w:tc>
        <w:tc>
          <w:tcPr>
            <w:tcW w:w="1925" w:type="dxa"/>
            <w:tcBorders>
              <w:top w:val="outset" w:color="auto" w:sz="6" w:space="0"/>
              <w:left w:val="outset" w:color="auto" w:sz="6" w:space="0"/>
              <w:bottom w:val="outset" w:color="auto" w:sz="6" w:space="0"/>
              <w:right w:val="outset" w:color="auto" w:sz="6" w:space="0"/>
            </w:tcBorders>
            <w:vAlign w:val="center"/>
          </w:tcPr>
          <w:p w14:paraId="55AD8041">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0.45％</w:t>
            </w:r>
          </w:p>
        </w:tc>
        <w:tc>
          <w:tcPr>
            <w:tcW w:w="1925" w:type="dxa"/>
            <w:tcBorders>
              <w:top w:val="outset" w:color="auto" w:sz="6" w:space="0"/>
              <w:left w:val="outset" w:color="auto" w:sz="6" w:space="0"/>
              <w:bottom w:val="outset" w:color="auto" w:sz="6" w:space="0"/>
              <w:right w:val="outset" w:color="auto" w:sz="6" w:space="0"/>
            </w:tcBorders>
            <w:vAlign w:val="center"/>
          </w:tcPr>
          <w:p w14:paraId="46B56101">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0.55％</w:t>
            </w:r>
          </w:p>
        </w:tc>
      </w:tr>
      <w:tr w14:paraId="6A8B82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309" w:type="dxa"/>
            <w:tcBorders>
              <w:top w:val="outset" w:color="auto" w:sz="6" w:space="0"/>
              <w:left w:val="outset" w:color="auto" w:sz="6" w:space="0"/>
              <w:bottom w:val="outset" w:color="auto" w:sz="6" w:space="0"/>
              <w:right w:val="outset" w:color="auto" w:sz="6" w:space="0"/>
            </w:tcBorders>
            <w:vAlign w:val="center"/>
          </w:tcPr>
          <w:p w14:paraId="506275DF">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1000—5000</w:t>
            </w:r>
          </w:p>
        </w:tc>
        <w:tc>
          <w:tcPr>
            <w:tcW w:w="1583" w:type="dxa"/>
            <w:tcBorders>
              <w:top w:val="outset" w:color="auto" w:sz="6" w:space="0"/>
              <w:left w:val="outset" w:color="auto" w:sz="6" w:space="0"/>
              <w:bottom w:val="outset" w:color="auto" w:sz="6" w:space="0"/>
              <w:right w:val="outset" w:color="auto" w:sz="6" w:space="0"/>
            </w:tcBorders>
            <w:vAlign w:val="center"/>
          </w:tcPr>
          <w:p w14:paraId="1E115D43">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0.5％</w:t>
            </w:r>
          </w:p>
        </w:tc>
        <w:tc>
          <w:tcPr>
            <w:tcW w:w="1925" w:type="dxa"/>
            <w:tcBorders>
              <w:top w:val="outset" w:color="auto" w:sz="6" w:space="0"/>
              <w:left w:val="outset" w:color="auto" w:sz="6" w:space="0"/>
              <w:bottom w:val="outset" w:color="auto" w:sz="6" w:space="0"/>
              <w:right w:val="outset" w:color="auto" w:sz="6" w:space="0"/>
            </w:tcBorders>
            <w:vAlign w:val="center"/>
          </w:tcPr>
          <w:p w14:paraId="76002F4D">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0.25％</w:t>
            </w:r>
          </w:p>
        </w:tc>
        <w:tc>
          <w:tcPr>
            <w:tcW w:w="1925" w:type="dxa"/>
            <w:tcBorders>
              <w:top w:val="outset" w:color="auto" w:sz="6" w:space="0"/>
              <w:left w:val="outset" w:color="auto" w:sz="6" w:space="0"/>
              <w:bottom w:val="outset" w:color="auto" w:sz="6" w:space="0"/>
              <w:right w:val="outset" w:color="auto" w:sz="6" w:space="0"/>
            </w:tcBorders>
            <w:vAlign w:val="center"/>
          </w:tcPr>
          <w:p w14:paraId="1963C5FF">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0.35％</w:t>
            </w:r>
          </w:p>
        </w:tc>
      </w:tr>
      <w:tr w14:paraId="71C4DA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309" w:type="dxa"/>
            <w:tcBorders>
              <w:top w:val="outset" w:color="auto" w:sz="6" w:space="0"/>
              <w:left w:val="outset" w:color="auto" w:sz="6" w:space="0"/>
              <w:bottom w:val="outset" w:color="auto" w:sz="6" w:space="0"/>
              <w:right w:val="outset" w:color="auto" w:sz="6" w:space="0"/>
            </w:tcBorders>
            <w:vAlign w:val="center"/>
          </w:tcPr>
          <w:p w14:paraId="51F1BDFC">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5000—10000</w:t>
            </w:r>
          </w:p>
        </w:tc>
        <w:tc>
          <w:tcPr>
            <w:tcW w:w="1583" w:type="dxa"/>
            <w:tcBorders>
              <w:top w:val="outset" w:color="auto" w:sz="6" w:space="0"/>
              <w:left w:val="outset" w:color="auto" w:sz="6" w:space="0"/>
              <w:bottom w:val="outset" w:color="auto" w:sz="6" w:space="0"/>
              <w:right w:val="outset" w:color="auto" w:sz="6" w:space="0"/>
            </w:tcBorders>
            <w:vAlign w:val="center"/>
          </w:tcPr>
          <w:p w14:paraId="30848B3E">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0.25％</w:t>
            </w:r>
          </w:p>
        </w:tc>
        <w:tc>
          <w:tcPr>
            <w:tcW w:w="1925" w:type="dxa"/>
            <w:tcBorders>
              <w:top w:val="outset" w:color="auto" w:sz="6" w:space="0"/>
              <w:left w:val="outset" w:color="auto" w:sz="6" w:space="0"/>
              <w:bottom w:val="outset" w:color="auto" w:sz="6" w:space="0"/>
              <w:right w:val="outset" w:color="auto" w:sz="6" w:space="0"/>
            </w:tcBorders>
            <w:vAlign w:val="center"/>
          </w:tcPr>
          <w:p w14:paraId="58DB9E72">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0.1％</w:t>
            </w:r>
          </w:p>
        </w:tc>
        <w:tc>
          <w:tcPr>
            <w:tcW w:w="1925" w:type="dxa"/>
            <w:tcBorders>
              <w:top w:val="outset" w:color="auto" w:sz="6" w:space="0"/>
              <w:left w:val="outset" w:color="auto" w:sz="6" w:space="0"/>
              <w:bottom w:val="outset" w:color="auto" w:sz="6" w:space="0"/>
              <w:right w:val="outset" w:color="auto" w:sz="6" w:space="0"/>
            </w:tcBorders>
            <w:vAlign w:val="center"/>
          </w:tcPr>
          <w:p w14:paraId="6ACC79A2">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0.2％</w:t>
            </w:r>
          </w:p>
        </w:tc>
      </w:tr>
      <w:tr w14:paraId="35D00F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309" w:type="dxa"/>
            <w:tcBorders>
              <w:top w:val="outset" w:color="auto" w:sz="6" w:space="0"/>
              <w:left w:val="outset" w:color="auto" w:sz="6" w:space="0"/>
              <w:bottom w:val="outset" w:color="auto" w:sz="6" w:space="0"/>
              <w:right w:val="outset" w:color="auto" w:sz="6" w:space="0"/>
            </w:tcBorders>
            <w:vAlign w:val="center"/>
          </w:tcPr>
          <w:p w14:paraId="72AA4772">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10000——50000</w:t>
            </w:r>
          </w:p>
        </w:tc>
        <w:tc>
          <w:tcPr>
            <w:tcW w:w="1583" w:type="dxa"/>
            <w:tcBorders>
              <w:top w:val="outset" w:color="auto" w:sz="6" w:space="0"/>
              <w:left w:val="outset" w:color="auto" w:sz="6" w:space="0"/>
              <w:bottom w:val="outset" w:color="auto" w:sz="6" w:space="0"/>
              <w:right w:val="outset" w:color="auto" w:sz="6" w:space="0"/>
            </w:tcBorders>
            <w:vAlign w:val="center"/>
          </w:tcPr>
          <w:p w14:paraId="0BA26135">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0.05％</w:t>
            </w:r>
          </w:p>
        </w:tc>
        <w:tc>
          <w:tcPr>
            <w:tcW w:w="1925" w:type="dxa"/>
            <w:tcBorders>
              <w:top w:val="outset" w:color="auto" w:sz="6" w:space="0"/>
              <w:left w:val="outset" w:color="auto" w:sz="6" w:space="0"/>
              <w:bottom w:val="outset" w:color="auto" w:sz="6" w:space="0"/>
              <w:right w:val="outset" w:color="auto" w:sz="6" w:space="0"/>
            </w:tcBorders>
            <w:vAlign w:val="center"/>
          </w:tcPr>
          <w:p w14:paraId="681BE6FA">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0.05％</w:t>
            </w:r>
          </w:p>
        </w:tc>
        <w:tc>
          <w:tcPr>
            <w:tcW w:w="1925" w:type="dxa"/>
            <w:tcBorders>
              <w:top w:val="outset" w:color="auto" w:sz="6" w:space="0"/>
              <w:left w:val="outset" w:color="auto" w:sz="6" w:space="0"/>
              <w:bottom w:val="outset" w:color="auto" w:sz="6" w:space="0"/>
              <w:right w:val="outset" w:color="auto" w:sz="6" w:space="0"/>
            </w:tcBorders>
            <w:vAlign w:val="center"/>
          </w:tcPr>
          <w:p w14:paraId="3C9C72A3">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0.05％</w:t>
            </w:r>
          </w:p>
        </w:tc>
      </w:tr>
      <w:tr w14:paraId="37B3D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309" w:type="dxa"/>
            <w:tcBorders>
              <w:top w:val="outset" w:color="auto" w:sz="6" w:space="0"/>
              <w:left w:val="outset" w:color="auto" w:sz="6" w:space="0"/>
              <w:bottom w:val="outset" w:color="auto" w:sz="6" w:space="0"/>
              <w:right w:val="outset" w:color="auto" w:sz="6" w:space="0"/>
            </w:tcBorders>
            <w:vAlign w:val="center"/>
          </w:tcPr>
          <w:p w14:paraId="3F4C6883">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50000——100000</w:t>
            </w:r>
          </w:p>
        </w:tc>
        <w:tc>
          <w:tcPr>
            <w:tcW w:w="1583" w:type="dxa"/>
            <w:tcBorders>
              <w:top w:val="outset" w:color="auto" w:sz="6" w:space="0"/>
              <w:left w:val="outset" w:color="auto" w:sz="6" w:space="0"/>
              <w:bottom w:val="outset" w:color="auto" w:sz="6" w:space="0"/>
              <w:right w:val="outset" w:color="auto" w:sz="6" w:space="0"/>
            </w:tcBorders>
            <w:vAlign w:val="center"/>
          </w:tcPr>
          <w:p w14:paraId="0CD9A82A">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0.035％</w:t>
            </w:r>
          </w:p>
        </w:tc>
        <w:tc>
          <w:tcPr>
            <w:tcW w:w="1925" w:type="dxa"/>
            <w:tcBorders>
              <w:top w:val="outset" w:color="auto" w:sz="6" w:space="0"/>
              <w:left w:val="outset" w:color="auto" w:sz="6" w:space="0"/>
              <w:bottom w:val="outset" w:color="auto" w:sz="6" w:space="0"/>
              <w:right w:val="outset" w:color="auto" w:sz="6" w:space="0"/>
            </w:tcBorders>
            <w:vAlign w:val="center"/>
          </w:tcPr>
          <w:p w14:paraId="0DFA263B">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0.035％</w:t>
            </w:r>
          </w:p>
        </w:tc>
        <w:tc>
          <w:tcPr>
            <w:tcW w:w="1925" w:type="dxa"/>
            <w:tcBorders>
              <w:top w:val="outset" w:color="auto" w:sz="6" w:space="0"/>
              <w:left w:val="outset" w:color="auto" w:sz="6" w:space="0"/>
              <w:bottom w:val="outset" w:color="auto" w:sz="6" w:space="0"/>
              <w:right w:val="outset" w:color="auto" w:sz="6" w:space="0"/>
            </w:tcBorders>
            <w:vAlign w:val="center"/>
          </w:tcPr>
          <w:p w14:paraId="1AEFAA0D">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0.035％</w:t>
            </w:r>
          </w:p>
        </w:tc>
      </w:tr>
      <w:tr w14:paraId="189431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309" w:type="dxa"/>
            <w:tcBorders>
              <w:top w:val="outset" w:color="auto" w:sz="6" w:space="0"/>
              <w:left w:val="outset" w:color="auto" w:sz="6" w:space="0"/>
              <w:bottom w:val="outset" w:color="auto" w:sz="6" w:space="0"/>
              <w:right w:val="outset" w:color="auto" w:sz="6" w:space="0"/>
            </w:tcBorders>
            <w:vAlign w:val="center"/>
          </w:tcPr>
          <w:p w14:paraId="6799F2F9">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100000——500000</w:t>
            </w:r>
          </w:p>
        </w:tc>
        <w:tc>
          <w:tcPr>
            <w:tcW w:w="1583" w:type="dxa"/>
            <w:tcBorders>
              <w:top w:val="outset" w:color="auto" w:sz="6" w:space="0"/>
              <w:left w:val="outset" w:color="auto" w:sz="6" w:space="0"/>
              <w:bottom w:val="outset" w:color="auto" w:sz="6" w:space="0"/>
              <w:right w:val="outset" w:color="auto" w:sz="6" w:space="0"/>
            </w:tcBorders>
            <w:vAlign w:val="center"/>
          </w:tcPr>
          <w:p w14:paraId="6484409D">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0.008％</w:t>
            </w:r>
          </w:p>
        </w:tc>
        <w:tc>
          <w:tcPr>
            <w:tcW w:w="1925" w:type="dxa"/>
            <w:tcBorders>
              <w:top w:val="outset" w:color="auto" w:sz="6" w:space="0"/>
              <w:left w:val="outset" w:color="auto" w:sz="6" w:space="0"/>
              <w:bottom w:val="outset" w:color="auto" w:sz="6" w:space="0"/>
              <w:right w:val="outset" w:color="auto" w:sz="6" w:space="0"/>
            </w:tcBorders>
            <w:vAlign w:val="center"/>
          </w:tcPr>
          <w:p w14:paraId="760C4D68">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0.008％</w:t>
            </w:r>
          </w:p>
        </w:tc>
        <w:tc>
          <w:tcPr>
            <w:tcW w:w="1925" w:type="dxa"/>
            <w:tcBorders>
              <w:top w:val="outset" w:color="auto" w:sz="6" w:space="0"/>
              <w:left w:val="outset" w:color="auto" w:sz="6" w:space="0"/>
              <w:bottom w:val="outset" w:color="auto" w:sz="6" w:space="0"/>
              <w:right w:val="outset" w:color="auto" w:sz="6" w:space="0"/>
            </w:tcBorders>
            <w:vAlign w:val="center"/>
          </w:tcPr>
          <w:p w14:paraId="4D1CB010">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0.008％</w:t>
            </w:r>
          </w:p>
        </w:tc>
      </w:tr>
      <w:tr w14:paraId="12AE94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309" w:type="dxa"/>
            <w:tcBorders>
              <w:top w:val="outset" w:color="auto" w:sz="6" w:space="0"/>
              <w:left w:val="outset" w:color="auto" w:sz="6" w:space="0"/>
              <w:bottom w:val="outset" w:color="auto" w:sz="6" w:space="0"/>
              <w:right w:val="outset" w:color="auto" w:sz="6" w:space="0"/>
            </w:tcBorders>
            <w:vAlign w:val="center"/>
          </w:tcPr>
          <w:p w14:paraId="554C99E7">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500000——1000000</w:t>
            </w:r>
          </w:p>
        </w:tc>
        <w:tc>
          <w:tcPr>
            <w:tcW w:w="1583" w:type="dxa"/>
            <w:tcBorders>
              <w:top w:val="outset" w:color="auto" w:sz="6" w:space="0"/>
              <w:left w:val="outset" w:color="auto" w:sz="6" w:space="0"/>
              <w:bottom w:val="outset" w:color="auto" w:sz="6" w:space="0"/>
              <w:right w:val="outset" w:color="auto" w:sz="6" w:space="0"/>
            </w:tcBorders>
            <w:vAlign w:val="center"/>
          </w:tcPr>
          <w:p w14:paraId="438F91E2">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0.006％</w:t>
            </w:r>
          </w:p>
        </w:tc>
        <w:tc>
          <w:tcPr>
            <w:tcW w:w="1925" w:type="dxa"/>
            <w:tcBorders>
              <w:top w:val="outset" w:color="auto" w:sz="6" w:space="0"/>
              <w:left w:val="outset" w:color="auto" w:sz="6" w:space="0"/>
              <w:bottom w:val="outset" w:color="auto" w:sz="6" w:space="0"/>
              <w:right w:val="outset" w:color="auto" w:sz="6" w:space="0"/>
            </w:tcBorders>
            <w:vAlign w:val="center"/>
          </w:tcPr>
          <w:p w14:paraId="4C31A8C7">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0.006％</w:t>
            </w:r>
          </w:p>
        </w:tc>
        <w:tc>
          <w:tcPr>
            <w:tcW w:w="1925" w:type="dxa"/>
            <w:tcBorders>
              <w:top w:val="outset" w:color="auto" w:sz="6" w:space="0"/>
              <w:left w:val="outset" w:color="auto" w:sz="6" w:space="0"/>
              <w:bottom w:val="outset" w:color="auto" w:sz="6" w:space="0"/>
              <w:right w:val="outset" w:color="auto" w:sz="6" w:space="0"/>
            </w:tcBorders>
            <w:vAlign w:val="center"/>
          </w:tcPr>
          <w:p w14:paraId="51AFAF83">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0.006％</w:t>
            </w:r>
          </w:p>
        </w:tc>
      </w:tr>
      <w:tr w14:paraId="0659BD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309" w:type="dxa"/>
            <w:tcBorders>
              <w:top w:val="outset" w:color="auto" w:sz="6" w:space="0"/>
              <w:left w:val="outset" w:color="auto" w:sz="6" w:space="0"/>
              <w:bottom w:val="outset" w:color="auto" w:sz="6" w:space="0"/>
              <w:right w:val="outset" w:color="auto" w:sz="6" w:space="0"/>
            </w:tcBorders>
            <w:vAlign w:val="center"/>
          </w:tcPr>
          <w:p w14:paraId="5131B073">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1000000以上</w:t>
            </w:r>
          </w:p>
        </w:tc>
        <w:tc>
          <w:tcPr>
            <w:tcW w:w="1583" w:type="dxa"/>
            <w:tcBorders>
              <w:top w:val="outset" w:color="auto" w:sz="6" w:space="0"/>
              <w:left w:val="outset" w:color="auto" w:sz="6" w:space="0"/>
              <w:bottom w:val="outset" w:color="auto" w:sz="6" w:space="0"/>
              <w:right w:val="outset" w:color="auto" w:sz="6" w:space="0"/>
            </w:tcBorders>
            <w:vAlign w:val="center"/>
          </w:tcPr>
          <w:p w14:paraId="4FE525DC">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0.004％</w:t>
            </w:r>
          </w:p>
        </w:tc>
        <w:tc>
          <w:tcPr>
            <w:tcW w:w="1925" w:type="dxa"/>
            <w:tcBorders>
              <w:top w:val="outset" w:color="auto" w:sz="6" w:space="0"/>
              <w:left w:val="outset" w:color="auto" w:sz="6" w:space="0"/>
              <w:bottom w:val="outset" w:color="auto" w:sz="6" w:space="0"/>
              <w:right w:val="outset" w:color="auto" w:sz="6" w:space="0"/>
            </w:tcBorders>
            <w:vAlign w:val="center"/>
          </w:tcPr>
          <w:p w14:paraId="110A1BA9">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0.004％</w:t>
            </w:r>
          </w:p>
        </w:tc>
        <w:tc>
          <w:tcPr>
            <w:tcW w:w="1925" w:type="dxa"/>
            <w:tcBorders>
              <w:top w:val="outset" w:color="auto" w:sz="6" w:space="0"/>
              <w:left w:val="outset" w:color="auto" w:sz="6" w:space="0"/>
              <w:bottom w:val="outset" w:color="auto" w:sz="6" w:space="0"/>
              <w:right w:val="outset" w:color="auto" w:sz="6" w:space="0"/>
            </w:tcBorders>
            <w:vAlign w:val="center"/>
          </w:tcPr>
          <w:p w14:paraId="2D5A9071">
            <w:pPr>
              <w:autoSpaceDE w:val="0"/>
              <w:autoSpaceDN w:val="0"/>
              <w:adjustRightInd w:val="0"/>
              <w:spacing w:line="540" w:lineRule="exact"/>
              <w:ind w:firstLine="540"/>
              <w:rPr>
                <w:rFonts w:ascii="仿宋" w:hAnsi="仿宋" w:eastAsia="仿宋"/>
                <w:b/>
                <w:color w:val="auto"/>
                <w:sz w:val="24"/>
                <w:highlight w:val="none"/>
                <w:lang w:val="zh-CN"/>
              </w:rPr>
            </w:pPr>
            <w:r>
              <w:rPr>
                <w:rFonts w:hint="eastAsia" w:ascii="仿宋" w:hAnsi="仿宋" w:eastAsia="仿宋"/>
                <w:b/>
                <w:color w:val="auto"/>
                <w:sz w:val="24"/>
                <w:highlight w:val="none"/>
                <w:lang w:val="zh-CN"/>
              </w:rPr>
              <w:t>0.004％</w:t>
            </w:r>
          </w:p>
        </w:tc>
      </w:tr>
    </w:tbl>
    <w:p w14:paraId="148542F0">
      <w:pPr>
        <w:autoSpaceDE w:val="0"/>
        <w:autoSpaceDN w:val="0"/>
        <w:adjustRightInd w:val="0"/>
        <w:spacing w:line="540" w:lineRule="exact"/>
        <w:ind w:firstLine="482" w:firstLineChars="200"/>
        <w:jc w:val="left"/>
        <w:rPr>
          <w:rFonts w:ascii="仿宋" w:hAnsi="仿宋" w:eastAsia="仿宋"/>
          <w:b/>
          <w:color w:val="auto"/>
          <w:sz w:val="24"/>
          <w:highlight w:val="none"/>
          <w:lang w:val="zh-CN"/>
        </w:rPr>
      </w:pPr>
      <w:r>
        <w:rPr>
          <w:rFonts w:hint="eastAsia" w:ascii="仿宋" w:hAnsi="仿宋" w:eastAsia="仿宋"/>
          <w:b/>
          <w:color w:val="auto"/>
          <w:sz w:val="24"/>
          <w:highlight w:val="none"/>
          <w:lang w:val="zh-CN"/>
        </w:rPr>
        <w:t>注：招标代理服务收费按差额定率累进法计算。例如：某工程</w:t>
      </w:r>
      <w:r>
        <w:rPr>
          <w:rFonts w:ascii="仿宋" w:hAnsi="仿宋" w:eastAsia="仿宋"/>
          <w:b/>
          <w:color w:val="auto"/>
          <w:sz w:val="24"/>
          <w:highlight w:val="none"/>
          <w:lang w:val="zh-CN"/>
        </w:rPr>
        <w:t>类</w:t>
      </w:r>
      <w:r>
        <w:rPr>
          <w:rFonts w:hint="eastAsia" w:ascii="仿宋" w:hAnsi="仿宋" w:eastAsia="仿宋"/>
          <w:b/>
          <w:color w:val="auto"/>
          <w:sz w:val="24"/>
          <w:highlight w:val="none"/>
          <w:lang w:val="zh-CN"/>
        </w:rPr>
        <w:t>招标代理业务中标金额为1000万元，计算招标代理服务费额如下：</w:t>
      </w:r>
    </w:p>
    <w:p w14:paraId="0FD0C1C8">
      <w:pPr>
        <w:autoSpaceDE w:val="0"/>
        <w:autoSpaceDN w:val="0"/>
        <w:adjustRightInd w:val="0"/>
        <w:spacing w:line="540" w:lineRule="exact"/>
        <w:ind w:firstLine="482" w:firstLineChars="200"/>
        <w:jc w:val="left"/>
        <w:rPr>
          <w:rFonts w:ascii="仿宋" w:hAnsi="仿宋" w:eastAsia="仿宋"/>
          <w:b/>
          <w:color w:val="auto"/>
          <w:sz w:val="24"/>
          <w:highlight w:val="none"/>
          <w:lang w:val="zh-CN"/>
        </w:rPr>
      </w:pPr>
      <w:r>
        <w:rPr>
          <w:rFonts w:hint="eastAsia" w:ascii="仿宋" w:hAnsi="仿宋" w:eastAsia="仿宋"/>
          <w:b/>
          <w:color w:val="auto"/>
          <w:sz w:val="24"/>
          <w:highlight w:val="none"/>
          <w:lang w:val="zh-CN"/>
        </w:rPr>
        <w:t>100万元×1％＝1万元</w:t>
      </w:r>
    </w:p>
    <w:p w14:paraId="0D1A4857">
      <w:pPr>
        <w:autoSpaceDE w:val="0"/>
        <w:autoSpaceDN w:val="0"/>
        <w:adjustRightInd w:val="0"/>
        <w:spacing w:line="540" w:lineRule="exact"/>
        <w:ind w:firstLine="482" w:firstLineChars="200"/>
        <w:jc w:val="left"/>
        <w:rPr>
          <w:rFonts w:ascii="仿宋" w:hAnsi="仿宋" w:eastAsia="仿宋"/>
          <w:b/>
          <w:color w:val="auto"/>
          <w:sz w:val="24"/>
          <w:highlight w:val="none"/>
          <w:lang w:val="zh-CN"/>
        </w:rPr>
      </w:pPr>
      <w:r>
        <w:rPr>
          <w:rFonts w:hint="eastAsia" w:ascii="仿宋" w:hAnsi="仿宋" w:eastAsia="仿宋"/>
          <w:b/>
          <w:color w:val="auto"/>
          <w:sz w:val="24"/>
          <w:highlight w:val="none"/>
          <w:lang w:val="zh-CN"/>
        </w:rPr>
        <w:t>（500－100）万元×0.</w:t>
      </w:r>
      <w:r>
        <w:rPr>
          <w:rFonts w:ascii="仿宋" w:hAnsi="仿宋" w:eastAsia="仿宋"/>
          <w:b/>
          <w:color w:val="auto"/>
          <w:sz w:val="24"/>
          <w:highlight w:val="none"/>
          <w:lang w:val="zh-CN"/>
        </w:rPr>
        <w:t>7</w:t>
      </w:r>
      <w:r>
        <w:rPr>
          <w:rFonts w:hint="eastAsia" w:ascii="仿宋" w:hAnsi="仿宋" w:eastAsia="仿宋"/>
          <w:b/>
          <w:color w:val="auto"/>
          <w:sz w:val="24"/>
          <w:highlight w:val="none"/>
          <w:lang w:val="zh-CN"/>
        </w:rPr>
        <w:t>％＝</w:t>
      </w:r>
      <w:r>
        <w:rPr>
          <w:rFonts w:ascii="仿宋" w:hAnsi="仿宋" w:eastAsia="仿宋"/>
          <w:b/>
          <w:color w:val="auto"/>
          <w:sz w:val="24"/>
          <w:highlight w:val="none"/>
          <w:lang w:val="zh-CN"/>
        </w:rPr>
        <w:t>2.8</w:t>
      </w:r>
      <w:r>
        <w:rPr>
          <w:rFonts w:hint="eastAsia" w:ascii="仿宋" w:hAnsi="仿宋" w:eastAsia="仿宋"/>
          <w:b/>
          <w:color w:val="auto"/>
          <w:sz w:val="24"/>
          <w:highlight w:val="none"/>
          <w:lang w:val="zh-CN"/>
        </w:rPr>
        <w:t>万元</w:t>
      </w:r>
    </w:p>
    <w:p w14:paraId="19273F55">
      <w:pPr>
        <w:autoSpaceDE w:val="0"/>
        <w:autoSpaceDN w:val="0"/>
        <w:adjustRightInd w:val="0"/>
        <w:spacing w:line="540" w:lineRule="exact"/>
        <w:ind w:firstLine="482" w:firstLineChars="200"/>
        <w:jc w:val="left"/>
        <w:rPr>
          <w:rFonts w:ascii="仿宋" w:hAnsi="仿宋" w:eastAsia="仿宋"/>
          <w:b/>
          <w:color w:val="auto"/>
          <w:sz w:val="24"/>
          <w:highlight w:val="none"/>
          <w:lang w:val="zh-CN"/>
        </w:rPr>
      </w:pPr>
      <w:r>
        <w:rPr>
          <w:rFonts w:hint="eastAsia" w:ascii="仿宋" w:hAnsi="仿宋" w:eastAsia="仿宋"/>
          <w:b/>
          <w:color w:val="auto"/>
          <w:sz w:val="24"/>
          <w:highlight w:val="none"/>
          <w:lang w:val="zh-CN"/>
        </w:rPr>
        <w:t>（1000－500）万元×0.</w:t>
      </w:r>
      <w:r>
        <w:rPr>
          <w:rFonts w:ascii="仿宋" w:hAnsi="仿宋" w:eastAsia="仿宋"/>
          <w:b/>
          <w:color w:val="auto"/>
          <w:sz w:val="24"/>
          <w:highlight w:val="none"/>
          <w:lang w:val="zh-CN"/>
        </w:rPr>
        <w:t>55</w:t>
      </w:r>
      <w:r>
        <w:rPr>
          <w:rFonts w:hint="eastAsia" w:ascii="仿宋" w:hAnsi="仿宋" w:eastAsia="仿宋"/>
          <w:b/>
          <w:color w:val="auto"/>
          <w:sz w:val="24"/>
          <w:highlight w:val="none"/>
          <w:lang w:val="zh-CN"/>
        </w:rPr>
        <w:t>％＝2.</w:t>
      </w:r>
      <w:r>
        <w:rPr>
          <w:rFonts w:ascii="仿宋" w:hAnsi="仿宋" w:eastAsia="仿宋"/>
          <w:b/>
          <w:color w:val="auto"/>
          <w:sz w:val="24"/>
          <w:highlight w:val="none"/>
          <w:lang w:val="zh-CN"/>
        </w:rPr>
        <w:t>75</w:t>
      </w:r>
      <w:r>
        <w:rPr>
          <w:rFonts w:hint="eastAsia" w:ascii="仿宋" w:hAnsi="仿宋" w:eastAsia="仿宋"/>
          <w:b/>
          <w:color w:val="auto"/>
          <w:sz w:val="24"/>
          <w:highlight w:val="none"/>
          <w:lang w:val="zh-CN"/>
        </w:rPr>
        <w:t>万元</w:t>
      </w:r>
    </w:p>
    <w:p w14:paraId="7D2A2019">
      <w:pPr>
        <w:pStyle w:val="2"/>
        <w:rPr>
          <w:rFonts w:hint="eastAsia" w:ascii="仿宋" w:hAnsi="仿宋" w:eastAsia="仿宋"/>
          <w:b/>
          <w:color w:val="auto"/>
          <w:sz w:val="24"/>
          <w:highlight w:val="none"/>
          <w:lang w:val="zh-CN"/>
        </w:rPr>
      </w:pPr>
      <w:r>
        <w:rPr>
          <w:rFonts w:hint="eastAsia" w:ascii="仿宋" w:hAnsi="仿宋" w:eastAsia="仿宋"/>
          <w:b/>
          <w:color w:val="auto"/>
          <w:sz w:val="24"/>
          <w:highlight w:val="none"/>
          <w:lang w:val="zh-CN"/>
        </w:rPr>
        <w:t>合计收费＝（1＋</w:t>
      </w:r>
      <w:r>
        <w:rPr>
          <w:rFonts w:ascii="仿宋" w:hAnsi="仿宋" w:eastAsia="仿宋"/>
          <w:b/>
          <w:color w:val="auto"/>
          <w:sz w:val="24"/>
          <w:highlight w:val="none"/>
          <w:lang w:val="zh-CN"/>
        </w:rPr>
        <w:t>2.8</w:t>
      </w:r>
      <w:r>
        <w:rPr>
          <w:rFonts w:hint="eastAsia" w:ascii="仿宋" w:hAnsi="仿宋" w:eastAsia="仿宋"/>
          <w:b/>
          <w:color w:val="auto"/>
          <w:sz w:val="24"/>
          <w:highlight w:val="none"/>
          <w:lang w:val="zh-CN"/>
        </w:rPr>
        <w:t>＋2.</w:t>
      </w:r>
      <w:r>
        <w:rPr>
          <w:rFonts w:ascii="仿宋" w:hAnsi="仿宋" w:eastAsia="仿宋"/>
          <w:b/>
          <w:color w:val="auto"/>
          <w:sz w:val="24"/>
          <w:highlight w:val="none"/>
          <w:lang w:val="zh-CN"/>
        </w:rPr>
        <w:t>75</w:t>
      </w:r>
      <w:r>
        <w:rPr>
          <w:rFonts w:hint="eastAsia" w:ascii="仿宋" w:hAnsi="仿宋" w:eastAsia="仿宋"/>
          <w:b/>
          <w:color w:val="auto"/>
          <w:sz w:val="24"/>
          <w:highlight w:val="none"/>
          <w:lang w:val="zh-CN"/>
        </w:rPr>
        <w:t>）</w:t>
      </w:r>
      <w:r>
        <w:rPr>
          <w:rFonts w:hint="eastAsia" w:ascii="仿宋" w:hAnsi="仿宋" w:eastAsia="仿宋"/>
          <w:b/>
          <w:color w:val="auto"/>
          <w:sz w:val="24"/>
          <w:highlight w:val="none"/>
        </w:rPr>
        <w:t>*0.7</w:t>
      </w:r>
      <w:r>
        <w:rPr>
          <w:rFonts w:hint="eastAsia" w:ascii="仿宋" w:hAnsi="仿宋" w:eastAsia="仿宋"/>
          <w:b/>
          <w:color w:val="auto"/>
          <w:sz w:val="24"/>
          <w:highlight w:val="none"/>
          <w:lang w:val="zh-CN"/>
        </w:rPr>
        <w:t>＝6.</w:t>
      </w:r>
      <w:r>
        <w:rPr>
          <w:rFonts w:ascii="仿宋" w:hAnsi="仿宋" w:eastAsia="仿宋"/>
          <w:b/>
          <w:color w:val="auto"/>
          <w:sz w:val="24"/>
          <w:highlight w:val="none"/>
          <w:lang w:val="zh-CN"/>
        </w:rPr>
        <w:t>55</w:t>
      </w:r>
      <w:r>
        <w:rPr>
          <w:rFonts w:hint="eastAsia" w:ascii="仿宋" w:hAnsi="仿宋" w:eastAsia="仿宋"/>
          <w:b/>
          <w:color w:val="auto"/>
          <w:sz w:val="24"/>
          <w:highlight w:val="none"/>
        </w:rPr>
        <w:t>*0.7=4.585</w:t>
      </w:r>
      <w:r>
        <w:rPr>
          <w:rFonts w:hint="eastAsia" w:ascii="仿宋" w:hAnsi="仿宋" w:eastAsia="仿宋"/>
          <w:b/>
          <w:color w:val="auto"/>
          <w:sz w:val="24"/>
          <w:highlight w:val="none"/>
          <w:lang w:val="zh-CN"/>
        </w:rPr>
        <w:t>(万元)</w:t>
      </w:r>
    </w:p>
    <w:p w14:paraId="0D628B44">
      <w:pPr>
        <w:pStyle w:val="2"/>
        <w:rPr>
          <w:rFonts w:hint="default" w:ascii="仿宋" w:hAnsi="仿宋" w:eastAsia="仿宋"/>
          <w:b/>
          <w:color w:val="auto"/>
          <w:sz w:val="24"/>
          <w:highlight w:val="none"/>
          <w:lang w:val="en-US" w:eastAsia="zh-CN"/>
        </w:rPr>
      </w:pPr>
    </w:p>
    <w:p w14:paraId="56E7552D">
      <w:pPr>
        <w:keepNext w:val="0"/>
        <w:keepLines w:val="0"/>
        <w:tabs>
          <w:tab w:val="left" w:pos="540"/>
        </w:tabs>
        <w:kinsoku/>
        <w:wordWrap/>
        <w:overflowPunct/>
        <w:topLinePunct w:val="0"/>
        <w:autoSpaceDE w:val="0"/>
        <w:autoSpaceDN w:val="0"/>
        <w:bidi w:val="0"/>
        <w:adjustRightInd w:val="0"/>
        <w:spacing w:line="360" w:lineRule="auto"/>
        <w:ind w:firstLine="540"/>
        <w:textAlignment w:val="auto"/>
        <w:outlineLvl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本项目代理报酬</w:t>
      </w:r>
      <w:r>
        <w:rPr>
          <w:rFonts w:hint="eastAsia" w:ascii="宋体" w:hAnsi="宋体" w:cs="宋体"/>
          <w:color w:val="auto"/>
          <w:sz w:val="21"/>
          <w:szCs w:val="21"/>
          <w:highlight w:val="none"/>
          <w:u w:val="single"/>
          <w:lang w:val="en-US" w:eastAsia="zh-CN"/>
        </w:rPr>
        <w:t>详见合同协议书第四条</w:t>
      </w:r>
      <w:r>
        <w:rPr>
          <w:rFonts w:hint="eastAsia" w:ascii="宋体" w:hAnsi="宋体" w:cs="宋体"/>
          <w:color w:val="auto"/>
          <w:sz w:val="21"/>
          <w:szCs w:val="21"/>
          <w:highlight w:val="none"/>
          <w:lang w:val="en-US" w:eastAsia="zh-CN"/>
        </w:rPr>
        <w:t>。</w:t>
      </w:r>
    </w:p>
    <w:p w14:paraId="10B739A1">
      <w:pPr>
        <w:keepNext w:val="0"/>
        <w:keepLines w:val="0"/>
        <w:kinsoku/>
        <w:wordWrap/>
        <w:overflowPunct/>
        <w:topLinePunct w:val="0"/>
        <w:autoSpaceDE w:val="0"/>
        <w:autoSpaceDN w:val="0"/>
        <w:bidi w:val="0"/>
        <w:adjustRightInd w:val="0"/>
        <w:spacing w:line="360" w:lineRule="auto"/>
        <w:ind w:firstLine="525" w:firstLineChars="25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代理报酬的币种：</w:t>
      </w:r>
      <w:r>
        <w:rPr>
          <w:rFonts w:hint="eastAsia" w:ascii="宋体" w:hAnsi="宋体" w:eastAsia="宋体" w:cs="宋体"/>
          <w:b/>
          <w:color w:val="auto"/>
          <w:kern w:val="0"/>
          <w:sz w:val="21"/>
          <w:szCs w:val="21"/>
          <w:highlight w:val="none"/>
          <w:u w:val="single"/>
          <w:lang w:val="zh-CN"/>
        </w:rPr>
        <w:t>人民币</w:t>
      </w:r>
      <w:r>
        <w:rPr>
          <w:rFonts w:hint="eastAsia" w:ascii="宋体" w:hAnsi="宋体" w:eastAsia="宋体" w:cs="宋体"/>
          <w:b/>
          <w:color w:val="auto"/>
          <w:kern w:val="0"/>
          <w:sz w:val="21"/>
          <w:szCs w:val="21"/>
          <w:highlight w:val="none"/>
          <w:lang w:val="zh-CN"/>
        </w:rPr>
        <w:t>，</w:t>
      </w:r>
      <w:r>
        <w:rPr>
          <w:rFonts w:hint="eastAsia" w:ascii="宋体" w:hAnsi="宋体" w:eastAsia="宋体" w:cs="宋体"/>
          <w:color w:val="auto"/>
          <w:sz w:val="21"/>
          <w:szCs w:val="21"/>
          <w:highlight w:val="none"/>
          <w:lang w:val="zh-CN"/>
        </w:rPr>
        <w:t>汇率：</w:t>
      </w:r>
      <w:r>
        <w:rPr>
          <w:rFonts w:hint="eastAsia" w:ascii="宋体" w:hAnsi="宋体" w:eastAsia="宋体" w:cs="宋体"/>
          <w:b/>
          <w:color w:val="auto"/>
          <w:kern w:val="0"/>
          <w:sz w:val="21"/>
          <w:szCs w:val="21"/>
          <w:highlight w:val="none"/>
          <w:u w:val="single"/>
          <w:lang w:val="zh-CN"/>
        </w:rPr>
        <w:t xml:space="preserve">  /   </w:t>
      </w:r>
      <w:r>
        <w:rPr>
          <w:rFonts w:hint="eastAsia" w:ascii="宋体" w:hAnsi="宋体" w:eastAsia="宋体" w:cs="宋体"/>
          <w:color w:val="auto"/>
          <w:sz w:val="21"/>
          <w:szCs w:val="21"/>
          <w:highlight w:val="none"/>
          <w:lang w:val="zh-CN"/>
        </w:rPr>
        <w:t>。</w:t>
      </w:r>
    </w:p>
    <w:p w14:paraId="3EB32E2E">
      <w:pPr>
        <w:keepNext w:val="0"/>
        <w:keepLines w:val="0"/>
        <w:kinsoku/>
        <w:wordWrap/>
        <w:overflowPunct/>
        <w:topLinePunct w:val="0"/>
        <w:autoSpaceDE w:val="0"/>
        <w:autoSpaceDN w:val="0"/>
        <w:bidi w:val="0"/>
        <w:adjustRightInd w:val="0"/>
        <w:spacing w:line="360" w:lineRule="auto"/>
        <w:ind w:firstLine="525" w:firstLineChars="25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代理报酬的支付方式：</w:t>
      </w:r>
      <w:r>
        <w:rPr>
          <w:rFonts w:hint="eastAsia" w:ascii="宋体" w:hAnsi="宋体" w:eastAsia="宋体" w:cs="宋体"/>
          <w:b/>
          <w:color w:val="auto"/>
          <w:kern w:val="0"/>
          <w:sz w:val="21"/>
          <w:szCs w:val="21"/>
          <w:highlight w:val="none"/>
          <w:u w:val="single"/>
          <w:lang w:val="zh-CN"/>
        </w:rPr>
        <w:t>银行转</w:t>
      </w:r>
      <w:r>
        <w:rPr>
          <w:rFonts w:hint="eastAsia" w:ascii="宋体" w:hAnsi="宋体" w:cs="宋体"/>
          <w:b/>
          <w:color w:val="auto"/>
          <w:kern w:val="0"/>
          <w:sz w:val="21"/>
          <w:szCs w:val="21"/>
          <w:highlight w:val="none"/>
          <w:u w:val="single"/>
          <w:lang w:val="en-US" w:eastAsia="zh-CN"/>
        </w:rPr>
        <w:t>账</w:t>
      </w:r>
      <w:r>
        <w:rPr>
          <w:rFonts w:hint="eastAsia" w:ascii="宋体" w:hAnsi="宋体" w:eastAsia="宋体" w:cs="宋体"/>
          <w:b/>
          <w:color w:val="auto"/>
          <w:kern w:val="0"/>
          <w:sz w:val="21"/>
          <w:szCs w:val="21"/>
          <w:highlight w:val="none"/>
          <w:u w:val="single"/>
          <w:lang w:val="zh-CN"/>
        </w:rPr>
        <w:t>。</w:t>
      </w:r>
    </w:p>
    <w:p w14:paraId="34BE3217">
      <w:pPr>
        <w:keepNext w:val="0"/>
        <w:keepLines w:val="0"/>
        <w:kinsoku/>
        <w:wordWrap/>
        <w:overflowPunct/>
        <w:topLinePunct w:val="0"/>
        <w:autoSpaceDE w:val="0"/>
        <w:autoSpaceDN w:val="0"/>
        <w:bidi w:val="0"/>
        <w:adjustRightInd w:val="0"/>
        <w:spacing w:line="360" w:lineRule="auto"/>
        <w:ind w:firstLine="525" w:firstLineChars="25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代理报酬的支付时间：</w:t>
      </w:r>
      <w:r>
        <w:rPr>
          <w:rFonts w:hint="eastAsia" w:ascii="宋体" w:hAnsi="宋体" w:eastAsia="宋体" w:cs="宋体"/>
          <w:b/>
          <w:color w:val="auto"/>
          <w:kern w:val="0"/>
          <w:sz w:val="21"/>
          <w:szCs w:val="21"/>
          <w:highlight w:val="none"/>
          <w:u w:val="single"/>
          <w:lang w:val="zh-CN"/>
        </w:rPr>
        <w:t>在项目招标完成，中标通知书发出，</w:t>
      </w:r>
      <w:r>
        <w:rPr>
          <w:rFonts w:hint="eastAsia" w:ascii="宋体" w:hAnsi="宋体" w:cs="宋体"/>
          <w:b/>
          <w:color w:val="auto"/>
          <w:kern w:val="0"/>
          <w:sz w:val="21"/>
          <w:szCs w:val="21"/>
          <w:highlight w:val="none"/>
          <w:u w:val="single"/>
          <w:lang w:val="en-US" w:eastAsia="zh-CN"/>
        </w:rPr>
        <w:t>乙方</w:t>
      </w:r>
      <w:r>
        <w:rPr>
          <w:rFonts w:hint="eastAsia" w:ascii="宋体" w:hAnsi="宋体" w:eastAsia="宋体" w:cs="宋体"/>
          <w:b/>
          <w:color w:val="auto"/>
          <w:kern w:val="0"/>
          <w:sz w:val="21"/>
          <w:szCs w:val="21"/>
          <w:highlight w:val="none"/>
          <w:u w:val="single"/>
          <w:lang w:val="zh-CN"/>
        </w:rPr>
        <w:t>向甲方移交完整的招标投标资料，办理完结算签</w:t>
      </w:r>
      <w:r>
        <w:rPr>
          <w:rFonts w:hint="eastAsia" w:ascii="宋体" w:hAnsi="宋体" w:cs="宋体"/>
          <w:b/>
          <w:color w:val="auto"/>
          <w:kern w:val="0"/>
          <w:sz w:val="21"/>
          <w:szCs w:val="21"/>
          <w:highlight w:val="none"/>
          <w:u w:val="single"/>
          <w:lang w:val="en-US" w:eastAsia="zh-CN"/>
        </w:rPr>
        <w:t>订</w:t>
      </w:r>
      <w:r>
        <w:rPr>
          <w:rFonts w:hint="eastAsia" w:ascii="宋体" w:hAnsi="宋体" w:eastAsia="宋体" w:cs="宋体"/>
          <w:b/>
          <w:color w:val="auto"/>
          <w:kern w:val="0"/>
          <w:sz w:val="21"/>
          <w:szCs w:val="21"/>
          <w:highlight w:val="none"/>
          <w:u w:val="single"/>
          <w:lang w:val="zh-CN"/>
        </w:rPr>
        <w:t>“结算协议书”后30天内甲方向乙方一次性付清代理报酬。</w:t>
      </w:r>
    </w:p>
    <w:p w14:paraId="3CEE1872">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8.4履约担保</w:t>
      </w:r>
    </w:p>
    <w:p w14:paraId="3ECE3521">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8.4.1乙方领取中标通知书后，应向甲方提交履约担保，履约担保金额为本合同价款的10%。如乙方违反本合同约定，甲方有权依合同追究违约责任外，同时有权要求开具保函向银行支付相应的违约金、赔偿金或直接在履约保证金中扣除乙方的违约金、赔偿金，违约金、赔偿金超过履约担保金额的，乙方还应当对超过部分予以赔偿。</w:t>
      </w:r>
    </w:p>
    <w:p w14:paraId="768FAB69">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8.4.2履约担保形式为提供银行履约保函的，履约保函应是银行支行一级或以上银行机构出，并经甲方同意，执行本项时所发生的费用由乙方承担。履约保函的内容，应符合招标文件和本合同的要求。履约保函应从合同签订之日起至本合同结算经双方签字确定后30日内保持有效。如乙方提交的履约保函的有效期先于合同要求的履约保函有效期届满的，乙方必须在履约保函到期前15日内无条件办理办妥延期手续或重新提供银行保函，否则视为乙方违约，甲方有权在保函到期前向出具履约保函的银行提取履约保证金。如甲方未在到期前向出具履约保函的银行提取履约保证金的，仍有权要求乙方限期重新提供履约保函，或按保函金额为限要求乙方承担违约金，违约金可直接从未付合同金额中扣除。</w:t>
      </w:r>
    </w:p>
    <w:p w14:paraId="5A0F5D61">
      <w:pPr>
        <w:keepNext w:val="0"/>
        <w:keepLines w:val="0"/>
        <w:kinsoku/>
        <w:wordWrap/>
        <w:overflowPunct/>
        <w:topLinePunct w:val="0"/>
        <w:autoSpaceDE w:val="0"/>
        <w:autoSpaceDN w:val="0"/>
        <w:bidi w:val="0"/>
        <w:adjustRightIn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8.4.3履约担保形式为履约保证金的，履约保证金应以乙方名义通过银行转账方式转入甲方指定的银行账户，不接受由其分支机构账户或私人账户、其他单位账户以现金、转账等方式转入的保证金。无论以何种形式转入的履约保证金，担保期结束经乙方申请，一律以银行转账的方式无息原路退回到乙方原汇入账户。</w:t>
      </w:r>
    </w:p>
    <w:p w14:paraId="6FDFE2D0">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8.4.4甲方银行账户信息</w:t>
      </w:r>
    </w:p>
    <w:p w14:paraId="0B695FF8">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账户名称：</w:t>
      </w:r>
    </w:p>
    <w:p w14:paraId="3494A762">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w:t>
      </w:r>
    </w:p>
    <w:p w14:paraId="428D1713">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p>
    <w:p w14:paraId="2CC8065B">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、委托代理报酬的收取</w:t>
      </w:r>
    </w:p>
    <w:p w14:paraId="67975405">
      <w:pPr>
        <w:keepNext w:val="0"/>
        <w:keepLines w:val="0"/>
        <w:kinsoku/>
        <w:wordWrap/>
        <w:overflowPunct/>
        <w:topLinePunct w:val="0"/>
        <w:autoSpaceDE w:val="0"/>
        <w:autoSpaceDN w:val="0"/>
        <w:bidi w:val="0"/>
        <w:adjustRightInd w:val="0"/>
        <w:spacing w:line="360" w:lineRule="auto"/>
        <w:ind w:firstLine="54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.1 预计委托代理费用额度（比例）：</w:t>
      </w:r>
      <w:r>
        <w:rPr>
          <w:rFonts w:hint="eastAsia" w:ascii="宋体" w:hAnsi="宋体" w:eastAsia="宋体" w:cs="宋体"/>
          <w:b/>
          <w:color w:val="auto"/>
          <w:kern w:val="0"/>
          <w:sz w:val="21"/>
          <w:szCs w:val="21"/>
          <w:highlight w:val="none"/>
          <w:u w:val="single"/>
          <w:lang w:val="zh-CN"/>
        </w:rPr>
        <w:t>不设代理预付款。</w:t>
      </w:r>
    </w:p>
    <w:p w14:paraId="62460FD2">
      <w:pPr>
        <w:keepNext w:val="0"/>
        <w:keepLines w:val="0"/>
        <w:kinsoku/>
        <w:wordWrap/>
        <w:overflowPunct/>
        <w:topLinePunct w:val="0"/>
        <w:autoSpaceDE w:val="0"/>
        <w:autoSpaceDN w:val="0"/>
        <w:bidi w:val="0"/>
        <w:adjustRightInd w:val="0"/>
        <w:spacing w:line="360" w:lineRule="auto"/>
        <w:ind w:firstLine="54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 xml:space="preserve"> 逾期支付时，银行贷款利率：</w:t>
      </w:r>
      <w:r>
        <w:rPr>
          <w:rFonts w:hint="eastAsia" w:ascii="宋体" w:hAnsi="宋体" w:eastAsia="宋体" w:cs="宋体"/>
          <w:b/>
          <w:color w:val="auto"/>
          <w:kern w:val="0"/>
          <w:sz w:val="21"/>
          <w:szCs w:val="21"/>
          <w:highlight w:val="none"/>
          <w:u w:val="single"/>
          <w:lang w:val="zh-CN"/>
        </w:rPr>
        <w:t>按合同通用条款约定执行。</w:t>
      </w:r>
    </w:p>
    <w:p w14:paraId="02F8141E">
      <w:pPr>
        <w:keepNext w:val="0"/>
        <w:keepLines w:val="0"/>
        <w:kinsoku/>
        <w:wordWrap/>
        <w:overflowPunct/>
        <w:topLinePunct w:val="0"/>
        <w:autoSpaceDE w:val="0"/>
        <w:autoSpaceDN w:val="0"/>
        <w:bidi w:val="0"/>
        <w:adjustRightInd w:val="0"/>
        <w:spacing w:line="360" w:lineRule="auto"/>
        <w:ind w:firstLine="54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 xml:space="preserve"> 逾期支付时，应收取的利息：</w:t>
      </w:r>
      <w:r>
        <w:rPr>
          <w:rFonts w:hint="eastAsia" w:ascii="宋体" w:hAnsi="宋体" w:eastAsia="宋体" w:cs="宋体"/>
          <w:b/>
          <w:color w:val="auto"/>
          <w:kern w:val="0"/>
          <w:sz w:val="21"/>
          <w:szCs w:val="21"/>
          <w:highlight w:val="none"/>
          <w:u w:val="single"/>
          <w:lang w:val="zh-CN"/>
        </w:rPr>
        <w:t>按合同通用条款约定执行。</w:t>
      </w:r>
    </w:p>
    <w:p w14:paraId="160FD652">
      <w:pPr>
        <w:keepNext w:val="0"/>
        <w:keepLines w:val="0"/>
        <w:kinsoku/>
        <w:wordWrap/>
        <w:overflowPunct/>
        <w:topLinePunct w:val="0"/>
        <w:autoSpaceDE w:val="0"/>
        <w:autoSpaceDN w:val="0"/>
        <w:bidi w:val="0"/>
        <w:adjustRightInd w:val="0"/>
        <w:spacing w:line="360" w:lineRule="auto"/>
        <w:ind w:firstLine="540"/>
        <w:textAlignment w:val="auto"/>
        <w:outlineLvl w:val="1"/>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zh-CN"/>
        </w:rPr>
        <w:t>、违约、索赔和争议</w:t>
      </w:r>
    </w:p>
    <w:p w14:paraId="4163B455">
      <w:pPr>
        <w:keepNext w:val="0"/>
        <w:keepLines w:val="0"/>
        <w:kinsoku/>
        <w:wordWrap/>
        <w:overflowPunct/>
        <w:topLinePunct w:val="0"/>
        <w:autoSpaceDE w:val="0"/>
        <w:autoSpaceDN w:val="0"/>
        <w:bidi w:val="0"/>
        <w:adjustRightInd w:val="0"/>
        <w:spacing w:line="360" w:lineRule="auto"/>
        <w:ind w:firstLine="54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、违约</w:t>
      </w:r>
    </w:p>
    <w:p w14:paraId="4DF06A64">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 xml:space="preserve">.1 本合同关于甲方违约的具体责任： </w:t>
      </w:r>
    </w:p>
    <w:p w14:paraId="6FD723F0">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（1）甲方未按照本合同通用条款第4.2－（3）款的约定，向乙方提供保证招标工作顺利完成的条件应承担的违约责任：</w:t>
      </w:r>
      <w:r>
        <w:rPr>
          <w:rFonts w:hint="eastAsia" w:ascii="宋体" w:hAnsi="宋体" w:eastAsia="宋体" w:cs="宋体"/>
          <w:b/>
          <w:color w:val="auto"/>
          <w:kern w:val="0"/>
          <w:sz w:val="21"/>
          <w:szCs w:val="21"/>
          <w:highlight w:val="none"/>
          <w:u w:val="single"/>
          <w:lang w:val="zh-CN"/>
        </w:rPr>
        <w:t>甲方承担由此造成的招标进度延误的损失。</w:t>
      </w:r>
    </w:p>
    <w:p w14:paraId="5B76F560">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vertAlign w:val="subscript"/>
        </w:rPr>
      </w:pPr>
      <w:r>
        <w:rPr>
          <w:rFonts w:hint="eastAsia" w:ascii="宋体" w:hAnsi="宋体" w:eastAsia="宋体" w:cs="宋体"/>
          <w:color w:val="auto"/>
          <w:sz w:val="21"/>
          <w:szCs w:val="21"/>
          <w:highlight w:val="none"/>
          <w:lang w:val="zh-CN"/>
        </w:rPr>
        <w:t>（2）甲方未按本合同通用条款第4.2－（6）款的约定，向乙方支付委托代理报酬应承担的违约责任：</w:t>
      </w:r>
      <w:r>
        <w:rPr>
          <w:rFonts w:hint="eastAsia" w:ascii="宋体" w:hAnsi="宋体" w:eastAsia="宋体" w:cs="宋体"/>
          <w:b/>
          <w:color w:val="auto"/>
          <w:kern w:val="0"/>
          <w:sz w:val="21"/>
          <w:szCs w:val="21"/>
          <w:highlight w:val="none"/>
          <w:u w:val="single"/>
          <w:lang w:val="zh-CN"/>
        </w:rPr>
        <w:t>按合同通用条款9.4款的约定执行。</w:t>
      </w:r>
    </w:p>
    <w:p w14:paraId="513611A4">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vertAlign w:val="subscript"/>
        </w:rPr>
      </w:pPr>
      <w:r>
        <w:rPr>
          <w:rFonts w:hint="eastAsia" w:ascii="宋体" w:hAnsi="宋体" w:eastAsia="宋体" w:cs="宋体"/>
          <w:color w:val="auto"/>
          <w:sz w:val="21"/>
          <w:szCs w:val="21"/>
          <w:highlight w:val="none"/>
          <w:lang w:val="zh-CN"/>
        </w:rPr>
        <w:t xml:space="preserve"> （3）双方约定的甲方的其他违约责任：</w:t>
      </w:r>
      <w:r>
        <w:rPr>
          <w:rFonts w:hint="eastAsia" w:ascii="宋体" w:hAnsi="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lang w:val="zh-CN"/>
        </w:rPr>
        <w:t>。</w:t>
      </w:r>
    </w:p>
    <w:p w14:paraId="13638920">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.2 本合同关于乙方违约的具体责任：</w:t>
      </w:r>
    </w:p>
    <w:p w14:paraId="5A9458D0">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color w:val="auto"/>
          <w:sz w:val="21"/>
          <w:szCs w:val="21"/>
          <w:highlight w:val="none"/>
          <w:lang w:val="zh-CN"/>
        </w:rPr>
        <w:t>（1）乙方未按照本合同通用条款第5.2－（2）款的约定，向甲方提供为完成招标工作的咨询服务应承担的责任：</w:t>
      </w:r>
      <w:r>
        <w:rPr>
          <w:rFonts w:hint="eastAsia" w:ascii="宋体" w:hAnsi="宋体" w:eastAsia="宋体" w:cs="宋体"/>
          <w:b/>
          <w:color w:val="auto"/>
          <w:kern w:val="0"/>
          <w:sz w:val="21"/>
          <w:szCs w:val="21"/>
          <w:highlight w:val="none"/>
          <w:u w:val="single"/>
          <w:lang w:val="zh-CN"/>
        </w:rPr>
        <w:t>乙方向甲方支付代理报酬金额的5%的违约金，甲方有权终止合同。</w:t>
      </w:r>
    </w:p>
    <w:p w14:paraId="3D474CCD">
      <w:pPr>
        <w:keepNext w:val="0"/>
        <w:keepLines w:val="0"/>
        <w:kinsoku/>
        <w:wordWrap/>
        <w:overflowPunct/>
        <w:topLinePunct w:val="0"/>
        <w:autoSpaceDE w:val="0"/>
        <w:autoSpaceDN w:val="0"/>
        <w:bidi w:val="0"/>
        <w:adjustRightIn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（2）乙方未在本合同约定的时限内完成相应的招标代理工作的，每逾期一个日历日，甲方有权向乙方收取本合同代理报酬暂定价千分之三的违约金，逾期超过十个日历日的，甲方有权解除合同。</w:t>
      </w:r>
    </w:p>
    <w:p w14:paraId="74518896">
      <w:pPr>
        <w:keepNext w:val="0"/>
        <w:keepLines w:val="0"/>
        <w:kinsoku/>
        <w:wordWrap/>
        <w:overflowPunct/>
        <w:topLinePunct w:val="0"/>
        <w:autoSpaceDE w:val="0"/>
        <w:autoSpaceDN w:val="0"/>
        <w:bidi w:val="0"/>
        <w:adjustRightInd w:val="0"/>
        <w:spacing w:line="360" w:lineRule="auto"/>
        <w:ind w:firstLine="504" w:firstLineChars="240"/>
        <w:textAlignment w:val="auto"/>
        <w:rPr>
          <w:rFonts w:hint="eastAsia" w:ascii="宋体" w:hAnsi="宋体" w:eastAsia="宋体" w:cs="宋体"/>
          <w:color w:val="auto"/>
          <w:sz w:val="21"/>
          <w:szCs w:val="21"/>
          <w:highlight w:val="none"/>
          <w:vertAlign w:val="subscript"/>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乙方违反本合同通用条款第5.4款的约定，接受了与本合同项目有关的投标咨询业务应承担的违约责任：</w:t>
      </w:r>
      <w:r>
        <w:rPr>
          <w:rFonts w:hint="eastAsia" w:ascii="宋体" w:hAnsi="宋体" w:eastAsia="宋体" w:cs="宋体"/>
          <w:b/>
          <w:color w:val="auto"/>
          <w:kern w:val="0"/>
          <w:sz w:val="21"/>
          <w:szCs w:val="21"/>
          <w:highlight w:val="none"/>
          <w:u w:val="single"/>
          <w:lang w:val="zh-CN"/>
        </w:rPr>
        <w:t>乙方向甲方支付相当于代理报酬金额全额的违约金，甲方有权终止合同。</w:t>
      </w:r>
    </w:p>
    <w:p w14:paraId="532BD1B6">
      <w:pPr>
        <w:keepNext w:val="0"/>
        <w:keepLines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vertAlign w:val="subscript"/>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）乙方违反本合同通用条款第5.7款的约定，泄露了与本合同有关的任何不应泄露的招标资料和情况应承担的违约责任：</w:t>
      </w:r>
      <w:r>
        <w:rPr>
          <w:rFonts w:hint="eastAsia" w:ascii="宋体" w:hAnsi="宋体" w:eastAsia="宋体" w:cs="宋体"/>
          <w:b/>
          <w:color w:val="auto"/>
          <w:kern w:val="0"/>
          <w:sz w:val="21"/>
          <w:szCs w:val="21"/>
          <w:highlight w:val="none"/>
          <w:u w:val="single"/>
          <w:lang w:val="zh-CN"/>
        </w:rPr>
        <w:t>乙方向甲方支付相当于代理报酬金额全额的违约金，（若给甲方造成损失且该违约金不足以弥补甲方损失的，不足部分，仍由乙方承担赔偿责任），甲方有权终止合同。</w:t>
      </w:r>
    </w:p>
    <w:p w14:paraId="2C168DFF">
      <w:pPr>
        <w:keepNext w:val="0"/>
        <w:keepLines w:val="0"/>
        <w:kinsoku/>
        <w:wordWrap/>
        <w:overflowPunct/>
        <w:topLinePunct w:val="0"/>
        <w:autoSpaceDE w:val="0"/>
        <w:autoSpaceDN w:val="0"/>
        <w:bidi w:val="0"/>
        <w:adjustRightInd w:val="0"/>
        <w:spacing w:line="360" w:lineRule="auto"/>
        <w:ind w:firstLine="504" w:firstLineChars="240"/>
        <w:textAlignment w:val="auto"/>
        <w:rPr>
          <w:rFonts w:hint="eastAsia" w:ascii="宋体" w:hAnsi="宋体" w:eastAsia="宋体" w:cs="宋体"/>
          <w:b/>
          <w:color w:val="auto"/>
          <w:kern w:val="0"/>
          <w:sz w:val="21"/>
          <w:szCs w:val="21"/>
          <w:highlight w:val="none"/>
          <w:u w:val="singl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）双方约定的乙方的其他违约责任：</w:t>
      </w:r>
      <w:r>
        <w:rPr>
          <w:rFonts w:hint="eastAsia" w:ascii="宋体" w:hAnsi="宋体" w:eastAsia="宋体" w:cs="宋体"/>
          <w:b/>
          <w:color w:val="auto"/>
          <w:kern w:val="0"/>
          <w:sz w:val="21"/>
          <w:szCs w:val="21"/>
          <w:highlight w:val="none"/>
          <w:u w:val="single"/>
          <w:lang w:val="zh-CN"/>
        </w:rPr>
        <w:t>乙方应遵守合同约定的工作计划、进度安排，按时参加评审、评议会议，并根据甲方提供的意见及时对招标文件进行修改完善；</w:t>
      </w:r>
    </w:p>
    <w:p w14:paraId="1BC54989">
      <w:pPr>
        <w:keepNext w:val="0"/>
        <w:keepLines w:val="0"/>
        <w:kinsoku/>
        <w:wordWrap/>
        <w:overflowPunct/>
        <w:topLinePunct w:val="0"/>
        <w:autoSpaceDE w:val="0"/>
        <w:autoSpaceDN w:val="0"/>
        <w:bidi w:val="0"/>
        <w:adjustRightInd w:val="0"/>
        <w:spacing w:line="360" w:lineRule="auto"/>
        <w:ind w:firstLine="506" w:firstLineChars="240"/>
        <w:textAlignment w:val="auto"/>
        <w:rPr>
          <w:rFonts w:hint="eastAsia" w:ascii="宋体" w:hAnsi="宋体" w:eastAsia="宋体" w:cs="宋体"/>
          <w:color w:val="auto"/>
          <w:sz w:val="21"/>
          <w:szCs w:val="21"/>
          <w:highlight w:val="none"/>
          <w:vertAlign w:val="subscript"/>
        </w:rPr>
      </w:pPr>
      <w:r>
        <w:rPr>
          <w:rFonts w:hint="eastAsia" w:ascii="宋体" w:hAnsi="宋体" w:eastAsia="宋体" w:cs="宋体"/>
          <w:b/>
          <w:color w:val="auto"/>
          <w:kern w:val="0"/>
          <w:sz w:val="21"/>
          <w:szCs w:val="21"/>
          <w:highlight w:val="none"/>
          <w:u w:val="single"/>
          <w:lang w:val="zh-CN"/>
        </w:rPr>
        <w:t>项目负责人必须直接参与招标全过程（包括负责开标、评标、定标工作，参加发包人要求的过程方案汇报，发包人例行会议等），如项目负责人未按要求出席并负责上述工作，发包人可向代理人发出警告函，每发出一次警告函，发包人可按人民币1000元扣减招标代理费，警告超过三次，发包人有权解除本合同并按合同总价的10%计收代理人的违约金。</w:t>
      </w:r>
    </w:p>
    <w:p w14:paraId="7CFB0CED">
      <w:pPr>
        <w:keepNext w:val="0"/>
        <w:keepLines w:val="0"/>
        <w:kinsoku/>
        <w:wordWrap/>
        <w:overflowPunct/>
        <w:topLinePunct w:val="0"/>
        <w:autoSpaceDE w:val="0"/>
        <w:autoSpaceDN w:val="0"/>
        <w:bidi w:val="0"/>
        <w:adjustRightInd w:val="0"/>
        <w:spacing w:line="360" w:lineRule="auto"/>
        <w:ind w:firstLine="54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、争议</w:t>
      </w:r>
    </w:p>
    <w:p w14:paraId="6E8CC4D8">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.1 双方约定，凡因执行本合同所发生的与本合同有关的一切争议，当和解或调解不成时，选择下列第</w:t>
      </w:r>
      <w:r>
        <w:rPr>
          <w:rFonts w:hint="eastAsia" w:ascii="宋体" w:hAnsi="宋体" w:eastAsia="宋体" w:cs="宋体"/>
          <w:color w:val="auto"/>
          <w:sz w:val="21"/>
          <w:szCs w:val="21"/>
          <w:highlight w:val="none"/>
          <w:u w:val="single"/>
          <w:lang w:val="zh-CN"/>
        </w:rPr>
        <w:t>（</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zh-CN"/>
        </w:rPr>
        <w:t>种方式解决：</w:t>
      </w:r>
    </w:p>
    <w:p w14:paraId="7959E870">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（1）将争议提交</w:t>
      </w:r>
      <w:r>
        <w:rPr>
          <w:rFonts w:hint="eastAsia" w:ascii="宋体" w:hAnsi="宋体" w:eastAsia="宋体" w:cs="宋体"/>
          <w:color w:val="auto"/>
          <w:sz w:val="21"/>
          <w:szCs w:val="21"/>
          <w:highlight w:val="none"/>
        </w:rPr>
        <w:t>东莞</w:t>
      </w:r>
      <w:r>
        <w:rPr>
          <w:rFonts w:hint="eastAsia" w:ascii="宋体" w:hAnsi="宋体" w:eastAsia="宋体" w:cs="宋体"/>
          <w:color w:val="auto"/>
          <w:sz w:val="21"/>
          <w:szCs w:val="21"/>
          <w:highlight w:val="none"/>
          <w:lang w:val="zh-CN"/>
        </w:rPr>
        <w:t>仲裁委员会仲裁；</w:t>
      </w:r>
    </w:p>
    <w:p w14:paraId="22742B33">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（2）依法向甲方所在地有管辖权的人民法院提起诉讼。</w:t>
      </w:r>
    </w:p>
    <w:p w14:paraId="14217380">
      <w:pPr>
        <w:keepNext w:val="0"/>
        <w:keepLines w:val="0"/>
        <w:kinsoku/>
        <w:wordWrap/>
        <w:overflowPunct/>
        <w:topLinePunct w:val="0"/>
        <w:autoSpaceDE w:val="0"/>
        <w:autoSpaceDN w:val="0"/>
        <w:bidi w:val="0"/>
        <w:adjustRightInd w:val="0"/>
        <w:spacing w:line="360" w:lineRule="auto"/>
        <w:ind w:firstLine="540"/>
        <w:textAlignment w:val="auto"/>
        <w:outlineLvl w:val="1"/>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zh-CN"/>
        </w:rPr>
        <w:t>、合同变更、生效与终止</w:t>
      </w:r>
    </w:p>
    <w:p w14:paraId="43A77842">
      <w:pPr>
        <w:keepNext w:val="0"/>
        <w:keepLines w:val="0"/>
        <w:kinsoku/>
        <w:wordWrap/>
        <w:overflowPunct/>
        <w:topLinePunct w:val="0"/>
        <w:bidi w:val="0"/>
        <w:spacing w:line="360" w:lineRule="auto"/>
        <w:ind w:left="480"/>
        <w:textAlignment w:val="auto"/>
        <w:outlineLvl w:val="2"/>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、合同变更或解除</w:t>
      </w:r>
    </w:p>
    <w:p w14:paraId="0B4E5B1C">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1本合同签订后，由于甲方原因，使得乙方不能持续履行招标代理业务时，甲方应及时通知乙方暂停招标代理业务。当需要恢复招标代理业务时，应当在正式恢复前7天内通知乙方。</w:t>
      </w:r>
    </w:p>
    <w:p w14:paraId="4C048115">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val="zh-CN"/>
        </w:rPr>
        <w:t>.2 本合同签订后，如因法律、行政法规发生变化或由于任何后续新颁布的法律、行政法规导致服务所需的成本或时间发生改变，则本合同约定的服务报酬和服务期限由双方签订补充协议进行相应调整。</w:t>
      </w:r>
    </w:p>
    <w:p w14:paraId="28302FF8">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val="zh-CN"/>
        </w:rPr>
        <w:t>.3 本合同当事人一方要求变更或解除合同时，除法律、行政法规另有规定外，应与对方当事人协商一致并达成书面协议。未达成书面协议的，本合同依然有效。</w:t>
      </w:r>
    </w:p>
    <w:p w14:paraId="184DE143">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val="zh-CN"/>
        </w:rPr>
        <w:t>.4 因解除合同使当事人一方遭受损失的，除依法可以免除责任外，应由责任方负责赔偿对方的损失，赔偿方法与金额由双方在协议书约定。</w:t>
      </w:r>
    </w:p>
    <w:p w14:paraId="30A62A8B">
      <w:pPr>
        <w:keepNext w:val="0"/>
        <w:keepLines w:val="0"/>
        <w:kinsoku/>
        <w:wordWrap/>
        <w:overflowPunct/>
        <w:topLinePunct w:val="0"/>
        <w:autoSpaceDE w:val="0"/>
        <w:autoSpaceDN w:val="0"/>
        <w:bidi w:val="0"/>
        <w:adjustRightInd w:val="0"/>
        <w:spacing w:line="360" w:lineRule="auto"/>
        <w:ind w:firstLine="48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zh-CN"/>
        </w:rPr>
        <w:t>、合同生效</w:t>
      </w:r>
    </w:p>
    <w:p w14:paraId="730CA6CF">
      <w:pPr>
        <w:keepNext w:val="0"/>
        <w:keepLines w:val="0"/>
        <w:kinsoku/>
        <w:wordWrap/>
        <w:overflowPunct/>
        <w:topLinePunct w:val="0"/>
        <w:bidi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zh-CN"/>
        </w:rPr>
        <w:t>.1除生效条件双方在协议书中另有约定外，本合同自双方签字盖章之日起生效。</w:t>
      </w:r>
    </w:p>
    <w:p w14:paraId="3994DA9F">
      <w:pPr>
        <w:keepNext w:val="0"/>
        <w:keepLines w:val="0"/>
        <w:kinsoku/>
        <w:wordWrap/>
        <w:overflowPunct/>
        <w:topLinePunct w:val="0"/>
        <w:autoSpaceDE w:val="0"/>
        <w:autoSpaceDN w:val="0"/>
        <w:bidi w:val="0"/>
        <w:adjustRightInd w:val="0"/>
        <w:spacing w:line="360" w:lineRule="auto"/>
        <w:ind w:firstLine="48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、合同终止</w:t>
      </w:r>
    </w:p>
    <w:p w14:paraId="6D30F32F">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.1 乙方完成甲方全部委托招标代理业务，且甲方或中标人支付了全部代理报酬（含附加服务的报酬）后本合同终止。</w:t>
      </w:r>
    </w:p>
    <w:p w14:paraId="17E34D0E">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.2 本合同终止并不影响各方应有的权利和应承担的义务。</w:t>
      </w:r>
    </w:p>
    <w:p w14:paraId="77620E57">
      <w:pPr>
        <w:keepNext w:val="0"/>
        <w:keepLines w:val="0"/>
        <w:kinsoku/>
        <w:wordWrap/>
        <w:overflowPunct/>
        <w:topLinePunct w:val="0"/>
        <w:autoSpaceDE w:val="0"/>
        <w:autoSpaceDN w:val="0"/>
        <w:bidi w:val="0"/>
        <w:adjustRightInd w:val="0"/>
        <w:spacing w:line="360" w:lineRule="auto"/>
        <w:ind w:firstLine="48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.3 因不可抗力，致使当事人一方或双方不能履行本合同时，双方应协商确定本合同继续履行的条件或终止本合同。如果双方不能就本合同继续履行的条件或终止本合同达成一致意见，本合同自行终止。除甲方应付给乙方已完成工作的报酬外，各自承担相应的损失。</w:t>
      </w:r>
    </w:p>
    <w:p w14:paraId="0F344853">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.4 本合同的权利和义务终止后，甲方和乙方应当遵循诚实信用原则，履行通知、协助、保密等义务。</w:t>
      </w:r>
    </w:p>
    <w:p w14:paraId="4FD80BB5">
      <w:pPr>
        <w:spacing w:line="360" w:lineRule="auto"/>
        <w:ind w:firstLine="540"/>
        <w:rPr>
          <w:rFonts w:hint="eastAsia" w:hAnsi="宋体"/>
          <w:color w:val="auto"/>
          <w:sz w:val="21"/>
          <w:szCs w:val="21"/>
          <w:highlight w:val="none"/>
          <w:lang w:val="zh-CN"/>
        </w:rPr>
      </w:pPr>
      <w:r>
        <w:rPr>
          <w:rFonts w:hint="eastAsia" w:hAnsi="宋体"/>
          <w:color w:val="auto"/>
          <w:sz w:val="21"/>
          <w:szCs w:val="21"/>
          <w:highlight w:val="none"/>
          <w:lang w:val="en-US" w:eastAsia="zh-CN"/>
        </w:rPr>
        <w:t>15.5</w:t>
      </w:r>
      <w:r>
        <w:rPr>
          <w:rFonts w:hint="eastAsia" w:hAnsi="宋体"/>
          <w:color w:val="auto"/>
          <w:sz w:val="21"/>
          <w:szCs w:val="21"/>
          <w:highlight w:val="none"/>
          <w:lang w:val="zh-CN"/>
        </w:rPr>
        <w:t>因政策或其他客观原因导致本项目无法正常开展的，</w:t>
      </w:r>
      <w:r>
        <w:rPr>
          <w:rFonts w:hint="eastAsia" w:hAnsi="宋体"/>
          <w:color w:val="auto"/>
          <w:sz w:val="21"/>
          <w:szCs w:val="21"/>
          <w:highlight w:val="none"/>
          <w:lang w:val="en-US" w:eastAsia="zh-CN"/>
        </w:rPr>
        <w:t>甲方</w:t>
      </w:r>
      <w:r>
        <w:rPr>
          <w:rFonts w:hint="eastAsia" w:hAnsi="宋体"/>
          <w:color w:val="auto"/>
          <w:sz w:val="21"/>
          <w:szCs w:val="21"/>
          <w:highlight w:val="none"/>
          <w:lang w:val="zh-CN"/>
        </w:rPr>
        <w:t>可与</w:t>
      </w:r>
      <w:r>
        <w:rPr>
          <w:rFonts w:hint="eastAsia" w:hAnsi="宋体"/>
          <w:color w:val="auto"/>
          <w:sz w:val="21"/>
          <w:szCs w:val="21"/>
          <w:highlight w:val="none"/>
          <w:lang w:val="en-US" w:eastAsia="zh-CN"/>
        </w:rPr>
        <w:t>乙方</w:t>
      </w:r>
      <w:r>
        <w:rPr>
          <w:rFonts w:hint="eastAsia" w:hAnsi="宋体"/>
          <w:color w:val="auto"/>
          <w:sz w:val="21"/>
          <w:szCs w:val="21"/>
          <w:highlight w:val="none"/>
          <w:lang w:val="zh-CN"/>
        </w:rPr>
        <w:t>友好协商终止合同，双方互不追究缔约过失责任及违约责任。</w:t>
      </w:r>
    </w:p>
    <w:p w14:paraId="42C99EB3">
      <w:pPr>
        <w:keepNext w:val="0"/>
        <w:keepLines w:val="0"/>
        <w:kinsoku/>
        <w:wordWrap/>
        <w:overflowPunct/>
        <w:topLinePunct w:val="0"/>
        <w:autoSpaceDE w:val="0"/>
        <w:autoSpaceDN w:val="0"/>
        <w:bidi w:val="0"/>
        <w:adjustRightInd w:val="0"/>
        <w:spacing w:line="360" w:lineRule="auto"/>
        <w:ind w:firstLine="540"/>
        <w:textAlignment w:val="auto"/>
        <w:outlineLvl w:val="1"/>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zh-CN"/>
        </w:rPr>
        <w:t>、其他</w:t>
      </w:r>
    </w:p>
    <w:p w14:paraId="368565EC">
      <w:pPr>
        <w:keepNext w:val="0"/>
        <w:keepLines w:val="0"/>
        <w:kinsoku/>
        <w:wordWrap/>
        <w:overflowPunct/>
        <w:topLinePunct w:val="0"/>
        <w:autoSpaceDE w:val="0"/>
        <w:autoSpaceDN w:val="0"/>
        <w:bidi w:val="0"/>
        <w:adjustRightInd w:val="0"/>
        <w:spacing w:line="360" w:lineRule="auto"/>
        <w:ind w:firstLine="540"/>
        <w:textAlignment w:val="auto"/>
        <w:outlineLvl w:val="2"/>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zh-CN"/>
        </w:rPr>
        <w:t>、合同份数</w:t>
      </w:r>
    </w:p>
    <w:p w14:paraId="778EC5DB">
      <w:pPr>
        <w:keepNext w:val="0"/>
        <w:keepLines w:val="0"/>
        <w:kinsoku/>
        <w:wordWrap/>
        <w:overflowPunct/>
        <w:topLinePunct w:val="0"/>
        <w:autoSpaceDE w:val="0"/>
        <w:autoSpaceDN w:val="0"/>
        <w:bidi w:val="0"/>
        <w:adjustRightInd w:val="0"/>
        <w:spacing w:line="360" w:lineRule="auto"/>
        <w:ind w:firstLine="54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zh-CN"/>
        </w:rPr>
        <w:t>.2 双方约定本合同</w:t>
      </w:r>
      <w:r>
        <w:rPr>
          <w:rFonts w:hint="eastAsia" w:ascii="宋体" w:hAnsi="宋体" w:cs="宋体"/>
          <w:color w:val="auto"/>
          <w:sz w:val="21"/>
          <w:szCs w:val="21"/>
          <w:highlight w:val="none"/>
          <w:lang w:val="en-US" w:eastAsia="zh-CN"/>
        </w:rPr>
        <w:t>副本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份，其中，甲方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zh-CN"/>
        </w:rPr>
        <w:t>份，乙方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贰 </w:t>
      </w:r>
      <w:r>
        <w:rPr>
          <w:rFonts w:hint="eastAsia" w:ascii="宋体" w:hAnsi="宋体" w:eastAsia="宋体" w:cs="宋体"/>
          <w:color w:val="auto"/>
          <w:sz w:val="21"/>
          <w:szCs w:val="21"/>
          <w:highlight w:val="none"/>
          <w:lang w:val="zh-CN"/>
        </w:rPr>
        <w:t>份。</w:t>
      </w:r>
    </w:p>
    <w:p w14:paraId="6AF38A0C">
      <w:pPr>
        <w:keepNext w:val="0"/>
        <w:keepLines w:val="0"/>
        <w:kinsoku/>
        <w:wordWrap/>
        <w:overflowPunct/>
        <w:topLinePunct w:val="0"/>
        <w:autoSpaceDE w:val="0"/>
        <w:autoSpaceDN w:val="0"/>
        <w:bidi w:val="0"/>
        <w:adjustRightInd w:val="0"/>
        <w:spacing w:line="360" w:lineRule="auto"/>
        <w:ind w:firstLine="540"/>
        <w:textAlignment w:val="auto"/>
        <w:outlineLvl w:val="1"/>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val="zh-CN"/>
        </w:rPr>
        <w:t>、补充条款：</w:t>
      </w:r>
    </w:p>
    <w:p w14:paraId="335919C1">
      <w:pPr>
        <w:keepNext w:val="0"/>
        <w:keepLines w:val="0"/>
        <w:kinsoku/>
        <w:wordWrap/>
        <w:overflowPunct/>
        <w:topLinePunct w:val="0"/>
        <w:autoSpaceDE w:val="0"/>
        <w:autoSpaceDN w:val="0"/>
        <w:bidi w:val="0"/>
        <w:adjustRightInd w:val="0"/>
        <w:spacing w:line="360" w:lineRule="auto"/>
        <w:ind w:firstLine="540"/>
        <w:textAlignment w:val="auto"/>
        <w:outlineLvl w:val="1"/>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lang w:val="zh-CN"/>
        </w:rPr>
        <w:t>结算办理</w:t>
      </w:r>
    </w:p>
    <w:p w14:paraId="744DCFFD">
      <w:pPr>
        <w:keepNext w:val="0"/>
        <w:keepLines w:val="0"/>
        <w:kinsoku/>
        <w:wordWrap/>
        <w:overflowPunct/>
        <w:topLinePunct w:val="0"/>
        <w:autoSpaceDE w:val="0"/>
        <w:autoSpaceDN w:val="0"/>
        <w:bidi w:val="0"/>
        <w:adjustRightInd w:val="0"/>
        <w:spacing w:line="360" w:lineRule="auto"/>
        <w:ind w:firstLine="539"/>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1、具备办理结算条件：合同内容全部完成，已移交完整的招投标资料（同时需</w:t>
      </w:r>
      <w:r>
        <w:rPr>
          <w:rFonts w:hint="eastAsia" w:ascii="宋体" w:hAnsi="宋体" w:cs="宋体"/>
          <w:color w:val="auto"/>
          <w:sz w:val="21"/>
          <w:szCs w:val="21"/>
          <w:highlight w:val="none"/>
          <w:lang w:val="en-US" w:eastAsia="zh-CN"/>
        </w:rPr>
        <w:t>将</w:t>
      </w:r>
      <w:r>
        <w:rPr>
          <w:rFonts w:hint="eastAsia" w:ascii="宋体" w:hAnsi="宋体" w:eastAsia="宋体" w:cs="宋体"/>
          <w:color w:val="auto"/>
          <w:sz w:val="21"/>
          <w:szCs w:val="21"/>
          <w:highlight w:val="none"/>
          <w:lang w:val="zh-CN"/>
        </w:rPr>
        <w:t>所有招投标资料扫描</w:t>
      </w:r>
      <w:r>
        <w:rPr>
          <w:rFonts w:hint="eastAsia" w:ascii="宋体" w:hAnsi="宋体" w:cs="宋体"/>
          <w:color w:val="auto"/>
          <w:sz w:val="21"/>
          <w:szCs w:val="21"/>
          <w:highlight w:val="none"/>
          <w:lang w:val="en-US" w:eastAsia="zh-CN"/>
        </w:rPr>
        <w:t>为</w:t>
      </w:r>
      <w:r>
        <w:rPr>
          <w:rFonts w:hint="eastAsia" w:ascii="宋体" w:hAnsi="宋体" w:eastAsia="宋体" w:cs="宋体"/>
          <w:color w:val="auto"/>
          <w:sz w:val="21"/>
          <w:szCs w:val="21"/>
          <w:highlight w:val="none"/>
          <w:lang w:val="zh-CN"/>
        </w:rPr>
        <w:t>PDF</w:t>
      </w:r>
      <w:r>
        <w:rPr>
          <w:rFonts w:hint="eastAsia" w:ascii="宋体" w:hAnsi="宋体" w:cs="宋体"/>
          <w:color w:val="auto"/>
          <w:sz w:val="21"/>
          <w:szCs w:val="21"/>
          <w:highlight w:val="none"/>
          <w:lang w:val="en-US" w:eastAsia="zh-CN"/>
        </w:rPr>
        <w:t>格式</w:t>
      </w:r>
      <w:r>
        <w:rPr>
          <w:rFonts w:hint="eastAsia" w:ascii="宋体" w:hAnsi="宋体" w:eastAsia="宋体" w:cs="宋体"/>
          <w:color w:val="auto"/>
          <w:sz w:val="21"/>
          <w:szCs w:val="21"/>
          <w:highlight w:val="none"/>
          <w:lang w:val="zh-CN"/>
        </w:rPr>
        <w:t>移交</w:t>
      </w:r>
      <w:r>
        <w:rPr>
          <w:rFonts w:hint="eastAsia" w:ascii="宋体" w:hAnsi="宋体" w:cs="宋体"/>
          <w:color w:val="auto"/>
          <w:sz w:val="21"/>
          <w:szCs w:val="21"/>
          <w:highlight w:val="none"/>
          <w:lang w:val="en-US" w:eastAsia="zh-CN"/>
        </w:rPr>
        <w:t>甲方存档</w:t>
      </w:r>
      <w:r>
        <w:rPr>
          <w:rFonts w:hint="eastAsia" w:ascii="宋体" w:hAnsi="宋体" w:eastAsia="宋体" w:cs="宋体"/>
          <w:color w:val="auto"/>
          <w:sz w:val="21"/>
          <w:szCs w:val="21"/>
          <w:highlight w:val="none"/>
          <w:lang w:val="zh-CN"/>
        </w:rPr>
        <w:t>）。</w:t>
      </w:r>
    </w:p>
    <w:p w14:paraId="7B16D093">
      <w:pPr>
        <w:keepNext w:val="0"/>
        <w:keepLines w:val="0"/>
        <w:kinsoku/>
        <w:wordWrap/>
        <w:overflowPunct/>
        <w:topLinePunct w:val="0"/>
        <w:autoSpaceDE w:val="0"/>
        <w:autoSpaceDN w:val="0"/>
        <w:bidi w:val="0"/>
        <w:adjustRightInd w:val="0"/>
        <w:spacing w:line="360" w:lineRule="auto"/>
        <w:ind w:firstLine="539"/>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结算须提供的资料：结算申请书（包括申请金额、计算过程、计算依据资料）、本合同内完成所有项目的中标通知书及中标人签收记录，招投标资料移交甲方签收记录，甲方签字确认的“已完工证明”，考核评价结果，及其他需要提供的资料。</w:t>
      </w:r>
    </w:p>
    <w:p w14:paraId="48235E71">
      <w:pPr>
        <w:keepNext w:val="0"/>
        <w:keepLines w:val="0"/>
        <w:kinsoku/>
        <w:wordWrap/>
        <w:overflowPunct/>
        <w:topLinePunct w:val="0"/>
        <w:autoSpaceDE w:val="0"/>
        <w:autoSpaceDN w:val="0"/>
        <w:bidi w:val="0"/>
        <w:adjustRightInd w:val="0"/>
        <w:spacing w:line="360" w:lineRule="auto"/>
        <w:ind w:firstLine="539"/>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3、由乙方提出正式书面结算申请，甲方审核完毕，双方签</w:t>
      </w:r>
      <w:r>
        <w:rPr>
          <w:rFonts w:hint="eastAsia" w:ascii="宋体" w:hAnsi="宋体" w:cs="宋体"/>
          <w:color w:val="auto"/>
          <w:sz w:val="21"/>
          <w:szCs w:val="21"/>
          <w:highlight w:val="none"/>
          <w:lang w:val="en-US" w:eastAsia="zh-CN"/>
        </w:rPr>
        <w:t>订</w:t>
      </w:r>
      <w:r>
        <w:rPr>
          <w:rFonts w:hint="eastAsia" w:ascii="宋体" w:hAnsi="宋体" w:eastAsia="宋体" w:cs="宋体"/>
          <w:color w:val="auto"/>
          <w:sz w:val="21"/>
          <w:szCs w:val="21"/>
          <w:highlight w:val="none"/>
          <w:lang w:val="zh-CN"/>
        </w:rPr>
        <w:t>“结算协议书”后，乙方可向甲方申请支付最终结算款项。</w:t>
      </w:r>
    </w:p>
    <w:p w14:paraId="0972FED1">
      <w:pPr>
        <w:pStyle w:val="2"/>
        <w:rPr>
          <w:rFonts w:hint="eastAsia" w:ascii="宋体" w:hAnsi="宋体" w:eastAsia="宋体" w:cs="宋体"/>
          <w:b/>
          <w:color w:val="auto"/>
          <w:sz w:val="21"/>
          <w:szCs w:val="21"/>
          <w:highlight w:val="none"/>
          <w:u w:val="single"/>
          <w:lang w:val="zh-CN" w:eastAsia="zh-CN"/>
        </w:rPr>
      </w:pPr>
      <w:r>
        <w:rPr>
          <w:rFonts w:hint="eastAsia" w:ascii="宋体" w:hAnsi="宋体" w:eastAsia="宋体" w:cs="宋体"/>
          <w:b/>
          <w:color w:val="auto"/>
          <w:sz w:val="21"/>
          <w:szCs w:val="21"/>
          <w:highlight w:val="none"/>
          <w:u w:val="single"/>
          <w:lang w:val="zh-CN" w:eastAsia="zh-CN"/>
        </w:rPr>
        <w:t>18、合同附件</w:t>
      </w:r>
    </w:p>
    <w:p w14:paraId="42330945">
      <w:pPr>
        <w:pStyle w:val="2"/>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附件1：阳光合作协议</w:t>
      </w:r>
    </w:p>
    <w:p w14:paraId="6A4E8243">
      <w:pPr>
        <w:pStyle w:val="2"/>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附件2：</w:t>
      </w:r>
      <w:r>
        <w:rPr>
          <w:rFonts w:hint="eastAsia" w:hAnsi="宋体" w:cs="宋体"/>
          <w:color w:val="auto"/>
          <w:sz w:val="21"/>
          <w:szCs w:val="21"/>
          <w:highlight w:val="none"/>
          <w:lang w:val="en-US" w:eastAsia="zh-CN"/>
        </w:rPr>
        <w:t>成交</w:t>
      </w:r>
      <w:r>
        <w:rPr>
          <w:rFonts w:hint="default" w:ascii="宋体" w:hAnsi="宋体" w:eastAsia="宋体" w:cs="宋体"/>
          <w:color w:val="auto"/>
          <w:sz w:val="21"/>
          <w:szCs w:val="21"/>
          <w:highlight w:val="none"/>
          <w:lang w:val="en-US" w:eastAsia="zh-CN"/>
        </w:rPr>
        <w:t xml:space="preserve">通知书            </w:t>
      </w:r>
    </w:p>
    <w:p w14:paraId="3EE00FB9">
      <w:pPr>
        <w:pStyle w:val="2"/>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附件3：</w:t>
      </w:r>
      <w:r>
        <w:rPr>
          <w:rFonts w:hint="eastAsia" w:hAnsi="宋体" w:cs="宋体"/>
          <w:color w:val="auto"/>
          <w:sz w:val="21"/>
          <w:szCs w:val="21"/>
          <w:highlight w:val="none"/>
          <w:lang w:val="en-US" w:eastAsia="zh-CN"/>
        </w:rPr>
        <w:t>采购</w:t>
      </w:r>
      <w:r>
        <w:rPr>
          <w:rFonts w:hint="default" w:ascii="宋体" w:hAnsi="宋体" w:eastAsia="宋体" w:cs="宋体"/>
          <w:color w:val="auto"/>
          <w:sz w:val="21"/>
          <w:szCs w:val="21"/>
          <w:highlight w:val="none"/>
          <w:lang w:val="en-US" w:eastAsia="zh-CN"/>
        </w:rPr>
        <w:t>文件</w:t>
      </w:r>
    </w:p>
    <w:p w14:paraId="158AD4B9">
      <w:pPr>
        <w:pStyle w:val="2"/>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附件4：</w:t>
      </w:r>
      <w:r>
        <w:rPr>
          <w:rFonts w:hint="eastAsia" w:hAnsi="宋体" w:cs="宋体"/>
          <w:color w:val="auto"/>
          <w:sz w:val="21"/>
          <w:szCs w:val="21"/>
          <w:highlight w:val="none"/>
          <w:lang w:val="en-US" w:eastAsia="zh-CN"/>
        </w:rPr>
        <w:t>响应</w:t>
      </w:r>
      <w:r>
        <w:rPr>
          <w:rFonts w:hint="default" w:ascii="宋体" w:hAnsi="宋体" w:eastAsia="宋体" w:cs="宋体"/>
          <w:color w:val="auto"/>
          <w:sz w:val="21"/>
          <w:szCs w:val="21"/>
          <w:highlight w:val="none"/>
          <w:lang w:val="en-US" w:eastAsia="zh-CN"/>
        </w:rPr>
        <w:t>文件</w:t>
      </w:r>
    </w:p>
    <w:p w14:paraId="4C4D2BB9">
      <w:pPr>
        <w:pStyle w:val="2"/>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附件5：履约担保凭证</w:t>
      </w:r>
    </w:p>
    <w:p w14:paraId="50F11317">
      <w:pPr>
        <w:bidi w:val="0"/>
        <w:rPr>
          <w:rFonts w:hint="eastAsia"/>
          <w:color w:val="auto"/>
          <w:highlight w:val="none"/>
        </w:rPr>
      </w:pPr>
      <w:r>
        <w:rPr>
          <w:rFonts w:hint="eastAsia"/>
          <w:color w:val="auto"/>
          <w:highlight w:val="none"/>
        </w:rPr>
        <w:br w:type="page"/>
      </w:r>
    </w:p>
    <w:p w14:paraId="2E6A593E">
      <w:pPr>
        <w:spacing w:line="480" w:lineRule="exact"/>
        <w:outlineLvl w:val="0"/>
        <w:rPr>
          <w:rFonts w:hint="eastAsia" w:ascii="宋体" w:hAnsi="宋体"/>
          <w:b/>
          <w:color w:val="auto"/>
          <w:highlight w:val="none"/>
        </w:rPr>
      </w:pPr>
      <w:r>
        <w:rPr>
          <w:rFonts w:hint="eastAsia" w:ascii="宋体" w:hAnsi="宋体"/>
          <w:b/>
          <w:color w:val="auto"/>
          <w:highlight w:val="none"/>
        </w:rPr>
        <w:t>附件</w:t>
      </w:r>
      <w:r>
        <w:rPr>
          <w:rFonts w:hint="eastAsia" w:ascii="宋体" w:hAnsi="宋体"/>
          <w:b/>
          <w:color w:val="auto"/>
          <w:highlight w:val="none"/>
          <w:lang w:val="en-US" w:eastAsia="zh-CN"/>
        </w:rPr>
        <w:t>一</w:t>
      </w:r>
      <w:r>
        <w:rPr>
          <w:rFonts w:hint="eastAsia" w:ascii="宋体" w:hAnsi="宋体"/>
          <w:b/>
          <w:color w:val="auto"/>
          <w:highlight w:val="none"/>
        </w:rPr>
        <w:t xml:space="preserve">： </w:t>
      </w:r>
    </w:p>
    <w:p w14:paraId="1ED1E73C">
      <w:pPr>
        <w:keepNext w:val="0"/>
        <w:keepLines w:val="0"/>
        <w:pageBreakBefore w:val="0"/>
        <w:kinsoku/>
        <w:wordWrap/>
        <w:overflowPunct/>
        <w:topLinePunct w:val="0"/>
        <w:autoSpaceDE/>
        <w:autoSpaceDN/>
        <w:bidi w:val="0"/>
        <w:adjustRightInd/>
        <w:snapToGrid/>
        <w:spacing w:line="360" w:lineRule="auto"/>
        <w:ind w:firstLine="880" w:firstLineChars="200"/>
        <w:jc w:val="center"/>
        <w:textAlignment w:val="auto"/>
        <w:rPr>
          <w:rFonts w:ascii="Arial Unicode MS" w:hAnsi="黑体" w:eastAsia="Arial Unicode MS"/>
          <w:b/>
          <w:color w:val="auto"/>
          <w:sz w:val="44"/>
          <w:szCs w:val="44"/>
          <w:highlight w:val="none"/>
        </w:rPr>
      </w:pPr>
      <w:r>
        <w:rPr>
          <w:rFonts w:hint="eastAsia" w:ascii="Arial Unicode MS" w:hAnsi="黑体" w:eastAsia="Arial Unicode MS"/>
          <w:b/>
          <w:color w:val="auto"/>
          <w:sz w:val="44"/>
          <w:szCs w:val="44"/>
          <w:highlight w:val="none"/>
        </w:rPr>
        <w:t>阳光合作协议</w:t>
      </w:r>
    </w:p>
    <w:p w14:paraId="661DE328">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eastAsia" w:ascii="宋体" w:hAnsi="宋体" w:eastAsia="宋体"/>
          <w:color w:val="auto"/>
          <w:sz w:val="21"/>
          <w:szCs w:val="21"/>
          <w:highlight w:val="none"/>
          <w:u w:val="single"/>
          <w:lang w:val="en-US" w:eastAsia="zh-CN"/>
        </w:rPr>
      </w:pPr>
      <w:r>
        <w:rPr>
          <w:rFonts w:hint="eastAsia" w:ascii="宋体" w:hAnsi="宋体"/>
          <w:color w:val="auto"/>
          <w:sz w:val="21"/>
          <w:szCs w:val="21"/>
          <w:highlight w:val="none"/>
        </w:rPr>
        <w:t>甲方：</w:t>
      </w:r>
      <w:r>
        <w:rPr>
          <w:rFonts w:hint="eastAsia" w:ascii="宋体" w:hAnsi="宋体"/>
          <w:color w:val="auto"/>
          <w:sz w:val="21"/>
          <w:szCs w:val="21"/>
          <w:highlight w:val="none"/>
          <w:lang w:eastAsia="zh-CN"/>
        </w:rPr>
        <w:t>东莞市立沙岛投资有限公司</w:t>
      </w:r>
    </w:p>
    <w:p w14:paraId="1C95B01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乙方：</w:t>
      </w:r>
      <w:r>
        <w:rPr>
          <w:rFonts w:hint="eastAsia" w:ascii="宋体" w:hAnsi="宋体"/>
          <w:color w:val="auto"/>
          <w:sz w:val="21"/>
          <w:szCs w:val="21"/>
          <w:highlight w:val="none"/>
          <w:lang w:val="en-US" w:eastAsia="zh-CN"/>
        </w:rPr>
        <w:t xml:space="preserve"> </w:t>
      </w:r>
    </w:p>
    <w:p w14:paraId="2FB6C53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ascii="宋体" w:hAnsi="宋体"/>
          <w:color w:val="auto"/>
          <w:sz w:val="21"/>
          <w:szCs w:val="21"/>
          <w:highlight w:val="none"/>
        </w:rPr>
        <w:t>甲乙双方于</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日签署了《</w:t>
      </w:r>
      <w:r>
        <w:rPr>
          <w:rFonts w:hint="eastAsia" w:ascii="宋体" w:hAnsi="宋体"/>
          <w:color w:val="auto"/>
          <w:sz w:val="21"/>
          <w:szCs w:val="21"/>
          <w:highlight w:val="none"/>
          <w:u w:val="single"/>
          <w:lang w:val="en-US" w:eastAsia="zh-CN"/>
        </w:rPr>
        <w:t xml:space="preserve"> 东莞市立沙岛绿色新材料产业园项目招标代理</w:t>
      </w:r>
      <w:r>
        <w:rPr>
          <w:rFonts w:hint="eastAsia" w:ascii="宋体" w:hAnsi="宋体"/>
          <w:color w:val="auto"/>
          <w:sz w:val="21"/>
          <w:szCs w:val="21"/>
          <w:highlight w:val="none"/>
          <w:lang w:val="en-US" w:eastAsia="zh-CN"/>
        </w:rPr>
        <w:t>合同</w:t>
      </w:r>
      <w:r>
        <w:rPr>
          <w:rFonts w:hint="eastAsia" w:ascii="宋体" w:hAnsi="宋体"/>
          <w:color w:val="auto"/>
          <w:sz w:val="21"/>
          <w:szCs w:val="21"/>
          <w:highlight w:val="none"/>
        </w:rPr>
        <w:t>》（以下简称原合同），为加强双方阳光合作，保证职员职业安全，甲乙双方经协商签订本协议并作为双方共同遵守的阳光合作行为准则。</w:t>
      </w:r>
    </w:p>
    <w:p w14:paraId="47D92AF0">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一、</w:t>
      </w:r>
      <w:r>
        <w:rPr>
          <w:rFonts w:hint="eastAsia" w:ascii="宋体" w:hAnsi="宋体"/>
          <w:b/>
          <w:color w:val="auto"/>
          <w:sz w:val="21"/>
          <w:szCs w:val="21"/>
          <w:highlight w:val="none"/>
        </w:rPr>
        <w:t>甲方责任</w:t>
      </w:r>
    </w:p>
    <w:p w14:paraId="3668E7DC">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1.甲方有责任向乙方介绍本单位有关采购管理通用原则和本协议的规定。</w:t>
      </w:r>
    </w:p>
    <w:p w14:paraId="2557129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2.甲方有责任对本单位相关人员进行阳光合作教育。</w:t>
      </w:r>
    </w:p>
    <w:p w14:paraId="59AE3408">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3.甲方人员应严格遵守本单位有关阳光合作管理的规定，不得接受乙方任何形式的回扣、实物、现金、有价证券、礼券等有价物品，不得参加乙方提供的旅游或其他可能影响职务行为公正履行的活动。</w:t>
      </w:r>
    </w:p>
    <w:p w14:paraId="59225F5E">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4.甲方人员如违反阳光合作管理制度及本协议规定，甲方视情节轻重、影响大小给予行政及经济处罚。</w:t>
      </w:r>
    </w:p>
    <w:p w14:paraId="0927AF9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5．对于乙方举报甲方人员违反阳光合作规定的情况，甲方应及时进行调查，根据调查情况进行处理，并将调查结果向乙方反馈。</w:t>
      </w:r>
    </w:p>
    <w:p w14:paraId="6864C6A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6.接受举报的一方应为举报方保密，不得对举报方进行报复，对举报属实和严格遵守《阳光合作协议》的合作方，在同等条件下给予后续合作的优先权。</w:t>
      </w:r>
    </w:p>
    <w:p w14:paraId="2320E6CB">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二、</w:t>
      </w:r>
      <w:r>
        <w:rPr>
          <w:rFonts w:hint="eastAsia" w:ascii="宋体" w:hAnsi="宋体"/>
          <w:b/>
          <w:color w:val="auto"/>
          <w:sz w:val="21"/>
          <w:szCs w:val="21"/>
          <w:highlight w:val="none"/>
        </w:rPr>
        <w:t>乙方责任</w:t>
      </w:r>
    </w:p>
    <w:p w14:paraId="292667A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1.乙方应保证乙方人员了解甲方有关采购管理通用原则和及本协议的规定，并遵照执行。</w:t>
      </w:r>
    </w:p>
    <w:p w14:paraId="0A1D91F9">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14:paraId="2E023C1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3.乙方有责任接受甲方对乙方在合作期间阳光合作管理执行情况的监督，并对甲方相关调查工作主动配合。</w:t>
      </w:r>
    </w:p>
    <w:p w14:paraId="463FC63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4.乙方有义务就甲方人员任何形式的索取或收受财物行为及时向甲方（直接联系人为东莞实业投资控股集团有限公司</w:t>
      </w:r>
      <w:r>
        <w:rPr>
          <w:rFonts w:hint="eastAsia" w:ascii="宋体" w:hAnsi="宋体"/>
          <w:color w:val="auto"/>
          <w:sz w:val="21"/>
          <w:szCs w:val="21"/>
          <w:highlight w:val="none"/>
          <w:lang w:val="en-US" w:eastAsia="zh-CN"/>
        </w:rPr>
        <w:t>风控法务部</w:t>
      </w:r>
      <w:r>
        <w:rPr>
          <w:rFonts w:hint="eastAsia" w:ascii="宋体" w:hAnsi="宋体"/>
          <w:color w:val="auto"/>
          <w:sz w:val="21"/>
          <w:szCs w:val="21"/>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4CDD824E">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5．甲方接受乙方实名或匿名举报，保证为举报者的信息保密，常设举报部门及电</w:t>
      </w:r>
      <w:r>
        <w:rPr>
          <w:rFonts w:hint="eastAsia" w:ascii="宋体" w:hAnsi="宋体" w:eastAsia="宋体"/>
          <w:color w:val="auto"/>
          <w:sz w:val="21"/>
          <w:szCs w:val="21"/>
          <w:highlight w:val="none"/>
          <w:lang w:val="en-US" w:eastAsia="zh-CN"/>
        </w:rPr>
        <w:t>话</w:t>
      </w:r>
      <w:r>
        <w:rPr>
          <w:rFonts w:hint="eastAsia" w:ascii="宋体" w:hAnsi="宋体"/>
          <w:color w:val="auto"/>
          <w:sz w:val="21"/>
          <w:szCs w:val="21"/>
          <w:highlight w:val="none"/>
        </w:rPr>
        <w:t xml:space="preserve">： </w:t>
      </w:r>
    </w:p>
    <w:p w14:paraId="5AC6D3AD">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举报受理部门：东莞实业投资控股集团有限公司</w:t>
      </w:r>
      <w:r>
        <w:rPr>
          <w:rFonts w:hint="eastAsia" w:ascii="宋体" w:hAnsi="宋体"/>
          <w:color w:val="auto"/>
          <w:sz w:val="21"/>
          <w:szCs w:val="21"/>
          <w:highlight w:val="none"/>
          <w:lang w:val="en-US" w:eastAsia="zh-CN"/>
        </w:rPr>
        <w:t>风控法务部</w:t>
      </w:r>
    </w:p>
    <w:p w14:paraId="09D9492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东实集团举报邮箱：dgsyxf@163.com</w:t>
      </w:r>
    </w:p>
    <w:p w14:paraId="2207CAFE">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东实集团举报电话：0769-28820703（周一至周五9:00-12:00和14:00-18:00）</w:t>
      </w:r>
    </w:p>
    <w:p w14:paraId="72BB1FD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邮寄地址：东莞市东城区八一路1号机关二号大院9号楼，东莞实业投资控股集团有限公司</w:t>
      </w:r>
      <w:r>
        <w:rPr>
          <w:rFonts w:hint="eastAsia" w:ascii="宋体" w:hAnsi="宋体"/>
          <w:color w:val="auto"/>
          <w:sz w:val="21"/>
          <w:szCs w:val="21"/>
          <w:highlight w:val="none"/>
          <w:lang w:val="en-US" w:eastAsia="zh-CN"/>
        </w:rPr>
        <w:t>风控法务部</w:t>
      </w:r>
      <w:r>
        <w:rPr>
          <w:rFonts w:hint="eastAsia" w:ascii="宋体" w:hAnsi="宋体"/>
          <w:color w:val="auto"/>
          <w:sz w:val="21"/>
          <w:szCs w:val="21"/>
          <w:highlight w:val="none"/>
        </w:rPr>
        <w:t>收，邮编523000。</w:t>
      </w:r>
    </w:p>
    <w:p w14:paraId="0753A5FC">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三、</w:t>
      </w:r>
      <w:r>
        <w:rPr>
          <w:rFonts w:hint="eastAsia" w:ascii="宋体" w:hAnsi="宋体"/>
          <w:b/>
          <w:color w:val="auto"/>
          <w:sz w:val="21"/>
          <w:szCs w:val="21"/>
          <w:highlight w:val="none"/>
        </w:rPr>
        <w:t>其他</w:t>
      </w:r>
    </w:p>
    <w:p w14:paraId="3ADA7808">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1.本协议是原合同的补充协议，与原合同有同等法律效力。</w:t>
      </w:r>
    </w:p>
    <w:p w14:paraId="3D76A473">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本</w:t>
      </w:r>
      <w:r>
        <w:rPr>
          <w:rFonts w:hint="eastAsia" w:ascii="宋体" w:hAnsi="宋体"/>
          <w:color w:val="auto"/>
          <w:sz w:val="21"/>
          <w:szCs w:val="21"/>
          <w:highlight w:val="none"/>
        </w:rPr>
        <w:t>协议</w:t>
      </w:r>
      <w:r>
        <w:rPr>
          <w:rFonts w:ascii="宋体" w:hAnsi="宋体"/>
          <w:color w:val="auto"/>
          <w:sz w:val="21"/>
          <w:szCs w:val="21"/>
          <w:highlight w:val="none"/>
        </w:rPr>
        <w:t>一式</w:t>
      </w:r>
      <w:r>
        <w:rPr>
          <w:rFonts w:hint="eastAsia" w:ascii="宋体" w:hAnsi="宋体"/>
          <w:color w:val="auto"/>
          <w:sz w:val="21"/>
          <w:szCs w:val="21"/>
          <w:highlight w:val="none"/>
          <w:u w:val="single"/>
          <w:lang w:val="en-US" w:eastAsia="zh-CN"/>
        </w:rPr>
        <w:t>陆</w:t>
      </w:r>
      <w:r>
        <w:rPr>
          <w:rFonts w:ascii="宋体" w:hAnsi="宋体"/>
          <w:color w:val="auto"/>
          <w:sz w:val="21"/>
          <w:szCs w:val="21"/>
          <w:highlight w:val="none"/>
        </w:rPr>
        <w:t>份，甲方执</w:t>
      </w:r>
      <w:r>
        <w:rPr>
          <w:rFonts w:hint="eastAsia" w:ascii="宋体" w:hAnsi="宋体"/>
          <w:color w:val="auto"/>
          <w:sz w:val="21"/>
          <w:szCs w:val="21"/>
          <w:highlight w:val="none"/>
          <w:u w:val="single"/>
          <w:lang w:val="en-US" w:eastAsia="zh-CN"/>
        </w:rPr>
        <w:t>叁</w:t>
      </w:r>
      <w:r>
        <w:rPr>
          <w:rFonts w:ascii="宋体" w:hAnsi="宋体"/>
          <w:color w:val="auto"/>
          <w:sz w:val="21"/>
          <w:szCs w:val="21"/>
          <w:highlight w:val="none"/>
        </w:rPr>
        <w:t>份，乙方执</w:t>
      </w:r>
      <w:r>
        <w:rPr>
          <w:rFonts w:hint="eastAsia" w:ascii="宋体" w:hAnsi="宋体"/>
          <w:color w:val="auto"/>
          <w:sz w:val="21"/>
          <w:szCs w:val="21"/>
          <w:highlight w:val="none"/>
          <w:u w:val="single"/>
          <w:lang w:val="en-US" w:eastAsia="zh-CN"/>
        </w:rPr>
        <w:t>叁</w:t>
      </w:r>
      <w:r>
        <w:rPr>
          <w:rFonts w:ascii="宋体" w:hAnsi="宋体"/>
          <w:color w:val="auto"/>
          <w:sz w:val="21"/>
          <w:szCs w:val="21"/>
          <w:highlight w:val="none"/>
        </w:rPr>
        <w:t>份</w:t>
      </w:r>
      <w:r>
        <w:rPr>
          <w:rFonts w:hint="eastAsia" w:ascii="宋体" w:hAnsi="宋体"/>
          <w:color w:val="auto"/>
          <w:sz w:val="21"/>
          <w:szCs w:val="21"/>
          <w:highlight w:val="none"/>
        </w:rPr>
        <w:t>,具有同等法律效力。</w:t>
      </w:r>
    </w:p>
    <w:p w14:paraId="707920F8">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3.本协议经双方签署后生效。</w:t>
      </w:r>
    </w:p>
    <w:p w14:paraId="0BEE0535">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14:paraId="0D023B0C">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0" w:firstLineChars="0"/>
        <w:contextualSpacing/>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rPr>
        <w:t>甲方（盖章）：</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 xml:space="preserve"> 乙方（盖章）：</w:t>
      </w:r>
      <w:r>
        <w:rPr>
          <w:rFonts w:hint="eastAsia" w:ascii="宋体" w:hAnsi="宋体"/>
          <w:color w:val="auto"/>
          <w:sz w:val="21"/>
          <w:szCs w:val="21"/>
          <w:highlight w:val="none"/>
          <w:lang w:val="en-US" w:eastAsia="zh-CN"/>
        </w:rPr>
        <w:t xml:space="preserve"> </w:t>
      </w:r>
    </w:p>
    <w:p w14:paraId="65C27B26">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0" w:firstLineChars="0"/>
        <w:contextualSpacing/>
        <w:textAlignment w:val="auto"/>
        <w:rPr>
          <w:rFonts w:ascii="宋体"/>
          <w:color w:val="auto"/>
          <w:sz w:val="21"/>
          <w:szCs w:val="21"/>
          <w:highlight w:val="none"/>
        </w:rPr>
      </w:pPr>
      <w:r>
        <w:rPr>
          <w:rFonts w:hint="eastAsia" w:ascii="宋体" w:hAnsi="宋体"/>
          <w:color w:val="auto"/>
          <w:sz w:val="21"/>
          <w:szCs w:val="21"/>
          <w:highlight w:val="none"/>
        </w:rPr>
        <w:t>法定代表人（授权代表）：</w:t>
      </w:r>
      <w:r>
        <w:rPr>
          <w:rFonts w:hint="eastAsia" w:ascii="宋体"/>
          <w:color w:val="auto"/>
          <w:sz w:val="21"/>
          <w:szCs w:val="21"/>
          <w:highlight w:val="none"/>
        </w:rPr>
        <w:tab/>
      </w:r>
      <w:r>
        <w:rPr>
          <w:rFonts w:hint="eastAsia" w:ascii="宋体"/>
          <w:color w:val="auto"/>
          <w:sz w:val="21"/>
          <w:szCs w:val="21"/>
          <w:highlight w:val="none"/>
        </w:rPr>
        <w:tab/>
      </w:r>
      <w:r>
        <w:rPr>
          <w:rFonts w:hint="eastAsia" w:ascii="宋体"/>
          <w:color w:val="auto"/>
          <w:sz w:val="21"/>
          <w:szCs w:val="21"/>
          <w:highlight w:val="none"/>
          <w:lang w:val="en-US" w:eastAsia="zh-CN"/>
        </w:rPr>
        <w:t xml:space="preserve">        </w:t>
      </w:r>
      <w:r>
        <w:rPr>
          <w:rFonts w:hint="eastAsia" w:ascii="宋体" w:hAnsi="宋体"/>
          <w:color w:val="auto"/>
          <w:sz w:val="21"/>
          <w:szCs w:val="21"/>
          <w:highlight w:val="none"/>
        </w:rPr>
        <w:t>法定代表人（授权代表）：</w:t>
      </w:r>
    </w:p>
    <w:p w14:paraId="07221E23">
      <w:pPr>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0" w:firstLineChars="0"/>
        <w:contextualSpacing/>
        <w:textAlignment w:val="auto"/>
        <w:rPr>
          <w:rFonts w:hint="eastAsia" w:ascii="宋体" w:hAnsi="宋体"/>
          <w:b/>
          <w:color w:val="auto"/>
          <w:highlight w:val="none"/>
        </w:rPr>
      </w:pPr>
      <w:r>
        <w:rPr>
          <w:rFonts w:hint="eastAsia" w:ascii="宋体" w:hAnsi="宋体"/>
          <w:color w:val="auto"/>
          <w:sz w:val="21"/>
          <w:szCs w:val="21"/>
          <w:highlight w:val="none"/>
        </w:rPr>
        <w:t>签约日期：</w:t>
      </w:r>
      <w:r>
        <w:rPr>
          <w:rFonts w:hint="eastAsia" w:ascii="宋体" w:hAnsi="宋体"/>
          <w:color w:val="auto"/>
          <w:sz w:val="21"/>
          <w:szCs w:val="21"/>
          <w:highlight w:val="none"/>
          <w:lang w:val="en-US" w:eastAsia="zh-CN"/>
        </w:rPr>
        <w:t>2026</w:t>
      </w:r>
      <w:r>
        <w:rPr>
          <w:rFonts w:hint="eastAsia" w:ascii="宋体" w:hAnsi="宋体"/>
          <w:color w:val="auto"/>
          <w:sz w:val="21"/>
          <w:szCs w:val="21"/>
          <w:highlight w:val="none"/>
        </w:rPr>
        <w:t>年   月   日</w:t>
      </w:r>
      <w:bookmarkStart w:id="185" w:name="现场签证通知单"/>
      <w:bookmarkEnd w:id="185"/>
      <w:bookmarkStart w:id="186" w:name="设计变更通知单"/>
      <w:bookmarkEnd w:id="186"/>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ascii="宋体" w:hAnsi="宋体"/>
          <w:color w:val="auto"/>
          <w:sz w:val="21"/>
          <w:szCs w:val="21"/>
          <w:highlight w:val="none"/>
        </w:rPr>
        <w:t>签约日期：</w:t>
      </w:r>
      <w:r>
        <w:rPr>
          <w:rFonts w:hint="eastAsia" w:ascii="宋体" w:hAnsi="宋体"/>
          <w:color w:val="auto"/>
          <w:sz w:val="21"/>
          <w:szCs w:val="21"/>
          <w:highlight w:val="none"/>
          <w:lang w:val="en-US" w:eastAsia="zh-CN"/>
        </w:rPr>
        <w:t>2026</w:t>
      </w:r>
      <w:r>
        <w:rPr>
          <w:rFonts w:hint="eastAsia" w:ascii="宋体" w:hAnsi="宋体"/>
          <w:color w:val="auto"/>
          <w:sz w:val="21"/>
          <w:szCs w:val="21"/>
          <w:highlight w:val="none"/>
        </w:rPr>
        <w:t>年   月   日</w:t>
      </w:r>
      <w:r>
        <w:rPr>
          <w:rFonts w:hint="eastAsia" w:ascii="宋体" w:hAnsi="宋体"/>
          <w:b/>
          <w:color w:val="auto"/>
          <w:highlight w:val="none"/>
        </w:rPr>
        <w:br w:type="page"/>
      </w:r>
    </w:p>
    <w:p w14:paraId="6EE71992">
      <w:pPr>
        <w:spacing w:line="480" w:lineRule="exact"/>
        <w:outlineLvl w:val="0"/>
        <w:rPr>
          <w:rFonts w:ascii="宋体" w:hAnsi="宋体"/>
          <w:color w:val="auto"/>
          <w:sz w:val="24"/>
          <w:highlight w:val="none"/>
          <w:vertAlign w:val="subscript"/>
        </w:rPr>
      </w:pPr>
      <w:r>
        <w:rPr>
          <w:rFonts w:hint="eastAsia" w:ascii="宋体" w:hAnsi="宋体"/>
          <w:b/>
          <w:color w:val="auto"/>
          <w:highlight w:val="none"/>
        </w:rPr>
        <w:t>附件</w:t>
      </w:r>
      <w:r>
        <w:rPr>
          <w:rFonts w:hint="eastAsia" w:ascii="宋体" w:hAnsi="宋体"/>
          <w:b/>
          <w:color w:val="auto"/>
          <w:highlight w:val="none"/>
          <w:lang w:val="en-US" w:eastAsia="zh-CN"/>
        </w:rPr>
        <w:t>二</w:t>
      </w:r>
      <w:r>
        <w:rPr>
          <w:rFonts w:hint="eastAsia" w:ascii="宋体" w:hAnsi="宋体"/>
          <w:b/>
          <w:color w:val="auto"/>
          <w:highlight w:val="none"/>
        </w:rPr>
        <w:t xml:space="preserve">：  </w:t>
      </w:r>
      <w:r>
        <w:rPr>
          <w:rFonts w:hint="eastAsia" w:ascii="宋体" w:hAnsi="宋体"/>
          <w:color w:val="auto"/>
          <w:sz w:val="24"/>
          <w:highlight w:val="none"/>
          <w:vertAlign w:val="subscript"/>
        </w:rPr>
        <w:t xml:space="preserve">                              </w:t>
      </w:r>
    </w:p>
    <w:p w14:paraId="5F6DB0F0">
      <w:pPr>
        <w:keepNext w:val="0"/>
        <w:keepLines w:val="0"/>
        <w:pageBreakBefore w:val="0"/>
        <w:kinsoku/>
        <w:wordWrap/>
        <w:overflowPunct/>
        <w:topLinePunct w:val="0"/>
        <w:autoSpaceDE/>
        <w:autoSpaceDN/>
        <w:bidi w:val="0"/>
        <w:adjustRightInd/>
        <w:snapToGrid/>
        <w:spacing w:line="360" w:lineRule="auto"/>
        <w:ind w:firstLine="880" w:firstLineChars="200"/>
        <w:jc w:val="center"/>
        <w:textAlignment w:val="auto"/>
        <w:rPr>
          <w:rFonts w:hint="eastAsia" w:ascii="Arial Unicode MS" w:hAnsi="黑体" w:eastAsia="Arial Unicode MS"/>
          <w:b/>
          <w:color w:val="auto"/>
          <w:sz w:val="44"/>
          <w:szCs w:val="44"/>
          <w:highlight w:val="none"/>
          <w:lang w:val="zh-CN"/>
        </w:rPr>
      </w:pPr>
      <w:r>
        <w:rPr>
          <w:rFonts w:hint="eastAsia" w:ascii="Arial Unicode MS" w:hAnsi="黑体" w:eastAsia="Arial Unicode MS"/>
          <w:b/>
          <w:color w:val="auto"/>
          <w:sz w:val="44"/>
          <w:szCs w:val="44"/>
          <w:highlight w:val="none"/>
          <w:lang w:val="zh-CN"/>
        </w:rPr>
        <w:t>项目保密承诺书</w:t>
      </w:r>
    </w:p>
    <w:p w14:paraId="52E1F863">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p>
    <w:p w14:paraId="60318CF1">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为保证合作双方实现顺利合作，避免因信息泄露而给受服务企业造成损失，本单位以及本单位派驻本项目人员承诺遵守本保密承诺书内容。</w:t>
      </w:r>
    </w:p>
    <w:p w14:paraId="6322C525">
      <w:pPr>
        <w:keepNext w:val="0"/>
        <w:keepLines w:val="0"/>
        <w:pageBreakBefore w:val="0"/>
        <w:widowControl/>
        <w:kinsoku/>
        <w:wordWrap/>
        <w:overflowPunct/>
        <w:topLinePunct w:val="0"/>
        <w:autoSpaceDE w:val="0"/>
        <w:autoSpaceDN w:val="0"/>
        <w:bidi w:val="0"/>
        <w:adjustRightInd w:val="0"/>
        <w:snapToGrid w:val="0"/>
        <w:spacing w:line="360" w:lineRule="auto"/>
        <w:ind w:firstLine="210" w:firstLineChars="1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1． 保密信息</w:t>
      </w:r>
    </w:p>
    <w:p w14:paraId="70CA3E1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本承诺书所示保密信息为合作项目中涉及的以及该项目合作过程中获取的受服务企业或其关联公司尚未公开的信息。</w:t>
      </w:r>
    </w:p>
    <w:p w14:paraId="4E181997">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1.1信息内容包含符合法律规定条件的商业秘密，也包含尚未达到法律规定商业秘密构成条件的其他保密材料。包含但不限于：</w:t>
      </w:r>
    </w:p>
    <w:p w14:paraId="4D2DFA08">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 技术资料：技术方案、工程设计、技术报告、检测报告、勘察报告、实验数据、图纸规划方案、CAD数据资料、成本分析及投资测算等；</w:t>
      </w:r>
    </w:p>
    <w:p w14:paraId="754F8773">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 商业信息：经营战略、经营方向、经营规划、企划方案、经营项目、项目方案及经营决策等；</w:t>
      </w:r>
    </w:p>
    <w:p w14:paraId="4598D09C">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 财务信息等。</w:t>
      </w:r>
    </w:p>
    <w:p w14:paraId="52C90BF4">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1.2 信息储存方式包含但不限于：</w:t>
      </w:r>
    </w:p>
    <w:p w14:paraId="7B218ED5">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 以手写、打印、软件、磁盘、光盘、胶片或其它可存取的方式记载的财务、技术或商业信息；</w:t>
      </w:r>
    </w:p>
    <w:p w14:paraId="01BB4AD1">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 以口头方式说明需要保密的财务、技术或商业信息；</w:t>
      </w:r>
    </w:p>
    <w:p w14:paraId="700620F7">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c. 以软件代码、文字图像、分析注释、备忘录、图纸、研究报告、编辑数据等各种方式出现的财务、技术或商业信息等。</w:t>
      </w:r>
    </w:p>
    <w:p w14:paraId="57651201">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 信息范围包含但不限于：</w:t>
      </w:r>
    </w:p>
    <w:p w14:paraId="5C734642">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a. 信息包含双方在讨论合作过程中，包括但不限于在受服务企业处参观、考察的过程中以其它形式获得的财务、技术或商业信息；</w:t>
      </w:r>
    </w:p>
    <w:p w14:paraId="1F28F737">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b. 信息范围不仅包含本项目的各种文件、技术资料等，还包含在双方合作或会议讨论过程中获得的关于受服务企业或其关联公司的其他财务、技术或商业信息。</w:t>
      </w:r>
    </w:p>
    <w:p w14:paraId="4F3D77FC">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 保密义务</w:t>
      </w:r>
    </w:p>
    <w:p w14:paraId="7E5CB3E8">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 项目未发布公告之前，不能泄露与此项目相关的招标情况。</w:t>
      </w:r>
    </w:p>
    <w:p w14:paraId="02D598F7">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 招标文件未出正式发布之前，不能泄露招标文件的具体内容。</w:t>
      </w:r>
    </w:p>
    <w:p w14:paraId="20F48670">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2.3 在参与受服务企业会议讨论阶段，不能向外透露会议的信息内容。</w:t>
      </w:r>
    </w:p>
    <w:p w14:paraId="2F998BBA">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2.4 向项目报名人提供项目必须配套资料时，必须要求报名人不能对外泄露项目资料与项目相关信息，否则追究报名人法律责任。</w:t>
      </w:r>
    </w:p>
    <w:p w14:paraId="5B043CAD">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2.5项目发布前后，始终对保密资料保密，不在项目之外使用对方提供的保密信息及掌握的公司保密信息。</w:t>
      </w:r>
    </w:p>
    <w:p w14:paraId="4DC65A59">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2.6未经受服务企业同意，不向任何第三方提供保密信息以及可以接触上述保密信息的手段，包括在公开场合展览，公开对外宣传，作为文章、讯息、参考数据发表。</w:t>
      </w:r>
    </w:p>
    <w:p w14:paraId="35008F4E">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 返还信息</w:t>
      </w:r>
    </w:p>
    <w:p w14:paraId="4C7AB08D">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任何时候，只要收到受服务企业的书面要求，承诺人应立即归还全部商业秘密资料和文件，包含该商业秘密资料的媒体及其任何或全部复印件或摘要。如果该技术资料属于不能归还的形式、或已经复制或转录到其他资料或载体中，则应删除。</w:t>
      </w:r>
    </w:p>
    <w:p w14:paraId="01EE4296">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4．保密期限</w:t>
      </w:r>
    </w:p>
    <w:p w14:paraId="05742DE8">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本承诺书的保密期限，从签订起生效，无限期保密，直至受服务企业宣布解密或所获得的信息已经通过合法的方式为公众所知悉为止。</w:t>
      </w:r>
    </w:p>
    <w:p w14:paraId="2E88EBCB">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、其他责任</w:t>
      </w:r>
    </w:p>
    <w:p w14:paraId="54540EFC">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保密期限内，因承诺人的泄密行为给受服务企业造成影响的，受服务企业有权按照法律法规的规定追究承诺人违约、侵权及刑事责任。</w:t>
      </w:r>
    </w:p>
    <w:p w14:paraId="24D98E9D">
      <w:pPr>
        <w:keepNext w:val="0"/>
        <w:keepLines w:val="0"/>
        <w:pageBreakBefore w:val="0"/>
        <w:widowControl/>
        <w:kinsoku/>
        <w:wordWrap/>
        <w:overflowPunct/>
        <w:topLinePunct w:val="0"/>
        <w:autoSpaceDE w:val="0"/>
        <w:autoSpaceDN w:val="0"/>
        <w:bidi w:val="0"/>
        <w:adjustRightInd w:val="0"/>
        <w:snapToGrid w:val="0"/>
        <w:spacing w:line="360" w:lineRule="auto"/>
        <w:ind w:firstLine="210" w:firstLineChars="1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本企业单位或本人已阅读，并理解和同意遵守本承诺书所有条款，如违反承诺，自愿承担党纪、政纪责任和任何相关法律后果。</w:t>
      </w:r>
    </w:p>
    <w:p w14:paraId="0D52C20E">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40"/>
        <w:textAlignment w:val="auto"/>
        <w:rPr>
          <w:rFonts w:hint="eastAsia" w:ascii="宋体" w:hAnsi="宋体" w:eastAsia="宋体" w:cs="宋体"/>
          <w:color w:val="auto"/>
          <w:sz w:val="21"/>
          <w:szCs w:val="21"/>
          <w:highlight w:val="none"/>
          <w:lang w:val="zh-CN"/>
        </w:rPr>
      </w:pPr>
    </w:p>
    <w:p w14:paraId="5451B5A0">
      <w:pPr>
        <w:keepNext w:val="0"/>
        <w:keepLines w:val="0"/>
        <w:pageBreakBefore w:val="0"/>
        <w:widowControl/>
        <w:kinsoku/>
        <w:wordWrap/>
        <w:overflowPunct/>
        <w:topLinePunct w:val="0"/>
        <w:autoSpaceDE w:val="0"/>
        <w:autoSpaceDN w:val="0"/>
        <w:bidi w:val="0"/>
        <w:adjustRightInd w:val="0"/>
        <w:snapToGrid w:val="0"/>
        <w:spacing w:line="480" w:lineRule="auto"/>
        <w:ind w:firstLine="3360" w:firstLineChars="16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承诺单位：（盖章）</w:t>
      </w:r>
      <w:r>
        <w:rPr>
          <w:rFonts w:hint="eastAsia" w:ascii="宋体" w:hAnsi="宋体" w:cs="宋体"/>
          <w:color w:val="auto"/>
          <w:sz w:val="21"/>
          <w:szCs w:val="21"/>
          <w:highlight w:val="none"/>
          <w:lang w:val="en-US" w:eastAsia="zh-CN"/>
        </w:rPr>
        <w:t>XXX有限公司</w:t>
      </w:r>
    </w:p>
    <w:p w14:paraId="6C08628B">
      <w:pPr>
        <w:keepNext w:val="0"/>
        <w:keepLines w:val="0"/>
        <w:pageBreakBefore w:val="0"/>
        <w:widowControl/>
        <w:kinsoku/>
        <w:wordWrap/>
        <w:overflowPunct/>
        <w:topLinePunct w:val="0"/>
        <w:autoSpaceDE w:val="0"/>
        <w:autoSpaceDN w:val="0"/>
        <w:bidi w:val="0"/>
        <w:adjustRightInd w:val="0"/>
        <w:snapToGrid w:val="0"/>
        <w:spacing w:line="480" w:lineRule="auto"/>
        <w:ind w:firstLine="3360" w:firstLineChars="16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法人代表：（签名）</w:t>
      </w:r>
    </w:p>
    <w:p w14:paraId="640FC46F">
      <w:pPr>
        <w:keepNext w:val="0"/>
        <w:keepLines w:val="0"/>
        <w:pageBreakBefore w:val="0"/>
        <w:widowControl/>
        <w:kinsoku/>
        <w:wordWrap/>
        <w:overflowPunct/>
        <w:topLinePunct w:val="0"/>
        <w:autoSpaceDE w:val="0"/>
        <w:autoSpaceDN w:val="0"/>
        <w:bidi w:val="0"/>
        <w:adjustRightInd w:val="0"/>
        <w:snapToGrid w:val="0"/>
        <w:spacing w:line="480" w:lineRule="auto"/>
        <w:ind w:firstLine="3360" w:firstLineChars="16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单位拟派人员：（签名）</w:t>
      </w:r>
    </w:p>
    <w:p w14:paraId="6CBDF030">
      <w:pPr>
        <w:keepNext w:val="0"/>
        <w:keepLines w:val="0"/>
        <w:pageBreakBefore w:val="0"/>
        <w:widowControl/>
        <w:kinsoku/>
        <w:wordWrap/>
        <w:overflowPunct/>
        <w:topLinePunct w:val="0"/>
        <w:autoSpaceDE w:val="0"/>
        <w:autoSpaceDN w:val="0"/>
        <w:bidi w:val="0"/>
        <w:adjustRightInd w:val="0"/>
        <w:snapToGrid w:val="0"/>
        <w:spacing w:line="360" w:lineRule="auto"/>
        <w:ind w:firstLine="3360" w:firstLineChars="16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2026</w:t>
      </w:r>
      <w:r>
        <w:rPr>
          <w:rFonts w:hint="eastAsia" w:ascii="宋体" w:hAnsi="宋体" w:eastAsia="宋体" w:cs="宋体"/>
          <w:color w:val="auto"/>
          <w:sz w:val="21"/>
          <w:szCs w:val="21"/>
          <w:highlight w:val="none"/>
          <w:lang w:val="zh-CN"/>
        </w:rPr>
        <w:t xml:space="preserve">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eastAsia="zh-CN"/>
        </w:rPr>
        <w:t xml:space="preserve"> </w:t>
      </w:r>
      <w:r>
        <w:rPr>
          <w:rFonts w:hint="eastAsia" w:ascii="宋体" w:hAnsi="宋体" w:eastAsia="宋体" w:cs="宋体"/>
          <w:color w:val="auto"/>
          <w:sz w:val="21"/>
          <w:szCs w:val="21"/>
          <w:highlight w:val="none"/>
          <w:lang w:val="zh-CN"/>
        </w:rPr>
        <w:t xml:space="preserve">月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eastAsia="zh-CN"/>
        </w:rPr>
        <w:t xml:space="preserve"> </w:t>
      </w:r>
      <w:r>
        <w:rPr>
          <w:rFonts w:hint="eastAsia" w:ascii="宋体" w:hAnsi="宋体" w:eastAsia="宋体" w:cs="宋体"/>
          <w:color w:val="auto"/>
          <w:sz w:val="21"/>
          <w:szCs w:val="21"/>
          <w:highlight w:val="none"/>
          <w:lang w:val="zh-CN"/>
        </w:rPr>
        <w:t>日</w:t>
      </w:r>
    </w:p>
    <w:p w14:paraId="4C2173CF">
      <w:pPr>
        <w:pStyle w:val="2"/>
        <w:rPr>
          <w:rFonts w:hint="eastAsia" w:ascii="宋体" w:hAnsi="宋体" w:eastAsia="宋体" w:cs="宋体"/>
          <w:color w:val="auto"/>
          <w:sz w:val="21"/>
          <w:szCs w:val="21"/>
          <w:highlight w:val="none"/>
          <w:lang w:val="zh-CN"/>
        </w:rPr>
        <w:sectPr>
          <w:pgSz w:w="11906" w:h="16838"/>
          <w:pgMar w:top="1440" w:right="1800" w:bottom="1440" w:left="1800" w:header="851" w:footer="992" w:gutter="0"/>
          <w:pgNumType w:fmt="decimal"/>
          <w:cols w:space="425" w:num="1"/>
          <w:docGrid w:type="lines" w:linePitch="312" w:charSpace="0"/>
        </w:sectPr>
      </w:pPr>
    </w:p>
    <w:p w14:paraId="07442868">
      <w:pPr>
        <w:widowControl/>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附件三</w:t>
      </w:r>
    </w:p>
    <w:p w14:paraId="6CBA489A">
      <w:pPr>
        <w:jc w:val="center"/>
        <w:rPr>
          <w:rFonts w:ascii="宋体" w:hAnsi="宋体"/>
          <w:b/>
          <w:bCs/>
          <w:color w:val="auto"/>
          <w:sz w:val="24"/>
          <w:highlight w:val="none"/>
        </w:rPr>
      </w:pPr>
      <w:r>
        <w:rPr>
          <w:rFonts w:hint="eastAsia" w:ascii="宋体" w:hAnsi="宋体"/>
          <w:b/>
          <w:bCs/>
          <w:color w:val="auto"/>
          <w:sz w:val="24"/>
          <w:highlight w:val="none"/>
        </w:rPr>
        <w:t>项目考核表</w:t>
      </w:r>
    </w:p>
    <w:p w14:paraId="2966077C">
      <w:pPr>
        <w:jc w:val="center"/>
        <w:rPr>
          <w:rFonts w:ascii="宋体" w:hAnsi="宋体"/>
          <w:b/>
          <w:bCs/>
          <w:color w:val="auto"/>
          <w:sz w:val="24"/>
          <w:highlight w:val="none"/>
        </w:rPr>
      </w:pPr>
    </w:p>
    <w:p w14:paraId="636230D1">
      <w:pPr>
        <w:pStyle w:val="2"/>
        <w:ind w:left="0" w:leftChars="0" w:firstLine="0" w:firstLineChars="0"/>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SA"/>
        </w:rPr>
        <w:t>项目名称：东莞市立沙岛绿色新材料产业园项目招标代理</w:t>
      </w:r>
    </w:p>
    <w:p w14:paraId="45E77C95">
      <w:pPr>
        <w:rPr>
          <w:rFonts w:hint="eastAsia" w:ascii="宋体" w:hAnsi="宋体"/>
          <w:color w:val="auto"/>
          <w:sz w:val="24"/>
          <w:highlight w:val="none"/>
        </w:rPr>
      </w:pPr>
      <w:r>
        <w:rPr>
          <w:rFonts w:hint="eastAsia" w:ascii="宋体" w:hAnsi="宋体"/>
          <w:color w:val="auto"/>
          <w:sz w:val="24"/>
          <w:highlight w:val="none"/>
          <w:lang w:val="en-US" w:eastAsia="zh-CN"/>
        </w:rPr>
        <w:t>需求</w:t>
      </w:r>
      <w:r>
        <w:rPr>
          <w:rFonts w:hint="eastAsia" w:ascii="宋体" w:hAnsi="宋体"/>
          <w:color w:val="auto"/>
          <w:sz w:val="24"/>
          <w:highlight w:val="none"/>
        </w:rPr>
        <w:t>单位：</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tbl>
      <w:tblPr>
        <w:tblStyle w:val="53"/>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3322"/>
        <w:gridCol w:w="760"/>
        <w:gridCol w:w="1266"/>
        <w:gridCol w:w="1349"/>
        <w:gridCol w:w="1087"/>
      </w:tblGrid>
      <w:tr w14:paraId="317D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715" w:type="dxa"/>
            <w:gridSpan w:val="2"/>
            <w:vMerge w:val="restart"/>
            <w:vAlign w:val="center"/>
          </w:tcPr>
          <w:p w14:paraId="6D80C575">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考核内容</w:t>
            </w:r>
          </w:p>
        </w:tc>
        <w:tc>
          <w:tcPr>
            <w:tcW w:w="760" w:type="dxa"/>
            <w:vMerge w:val="restart"/>
            <w:vAlign w:val="center"/>
          </w:tcPr>
          <w:p w14:paraId="06DCF8C7">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分值</w:t>
            </w:r>
          </w:p>
        </w:tc>
        <w:tc>
          <w:tcPr>
            <w:tcW w:w="2615" w:type="dxa"/>
            <w:gridSpan w:val="2"/>
            <w:vAlign w:val="center"/>
          </w:tcPr>
          <w:p w14:paraId="38C8AE23">
            <w:pPr>
              <w:spacing w:line="0" w:lineRule="atLeast"/>
              <w:jc w:val="center"/>
              <w:rPr>
                <w:rFonts w:hint="eastAsia" w:ascii="宋体" w:hAnsi="宋体" w:eastAsia="宋体" w:cs="宋体"/>
                <w:sz w:val="24"/>
                <w:szCs w:val="24"/>
                <w:lang w:bidi="ar"/>
              </w:rPr>
            </w:pPr>
            <w:r>
              <w:rPr>
                <w:rFonts w:hint="eastAsia" w:ascii="宋体" w:hAnsi="宋体" w:eastAsia="宋体" w:cs="宋体"/>
                <w:sz w:val="24"/>
                <w:szCs w:val="24"/>
              </w:rPr>
              <w:t>考核评分</w:t>
            </w:r>
          </w:p>
        </w:tc>
        <w:tc>
          <w:tcPr>
            <w:tcW w:w="1087" w:type="dxa"/>
            <w:vMerge w:val="restart"/>
            <w:vAlign w:val="center"/>
          </w:tcPr>
          <w:p w14:paraId="3055D6B6">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备注</w:t>
            </w:r>
          </w:p>
        </w:tc>
      </w:tr>
      <w:tr w14:paraId="480D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715" w:type="dxa"/>
            <w:gridSpan w:val="2"/>
            <w:vMerge w:val="continue"/>
            <w:vAlign w:val="center"/>
          </w:tcPr>
          <w:p w14:paraId="54C22AFB">
            <w:pPr>
              <w:spacing w:line="0" w:lineRule="atLeast"/>
              <w:jc w:val="center"/>
              <w:rPr>
                <w:rFonts w:hint="eastAsia" w:ascii="宋体" w:hAnsi="宋体" w:eastAsia="宋体" w:cs="宋体"/>
                <w:sz w:val="24"/>
                <w:szCs w:val="24"/>
              </w:rPr>
            </w:pPr>
          </w:p>
        </w:tc>
        <w:tc>
          <w:tcPr>
            <w:tcW w:w="760" w:type="dxa"/>
            <w:vMerge w:val="continue"/>
            <w:vAlign w:val="center"/>
          </w:tcPr>
          <w:p w14:paraId="30802666">
            <w:pPr>
              <w:spacing w:line="0" w:lineRule="atLeast"/>
              <w:jc w:val="center"/>
              <w:rPr>
                <w:rFonts w:hint="eastAsia" w:ascii="宋体" w:hAnsi="宋体" w:eastAsia="宋体" w:cs="宋体"/>
                <w:sz w:val="24"/>
                <w:szCs w:val="24"/>
              </w:rPr>
            </w:pPr>
          </w:p>
        </w:tc>
        <w:tc>
          <w:tcPr>
            <w:tcW w:w="1266" w:type="dxa"/>
            <w:vAlign w:val="center"/>
          </w:tcPr>
          <w:p w14:paraId="0CA846A6">
            <w:pPr>
              <w:spacing w:line="0" w:lineRule="atLeast"/>
              <w:jc w:val="center"/>
              <w:rPr>
                <w:rFonts w:hint="eastAsia" w:ascii="宋体" w:hAnsi="宋体" w:eastAsia="宋体" w:cs="宋体"/>
                <w:sz w:val="24"/>
                <w:szCs w:val="24"/>
              </w:rPr>
            </w:pPr>
            <w:r>
              <w:rPr>
                <w:rFonts w:hint="eastAsia" w:ascii="宋体" w:hAnsi="宋体" w:eastAsia="宋体" w:cs="宋体"/>
                <w:sz w:val="24"/>
                <w:szCs w:val="24"/>
                <w:lang w:bidi="ar"/>
              </w:rPr>
              <w:t>需求单位</w:t>
            </w:r>
          </w:p>
        </w:tc>
        <w:tc>
          <w:tcPr>
            <w:tcW w:w="1349" w:type="dxa"/>
            <w:vAlign w:val="center"/>
          </w:tcPr>
          <w:p w14:paraId="2A6DB33E">
            <w:pPr>
              <w:spacing w:line="0" w:lineRule="atLeast"/>
              <w:jc w:val="center"/>
              <w:rPr>
                <w:rFonts w:hint="eastAsia" w:ascii="宋体" w:hAnsi="宋体" w:eastAsia="宋体" w:cs="宋体"/>
                <w:sz w:val="24"/>
                <w:szCs w:val="24"/>
                <w:lang w:bidi="ar"/>
              </w:rPr>
            </w:pPr>
            <w:r>
              <w:rPr>
                <w:rFonts w:hint="eastAsia" w:ascii="宋体" w:hAnsi="宋体" w:eastAsia="宋体" w:cs="宋体"/>
                <w:sz w:val="24"/>
                <w:szCs w:val="24"/>
                <w:lang w:bidi="ar"/>
              </w:rPr>
              <w:t>东实集团主管部门</w:t>
            </w:r>
          </w:p>
        </w:tc>
        <w:tc>
          <w:tcPr>
            <w:tcW w:w="1087" w:type="dxa"/>
            <w:vMerge w:val="continue"/>
            <w:vAlign w:val="center"/>
          </w:tcPr>
          <w:p w14:paraId="0F5F99F5">
            <w:pPr>
              <w:spacing w:line="0" w:lineRule="atLeast"/>
              <w:jc w:val="center"/>
              <w:rPr>
                <w:rFonts w:hint="eastAsia" w:ascii="宋体" w:hAnsi="宋体" w:eastAsia="宋体" w:cs="宋体"/>
                <w:sz w:val="24"/>
                <w:szCs w:val="24"/>
              </w:rPr>
            </w:pPr>
          </w:p>
        </w:tc>
      </w:tr>
      <w:tr w14:paraId="13EF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393" w:type="dxa"/>
            <w:vMerge w:val="restart"/>
            <w:vAlign w:val="center"/>
          </w:tcPr>
          <w:p w14:paraId="030CF579">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项目进度考核</w:t>
            </w:r>
          </w:p>
          <w:p w14:paraId="04B12B3A">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（20分）</w:t>
            </w:r>
          </w:p>
        </w:tc>
        <w:tc>
          <w:tcPr>
            <w:tcW w:w="3322" w:type="dxa"/>
            <w:vAlign w:val="center"/>
          </w:tcPr>
          <w:p w14:paraId="267E1D9C">
            <w:pPr>
              <w:spacing w:line="0" w:lineRule="atLeast"/>
              <w:rPr>
                <w:rFonts w:hint="eastAsia" w:ascii="宋体" w:hAnsi="宋体" w:eastAsia="宋体" w:cs="宋体"/>
                <w:sz w:val="24"/>
                <w:szCs w:val="24"/>
              </w:rPr>
            </w:pPr>
            <w:r>
              <w:rPr>
                <w:rFonts w:hint="eastAsia" w:ascii="宋体" w:hAnsi="宋体" w:eastAsia="宋体" w:cs="宋体"/>
                <w:sz w:val="24"/>
                <w:szCs w:val="24"/>
              </w:rPr>
              <w:t>项目实施中招标文件起草及时性</w:t>
            </w:r>
          </w:p>
        </w:tc>
        <w:tc>
          <w:tcPr>
            <w:tcW w:w="760" w:type="dxa"/>
            <w:vAlign w:val="center"/>
          </w:tcPr>
          <w:p w14:paraId="0EA48A17">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5</w:t>
            </w:r>
          </w:p>
        </w:tc>
        <w:tc>
          <w:tcPr>
            <w:tcW w:w="1266" w:type="dxa"/>
            <w:vAlign w:val="center"/>
          </w:tcPr>
          <w:p w14:paraId="693294E1">
            <w:pPr>
              <w:spacing w:line="0" w:lineRule="atLeast"/>
              <w:jc w:val="center"/>
              <w:rPr>
                <w:rFonts w:hint="eastAsia" w:ascii="宋体" w:hAnsi="宋体" w:eastAsia="宋体" w:cs="宋体"/>
                <w:sz w:val="24"/>
                <w:szCs w:val="24"/>
              </w:rPr>
            </w:pPr>
          </w:p>
        </w:tc>
        <w:tc>
          <w:tcPr>
            <w:tcW w:w="1349" w:type="dxa"/>
            <w:vAlign w:val="center"/>
          </w:tcPr>
          <w:p w14:paraId="38FDBF7F">
            <w:pPr>
              <w:spacing w:line="0" w:lineRule="atLeast"/>
              <w:jc w:val="center"/>
              <w:rPr>
                <w:rFonts w:hint="eastAsia" w:ascii="宋体" w:hAnsi="宋体" w:eastAsia="宋体" w:cs="宋体"/>
                <w:sz w:val="24"/>
                <w:szCs w:val="24"/>
              </w:rPr>
            </w:pPr>
          </w:p>
        </w:tc>
        <w:tc>
          <w:tcPr>
            <w:tcW w:w="1087" w:type="dxa"/>
            <w:vAlign w:val="center"/>
          </w:tcPr>
          <w:p w14:paraId="27187404">
            <w:pPr>
              <w:spacing w:line="0" w:lineRule="atLeast"/>
              <w:jc w:val="center"/>
              <w:rPr>
                <w:rFonts w:hint="eastAsia" w:ascii="宋体" w:hAnsi="宋体" w:eastAsia="宋体" w:cs="宋体"/>
                <w:sz w:val="24"/>
                <w:szCs w:val="24"/>
              </w:rPr>
            </w:pPr>
          </w:p>
        </w:tc>
      </w:tr>
      <w:tr w14:paraId="1FDC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1393" w:type="dxa"/>
            <w:vMerge w:val="continue"/>
            <w:vAlign w:val="center"/>
          </w:tcPr>
          <w:p w14:paraId="1AD29D29">
            <w:pPr>
              <w:spacing w:line="0" w:lineRule="atLeast"/>
              <w:jc w:val="center"/>
              <w:rPr>
                <w:rFonts w:hint="eastAsia" w:ascii="宋体" w:hAnsi="宋体" w:eastAsia="宋体" w:cs="宋体"/>
                <w:sz w:val="24"/>
                <w:szCs w:val="24"/>
              </w:rPr>
            </w:pPr>
          </w:p>
        </w:tc>
        <w:tc>
          <w:tcPr>
            <w:tcW w:w="3322" w:type="dxa"/>
            <w:vAlign w:val="center"/>
          </w:tcPr>
          <w:p w14:paraId="2F4346A5">
            <w:pPr>
              <w:spacing w:line="0" w:lineRule="atLeast"/>
              <w:rPr>
                <w:rFonts w:hint="eastAsia" w:ascii="宋体" w:hAnsi="宋体" w:eastAsia="宋体" w:cs="宋体"/>
                <w:sz w:val="24"/>
                <w:szCs w:val="24"/>
              </w:rPr>
            </w:pPr>
            <w:r>
              <w:rPr>
                <w:rFonts w:hint="eastAsia" w:ascii="宋体" w:hAnsi="宋体" w:eastAsia="宋体" w:cs="宋体"/>
                <w:sz w:val="24"/>
                <w:szCs w:val="24"/>
              </w:rPr>
              <w:t>项目实施中资料定稿、盖章签字与项目公告提交流程时间</w:t>
            </w:r>
          </w:p>
        </w:tc>
        <w:tc>
          <w:tcPr>
            <w:tcW w:w="760" w:type="dxa"/>
            <w:vAlign w:val="center"/>
          </w:tcPr>
          <w:p w14:paraId="5BD0EC07">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5</w:t>
            </w:r>
          </w:p>
        </w:tc>
        <w:tc>
          <w:tcPr>
            <w:tcW w:w="1266" w:type="dxa"/>
            <w:vAlign w:val="center"/>
          </w:tcPr>
          <w:p w14:paraId="15872037">
            <w:pPr>
              <w:spacing w:line="0" w:lineRule="atLeast"/>
              <w:jc w:val="center"/>
              <w:rPr>
                <w:rFonts w:hint="eastAsia" w:ascii="宋体" w:hAnsi="宋体" w:eastAsia="宋体" w:cs="宋体"/>
                <w:sz w:val="24"/>
                <w:szCs w:val="24"/>
              </w:rPr>
            </w:pPr>
          </w:p>
        </w:tc>
        <w:tc>
          <w:tcPr>
            <w:tcW w:w="1349" w:type="dxa"/>
            <w:vAlign w:val="center"/>
          </w:tcPr>
          <w:p w14:paraId="51944C32">
            <w:pPr>
              <w:spacing w:line="0" w:lineRule="atLeast"/>
              <w:jc w:val="center"/>
              <w:rPr>
                <w:rFonts w:hint="eastAsia" w:ascii="宋体" w:hAnsi="宋体" w:eastAsia="宋体" w:cs="宋体"/>
                <w:sz w:val="24"/>
                <w:szCs w:val="24"/>
              </w:rPr>
            </w:pPr>
          </w:p>
        </w:tc>
        <w:tc>
          <w:tcPr>
            <w:tcW w:w="1087" w:type="dxa"/>
            <w:vAlign w:val="center"/>
          </w:tcPr>
          <w:p w14:paraId="7009FB36">
            <w:pPr>
              <w:spacing w:line="0" w:lineRule="atLeast"/>
              <w:jc w:val="center"/>
              <w:rPr>
                <w:rFonts w:hint="eastAsia" w:ascii="宋体" w:hAnsi="宋体" w:eastAsia="宋体" w:cs="宋体"/>
                <w:sz w:val="24"/>
                <w:szCs w:val="24"/>
              </w:rPr>
            </w:pPr>
          </w:p>
        </w:tc>
      </w:tr>
      <w:tr w14:paraId="7F0A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393" w:type="dxa"/>
            <w:vMerge w:val="continue"/>
            <w:vAlign w:val="center"/>
          </w:tcPr>
          <w:p w14:paraId="5AA3D3F6">
            <w:pPr>
              <w:spacing w:line="0" w:lineRule="atLeast"/>
              <w:jc w:val="center"/>
              <w:rPr>
                <w:rFonts w:hint="eastAsia" w:ascii="宋体" w:hAnsi="宋体" w:eastAsia="宋体" w:cs="宋体"/>
                <w:sz w:val="24"/>
                <w:szCs w:val="24"/>
              </w:rPr>
            </w:pPr>
          </w:p>
        </w:tc>
        <w:tc>
          <w:tcPr>
            <w:tcW w:w="3322" w:type="dxa"/>
            <w:vAlign w:val="center"/>
          </w:tcPr>
          <w:p w14:paraId="786AD8BF">
            <w:pPr>
              <w:spacing w:line="0" w:lineRule="atLeast"/>
              <w:rPr>
                <w:rFonts w:hint="eastAsia" w:ascii="宋体" w:hAnsi="宋体" w:eastAsia="宋体" w:cs="宋体"/>
                <w:sz w:val="24"/>
                <w:szCs w:val="24"/>
              </w:rPr>
            </w:pPr>
            <w:r>
              <w:rPr>
                <w:rFonts w:hint="eastAsia" w:ascii="宋体" w:hAnsi="宋体" w:eastAsia="宋体" w:cs="宋体"/>
                <w:sz w:val="24"/>
                <w:szCs w:val="24"/>
              </w:rPr>
              <w:t>项目评审后，资料交接和与</w:t>
            </w:r>
            <w:r>
              <w:rPr>
                <w:rFonts w:hint="eastAsia" w:ascii="宋体" w:hAnsi="宋体" w:eastAsia="宋体" w:cs="宋体"/>
                <w:sz w:val="24"/>
                <w:szCs w:val="24"/>
                <w:lang w:eastAsia="zh-CN"/>
              </w:rPr>
              <w:t>发包人</w:t>
            </w:r>
            <w:r>
              <w:rPr>
                <w:rFonts w:hint="eastAsia" w:ascii="宋体" w:hAnsi="宋体" w:eastAsia="宋体" w:cs="宋体"/>
                <w:sz w:val="24"/>
                <w:szCs w:val="24"/>
              </w:rPr>
              <w:t>确认结果公示流程时间</w:t>
            </w:r>
          </w:p>
        </w:tc>
        <w:tc>
          <w:tcPr>
            <w:tcW w:w="760" w:type="dxa"/>
            <w:vAlign w:val="center"/>
          </w:tcPr>
          <w:p w14:paraId="389BCA2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5</w:t>
            </w:r>
          </w:p>
        </w:tc>
        <w:tc>
          <w:tcPr>
            <w:tcW w:w="1266" w:type="dxa"/>
            <w:vAlign w:val="center"/>
          </w:tcPr>
          <w:p w14:paraId="7DEBE243">
            <w:pPr>
              <w:spacing w:line="0" w:lineRule="atLeast"/>
              <w:jc w:val="center"/>
              <w:rPr>
                <w:rFonts w:hint="eastAsia" w:ascii="宋体" w:hAnsi="宋体" w:eastAsia="宋体" w:cs="宋体"/>
                <w:sz w:val="24"/>
                <w:szCs w:val="24"/>
              </w:rPr>
            </w:pPr>
          </w:p>
        </w:tc>
        <w:tc>
          <w:tcPr>
            <w:tcW w:w="1349" w:type="dxa"/>
            <w:vAlign w:val="center"/>
          </w:tcPr>
          <w:p w14:paraId="27E6B7BA">
            <w:pPr>
              <w:spacing w:line="0" w:lineRule="atLeast"/>
              <w:jc w:val="center"/>
              <w:rPr>
                <w:rFonts w:hint="eastAsia" w:ascii="宋体" w:hAnsi="宋体" w:eastAsia="宋体" w:cs="宋体"/>
                <w:sz w:val="24"/>
                <w:szCs w:val="24"/>
              </w:rPr>
            </w:pPr>
          </w:p>
        </w:tc>
        <w:tc>
          <w:tcPr>
            <w:tcW w:w="1087" w:type="dxa"/>
            <w:vAlign w:val="center"/>
          </w:tcPr>
          <w:p w14:paraId="38EE37EC">
            <w:pPr>
              <w:spacing w:line="0" w:lineRule="atLeast"/>
              <w:jc w:val="center"/>
              <w:rPr>
                <w:rFonts w:hint="eastAsia" w:ascii="宋体" w:hAnsi="宋体" w:eastAsia="宋体" w:cs="宋体"/>
                <w:sz w:val="24"/>
                <w:szCs w:val="24"/>
              </w:rPr>
            </w:pPr>
          </w:p>
        </w:tc>
      </w:tr>
      <w:tr w14:paraId="6ADD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393" w:type="dxa"/>
            <w:vMerge w:val="continue"/>
            <w:vAlign w:val="center"/>
          </w:tcPr>
          <w:p w14:paraId="1D8720C0">
            <w:pPr>
              <w:spacing w:line="0" w:lineRule="atLeast"/>
              <w:jc w:val="center"/>
              <w:rPr>
                <w:rFonts w:hint="eastAsia" w:ascii="宋体" w:hAnsi="宋体" w:eastAsia="宋体" w:cs="宋体"/>
                <w:sz w:val="24"/>
                <w:szCs w:val="24"/>
              </w:rPr>
            </w:pPr>
          </w:p>
        </w:tc>
        <w:tc>
          <w:tcPr>
            <w:tcW w:w="3322" w:type="dxa"/>
            <w:vAlign w:val="center"/>
          </w:tcPr>
          <w:p w14:paraId="42A78265">
            <w:pPr>
              <w:spacing w:line="0" w:lineRule="atLeast"/>
              <w:rPr>
                <w:rFonts w:hint="eastAsia" w:ascii="宋体" w:hAnsi="宋体" w:eastAsia="宋体" w:cs="宋体"/>
                <w:sz w:val="24"/>
                <w:szCs w:val="24"/>
              </w:rPr>
            </w:pPr>
            <w:r>
              <w:rPr>
                <w:rFonts w:hint="eastAsia" w:ascii="宋体" w:hAnsi="宋体" w:eastAsia="宋体" w:cs="宋体"/>
                <w:sz w:val="24"/>
                <w:szCs w:val="24"/>
              </w:rPr>
              <w:t>代理原因影响或无故推迟公告、开评标、项目结果公示</w:t>
            </w:r>
          </w:p>
        </w:tc>
        <w:tc>
          <w:tcPr>
            <w:tcW w:w="760" w:type="dxa"/>
            <w:vAlign w:val="center"/>
          </w:tcPr>
          <w:p w14:paraId="350CBB15">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5</w:t>
            </w:r>
          </w:p>
        </w:tc>
        <w:tc>
          <w:tcPr>
            <w:tcW w:w="1266" w:type="dxa"/>
            <w:vAlign w:val="center"/>
          </w:tcPr>
          <w:p w14:paraId="44CDFE35">
            <w:pPr>
              <w:spacing w:line="0" w:lineRule="atLeast"/>
              <w:jc w:val="center"/>
              <w:rPr>
                <w:rFonts w:hint="eastAsia" w:ascii="宋体" w:hAnsi="宋体" w:eastAsia="宋体" w:cs="宋体"/>
                <w:sz w:val="24"/>
                <w:szCs w:val="24"/>
              </w:rPr>
            </w:pPr>
          </w:p>
        </w:tc>
        <w:tc>
          <w:tcPr>
            <w:tcW w:w="1349" w:type="dxa"/>
            <w:vAlign w:val="center"/>
          </w:tcPr>
          <w:p w14:paraId="0EEC922A">
            <w:pPr>
              <w:spacing w:line="0" w:lineRule="atLeast"/>
              <w:jc w:val="center"/>
              <w:rPr>
                <w:rFonts w:hint="eastAsia" w:ascii="宋体" w:hAnsi="宋体" w:eastAsia="宋体" w:cs="宋体"/>
                <w:sz w:val="24"/>
                <w:szCs w:val="24"/>
              </w:rPr>
            </w:pPr>
          </w:p>
        </w:tc>
        <w:tc>
          <w:tcPr>
            <w:tcW w:w="1087" w:type="dxa"/>
            <w:vAlign w:val="center"/>
          </w:tcPr>
          <w:p w14:paraId="7830CDD7">
            <w:pPr>
              <w:spacing w:line="0" w:lineRule="atLeast"/>
              <w:jc w:val="center"/>
              <w:rPr>
                <w:rFonts w:hint="eastAsia" w:ascii="宋体" w:hAnsi="宋体" w:eastAsia="宋体" w:cs="宋体"/>
                <w:sz w:val="24"/>
                <w:szCs w:val="24"/>
              </w:rPr>
            </w:pPr>
          </w:p>
        </w:tc>
      </w:tr>
      <w:tr w14:paraId="793F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jc w:val="center"/>
        </w:trPr>
        <w:tc>
          <w:tcPr>
            <w:tcW w:w="1393" w:type="dxa"/>
            <w:vMerge w:val="restart"/>
            <w:vAlign w:val="center"/>
          </w:tcPr>
          <w:p w14:paraId="6A3FC085">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项目质量考核</w:t>
            </w:r>
          </w:p>
          <w:p w14:paraId="3BC23A64">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（50分）</w:t>
            </w:r>
          </w:p>
        </w:tc>
        <w:tc>
          <w:tcPr>
            <w:tcW w:w="3322" w:type="dxa"/>
            <w:vAlign w:val="center"/>
          </w:tcPr>
          <w:p w14:paraId="36A54A87">
            <w:pPr>
              <w:spacing w:line="0" w:lineRule="atLeast"/>
              <w:rPr>
                <w:rFonts w:hint="eastAsia" w:ascii="宋体" w:hAnsi="宋体" w:eastAsia="宋体" w:cs="宋体"/>
                <w:sz w:val="24"/>
                <w:szCs w:val="24"/>
              </w:rPr>
            </w:pPr>
            <w:r>
              <w:rPr>
                <w:rFonts w:hint="eastAsia" w:ascii="宋体" w:hAnsi="宋体" w:eastAsia="宋体" w:cs="宋体"/>
                <w:sz w:val="24"/>
                <w:szCs w:val="24"/>
              </w:rPr>
              <w:t>采购文件存在缺陷和错误，无列明相关要求、开标、评标、定标程序等经有关部门审核仍未修改的，或影响项目评审的</w:t>
            </w:r>
          </w:p>
        </w:tc>
        <w:tc>
          <w:tcPr>
            <w:tcW w:w="760" w:type="dxa"/>
            <w:vAlign w:val="center"/>
          </w:tcPr>
          <w:p w14:paraId="46676750">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1266" w:type="dxa"/>
            <w:vAlign w:val="center"/>
          </w:tcPr>
          <w:p w14:paraId="584AA819">
            <w:pPr>
              <w:spacing w:line="0" w:lineRule="atLeast"/>
              <w:jc w:val="center"/>
              <w:rPr>
                <w:rFonts w:hint="eastAsia" w:ascii="宋体" w:hAnsi="宋体" w:eastAsia="宋体" w:cs="宋体"/>
                <w:sz w:val="24"/>
                <w:szCs w:val="24"/>
              </w:rPr>
            </w:pPr>
          </w:p>
        </w:tc>
        <w:tc>
          <w:tcPr>
            <w:tcW w:w="1349" w:type="dxa"/>
            <w:vAlign w:val="center"/>
          </w:tcPr>
          <w:p w14:paraId="2CBAF9F5">
            <w:pPr>
              <w:spacing w:line="0" w:lineRule="atLeast"/>
              <w:jc w:val="center"/>
              <w:rPr>
                <w:rFonts w:hint="eastAsia" w:ascii="宋体" w:hAnsi="宋体" w:eastAsia="宋体" w:cs="宋体"/>
                <w:sz w:val="24"/>
                <w:szCs w:val="24"/>
              </w:rPr>
            </w:pPr>
          </w:p>
        </w:tc>
        <w:tc>
          <w:tcPr>
            <w:tcW w:w="1087" w:type="dxa"/>
            <w:vAlign w:val="center"/>
          </w:tcPr>
          <w:p w14:paraId="7CB9B866">
            <w:pPr>
              <w:spacing w:line="0" w:lineRule="atLeast"/>
              <w:jc w:val="center"/>
              <w:rPr>
                <w:rFonts w:hint="eastAsia" w:ascii="宋体" w:hAnsi="宋体" w:eastAsia="宋体" w:cs="宋体"/>
                <w:sz w:val="24"/>
                <w:szCs w:val="24"/>
              </w:rPr>
            </w:pPr>
          </w:p>
        </w:tc>
      </w:tr>
      <w:tr w14:paraId="7017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jc w:val="center"/>
        </w:trPr>
        <w:tc>
          <w:tcPr>
            <w:tcW w:w="1393" w:type="dxa"/>
            <w:vMerge w:val="continue"/>
            <w:vAlign w:val="center"/>
          </w:tcPr>
          <w:p w14:paraId="11005A35">
            <w:pPr>
              <w:spacing w:line="0" w:lineRule="atLeast"/>
              <w:jc w:val="center"/>
              <w:rPr>
                <w:rFonts w:hint="eastAsia" w:ascii="宋体" w:hAnsi="宋体" w:eastAsia="宋体" w:cs="宋体"/>
                <w:sz w:val="24"/>
                <w:szCs w:val="24"/>
              </w:rPr>
            </w:pPr>
          </w:p>
        </w:tc>
        <w:tc>
          <w:tcPr>
            <w:tcW w:w="3322" w:type="dxa"/>
            <w:vAlign w:val="center"/>
          </w:tcPr>
          <w:p w14:paraId="54DA67F8">
            <w:pPr>
              <w:spacing w:line="0" w:lineRule="atLeast"/>
              <w:rPr>
                <w:rFonts w:hint="eastAsia" w:ascii="宋体" w:hAnsi="宋体" w:eastAsia="宋体" w:cs="宋体"/>
                <w:sz w:val="24"/>
                <w:szCs w:val="24"/>
              </w:rPr>
            </w:pPr>
            <w:r>
              <w:rPr>
                <w:rFonts w:hint="eastAsia" w:ascii="宋体" w:hAnsi="宋体" w:eastAsia="宋体" w:cs="宋体"/>
                <w:sz w:val="24"/>
                <w:szCs w:val="24"/>
              </w:rPr>
              <w:t>采购文件评分标准、定标的原则和标准存在含义不清晰、自相矛盾等问题，导致影响评标委员会评标工作的（导致影响评标工作情况直接扣除10分）</w:t>
            </w:r>
          </w:p>
        </w:tc>
        <w:tc>
          <w:tcPr>
            <w:tcW w:w="760" w:type="dxa"/>
            <w:vAlign w:val="center"/>
          </w:tcPr>
          <w:p w14:paraId="38E171E1">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1266" w:type="dxa"/>
            <w:vAlign w:val="center"/>
          </w:tcPr>
          <w:p w14:paraId="2BA62AA3">
            <w:pPr>
              <w:spacing w:line="0" w:lineRule="atLeast"/>
              <w:jc w:val="center"/>
              <w:rPr>
                <w:rFonts w:hint="eastAsia" w:ascii="宋体" w:hAnsi="宋体" w:eastAsia="宋体" w:cs="宋体"/>
                <w:sz w:val="24"/>
                <w:szCs w:val="24"/>
              </w:rPr>
            </w:pPr>
          </w:p>
        </w:tc>
        <w:tc>
          <w:tcPr>
            <w:tcW w:w="1349" w:type="dxa"/>
            <w:vAlign w:val="center"/>
          </w:tcPr>
          <w:p w14:paraId="7B1B9E37">
            <w:pPr>
              <w:spacing w:line="0" w:lineRule="atLeast"/>
              <w:jc w:val="center"/>
              <w:rPr>
                <w:rFonts w:hint="eastAsia" w:ascii="宋体" w:hAnsi="宋体" w:eastAsia="宋体" w:cs="宋体"/>
                <w:sz w:val="24"/>
                <w:szCs w:val="24"/>
              </w:rPr>
            </w:pPr>
          </w:p>
        </w:tc>
        <w:tc>
          <w:tcPr>
            <w:tcW w:w="1087" w:type="dxa"/>
            <w:vAlign w:val="center"/>
          </w:tcPr>
          <w:p w14:paraId="33022D32">
            <w:pPr>
              <w:spacing w:line="0" w:lineRule="atLeast"/>
              <w:jc w:val="center"/>
              <w:rPr>
                <w:rFonts w:hint="eastAsia" w:ascii="宋体" w:hAnsi="宋体" w:eastAsia="宋体" w:cs="宋体"/>
                <w:sz w:val="24"/>
                <w:szCs w:val="24"/>
              </w:rPr>
            </w:pPr>
          </w:p>
        </w:tc>
      </w:tr>
      <w:tr w14:paraId="36D3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1393" w:type="dxa"/>
            <w:vMerge w:val="continue"/>
            <w:vAlign w:val="center"/>
          </w:tcPr>
          <w:p w14:paraId="20818C77">
            <w:pPr>
              <w:spacing w:line="0" w:lineRule="atLeast"/>
              <w:jc w:val="center"/>
              <w:rPr>
                <w:rFonts w:hint="eastAsia" w:ascii="宋体" w:hAnsi="宋体" w:eastAsia="宋体" w:cs="宋体"/>
                <w:sz w:val="24"/>
                <w:szCs w:val="24"/>
              </w:rPr>
            </w:pPr>
          </w:p>
        </w:tc>
        <w:tc>
          <w:tcPr>
            <w:tcW w:w="3322" w:type="dxa"/>
            <w:vAlign w:val="center"/>
          </w:tcPr>
          <w:p w14:paraId="3FC76E84">
            <w:pPr>
              <w:spacing w:line="0" w:lineRule="atLeast"/>
              <w:rPr>
                <w:rFonts w:hint="eastAsia" w:ascii="宋体" w:hAnsi="宋体" w:eastAsia="宋体" w:cs="宋体"/>
                <w:sz w:val="24"/>
                <w:szCs w:val="24"/>
              </w:rPr>
            </w:pPr>
            <w:r>
              <w:rPr>
                <w:rFonts w:hint="eastAsia" w:ascii="宋体" w:hAnsi="宋体" w:eastAsia="宋体" w:cs="宋体"/>
                <w:sz w:val="24"/>
                <w:szCs w:val="24"/>
              </w:rPr>
              <w:t>招标文件的编制与</w:t>
            </w:r>
            <w:r>
              <w:rPr>
                <w:rFonts w:hint="eastAsia" w:ascii="宋体" w:hAnsi="宋体" w:eastAsia="宋体" w:cs="宋体"/>
                <w:sz w:val="24"/>
                <w:szCs w:val="24"/>
                <w:lang w:eastAsia="zh-CN"/>
              </w:rPr>
              <w:t>发包人</w:t>
            </w:r>
            <w:r>
              <w:rPr>
                <w:rFonts w:hint="eastAsia" w:ascii="宋体" w:hAnsi="宋体" w:eastAsia="宋体" w:cs="宋体"/>
                <w:sz w:val="24"/>
                <w:szCs w:val="24"/>
              </w:rPr>
              <w:t>提供的用户需求、图纸要求、招标范围等不一致的</w:t>
            </w:r>
          </w:p>
        </w:tc>
        <w:tc>
          <w:tcPr>
            <w:tcW w:w="760" w:type="dxa"/>
            <w:vAlign w:val="center"/>
          </w:tcPr>
          <w:p w14:paraId="4D03047D">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8</w:t>
            </w:r>
          </w:p>
        </w:tc>
        <w:tc>
          <w:tcPr>
            <w:tcW w:w="1266" w:type="dxa"/>
            <w:vAlign w:val="center"/>
          </w:tcPr>
          <w:p w14:paraId="031C8553">
            <w:pPr>
              <w:spacing w:line="0" w:lineRule="atLeast"/>
              <w:jc w:val="center"/>
              <w:rPr>
                <w:rFonts w:hint="eastAsia" w:ascii="宋体" w:hAnsi="宋体" w:eastAsia="宋体" w:cs="宋体"/>
                <w:sz w:val="24"/>
                <w:szCs w:val="24"/>
              </w:rPr>
            </w:pPr>
          </w:p>
        </w:tc>
        <w:tc>
          <w:tcPr>
            <w:tcW w:w="1349" w:type="dxa"/>
            <w:vAlign w:val="center"/>
          </w:tcPr>
          <w:p w14:paraId="3643EA54">
            <w:pPr>
              <w:spacing w:line="0" w:lineRule="atLeast"/>
              <w:jc w:val="center"/>
              <w:rPr>
                <w:rFonts w:hint="eastAsia" w:ascii="宋体" w:hAnsi="宋体" w:eastAsia="宋体" w:cs="宋体"/>
                <w:sz w:val="24"/>
                <w:szCs w:val="24"/>
              </w:rPr>
            </w:pPr>
          </w:p>
        </w:tc>
        <w:tc>
          <w:tcPr>
            <w:tcW w:w="1087" w:type="dxa"/>
            <w:vAlign w:val="center"/>
          </w:tcPr>
          <w:p w14:paraId="4E9BBB4C">
            <w:pPr>
              <w:spacing w:line="0" w:lineRule="atLeast"/>
              <w:jc w:val="center"/>
              <w:rPr>
                <w:rFonts w:hint="eastAsia" w:ascii="宋体" w:hAnsi="宋体" w:eastAsia="宋体" w:cs="宋体"/>
                <w:sz w:val="24"/>
                <w:szCs w:val="24"/>
              </w:rPr>
            </w:pPr>
          </w:p>
        </w:tc>
      </w:tr>
      <w:tr w14:paraId="2587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393" w:type="dxa"/>
            <w:vMerge w:val="continue"/>
            <w:vAlign w:val="center"/>
          </w:tcPr>
          <w:p w14:paraId="387CB1BD">
            <w:pPr>
              <w:spacing w:line="0" w:lineRule="atLeast"/>
              <w:jc w:val="center"/>
              <w:rPr>
                <w:rFonts w:hint="eastAsia" w:ascii="宋体" w:hAnsi="宋体" w:eastAsia="宋体" w:cs="宋体"/>
                <w:sz w:val="24"/>
                <w:szCs w:val="24"/>
              </w:rPr>
            </w:pPr>
          </w:p>
        </w:tc>
        <w:tc>
          <w:tcPr>
            <w:tcW w:w="3322" w:type="dxa"/>
            <w:vAlign w:val="center"/>
          </w:tcPr>
          <w:p w14:paraId="416AC1B9">
            <w:pPr>
              <w:spacing w:line="0" w:lineRule="atLeast"/>
              <w:rPr>
                <w:rFonts w:hint="eastAsia" w:ascii="宋体" w:hAnsi="宋体" w:eastAsia="宋体" w:cs="宋体"/>
                <w:sz w:val="24"/>
                <w:szCs w:val="24"/>
              </w:rPr>
            </w:pPr>
            <w:r>
              <w:rPr>
                <w:rFonts w:hint="eastAsia" w:ascii="宋体" w:hAnsi="宋体" w:eastAsia="宋体" w:cs="宋体"/>
                <w:sz w:val="24"/>
                <w:szCs w:val="24"/>
              </w:rPr>
              <w:t>对已定稿的招标文件，未经同意，擅自更改的</w:t>
            </w:r>
          </w:p>
        </w:tc>
        <w:tc>
          <w:tcPr>
            <w:tcW w:w="760" w:type="dxa"/>
            <w:vAlign w:val="center"/>
          </w:tcPr>
          <w:p w14:paraId="105C8523">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8</w:t>
            </w:r>
          </w:p>
        </w:tc>
        <w:tc>
          <w:tcPr>
            <w:tcW w:w="1266" w:type="dxa"/>
            <w:vAlign w:val="center"/>
          </w:tcPr>
          <w:p w14:paraId="41388B3B">
            <w:pPr>
              <w:spacing w:line="0" w:lineRule="atLeast"/>
              <w:jc w:val="center"/>
              <w:rPr>
                <w:rFonts w:hint="eastAsia" w:ascii="宋体" w:hAnsi="宋体" w:eastAsia="宋体" w:cs="宋体"/>
                <w:sz w:val="24"/>
                <w:szCs w:val="24"/>
              </w:rPr>
            </w:pPr>
          </w:p>
        </w:tc>
        <w:tc>
          <w:tcPr>
            <w:tcW w:w="1349" w:type="dxa"/>
            <w:vAlign w:val="center"/>
          </w:tcPr>
          <w:p w14:paraId="6B2051BA">
            <w:pPr>
              <w:spacing w:line="0" w:lineRule="atLeast"/>
              <w:jc w:val="center"/>
              <w:rPr>
                <w:rFonts w:hint="eastAsia" w:ascii="宋体" w:hAnsi="宋体" w:eastAsia="宋体" w:cs="宋体"/>
                <w:sz w:val="24"/>
                <w:szCs w:val="24"/>
              </w:rPr>
            </w:pPr>
          </w:p>
        </w:tc>
        <w:tc>
          <w:tcPr>
            <w:tcW w:w="1087" w:type="dxa"/>
            <w:vAlign w:val="center"/>
          </w:tcPr>
          <w:p w14:paraId="05FA7954">
            <w:pPr>
              <w:spacing w:line="0" w:lineRule="atLeast"/>
              <w:jc w:val="center"/>
              <w:rPr>
                <w:rFonts w:hint="eastAsia" w:ascii="宋体" w:hAnsi="宋体" w:eastAsia="宋体" w:cs="宋体"/>
                <w:sz w:val="24"/>
                <w:szCs w:val="24"/>
              </w:rPr>
            </w:pPr>
          </w:p>
        </w:tc>
      </w:tr>
      <w:tr w14:paraId="7432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393" w:type="dxa"/>
            <w:vMerge w:val="continue"/>
            <w:vAlign w:val="center"/>
          </w:tcPr>
          <w:p w14:paraId="757D5C5C">
            <w:pPr>
              <w:spacing w:line="0" w:lineRule="atLeast"/>
              <w:jc w:val="center"/>
              <w:rPr>
                <w:rFonts w:hint="eastAsia" w:ascii="宋体" w:hAnsi="宋体" w:eastAsia="宋体" w:cs="宋体"/>
                <w:sz w:val="24"/>
                <w:szCs w:val="24"/>
              </w:rPr>
            </w:pPr>
          </w:p>
        </w:tc>
        <w:tc>
          <w:tcPr>
            <w:tcW w:w="3322" w:type="dxa"/>
            <w:vAlign w:val="center"/>
          </w:tcPr>
          <w:p w14:paraId="4641E2F9">
            <w:pPr>
              <w:spacing w:line="0" w:lineRule="atLeast"/>
              <w:rPr>
                <w:rFonts w:hint="eastAsia" w:ascii="宋体" w:hAnsi="宋体" w:eastAsia="宋体" w:cs="宋体"/>
                <w:sz w:val="24"/>
                <w:szCs w:val="24"/>
              </w:rPr>
            </w:pPr>
            <w:r>
              <w:rPr>
                <w:rFonts w:hint="eastAsia" w:ascii="宋体" w:hAnsi="宋体" w:eastAsia="宋体" w:cs="宋体"/>
                <w:sz w:val="24"/>
                <w:szCs w:val="24"/>
              </w:rPr>
              <w:t>对外发出的采购公告与采购文件内容不一致的</w:t>
            </w:r>
          </w:p>
        </w:tc>
        <w:tc>
          <w:tcPr>
            <w:tcW w:w="760" w:type="dxa"/>
            <w:vAlign w:val="center"/>
          </w:tcPr>
          <w:p w14:paraId="4F281B55">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7</w:t>
            </w:r>
          </w:p>
        </w:tc>
        <w:tc>
          <w:tcPr>
            <w:tcW w:w="1266" w:type="dxa"/>
            <w:vAlign w:val="center"/>
          </w:tcPr>
          <w:p w14:paraId="56C5DECD">
            <w:pPr>
              <w:spacing w:line="0" w:lineRule="atLeast"/>
              <w:jc w:val="center"/>
              <w:rPr>
                <w:rFonts w:hint="eastAsia" w:ascii="宋体" w:hAnsi="宋体" w:eastAsia="宋体" w:cs="宋体"/>
                <w:sz w:val="24"/>
                <w:szCs w:val="24"/>
              </w:rPr>
            </w:pPr>
          </w:p>
        </w:tc>
        <w:tc>
          <w:tcPr>
            <w:tcW w:w="1349" w:type="dxa"/>
            <w:vAlign w:val="center"/>
          </w:tcPr>
          <w:p w14:paraId="3898AEE2">
            <w:pPr>
              <w:spacing w:line="0" w:lineRule="atLeast"/>
              <w:jc w:val="center"/>
              <w:rPr>
                <w:rFonts w:hint="eastAsia" w:ascii="宋体" w:hAnsi="宋体" w:eastAsia="宋体" w:cs="宋体"/>
                <w:sz w:val="24"/>
                <w:szCs w:val="24"/>
              </w:rPr>
            </w:pPr>
          </w:p>
        </w:tc>
        <w:tc>
          <w:tcPr>
            <w:tcW w:w="1087" w:type="dxa"/>
            <w:vAlign w:val="center"/>
          </w:tcPr>
          <w:p w14:paraId="1422A5C8">
            <w:pPr>
              <w:spacing w:line="0" w:lineRule="atLeast"/>
              <w:jc w:val="center"/>
              <w:rPr>
                <w:rFonts w:hint="eastAsia" w:ascii="宋体" w:hAnsi="宋体" w:eastAsia="宋体" w:cs="宋体"/>
                <w:sz w:val="24"/>
                <w:szCs w:val="24"/>
              </w:rPr>
            </w:pPr>
          </w:p>
        </w:tc>
      </w:tr>
      <w:tr w14:paraId="5D0C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393" w:type="dxa"/>
            <w:vMerge w:val="continue"/>
            <w:vAlign w:val="center"/>
          </w:tcPr>
          <w:p w14:paraId="563A2F28">
            <w:pPr>
              <w:spacing w:line="0" w:lineRule="atLeast"/>
              <w:jc w:val="center"/>
              <w:rPr>
                <w:rFonts w:hint="eastAsia" w:ascii="宋体" w:hAnsi="宋体" w:eastAsia="宋体" w:cs="宋体"/>
                <w:sz w:val="24"/>
                <w:szCs w:val="24"/>
              </w:rPr>
            </w:pPr>
          </w:p>
        </w:tc>
        <w:tc>
          <w:tcPr>
            <w:tcW w:w="3322" w:type="dxa"/>
            <w:vAlign w:val="center"/>
          </w:tcPr>
          <w:p w14:paraId="1A05CBBD">
            <w:pPr>
              <w:spacing w:line="0" w:lineRule="atLeast"/>
              <w:rPr>
                <w:rFonts w:hint="eastAsia" w:ascii="宋体" w:hAnsi="宋体" w:eastAsia="宋体" w:cs="宋体"/>
                <w:sz w:val="24"/>
                <w:szCs w:val="24"/>
              </w:rPr>
            </w:pPr>
            <w:r>
              <w:rPr>
                <w:rFonts w:hint="eastAsia" w:ascii="宋体" w:hAnsi="宋体" w:eastAsia="宋体" w:cs="宋体"/>
                <w:sz w:val="24"/>
                <w:szCs w:val="24"/>
              </w:rPr>
              <w:t>因采购代理机构工作人员的采购文件编制能力的原因引起有效投诉的</w:t>
            </w:r>
          </w:p>
        </w:tc>
        <w:tc>
          <w:tcPr>
            <w:tcW w:w="760" w:type="dxa"/>
            <w:vAlign w:val="center"/>
          </w:tcPr>
          <w:p w14:paraId="6EA3AE7F">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7</w:t>
            </w:r>
          </w:p>
        </w:tc>
        <w:tc>
          <w:tcPr>
            <w:tcW w:w="1266" w:type="dxa"/>
            <w:vAlign w:val="center"/>
          </w:tcPr>
          <w:p w14:paraId="1D4B09CE">
            <w:pPr>
              <w:spacing w:line="0" w:lineRule="atLeast"/>
              <w:jc w:val="center"/>
              <w:rPr>
                <w:rFonts w:hint="eastAsia" w:ascii="宋体" w:hAnsi="宋体" w:eastAsia="宋体" w:cs="宋体"/>
                <w:sz w:val="24"/>
                <w:szCs w:val="24"/>
              </w:rPr>
            </w:pPr>
          </w:p>
        </w:tc>
        <w:tc>
          <w:tcPr>
            <w:tcW w:w="1349" w:type="dxa"/>
            <w:vAlign w:val="center"/>
          </w:tcPr>
          <w:p w14:paraId="615722D3">
            <w:pPr>
              <w:spacing w:line="0" w:lineRule="atLeast"/>
              <w:jc w:val="center"/>
              <w:rPr>
                <w:rFonts w:hint="eastAsia" w:ascii="宋体" w:hAnsi="宋体" w:eastAsia="宋体" w:cs="宋体"/>
                <w:sz w:val="24"/>
                <w:szCs w:val="24"/>
              </w:rPr>
            </w:pPr>
          </w:p>
        </w:tc>
        <w:tc>
          <w:tcPr>
            <w:tcW w:w="1087" w:type="dxa"/>
            <w:vAlign w:val="center"/>
          </w:tcPr>
          <w:p w14:paraId="6D84AF56">
            <w:pPr>
              <w:spacing w:line="0" w:lineRule="atLeast"/>
              <w:jc w:val="center"/>
              <w:rPr>
                <w:rFonts w:hint="eastAsia" w:ascii="宋体" w:hAnsi="宋体" w:eastAsia="宋体" w:cs="宋体"/>
                <w:sz w:val="24"/>
                <w:szCs w:val="24"/>
              </w:rPr>
            </w:pPr>
          </w:p>
        </w:tc>
      </w:tr>
      <w:tr w14:paraId="0417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393" w:type="dxa"/>
            <w:vMerge w:val="restart"/>
            <w:vAlign w:val="center"/>
          </w:tcPr>
          <w:p w14:paraId="0CA71198">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配合服务意识考核</w:t>
            </w:r>
          </w:p>
          <w:p w14:paraId="60542CEF">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（20分）</w:t>
            </w:r>
          </w:p>
        </w:tc>
        <w:tc>
          <w:tcPr>
            <w:tcW w:w="3322" w:type="dxa"/>
            <w:vAlign w:val="center"/>
          </w:tcPr>
          <w:p w14:paraId="3563E561">
            <w:pPr>
              <w:spacing w:line="0" w:lineRule="atLeast"/>
              <w:rPr>
                <w:rFonts w:hint="eastAsia" w:ascii="宋体" w:hAnsi="宋体" w:eastAsia="宋体" w:cs="宋体"/>
                <w:sz w:val="24"/>
                <w:szCs w:val="24"/>
              </w:rPr>
            </w:pPr>
            <w:r>
              <w:rPr>
                <w:rFonts w:hint="eastAsia" w:ascii="宋体" w:hAnsi="宋体" w:eastAsia="宋体" w:cs="宋体"/>
                <w:sz w:val="24"/>
                <w:szCs w:val="24"/>
              </w:rPr>
              <w:t>项目工作会议参会出席情况</w:t>
            </w:r>
          </w:p>
        </w:tc>
        <w:tc>
          <w:tcPr>
            <w:tcW w:w="760" w:type="dxa"/>
            <w:vAlign w:val="center"/>
          </w:tcPr>
          <w:p w14:paraId="47B3D34B">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7</w:t>
            </w:r>
          </w:p>
        </w:tc>
        <w:tc>
          <w:tcPr>
            <w:tcW w:w="1266" w:type="dxa"/>
            <w:vAlign w:val="center"/>
          </w:tcPr>
          <w:p w14:paraId="6005F3D8">
            <w:pPr>
              <w:spacing w:line="0" w:lineRule="atLeast"/>
              <w:jc w:val="center"/>
              <w:rPr>
                <w:rFonts w:hint="eastAsia" w:ascii="宋体" w:hAnsi="宋体" w:eastAsia="宋体" w:cs="宋体"/>
                <w:sz w:val="24"/>
                <w:szCs w:val="24"/>
              </w:rPr>
            </w:pPr>
          </w:p>
        </w:tc>
        <w:tc>
          <w:tcPr>
            <w:tcW w:w="1349" w:type="dxa"/>
            <w:vAlign w:val="center"/>
          </w:tcPr>
          <w:p w14:paraId="1F108F77">
            <w:pPr>
              <w:spacing w:line="0" w:lineRule="atLeast"/>
              <w:jc w:val="center"/>
              <w:rPr>
                <w:rFonts w:hint="eastAsia" w:ascii="宋体" w:hAnsi="宋体" w:eastAsia="宋体" w:cs="宋体"/>
                <w:sz w:val="24"/>
                <w:szCs w:val="24"/>
              </w:rPr>
            </w:pPr>
          </w:p>
        </w:tc>
        <w:tc>
          <w:tcPr>
            <w:tcW w:w="1087" w:type="dxa"/>
            <w:vAlign w:val="center"/>
          </w:tcPr>
          <w:p w14:paraId="045480AF">
            <w:pPr>
              <w:spacing w:line="0" w:lineRule="atLeast"/>
              <w:jc w:val="center"/>
              <w:rPr>
                <w:rFonts w:hint="eastAsia" w:ascii="宋体" w:hAnsi="宋体" w:eastAsia="宋体" w:cs="宋体"/>
                <w:sz w:val="24"/>
                <w:szCs w:val="24"/>
              </w:rPr>
            </w:pPr>
          </w:p>
        </w:tc>
      </w:tr>
      <w:tr w14:paraId="5C02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393" w:type="dxa"/>
            <w:vMerge w:val="continue"/>
            <w:vAlign w:val="center"/>
          </w:tcPr>
          <w:p w14:paraId="6E614475">
            <w:pPr>
              <w:spacing w:line="0" w:lineRule="atLeast"/>
              <w:jc w:val="center"/>
              <w:rPr>
                <w:rFonts w:hint="eastAsia" w:ascii="宋体" w:hAnsi="宋体" w:eastAsia="宋体" w:cs="宋体"/>
                <w:sz w:val="24"/>
                <w:szCs w:val="24"/>
              </w:rPr>
            </w:pPr>
          </w:p>
        </w:tc>
        <w:tc>
          <w:tcPr>
            <w:tcW w:w="3322" w:type="dxa"/>
            <w:vAlign w:val="center"/>
          </w:tcPr>
          <w:p w14:paraId="6927CDC4">
            <w:pPr>
              <w:spacing w:line="0" w:lineRule="atLeast"/>
              <w:rPr>
                <w:rFonts w:hint="eastAsia" w:ascii="宋体" w:hAnsi="宋体" w:eastAsia="宋体" w:cs="宋体"/>
                <w:sz w:val="24"/>
                <w:szCs w:val="24"/>
              </w:rPr>
            </w:pPr>
            <w:r>
              <w:rPr>
                <w:rFonts w:hint="eastAsia" w:ascii="宋体" w:hAnsi="宋体" w:eastAsia="宋体" w:cs="宋体"/>
                <w:sz w:val="24"/>
                <w:szCs w:val="24"/>
              </w:rPr>
              <w:t>驻场或跟办人员工作配合的及时性、主动性与认真情况</w:t>
            </w:r>
          </w:p>
        </w:tc>
        <w:tc>
          <w:tcPr>
            <w:tcW w:w="760" w:type="dxa"/>
            <w:vAlign w:val="center"/>
          </w:tcPr>
          <w:p w14:paraId="1BBC6E8F">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7</w:t>
            </w:r>
          </w:p>
        </w:tc>
        <w:tc>
          <w:tcPr>
            <w:tcW w:w="1266" w:type="dxa"/>
            <w:vAlign w:val="center"/>
          </w:tcPr>
          <w:p w14:paraId="60BAE6E0">
            <w:pPr>
              <w:spacing w:line="0" w:lineRule="atLeast"/>
              <w:jc w:val="center"/>
              <w:rPr>
                <w:rFonts w:hint="eastAsia" w:ascii="宋体" w:hAnsi="宋体" w:eastAsia="宋体" w:cs="宋体"/>
                <w:sz w:val="24"/>
                <w:szCs w:val="24"/>
              </w:rPr>
            </w:pPr>
          </w:p>
        </w:tc>
        <w:tc>
          <w:tcPr>
            <w:tcW w:w="1349" w:type="dxa"/>
            <w:vAlign w:val="center"/>
          </w:tcPr>
          <w:p w14:paraId="607CBB71">
            <w:pPr>
              <w:spacing w:line="0" w:lineRule="atLeast"/>
              <w:jc w:val="center"/>
              <w:rPr>
                <w:rFonts w:hint="eastAsia" w:ascii="宋体" w:hAnsi="宋体" w:eastAsia="宋体" w:cs="宋体"/>
                <w:sz w:val="24"/>
                <w:szCs w:val="24"/>
              </w:rPr>
            </w:pPr>
          </w:p>
        </w:tc>
        <w:tc>
          <w:tcPr>
            <w:tcW w:w="1087" w:type="dxa"/>
            <w:vAlign w:val="center"/>
          </w:tcPr>
          <w:p w14:paraId="05A32EE4">
            <w:pPr>
              <w:spacing w:line="0" w:lineRule="atLeast"/>
              <w:jc w:val="center"/>
              <w:rPr>
                <w:rFonts w:hint="eastAsia" w:ascii="宋体" w:hAnsi="宋体" w:eastAsia="宋体" w:cs="宋体"/>
                <w:sz w:val="24"/>
                <w:szCs w:val="24"/>
              </w:rPr>
            </w:pPr>
          </w:p>
        </w:tc>
      </w:tr>
      <w:tr w14:paraId="2497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393" w:type="dxa"/>
            <w:vMerge w:val="continue"/>
            <w:vAlign w:val="center"/>
          </w:tcPr>
          <w:p w14:paraId="463023D6">
            <w:pPr>
              <w:spacing w:line="0" w:lineRule="atLeast"/>
              <w:jc w:val="center"/>
              <w:rPr>
                <w:rFonts w:hint="eastAsia" w:ascii="宋体" w:hAnsi="宋体" w:eastAsia="宋体" w:cs="宋体"/>
                <w:sz w:val="24"/>
                <w:szCs w:val="24"/>
              </w:rPr>
            </w:pPr>
          </w:p>
        </w:tc>
        <w:tc>
          <w:tcPr>
            <w:tcW w:w="3322" w:type="dxa"/>
            <w:vAlign w:val="center"/>
          </w:tcPr>
          <w:p w14:paraId="6B89B6EF">
            <w:pPr>
              <w:spacing w:line="0" w:lineRule="atLeast"/>
              <w:rPr>
                <w:rFonts w:hint="eastAsia" w:ascii="宋体" w:hAnsi="宋体" w:eastAsia="宋体" w:cs="宋体"/>
                <w:sz w:val="24"/>
                <w:szCs w:val="24"/>
              </w:rPr>
            </w:pPr>
            <w:r>
              <w:rPr>
                <w:rFonts w:hint="eastAsia" w:ascii="宋体" w:hAnsi="宋体" w:eastAsia="宋体" w:cs="宋体"/>
                <w:sz w:val="24"/>
                <w:szCs w:val="24"/>
              </w:rPr>
              <w:t>项目资料与档案提交与及时情况</w:t>
            </w:r>
          </w:p>
        </w:tc>
        <w:tc>
          <w:tcPr>
            <w:tcW w:w="760" w:type="dxa"/>
            <w:vAlign w:val="center"/>
          </w:tcPr>
          <w:p w14:paraId="01C1CF3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6</w:t>
            </w:r>
          </w:p>
        </w:tc>
        <w:tc>
          <w:tcPr>
            <w:tcW w:w="1266" w:type="dxa"/>
            <w:vAlign w:val="center"/>
          </w:tcPr>
          <w:p w14:paraId="0C7942B9">
            <w:pPr>
              <w:spacing w:line="0" w:lineRule="atLeast"/>
              <w:jc w:val="center"/>
              <w:rPr>
                <w:rFonts w:hint="eastAsia" w:ascii="宋体" w:hAnsi="宋体" w:eastAsia="宋体" w:cs="宋体"/>
                <w:sz w:val="24"/>
                <w:szCs w:val="24"/>
              </w:rPr>
            </w:pPr>
          </w:p>
        </w:tc>
        <w:tc>
          <w:tcPr>
            <w:tcW w:w="1349" w:type="dxa"/>
            <w:vAlign w:val="center"/>
          </w:tcPr>
          <w:p w14:paraId="05130210">
            <w:pPr>
              <w:spacing w:line="0" w:lineRule="atLeast"/>
              <w:jc w:val="center"/>
              <w:rPr>
                <w:rFonts w:hint="eastAsia" w:ascii="宋体" w:hAnsi="宋体" w:eastAsia="宋体" w:cs="宋体"/>
                <w:sz w:val="24"/>
                <w:szCs w:val="24"/>
              </w:rPr>
            </w:pPr>
          </w:p>
        </w:tc>
        <w:tc>
          <w:tcPr>
            <w:tcW w:w="1087" w:type="dxa"/>
            <w:vAlign w:val="center"/>
          </w:tcPr>
          <w:p w14:paraId="2FBE7A14">
            <w:pPr>
              <w:spacing w:line="0" w:lineRule="atLeast"/>
              <w:jc w:val="center"/>
              <w:rPr>
                <w:rFonts w:hint="eastAsia" w:ascii="宋体" w:hAnsi="宋体" w:eastAsia="宋体" w:cs="宋体"/>
                <w:sz w:val="24"/>
                <w:szCs w:val="24"/>
              </w:rPr>
            </w:pPr>
          </w:p>
        </w:tc>
      </w:tr>
      <w:tr w14:paraId="5004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393" w:type="dxa"/>
            <w:vAlign w:val="center"/>
          </w:tcPr>
          <w:p w14:paraId="6B99273D">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其他服务响应情况考核</w:t>
            </w:r>
          </w:p>
          <w:p w14:paraId="68CF0FC3">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（10分）</w:t>
            </w:r>
          </w:p>
        </w:tc>
        <w:tc>
          <w:tcPr>
            <w:tcW w:w="3322" w:type="dxa"/>
            <w:vAlign w:val="center"/>
          </w:tcPr>
          <w:p w14:paraId="40876994">
            <w:pPr>
              <w:spacing w:line="0" w:lineRule="atLeast"/>
              <w:rPr>
                <w:rFonts w:hint="eastAsia" w:ascii="宋体" w:hAnsi="宋体" w:eastAsia="宋体" w:cs="宋体"/>
                <w:sz w:val="24"/>
                <w:szCs w:val="24"/>
              </w:rPr>
            </w:pPr>
            <w:r>
              <w:rPr>
                <w:rFonts w:hint="eastAsia" w:ascii="宋体" w:hAnsi="宋体" w:eastAsia="宋体" w:cs="宋体"/>
                <w:sz w:val="24"/>
                <w:szCs w:val="24"/>
              </w:rPr>
              <w:t>其他服务响应问题情况</w:t>
            </w:r>
          </w:p>
        </w:tc>
        <w:tc>
          <w:tcPr>
            <w:tcW w:w="760" w:type="dxa"/>
            <w:vAlign w:val="center"/>
          </w:tcPr>
          <w:p w14:paraId="7BA8D713">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10</w:t>
            </w:r>
          </w:p>
        </w:tc>
        <w:tc>
          <w:tcPr>
            <w:tcW w:w="1266" w:type="dxa"/>
            <w:vAlign w:val="center"/>
          </w:tcPr>
          <w:p w14:paraId="70B465BA">
            <w:pPr>
              <w:spacing w:line="0" w:lineRule="atLeast"/>
              <w:jc w:val="center"/>
              <w:rPr>
                <w:rFonts w:hint="eastAsia" w:ascii="宋体" w:hAnsi="宋体" w:eastAsia="宋体" w:cs="宋体"/>
                <w:sz w:val="24"/>
                <w:szCs w:val="24"/>
              </w:rPr>
            </w:pPr>
          </w:p>
        </w:tc>
        <w:tc>
          <w:tcPr>
            <w:tcW w:w="1349" w:type="dxa"/>
            <w:vAlign w:val="center"/>
          </w:tcPr>
          <w:p w14:paraId="2D00D660">
            <w:pPr>
              <w:spacing w:line="0" w:lineRule="atLeast"/>
              <w:jc w:val="center"/>
              <w:rPr>
                <w:rFonts w:hint="eastAsia" w:ascii="宋体" w:hAnsi="宋体" w:eastAsia="宋体" w:cs="宋体"/>
                <w:sz w:val="24"/>
                <w:szCs w:val="24"/>
              </w:rPr>
            </w:pPr>
          </w:p>
        </w:tc>
        <w:tc>
          <w:tcPr>
            <w:tcW w:w="1087" w:type="dxa"/>
            <w:vAlign w:val="center"/>
          </w:tcPr>
          <w:p w14:paraId="508DEB32">
            <w:pPr>
              <w:spacing w:line="0" w:lineRule="atLeast"/>
              <w:jc w:val="center"/>
              <w:rPr>
                <w:rFonts w:hint="eastAsia" w:ascii="宋体" w:hAnsi="宋体" w:eastAsia="宋体" w:cs="宋体"/>
                <w:sz w:val="24"/>
                <w:szCs w:val="24"/>
              </w:rPr>
            </w:pPr>
          </w:p>
        </w:tc>
      </w:tr>
      <w:tr w14:paraId="5845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715" w:type="dxa"/>
            <w:gridSpan w:val="2"/>
            <w:vAlign w:val="center"/>
          </w:tcPr>
          <w:p w14:paraId="43ACB0DC">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合计</w:t>
            </w:r>
          </w:p>
        </w:tc>
        <w:tc>
          <w:tcPr>
            <w:tcW w:w="760" w:type="dxa"/>
            <w:vAlign w:val="center"/>
          </w:tcPr>
          <w:p w14:paraId="36CA7F0E">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1266" w:type="dxa"/>
            <w:vAlign w:val="center"/>
          </w:tcPr>
          <w:p w14:paraId="417AF394">
            <w:pPr>
              <w:spacing w:line="0" w:lineRule="atLeast"/>
              <w:jc w:val="center"/>
              <w:rPr>
                <w:rFonts w:hint="eastAsia" w:ascii="宋体" w:hAnsi="宋体" w:eastAsia="宋体" w:cs="宋体"/>
                <w:sz w:val="24"/>
                <w:szCs w:val="24"/>
              </w:rPr>
            </w:pPr>
          </w:p>
        </w:tc>
        <w:tc>
          <w:tcPr>
            <w:tcW w:w="1349" w:type="dxa"/>
            <w:vAlign w:val="center"/>
          </w:tcPr>
          <w:p w14:paraId="3B7E0234">
            <w:pPr>
              <w:spacing w:line="0" w:lineRule="atLeast"/>
              <w:jc w:val="center"/>
              <w:rPr>
                <w:rFonts w:hint="eastAsia" w:ascii="宋体" w:hAnsi="宋体" w:eastAsia="宋体" w:cs="宋体"/>
                <w:sz w:val="24"/>
                <w:szCs w:val="24"/>
              </w:rPr>
            </w:pPr>
          </w:p>
        </w:tc>
        <w:tc>
          <w:tcPr>
            <w:tcW w:w="1087" w:type="dxa"/>
            <w:vAlign w:val="center"/>
          </w:tcPr>
          <w:p w14:paraId="6838E8C4">
            <w:pPr>
              <w:spacing w:line="0" w:lineRule="atLeast"/>
              <w:jc w:val="center"/>
              <w:rPr>
                <w:rFonts w:hint="eastAsia" w:ascii="宋体" w:hAnsi="宋体" w:eastAsia="宋体" w:cs="宋体"/>
                <w:sz w:val="24"/>
                <w:szCs w:val="24"/>
              </w:rPr>
            </w:pPr>
          </w:p>
        </w:tc>
      </w:tr>
      <w:tr w14:paraId="1F05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715" w:type="dxa"/>
            <w:gridSpan w:val="2"/>
            <w:vAlign w:val="center"/>
          </w:tcPr>
          <w:p w14:paraId="7026046C">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加权总分</w:t>
            </w:r>
          </w:p>
          <w:p w14:paraId="68D6BDAF">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bidi="ar"/>
              </w:rPr>
              <w:t>需求单位50%+东实集团主管部门50%</w:t>
            </w:r>
            <w:r>
              <w:rPr>
                <w:rFonts w:hint="eastAsia" w:ascii="宋体" w:hAnsi="宋体" w:eastAsia="宋体" w:cs="宋体"/>
                <w:sz w:val="24"/>
                <w:szCs w:val="24"/>
              </w:rPr>
              <w:t>）</w:t>
            </w:r>
          </w:p>
        </w:tc>
        <w:tc>
          <w:tcPr>
            <w:tcW w:w="760" w:type="dxa"/>
            <w:vAlign w:val="center"/>
          </w:tcPr>
          <w:p w14:paraId="45A5063A">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100</w:t>
            </w:r>
          </w:p>
        </w:tc>
        <w:tc>
          <w:tcPr>
            <w:tcW w:w="2615" w:type="dxa"/>
            <w:gridSpan w:val="2"/>
            <w:vAlign w:val="center"/>
          </w:tcPr>
          <w:p w14:paraId="77627F87">
            <w:pPr>
              <w:spacing w:line="0" w:lineRule="atLeast"/>
              <w:jc w:val="center"/>
              <w:rPr>
                <w:rFonts w:hint="eastAsia" w:ascii="宋体" w:hAnsi="宋体" w:eastAsia="宋体" w:cs="宋体"/>
                <w:sz w:val="24"/>
                <w:szCs w:val="24"/>
              </w:rPr>
            </w:pPr>
          </w:p>
        </w:tc>
        <w:tc>
          <w:tcPr>
            <w:tcW w:w="1087" w:type="dxa"/>
            <w:vAlign w:val="center"/>
          </w:tcPr>
          <w:p w14:paraId="1AEF0F33">
            <w:pPr>
              <w:spacing w:line="0" w:lineRule="atLeast"/>
              <w:jc w:val="center"/>
              <w:rPr>
                <w:rFonts w:hint="eastAsia" w:ascii="宋体" w:hAnsi="宋体" w:eastAsia="宋体" w:cs="宋体"/>
                <w:sz w:val="24"/>
                <w:szCs w:val="24"/>
              </w:rPr>
            </w:pPr>
          </w:p>
        </w:tc>
      </w:tr>
      <w:tr w14:paraId="21FC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5475" w:type="dxa"/>
            <w:gridSpan w:val="3"/>
            <w:vAlign w:val="center"/>
          </w:tcPr>
          <w:p w14:paraId="28C8FA8D">
            <w:pPr>
              <w:spacing w:line="0" w:lineRule="atLeast"/>
              <w:rPr>
                <w:rFonts w:hint="eastAsia" w:ascii="宋体" w:hAnsi="宋体" w:eastAsia="宋体" w:cs="宋体"/>
                <w:sz w:val="24"/>
                <w:szCs w:val="24"/>
              </w:rPr>
            </w:pPr>
            <w:r>
              <w:rPr>
                <w:rFonts w:hint="eastAsia" w:ascii="宋体" w:hAnsi="宋体" w:eastAsia="宋体" w:cs="宋体"/>
                <w:sz w:val="24"/>
                <w:szCs w:val="24"/>
              </w:rPr>
              <w:t>需求单位评价人：</w:t>
            </w:r>
          </w:p>
        </w:tc>
        <w:tc>
          <w:tcPr>
            <w:tcW w:w="3702" w:type="dxa"/>
            <w:gridSpan w:val="3"/>
            <w:vAlign w:val="center"/>
          </w:tcPr>
          <w:p w14:paraId="1B4942DC">
            <w:pPr>
              <w:spacing w:line="0" w:lineRule="atLeast"/>
              <w:rPr>
                <w:rFonts w:hint="eastAsia" w:ascii="宋体" w:hAnsi="宋体" w:eastAsia="宋体" w:cs="宋体"/>
                <w:sz w:val="24"/>
                <w:szCs w:val="24"/>
              </w:rPr>
            </w:pPr>
            <w:r>
              <w:rPr>
                <w:rFonts w:hint="eastAsia" w:ascii="宋体" w:hAnsi="宋体" w:eastAsia="宋体" w:cs="宋体"/>
                <w:sz w:val="24"/>
                <w:szCs w:val="24"/>
              </w:rPr>
              <w:t>评价日期：    年  月   日</w:t>
            </w:r>
          </w:p>
        </w:tc>
      </w:tr>
      <w:tr w14:paraId="4AF3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5475" w:type="dxa"/>
            <w:gridSpan w:val="3"/>
            <w:vAlign w:val="center"/>
          </w:tcPr>
          <w:p w14:paraId="5C08475C">
            <w:pPr>
              <w:spacing w:line="0" w:lineRule="atLeast"/>
              <w:rPr>
                <w:rFonts w:hint="eastAsia" w:ascii="宋体" w:hAnsi="宋体" w:eastAsia="宋体" w:cs="宋体"/>
                <w:sz w:val="24"/>
                <w:szCs w:val="24"/>
              </w:rPr>
            </w:pPr>
            <w:r>
              <w:rPr>
                <w:rFonts w:hint="eastAsia" w:ascii="宋体" w:hAnsi="宋体" w:eastAsia="宋体" w:cs="宋体"/>
                <w:sz w:val="24"/>
                <w:szCs w:val="24"/>
              </w:rPr>
              <w:t>东实集团主管部门评价人：</w:t>
            </w:r>
          </w:p>
        </w:tc>
        <w:tc>
          <w:tcPr>
            <w:tcW w:w="3702" w:type="dxa"/>
            <w:gridSpan w:val="3"/>
            <w:vAlign w:val="center"/>
          </w:tcPr>
          <w:p w14:paraId="02C361DA">
            <w:pPr>
              <w:spacing w:line="0" w:lineRule="atLeast"/>
              <w:rPr>
                <w:rFonts w:hint="eastAsia" w:ascii="宋体" w:hAnsi="宋体" w:eastAsia="宋体" w:cs="宋体"/>
                <w:sz w:val="24"/>
                <w:szCs w:val="24"/>
              </w:rPr>
            </w:pPr>
            <w:r>
              <w:rPr>
                <w:rFonts w:hint="eastAsia" w:ascii="宋体" w:hAnsi="宋体" w:eastAsia="宋体" w:cs="宋体"/>
                <w:sz w:val="24"/>
                <w:szCs w:val="24"/>
              </w:rPr>
              <w:t>评价日期：    年   月  日</w:t>
            </w:r>
          </w:p>
        </w:tc>
      </w:tr>
    </w:tbl>
    <w:p w14:paraId="7D93D3F7">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p w14:paraId="336007C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请款前须提交本考核表，此表与招标</w:t>
      </w:r>
      <w:r>
        <w:rPr>
          <w:rFonts w:hint="eastAsia" w:ascii="宋体" w:hAnsi="宋体" w:eastAsia="宋体" w:cs="宋体"/>
          <w:b/>
          <w:color w:val="auto"/>
          <w:sz w:val="24"/>
          <w:highlight w:val="none"/>
          <w:lang w:val="en-US" w:eastAsia="zh-CN"/>
        </w:rPr>
        <w:t>采购</w:t>
      </w:r>
      <w:r>
        <w:rPr>
          <w:rFonts w:hint="eastAsia" w:ascii="宋体" w:hAnsi="宋体" w:eastAsia="宋体" w:cs="宋体"/>
          <w:b/>
          <w:color w:val="auto"/>
          <w:sz w:val="24"/>
          <w:highlight w:val="none"/>
        </w:rPr>
        <w:t>档案一起移交。</w:t>
      </w:r>
    </w:p>
    <w:p w14:paraId="79E588A3">
      <w:pPr>
        <w:rPr>
          <w:rFonts w:hint="eastAsia" w:ascii="宋体" w:hAnsi="宋体" w:eastAsia="宋体" w:cs="宋体"/>
        </w:rPr>
      </w:pPr>
    </w:p>
    <w:p w14:paraId="3AF41097">
      <w:pPr>
        <w:rPr>
          <w:color w:val="auto"/>
        </w:rPr>
      </w:pPr>
    </w:p>
    <w:p w14:paraId="3F530799">
      <w:pPr>
        <w:pStyle w:val="63"/>
        <w:ind w:left="0" w:leftChars="0" w:firstLine="0" w:firstLineChars="0"/>
        <w:rPr>
          <w:rFonts w:hint="eastAsia" w:ascii="宋体" w:hAnsi="宋体" w:eastAsia="宋体" w:cs="宋体"/>
          <w:color w:val="auto"/>
          <w:sz w:val="21"/>
          <w:szCs w:val="21"/>
          <w:highlight w:val="none"/>
        </w:rPr>
      </w:pPr>
    </w:p>
    <w:p w14:paraId="37CA5D04">
      <w:pPr>
        <w:pStyle w:val="63"/>
        <w:ind w:left="0" w:leftChars="0" w:firstLine="0" w:firstLineChars="0"/>
        <w:rPr>
          <w:rFonts w:hint="eastAsia" w:ascii="宋体" w:hAnsi="宋体" w:eastAsia="宋体" w:cs="宋体"/>
          <w:color w:val="auto"/>
          <w:sz w:val="21"/>
          <w:szCs w:val="21"/>
          <w:highlight w:val="none"/>
        </w:rPr>
      </w:pPr>
    </w:p>
    <w:p w14:paraId="0B86967F">
      <w:pPr>
        <w:pStyle w:val="63"/>
        <w:ind w:left="0" w:leftChars="0" w:firstLine="0" w:firstLineChars="0"/>
        <w:rPr>
          <w:rFonts w:hint="eastAsia" w:ascii="宋体" w:hAnsi="宋体" w:eastAsia="宋体" w:cs="宋体"/>
          <w:color w:val="auto"/>
          <w:sz w:val="21"/>
          <w:szCs w:val="21"/>
          <w:highlight w:val="none"/>
        </w:rPr>
      </w:pPr>
    </w:p>
    <w:p w14:paraId="724504A1">
      <w:pPr>
        <w:rPr>
          <w:rFonts w:hint="eastAsia" w:ascii="宋体" w:hAnsi="宋体" w:eastAsia="宋体" w:cs="宋体"/>
          <w:b/>
          <w:bCs/>
          <w:color w:val="auto"/>
          <w:kern w:val="44"/>
          <w:sz w:val="28"/>
          <w:szCs w:val="28"/>
          <w:highlight w:val="none"/>
          <w:lang w:val="zh-CN"/>
        </w:rPr>
      </w:pPr>
      <w:r>
        <w:rPr>
          <w:rFonts w:hint="eastAsia" w:ascii="宋体" w:hAnsi="宋体" w:eastAsia="宋体" w:cs="宋体"/>
          <w:b/>
          <w:bCs/>
          <w:color w:val="auto"/>
          <w:kern w:val="44"/>
          <w:sz w:val="28"/>
          <w:szCs w:val="28"/>
          <w:highlight w:val="none"/>
          <w:lang w:val="zh-CN"/>
        </w:rPr>
        <w:br w:type="page"/>
      </w:r>
    </w:p>
    <w:p w14:paraId="0831A7F4">
      <w:pPr>
        <w:pStyle w:val="3"/>
        <w:keepNext/>
        <w:keepLines/>
        <w:pageBreakBefore/>
        <w:shd w:val="clear"/>
        <w:spacing w:line="360" w:lineRule="auto"/>
        <w:jc w:val="center"/>
        <w:rPr>
          <w:rFonts w:hint="eastAsia" w:ascii="宋体" w:hAnsi="宋体" w:eastAsia="宋体" w:cs="宋体"/>
          <w:b/>
          <w:bCs/>
          <w:color w:val="auto"/>
          <w:kern w:val="44"/>
          <w:sz w:val="28"/>
          <w:szCs w:val="28"/>
          <w:highlight w:val="none"/>
          <w:lang w:val="zh-CN"/>
        </w:rPr>
      </w:pPr>
      <w:r>
        <w:rPr>
          <w:rFonts w:hint="eastAsia" w:ascii="宋体" w:hAnsi="宋体" w:eastAsia="宋体" w:cs="宋体"/>
          <w:b/>
          <w:bCs/>
          <w:color w:val="auto"/>
          <w:kern w:val="44"/>
          <w:sz w:val="28"/>
          <w:szCs w:val="28"/>
          <w:highlight w:val="none"/>
          <w:lang w:val="zh-CN"/>
        </w:rPr>
        <w:t>第六篇磋商响应文件格式</w:t>
      </w:r>
      <w:bookmarkEnd w:id="181"/>
      <w:bookmarkEnd w:id="182"/>
      <w:bookmarkEnd w:id="183"/>
    </w:p>
    <w:p w14:paraId="68FDAA32">
      <w:pPr>
        <w:shd w:val="clear"/>
        <w:ind w:firstLine="1800" w:firstLineChars="750"/>
        <w:rPr>
          <w:rFonts w:hint="eastAsia" w:ascii="宋体" w:hAnsi="宋体" w:eastAsia="宋体" w:cs="宋体"/>
          <w:color w:val="auto"/>
          <w:highlight w:val="none"/>
        </w:rPr>
      </w:pPr>
    </w:p>
    <w:p w14:paraId="1D219C70">
      <w:pPr>
        <w:pStyle w:val="4"/>
        <w:jc w:val="center"/>
        <w:rPr>
          <w:rFonts w:hint="eastAsia" w:ascii="宋体" w:hAnsi="宋体" w:eastAsia="宋体" w:cs="宋体"/>
          <w:color w:val="auto"/>
          <w:highlight w:val="none"/>
        </w:rPr>
      </w:pPr>
      <w:bookmarkStart w:id="187" w:name="_Toc19311"/>
      <w:bookmarkStart w:id="188" w:name="_Toc9566"/>
      <w:r>
        <w:rPr>
          <w:rFonts w:hint="eastAsia" w:ascii="宋体" w:hAnsi="宋体" w:eastAsia="宋体" w:cs="宋体"/>
          <w:color w:val="auto"/>
          <w:sz w:val="28"/>
          <w:szCs w:val="28"/>
          <w:highlight w:val="none"/>
        </w:rPr>
        <w:t>第一部分 价格文件（单独编制装订成册）</w:t>
      </w:r>
      <w:bookmarkEnd w:id="187"/>
      <w:bookmarkEnd w:id="188"/>
    </w:p>
    <w:p w14:paraId="60AC5CBA">
      <w:pPr>
        <w:pStyle w:val="4"/>
        <w:numPr>
          <w:ilvl w:val="0"/>
          <w:numId w:val="13"/>
        </w:numPr>
        <w:jc w:val="center"/>
        <w:rPr>
          <w:rFonts w:hint="eastAsia" w:ascii="宋体" w:hAnsi="宋体" w:eastAsia="宋体" w:cs="宋体"/>
          <w:color w:val="auto"/>
          <w:sz w:val="21"/>
          <w:szCs w:val="21"/>
          <w:highlight w:val="none"/>
        </w:rPr>
      </w:pPr>
      <w:bookmarkStart w:id="189" w:name="_Toc12373"/>
      <w:bookmarkStart w:id="190" w:name="_Toc21786"/>
      <w:bookmarkStart w:id="191" w:name="_Toc20730"/>
      <w:bookmarkStart w:id="192" w:name="_Toc7897888"/>
      <w:bookmarkStart w:id="193" w:name="_Toc12383"/>
      <w:bookmarkStart w:id="194" w:name="_Toc32405"/>
      <w:bookmarkStart w:id="195" w:name="_Toc30637"/>
      <w:bookmarkStart w:id="196" w:name="_Toc28095"/>
      <w:bookmarkStart w:id="197" w:name="_Toc2544"/>
      <w:bookmarkStart w:id="198" w:name="_Toc486671573"/>
      <w:bookmarkStart w:id="199" w:name="_Toc32273"/>
      <w:bookmarkStart w:id="200" w:name="_Toc19671"/>
      <w:bookmarkStart w:id="201" w:name="_Toc458262639"/>
      <w:bookmarkStart w:id="202" w:name="_Toc467236769"/>
      <w:bookmarkStart w:id="203" w:name="_Toc18848"/>
      <w:bookmarkStart w:id="204" w:name="_Toc476976201"/>
      <w:bookmarkStart w:id="205" w:name="_Toc454701406"/>
      <w:bookmarkStart w:id="206" w:name="_Toc396137244"/>
      <w:bookmarkStart w:id="207" w:name="_Toc32736"/>
      <w:bookmarkStart w:id="208" w:name="_Toc15960"/>
      <w:bookmarkStart w:id="209" w:name="_Toc9348"/>
      <w:bookmarkStart w:id="210" w:name="_Toc29841"/>
      <w:r>
        <w:rPr>
          <w:rFonts w:hint="eastAsia" w:ascii="宋体" w:hAnsi="宋体" w:eastAsia="宋体" w:cs="宋体"/>
          <w:color w:val="auto"/>
          <w:sz w:val="28"/>
          <w:szCs w:val="28"/>
          <w:highlight w:val="none"/>
        </w:rPr>
        <w:t>报价一览表</w:t>
      </w:r>
      <w:bookmarkEnd w:id="189"/>
      <w:bookmarkEnd w:id="190"/>
      <w:bookmarkEnd w:id="191"/>
      <w:bookmarkEnd w:id="192"/>
    </w:p>
    <w:p w14:paraId="574189B9">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p>
    <w:p w14:paraId="4E1DA1F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采购项目编号：</w:t>
      </w:r>
    </w:p>
    <w:p w14:paraId="647CCED0">
      <w:pPr>
        <w:pStyle w:val="63"/>
        <w:rPr>
          <w:rFonts w:hint="eastAsia" w:ascii="宋体" w:hAnsi="宋体" w:eastAsia="宋体" w:cs="宋体"/>
          <w:color w:val="auto"/>
          <w:highlight w:val="none"/>
        </w:rPr>
      </w:pPr>
    </w:p>
    <w:tbl>
      <w:tblPr>
        <w:tblStyle w:val="5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4"/>
        <w:gridCol w:w="2907"/>
        <w:gridCol w:w="1500"/>
        <w:gridCol w:w="1660"/>
      </w:tblGrid>
      <w:tr w14:paraId="625D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920" w:type="pct"/>
            <w:vAlign w:val="center"/>
          </w:tcPr>
          <w:p w14:paraId="519C9E9B">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szCs w:val="21"/>
                <w:highlight w:val="none"/>
              </w:rPr>
              <w:t>项目名称</w:t>
            </w:r>
          </w:p>
        </w:tc>
        <w:tc>
          <w:tcPr>
            <w:tcW w:w="1475" w:type="pct"/>
            <w:vAlign w:val="center"/>
          </w:tcPr>
          <w:p w14:paraId="7EADBDAE">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服务费系数</w:t>
            </w:r>
          </w:p>
        </w:tc>
        <w:tc>
          <w:tcPr>
            <w:tcW w:w="761" w:type="pct"/>
            <w:vAlign w:val="center"/>
          </w:tcPr>
          <w:p w14:paraId="2F8BB1BD">
            <w:pPr>
              <w:spacing w:line="240" w:lineRule="auto"/>
              <w:jc w:val="center"/>
              <w:rPr>
                <w:rFonts w:hint="eastAsia" w:ascii="宋体" w:hAnsi="宋体" w:eastAsia="宋体" w:cs="宋体"/>
                <w:color w:val="auto"/>
                <w:kern w:val="28"/>
                <w:szCs w:val="21"/>
                <w:highlight w:val="none"/>
                <w:lang w:val="en-US" w:eastAsia="zh-CN"/>
              </w:rPr>
            </w:pPr>
            <w:r>
              <w:rPr>
                <w:rFonts w:hint="eastAsia" w:ascii="宋体" w:hAnsi="宋体" w:eastAsia="宋体" w:cs="宋体"/>
                <w:color w:val="auto"/>
                <w:kern w:val="28"/>
                <w:szCs w:val="21"/>
                <w:highlight w:val="none"/>
                <w:lang w:val="en-US" w:eastAsia="zh-CN"/>
              </w:rPr>
              <w:t>税率</w:t>
            </w:r>
          </w:p>
        </w:tc>
        <w:tc>
          <w:tcPr>
            <w:tcW w:w="842" w:type="pct"/>
            <w:vAlign w:val="center"/>
          </w:tcPr>
          <w:p w14:paraId="1694AFA5">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备注</w:t>
            </w:r>
          </w:p>
        </w:tc>
      </w:tr>
      <w:tr w14:paraId="48EF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920" w:type="pct"/>
            <w:vAlign w:val="center"/>
          </w:tcPr>
          <w:p w14:paraId="1D7A5C48">
            <w:pPr>
              <w:spacing w:line="240" w:lineRule="auto"/>
              <w:jc w:val="center"/>
              <w:rPr>
                <w:rFonts w:hint="eastAsia" w:ascii="宋体" w:hAnsi="宋体" w:eastAsia="宋体" w:cs="宋体"/>
                <w:color w:val="auto"/>
                <w:szCs w:val="21"/>
                <w:highlight w:val="none"/>
              </w:rPr>
            </w:pPr>
          </w:p>
        </w:tc>
        <w:tc>
          <w:tcPr>
            <w:tcW w:w="1475" w:type="pct"/>
            <w:vAlign w:val="center"/>
          </w:tcPr>
          <w:p w14:paraId="17EC67D8">
            <w:pPr>
              <w:spacing w:line="240" w:lineRule="auto"/>
              <w:jc w:val="center"/>
              <w:rPr>
                <w:rFonts w:hint="eastAsia" w:ascii="宋体" w:hAnsi="宋体" w:eastAsia="宋体" w:cs="宋体"/>
                <w:color w:val="auto"/>
                <w:szCs w:val="21"/>
                <w:highlight w:val="none"/>
              </w:rPr>
            </w:pPr>
          </w:p>
        </w:tc>
        <w:tc>
          <w:tcPr>
            <w:tcW w:w="761" w:type="pct"/>
            <w:vAlign w:val="center"/>
          </w:tcPr>
          <w:p w14:paraId="49E215A2">
            <w:pPr>
              <w:pStyle w:val="65"/>
              <w:jc w:val="center"/>
              <w:rPr>
                <w:rFonts w:hint="eastAsia" w:ascii="宋体" w:hAnsi="宋体" w:eastAsia="宋体" w:cs="宋体"/>
                <w:color w:val="auto"/>
                <w:sz w:val="21"/>
                <w:szCs w:val="21"/>
                <w:highlight w:val="none"/>
              </w:rPr>
            </w:pPr>
          </w:p>
        </w:tc>
        <w:tc>
          <w:tcPr>
            <w:tcW w:w="842" w:type="pct"/>
            <w:vAlign w:val="center"/>
          </w:tcPr>
          <w:p w14:paraId="4C464FFF">
            <w:pPr>
              <w:pStyle w:val="65"/>
              <w:jc w:val="center"/>
              <w:rPr>
                <w:rFonts w:hint="eastAsia" w:ascii="宋体" w:hAnsi="宋体" w:eastAsia="宋体" w:cs="宋体"/>
                <w:color w:val="auto"/>
                <w:sz w:val="21"/>
                <w:szCs w:val="21"/>
                <w:highlight w:val="none"/>
              </w:rPr>
            </w:pPr>
          </w:p>
        </w:tc>
      </w:tr>
    </w:tbl>
    <w:p w14:paraId="4E6EB3CA">
      <w:pPr>
        <w:rPr>
          <w:rFonts w:hint="eastAsia" w:ascii="宋体" w:hAnsi="宋体" w:eastAsia="宋体" w:cs="宋体"/>
          <w:color w:val="auto"/>
          <w:szCs w:val="21"/>
          <w:highlight w:val="none"/>
        </w:rPr>
      </w:pPr>
    </w:p>
    <w:p w14:paraId="37D5D80B">
      <w:pPr>
        <w:ind w:firstLine="410" w:firstLineChars="171"/>
        <w:rPr>
          <w:rFonts w:hint="eastAsia" w:ascii="宋体" w:hAnsi="宋体" w:eastAsia="宋体" w:cs="宋体"/>
          <w:color w:val="auto"/>
          <w:szCs w:val="21"/>
          <w:highlight w:val="none"/>
        </w:rPr>
      </w:pPr>
    </w:p>
    <w:p w14:paraId="05EE85CC">
      <w:pPr>
        <w:ind w:firstLine="410"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代表签字：</w:t>
      </w:r>
    </w:p>
    <w:p w14:paraId="473C7812">
      <w:pPr>
        <w:ind w:firstLine="410"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盖章：</w:t>
      </w:r>
    </w:p>
    <w:p w14:paraId="0F8D0BC0">
      <w:pPr>
        <w:ind w:firstLine="410"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460BA2C1">
      <w:pPr>
        <w:ind w:firstLine="410" w:firstLineChars="171"/>
        <w:rPr>
          <w:rFonts w:hint="eastAsia" w:ascii="宋体" w:hAnsi="宋体" w:eastAsia="宋体" w:cs="宋体"/>
          <w:color w:val="auto"/>
          <w:szCs w:val="21"/>
          <w:highlight w:val="none"/>
        </w:rPr>
      </w:pPr>
    </w:p>
    <w:p w14:paraId="1218C30E">
      <w:pPr>
        <w:ind w:left="391" w:hanging="446" w:hangingChars="186"/>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4"/>
          <w:highlight w:val="none"/>
        </w:rPr>
        <w:t xml:space="preserve">  注：</w:t>
      </w:r>
    </w:p>
    <w:p w14:paraId="07773EFA">
      <w:pPr>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lang w:val="en-US" w:eastAsia="zh-CN"/>
        </w:rPr>
        <w:t>系数</w:t>
      </w:r>
      <w:r>
        <w:rPr>
          <w:rFonts w:hint="eastAsia" w:ascii="宋体" w:hAnsi="宋体" w:eastAsia="宋体" w:cs="宋体"/>
          <w:color w:val="auto"/>
          <w:sz w:val="24"/>
          <w:szCs w:val="24"/>
          <w:highlight w:val="none"/>
        </w:rPr>
        <w:t>栏须用大写金额和小写金额两种方式表示的</w:t>
      </w:r>
      <w:r>
        <w:rPr>
          <w:rFonts w:hint="eastAsia"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系数</w:t>
      </w:r>
      <w:r>
        <w:rPr>
          <w:rFonts w:hint="eastAsia" w:ascii="宋体" w:hAnsi="宋体" w:eastAsia="宋体" w:cs="宋体"/>
          <w:color w:val="auto"/>
          <w:sz w:val="24"/>
          <w:szCs w:val="24"/>
          <w:highlight w:val="none"/>
        </w:rPr>
        <w:t>，报价保留小数点后两位。</w:t>
      </w:r>
      <w:r>
        <w:rPr>
          <w:rFonts w:hint="eastAsia"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系数</w:t>
      </w:r>
      <w:r>
        <w:rPr>
          <w:rFonts w:hint="eastAsia" w:ascii="宋体" w:hAnsi="宋体" w:eastAsia="宋体" w:cs="宋体"/>
          <w:color w:val="auto"/>
          <w:sz w:val="24"/>
          <w:szCs w:val="24"/>
          <w:highlight w:val="none"/>
        </w:rPr>
        <w:t>大小写不一致，以大写为准。</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lang w:val="en-US" w:eastAsia="zh-CN"/>
        </w:rPr>
        <w:t>系数</w:t>
      </w:r>
      <w:r>
        <w:rPr>
          <w:rFonts w:hint="eastAsia" w:ascii="宋体" w:hAnsi="宋体" w:eastAsia="宋体" w:cs="宋体"/>
          <w:color w:val="auto"/>
          <w:sz w:val="24"/>
          <w:szCs w:val="24"/>
          <w:highlight w:val="none"/>
        </w:rPr>
        <w:t>必须准确唯一且应包含</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要求的所有费用。</w:t>
      </w:r>
    </w:p>
    <w:p w14:paraId="0B3A80C9">
      <w:pPr>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2.</w:t>
      </w:r>
      <w:r>
        <w:rPr>
          <w:rFonts w:hint="eastAsia" w:ascii="宋体" w:hAnsi="宋体" w:eastAsia="宋体" w:cs="宋体"/>
          <w:color w:val="auto"/>
          <w:sz w:val="24"/>
          <w:szCs w:val="24"/>
          <w:highlight w:val="none"/>
        </w:rPr>
        <w:t>温馨提示：未按</w:t>
      </w:r>
      <w:r>
        <w:rPr>
          <w:rFonts w:hint="eastAsia"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要求报价、填写开标一览表是导致</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废标的常见问题，请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仔细填写，认真核对。</w:t>
      </w:r>
    </w:p>
    <w:p w14:paraId="1DAFA6E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14:paraId="16ED2B1D">
      <w:pPr>
        <w:pStyle w:val="4"/>
        <w:shd w:val="clear"/>
        <w:jc w:val="center"/>
        <w:rPr>
          <w:rFonts w:hint="eastAsia" w:ascii="宋体" w:hAnsi="宋体" w:eastAsia="宋体" w:cs="宋体"/>
          <w:color w:val="auto"/>
          <w:sz w:val="28"/>
          <w:szCs w:val="28"/>
          <w:highlight w:val="none"/>
        </w:rPr>
      </w:pPr>
      <w:bookmarkStart w:id="211" w:name="_Toc18450"/>
      <w:bookmarkStart w:id="212" w:name="_Toc12158"/>
      <w:bookmarkStart w:id="213" w:name="_Toc486671572"/>
      <w:bookmarkStart w:id="214" w:name="_Toc7897890"/>
      <w:bookmarkStart w:id="215" w:name="_Toc467236768"/>
      <w:bookmarkStart w:id="216" w:name="_Toc27849"/>
      <w:bookmarkStart w:id="217" w:name="_Toc454701405"/>
      <w:bookmarkStart w:id="218" w:name="_Toc458262638"/>
      <w:bookmarkStart w:id="219" w:name="_Toc476976200"/>
      <w:bookmarkStart w:id="220" w:name="_Toc110953866"/>
      <w:bookmarkStart w:id="221" w:name="_Toc468606064"/>
      <w:bookmarkStart w:id="222" w:name="_Toc468157569"/>
      <w:bookmarkStart w:id="223" w:name="_Toc480021085"/>
      <w:bookmarkStart w:id="224" w:name="_Toc480020289"/>
      <w:bookmarkStart w:id="225" w:name="_Toc467987856"/>
      <w:bookmarkStart w:id="226" w:name="_Toc479991616"/>
      <w:bookmarkStart w:id="227" w:name="_Toc480010742"/>
      <w:r>
        <w:rPr>
          <w:rFonts w:hint="eastAsia" w:ascii="宋体" w:hAnsi="宋体" w:eastAsia="宋体" w:cs="宋体"/>
          <w:color w:val="auto"/>
          <w:sz w:val="28"/>
          <w:szCs w:val="28"/>
          <w:highlight w:val="none"/>
        </w:rPr>
        <w:t>第二部分  商务文件</w:t>
      </w:r>
      <w:bookmarkEnd w:id="211"/>
      <w:bookmarkEnd w:id="212"/>
      <w:bookmarkStart w:id="228" w:name="_Hlt10519799"/>
      <w:bookmarkEnd w:id="228"/>
      <w:bookmarkStart w:id="229" w:name="_Hlt10456397"/>
      <w:bookmarkEnd w:id="229"/>
    </w:p>
    <w:p w14:paraId="4D59E2FD">
      <w:pPr>
        <w:shd w:val="clear"/>
        <w:rPr>
          <w:rFonts w:hint="eastAsia" w:ascii="宋体" w:hAnsi="宋体" w:eastAsia="宋体" w:cs="宋体"/>
          <w:color w:val="auto"/>
          <w:highlight w:val="none"/>
        </w:rPr>
      </w:pPr>
    </w:p>
    <w:p w14:paraId="0D2BFB86">
      <w:pPr>
        <w:pStyle w:val="4"/>
        <w:numPr>
          <w:ilvl w:val="0"/>
          <w:numId w:val="0"/>
        </w:numPr>
        <w:shd w:val="clear"/>
        <w:ind w:left="0" w:leftChars="0" w:firstLine="420" w:firstLineChars="0"/>
        <w:jc w:val="center"/>
        <w:rPr>
          <w:rFonts w:hint="eastAsia" w:ascii="宋体" w:hAnsi="宋体" w:eastAsia="宋体" w:cs="宋体"/>
          <w:b w:val="0"/>
          <w:color w:val="auto"/>
          <w:sz w:val="28"/>
          <w:szCs w:val="28"/>
          <w:highlight w:val="none"/>
        </w:rPr>
      </w:pPr>
      <w:bookmarkStart w:id="230" w:name="_Toc18728"/>
      <w:bookmarkStart w:id="231" w:name="_Toc8815"/>
      <w:r>
        <w:rPr>
          <w:rFonts w:hint="eastAsia" w:ascii="宋体" w:hAnsi="宋体" w:eastAsia="宋体" w:cs="宋体"/>
          <w:b w:val="0"/>
          <w:color w:val="auto"/>
          <w:sz w:val="28"/>
          <w:szCs w:val="28"/>
          <w:lang w:val="en-US" w:eastAsia="zh-CN" w:bidi="ar-SA"/>
        </w:rPr>
        <w:t>一、</w:t>
      </w:r>
      <w:r>
        <w:rPr>
          <w:rFonts w:hint="eastAsia" w:ascii="宋体" w:hAnsi="宋体" w:eastAsia="宋体" w:cs="宋体"/>
          <w:color w:val="auto"/>
          <w:sz w:val="28"/>
          <w:szCs w:val="28"/>
          <w:highlight w:val="none"/>
        </w:rPr>
        <w:t>响应书</w:t>
      </w:r>
      <w:bookmarkEnd w:id="213"/>
      <w:bookmarkEnd w:id="214"/>
      <w:bookmarkEnd w:id="215"/>
      <w:bookmarkEnd w:id="216"/>
      <w:bookmarkEnd w:id="217"/>
      <w:bookmarkEnd w:id="218"/>
      <w:bookmarkEnd w:id="219"/>
      <w:bookmarkEnd w:id="230"/>
      <w:bookmarkEnd w:id="231"/>
    </w:p>
    <w:p w14:paraId="3205499D">
      <w:pPr>
        <w:pStyle w:val="32"/>
        <w:shd w:val="clear"/>
        <w:autoSpaceDE/>
        <w:autoSpaceDN/>
        <w:adjustRightInd/>
        <w:spacing w:line="480" w:lineRule="exact"/>
        <w:ind w:left="6000"/>
        <w:rPr>
          <w:rFonts w:hint="eastAsia" w:ascii="宋体" w:hAnsi="宋体" w:eastAsia="宋体" w:cs="宋体"/>
          <w:color w:val="auto"/>
          <w:sz w:val="24"/>
          <w:highlight w:val="none"/>
        </w:rPr>
      </w:pPr>
    </w:p>
    <w:p w14:paraId="5FB5F8D0">
      <w:pPr>
        <w:pStyle w:val="32"/>
        <w:shd w:val="clear"/>
        <w:autoSpaceDE/>
        <w:autoSpaceDN/>
        <w:adjustRightInd/>
        <w:spacing w:line="480" w:lineRule="exact"/>
        <w:ind w:left="0" w:leftChars="0"/>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hAnsi="宋体" w:cs="宋体"/>
          <w:color w:val="auto"/>
          <w:highlight w:val="none"/>
          <w:lang w:eastAsia="zh-CN"/>
        </w:rPr>
        <w:t>中天项目咨询（东莞）有限公司</w:t>
      </w:r>
    </w:p>
    <w:p w14:paraId="28F8398D">
      <w:pPr>
        <w:shd w:val="clea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根据贵方（采购编号：）的采购邀请和磋商文件，供应商承诺如下：</w:t>
      </w:r>
    </w:p>
    <w:p w14:paraId="0959A871">
      <w:pPr>
        <w:shd w:val="clea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1.签字代表</w:t>
      </w:r>
      <w:r>
        <w:rPr>
          <w:rFonts w:hint="eastAsia" w:ascii="宋体" w:hAnsi="宋体" w:eastAsia="宋体" w:cs="宋体"/>
          <w:color w:val="auto"/>
          <w:sz w:val="21"/>
          <w:szCs w:val="21"/>
          <w:highlight w:val="none"/>
          <w:u w:val="single"/>
        </w:rPr>
        <w:t>（姓名、职务）</w:t>
      </w:r>
      <w:r>
        <w:rPr>
          <w:rFonts w:hint="eastAsia" w:ascii="宋体" w:hAnsi="宋体" w:eastAsia="宋体" w:cs="宋体"/>
          <w:color w:val="auto"/>
          <w:sz w:val="21"/>
          <w:szCs w:val="21"/>
          <w:highlight w:val="none"/>
        </w:rPr>
        <w:t>经正式授权并代表供应商</w:t>
      </w:r>
      <w:r>
        <w:rPr>
          <w:rFonts w:hint="eastAsia" w:ascii="宋体" w:hAnsi="宋体" w:eastAsia="宋体" w:cs="宋体"/>
          <w:color w:val="auto"/>
          <w:sz w:val="21"/>
          <w:szCs w:val="21"/>
          <w:highlight w:val="none"/>
          <w:u w:val="single"/>
        </w:rPr>
        <w:t>（供应商名称、地址）</w:t>
      </w:r>
      <w:r>
        <w:rPr>
          <w:rFonts w:hint="eastAsia" w:ascii="宋体" w:hAnsi="宋体" w:eastAsia="宋体" w:cs="宋体"/>
          <w:color w:val="auto"/>
          <w:sz w:val="21"/>
          <w:szCs w:val="21"/>
          <w:highlight w:val="none"/>
        </w:rPr>
        <w:t>提交响应文件正本份和副本份。</w:t>
      </w:r>
    </w:p>
    <w:p w14:paraId="2CAD04C8">
      <w:pPr>
        <w:shd w:val="clea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2.供应商愿意参加响应并在成交后按磋商文件规定履行义务。</w:t>
      </w:r>
    </w:p>
    <w:p w14:paraId="4FEC2A7D">
      <w:pPr>
        <w:shd w:val="clea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3.供应商已详细审查全部磋商文件，包括澄清或修改文件（如有的话）等全部资料。供应商完全理解磋商文件的内容，不存在对磋商文件不明白和误解。</w:t>
      </w:r>
    </w:p>
    <w:p w14:paraId="64BA7FF2">
      <w:pPr>
        <w:shd w:val="clea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4.响应文件中所提交的所有资料均是准确的和真实的，否则，我单位愿意放弃成交的权利和接受采购监督管理部门的处罚。</w:t>
      </w:r>
    </w:p>
    <w:p w14:paraId="7AC2BDCE">
      <w:pPr>
        <w:shd w:val="clea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5.参加本项目采购活动前3年内，在经营活动中没有重大违法记录。</w:t>
      </w:r>
    </w:p>
    <w:p w14:paraId="665982E5">
      <w:pPr>
        <w:shd w:val="clea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6.响应有效期为90个工作日，自开启响应文件之日起算。</w:t>
      </w:r>
    </w:p>
    <w:p w14:paraId="2E2F49FF">
      <w:pPr>
        <w:shd w:val="clear"/>
        <w:spacing w:line="48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.如果开启响应文件后，在响应有效期内撤回文件的，我单位愿意承担贵单位由此而产生的损失。</w:t>
      </w:r>
    </w:p>
    <w:p w14:paraId="6D031C98">
      <w:pPr>
        <w:shd w:val="clear"/>
        <w:spacing w:line="48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.供应商同意提供按照贵方可能要求的有关的一切资料，理解贵单位不一定要接受最低价的响应或收到的任何响应。</w:t>
      </w:r>
    </w:p>
    <w:p w14:paraId="0AF3CC0B">
      <w:pPr>
        <w:shd w:val="clear"/>
        <w:spacing w:line="48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.与本响应有关的一切正式往来通讯请寄：</w:t>
      </w:r>
    </w:p>
    <w:p w14:paraId="45A18713">
      <w:pPr>
        <w:shd w:val="clear"/>
        <w:spacing w:line="480" w:lineRule="exact"/>
        <w:ind w:firstLine="420" w:firstLineChars="200"/>
        <w:rPr>
          <w:rFonts w:hint="eastAsia" w:ascii="宋体" w:hAnsi="宋体" w:eastAsia="宋体" w:cs="宋体"/>
          <w:color w:val="auto"/>
          <w:sz w:val="21"/>
          <w:szCs w:val="21"/>
          <w:highlight w:val="none"/>
        </w:rPr>
      </w:pPr>
    </w:p>
    <w:p w14:paraId="4B8CA38A">
      <w:pPr>
        <w:shd w:val="clea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（盖公章）                   </w:t>
      </w:r>
    </w:p>
    <w:p w14:paraId="607DE14F">
      <w:pPr>
        <w:shd w:val="clear"/>
        <w:spacing w:line="48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供应商代表姓名、职务（印刷体）：</w:t>
      </w:r>
    </w:p>
    <w:p w14:paraId="24D7099A">
      <w:pPr>
        <w:shd w:val="clea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供应商联系电话、传真：</w:t>
      </w:r>
    </w:p>
    <w:p w14:paraId="16D5F506">
      <w:pPr>
        <w:shd w:val="clea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日期：年月日</w:t>
      </w:r>
    </w:p>
    <w:p w14:paraId="7F0BD7E1">
      <w:pPr>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br w:type="page"/>
      </w:r>
    </w:p>
    <w:p w14:paraId="2C896391">
      <w:pPr>
        <w:pStyle w:val="4"/>
        <w:numPr>
          <w:ilvl w:val="0"/>
          <w:numId w:val="0"/>
        </w:numPr>
        <w:shd w:val="clear"/>
        <w:ind w:left="0" w:leftChars="0" w:firstLine="420" w:firstLineChars="0"/>
        <w:jc w:val="center"/>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lang w:val="en-US" w:eastAsia="zh-CN" w:bidi="ar-SA"/>
        </w:rPr>
        <w:t>二</w:t>
      </w:r>
      <w:bookmarkStart w:id="232" w:name="_Toc10808"/>
      <w:bookmarkStart w:id="233" w:name="_Toc31943"/>
      <w:bookmarkStart w:id="234" w:name="_Toc7897891"/>
      <w:bookmarkStart w:id="235" w:name="_Toc24748"/>
      <w:r>
        <w:rPr>
          <w:rFonts w:hint="eastAsia" w:cs="宋体"/>
          <w:b/>
          <w:bCs/>
          <w:color w:val="auto"/>
          <w:sz w:val="28"/>
          <w:szCs w:val="28"/>
          <w:lang w:val="en-US" w:eastAsia="zh-CN" w:bidi="ar-SA"/>
        </w:rPr>
        <w:t>、</w:t>
      </w:r>
      <w:r>
        <w:rPr>
          <w:rFonts w:hint="eastAsia" w:ascii="宋体" w:hAnsi="宋体" w:eastAsia="宋体" w:cs="宋体"/>
          <w:bCs/>
          <w:color w:val="auto"/>
          <w:sz w:val="28"/>
          <w:szCs w:val="28"/>
          <w:highlight w:val="none"/>
        </w:rPr>
        <w:t>法定代表人证明书</w:t>
      </w:r>
      <w:bookmarkEnd w:id="232"/>
      <w:bookmarkEnd w:id="233"/>
      <w:bookmarkEnd w:id="234"/>
      <w:bookmarkEnd w:id="235"/>
    </w:p>
    <w:p w14:paraId="4D8E31E0">
      <w:pPr>
        <w:shd w:val="clear"/>
        <w:jc w:val="center"/>
        <w:rPr>
          <w:rFonts w:hint="eastAsia" w:ascii="宋体" w:hAnsi="宋体" w:eastAsia="宋体" w:cs="宋体"/>
          <w:color w:val="auto"/>
          <w:sz w:val="28"/>
          <w:szCs w:val="28"/>
          <w:highlight w:val="none"/>
        </w:rPr>
      </w:pPr>
    </w:p>
    <w:p w14:paraId="72B43B00">
      <w:pPr>
        <w:shd w:val="clear"/>
        <w:spacing w:line="42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hAnsi="宋体" w:cs="宋体"/>
          <w:color w:val="auto"/>
          <w:sz w:val="21"/>
          <w:szCs w:val="21"/>
          <w:highlight w:val="none"/>
          <w:lang w:eastAsia="zh-CN"/>
        </w:rPr>
        <w:t>中天项目咨询（东莞）有限公司</w:t>
      </w:r>
    </w:p>
    <w:p w14:paraId="75BD488A">
      <w:pPr>
        <w:pStyle w:val="78"/>
        <w:shd w:val="clear"/>
        <w:spacing w:line="420" w:lineRule="atLeast"/>
        <w:ind w:firstLine="433"/>
        <w:rPr>
          <w:rFonts w:hint="eastAsia" w:ascii="宋体" w:hAnsi="宋体" w:eastAsia="宋体" w:cs="宋体"/>
          <w:color w:val="auto"/>
          <w:sz w:val="21"/>
          <w:szCs w:val="21"/>
          <w:highlight w:val="none"/>
        </w:rPr>
      </w:pPr>
    </w:p>
    <w:p w14:paraId="5612D69A">
      <w:pPr>
        <w:pStyle w:val="78"/>
        <w:shd w:val="clear"/>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供应商名称: </w:t>
      </w:r>
    </w:p>
    <w:p w14:paraId="58FB97E9">
      <w:pPr>
        <w:pStyle w:val="78"/>
        <w:shd w:val="clear"/>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位 性质：</w:t>
      </w:r>
    </w:p>
    <w:p w14:paraId="16489B98">
      <w:pPr>
        <w:pStyle w:val="78"/>
        <w:shd w:val="clear"/>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61B98FE8">
      <w:pPr>
        <w:pStyle w:val="78"/>
        <w:shd w:val="clear"/>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 立 时间：年月日</w:t>
      </w:r>
    </w:p>
    <w:p w14:paraId="3FC8717C">
      <w:pPr>
        <w:pStyle w:val="78"/>
        <w:shd w:val="clear"/>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 营 期限：</w:t>
      </w:r>
    </w:p>
    <w:p w14:paraId="2910C124">
      <w:pPr>
        <w:pStyle w:val="78"/>
        <w:shd w:val="clear"/>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姓名：性别：年龄：职务：</w:t>
      </w:r>
    </w:p>
    <w:p w14:paraId="77ACB565">
      <w:pPr>
        <w:pStyle w:val="78"/>
        <w:shd w:val="clear"/>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系（供应商名称）的法定代表人。</w:t>
      </w:r>
    </w:p>
    <w:p w14:paraId="26658257">
      <w:pPr>
        <w:shd w:val="clear"/>
        <w:spacing w:line="42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351D692E">
      <w:pPr>
        <w:pStyle w:val="78"/>
        <w:shd w:val="clear"/>
        <w:spacing w:line="500" w:lineRule="atLeast"/>
        <w:ind w:firstLine="3517" w:firstLineChars="1675"/>
        <w:rPr>
          <w:rFonts w:hint="eastAsia" w:ascii="宋体" w:hAnsi="宋体" w:eastAsia="宋体" w:cs="宋体"/>
          <w:color w:val="auto"/>
          <w:sz w:val="21"/>
          <w:szCs w:val="21"/>
          <w:highlight w:val="none"/>
        </w:rPr>
      </w:pPr>
    </w:p>
    <w:p w14:paraId="0C30A776">
      <w:pPr>
        <w:pStyle w:val="78"/>
        <w:shd w:val="clear"/>
        <w:spacing w:line="500" w:lineRule="atLeast"/>
        <w:ind w:firstLine="3517" w:firstLineChars="167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供应商名称（加盖公章）</w:t>
      </w:r>
      <w:r>
        <w:rPr>
          <w:rFonts w:hint="eastAsia" w:ascii="宋体" w:hAnsi="宋体" w:eastAsia="宋体" w:cs="宋体"/>
          <w:color w:val="auto"/>
          <w:sz w:val="21"/>
          <w:szCs w:val="21"/>
          <w:highlight w:val="none"/>
          <w:lang w:eastAsia="zh-CN"/>
        </w:rPr>
        <w:t>：</w:t>
      </w:r>
    </w:p>
    <w:p w14:paraId="41490DC0">
      <w:pPr>
        <w:pStyle w:val="78"/>
        <w:shd w:val="clear"/>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法定代表人（签名或盖私章）：</w:t>
      </w:r>
    </w:p>
    <w:p w14:paraId="0C5993D7">
      <w:pPr>
        <w:pStyle w:val="78"/>
        <w:shd w:val="clear"/>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p>
    <w:p w14:paraId="3146CB6A">
      <w:pPr>
        <w:pStyle w:val="78"/>
        <w:shd w:val="clear"/>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期：年月日</w:t>
      </w:r>
    </w:p>
    <w:p w14:paraId="4A2B950E">
      <w:pPr>
        <w:pStyle w:val="78"/>
        <w:shd w:val="clear"/>
        <w:spacing w:line="460" w:lineRule="exact"/>
        <w:ind w:firstLine="433"/>
        <w:rPr>
          <w:rFonts w:hint="eastAsia" w:ascii="宋体" w:hAnsi="宋体" w:eastAsia="宋体" w:cs="宋体"/>
          <w:color w:val="auto"/>
          <w:sz w:val="21"/>
          <w:szCs w:val="21"/>
          <w:highlight w:val="none"/>
        </w:rPr>
      </w:pPr>
    </w:p>
    <w:p w14:paraId="5D8CC515">
      <w:pPr>
        <w:shd w:val="clear"/>
        <w:spacing w:line="420" w:lineRule="atLeast"/>
        <w:ind w:firstLine="422" w:firstLineChars="200"/>
        <w:rPr>
          <w:rFonts w:hint="eastAsia" w:ascii="宋体" w:hAnsi="宋体" w:eastAsia="宋体" w:cs="宋体"/>
          <w:b/>
          <w:color w:val="auto"/>
          <w:sz w:val="21"/>
          <w:szCs w:val="21"/>
          <w:highlight w:val="none"/>
        </w:rPr>
      </w:pPr>
    </w:p>
    <w:p w14:paraId="78F9FB5B">
      <w:pPr>
        <w:shd w:val="clear"/>
        <w:spacing w:line="420" w:lineRule="atLeas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须附：法定代表人身份证复印件</w:t>
      </w:r>
    </w:p>
    <w:p w14:paraId="49B8C835">
      <w:pPr>
        <w:shd w:val="clear"/>
        <w:spacing w:line="420" w:lineRule="atLeast"/>
        <w:ind w:firstLine="422" w:firstLineChars="200"/>
        <w:rPr>
          <w:rFonts w:hint="eastAsia" w:ascii="宋体" w:hAnsi="宋体" w:eastAsia="宋体" w:cs="宋体"/>
          <w:b/>
          <w:color w:val="auto"/>
          <w:sz w:val="21"/>
          <w:szCs w:val="21"/>
          <w:highlight w:val="none"/>
        </w:rPr>
      </w:pPr>
    </w:p>
    <w:tbl>
      <w:tblPr>
        <w:tblStyle w:val="53"/>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6F2B4D6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4B76ABD1">
            <w:pPr>
              <w:pStyle w:val="78"/>
              <w:shd w:val="clear"/>
              <w:spacing w:line="4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正面</w:t>
            </w:r>
          </w:p>
        </w:tc>
        <w:tc>
          <w:tcPr>
            <w:tcW w:w="4182" w:type="dxa"/>
            <w:vAlign w:val="center"/>
          </w:tcPr>
          <w:p w14:paraId="20B4C163">
            <w:pPr>
              <w:pStyle w:val="78"/>
              <w:shd w:val="clear"/>
              <w:spacing w:line="4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背面</w:t>
            </w:r>
          </w:p>
        </w:tc>
      </w:tr>
    </w:tbl>
    <w:p w14:paraId="101299D6">
      <w:pPr>
        <w:shd w:val="clear"/>
        <w:rPr>
          <w:rFonts w:hint="eastAsia" w:ascii="宋体" w:hAnsi="宋体" w:eastAsia="宋体" w:cs="宋体"/>
          <w:color w:val="auto"/>
          <w:highlight w:val="none"/>
        </w:rPr>
      </w:pPr>
    </w:p>
    <w:p w14:paraId="214CFEEF">
      <w:pPr>
        <w:pStyle w:val="4"/>
        <w:numPr>
          <w:ilvl w:val="0"/>
          <w:numId w:val="0"/>
        </w:numPr>
        <w:shd w:val="clear"/>
        <w:ind w:left="0" w:leftChars="0" w:firstLine="420" w:firstLineChars="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bookmarkStart w:id="236" w:name="_Toc28882"/>
      <w:bookmarkStart w:id="237" w:name="_Toc18590"/>
      <w:bookmarkStart w:id="238" w:name="_Toc7897892"/>
      <w:bookmarkStart w:id="239" w:name="_Toc19634"/>
      <w:r>
        <w:rPr>
          <w:rFonts w:hint="eastAsia" w:ascii="宋体" w:hAnsi="宋体" w:eastAsia="宋体" w:cs="宋体"/>
          <w:b/>
          <w:bCs/>
          <w:color w:val="auto"/>
          <w:sz w:val="28"/>
          <w:szCs w:val="28"/>
          <w:lang w:val="en-US" w:eastAsia="zh-CN" w:bidi="ar-SA"/>
        </w:rPr>
        <w:t>三、</w:t>
      </w:r>
      <w:r>
        <w:rPr>
          <w:rFonts w:hint="eastAsia" w:ascii="宋体" w:hAnsi="宋体" w:eastAsia="宋体" w:cs="宋体"/>
          <w:bCs/>
          <w:color w:val="auto"/>
          <w:sz w:val="28"/>
          <w:szCs w:val="28"/>
          <w:highlight w:val="none"/>
        </w:rPr>
        <w:t>授权委托书（加法人证明书）</w:t>
      </w:r>
      <w:bookmarkEnd w:id="236"/>
      <w:bookmarkEnd w:id="237"/>
      <w:bookmarkEnd w:id="238"/>
      <w:bookmarkEnd w:id="239"/>
    </w:p>
    <w:p w14:paraId="240B634B">
      <w:pPr>
        <w:pStyle w:val="13"/>
        <w:shd w:val="clear"/>
        <w:ind w:firstLine="400"/>
        <w:rPr>
          <w:rFonts w:hint="eastAsia" w:ascii="宋体" w:hAnsi="宋体" w:eastAsia="宋体" w:cs="宋体"/>
          <w:color w:val="auto"/>
          <w:highlight w:val="none"/>
        </w:rPr>
      </w:pPr>
    </w:p>
    <w:p w14:paraId="0DDCCA71">
      <w:pPr>
        <w:shd w:val="clear"/>
        <w:spacing w:line="420" w:lineRule="exact"/>
        <w:rPr>
          <w:rFonts w:hint="eastAsia" w:ascii="宋体" w:hAnsi="宋体" w:eastAsia="宋体" w:cs="宋体"/>
          <w:color w:val="auto"/>
          <w:sz w:val="22"/>
          <w:szCs w:val="22"/>
          <w:highlight w:val="none"/>
        </w:rPr>
      </w:pPr>
    </w:p>
    <w:p w14:paraId="46656EED">
      <w:pPr>
        <w:shd w:val="clea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hAnsi="宋体" w:cs="宋体"/>
          <w:color w:val="auto"/>
          <w:sz w:val="21"/>
          <w:szCs w:val="21"/>
          <w:highlight w:val="none"/>
          <w:lang w:eastAsia="zh-CN"/>
        </w:rPr>
        <w:t>中天项目咨询（东莞）有限公司</w:t>
      </w:r>
    </w:p>
    <w:p w14:paraId="4BB2CDBE">
      <w:pPr>
        <w:pStyle w:val="78"/>
        <w:shd w:val="clear"/>
        <w:spacing w:line="420" w:lineRule="exact"/>
        <w:ind w:firstLine="45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（供应商名称）        </w:t>
      </w:r>
      <w:r>
        <w:rPr>
          <w:rFonts w:hint="eastAsia" w:ascii="宋体" w:hAnsi="宋体" w:eastAsia="宋体" w:cs="宋体"/>
          <w:color w:val="auto"/>
          <w:sz w:val="21"/>
          <w:szCs w:val="21"/>
          <w:highlight w:val="none"/>
        </w:rPr>
        <w:t>的法定代表人，现委托</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为我方合法代理人。代理人根据授权，以我方名义签署、澄清、说明、补正、递交、撤回、修改</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[采购编号：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]磋商响应文件、签订合同和处理有关事宜，其法律后果由我方承担。</w:t>
      </w:r>
    </w:p>
    <w:p w14:paraId="02919C0C">
      <w:pPr>
        <w:pStyle w:val="78"/>
        <w:shd w:val="clear"/>
        <w:spacing w:line="420" w:lineRule="exact"/>
        <w:ind w:firstLine="428" w:firstLineChars="2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本委托书于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日签字生效，特此证明。</w:t>
      </w:r>
    </w:p>
    <w:p w14:paraId="4C2487B2">
      <w:pPr>
        <w:pStyle w:val="78"/>
        <w:shd w:val="clear"/>
        <w:spacing w:line="420" w:lineRule="exact"/>
        <w:ind w:firstLine="45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31B14AF">
      <w:pPr>
        <w:pStyle w:val="78"/>
        <w:shd w:val="clear"/>
        <w:spacing w:line="420" w:lineRule="exact"/>
        <w:ind w:firstLine="450" w:firstLineChars="0"/>
        <w:rPr>
          <w:rFonts w:hint="eastAsia" w:ascii="宋体" w:hAnsi="宋体" w:eastAsia="宋体" w:cs="宋体"/>
          <w:color w:val="auto"/>
          <w:sz w:val="21"/>
          <w:szCs w:val="21"/>
          <w:highlight w:val="none"/>
        </w:rPr>
      </w:pPr>
    </w:p>
    <w:p w14:paraId="257EBA7A">
      <w:pPr>
        <w:pStyle w:val="78"/>
        <w:shd w:val="clear"/>
        <w:spacing w:line="420" w:lineRule="exact"/>
        <w:ind w:firstLine="428" w:firstLineChars="204"/>
        <w:rPr>
          <w:rFonts w:hint="eastAsia" w:ascii="宋体" w:hAnsi="宋体" w:eastAsia="宋体" w:cs="宋体"/>
          <w:color w:val="auto"/>
          <w:sz w:val="21"/>
          <w:szCs w:val="21"/>
          <w:highlight w:val="none"/>
        </w:rPr>
      </w:pPr>
    </w:p>
    <w:p w14:paraId="667AE8BF">
      <w:pPr>
        <w:pStyle w:val="78"/>
        <w:shd w:val="clear"/>
        <w:spacing w:line="420" w:lineRule="exact"/>
        <w:ind w:firstLine="3517" w:firstLineChars="167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供应商名称（加盖公章）</w:t>
      </w:r>
      <w:r>
        <w:rPr>
          <w:rFonts w:hint="eastAsia" w:ascii="宋体" w:hAnsi="宋体" w:eastAsia="宋体" w:cs="宋体"/>
          <w:color w:val="auto"/>
          <w:sz w:val="21"/>
          <w:szCs w:val="21"/>
          <w:highlight w:val="none"/>
          <w:lang w:eastAsia="zh-CN"/>
        </w:rPr>
        <w:t>：</w:t>
      </w:r>
    </w:p>
    <w:p w14:paraId="1109D2CD">
      <w:pPr>
        <w:pStyle w:val="78"/>
        <w:shd w:val="clear"/>
        <w:spacing w:line="420" w:lineRule="exac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法定代表人（签名或盖私章）：</w:t>
      </w:r>
    </w:p>
    <w:p w14:paraId="65CF841B">
      <w:pPr>
        <w:pStyle w:val="78"/>
        <w:shd w:val="clear"/>
        <w:spacing w:line="420" w:lineRule="exac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p w14:paraId="29E067B7">
      <w:pPr>
        <w:pStyle w:val="78"/>
        <w:shd w:val="clear"/>
        <w:spacing w:line="420" w:lineRule="exact"/>
        <w:ind w:firstLine="3517" w:firstLineChars="1675"/>
        <w:rPr>
          <w:rFonts w:hint="eastAsia" w:ascii="宋体" w:hAnsi="宋体" w:eastAsia="宋体" w:cs="宋体"/>
          <w:color w:val="auto"/>
          <w:sz w:val="21"/>
          <w:szCs w:val="21"/>
          <w:highlight w:val="none"/>
        </w:rPr>
      </w:pPr>
    </w:p>
    <w:p w14:paraId="3110D2EB">
      <w:pPr>
        <w:pStyle w:val="78"/>
        <w:shd w:val="clear"/>
        <w:spacing w:line="420" w:lineRule="exac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受托代理人（签名或盖私章）：</w:t>
      </w:r>
    </w:p>
    <w:p w14:paraId="6A66038C">
      <w:pPr>
        <w:pStyle w:val="78"/>
        <w:shd w:val="clear"/>
        <w:spacing w:line="420" w:lineRule="exac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p>
    <w:p w14:paraId="607678BE">
      <w:pPr>
        <w:pStyle w:val="78"/>
        <w:shd w:val="clear"/>
        <w:spacing w:line="460" w:lineRule="exac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期：年月日</w:t>
      </w:r>
    </w:p>
    <w:p w14:paraId="7FE1E5FC">
      <w:pPr>
        <w:shd w:val="clear"/>
        <w:spacing w:line="420" w:lineRule="atLeast"/>
        <w:ind w:firstLine="422" w:firstLineChars="200"/>
        <w:rPr>
          <w:rFonts w:hint="eastAsia" w:ascii="宋体" w:hAnsi="宋体" w:eastAsia="宋体" w:cs="宋体"/>
          <w:b/>
          <w:color w:val="auto"/>
          <w:sz w:val="21"/>
          <w:szCs w:val="21"/>
          <w:highlight w:val="none"/>
        </w:rPr>
      </w:pPr>
    </w:p>
    <w:p w14:paraId="4AD182AF">
      <w:pPr>
        <w:shd w:val="clear"/>
        <w:spacing w:line="420" w:lineRule="atLeast"/>
        <w:ind w:firstLine="422" w:firstLineChars="200"/>
        <w:rPr>
          <w:rFonts w:hint="eastAsia" w:ascii="宋体" w:hAnsi="宋体" w:eastAsia="宋体" w:cs="宋体"/>
          <w:b/>
          <w:color w:val="auto"/>
          <w:sz w:val="21"/>
          <w:szCs w:val="21"/>
          <w:highlight w:val="none"/>
        </w:rPr>
      </w:pPr>
    </w:p>
    <w:p w14:paraId="6B510AB1">
      <w:pPr>
        <w:shd w:val="clear"/>
        <w:spacing w:line="420" w:lineRule="atLeas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须附：授权代理人身份证复印件</w:t>
      </w:r>
    </w:p>
    <w:p w14:paraId="19B356CA">
      <w:pPr>
        <w:shd w:val="clear"/>
        <w:spacing w:line="420" w:lineRule="atLeast"/>
        <w:ind w:firstLine="420" w:firstLineChars="200"/>
        <w:rPr>
          <w:rFonts w:hint="eastAsia" w:ascii="宋体" w:hAnsi="宋体" w:eastAsia="宋体" w:cs="宋体"/>
          <w:color w:val="auto"/>
          <w:sz w:val="21"/>
          <w:szCs w:val="21"/>
          <w:highlight w:val="none"/>
        </w:rPr>
      </w:pPr>
    </w:p>
    <w:tbl>
      <w:tblPr>
        <w:tblStyle w:val="53"/>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04395E8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7B94ED73">
            <w:pPr>
              <w:pStyle w:val="78"/>
              <w:shd w:val="clear"/>
              <w:spacing w:line="4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正面</w:t>
            </w:r>
          </w:p>
        </w:tc>
        <w:tc>
          <w:tcPr>
            <w:tcW w:w="4232" w:type="dxa"/>
            <w:vAlign w:val="center"/>
          </w:tcPr>
          <w:p w14:paraId="1A927CC1">
            <w:pPr>
              <w:pStyle w:val="78"/>
              <w:shd w:val="clear"/>
              <w:spacing w:line="46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背面</w:t>
            </w:r>
          </w:p>
        </w:tc>
      </w:tr>
    </w:tbl>
    <w:p w14:paraId="694A6A4C">
      <w:pPr>
        <w:pStyle w:val="13"/>
        <w:shd w:val="clear"/>
        <w:ind w:firstLine="482"/>
        <w:rPr>
          <w:rFonts w:hint="eastAsia" w:ascii="宋体" w:hAnsi="宋体" w:eastAsia="宋体" w:cs="宋体"/>
          <w:b/>
          <w:color w:val="auto"/>
          <w:sz w:val="24"/>
          <w:szCs w:val="24"/>
          <w:highlight w:val="none"/>
        </w:rPr>
      </w:pPr>
    </w:p>
    <w:p w14:paraId="2C825C2B">
      <w:pPr>
        <w:rPr>
          <w:rFonts w:hint="eastAsia" w:ascii="宋体" w:hAnsi="宋体" w:eastAsia="宋体" w:cs="宋体"/>
          <w:color w:val="auto"/>
          <w:sz w:val="21"/>
          <w:szCs w:val="21"/>
          <w:highlight w:val="none"/>
        </w:rPr>
      </w:pPr>
      <w:bookmarkStart w:id="240" w:name="_Toc4592"/>
      <w:bookmarkStart w:id="241" w:name="_Toc7897893"/>
      <w:r>
        <w:rPr>
          <w:rFonts w:hint="eastAsia" w:ascii="宋体" w:hAnsi="宋体" w:eastAsia="宋体" w:cs="宋体"/>
          <w:color w:val="auto"/>
          <w:sz w:val="21"/>
          <w:szCs w:val="21"/>
          <w:highlight w:val="none"/>
        </w:rPr>
        <w:br w:type="page"/>
      </w:r>
    </w:p>
    <w:p w14:paraId="165B9DF3">
      <w:pPr>
        <w:pStyle w:val="4"/>
        <w:numPr>
          <w:ilvl w:val="0"/>
          <w:numId w:val="0"/>
        </w:numPr>
        <w:shd w:val="clear"/>
        <w:ind w:left="0" w:leftChars="0" w:firstLine="420" w:firstLineChars="0"/>
        <w:jc w:val="center"/>
        <w:rPr>
          <w:rFonts w:hint="eastAsia" w:ascii="宋体" w:hAnsi="宋体" w:eastAsia="宋体" w:cs="宋体"/>
          <w:color w:val="auto"/>
          <w:sz w:val="28"/>
          <w:szCs w:val="28"/>
          <w:highlight w:val="none"/>
        </w:rPr>
      </w:pPr>
      <w:bookmarkStart w:id="242" w:name="_Toc17363"/>
      <w:bookmarkStart w:id="243" w:name="_Toc1276"/>
      <w:r>
        <w:rPr>
          <w:rFonts w:hint="eastAsia" w:ascii="宋体" w:hAnsi="宋体" w:eastAsia="宋体" w:cs="宋体"/>
          <w:b/>
          <w:color w:val="auto"/>
          <w:sz w:val="28"/>
          <w:szCs w:val="28"/>
          <w:lang w:val="en-US" w:eastAsia="zh-CN" w:bidi="ar-SA"/>
        </w:rPr>
        <w:t>四、</w:t>
      </w:r>
      <w:r>
        <w:rPr>
          <w:rFonts w:hint="eastAsia" w:ascii="宋体" w:hAnsi="宋体" w:eastAsia="宋体" w:cs="宋体"/>
          <w:color w:val="auto"/>
          <w:sz w:val="28"/>
          <w:szCs w:val="28"/>
          <w:highlight w:val="none"/>
        </w:rPr>
        <w:t>供应商基本情况说明</w:t>
      </w:r>
      <w:bookmarkEnd w:id="240"/>
      <w:bookmarkEnd w:id="241"/>
      <w:bookmarkEnd w:id="242"/>
      <w:bookmarkEnd w:id="243"/>
    </w:p>
    <w:p w14:paraId="7067BB5A">
      <w:pPr>
        <w:shd w:val="clear"/>
        <w:spacing w:line="360" w:lineRule="auto"/>
        <w:rPr>
          <w:rFonts w:hint="eastAsia" w:ascii="宋体" w:hAnsi="宋体" w:eastAsia="宋体" w:cs="宋体"/>
          <w:color w:val="auto"/>
          <w:sz w:val="22"/>
          <w:szCs w:val="22"/>
          <w:highlight w:val="none"/>
        </w:rPr>
      </w:pPr>
    </w:p>
    <w:p w14:paraId="579D3C8B">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一、公司基本情况</w:t>
      </w:r>
    </w:p>
    <w:p w14:paraId="43E40911">
      <w:pPr>
        <w:shd w:val="clear"/>
        <w:tabs>
          <w:tab w:val="left" w:pos="4678"/>
        </w:tabs>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公司名称： 电话号码：</w:t>
      </w:r>
    </w:p>
    <w:p w14:paraId="0F76FE62">
      <w:pPr>
        <w:shd w:val="clear"/>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地  址： 传  真：</w:t>
      </w:r>
    </w:p>
    <w:p w14:paraId="08168BAB">
      <w:pPr>
        <w:shd w:val="clear"/>
        <w:spacing w:line="360" w:lineRule="auto"/>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3.</w:t>
      </w:r>
      <w:r>
        <w:rPr>
          <w:rFonts w:hint="eastAsia" w:ascii="宋体" w:hAnsi="宋体" w:eastAsia="宋体" w:cs="宋体"/>
          <w:color w:val="auto"/>
          <w:sz w:val="21"/>
          <w:szCs w:val="21"/>
          <w:highlight w:val="none"/>
        </w:rPr>
        <w:t>注册资金： 经济性质：</w:t>
      </w:r>
    </w:p>
    <w:p w14:paraId="55525643">
      <w:pPr>
        <w:shd w:val="clear"/>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4.</w:t>
      </w:r>
      <w:r>
        <w:rPr>
          <w:rFonts w:hint="eastAsia" w:ascii="宋体" w:hAnsi="宋体" w:eastAsia="宋体" w:cs="宋体"/>
          <w:color w:val="auto"/>
          <w:sz w:val="21"/>
          <w:szCs w:val="21"/>
          <w:highlight w:val="none"/>
        </w:rPr>
        <w:t xml:space="preserve">公司开户银行名称及账号：      </w:t>
      </w:r>
    </w:p>
    <w:p w14:paraId="7708283E">
      <w:pPr>
        <w:shd w:val="clear"/>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5.</w:t>
      </w:r>
      <w:r>
        <w:rPr>
          <w:rFonts w:hint="eastAsia" w:ascii="宋体" w:hAnsi="宋体" w:eastAsia="宋体" w:cs="宋体"/>
          <w:color w:val="auto"/>
          <w:sz w:val="21"/>
          <w:szCs w:val="21"/>
          <w:highlight w:val="none"/>
        </w:rPr>
        <w:t xml:space="preserve">营业注册执照号：  </w:t>
      </w:r>
    </w:p>
    <w:p w14:paraId="30169F95">
      <w:pPr>
        <w:shd w:val="clear"/>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6.</w:t>
      </w:r>
      <w:r>
        <w:rPr>
          <w:rFonts w:hint="eastAsia" w:ascii="宋体" w:hAnsi="宋体" w:eastAsia="宋体" w:cs="宋体"/>
          <w:color w:val="auto"/>
          <w:sz w:val="21"/>
          <w:szCs w:val="21"/>
          <w:highlight w:val="none"/>
        </w:rPr>
        <w:t>公司简介</w:t>
      </w:r>
      <w:r>
        <w:rPr>
          <w:rFonts w:hint="eastAsia" w:hAnsi="宋体" w:cs="宋体"/>
          <w:color w:val="auto"/>
          <w:sz w:val="21"/>
          <w:szCs w:val="21"/>
          <w:highlight w:val="none"/>
          <w:lang w:eastAsia="zh-CN"/>
        </w:rPr>
        <w:t>：</w:t>
      </w:r>
    </w:p>
    <w:p w14:paraId="64E4B4D0">
      <w:pPr>
        <w:shd w:val="clear"/>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7.</w:t>
      </w:r>
      <w:r>
        <w:rPr>
          <w:rFonts w:hint="eastAsia" w:ascii="宋体" w:hAnsi="宋体" w:eastAsia="宋体" w:cs="宋体"/>
          <w:color w:val="auto"/>
          <w:sz w:val="21"/>
          <w:szCs w:val="21"/>
          <w:highlight w:val="none"/>
        </w:rPr>
        <w:t>公司财务情况：</w:t>
      </w:r>
    </w:p>
    <w:p w14:paraId="6057CD8B">
      <w:pPr>
        <w:shd w:val="clea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【价格单位：（人民币）元】</w:t>
      </w:r>
    </w:p>
    <w:tbl>
      <w:tblPr>
        <w:tblStyle w:val="53"/>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14:paraId="5645C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14:paraId="01EA32A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度</w:t>
            </w:r>
          </w:p>
        </w:tc>
        <w:tc>
          <w:tcPr>
            <w:tcW w:w="1809" w:type="dxa"/>
            <w:vAlign w:val="center"/>
          </w:tcPr>
          <w:p w14:paraId="0E7C0A7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总资产（元）</w:t>
            </w:r>
          </w:p>
        </w:tc>
        <w:tc>
          <w:tcPr>
            <w:tcW w:w="1809" w:type="dxa"/>
            <w:vAlign w:val="center"/>
          </w:tcPr>
          <w:p w14:paraId="01178B8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资产负债率（%）</w:t>
            </w:r>
          </w:p>
        </w:tc>
        <w:tc>
          <w:tcPr>
            <w:tcW w:w="1839" w:type="dxa"/>
            <w:vAlign w:val="center"/>
          </w:tcPr>
          <w:p w14:paraId="1234496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年营业额（元）</w:t>
            </w:r>
          </w:p>
        </w:tc>
        <w:tc>
          <w:tcPr>
            <w:tcW w:w="1851" w:type="dxa"/>
            <w:vAlign w:val="center"/>
          </w:tcPr>
          <w:p w14:paraId="107CD6A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年净利润（元）</w:t>
            </w:r>
          </w:p>
        </w:tc>
      </w:tr>
      <w:tr w14:paraId="745A8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14:paraId="7C86D1B2">
            <w:pPr>
              <w:shd w:val="clear"/>
              <w:spacing w:line="360" w:lineRule="auto"/>
              <w:jc w:val="center"/>
              <w:rPr>
                <w:rFonts w:hint="eastAsia" w:ascii="宋体" w:hAnsi="宋体" w:eastAsia="宋体" w:cs="宋体"/>
                <w:color w:val="auto"/>
                <w:sz w:val="21"/>
                <w:szCs w:val="21"/>
                <w:highlight w:val="none"/>
              </w:rPr>
            </w:pPr>
          </w:p>
        </w:tc>
        <w:tc>
          <w:tcPr>
            <w:tcW w:w="1809" w:type="dxa"/>
            <w:vAlign w:val="center"/>
          </w:tcPr>
          <w:p w14:paraId="6269D0CC">
            <w:pPr>
              <w:shd w:val="clear"/>
              <w:spacing w:line="360" w:lineRule="auto"/>
              <w:jc w:val="center"/>
              <w:rPr>
                <w:rFonts w:hint="eastAsia" w:ascii="宋体" w:hAnsi="宋体" w:eastAsia="宋体" w:cs="宋体"/>
                <w:color w:val="auto"/>
                <w:sz w:val="21"/>
                <w:szCs w:val="21"/>
                <w:highlight w:val="none"/>
              </w:rPr>
            </w:pPr>
          </w:p>
        </w:tc>
        <w:tc>
          <w:tcPr>
            <w:tcW w:w="1809" w:type="dxa"/>
            <w:vAlign w:val="center"/>
          </w:tcPr>
          <w:p w14:paraId="33802A45">
            <w:pPr>
              <w:shd w:val="clear"/>
              <w:spacing w:line="360" w:lineRule="auto"/>
              <w:jc w:val="center"/>
              <w:rPr>
                <w:rFonts w:hint="eastAsia" w:ascii="宋体" w:hAnsi="宋体" w:eastAsia="宋体" w:cs="宋体"/>
                <w:color w:val="auto"/>
                <w:sz w:val="21"/>
                <w:szCs w:val="21"/>
                <w:highlight w:val="none"/>
              </w:rPr>
            </w:pPr>
          </w:p>
        </w:tc>
        <w:tc>
          <w:tcPr>
            <w:tcW w:w="1839" w:type="dxa"/>
            <w:vAlign w:val="center"/>
          </w:tcPr>
          <w:p w14:paraId="5A90048F">
            <w:pPr>
              <w:shd w:val="clear"/>
              <w:spacing w:line="360" w:lineRule="auto"/>
              <w:jc w:val="center"/>
              <w:rPr>
                <w:rFonts w:hint="eastAsia" w:ascii="宋体" w:hAnsi="宋体" w:eastAsia="宋体" w:cs="宋体"/>
                <w:color w:val="auto"/>
                <w:sz w:val="21"/>
                <w:szCs w:val="21"/>
                <w:highlight w:val="none"/>
              </w:rPr>
            </w:pPr>
          </w:p>
        </w:tc>
        <w:tc>
          <w:tcPr>
            <w:tcW w:w="1851" w:type="dxa"/>
            <w:vAlign w:val="center"/>
          </w:tcPr>
          <w:p w14:paraId="12452F82">
            <w:pPr>
              <w:shd w:val="clear"/>
              <w:spacing w:line="360" w:lineRule="auto"/>
              <w:jc w:val="center"/>
              <w:rPr>
                <w:rFonts w:hint="eastAsia" w:ascii="宋体" w:hAnsi="宋体" w:eastAsia="宋体" w:cs="宋体"/>
                <w:color w:val="auto"/>
                <w:sz w:val="21"/>
                <w:szCs w:val="21"/>
                <w:highlight w:val="none"/>
              </w:rPr>
            </w:pPr>
          </w:p>
        </w:tc>
      </w:tr>
      <w:tr w14:paraId="3CE95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14:paraId="7854DB94">
            <w:pPr>
              <w:shd w:val="clear"/>
              <w:spacing w:line="360" w:lineRule="auto"/>
              <w:jc w:val="center"/>
              <w:rPr>
                <w:rFonts w:hint="eastAsia" w:ascii="宋体" w:hAnsi="宋体" w:eastAsia="宋体" w:cs="宋体"/>
                <w:color w:val="auto"/>
                <w:sz w:val="21"/>
                <w:szCs w:val="21"/>
                <w:highlight w:val="none"/>
              </w:rPr>
            </w:pPr>
          </w:p>
        </w:tc>
        <w:tc>
          <w:tcPr>
            <w:tcW w:w="1809" w:type="dxa"/>
            <w:vAlign w:val="center"/>
          </w:tcPr>
          <w:p w14:paraId="6528C56D">
            <w:pPr>
              <w:shd w:val="clear"/>
              <w:spacing w:line="360" w:lineRule="auto"/>
              <w:jc w:val="center"/>
              <w:rPr>
                <w:rFonts w:hint="eastAsia" w:ascii="宋体" w:hAnsi="宋体" w:eastAsia="宋体" w:cs="宋体"/>
                <w:color w:val="auto"/>
                <w:sz w:val="21"/>
                <w:szCs w:val="21"/>
                <w:highlight w:val="none"/>
              </w:rPr>
            </w:pPr>
          </w:p>
        </w:tc>
        <w:tc>
          <w:tcPr>
            <w:tcW w:w="1809" w:type="dxa"/>
            <w:vAlign w:val="center"/>
          </w:tcPr>
          <w:p w14:paraId="7969E378">
            <w:pPr>
              <w:shd w:val="clear"/>
              <w:spacing w:line="360" w:lineRule="auto"/>
              <w:jc w:val="center"/>
              <w:rPr>
                <w:rFonts w:hint="eastAsia" w:ascii="宋体" w:hAnsi="宋体" w:eastAsia="宋体" w:cs="宋体"/>
                <w:color w:val="auto"/>
                <w:sz w:val="21"/>
                <w:szCs w:val="21"/>
                <w:highlight w:val="none"/>
              </w:rPr>
            </w:pPr>
          </w:p>
        </w:tc>
        <w:tc>
          <w:tcPr>
            <w:tcW w:w="1839" w:type="dxa"/>
            <w:vAlign w:val="center"/>
          </w:tcPr>
          <w:p w14:paraId="32F08667">
            <w:pPr>
              <w:shd w:val="clear"/>
              <w:spacing w:line="360" w:lineRule="auto"/>
              <w:jc w:val="center"/>
              <w:rPr>
                <w:rFonts w:hint="eastAsia" w:ascii="宋体" w:hAnsi="宋体" w:eastAsia="宋体" w:cs="宋体"/>
                <w:color w:val="auto"/>
                <w:sz w:val="21"/>
                <w:szCs w:val="21"/>
                <w:highlight w:val="none"/>
              </w:rPr>
            </w:pPr>
          </w:p>
        </w:tc>
        <w:tc>
          <w:tcPr>
            <w:tcW w:w="1851" w:type="dxa"/>
            <w:vAlign w:val="center"/>
          </w:tcPr>
          <w:p w14:paraId="79383062">
            <w:pPr>
              <w:shd w:val="clear"/>
              <w:spacing w:line="360" w:lineRule="auto"/>
              <w:jc w:val="center"/>
              <w:rPr>
                <w:rFonts w:hint="eastAsia" w:ascii="宋体" w:hAnsi="宋体" w:eastAsia="宋体" w:cs="宋体"/>
                <w:color w:val="auto"/>
                <w:sz w:val="21"/>
                <w:szCs w:val="21"/>
                <w:highlight w:val="none"/>
              </w:rPr>
            </w:pPr>
          </w:p>
        </w:tc>
      </w:tr>
      <w:tr w14:paraId="1D61E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14:paraId="309C86A8">
            <w:pPr>
              <w:shd w:val="clear"/>
              <w:spacing w:line="360" w:lineRule="auto"/>
              <w:jc w:val="center"/>
              <w:rPr>
                <w:rFonts w:hint="eastAsia" w:ascii="宋体" w:hAnsi="宋体" w:eastAsia="宋体" w:cs="宋体"/>
                <w:color w:val="auto"/>
                <w:sz w:val="21"/>
                <w:szCs w:val="21"/>
                <w:highlight w:val="none"/>
              </w:rPr>
            </w:pPr>
          </w:p>
        </w:tc>
        <w:tc>
          <w:tcPr>
            <w:tcW w:w="1809" w:type="dxa"/>
            <w:vAlign w:val="center"/>
          </w:tcPr>
          <w:p w14:paraId="7073E941">
            <w:pPr>
              <w:shd w:val="clear"/>
              <w:spacing w:line="360" w:lineRule="auto"/>
              <w:jc w:val="center"/>
              <w:rPr>
                <w:rFonts w:hint="eastAsia" w:ascii="宋体" w:hAnsi="宋体" w:eastAsia="宋体" w:cs="宋体"/>
                <w:color w:val="auto"/>
                <w:sz w:val="21"/>
                <w:szCs w:val="21"/>
                <w:highlight w:val="none"/>
              </w:rPr>
            </w:pPr>
          </w:p>
        </w:tc>
        <w:tc>
          <w:tcPr>
            <w:tcW w:w="1809" w:type="dxa"/>
            <w:vAlign w:val="center"/>
          </w:tcPr>
          <w:p w14:paraId="7CA308E4">
            <w:pPr>
              <w:shd w:val="clear"/>
              <w:spacing w:line="360" w:lineRule="auto"/>
              <w:jc w:val="center"/>
              <w:rPr>
                <w:rFonts w:hint="eastAsia" w:ascii="宋体" w:hAnsi="宋体" w:eastAsia="宋体" w:cs="宋体"/>
                <w:color w:val="auto"/>
                <w:sz w:val="21"/>
                <w:szCs w:val="21"/>
                <w:highlight w:val="none"/>
              </w:rPr>
            </w:pPr>
          </w:p>
        </w:tc>
        <w:tc>
          <w:tcPr>
            <w:tcW w:w="1839" w:type="dxa"/>
            <w:vAlign w:val="center"/>
          </w:tcPr>
          <w:p w14:paraId="45C2BAA6">
            <w:pPr>
              <w:shd w:val="clear"/>
              <w:spacing w:line="360" w:lineRule="auto"/>
              <w:jc w:val="center"/>
              <w:rPr>
                <w:rFonts w:hint="eastAsia" w:ascii="宋体" w:hAnsi="宋体" w:eastAsia="宋体" w:cs="宋体"/>
                <w:color w:val="auto"/>
                <w:sz w:val="21"/>
                <w:szCs w:val="21"/>
                <w:highlight w:val="none"/>
              </w:rPr>
            </w:pPr>
          </w:p>
        </w:tc>
        <w:tc>
          <w:tcPr>
            <w:tcW w:w="1851" w:type="dxa"/>
            <w:vAlign w:val="center"/>
          </w:tcPr>
          <w:p w14:paraId="12ED1DAF">
            <w:pPr>
              <w:shd w:val="clear"/>
              <w:spacing w:line="360" w:lineRule="auto"/>
              <w:jc w:val="center"/>
              <w:rPr>
                <w:rFonts w:hint="eastAsia" w:ascii="宋体" w:hAnsi="宋体" w:eastAsia="宋体" w:cs="宋体"/>
                <w:color w:val="auto"/>
                <w:sz w:val="21"/>
                <w:szCs w:val="21"/>
                <w:highlight w:val="none"/>
              </w:rPr>
            </w:pPr>
          </w:p>
        </w:tc>
      </w:tr>
    </w:tbl>
    <w:p w14:paraId="5BC769BC">
      <w:pPr>
        <w:shd w:val="clear"/>
        <w:tabs>
          <w:tab w:val="left" w:pos="420"/>
          <w:tab w:val="left" w:pos="1485"/>
        </w:tabs>
        <w:spacing w:line="360" w:lineRule="auto"/>
        <w:rPr>
          <w:rFonts w:hint="eastAsia" w:ascii="宋体" w:hAnsi="宋体" w:eastAsia="宋体" w:cs="宋体"/>
          <w:color w:val="auto"/>
          <w:sz w:val="21"/>
          <w:szCs w:val="21"/>
          <w:highlight w:val="none"/>
        </w:rPr>
      </w:pPr>
      <w:bookmarkStart w:id="244" w:name="_Toc7860"/>
      <w:r>
        <w:rPr>
          <w:rFonts w:hint="eastAsia" w:ascii="宋体" w:hAnsi="宋体" w:eastAsia="宋体" w:cs="宋体"/>
          <w:color w:val="auto"/>
          <w:sz w:val="21"/>
          <w:szCs w:val="21"/>
          <w:highlight w:val="none"/>
        </w:rPr>
        <w:t>二、供应商获得国家有关部门颁发的资质证明或荣誉：（如有）</w:t>
      </w:r>
      <w:bookmarkEnd w:id="244"/>
    </w:p>
    <w:tbl>
      <w:tblPr>
        <w:tblStyle w:val="53"/>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14:paraId="49513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14:paraId="73ED8C9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证书名称</w:t>
            </w:r>
          </w:p>
        </w:tc>
        <w:tc>
          <w:tcPr>
            <w:tcW w:w="1800" w:type="dxa"/>
            <w:vAlign w:val="center"/>
          </w:tcPr>
          <w:p w14:paraId="452A333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发证单位</w:t>
            </w:r>
          </w:p>
        </w:tc>
        <w:tc>
          <w:tcPr>
            <w:tcW w:w="1800" w:type="dxa"/>
            <w:vAlign w:val="center"/>
          </w:tcPr>
          <w:p w14:paraId="584C73A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证书等级</w:t>
            </w:r>
          </w:p>
        </w:tc>
        <w:tc>
          <w:tcPr>
            <w:tcW w:w="1830" w:type="dxa"/>
            <w:vAlign w:val="center"/>
          </w:tcPr>
          <w:p w14:paraId="0F540D0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证书有效期</w:t>
            </w:r>
          </w:p>
        </w:tc>
        <w:tc>
          <w:tcPr>
            <w:tcW w:w="1842" w:type="dxa"/>
            <w:vAlign w:val="center"/>
          </w:tcPr>
          <w:p w14:paraId="6FCA498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95C1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14:paraId="70AACD30">
            <w:pPr>
              <w:shd w:val="clear"/>
              <w:spacing w:line="360" w:lineRule="auto"/>
              <w:jc w:val="center"/>
              <w:rPr>
                <w:rFonts w:hint="eastAsia" w:ascii="宋体" w:hAnsi="宋体" w:eastAsia="宋体" w:cs="宋体"/>
                <w:color w:val="auto"/>
                <w:sz w:val="21"/>
                <w:szCs w:val="21"/>
                <w:highlight w:val="none"/>
              </w:rPr>
            </w:pPr>
          </w:p>
        </w:tc>
        <w:tc>
          <w:tcPr>
            <w:tcW w:w="1800" w:type="dxa"/>
            <w:vAlign w:val="center"/>
          </w:tcPr>
          <w:p w14:paraId="694D0ACF">
            <w:pPr>
              <w:shd w:val="clear"/>
              <w:spacing w:line="360" w:lineRule="auto"/>
              <w:jc w:val="center"/>
              <w:rPr>
                <w:rFonts w:hint="eastAsia" w:ascii="宋体" w:hAnsi="宋体" w:eastAsia="宋体" w:cs="宋体"/>
                <w:color w:val="auto"/>
                <w:sz w:val="21"/>
                <w:szCs w:val="21"/>
                <w:highlight w:val="none"/>
              </w:rPr>
            </w:pPr>
          </w:p>
        </w:tc>
        <w:tc>
          <w:tcPr>
            <w:tcW w:w="1800" w:type="dxa"/>
            <w:vAlign w:val="center"/>
          </w:tcPr>
          <w:p w14:paraId="29ED2261">
            <w:pPr>
              <w:shd w:val="clear"/>
              <w:spacing w:line="360" w:lineRule="auto"/>
              <w:jc w:val="center"/>
              <w:rPr>
                <w:rFonts w:hint="eastAsia" w:ascii="宋体" w:hAnsi="宋体" w:eastAsia="宋体" w:cs="宋体"/>
                <w:color w:val="auto"/>
                <w:sz w:val="21"/>
                <w:szCs w:val="21"/>
                <w:highlight w:val="none"/>
              </w:rPr>
            </w:pPr>
          </w:p>
        </w:tc>
        <w:tc>
          <w:tcPr>
            <w:tcW w:w="1830" w:type="dxa"/>
            <w:vAlign w:val="center"/>
          </w:tcPr>
          <w:p w14:paraId="35E58824">
            <w:pPr>
              <w:shd w:val="clear"/>
              <w:spacing w:line="360" w:lineRule="auto"/>
              <w:jc w:val="center"/>
              <w:rPr>
                <w:rFonts w:hint="eastAsia" w:ascii="宋体" w:hAnsi="宋体" w:eastAsia="宋体" w:cs="宋体"/>
                <w:color w:val="auto"/>
                <w:sz w:val="21"/>
                <w:szCs w:val="21"/>
                <w:highlight w:val="none"/>
              </w:rPr>
            </w:pPr>
          </w:p>
        </w:tc>
        <w:tc>
          <w:tcPr>
            <w:tcW w:w="1842" w:type="dxa"/>
            <w:vAlign w:val="center"/>
          </w:tcPr>
          <w:p w14:paraId="563A0117">
            <w:pPr>
              <w:shd w:val="clear"/>
              <w:spacing w:line="360" w:lineRule="auto"/>
              <w:jc w:val="center"/>
              <w:rPr>
                <w:rFonts w:hint="eastAsia" w:ascii="宋体" w:hAnsi="宋体" w:eastAsia="宋体" w:cs="宋体"/>
                <w:color w:val="auto"/>
                <w:sz w:val="21"/>
                <w:szCs w:val="21"/>
                <w:highlight w:val="none"/>
              </w:rPr>
            </w:pPr>
          </w:p>
        </w:tc>
      </w:tr>
      <w:tr w14:paraId="30A81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14:paraId="28AF9C5E">
            <w:pPr>
              <w:shd w:val="clear"/>
              <w:spacing w:line="360" w:lineRule="auto"/>
              <w:jc w:val="center"/>
              <w:rPr>
                <w:rFonts w:hint="eastAsia" w:ascii="宋体" w:hAnsi="宋体" w:eastAsia="宋体" w:cs="宋体"/>
                <w:color w:val="auto"/>
                <w:sz w:val="21"/>
                <w:szCs w:val="21"/>
                <w:highlight w:val="none"/>
              </w:rPr>
            </w:pPr>
          </w:p>
        </w:tc>
        <w:tc>
          <w:tcPr>
            <w:tcW w:w="1800" w:type="dxa"/>
            <w:vAlign w:val="center"/>
          </w:tcPr>
          <w:p w14:paraId="711F9FA6">
            <w:pPr>
              <w:shd w:val="clear"/>
              <w:spacing w:line="360" w:lineRule="auto"/>
              <w:jc w:val="center"/>
              <w:rPr>
                <w:rFonts w:hint="eastAsia" w:ascii="宋体" w:hAnsi="宋体" w:eastAsia="宋体" w:cs="宋体"/>
                <w:color w:val="auto"/>
                <w:sz w:val="21"/>
                <w:szCs w:val="21"/>
                <w:highlight w:val="none"/>
              </w:rPr>
            </w:pPr>
          </w:p>
        </w:tc>
        <w:tc>
          <w:tcPr>
            <w:tcW w:w="1800" w:type="dxa"/>
            <w:vAlign w:val="center"/>
          </w:tcPr>
          <w:p w14:paraId="1860B9EE">
            <w:pPr>
              <w:shd w:val="clear"/>
              <w:spacing w:line="360" w:lineRule="auto"/>
              <w:jc w:val="center"/>
              <w:rPr>
                <w:rFonts w:hint="eastAsia" w:ascii="宋体" w:hAnsi="宋体" w:eastAsia="宋体" w:cs="宋体"/>
                <w:color w:val="auto"/>
                <w:sz w:val="21"/>
                <w:szCs w:val="21"/>
                <w:highlight w:val="none"/>
              </w:rPr>
            </w:pPr>
          </w:p>
        </w:tc>
        <w:tc>
          <w:tcPr>
            <w:tcW w:w="1830" w:type="dxa"/>
            <w:vAlign w:val="center"/>
          </w:tcPr>
          <w:p w14:paraId="29106344">
            <w:pPr>
              <w:shd w:val="clear"/>
              <w:spacing w:line="360" w:lineRule="auto"/>
              <w:jc w:val="center"/>
              <w:rPr>
                <w:rFonts w:hint="eastAsia" w:ascii="宋体" w:hAnsi="宋体" w:eastAsia="宋体" w:cs="宋体"/>
                <w:color w:val="auto"/>
                <w:sz w:val="21"/>
                <w:szCs w:val="21"/>
                <w:highlight w:val="none"/>
              </w:rPr>
            </w:pPr>
          </w:p>
        </w:tc>
        <w:tc>
          <w:tcPr>
            <w:tcW w:w="1842" w:type="dxa"/>
            <w:vAlign w:val="center"/>
          </w:tcPr>
          <w:p w14:paraId="6C44E0A5">
            <w:pPr>
              <w:shd w:val="clear"/>
              <w:spacing w:line="360" w:lineRule="auto"/>
              <w:jc w:val="center"/>
              <w:rPr>
                <w:rFonts w:hint="eastAsia" w:ascii="宋体" w:hAnsi="宋体" w:eastAsia="宋体" w:cs="宋体"/>
                <w:color w:val="auto"/>
                <w:sz w:val="21"/>
                <w:szCs w:val="21"/>
                <w:highlight w:val="none"/>
              </w:rPr>
            </w:pPr>
          </w:p>
        </w:tc>
      </w:tr>
    </w:tbl>
    <w:p w14:paraId="59F26406">
      <w:pPr>
        <w:shd w:val="clear"/>
        <w:spacing w:line="42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备注：以上资质或荣誉必须提供相关证明材料。</w:t>
      </w:r>
    </w:p>
    <w:p w14:paraId="1C22312D">
      <w:pPr>
        <w:shd w:val="clear"/>
        <w:spacing w:line="42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兹证明上述声明是真实、正确的，并提供了全部能提供的资料和数据，我方同意遵照贵方要求出示有关证明文件。</w:t>
      </w:r>
    </w:p>
    <w:p w14:paraId="6D2B35AB">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供应商名称（加盖公章）：</w:t>
      </w:r>
    </w:p>
    <w:p w14:paraId="785ADAB4">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供应商法定代表人或受委托人（签名或盖私章）：</w:t>
      </w:r>
    </w:p>
    <w:p w14:paraId="1837EF20">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日期：年月日 </w:t>
      </w:r>
    </w:p>
    <w:p w14:paraId="59DAF584">
      <w:pPr>
        <w:pStyle w:val="4"/>
        <w:numPr>
          <w:ilvl w:val="0"/>
          <w:numId w:val="0"/>
        </w:numPr>
        <w:shd w:val="clear"/>
        <w:ind w:left="0" w:leftChars="0" w:firstLine="420" w:firstLineChars="0"/>
        <w:jc w:val="center"/>
        <w:rPr>
          <w:rFonts w:hint="eastAsia" w:ascii="宋体" w:hAnsi="宋体" w:eastAsia="宋体" w:cs="宋体"/>
          <w:b w:val="0"/>
          <w:color w:val="auto"/>
          <w:sz w:val="28"/>
          <w:szCs w:val="28"/>
          <w:lang w:val="en-US" w:eastAsia="zh-CN" w:bidi="ar-SA"/>
        </w:rPr>
      </w:pPr>
    </w:p>
    <w:p w14:paraId="791D20A4">
      <w:pPr>
        <w:pStyle w:val="4"/>
        <w:numPr>
          <w:ilvl w:val="0"/>
          <w:numId w:val="0"/>
        </w:numPr>
        <w:shd w:val="clear"/>
        <w:ind w:left="0" w:leftChars="0" w:firstLine="420" w:firstLineChars="0"/>
        <w:jc w:val="center"/>
        <w:rPr>
          <w:rFonts w:hint="eastAsia" w:ascii="宋体" w:hAnsi="宋体" w:eastAsia="宋体" w:cs="宋体"/>
          <w:b w:val="0"/>
          <w:color w:val="auto"/>
          <w:sz w:val="28"/>
          <w:szCs w:val="28"/>
          <w:highlight w:val="none"/>
          <w:u w:val="single"/>
        </w:rPr>
      </w:pPr>
      <w:r>
        <w:rPr>
          <w:rFonts w:hint="eastAsia" w:ascii="宋体" w:hAnsi="宋体" w:eastAsia="宋体" w:cs="宋体"/>
          <w:b/>
          <w:bCs/>
          <w:color w:val="auto"/>
          <w:sz w:val="28"/>
          <w:szCs w:val="28"/>
          <w:lang w:val="en-US" w:eastAsia="zh-CN" w:bidi="ar-SA"/>
        </w:rPr>
        <w:t>五、</w:t>
      </w:r>
      <w:bookmarkStart w:id="245" w:name="_Toc27094"/>
      <w:bookmarkStart w:id="246" w:name="_Toc17704"/>
      <w:bookmarkStart w:id="247" w:name="_Toc7897894"/>
      <w:bookmarkStart w:id="248" w:name="_Toc8896"/>
      <w:r>
        <w:rPr>
          <w:rFonts w:hint="eastAsia" w:ascii="宋体" w:hAnsi="宋体" w:eastAsia="宋体" w:cs="宋体"/>
          <w:b/>
          <w:bCs/>
          <w:color w:val="auto"/>
          <w:sz w:val="28"/>
          <w:szCs w:val="28"/>
          <w:highlight w:val="none"/>
        </w:rPr>
        <w:t>偏离表</w:t>
      </w:r>
      <w:bookmarkEnd w:id="220"/>
      <w:bookmarkEnd w:id="245"/>
      <w:bookmarkEnd w:id="246"/>
      <w:bookmarkEnd w:id="247"/>
      <w:bookmarkEnd w:id="248"/>
    </w:p>
    <w:p w14:paraId="7CE894E0">
      <w:pPr>
        <w:pStyle w:val="13"/>
        <w:shd w:val="clear"/>
        <w:ind w:firstLine="480"/>
        <w:rPr>
          <w:rFonts w:hint="eastAsia" w:ascii="宋体" w:hAnsi="宋体" w:eastAsia="宋体" w:cs="宋体"/>
          <w:color w:val="auto"/>
          <w:sz w:val="24"/>
          <w:szCs w:val="21"/>
          <w:highlight w:val="none"/>
        </w:rPr>
      </w:pPr>
    </w:p>
    <w:p w14:paraId="778BBC4F">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cs="宋体"/>
          <w:color w:val="auto"/>
          <w:szCs w:val="21"/>
          <w:highlight w:val="none"/>
        </w:rPr>
      </w:pPr>
    </w:p>
    <w:tbl>
      <w:tblPr>
        <w:tblStyle w:val="5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14:paraId="4D75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14:paraId="23EE129D">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161" w:type="dxa"/>
            <w:vAlign w:val="center"/>
          </w:tcPr>
          <w:p w14:paraId="75A8EF17">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 目</w:t>
            </w:r>
          </w:p>
        </w:tc>
        <w:tc>
          <w:tcPr>
            <w:tcW w:w="1241" w:type="dxa"/>
            <w:vAlign w:val="center"/>
          </w:tcPr>
          <w:p w14:paraId="1BA00783">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磋商文件要求</w:t>
            </w:r>
          </w:p>
        </w:tc>
        <w:tc>
          <w:tcPr>
            <w:tcW w:w="1984" w:type="dxa"/>
            <w:vAlign w:val="center"/>
          </w:tcPr>
          <w:p w14:paraId="7942CFBB">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w:t>
            </w:r>
          </w:p>
          <w:p w14:paraId="627C8725">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响应情况</w:t>
            </w:r>
          </w:p>
        </w:tc>
        <w:tc>
          <w:tcPr>
            <w:tcW w:w="1276" w:type="dxa"/>
            <w:vAlign w:val="center"/>
          </w:tcPr>
          <w:p w14:paraId="7AF04F85">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偏离情况</w:t>
            </w:r>
          </w:p>
        </w:tc>
        <w:tc>
          <w:tcPr>
            <w:tcW w:w="1594" w:type="dxa"/>
            <w:vAlign w:val="center"/>
          </w:tcPr>
          <w:p w14:paraId="73977C30">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偏离情况</w:t>
            </w:r>
          </w:p>
          <w:p w14:paraId="2527BC96">
            <w:pPr>
              <w:shd w:val="clea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6962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C38F521">
            <w:pPr>
              <w:shd w:val="clea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2161" w:type="dxa"/>
            <w:vAlign w:val="center"/>
          </w:tcPr>
          <w:p w14:paraId="1B69EB88">
            <w:pPr>
              <w:shd w:val="clear"/>
              <w:rPr>
                <w:rFonts w:hint="eastAsia" w:ascii="宋体" w:hAnsi="宋体" w:eastAsia="宋体" w:cs="宋体"/>
                <w:bCs/>
                <w:color w:val="auto"/>
                <w:sz w:val="21"/>
                <w:szCs w:val="21"/>
                <w:highlight w:val="none"/>
              </w:rPr>
            </w:pPr>
          </w:p>
        </w:tc>
        <w:tc>
          <w:tcPr>
            <w:tcW w:w="1241" w:type="dxa"/>
            <w:vAlign w:val="center"/>
          </w:tcPr>
          <w:p w14:paraId="522D8B3B">
            <w:pPr>
              <w:shd w:val="clear"/>
              <w:jc w:val="center"/>
              <w:rPr>
                <w:rFonts w:hint="eastAsia" w:ascii="宋体" w:hAnsi="宋体" w:eastAsia="宋体" w:cs="宋体"/>
                <w:color w:val="auto"/>
                <w:sz w:val="21"/>
                <w:szCs w:val="21"/>
                <w:highlight w:val="none"/>
              </w:rPr>
            </w:pPr>
          </w:p>
        </w:tc>
        <w:tc>
          <w:tcPr>
            <w:tcW w:w="1984" w:type="dxa"/>
            <w:vAlign w:val="center"/>
          </w:tcPr>
          <w:p w14:paraId="1FDC6218">
            <w:pPr>
              <w:shd w:val="clear"/>
              <w:jc w:val="center"/>
              <w:rPr>
                <w:rFonts w:hint="eastAsia" w:ascii="宋体" w:hAnsi="宋体" w:eastAsia="宋体" w:cs="宋体"/>
                <w:color w:val="auto"/>
                <w:sz w:val="21"/>
                <w:szCs w:val="21"/>
                <w:highlight w:val="none"/>
              </w:rPr>
            </w:pPr>
          </w:p>
        </w:tc>
        <w:tc>
          <w:tcPr>
            <w:tcW w:w="1276" w:type="dxa"/>
            <w:vAlign w:val="center"/>
          </w:tcPr>
          <w:p w14:paraId="11E8F915">
            <w:pPr>
              <w:shd w:val="clear"/>
              <w:ind w:left="-446" w:leftChars="-186" w:firstLine="390" w:firstLineChars="186"/>
              <w:jc w:val="center"/>
              <w:rPr>
                <w:rFonts w:hint="eastAsia" w:ascii="宋体" w:hAnsi="宋体" w:eastAsia="宋体" w:cs="宋体"/>
                <w:color w:val="auto"/>
                <w:sz w:val="21"/>
                <w:szCs w:val="21"/>
                <w:highlight w:val="none"/>
              </w:rPr>
            </w:pPr>
          </w:p>
        </w:tc>
        <w:tc>
          <w:tcPr>
            <w:tcW w:w="1594" w:type="dxa"/>
            <w:vAlign w:val="center"/>
          </w:tcPr>
          <w:p w14:paraId="09D7E8D1">
            <w:pPr>
              <w:shd w:val="clear"/>
              <w:ind w:left="-446" w:leftChars="-186" w:firstLine="390" w:firstLineChars="186"/>
              <w:jc w:val="center"/>
              <w:rPr>
                <w:rFonts w:hint="eastAsia" w:ascii="宋体" w:hAnsi="宋体" w:eastAsia="宋体" w:cs="宋体"/>
                <w:color w:val="auto"/>
                <w:sz w:val="21"/>
                <w:szCs w:val="21"/>
                <w:highlight w:val="none"/>
              </w:rPr>
            </w:pPr>
          </w:p>
        </w:tc>
      </w:tr>
      <w:tr w14:paraId="7B7B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AC434B3">
            <w:pPr>
              <w:shd w:val="clea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2161" w:type="dxa"/>
            <w:vAlign w:val="center"/>
          </w:tcPr>
          <w:p w14:paraId="44CAA63C">
            <w:pPr>
              <w:shd w:val="clear"/>
              <w:rPr>
                <w:rFonts w:hint="eastAsia" w:ascii="宋体" w:hAnsi="宋体" w:eastAsia="宋体" w:cs="宋体"/>
                <w:bCs/>
                <w:color w:val="auto"/>
                <w:sz w:val="21"/>
                <w:szCs w:val="21"/>
                <w:highlight w:val="none"/>
              </w:rPr>
            </w:pPr>
          </w:p>
        </w:tc>
        <w:tc>
          <w:tcPr>
            <w:tcW w:w="1241" w:type="dxa"/>
            <w:vAlign w:val="center"/>
          </w:tcPr>
          <w:p w14:paraId="28ECDE64">
            <w:pPr>
              <w:shd w:val="clear"/>
              <w:jc w:val="center"/>
              <w:rPr>
                <w:rFonts w:hint="eastAsia" w:ascii="宋体" w:hAnsi="宋体" w:eastAsia="宋体" w:cs="宋体"/>
                <w:color w:val="auto"/>
                <w:sz w:val="21"/>
                <w:szCs w:val="21"/>
                <w:highlight w:val="none"/>
              </w:rPr>
            </w:pPr>
          </w:p>
        </w:tc>
        <w:tc>
          <w:tcPr>
            <w:tcW w:w="1984" w:type="dxa"/>
            <w:vAlign w:val="center"/>
          </w:tcPr>
          <w:p w14:paraId="2D967E7B">
            <w:pPr>
              <w:shd w:val="clear"/>
              <w:jc w:val="center"/>
              <w:rPr>
                <w:rFonts w:hint="eastAsia" w:ascii="宋体" w:hAnsi="宋体" w:eastAsia="宋体" w:cs="宋体"/>
                <w:color w:val="auto"/>
                <w:sz w:val="21"/>
                <w:szCs w:val="21"/>
                <w:highlight w:val="none"/>
              </w:rPr>
            </w:pPr>
          </w:p>
        </w:tc>
        <w:tc>
          <w:tcPr>
            <w:tcW w:w="1276" w:type="dxa"/>
            <w:vAlign w:val="center"/>
          </w:tcPr>
          <w:p w14:paraId="3D690AA9">
            <w:pPr>
              <w:shd w:val="clear"/>
              <w:jc w:val="center"/>
              <w:rPr>
                <w:rFonts w:hint="eastAsia" w:ascii="宋体" w:hAnsi="宋体" w:eastAsia="宋体" w:cs="宋体"/>
                <w:color w:val="auto"/>
                <w:sz w:val="21"/>
                <w:szCs w:val="21"/>
                <w:highlight w:val="none"/>
              </w:rPr>
            </w:pPr>
          </w:p>
        </w:tc>
        <w:tc>
          <w:tcPr>
            <w:tcW w:w="1594" w:type="dxa"/>
            <w:vAlign w:val="center"/>
          </w:tcPr>
          <w:p w14:paraId="2480C5BA">
            <w:pPr>
              <w:shd w:val="clear"/>
              <w:jc w:val="center"/>
              <w:rPr>
                <w:rFonts w:hint="eastAsia" w:ascii="宋体" w:hAnsi="宋体" w:eastAsia="宋体" w:cs="宋体"/>
                <w:color w:val="auto"/>
                <w:sz w:val="21"/>
                <w:szCs w:val="21"/>
                <w:highlight w:val="none"/>
              </w:rPr>
            </w:pPr>
          </w:p>
        </w:tc>
      </w:tr>
      <w:tr w14:paraId="600D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F5B756F">
            <w:pPr>
              <w:shd w:val="clea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2161" w:type="dxa"/>
            <w:vAlign w:val="center"/>
          </w:tcPr>
          <w:p w14:paraId="033C2097">
            <w:pPr>
              <w:shd w:val="clear"/>
              <w:rPr>
                <w:rFonts w:hint="eastAsia" w:ascii="宋体" w:hAnsi="宋体" w:eastAsia="宋体" w:cs="宋体"/>
                <w:bCs/>
                <w:color w:val="auto"/>
                <w:sz w:val="21"/>
                <w:szCs w:val="21"/>
                <w:highlight w:val="none"/>
              </w:rPr>
            </w:pPr>
          </w:p>
        </w:tc>
        <w:tc>
          <w:tcPr>
            <w:tcW w:w="1241" w:type="dxa"/>
            <w:vAlign w:val="center"/>
          </w:tcPr>
          <w:p w14:paraId="1FBE8608">
            <w:pPr>
              <w:shd w:val="clear"/>
              <w:jc w:val="center"/>
              <w:rPr>
                <w:rFonts w:hint="eastAsia" w:ascii="宋体" w:hAnsi="宋体" w:eastAsia="宋体" w:cs="宋体"/>
                <w:color w:val="auto"/>
                <w:sz w:val="21"/>
                <w:szCs w:val="21"/>
                <w:highlight w:val="none"/>
              </w:rPr>
            </w:pPr>
          </w:p>
        </w:tc>
        <w:tc>
          <w:tcPr>
            <w:tcW w:w="1984" w:type="dxa"/>
            <w:vAlign w:val="center"/>
          </w:tcPr>
          <w:p w14:paraId="54532F1A">
            <w:pPr>
              <w:shd w:val="clear"/>
              <w:jc w:val="center"/>
              <w:rPr>
                <w:rFonts w:hint="eastAsia" w:ascii="宋体" w:hAnsi="宋体" w:eastAsia="宋体" w:cs="宋体"/>
                <w:color w:val="auto"/>
                <w:sz w:val="21"/>
                <w:szCs w:val="21"/>
                <w:highlight w:val="none"/>
              </w:rPr>
            </w:pPr>
          </w:p>
        </w:tc>
        <w:tc>
          <w:tcPr>
            <w:tcW w:w="1276" w:type="dxa"/>
            <w:vAlign w:val="center"/>
          </w:tcPr>
          <w:p w14:paraId="00A4A939">
            <w:pPr>
              <w:shd w:val="clear"/>
              <w:jc w:val="center"/>
              <w:rPr>
                <w:rFonts w:hint="eastAsia" w:ascii="宋体" w:hAnsi="宋体" w:eastAsia="宋体" w:cs="宋体"/>
                <w:color w:val="auto"/>
                <w:sz w:val="21"/>
                <w:szCs w:val="21"/>
                <w:highlight w:val="none"/>
              </w:rPr>
            </w:pPr>
          </w:p>
        </w:tc>
        <w:tc>
          <w:tcPr>
            <w:tcW w:w="1594" w:type="dxa"/>
            <w:vAlign w:val="center"/>
          </w:tcPr>
          <w:p w14:paraId="48CECE28">
            <w:pPr>
              <w:shd w:val="clear"/>
              <w:jc w:val="center"/>
              <w:rPr>
                <w:rFonts w:hint="eastAsia" w:ascii="宋体" w:hAnsi="宋体" w:eastAsia="宋体" w:cs="宋体"/>
                <w:color w:val="auto"/>
                <w:sz w:val="21"/>
                <w:szCs w:val="21"/>
                <w:highlight w:val="none"/>
              </w:rPr>
            </w:pPr>
          </w:p>
        </w:tc>
      </w:tr>
      <w:tr w14:paraId="2E11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A0BADC5">
            <w:pPr>
              <w:shd w:val="clea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p>
        </w:tc>
        <w:tc>
          <w:tcPr>
            <w:tcW w:w="2161" w:type="dxa"/>
            <w:vAlign w:val="center"/>
          </w:tcPr>
          <w:p w14:paraId="6A5B3929">
            <w:pPr>
              <w:shd w:val="clear"/>
              <w:rPr>
                <w:rFonts w:hint="eastAsia" w:ascii="宋体" w:hAnsi="宋体" w:eastAsia="宋体" w:cs="宋体"/>
                <w:bCs/>
                <w:color w:val="auto"/>
                <w:sz w:val="21"/>
                <w:szCs w:val="21"/>
                <w:highlight w:val="none"/>
              </w:rPr>
            </w:pPr>
          </w:p>
        </w:tc>
        <w:tc>
          <w:tcPr>
            <w:tcW w:w="1241" w:type="dxa"/>
            <w:vAlign w:val="center"/>
          </w:tcPr>
          <w:p w14:paraId="21C200E0">
            <w:pPr>
              <w:shd w:val="clear"/>
              <w:jc w:val="center"/>
              <w:rPr>
                <w:rFonts w:hint="eastAsia" w:ascii="宋体" w:hAnsi="宋体" w:eastAsia="宋体" w:cs="宋体"/>
                <w:color w:val="auto"/>
                <w:sz w:val="21"/>
                <w:szCs w:val="21"/>
                <w:highlight w:val="none"/>
              </w:rPr>
            </w:pPr>
          </w:p>
        </w:tc>
        <w:tc>
          <w:tcPr>
            <w:tcW w:w="1984" w:type="dxa"/>
            <w:vAlign w:val="center"/>
          </w:tcPr>
          <w:p w14:paraId="0AA1F487">
            <w:pPr>
              <w:shd w:val="clear"/>
              <w:jc w:val="center"/>
              <w:rPr>
                <w:rFonts w:hint="eastAsia" w:ascii="宋体" w:hAnsi="宋体" w:eastAsia="宋体" w:cs="宋体"/>
                <w:color w:val="auto"/>
                <w:sz w:val="21"/>
                <w:szCs w:val="21"/>
                <w:highlight w:val="none"/>
              </w:rPr>
            </w:pPr>
          </w:p>
        </w:tc>
        <w:tc>
          <w:tcPr>
            <w:tcW w:w="1276" w:type="dxa"/>
            <w:vAlign w:val="center"/>
          </w:tcPr>
          <w:p w14:paraId="48F3892F">
            <w:pPr>
              <w:shd w:val="clear"/>
              <w:jc w:val="center"/>
              <w:rPr>
                <w:rFonts w:hint="eastAsia" w:ascii="宋体" w:hAnsi="宋体" w:eastAsia="宋体" w:cs="宋体"/>
                <w:color w:val="auto"/>
                <w:sz w:val="21"/>
                <w:szCs w:val="21"/>
                <w:highlight w:val="none"/>
              </w:rPr>
            </w:pPr>
          </w:p>
        </w:tc>
        <w:tc>
          <w:tcPr>
            <w:tcW w:w="1594" w:type="dxa"/>
            <w:vAlign w:val="center"/>
          </w:tcPr>
          <w:p w14:paraId="5F4CA3C7">
            <w:pPr>
              <w:shd w:val="clear"/>
              <w:jc w:val="center"/>
              <w:rPr>
                <w:rFonts w:hint="eastAsia" w:ascii="宋体" w:hAnsi="宋体" w:eastAsia="宋体" w:cs="宋体"/>
                <w:color w:val="auto"/>
                <w:sz w:val="21"/>
                <w:szCs w:val="21"/>
                <w:highlight w:val="none"/>
              </w:rPr>
            </w:pPr>
          </w:p>
        </w:tc>
      </w:tr>
      <w:tr w14:paraId="70DC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F6036B9">
            <w:pPr>
              <w:shd w:val="clear"/>
              <w:jc w:val="center"/>
              <w:rPr>
                <w:rFonts w:hint="eastAsia" w:ascii="宋体" w:hAnsi="宋体" w:eastAsia="宋体" w:cs="宋体"/>
                <w:b/>
                <w:color w:val="auto"/>
                <w:sz w:val="21"/>
                <w:szCs w:val="21"/>
                <w:highlight w:val="none"/>
              </w:rPr>
            </w:pPr>
          </w:p>
        </w:tc>
        <w:tc>
          <w:tcPr>
            <w:tcW w:w="2161" w:type="dxa"/>
            <w:vAlign w:val="center"/>
          </w:tcPr>
          <w:p w14:paraId="3BD9E049">
            <w:pPr>
              <w:shd w:val="clear"/>
              <w:rPr>
                <w:rFonts w:hint="eastAsia" w:ascii="宋体" w:hAnsi="宋体" w:eastAsia="宋体" w:cs="宋体"/>
                <w:bCs/>
                <w:color w:val="auto"/>
                <w:sz w:val="21"/>
                <w:szCs w:val="21"/>
                <w:highlight w:val="none"/>
              </w:rPr>
            </w:pPr>
          </w:p>
        </w:tc>
        <w:tc>
          <w:tcPr>
            <w:tcW w:w="1241" w:type="dxa"/>
            <w:vAlign w:val="center"/>
          </w:tcPr>
          <w:p w14:paraId="6BEAEC45">
            <w:pPr>
              <w:shd w:val="clear"/>
              <w:jc w:val="center"/>
              <w:rPr>
                <w:rFonts w:hint="eastAsia" w:ascii="宋体" w:hAnsi="宋体" w:eastAsia="宋体" w:cs="宋体"/>
                <w:color w:val="auto"/>
                <w:sz w:val="21"/>
                <w:szCs w:val="21"/>
                <w:highlight w:val="none"/>
              </w:rPr>
            </w:pPr>
          </w:p>
        </w:tc>
        <w:tc>
          <w:tcPr>
            <w:tcW w:w="1984" w:type="dxa"/>
            <w:vAlign w:val="center"/>
          </w:tcPr>
          <w:p w14:paraId="1C60F2C2">
            <w:pPr>
              <w:shd w:val="clear"/>
              <w:jc w:val="center"/>
              <w:rPr>
                <w:rFonts w:hint="eastAsia" w:ascii="宋体" w:hAnsi="宋体" w:eastAsia="宋体" w:cs="宋体"/>
                <w:color w:val="auto"/>
                <w:sz w:val="21"/>
                <w:szCs w:val="21"/>
                <w:highlight w:val="none"/>
              </w:rPr>
            </w:pPr>
          </w:p>
        </w:tc>
        <w:tc>
          <w:tcPr>
            <w:tcW w:w="1276" w:type="dxa"/>
            <w:vAlign w:val="center"/>
          </w:tcPr>
          <w:p w14:paraId="20FF0934">
            <w:pPr>
              <w:shd w:val="clear"/>
              <w:jc w:val="center"/>
              <w:rPr>
                <w:rFonts w:hint="eastAsia" w:ascii="宋体" w:hAnsi="宋体" w:eastAsia="宋体" w:cs="宋体"/>
                <w:color w:val="auto"/>
                <w:sz w:val="21"/>
                <w:szCs w:val="21"/>
                <w:highlight w:val="none"/>
              </w:rPr>
            </w:pPr>
          </w:p>
        </w:tc>
        <w:tc>
          <w:tcPr>
            <w:tcW w:w="1594" w:type="dxa"/>
            <w:vAlign w:val="center"/>
          </w:tcPr>
          <w:p w14:paraId="29FCFC14">
            <w:pPr>
              <w:shd w:val="clear"/>
              <w:jc w:val="center"/>
              <w:rPr>
                <w:rFonts w:hint="eastAsia" w:ascii="宋体" w:hAnsi="宋体" w:eastAsia="宋体" w:cs="宋体"/>
                <w:color w:val="auto"/>
                <w:sz w:val="21"/>
                <w:szCs w:val="21"/>
                <w:highlight w:val="none"/>
              </w:rPr>
            </w:pPr>
          </w:p>
        </w:tc>
      </w:tr>
      <w:tr w14:paraId="7D88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26A4179">
            <w:pPr>
              <w:shd w:val="clear"/>
              <w:jc w:val="center"/>
              <w:rPr>
                <w:rFonts w:hint="eastAsia" w:ascii="宋体" w:hAnsi="宋体" w:eastAsia="宋体" w:cs="宋体"/>
                <w:b/>
                <w:color w:val="auto"/>
                <w:sz w:val="21"/>
                <w:szCs w:val="21"/>
                <w:highlight w:val="none"/>
              </w:rPr>
            </w:pPr>
          </w:p>
        </w:tc>
        <w:tc>
          <w:tcPr>
            <w:tcW w:w="2161" w:type="dxa"/>
            <w:vAlign w:val="center"/>
          </w:tcPr>
          <w:p w14:paraId="23F06B8B">
            <w:pPr>
              <w:shd w:val="clear"/>
              <w:rPr>
                <w:rFonts w:hint="eastAsia" w:ascii="宋体" w:hAnsi="宋体" w:eastAsia="宋体" w:cs="宋体"/>
                <w:bCs/>
                <w:color w:val="auto"/>
                <w:sz w:val="21"/>
                <w:szCs w:val="21"/>
                <w:highlight w:val="none"/>
              </w:rPr>
            </w:pPr>
          </w:p>
        </w:tc>
        <w:tc>
          <w:tcPr>
            <w:tcW w:w="1241" w:type="dxa"/>
            <w:vAlign w:val="center"/>
          </w:tcPr>
          <w:p w14:paraId="37C5036C">
            <w:pPr>
              <w:shd w:val="clear"/>
              <w:jc w:val="center"/>
              <w:rPr>
                <w:rFonts w:hint="eastAsia" w:ascii="宋体" w:hAnsi="宋体" w:eastAsia="宋体" w:cs="宋体"/>
                <w:color w:val="auto"/>
                <w:sz w:val="21"/>
                <w:szCs w:val="21"/>
                <w:highlight w:val="none"/>
              </w:rPr>
            </w:pPr>
          </w:p>
        </w:tc>
        <w:tc>
          <w:tcPr>
            <w:tcW w:w="1984" w:type="dxa"/>
            <w:vAlign w:val="center"/>
          </w:tcPr>
          <w:p w14:paraId="4EC28DB5">
            <w:pPr>
              <w:shd w:val="clear"/>
              <w:jc w:val="center"/>
              <w:rPr>
                <w:rFonts w:hint="eastAsia" w:ascii="宋体" w:hAnsi="宋体" w:eastAsia="宋体" w:cs="宋体"/>
                <w:color w:val="auto"/>
                <w:sz w:val="21"/>
                <w:szCs w:val="21"/>
                <w:highlight w:val="none"/>
              </w:rPr>
            </w:pPr>
          </w:p>
        </w:tc>
        <w:tc>
          <w:tcPr>
            <w:tcW w:w="1276" w:type="dxa"/>
            <w:vAlign w:val="center"/>
          </w:tcPr>
          <w:p w14:paraId="1ACFE8F4">
            <w:pPr>
              <w:shd w:val="clear"/>
              <w:jc w:val="center"/>
              <w:rPr>
                <w:rFonts w:hint="eastAsia" w:ascii="宋体" w:hAnsi="宋体" w:eastAsia="宋体" w:cs="宋体"/>
                <w:color w:val="auto"/>
                <w:sz w:val="21"/>
                <w:szCs w:val="21"/>
                <w:highlight w:val="none"/>
              </w:rPr>
            </w:pPr>
          </w:p>
        </w:tc>
        <w:tc>
          <w:tcPr>
            <w:tcW w:w="1594" w:type="dxa"/>
            <w:vAlign w:val="center"/>
          </w:tcPr>
          <w:p w14:paraId="3EA1E3A9">
            <w:pPr>
              <w:shd w:val="clear"/>
              <w:jc w:val="center"/>
              <w:rPr>
                <w:rFonts w:hint="eastAsia" w:ascii="宋体" w:hAnsi="宋体" w:eastAsia="宋体" w:cs="宋体"/>
                <w:color w:val="auto"/>
                <w:sz w:val="21"/>
                <w:szCs w:val="21"/>
                <w:highlight w:val="none"/>
              </w:rPr>
            </w:pPr>
          </w:p>
        </w:tc>
      </w:tr>
      <w:tr w14:paraId="07A7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734150B">
            <w:pPr>
              <w:shd w:val="clear"/>
              <w:jc w:val="center"/>
              <w:rPr>
                <w:rFonts w:hint="eastAsia" w:ascii="宋体" w:hAnsi="宋体" w:eastAsia="宋体" w:cs="宋体"/>
                <w:b/>
                <w:color w:val="auto"/>
                <w:sz w:val="21"/>
                <w:szCs w:val="21"/>
                <w:highlight w:val="none"/>
              </w:rPr>
            </w:pPr>
          </w:p>
        </w:tc>
        <w:tc>
          <w:tcPr>
            <w:tcW w:w="2161" w:type="dxa"/>
            <w:vAlign w:val="center"/>
          </w:tcPr>
          <w:p w14:paraId="30559A6B">
            <w:pPr>
              <w:shd w:val="clea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其他</w:t>
            </w:r>
          </w:p>
        </w:tc>
        <w:tc>
          <w:tcPr>
            <w:tcW w:w="1241" w:type="dxa"/>
            <w:vAlign w:val="center"/>
          </w:tcPr>
          <w:p w14:paraId="338CDB1A">
            <w:pPr>
              <w:shd w:val="clear"/>
              <w:jc w:val="center"/>
              <w:rPr>
                <w:rFonts w:hint="eastAsia" w:ascii="宋体" w:hAnsi="宋体" w:eastAsia="宋体" w:cs="宋体"/>
                <w:color w:val="auto"/>
                <w:sz w:val="21"/>
                <w:szCs w:val="21"/>
                <w:highlight w:val="none"/>
              </w:rPr>
            </w:pPr>
          </w:p>
        </w:tc>
        <w:tc>
          <w:tcPr>
            <w:tcW w:w="1984" w:type="dxa"/>
            <w:vAlign w:val="center"/>
          </w:tcPr>
          <w:p w14:paraId="21124708">
            <w:pPr>
              <w:shd w:val="clear"/>
              <w:jc w:val="center"/>
              <w:rPr>
                <w:rFonts w:hint="eastAsia" w:ascii="宋体" w:hAnsi="宋体" w:eastAsia="宋体" w:cs="宋体"/>
                <w:color w:val="auto"/>
                <w:sz w:val="21"/>
                <w:szCs w:val="21"/>
                <w:highlight w:val="none"/>
              </w:rPr>
            </w:pPr>
          </w:p>
        </w:tc>
        <w:tc>
          <w:tcPr>
            <w:tcW w:w="1276" w:type="dxa"/>
            <w:vAlign w:val="center"/>
          </w:tcPr>
          <w:p w14:paraId="7F86487C">
            <w:pPr>
              <w:shd w:val="clear"/>
              <w:jc w:val="center"/>
              <w:rPr>
                <w:rFonts w:hint="eastAsia" w:ascii="宋体" w:hAnsi="宋体" w:eastAsia="宋体" w:cs="宋体"/>
                <w:color w:val="auto"/>
                <w:sz w:val="21"/>
                <w:szCs w:val="21"/>
                <w:highlight w:val="none"/>
              </w:rPr>
            </w:pPr>
          </w:p>
        </w:tc>
        <w:tc>
          <w:tcPr>
            <w:tcW w:w="1594" w:type="dxa"/>
            <w:vAlign w:val="center"/>
          </w:tcPr>
          <w:p w14:paraId="41A4431F">
            <w:pPr>
              <w:shd w:val="clear"/>
              <w:jc w:val="center"/>
              <w:rPr>
                <w:rFonts w:hint="eastAsia" w:ascii="宋体" w:hAnsi="宋体" w:eastAsia="宋体" w:cs="宋体"/>
                <w:color w:val="auto"/>
                <w:sz w:val="21"/>
                <w:szCs w:val="21"/>
                <w:highlight w:val="none"/>
              </w:rPr>
            </w:pPr>
          </w:p>
        </w:tc>
      </w:tr>
    </w:tbl>
    <w:p w14:paraId="3D8A303F">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cs="宋体"/>
          <w:b/>
          <w:bCs/>
          <w:color w:val="auto"/>
          <w:sz w:val="21"/>
          <w:szCs w:val="21"/>
          <w:highlight w:val="none"/>
        </w:rPr>
      </w:pPr>
    </w:p>
    <w:p w14:paraId="09B30A31">
      <w:pPr>
        <w:shd w:val="clear"/>
        <w:tabs>
          <w:tab w:val="left" w:pos="654"/>
          <w:tab w:val="left" w:pos="1734"/>
          <w:tab w:val="left" w:pos="2814"/>
          <w:tab w:val="left" w:pos="3894"/>
          <w:tab w:val="left" w:pos="5334"/>
          <w:tab w:val="left" w:pos="6414"/>
          <w:tab w:val="left" w:pos="7254"/>
          <w:tab w:val="left" w:pos="8574"/>
          <w:tab w:val="left" w:pos="9654"/>
        </w:tabs>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p w14:paraId="2BEBCDCA">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1.“磋商文件要求”见磋商文件“用户需求书”，“响应文件响应情况”是指供应商的投报情况。</w:t>
      </w:r>
    </w:p>
    <w:p w14:paraId="4BFDF8D6">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偏离情况</w:t>
      </w:r>
      <w:r>
        <w:rPr>
          <w:rFonts w:hint="eastAsia" w:ascii="宋体" w:hAnsi="宋体" w:eastAsia="宋体" w:cs="宋体"/>
          <w:color w:val="auto"/>
          <w:sz w:val="21"/>
          <w:szCs w:val="21"/>
          <w:highlight w:val="none"/>
        </w:rPr>
        <w:t>”包括“完全响应”、“正偏离”、“负偏离”。</w:t>
      </w:r>
    </w:p>
    <w:p w14:paraId="31F2B2E2">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cs="宋体"/>
          <w:color w:val="auto"/>
          <w:sz w:val="21"/>
          <w:szCs w:val="21"/>
          <w:highlight w:val="none"/>
        </w:rPr>
      </w:pPr>
    </w:p>
    <w:p w14:paraId="220FA4BC">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供应商名称（加盖公章）：</w:t>
      </w:r>
    </w:p>
    <w:p w14:paraId="49746F85">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供应商法定代表人或受委托人（签名或盖私章）：</w:t>
      </w:r>
    </w:p>
    <w:p w14:paraId="790DDF6F">
      <w:pPr>
        <w:shd w:val="clear"/>
        <w:overflowPunct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rPr>
        <w:t xml:space="preserve">日期：年月日 </w:t>
      </w:r>
    </w:p>
    <w:p w14:paraId="54AC0FB7">
      <w:pPr>
        <w:shd w:val="clear"/>
        <w:rPr>
          <w:rFonts w:hint="eastAsia" w:ascii="宋体" w:hAnsi="宋体" w:eastAsia="宋体" w:cs="宋体"/>
          <w:color w:val="auto"/>
          <w:highlight w:val="none"/>
        </w:rPr>
      </w:pPr>
    </w:p>
    <w:p w14:paraId="130BF699">
      <w:pPr>
        <w:shd w:val="clear"/>
        <w:rPr>
          <w:rFonts w:hint="eastAsia" w:ascii="宋体" w:hAnsi="宋体" w:eastAsia="宋体" w:cs="宋体"/>
          <w:color w:val="auto"/>
          <w:highlight w:val="none"/>
        </w:rPr>
      </w:pPr>
    </w:p>
    <w:p w14:paraId="429D313B">
      <w:pPr>
        <w:shd w:val="clear"/>
        <w:rPr>
          <w:rFonts w:hint="eastAsia" w:ascii="宋体" w:hAnsi="宋体" w:eastAsia="宋体" w:cs="宋体"/>
          <w:color w:val="auto"/>
          <w:highlight w:val="none"/>
        </w:rPr>
      </w:pPr>
    </w:p>
    <w:p w14:paraId="05C80FD8">
      <w:pPr>
        <w:shd w:val="clear"/>
        <w:rPr>
          <w:rFonts w:hint="eastAsia" w:ascii="宋体" w:hAnsi="宋体" w:eastAsia="宋体" w:cs="宋体"/>
          <w:color w:val="auto"/>
          <w:highlight w:val="none"/>
        </w:rPr>
      </w:pPr>
    </w:p>
    <w:p w14:paraId="742C0205">
      <w:pPr>
        <w:shd w:val="clear"/>
        <w:rPr>
          <w:rFonts w:hint="eastAsia" w:ascii="宋体" w:hAnsi="宋体" w:eastAsia="宋体" w:cs="宋体"/>
          <w:color w:val="auto"/>
          <w:highlight w:val="none"/>
        </w:rPr>
      </w:pPr>
    </w:p>
    <w:p w14:paraId="542103AD">
      <w:pPr>
        <w:shd w:val="clear"/>
        <w:rPr>
          <w:rFonts w:hint="eastAsia" w:ascii="宋体" w:hAnsi="宋体" w:eastAsia="宋体" w:cs="宋体"/>
          <w:color w:val="auto"/>
          <w:highlight w:val="none"/>
        </w:rPr>
      </w:pPr>
    </w:p>
    <w:p w14:paraId="63A3B0D0">
      <w:pPr>
        <w:shd w:val="clear"/>
        <w:rPr>
          <w:rFonts w:hint="eastAsia" w:ascii="宋体" w:hAnsi="宋体" w:eastAsia="宋体" w:cs="宋体"/>
          <w:color w:val="auto"/>
          <w:highlight w:val="none"/>
        </w:rPr>
      </w:pPr>
    </w:p>
    <w:p w14:paraId="66A06348">
      <w:pPr>
        <w:rPr>
          <w:rFonts w:hint="eastAsia" w:ascii="宋体" w:hAnsi="宋体" w:eastAsia="宋体" w:cs="宋体"/>
          <w:color w:val="auto"/>
          <w:sz w:val="28"/>
          <w:szCs w:val="28"/>
          <w:highlight w:val="none"/>
        </w:rPr>
      </w:pPr>
      <w:bookmarkStart w:id="249" w:name="_Toc10734"/>
      <w:bookmarkStart w:id="250" w:name="_Toc8299"/>
      <w:bookmarkStart w:id="251" w:name="_Toc31965"/>
      <w:bookmarkStart w:id="252" w:name="_Toc7897895"/>
      <w:r>
        <w:rPr>
          <w:rFonts w:hint="eastAsia" w:ascii="宋体" w:hAnsi="宋体" w:eastAsia="宋体" w:cs="宋体"/>
          <w:color w:val="auto"/>
          <w:sz w:val="28"/>
          <w:szCs w:val="28"/>
          <w:highlight w:val="none"/>
        </w:rPr>
        <w:br w:type="page"/>
      </w:r>
    </w:p>
    <w:p w14:paraId="7FD8E707">
      <w:pPr>
        <w:pStyle w:val="4"/>
        <w:numPr>
          <w:ilvl w:val="0"/>
          <w:numId w:val="0"/>
        </w:numPr>
        <w:shd w:val="clear"/>
        <w:ind w:left="0" w:leftChars="0" w:firstLine="420" w:firstLineChars="0"/>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lang w:val="en-US" w:eastAsia="zh-CN" w:bidi="ar-SA"/>
        </w:rPr>
        <w:t>六、</w:t>
      </w:r>
      <w:r>
        <w:rPr>
          <w:rFonts w:hint="eastAsia" w:ascii="宋体" w:hAnsi="宋体" w:eastAsia="宋体" w:cs="宋体"/>
          <w:color w:val="auto"/>
          <w:sz w:val="28"/>
          <w:szCs w:val="28"/>
          <w:highlight w:val="none"/>
        </w:rPr>
        <w:t>磋商文件“★”号条款响应表</w:t>
      </w:r>
      <w:bookmarkEnd w:id="249"/>
      <w:bookmarkEnd w:id="250"/>
    </w:p>
    <w:p w14:paraId="7C308919">
      <w:pPr>
        <w:shd w:val="clear"/>
        <w:rPr>
          <w:rFonts w:hint="eastAsia" w:ascii="宋体" w:hAnsi="宋体" w:eastAsia="宋体" w:cs="宋体"/>
          <w:b/>
          <w:bCs/>
          <w:color w:val="auto"/>
          <w:highlight w:val="none"/>
        </w:rPr>
      </w:pPr>
    </w:p>
    <w:tbl>
      <w:tblPr>
        <w:tblStyle w:val="53"/>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14:paraId="6D70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14:paraId="0F21102D">
            <w:pPr>
              <w:shd w:val="clear"/>
              <w:autoSpaceDE/>
              <w:autoSpaceDN/>
              <w:adjustRightInd/>
              <w:spacing w:before="120" w:after="12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37" w:type="dxa"/>
            <w:gridSpan w:val="2"/>
            <w:vAlign w:val="center"/>
          </w:tcPr>
          <w:p w14:paraId="1DC91037">
            <w:pPr>
              <w:shd w:val="clear"/>
              <w:autoSpaceDE/>
              <w:autoSpaceDN/>
              <w:adjustRightInd/>
              <w:spacing w:before="120" w:after="120" w:line="360" w:lineRule="auto"/>
              <w:ind w:left="-122"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磋商文件“★”号条款要求</w:t>
            </w:r>
          </w:p>
        </w:tc>
        <w:tc>
          <w:tcPr>
            <w:tcW w:w="4192" w:type="dxa"/>
            <w:gridSpan w:val="2"/>
            <w:vAlign w:val="center"/>
          </w:tcPr>
          <w:p w14:paraId="7FD825A5">
            <w:pPr>
              <w:shd w:val="clear"/>
              <w:autoSpaceDE/>
              <w:autoSpaceDN/>
              <w:adjustRightInd/>
              <w:spacing w:before="120" w:after="120" w:line="360" w:lineRule="auto"/>
              <w:ind w:left="-8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磋商响应文件内容</w:t>
            </w:r>
          </w:p>
        </w:tc>
      </w:tr>
      <w:tr w14:paraId="09ED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14:paraId="300E6E45">
            <w:pPr>
              <w:keepNext/>
              <w:keepLines/>
              <w:shd w:val="clear"/>
              <w:autoSpaceDE/>
              <w:autoSpaceDN/>
              <w:adjustRightInd/>
              <w:spacing w:before="120" w:after="120" w:line="360" w:lineRule="auto"/>
              <w:ind w:left="629"/>
              <w:jc w:val="center"/>
              <w:rPr>
                <w:rFonts w:hint="eastAsia" w:ascii="宋体" w:hAnsi="宋体" w:eastAsia="宋体" w:cs="宋体"/>
                <w:color w:val="auto"/>
                <w:sz w:val="21"/>
                <w:szCs w:val="21"/>
                <w:highlight w:val="none"/>
              </w:rPr>
            </w:pPr>
          </w:p>
        </w:tc>
        <w:tc>
          <w:tcPr>
            <w:tcW w:w="1266" w:type="dxa"/>
            <w:vAlign w:val="center"/>
          </w:tcPr>
          <w:p w14:paraId="226491B2">
            <w:pPr>
              <w:shd w:val="clear"/>
              <w:autoSpaceDE/>
              <w:autoSpaceDN/>
              <w:adjustRightInd/>
              <w:spacing w:before="120" w:after="12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371" w:type="dxa"/>
            <w:vAlign w:val="center"/>
          </w:tcPr>
          <w:p w14:paraId="761EB6B7">
            <w:pPr>
              <w:shd w:val="clear"/>
              <w:autoSpaceDE/>
              <w:autoSpaceDN/>
              <w:adjustRightInd/>
              <w:spacing w:before="120" w:after="12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简要内容</w:t>
            </w:r>
          </w:p>
        </w:tc>
        <w:tc>
          <w:tcPr>
            <w:tcW w:w="2113" w:type="dxa"/>
            <w:vAlign w:val="center"/>
          </w:tcPr>
          <w:p w14:paraId="4D3899FD">
            <w:pPr>
              <w:shd w:val="clear"/>
              <w:autoSpaceDE/>
              <w:autoSpaceDN/>
              <w:adjustRightInd/>
              <w:spacing w:before="120" w:after="12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2079" w:type="dxa"/>
            <w:vAlign w:val="center"/>
          </w:tcPr>
          <w:p w14:paraId="51F0CDA6">
            <w:pPr>
              <w:shd w:val="clear"/>
              <w:autoSpaceDE/>
              <w:autoSpaceDN/>
              <w:adjustRightInd/>
              <w:spacing w:before="120" w:after="12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具体偏离内容</w:t>
            </w:r>
          </w:p>
        </w:tc>
      </w:tr>
      <w:tr w14:paraId="2237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161307A0">
            <w:pPr>
              <w:shd w:val="clear"/>
              <w:autoSpaceDE/>
              <w:autoSpaceDN/>
              <w:adjustRightInd/>
              <w:spacing w:before="120" w:after="120" w:line="360" w:lineRule="auto"/>
              <w:ind w:left="-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6" w:type="dxa"/>
            <w:vAlign w:val="center"/>
          </w:tcPr>
          <w:p w14:paraId="239F3461">
            <w:pPr>
              <w:shd w:val="clear"/>
              <w:spacing w:line="360" w:lineRule="auto"/>
              <w:jc w:val="center"/>
              <w:rPr>
                <w:rFonts w:hint="eastAsia" w:ascii="宋体" w:hAnsi="宋体" w:eastAsia="宋体" w:cs="宋体"/>
                <w:color w:val="auto"/>
                <w:sz w:val="21"/>
                <w:szCs w:val="21"/>
                <w:highlight w:val="none"/>
              </w:rPr>
            </w:pPr>
          </w:p>
          <w:p w14:paraId="5E46F99F">
            <w:pPr>
              <w:shd w:val="clear"/>
              <w:spacing w:line="360" w:lineRule="auto"/>
              <w:jc w:val="center"/>
              <w:rPr>
                <w:rFonts w:hint="eastAsia" w:ascii="宋体" w:hAnsi="宋体" w:eastAsia="宋体" w:cs="宋体"/>
                <w:color w:val="auto"/>
                <w:sz w:val="21"/>
                <w:szCs w:val="21"/>
                <w:highlight w:val="none"/>
              </w:rPr>
            </w:pPr>
          </w:p>
          <w:p w14:paraId="36748675">
            <w:pPr>
              <w:shd w:val="clear"/>
              <w:spacing w:line="360" w:lineRule="auto"/>
              <w:jc w:val="center"/>
              <w:rPr>
                <w:rFonts w:hint="eastAsia" w:ascii="宋体" w:hAnsi="宋体" w:eastAsia="宋体" w:cs="宋体"/>
                <w:color w:val="auto"/>
                <w:sz w:val="21"/>
                <w:szCs w:val="21"/>
                <w:highlight w:val="none"/>
              </w:rPr>
            </w:pPr>
          </w:p>
          <w:p w14:paraId="5C8C9596">
            <w:pPr>
              <w:shd w:val="clear"/>
              <w:spacing w:line="360" w:lineRule="auto"/>
              <w:jc w:val="center"/>
              <w:rPr>
                <w:rFonts w:hint="eastAsia" w:ascii="宋体" w:hAnsi="宋体" w:eastAsia="宋体" w:cs="宋体"/>
                <w:color w:val="auto"/>
                <w:sz w:val="21"/>
                <w:szCs w:val="21"/>
                <w:highlight w:val="none"/>
              </w:rPr>
            </w:pPr>
          </w:p>
          <w:p w14:paraId="4CFA0EFC">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15D6318D">
            <w:pPr>
              <w:shd w:val="clear"/>
              <w:spacing w:line="360" w:lineRule="auto"/>
              <w:jc w:val="center"/>
              <w:rPr>
                <w:rFonts w:hint="eastAsia" w:ascii="宋体" w:hAnsi="宋体" w:eastAsia="宋体" w:cs="宋体"/>
                <w:color w:val="auto"/>
                <w:sz w:val="21"/>
                <w:szCs w:val="21"/>
                <w:highlight w:val="none"/>
              </w:rPr>
            </w:pPr>
          </w:p>
        </w:tc>
        <w:tc>
          <w:tcPr>
            <w:tcW w:w="2113" w:type="dxa"/>
            <w:vAlign w:val="center"/>
          </w:tcPr>
          <w:p w14:paraId="1436EFDF">
            <w:pPr>
              <w:keepNext/>
              <w:keepLines/>
              <w:shd w:val="clear"/>
              <w:autoSpaceDE/>
              <w:autoSpaceDN/>
              <w:adjustRightInd/>
              <w:spacing w:before="120" w:after="120" w:line="360" w:lineRule="auto"/>
              <w:ind w:left="629"/>
              <w:jc w:val="center"/>
              <w:rPr>
                <w:rFonts w:hint="eastAsia" w:ascii="宋体" w:hAnsi="宋体" w:eastAsia="宋体" w:cs="宋体"/>
                <w:color w:val="auto"/>
                <w:sz w:val="21"/>
                <w:szCs w:val="21"/>
                <w:highlight w:val="none"/>
              </w:rPr>
            </w:pPr>
          </w:p>
        </w:tc>
        <w:tc>
          <w:tcPr>
            <w:tcW w:w="2079" w:type="dxa"/>
            <w:vAlign w:val="center"/>
          </w:tcPr>
          <w:p w14:paraId="4B23F50A">
            <w:pPr>
              <w:keepNext/>
              <w:keepLines/>
              <w:shd w:val="clear"/>
              <w:autoSpaceDE/>
              <w:autoSpaceDN/>
              <w:adjustRightInd/>
              <w:spacing w:before="120" w:after="120" w:line="360" w:lineRule="auto"/>
              <w:ind w:left="629"/>
              <w:jc w:val="center"/>
              <w:rPr>
                <w:rFonts w:hint="eastAsia" w:ascii="宋体" w:hAnsi="宋体" w:eastAsia="宋体" w:cs="宋体"/>
                <w:color w:val="auto"/>
                <w:sz w:val="21"/>
                <w:szCs w:val="21"/>
                <w:highlight w:val="none"/>
              </w:rPr>
            </w:pPr>
          </w:p>
        </w:tc>
      </w:tr>
      <w:tr w14:paraId="7701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56382A05">
            <w:pPr>
              <w:shd w:val="clear"/>
              <w:autoSpaceDE/>
              <w:autoSpaceDN/>
              <w:adjustRightInd/>
              <w:spacing w:before="120" w:after="120" w:line="360" w:lineRule="auto"/>
              <w:ind w:left="-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66" w:type="dxa"/>
            <w:vAlign w:val="center"/>
          </w:tcPr>
          <w:p w14:paraId="1B4B151F">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51712B0E">
            <w:pPr>
              <w:shd w:val="clear"/>
              <w:spacing w:line="360" w:lineRule="auto"/>
              <w:jc w:val="center"/>
              <w:rPr>
                <w:rFonts w:hint="eastAsia" w:ascii="宋体" w:hAnsi="宋体" w:eastAsia="宋体" w:cs="宋体"/>
                <w:color w:val="auto"/>
                <w:sz w:val="21"/>
                <w:szCs w:val="21"/>
                <w:highlight w:val="none"/>
              </w:rPr>
            </w:pPr>
          </w:p>
        </w:tc>
        <w:tc>
          <w:tcPr>
            <w:tcW w:w="2113" w:type="dxa"/>
          </w:tcPr>
          <w:p w14:paraId="51140294">
            <w:pPr>
              <w:keepNext/>
              <w:keepLines/>
              <w:shd w:val="clear"/>
              <w:autoSpaceDE/>
              <w:autoSpaceDN/>
              <w:adjustRightInd/>
              <w:spacing w:before="120" w:after="120" w:line="360" w:lineRule="auto"/>
              <w:ind w:left="629"/>
              <w:jc w:val="both"/>
              <w:rPr>
                <w:rFonts w:hint="eastAsia" w:ascii="宋体" w:hAnsi="宋体" w:eastAsia="宋体" w:cs="宋体"/>
                <w:color w:val="auto"/>
                <w:sz w:val="21"/>
                <w:szCs w:val="21"/>
                <w:highlight w:val="none"/>
              </w:rPr>
            </w:pPr>
          </w:p>
        </w:tc>
        <w:tc>
          <w:tcPr>
            <w:tcW w:w="2079" w:type="dxa"/>
            <w:vAlign w:val="center"/>
          </w:tcPr>
          <w:p w14:paraId="4E7FBE34">
            <w:pPr>
              <w:keepNext/>
              <w:keepLines/>
              <w:shd w:val="clear"/>
              <w:autoSpaceDE/>
              <w:autoSpaceDN/>
              <w:adjustRightInd/>
              <w:spacing w:before="120" w:after="120" w:line="360" w:lineRule="auto"/>
              <w:ind w:left="629"/>
              <w:jc w:val="both"/>
              <w:rPr>
                <w:rFonts w:hint="eastAsia" w:ascii="宋体" w:hAnsi="宋体" w:eastAsia="宋体" w:cs="宋体"/>
                <w:color w:val="auto"/>
                <w:sz w:val="21"/>
                <w:szCs w:val="21"/>
                <w:highlight w:val="none"/>
              </w:rPr>
            </w:pPr>
          </w:p>
        </w:tc>
      </w:tr>
      <w:tr w14:paraId="52BB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3C3352C7">
            <w:pPr>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266" w:type="dxa"/>
            <w:vAlign w:val="center"/>
          </w:tcPr>
          <w:p w14:paraId="283A57D5">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48280CBF">
            <w:pPr>
              <w:shd w:val="clear"/>
              <w:spacing w:line="360" w:lineRule="auto"/>
              <w:jc w:val="center"/>
              <w:rPr>
                <w:rFonts w:hint="eastAsia" w:ascii="宋体" w:hAnsi="宋体" w:eastAsia="宋体" w:cs="宋体"/>
                <w:color w:val="auto"/>
                <w:sz w:val="21"/>
                <w:szCs w:val="21"/>
                <w:highlight w:val="none"/>
              </w:rPr>
            </w:pPr>
          </w:p>
        </w:tc>
        <w:tc>
          <w:tcPr>
            <w:tcW w:w="2113" w:type="dxa"/>
          </w:tcPr>
          <w:p w14:paraId="72ED8E1A">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2079" w:type="dxa"/>
            <w:vAlign w:val="center"/>
          </w:tcPr>
          <w:p w14:paraId="1FFA7521">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r>
      <w:tr w14:paraId="281E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529EC898">
            <w:pPr>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266" w:type="dxa"/>
            <w:vAlign w:val="center"/>
          </w:tcPr>
          <w:p w14:paraId="66A03A91">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6B5AC9B5">
            <w:pPr>
              <w:shd w:val="clear"/>
              <w:spacing w:line="360" w:lineRule="auto"/>
              <w:jc w:val="center"/>
              <w:rPr>
                <w:rFonts w:hint="eastAsia" w:ascii="宋体" w:hAnsi="宋体" w:eastAsia="宋体" w:cs="宋体"/>
                <w:color w:val="auto"/>
                <w:sz w:val="21"/>
                <w:szCs w:val="21"/>
                <w:highlight w:val="none"/>
              </w:rPr>
            </w:pPr>
          </w:p>
        </w:tc>
        <w:tc>
          <w:tcPr>
            <w:tcW w:w="2113" w:type="dxa"/>
          </w:tcPr>
          <w:p w14:paraId="21C3F7DC">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2079" w:type="dxa"/>
            <w:vAlign w:val="center"/>
          </w:tcPr>
          <w:p w14:paraId="67CBAA11">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r>
      <w:tr w14:paraId="0D43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259E2838">
            <w:pPr>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1266" w:type="dxa"/>
            <w:vAlign w:val="center"/>
          </w:tcPr>
          <w:p w14:paraId="275BAD7C">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37EEF7F6">
            <w:pPr>
              <w:shd w:val="clear"/>
              <w:spacing w:line="360" w:lineRule="auto"/>
              <w:jc w:val="center"/>
              <w:rPr>
                <w:rFonts w:hint="eastAsia" w:ascii="宋体" w:hAnsi="宋体" w:eastAsia="宋体" w:cs="宋体"/>
                <w:color w:val="auto"/>
                <w:sz w:val="21"/>
                <w:szCs w:val="21"/>
                <w:highlight w:val="none"/>
              </w:rPr>
            </w:pPr>
          </w:p>
        </w:tc>
        <w:tc>
          <w:tcPr>
            <w:tcW w:w="2113" w:type="dxa"/>
          </w:tcPr>
          <w:p w14:paraId="162AC4F0">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2079" w:type="dxa"/>
            <w:vAlign w:val="center"/>
          </w:tcPr>
          <w:p w14:paraId="7391913A">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r>
      <w:tr w14:paraId="3F62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34B00816">
            <w:pPr>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1266" w:type="dxa"/>
            <w:vAlign w:val="center"/>
          </w:tcPr>
          <w:p w14:paraId="66D08D91">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2A2CFC43">
            <w:pPr>
              <w:shd w:val="clear"/>
              <w:spacing w:line="360" w:lineRule="auto"/>
              <w:jc w:val="center"/>
              <w:rPr>
                <w:rFonts w:hint="eastAsia" w:ascii="宋体" w:hAnsi="宋体" w:eastAsia="宋体" w:cs="宋体"/>
                <w:color w:val="auto"/>
                <w:sz w:val="21"/>
                <w:szCs w:val="21"/>
                <w:highlight w:val="none"/>
              </w:rPr>
            </w:pPr>
          </w:p>
        </w:tc>
        <w:tc>
          <w:tcPr>
            <w:tcW w:w="2113" w:type="dxa"/>
          </w:tcPr>
          <w:p w14:paraId="49362A2C">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2079" w:type="dxa"/>
            <w:vAlign w:val="center"/>
          </w:tcPr>
          <w:p w14:paraId="57828AB3">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r>
      <w:tr w14:paraId="20F4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300EA715">
            <w:pPr>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1266" w:type="dxa"/>
            <w:vAlign w:val="center"/>
          </w:tcPr>
          <w:p w14:paraId="6AF50F01">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3534878E">
            <w:pPr>
              <w:shd w:val="clear"/>
              <w:spacing w:line="360" w:lineRule="auto"/>
              <w:jc w:val="center"/>
              <w:rPr>
                <w:rFonts w:hint="eastAsia" w:ascii="宋体" w:hAnsi="宋体" w:eastAsia="宋体" w:cs="宋体"/>
                <w:color w:val="auto"/>
                <w:sz w:val="21"/>
                <w:szCs w:val="21"/>
                <w:highlight w:val="none"/>
              </w:rPr>
            </w:pPr>
          </w:p>
        </w:tc>
        <w:tc>
          <w:tcPr>
            <w:tcW w:w="2113" w:type="dxa"/>
          </w:tcPr>
          <w:p w14:paraId="114E4E3E">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2079" w:type="dxa"/>
          </w:tcPr>
          <w:p w14:paraId="38D4A00C">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r>
      <w:tr w14:paraId="3277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07D449A9">
            <w:pPr>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1266" w:type="dxa"/>
            <w:vAlign w:val="center"/>
          </w:tcPr>
          <w:p w14:paraId="3747870B">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422027E9">
            <w:pPr>
              <w:shd w:val="clear"/>
              <w:spacing w:line="360" w:lineRule="auto"/>
              <w:jc w:val="center"/>
              <w:rPr>
                <w:rFonts w:hint="eastAsia" w:ascii="宋体" w:hAnsi="宋体" w:eastAsia="宋体" w:cs="宋体"/>
                <w:color w:val="auto"/>
                <w:sz w:val="21"/>
                <w:szCs w:val="21"/>
                <w:highlight w:val="none"/>
              </w:rPr>
            </w:pPr>
          </w:p>
        </w:tc>
        <w:tc>
          <w:tcPr>
            <w:tcW w:w="2113" w:type="dxa"/>
          </w:tcPr>
          <w:p w14:paraId="4B31DCC8">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2079" w:type="dxa"/>
          </w:tcPr>
          <w:p w14:paraId="500DE4AD">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r>
      <w:tr w14:paraId="6A1F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696D9F87">
            <w:pPr>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1266" w:type="dxa"/>
            <w:vAlign w:val="center"/>
          </w:tcPr>
          <w:p w14:paraId="25469C8C">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15BF092C">
            <w:pPr>
              <w:shd w:val="clear"/>
              <w:spacing w:line="360" w:lineRule="auto"/>
              <w:jc w:val="center"/>
              <w:rPr>
                <w:rFonts w:hint="eastAsia" w:ascii="宋体" w:hAnsi="宋体" w:eastAsia="宋体" w:cs="宋体"/>
                <w:color w:val="auto"/>
                <w:sz w:val="21"/>
                <w:szCs w:val="21"/>
                <w:highlight w:val="none"/>
              </w:rPr>
            </w:pPr>
          </w:p>
        </w:tc>
        <w:tc>
          <w:tcPr>
            <w:tcW w:w="2113" w:type="dxa"/>
          </w:tcPr>
          <w:p w14:paraId="736C8F6A">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2079" w:type="dxa"/>
          </w:tcPr>
          <w:p w14:paraId="7F80E67B">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r>
      <w:tr w14:paraId="0CA7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75B2B42F">
            <w:pPr>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1266" w:type="dxa"/>
            <w:vAlign w:val="center"/>
          </w:tcPr>
          <w:p w14:paraId="22CE5B8B">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39DDD910">
            <w:pPr>
              <w:shd w:val="clear"/>
              <w:spacing w:line="360" w:lineRule="auto"/>
              <w:jc w:val="center"/>
              <w:rPr>
                <w:rFonts w:hint="eastAsia" w:ascii="宋体" w:hAnsi="宋体" w:eastAsia="宋体" w:cs="宋体"/>
                <w:color w:val="auto"/>
                <w:sz w:val="21"/>
                <w:szCs w:val="21"/>
                <w:highlight w:val="none"/>
              </w:rPr>
            </w:pPr>
          </w:p>
        </w:tc>
        <w:tc>
          <w:tcPr>
            <w:tcW w:w="2113" w:type="dxa"/>
          </w:tcPr>
          <w:p w14:paraId="6E7EC530">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2079" w:type="dxa"/>
          </w:tcPr>
          <w:p w14:paraId="796983F5">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r>
      <w:tr w14:paraId="46DB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4376D7CA">
            <w:pPr>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1266" w:type="dxa"/>
            <w:vAlign w:val="center"/>
          </w:tcPr>
          <w:p w14:paraId="79295DC9">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6E36E31D">
            <w:pPr>
              <w:shd w:val="clear"/>
              <w:spacing w:line="360" w:lineRule="auto"/>
              <w:jc w:val="center"/>
              <w:rPr>
                <w:rFonts w:hint="eastAsia" w:ascii="宋体" w:hAnsi="宋体" w:eastAsia="宋体" w:cs="宋体"/>
                <w:color w:val="auto"/>
                <w:sz w:val="21"/>
                <w:szCs w:val="21"/>
                <w:highlight w:val="none"/>
              </w:rPr>
            </w:pPr>
          </w:p>
        </w:tc>
        <w:tc>
          <w:tcPr>
            <w:tcW w:w="2113" w:type="dxa"/>
          </w:tcPr>
          <w:p w14:paraId="50B1EFEB">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2079" w:type="dxa"/>
          </w:tcPr>
          <w:p w14:paraId="438BB101">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r>
      <w:tr w14:paraId="6D72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296637CE">
            <w:pPr>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1266" w:type="dxa"/>
            <w:vAlign w:val="center"/>
          </w:tcPr>
          <w:p w14:paraId="41966D55">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70B416D7">
            <w:pPr>
              <w:shd w:val="clear"/>
              <w:spacing w:line="360" w:lineRule="auto"/>
              <w:jc w:val="center"/>
              <w:rPr>
                <w:rFonts w:hint="eastAsia" w:ascii="宋体" w:hAnsi="宋体" w:eastAsia="宋体" w:cs="宋体"/>
                <w:color w:val="auto"/>
                <w:sz w:val="21"/>
                <w:szCs w:val="21"/>
                <w:highlight w:val="none"/>
              </w:rPr>
            </w:pPr>
          </w:p>
        </w:tc>
        <w:tc>
          <w:tcPr>
            <w:tcW w:w="2113" w:type="dxa"/>
          </w:tcPr>
          <w:p w14:paraId="1043796D">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2079" w:type="dxa"/>
          </w:tcPr>
          <w:p w14:paraId="507DFA97">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r>
      <w:tr w14:paraId="35BB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21460F95">
            <w:pPr>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1266" w:type="dxa"/>
            <w:vAlign w:val="center"/>
          </w:tcPr>
          <w:p w14:paraId="52D1C893">
            <w:pPr>
              <w:shd w:val="clear"/>
              <w:spacing w:line="360" w:lineRule="auto"/>
              <w:jc w:val="center"/>
              <w:rPr>
                <w:rFonts w:hint="eastAsia" w:ascii="宋体" w:hAnsi="宋体" w:eastAsia="宋体" w:cs="宋体"/>
                <w:color w:val="auto"/>
                <w:sz w:val="21"/>
                <w:szCs w:val="21"/>
                <w:highlight w:val="none"/>
              </w:rPr>
            </w:pPr>
          </w:p>
        </w:tc>
        <w:tc>
          <w:tcPr>
            <w:tcW w:w="3371" w:type="dxa"/>
            <w:vAlign w:val="center"/>
          </w:tcPr>
          <w:p w14:paraId="77ECB85A">
            <w:pPr>
              <w:shd w:val="clear"/>
              <w:spacing w:line="360" w:lineRule="auto"/>
              <w:jc w:val="center"/>
              <w:rPr>
                <w:rFonts w:hint="eastAsia" w:ascii="宋体" w:hAnsi="宋体" w:eastAsia="宋体" w:cs="宋体"/>
                <w:color w:val="auto"/>
                <w:sz w:val="21"/>
                <w:szCs w:val="21"/>
                <w:highlight w:val="none"/>
              </w:rPr>
            </w:pPr>
          </w:p>
        </w:tc>
        <w:tc>
          <w:tcPr>
            <w:tcW w:w="2113" w:type="dxa"/>
          </w:tcPr>
          <w:p w14:paraId="1FA3096C">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c>
          <w:tcPr>
            <w:tcW w:w="2079" w:type="dxa"/>
          </w:tcPr>
          <w:p w14:paraId="50714210">
            <w:pPr>
              <w:keepNext/>
              <w:keepLines/>
              <w:shd w:val="clear"/>
              <w:autoSpaceDE/>
              <w:autoSpaceDN/>
              <w:adjustRightInd/>
              <w:spacing w:before="120" w:after="120" w:line="360" w:lineRule="auto"/>
              <w:ind w:left="-122" w:leftChars="-51"/>
              <w:jc w:val="center"/>
              <w:rPr>
                <w:rFonts w:hint="eastAsia" w:ascii="宋体" w:hAnsi="宋体" w:eastAsia="宋体" w:cs="宋体"/>
                <w:color w:val="auto"/>
                <w:kern w:val="2"/>
                <w:sz w:val="21"/>
                <w:szCs w:val="21"/>
                <w:highlight w:val="none"/>
              </w:rPr>
            </w:pPr>
          </w:p>
        </w:tc>
      </w:tr>
    </w:tbl>
    <w:p w14:paraId="27CA4566">
      <w:pPr>
        <w:shd w:val="clear"/>
        <w:autoSpaceDE/>
        <w:autoSpaceDN/>
        <w:adjustRightInd/>
        <w:spacing w:line="360" w:lineRule="auto"/>
        <w:ind w:left="565" w:leftChars="-59" w:hanging="707" w:hangingChars="337"/>
        <w:jc w:val="both"/>
        <w:rPr>
          <w:rFonts w:hint="eastAsia" w:ascii="宋体" w:hAnsi="宋体" w:eastAsia="宋体" w:cs="宋体"/>
          <w:b/>
          <w:color w:val="auto"/>
          <w:kern w:val="2"/>
          <w:sz w:val="21"/>
          <w:szCs w:val="21"/>
          <w:highlight w:val="none"/>
        </w:rPr>
      </w:pPr>
      <w:r>
        <w:rPr>
          <w:rFonts w:hint="eastAsia" w:ascii="宋体" w:hAnsi="宋体" w:eastAsia="宋体" w:cs="宋体"/>
          <w:color w:val="auto"/>
          <w:kern w:val="2"/>
          <w:sz w:val="21"/>
          <w:szCs w:val="21"/>
          <w:highlight w:val="none"/>
        </w:rPr>
        <w:t>注：1、</w:t>
      </w:r>
      <w:r>
        <w:rPr>
          <w:rFonts w:hint="eastAsia" w:ascii="宋体" w:hAnsi="宋体" w:eastAsia="宋体" w:cs="宋体"/>
          <w:b/>
          <w:color w:val="auto"/>
          <w:kern w:val="2"/>
          <w:sz w:val="21"/>
          <w:szCs w:val="21"/>
          <w:highlight w:val="none"/>
        </w:rPr>
        <w:t>供应商应按照磋商文件用户需求要求，逐条、如实地填写“偏离情况”项</w:t>
      </w:r>
      <w:r>
        <w:rPr>
          <w:rFonts w:hint="eastAsia" w:ascii="宋体" w:hAnsi="宋体" w:eastAsia="宋体" w:cs="宋体"/>
          <w:color w:val="auto"/>
          <w:kern w:val="2"/>
          <w:sz w:val="21"/>
          <w:szCs w:val="21"/>
          <w:highlight w:val="none"/>
        </w:rPr>
        <w:t>。</w:t>
      </w:r>
      <w:r>
        <w:rPr>
          <w:rFonts w:hint="eastAsia" w:ascii="宋体" w:hAnsi="宋体" w:eastAsia="宋体" w:cs="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14:paraId="256800FA">
      <w:pPr>
        <w:shd w:val="clear"/>
        <w:autoSpaceDE/>
        <w:autoSpaceDN/>
        <w:adjustRightInd/>
        <w:spacing w:line="360" w:lineRule="auto"/>
        <w:ind w:left="561" w:leftChars="115" w:hanging="285" w:hangingChars="135"/>
        <w:jc w:val="both"/>
        <w:rPr>
          <w:rFonts w:hint="eastAsia" w:ascii="宋体" w:hAnsi="宋体" w:eastAsia="宋体" w:cs="宋体"/>
          <w:i/>
          <w:iCs/>
          <w:color w:val="auto"/>
          <w:sz w:val="21"/>
          <w:szCs w:val="21"/>
          <w:highlight w:val="none"/>
        </w:rPr>
      </w:pPr>
      <w:r>
        <w:rPr>
          <w:rFonts w:hint="eastAsia" w:ascii="宋体" w:hAnsi="宋体" w:eastAsia="宋体" w:cs="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14:paraId="5D5E1B02">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供应商名称（加盖公章）：</w:t>
      </w:r>
    </w:p>
    <w:p w14:paraId="0F12955F">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供应商法定代表人或受委托人（签名或盖私章）：</w:t>
      </w:r>
    </w:p>
    <w:p w14:paraId="06DE9D96">
      <w:pPr>
        <w:shd w:val="clea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rPr>
        <w:t>日期：年月日</w:t>
      </w:r>
    </w:p>
    <w:p w14:paraId="6E0BBCFA">
      <w:pPr>
        <w:rPr>
          <w:rFonts w:hint="eastAsia" w:ascii="宋体" w:hAnsi="宋体" w:eastAsia="宋体" w:cs="宋体"/>
          <w:color w:val="auto"/>
          <w:sz w:val="28"/>
          <w:szCs w:val="28"/>
          <w:highlight w:val="none"/>
        </w:rPr>
      </w:pPr>
      <w:bookmarkStart w:id="253" w:name="_Toc1441"/>
      <w:bookmarkStart w:id="254" w:name="_Toc12735"/>
      <w:r>
        <w:rPr>
          <w:rFonts w:hint="eastAsia" w:ascii="宋体" w:hAnsi="宋体" w:eastAsia="宋体" w:cs="宋体"/>
          <w:bCs/>
          <w:color w:val="auto"/>
          <w:sz w:val="28"/>
          <w:szCs w:val="28"/>
          <w:highlight w:val="none"/>
        </w:rPr>
        <w:br w:type="page"/>
      </w:r>
    </w:p>
    <w:p w14:paraId="082B28B8">
      <w:pPr>
        <w:pStyle w:val="4"/>
        <w:numPr>
          <w:ilvl w:val="0"/>
          <w:numId w:val="0"/>
        </w:numPr>
        <w:shd w:val="clear"/>
        <w:ind w:left="0" w:leftChars="0" w:firstLine="420" w:firstLineChars="0"/>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lang w:val="en-US" w:eastAsia="zh-CN" w:bidi="ar-SA"/>
        </w:rPr>
        <w:t>七、</w:t>
      </w:r>
      <w:r>
        <w:rPr>
          <w:rFonts w:hint="eastAsia" w:ascii="宋体" w:hAnsi="宋体" w:eastAsia="宋体" w:cs="宋体"/>
          <w:bCs/>
          <w:color w:val="auto"/>
          <w:sz w:val="28"/>
          <w:szCs w:val="28"/>
          <w:highlight w:val="none"/>
        </w:rPr>
        <w:t>供应商所获资质或奖项证书一览表</w:t>
      </w:r>
      <w:bookmarkEnd w:id="251"/>
      <w:bookmarkEnd w:id="252"/>
      <w:bookmarkEnd w:id="253"/>
      <w:bookmarkEnd w:id="254"/>
    </w:p>
    <w:p w14:paraId="7B3ADE3B">
      <w:pPr>
        <w:pStyle w:val="13"/>
        <w:shd w:val="clear"/>
        <w:tabs>
          <w:tab w:val="left" w:pos="8280"/>
        </w:tabs>
        <w:spacing w:line="480" w:lineRule="exact"/>
        <w:ind w:firstLine="482"/>
        <w:rPr>
          <w:rFonts w:hint="eastAsia" w:ascii="宋体" w:hAnsi="宋体" w:eastAsia="宋体" w:cs="宋体"/>
          <w:b/>
          <w:color w:val="auto"/>
          <w:sz w:val="24"/>
          <w:szCs w:val="21"/>
          <w:highlight w:val="none"/>
        </w:rPr>
      </w:pPr>
    </w:p>
    <w:tbl>
      <w:tblPr>
        <w:tblStyle w:val="53"/>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14:paraId="4D2B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FEDA0FD">
            <w:pPr>
              <w:pStyle w:val="13"/>
              <w:shd w:val="clear"/>
              <w:ind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218" w:type="dxa"/>
            <w:vAlign w:val="center"/>
          </w:tcPr>
          <w:p w14:paraId="71DBDA57">
            <w:pPr>
              <w:pStyle w:val="13"/>
              <w:shd w:val="clear"/>
              <w:ind w:firstLine="42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证书名称及等级</w:t>
            </w:r>
          </w:p>
        </w:tc>
        <w:tc>
          <w:tcPr>
            <w:tcW w:w="2218" w:type="dxa"/>
            <w:vAlign w:val="center"/>
          </w:tcPr>
          <w:p w14:paraId="0FDF971A">
            <w:pPr>
              <w:pStyle w:val="13"/>
              <w:shd w:val="clear"/>
              <w:ind w:firstLine="42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证书编号</w:t>
            </w:r>
          </w:p>
        </w:tc>
        <w:tc>
          <w:tcPr>
            <w:tcW w:w="1862" w:type="dxa"/>
            <w:vAlign w:val="center"/>
          </w:tcPr>
          <w:p w14:paraId="25F61017">
            <w:pPr>
              <w:pStyle w:val="13"/>
              <w:shd w:val="clear"/>
              <w:ind w:firstLine="42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发证单位</w:t>
            </w:r>
          </w:p>
        </w:tc>
        <w:tc>
          <w:tcPr>
            <w:tcW w:w="1529" w:type="dxa"/>
            <w:vAlign w:val="center"/>
          </w:tcPr>
          <w:p w14:paraId="50D20199">
            <w:pPr>
              <w:pStyle w:val="13"/>
              <w:shd w:val="clear"/>
              <w:ind w:firstLine="42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r>
      <w:tr w14:paraId="535B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D36F3C7">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146B64FF">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21666DED">
            <w:pPr>
              <w:pStyle w:val="13"/>
              <w:shd w:val="clear"/>
              <w:ind w:firstLine="422"/>
              <w:jc w:val="center"/>
              <w:rPr>
                <w:rFonts w:hint="eastAsia" w:ascii="宋体" w:hAnsi="宋体" w:eastAsia="宋体" w:cs="宋体"/>
                <w:b/>
                <w:bCs/>
                <w:color w:val="auto"/>
                <w:sz w:val="21"/>
                <w:szCs w:val="21"/>
                <w:highlight w:val="none"/>
              </w:rPr>
            </w:pPr>
          </w:p>
        </w:tc>
        <w:tc>
          <w:tcPr>
            <w:tcW w:w="1862" w:type="dxa"/>
            <w:vAlign w:val="center"/>
          </w:tcPr>
          <w:p w14:paraId="045A8B03">
            <w:pPr>
              <w:pStyle w:val="13"/>
              <w:shd w:val="clear"/>
              <w:ind w:firstLine="422"/>
              <w:jc w:val="center"/>
              <w:rPr>
                <w:rFonts w:hint="eastAsia" w:ascii="宋体" w:hAnsi="宋体" w:eastAsia="宋体" w:cs="宋体"/>
                <w:b/>
                <w:bCs/>
                <w:color w:val="auto"/>
                <w:sz w:val="21"/>
                <w:szCs w:val="21"/>
                <w:highlight w:val="none"/>
              </w:rPr>
            </w:pPr>
          </w:p>
        </w:tc>
        <w:tc>
          <w:tcPr>
            <w:tcW w:w="1529" w:type="dxa"/>
            <w:vAlign w:val="center"/>
          </w:tcPr>
          <w:p w14:paraId="6037E1B4">
            <w:pPr>
              <w:pStyle w:val="13"/>
              <w:shd w:val="clear"/>
              <w:ind w:firstLine="422"/>
              <w:jc w:val="center"/>
              <w:rPr>
                <w:rFonts w:hint="eastAsia" w:ascii="宋体" w:hAnsi="宋体" w:eastAsia="宋体" w:cs="宋体"/>
                <w:b/>
                <w:bCs/>
                <w:color w:val="auto"/>
                <w:sz w:val="21"/>
                <w:szCs w:val="21"/>
                <w:highlight w:val="none"/>
              </w:rPr>
            </w:pPr>
          </w:p>
        </w:tc>
      </w:tr>
      <w:tr w14:paraId="3C1C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63EACA5">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703F1105">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645DD75D">
            <w:pPr>
              <w:pStyle w:val="13"/>
              <w:shd w:val="clear"/>
              <w:ind w:firstLine="422"/>
              <w:jc w:val="center"/>
              <w:rPr>
                <w:rFonts w:hint="eastAsia" w:ascii="宋体" w:hAnsi="宋体" w:eastAsia="宋体" w:cs="宋体"/>
                <w:b/>
                <w:bCs/>
                <w:color w:val="auto"/>
                <w:sz w:val="21"/>
                <w:szCs w:val="21"/>
                <w:highlight w:val="none"/>
              </w:rPr>
            </w:pPr>
          </w:p>
        </w:tc>
        <w:tc>
          <w:tcPr>
            <w:tcW w:w="1862" w:type="dxa"/>
            <w:vAlign w:val="center"/>
          </w:tcPr>
          <w:p w14:paraId="6178612C">
            <w:pPr>
              <w:pStyle w:val="13"/>
              <w:shd w:val="clear"/>
              <w:ind w:firstLine="422"/>
              <w:jc w:val="center"/>
              <w:rPr>
                <w:rFonts w:hint="eastAsia" w:ascii="宋体" w:hAnsi="宋体" w:eastAsia="宋体" w:cs="宋体"/>
                <w:b/>
                <w:bCs/>
                <w:color w:val="auto"/>
                <w:sz w:val="21"/>
                <w:szCs w:val="21"/>
                <w:highlight w:val="none"/>
              </w:rPr>
            </w:pPr>
          </w:p>
        </w:tc>
        <w:tc>
          <w:tcPr>
            <w:tcW w:w="1529" w:type="dxa"/>
            <w:vAlign w:val="center"/>
          </w:tcPr>
          <w:p w14:paraId="323B1F3C">
            <w:pPr>
              <w:pStyle w:val="13"/>
              <w:shd w:val="clear"/>
              <w:ind w:firstLine="422"/>
              <w:jc w:val="center"/>
              <w:rPr>
                <w:rFonts w:hint="eastAsia" w:ascii="宋体" w:hAnsi="宋体" w:eastAsia="宋体" w:cs="宋体"/>
                <w:b/>
                <w:bCs/>
                <w:color w:val="auto"/>
                <w:sz w:val="21"/>
                <w:szCs w:val="21"/>
                <w:highlight w:val="none"/>
              </w:rPr>
            </w:pPr>
          </w:p>
        </w:tc>
      </w:tr>
      <w:tr w14:paraId="1505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80D5A49">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7271DED8">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24FADCE9">
            <w:pPr>
              <w:pStyle w:val="13"/>
              <w:shd w:val="clear"/>
              <w:ind w:firstLine="422"/>
              <w:jc w:val="center"/>
              <w:rPr>
                <w:rFonts w:hint="eastAsia" w:ascii="宋体" w:hAnsi="宋体" w:eastAsia="宋体" w:cs="宋体"/>
                <w:b/>
                <w:bCs/>
                <w:color w:val="auto"/>
                <w:sz w:val="21"/>
                <w:szCs w:val="21"/>
                <w:highlight w:val="none"/>
              </w:rPr>
            </w:pPr>
          </w:p>
        </w:tc>
        <w:tc>
          <w:tcPr>
            <w:tcW w:w="1862" w:type="dxa"/>
            <w:vAlign w:val="center"/>
          </w:tcPr>
          <w:p w14:paraId="60E66458">
            <w:pPr>
              <w:pStyle w:val="13"/>
              <w:shd w:val="clear"/>
              <w:ind w:firstLine="422"/>
              <w:jc w:val="center"/>
              <w:rPr>
                <w:rFonts w:hint="eastAsia" w:ascii="宋体" w:hAnsi="宋体" w:eastAsia="宋体" w:cs="宋体"/>
                <w:b/>
                <w:bCs/>
                <w:color w:val="auto"/>
                <w:sz w:val="21"/>
                <w:szCs w:val="21"/>
                <w:highlight w:val="none"/>
              </w:rPr>
            </w:pPr>
          </w:p>
        </w:tc>
        <w:tc>
          <w:tcPr>
            <w:tcW w:w="1529" w:type="dxa"/>
            <w:vAlign w:val="center"/>
          </w:tcPr>
          <w:p w14:paraId="6A7D92C1">
            <w:pPr>
              <w:pStyle w:val="13"/>
              <w:shd w:val="clear"/>
              <w:ind w:firstLine="422"/>
              <w:jc w:val="center"/>
              <w:rPr>
                <w:rFonts w:hint="eastAsia" w:ascii="宋体" w:hAnsi="宋体" w:eastAsia="宋体" w:cs="宋体"/>
                <w:b/>
                <w:bCs/>
                <w:color w:val="auto"/>
                <w:sz w:val="21"/>
                <w:szCs w:val="21"/>
                <w:highlight w:val="none"/>
              </w:rPr>
            </w:pPr>
          </w:p>
        </w:tc>
      </w:tr>
      <w:tr w14:paraId="1CD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A79447C">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0DAAD881">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39ABCB7C">
            <w:pPr>
              <w:pStyle w:val="13"/>
              <w:shd w:val="clear"/>
              <w:ind w:firstLine="422"/>
              <w:jc w:val="center"/>
              <w:rPr>
                <w:rFonts w:hint="eastAsia" w:ascii="宋体" w:hAnsi="宋体" w:eastAsia="宋体" w:cs="宋体"/>
                <w:b/>
                <w:bCs/>
                <w:color w:val="auto"/>
                <w:sz w:val="21"/>
                <w:szCs w:val="21"/>
                <w:highlight w:val="none"/>
              </w:rPr>
            </w:pPr>
          </w:p>
        </w:tc>
        <w:tc>
          <w:tcPr>
            <w:tcW w:w="1862" w:type="dxa"/>
            <w:vAlign w:val="center"/>
          </w:tcPr>
          <w:p w14:paraId="678CE16F">
            <w:pPr>
              <w:pStyle w:val="13"/>
              <w:shd w:val="clear"/>
              <w:ind w:firstLine="422"/>
              <w:jc w:val="center"/>
              <w:rPr>
                <w:rFonts w:hint="eastAsia" w:ascii="宋体" w:hAnsi="宋体" w:eastAsia="宋体" w:cs="宋体"/>
                <w:b/>
                <w:bCs/>
                <w:color w:val="auto"/>
                <w:sz w:val="21"/>
                <w:szCs w:val="21"/>
                <w:highlight w:val="none"/>
              </w:rPr>
            </w:pPr>
          </w:p>
        </w:tc>
        <w:tc>
          <w:tcPr>
            <w:tcW w:w="1529" w:type="dxa"/>
            <w:vAlign w:val="center"/>
          </w:tcPr>
          <w:p w14:paraId="579D48D1">
            <w:pPr>
              <w:pStyle w:val="13"/>
              <w:shd w:val="clear"/>
              <w:ind w:firstLine="422"/>
              <w:jc w:val="center"/>
              <w:rPr>
                <w:rFonts w:hint="eastAsia" w:ascii="宋体" w:hAnsi="宋体" w:eastAsia="宋体" w:cs="宋体"/>
                <w:b/>
                <w:bCs/>
                <w:color w:val="auto"/>
                <w:sz w:val="21"/>
                <w:szCs w:val="21"/>
                <w:highlight w:val="none"/>
              </w:rPr>
            </w:pPr>
          </w:p>
        </w:tc>
      </w:tr>
      <w:tr w14:paraId="3D57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56DB290F">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06E725CF">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7A14A52B">
            <w:pPr>
              <w:pStyle w:val="13"/>
              <w:shd w:val="clear"/>
              <w:ind w:firstLine="422"/>
              <w:jc w:val="center"/>
              <w:rPr>
                <w:rFonts w:hint="eastAsia" w:ascii="宋体" w:hAnsi="宋体" w:eastAsia="宋体" w:cs="宋体"/>
                <w:b/>
                <w:bCs/>
                <w:color w:val="auto"/>
                <w:sz w:val="21"/>
                <w:szCs w:val="21"/>
                <w:highlight w:val="none"/>
              </w:rPr>
            </w:pPr>
          </w:p>
        </w:tc>
        <w:tc>
          <w:tcPr>
            <w:tcW w:w="1862" w:type="dxa"/>
            <w:vAlign w:val="center"/>
          </w:tcPr>
          <w:p w14:paraId="45E8EDF7">
            <w:pPr>
              <w:pStyle w:val="13"/>
              <w:shd w:val="clear"/>
              <w:ind w:firstLine="422"/>
              <w:jc w:val="center"/>
              <w:rPr>
                <w:rFonts w:hint="eastAsia" w:ascii="宋体" w:hAnsi="宋体" w:eastAsia="宋体" w:cs="宋体"/>
                <w:b/>
                <w:bCs/>
                <w:color w:val="auto"/>
                <w:sz w:val="21"/>
                <w:szCs w:val="21"/>
                <w:highlight w:val="none"/>
              </w:rPr>
            </w:pPr>
          </w:p>
        </w:tc>
        <w:tc>
          <w:tcPr>
            <w:tcW w:w="1529" w:type="dxa"/>
            <w:vAlign w:val="center"/>
          </w:tcPr>
          <w:p w14:paraId="72F3737C">
            <w:pPr>
              <w:pStyle w:val="13"/>
              <w:shd w:val="clear"/>
              <w:ind w:firstLine="422"/>
              <w:jc w:val="center"/>
              <w:rPr>
                <w:rFonts w:hint="eastAsia" w:ascii="宋体" w:hAnsi="宋体" w:eastAsia="宋体" w:cs="宋体"/>
                <w:b/>
                <w:bCs/>
                <w:color w:val="auto"/>
                <w:sz w:val="21"/>
                <w:szCs w:val="21"/>
                <w:highlight w:val="none"/>
              </w:rPr>
            </w:pPr>
          </w:p>
        </w:tc>
      </w:tr>
      <w:tr w14:paraId="51FB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AEE6CAD">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3A16A5CC">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6AB04631">
            <w:pPr>
              <w:pStyle w:val="13"/>
              <w:shd w:val="clear"/>
              <w:ind w:firstLine="422"/>
              <w:jc w:val="center"/>
              <w:rPr>
                <w:rFonts w:hint="eastAsia" w:ascii="宋体" w:hAnsi="宋体" w:eastAsia="宋体" w:cs="宋体"/>
                <w:b/>
                <w:bCs/>
                <w:color w:val="auto"/>
                <w:sz w:val="21"/>
                <w:szCs w:val="21"/>
                <w:highlight w:val="none"/>
              </w:rPr>
            </w:pPr>
          </w:p>
        </w:tc>
        <w:tc>
          <w:tcPr>
            <w:tcW w:w="1862" w:type="dxa"/>
            <w:vAlign w:val="center"/>
          </w:tcPr>
          <w:p w14:paraId="5D42F228">
            <w:pPr>
              <w:pStyle w:val="13"/>
              <w:shd w:val="clear"/>
              <w:ind w:firstLine="422"/>
              <w:jc w:val="center"/>
              <w:rPr>
                <w:rFonts w:hint="eastAsia" w:ascii="宋体" w:hAnsi="宋体" w:eastAsia="宋体" w:cs="宋体"/>
                <w:b/>
                <w:bCs/>
                <w:color w:val="auto"/>
                <w:sz w:val="21"/>
                <w:szCs w:val="21"/>
                <w:highlight w:val="none"/>
              </w:rPr>
            </w:pPr>
          </w:p>
        </w:tc>
        <w:tc>
          <w:tcPr>
            <w:tcW w:w="1529" w:type="dxa"/>
            <w:vAlign w:val="center"/>
          </w:tcPr>
          <w:p w14:paraId="0FA73524">
            <w:pPr>
              <w:pStyle w:val="13"/>
              <w:shd w:val="clear"/>
              <w:ind w:firstLine="422"/>
              <w:jc w:val="center"/>
              <w:rPr>
                <w:rFonts w:hint="eastAsia" w:ascii="宋体" w:hAnsi="宋体" w:eastAsia="宋体" w:cs="宋体"/>
                <w:b/>
                <w:bCs/>
                <w:color w:val="auto"/>
                <w:sz w:val="21"/>
                <w:szCs w:val="21"/>
                <w:highlight w:val="none"/>
              </w:rPr>
            </w:pPr>
          </w:p>
        </w:tc>
      </w:tr>
      <w:tr w14:paraId="09DF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87E5ACF">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7DC03274">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2861DD6F">
            <w:pPr>
              <w:pStyle w:val="13"/>
              <w:shd w:val="clear"/>
              <w:ind w:firstLine="422"/>
              <w:jc w:val="center"/>
              <w:rPr>
                <w:rFonts w:hint="eastAsia" w:ascii="宋体" w:hAnsi="宋体" w:eastAsia="宋体" w:cs="宋体"/>
                <w:b/>
                <w:bCs/>
                <w:color w:val="auto"/>
                <w:sz w:val="21"/>
                <w:szCs w:val="21"/>
                <w:highlight w:val="none"/>
              </w:rPr>
            </w:pPr>
          </w:p>
        </w:tc>
        <w:tc>
          <w:tcPr>
            <w:tcW w:w="1862" w:type="dxa"/>
            <w:vAlign w:val="center"/>
          </w:tcPr>
          <w:p w14:paraId="6FBCBA63">
            <w:pPr>
              <w:pStyle w:val="13"/>
              <w:shd w:val="clear"/>
              <w:ind w:firstLine="422"/>
              <w:jc w:val="center"/>
              <w:rPr>
                <w:rFonts w:hint="eastAsia" w:ascii="宋体" w:hAnsi="宋体" w:eastAsia="宋体" w:cs="宋体"/>
                <w:b/>
                <w:bCs/>
                <w:color w:val="auto"/>
                <w:sz w:val="21"/>
                <w:szCs w:val="21"/>
                <w:highlight w:val="none"/>
              </w:rPr>
            </w:pPr>
          </w:p>
        </w:tc>
        <w:tc>
          <w:tcPr>
            <w:tcW w:w="1529" w:type="dxa"/>
            <w:vAlign w:val="center"/>
          </w:tcPr>
          <w:p w14:paraId="7EFF7ECB">
            <w:pPr>
              <w:pStyle w:val="13"/>
              <w:shd w:val="clear"/>
              <w:ind w:firstLine="422"/>
              <w:jc w:val="center"/>
              <w:rPr>
                <w:rFonts w:hint="eastAsia" w:ascii="宋体" w:hAnsi="宋体" w:eastAsia="宋体" w:cs="宋体"/>
                <w:b/>
                <w:bCs/>
                <w:color w:val="auto"/>
                <w:sz w:val="21"/>
                <w:szCs w:val="21"/>
                <w:highlight w:val="none"/>
              </w:rPr>
            </w:pPr>
          </w:p>
        </w:tc>
      </w:tr>
      <w:tr w14:paraId="53B6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885A53F">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57DA6582">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1043A20A">
            <w:pPr>
              <w:pStyle w:val="13"/>
              <w:shd w:val="clear"/>
              <w:ind w:firstLine="422"/>
              <w:jc w:val="center"/>
              <w:rPr>
                <w:rFonts w:hint="eastAsia" w:ascii="宋体" w:hAnsi="宋体" w:eastAsia="宋体" w:cs="宋体"/>
                <w:b/>
                <w:bCs/>
                <w:color w:val="auto"/>
                <w:sz w:val="21"/>
                <w:szCs w:val="21"/>
                <w:highlight w:val="none"/>
              </w:rPr>
            </w:pPr>
          </w:p>
        </w:tc>
        <w:tc>
          <w:tcPr>
            <w:tcW w:w="1862" w:type="dxa"/>
            <w:vAlign w:val="center"/>
          </w:tcPr>
          <w:p w14:paraId="554FDEA7">
            <w:pPr>
              <w:pStyle w:val="13"/>
              <w:shd w:val="clear"/>
              <w:ind w:firstLine="422"/>
              <w:jc w:val="center"/>
              <w:rPr>
                <w:rFonts w:hint="eastAsia" w:ascii="宋体" w:hAnsi="宋体" w:eastAsia="宋体" w:cs="宋体"/>
                <w:b/>
                <w:bCs/>
                <w:color w:val="auto"/>
                <w:sz w:val="21"/>
                <w:szCs w:val="21"/>
                <w:highlight w:val="none"/>
              </w:rPr>
            </w:pPr>
          </w:p>
        </w:tc>
        <w:tc>
          <w:tcPr>
            <w:tcW w:w="1529" w:type="dxa"/>
            <w:vAlign w:val="center"/>
          </w:tcPr>
          <w:p w14:paraId="0D23440A">
            <w:pPr>
              <w:pStyle w:val="13"/>
              <w:shd w:val="clear"/>
              <w:ind w:firstLine="422"/>
              <w:jc w:val="center"/>
              <w:rPr>
                <w:rFonts w:hint="eastAsia" w:ascii="宋体" w:hAnsi="宋体" w:eastAsia="宋体" w:cs="宋体"/>
                <w:b/>
                <w:bCs/>
                <w:color w:val="auto"/>
                <w:sz w:val="21"/>
                <w:szCs w:val="21"/>
                <w:highlight w:val="none"/>
              </w:rPr>
            </w:pPr>
          </w:p>
        </w:tc>
      </w:tr>
      <w:tr w14:paraId="0267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7B0A320">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1EE9A3EB">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18BEF0B7">
            <w:pPr>
              <w:pStyle w:val="13"/>
              <w:shd w:val="clear"/>
              <w:ind w:firstLine="422"/>
              <w:jc w:val="center"/>
              <w:rPr>
                <w:rFonts w:hint="eastAsia" w:ascii="宋体" w:hAnsi="宋体" w:eastAsia="宋体" w:cs="宋体"/>
                <w:b/>
                <w:bCs/>
                <w:color w:val="auto"/>
                <w:sz w:val="21"/>
                <w:szCs w:val="21"/>
                <w:highlight w:val="none"/>
              </w:rPr>
            </w:pPr>
          </w:p>
        </w:tc>
        <w:tc>
          <w:tcPr>
            <w:tcW w:w="1862" w:type="dxa"/>
            <w:vAlign w:val="center"/>
          </w:tcPr>
          <w:p w14:paraId="5A537739">
            <w:pPr>
              <w:pStyle w:val="13"/>
              <w:shd w:val="clear"/>
              <w:ind w:firstLine="422"/>
              <w:jc w:val="center"/>
              <w:rPr>
                <w:rFonts w:hint="eastAsia" w:ascii="宋体" w:hAnsi="宋体" w:eastAsia="宋体" w:cs="宋体"/>
                <w:b/>
                <w:bCs/>
                <w:color w:val="auto"/>
                <w:sz w:val="21"/>
                <w:szCs w:val="21"/>
                <w:highlight w:val="none"/>
              </w:rPr>
            </w:pPr>
          </w:p>
        </w:tc>
        <w:tc>
          <w:tcPr>
            <w:tcW w:w="1529" w:type="dxa"/>
            <w:vAlign w:val="center"/>
          </w:tcPr>
          <w:p w14:paraId="5DE6F2DA">
            <w:pPr>
              <w:pStyle w:val="13"/>
              <w:shd w:val="clear"/>
              <w:ind w:firstLine="422"/>
              <w:jc w:val="center"/>
              <w:rPr>
                <w:rFonts w:hint="eastAsia" w:ascii="宋体" w:hAnsi="宋体" w:eastAsia="宋体" w:cs="宋体"/>
                <w:b/>
                <w:bCs/>
                <w:color w:val="auto"/>
                <w:sz w:val="21"/>
                <w:szCs w:val="21"/>
                <w:highlight w:val="none"/>
              </w:rPr>
            </w:pPr>
          </w:p>
        </w:tc>
      </w:tr>
      <w:tr w14:paraId="37F0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D63ECB5">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57848ED7">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3FD083F0">
            <w:pPr>
              <w:pStyle w:val="13"/>
              <w:shd w:val="clear"/>
              <w:ind w:firstLine="422"/>
              <w:jc w:val="center"/>
              <w:rPr>
                <w:rFonts w:hint="eastAsia" w:ascii="宋体" w:hAnsi="宋体" w:eastAsia="宋体" w:cs="宋体"/>
                <w:b/>
                <w:bCs/>
                <w:color w:val="auto"/>
                <w:sz w:val="21"/>
                <w:szCs w:val="21"/>
                <w:highlight w:val="none"/>
              </w:rPr>
            </w:pPr>
          </w:p>
        </w:tc>
        <w:tc>
          <w:tcPr>
            <w:tcW w:w="1862" w:type="dxa"/>
            <w:vAlign w:val="center"/>
          </w:tcPr>
          <w:p w14:paraId="19284DB4">
            <w:pPr>
              <w:pStyle w:val="13"/>
              <w:shd w:val="clear"/>
              <w:ind w:firstLine="422"/>
              <w:jc w:val="center"/>
              <w:rPr>
                <w:rFonts w:hint="eastAsia" w:ascii="宋体" w:hAnsi="宋体" w:eastAsia="宋体" w:cs="宋体"/>
                <w:b/>
                <w:bCs/>
                <w:color w:val="auto"/>
                <w:sz w:val="21"/>
                <w:szCs w:val="21"/>
                <w:highlight w:val="none"/>
              </w:rPr>
            </w:pPr>
          </w:p>
        </w:tc>
        <w:tc>
          <w:tcPr>
            <w:tcW w:w="1529" w:type="dxa"/>
            <w:vAlign w:val="center"/>
          </w:tcPr>
          <w:p w14:paraId="0C11D2B2">
            <w:pPr>
              <w:pStyle w:val="13"/>
              <w:shd w:val="clear"/>
              <w:ind w:firstLine="422"/>
              <w:jc w:val="center"/>
              <w:rPr>
                <w:rFonts w:hint="eastAsia" w:ascii="宋体" w:hAnsi="宋体" w:eastAsia="宋体" w:cs="宋体"/>
                <w:b/>
                <w:bCs/>
                <w:color w:val="auto"/>
                <w:sz w:val="21"/>
                <w:szCs w:val="21"/>
                <w:highlight w:val="none"/>
              </w:rPr>
            </w:pPr>
          </w:p>
        </w:tc>
      </w:tr>
      <w:tr w14:paraId="381E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6966A01">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30A84D06">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01D677C7">
            <w:pPr>
              <w:pStyle w:val="13"/>
              <w:shd w:val="clear"/>
              <w:ind w:firstLine="422"/>
              <w:jc w:val="center"/>
              <w:rPr>
                <w:rFonts w:hint="eastAsia" w:ascii="宋体" w:hAnsi="宋体" w:eastAsia="宋体" w:cs="宋体"/>
                <w:b/>
                <w:bCs/>
                <w:color w:val="auto"/>
                <w:sz w:val="21"/>
                <w:szCs w:val="21"/>
                <w:highlight w:val="none"/>
              </w:rPr>
            </w:pPr>
          </w:p>
        </w:tc>
        <w:tc>
          <w:tcPr>
            <w:tcW w:w="1862" w:type="dxa"/>
            <w:vAlign w:val="center"/>
          </w:tcPr>
          <w:p w14:paraId="556F44F2">
            <w:pPr>
              <w:pStyle w:val="13"/>
              <w:shd w:val="clear"/>
              <w:ind w:firstLine="422"/>
              <w:jc w:val="center"/>
              <w:rPr>
                <w:rFonts w:hint="eastAsia" w:ascii="宋体" w:hAnsi="宋体" w:eastAsia="宋体" w:cs="宋体"/>
                <w:b/>
                <w:bCs/>
                <w:color w:val="auto"/>
                <w:sz w:val="21"/>
                <w:szCs w:val="21"/>
                <w:highlight w:val="none"/>
              </w:rPr>
            </w:pPr>
          </w:p>
        </w:tc>
        <w:tc>
          <w:tcPr>
            <w:tcW w:w="1529" w:type="dxa"/>
            <w:vAlign w:val="center"/>
          </w:tcPr>
          <w:p w14:paraId="43DDCDE2">
            <w:pPr>
              <w:pStyle w:val="13"/>
              <w:shd w:val="clear"/>
              <w:ind w:firstLine="422"/>
              <w:jc w:val="center"/>
              <w:rPr>
                <w:rFonts w:hint="eastAsia" w:ascii="宋体" w:hAnsi="宋体" w:eastAsia="宋体" w:cs="宋体"/>
                <w:b/>
                <w:bCs/>
                <w:color w:val="auto"/>
                <w:sz w:val="21"/>
                <w:szCs w:val="21"/>
                <w:highlight w:val="none"/>
              </w:rPr>
            </w:pPr>
          </w:p>
        </w:tc>
      </w:tr>
      <w:tr w14:paraId="0DE8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2AF7F5B">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60DC5625">
            <w:pPr>
              <w:pStyle w:val="13"/>
              <w:shd w:val="clear"/>
              <w:ind w:firstLine="422"/>
              <w:jc w:val="center"/>
              <w:rPr>
                <w:rFonts w:hint="eastAsia" w:ascii="宋体" w:hAnsi="宋体" w:eastAsia="宋体" w:cs="宋体"/>
                <w:b/>
                <w:bCs/>
                <w:color w:val="auto"/>
                <w:sz w:val="21"/>
                <w:szCs w:val="21"/>
                <w:highlight w:val="none"/>
              </w:rPr>
            </w:pPr>
          </w:p>
        </w:tc>
        <w:tc>
          <w:tcPr>
            <w:tcW w:w="2218" w:type="dxa"/>
            <w:vAlign w:val="center"/>
          </w:tcPr>
          <w:p w14:paraId="300C4A17">
            <w:pPr>
              <w:pStyle w:val="13"/>
              <w:shd w:val="clear"/>
              <w:ind w:firstLine="422"/>
              <w:jc w:val="center"/>
              <w:rPr>
                <w:rFonts w:hint="eastAsia" w:ascii="宋体" w:hAnsi="宋体" w:eastAsia="宋体" w:cs="宋体"/>
                <w:b/>
                <w:bCs/>
                <w:color w:val="auto"/>
                <w:sz w:val="21"/>
                <w:szCs w:val="21"/>
                <w:highlight w:val="none"/>
              </w:rPr>
            </w:pPr>
          </w:p>
        </w:tc>
        <w:tc>
          <w:tcPr>
            <w:tcW w:w="1862" w:type="dxa"/>
            <w:vAlign w:val="center"/>
          </w:tcPr>
          <w:p w14:paraId="2966312B">
            <w:pPr>
              <w:pStyle w:val="13"/>
              <w:shd w:val="clear"/>
              <w:ind w:firstLine="422"/>
              <w:jc w:val="center"/>
              <w:rPr>
                <w:rFonts w:hint="eastAsia" w:ascii="宋体" w:hAnsi="宋体" w:eastAsia="宋体" w:cs="宋体"/>
                <w:b/>
                <w:bCs/>
                <w:color w:val="auto"/>
                <w:sz w:val="21"/>
                <w:szCs w:val="21"/>
                <w:highlight w:val="none"/>
              </w:rPr>
            </w:pPr>
          </w:p>
        </w:tc>
        <w:tc>
          <w:tcPr>
            <w:tcW w:w="1529" w:type="dxa"/>
            <w:vAlign w:val="center"/>
          </w:tcPr>
          <w:p w14:paraId="1CD03963">
            <w:pPr>
              <w:pStyle w:val="13"/>
              <w:shd w:val="clear"/>
              <w:ind w:firstLine="422"/>
              <w:jc w:val="center"/>
              <w:rPr>
                <w:rFonts w:hint="eastAsia" w:ascii="宋体" w:hAnsi="宋体" w:eastAsia="宋体" w:cs="宋体"/>
                <w:b/>
                <w:bCs/>
                <w:color w:val="auto"/>
                <w:sz w:val="21"/>
                <w:szCs w:val="21"/>
                <w:highlight w:val="none"/>
              </w:rPr>
            </w:pPr>
          </w:p>
        </w:tc>
      </w:tr>
    </w:tbl>
    <w:p w14:paraId="3DE1D153">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供应商名称（加盖公章）：</w:t>
      </w:r>
    </w:p>
    <w:p w14:paraId="6F45B075">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供应商法定代表人或受委托人（签名或盖私章）：</w:t>
      </w:r>
    </w:p>
    <w:p w14:paraId="406FBDC1">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日期：年月日 </w:t>
      </w:r>
    </w:p>
    <w:p w14:paraId="0AA97114">
      <w:pPr>
        <w:shd w:val="clear"/>
        <w:spacing w:line="480" w:lineRule="exact"/>
        <w:rPr>
          <w:rFonts w:hint="eastAsia" w:ascii="宋体" w:hAnsi="宋体" w:eastAsia="宋体" w:cs="宋体"/>
          <w:b/>
          <w:color w:val="auto"/>
          <w:szCs w:val="21"/>
          <w:highlight w:val="none"/>
          <w:u w:val="single"/>
        </w:rPr>
      </w:pPr>
    </w:p>
    <w:p w14:paraId="7E949CD0">
      <w:pPr>
        <w:shd w:val="clear"/>
        <w:spacing w:line="480" w:lineRule="exact"/>
        <w:rPr>
          <w:rFonts w:hint="eastAsia" w:ascii="宋体" w:hAnsi="宋体" w:eastAsia="宋体" w:cs="宋体"/>
          <w:b/>
          <w:bCs/>
          <w:color w:val="auto"/>
          <w:szCs w:val="21"/>
          <w:highlight w:val="none"/>
        </w:rPr>
      </w:pPr>
    </w:p>
    <w:p w14:paraId="621932B4">
      <w:pPr>
        <w:shd w:val="clear"/>
        <w:spacing w:line="480" w:lineRule="exact"/>
        <w:rPr>
          <w:rFonts w:hint="eastAsia" w:ascii="宋体" w:hAnsi="宋体" w:eastAsia="宋体" w:cs="宋体"/>
          <w:b/>
          <w:bCs/>
          <w:color w:val="auto"/>
          <w:szCs w:val="21"/>
          <w:highlight w:val="none"/>
        </w:rPr>
      </w:pPr>
    </w:p>
    <w:p w14:paraId="3BBAC388">
      <w:pPr>
        <w:shd w:val="clear"/>
        <w:rPr>
          <w:rFonts w:hint="eastAsia" w:ascii="宋体" w:hAnsi="宋体" w:eastAsia="宋体" w:cs="宋体"/>
          <w:color w:val="auto"/>
          <w:highlight w:val="none"/>
        </w:rPr>
      </w:pPr>
    </w:p>
    <w:p w14:paraId="1A95162F">
      <w:pPr>
        <w:pStyle w:val="4"/>
        <w:numPr>
          <w:ilvl w:val="0"/>
          <w:numId w:val="0"/>
        </w:numPr>
        <w:shd w:val="clear"/>
        <w:ind w:left="0" w:leftChars="0" w:firstLine="420" w:firstLineChars="0"/>
        <w:jc w:val="center"/>
        <w:rPr>
          <w:rFonts w:hint="eastAsia" w:ascii="宋体" w:hAnsi="宋体" w:eastAsia="宋体" w:cs="宋体"/>
          <w:b/>
          <w:color w:val="auto"/>
          <w:sz w:val="28"/>
          <w:szCs w:val="28"/>
          <w:lang w:val="en-US" w:eastAsia="zh-CN" w:bidi="ar-SA"/>
        </w:rPr>
      </w:pPr>
    </w:p>
    <w:p w14:paraId="1D2DE444">
      <w:pPr>
        <w:rPr>
          <w:rFonts w:hint="eastAsia" w:ascii="宋体" w:hAnsi="宋体" w:eastAsia="宋体" w:cs="宋体"/>
          <w:b/>
          <w:color w:val="auto"/>
          <w:sz w:val="28"/>
          <w:szCs w:val="28"/>
          <w:lang w:val="en-US" w:eastAsia="zh-CN" w:bidi="ar-SA"/>
        </w:rPr>
      </w:pPr>
      <w:r>
        <w:rPr>
          <w:rFonts w:hint="eastAsia" w:ascii="宋体" w:hAnsi="宋体" w:eastAsia="宋体" w:cs="宋体"/>
          <w:b/>
          <w:color w:val="auto"/>
          <w:sz w:val="28"/>
          <w:szCs w:val="28"/>
          <w:lang w:val="en-US" w:eastAsia="zh-CN" w:bidi="ar-SA"/>
        </w:rPr>
        <w:br w:type="page"/>
      </w:r>
    </w:p>
    <w:p w14:paraId="22B69B39">
      <w:pPr>
        <w:pStyle w:val="4"/>
        <w:numPr>
          <w:ilvl w:val="0"/>
          <w:numId w:val="0"/>
        </w:numPr>
        <w:shd w:val="clear"/>
        <w:ind w:left="0" w:leftChars="0" w:firstLine="420" w:firstLineChars="0"/>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lang w:val="en-US" w:eastAsia="zh-CN" w:bidi="ar-SA"/>
        </w:rPr>
        <w:t>八、</w:t>
      </w:r>
      <w:bookmarkStart w:id="255" w:name="_Toc7897896"/>
      <w:bookmarkStart w:id="256" w:name="_Toc23874"/>
      <w:bookmarkStart w:id="257" w:name="_Toc4884"/>
      <w:bookmarkStart w:id="258" w:name="_Toc4539"/>
      <w:r>
        <w:rPr>
          <w:rFonts w:hint="eastAsia" w:ascii="宋体" w:hAnsi="宋体" w:eastAsia="宋体" w:cs="宋体"/>
          <w:bCs/>
          <w:color w:val="auto"/>
          <w:sz w:val="28"/>
          <w:szCs w:val="28"/>
          <w:highlight w:val="none"/>
        </w:rPr>
        <w:t>项目业绩一览表</w:t>
      </w:r>
      <w:bookmarkEnd w:id="255"/>
      <w:bookmarkEnd w:id="256"/>
      <w:bookmarkEnd w:id="257"/>
      <w:bookmarkEnd w:id="258"/>
    </w:p>
    <w:p w14:paraId="137B5873">
      <w:pPr>
        <w:pStyle w:val="30"/>
        <w:shd w:val="clear"/>
        <w:spacing w:line="480" w:lineRule="exact"/>
        <w:jc w:val="center"/>
        <w:rPr>
          <w:rFonts w:hint="eastAsia" w:ascii="宋体" w:hAnsi="宋体" w:eastAsia="宋体" w:cs="宋体"/>
          <w:b/>
          <w:color w:val="auto"/>
          <w:sz w:val="22"/>
          <w:szCs w:val="22"/>
          <w:highlight w:val="none"/>
        </w:rPr>
      </w:pPr>
    </w:p>
    <w:tbl>
      <w:tblPr>
        <w:tblStyle w:val="53"/>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14:paraId="58B8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3026E307">
            <w:pPr>
              <w:shd w:val="clea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14:paraId="3E23FD56">
            <w:pPr>
              <w:shd w:val="clea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14:paraId="4D7B0FB3">
            <w:pPr>
              <w:shd w:val="clea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14:paraId="013AA8FC">
            <w:pPr>
              <w:shd w:val="clea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14:paraId="7365E041">
            <w:pPr>
              <w:shd w:val="clea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14:paraId="28C593FF">
            <w:pPr>
              <w:shd w:val="clea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页码</w:t>
            </w:r>
          </w:p>
        </w:tc>
      </w:tr>
      <w:tr w14:paraId="1D1D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0FE38CFC">
            <w:pPr>
              <w:pStyle w:val="30"/>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14:paraId="3DF56473">
            <w:pPr>
              <w:shd w:val="clear"/>
              <w:snapToGrid w:val="0"/>
              <w:spacing w:line="360" w:lineRule="auto"/>
              <w:rPr>
                <w:rFonts w:hint="eastAsia" w:ascii="宋体" w:hAnsi="宋体" w:eastAsia="宋体" w:cs="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338B2D17">
            <w:pPr>
              <w:shd w:val="clear"/>
              <w:snapToGrid w:val="0"/>
              <w:spacing w:line="360" w:lineRule="auto"/>
              <w:rPr>
                <w:rFonts w:hint="eastAsia" w:ascii="宋体" w:hAnsi="宋体" w:eastAsia="宋体" w:cs="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6557485E">
            <w:pPr>
              <w:shd w:val="clear"/>
              <w:snapToGrid w:val="0"/>
              <w:spacing w:line="360" w:lineRule="auto"/>
              <w:rPr>
                <w:rFonts w:hint="eastAsia" w:ascii="宋体" w:hAnsi="宋体" w:eastAsia="宋体" w:cs="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1FD6815C">
            <w:pPr>
              <w:shd w:val="clear"/>
              <w:snapToGrid w:val="0"/>
              <w:spacing w:line="360" w:lineRule="auto"/>
              <w:rPr>
                <w:rFonts w:hint="eastAsia" w:ascii="宋体" w:hAnsi="宋体" w:eastAsia="宋体" w:cs="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73EEDAB4">
            <w:pPr>
              <w:shd w:val="clear"/>
              <w:snapToGrid w:val="0"/>
              <w:spacing w:line="360" w:lineRule="auto"/>
              <w:rPr>
                <w:rFonts w:hint="eastAsia" w:ascii="宋体" w:hAnsi="宋体" w:eastAsia="宋体" w:cs="宋体"/>
                <w:color w:val="auto"/>
                <w:sz w:val="21"/>
                <w:szCs w:val="21"/>
                <w:highlight w:val="none"/>
                <w:u w:val="single"/>
              </w:rPr>
            </w:pPr>
          </w:p>
        </w:tc>
      </w:tr>
      <w:tr w14:paraId="3228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4260A202">
            <w:pPr>
              <w:pStyle w:val="30"/>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14:paraId="10B2522C">
            <w:pPr>
              <w:shd w:val="clear"/>
              <w:snapToGrid w:val="0"/>
              <w:spacing w:line="360" w:lineRule="auto"/>
              <w:rPr>
                <w:rFonts w:hint="eastAsia" w:ascii="宋体" w:hAnsi="宋体" w:eastAsia="宋体" w:cs="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65B33387">
            <w:pPr>
              <w:shd w:val="clear"/>
              <w:snapToGrid w:val="0"/>
              <w:spacing w:line="360" w:lineRule="auto"/>
              <w:rPr>
                <w:rFonts w:hint="eastAsia" w:ascii="宋体" w:hAnsi="宋体" w:eastAsia="宋体" w:cs="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14F3865D">
            <w:pPr>
              <w:shd w:val="clear"/>
              <w:snapToGrid w:val="0"/>
              <w:spacing w:line="360" w:lineRule="auto"/>
              <w:rPr>
                <w:rFonts w:hint="eastAsia" w:ascii="宋体" w:hAnsi="宋体" w:eastAsia="宋体" w:cs="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5392B052">
            <w:pPr>
              <w:shd w:val="clear"/>
              <w:snapToGrid w:val="0"/>
              <w:spacing w:line="360" w:lineRule="auto"/>
              <w:rPr>
                <w:rFonts w:hint="eastAsia" w:ascii="宋体" w:hAnsi="宋体" w:eastAsia="宋体" w:cs="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3A338D21">
            <w:pPr>
              <w:shd w:val="clear"/>
              <w:snapToGrid w:val="0"/>
              <w:spacing w:line="360" w:lineRule="auto"/>
              <w:rPr>
                <w:rFonts w:hint="eastAsia" w:ascii="宋体" w:hAnsi="宋体" w:eastAsia="宋体" w:cs="宋体"/>
                <w:color w:val="auto"/>
                <w:sz w:val="21"/>
                <w:szCs w:val="21"/>
                <w:highlight w:val="none"/>
                <w:u w:val="single"/>
              </w:rPr>
            </w:pPr>
          </w:p>
        </w:tc>
      </w:tr>
      <w:tr w14:paraId="71BF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07C88F8C">
            <w:pPr>
              <w:pStyle w:val="30"/>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14:paraId="12C9FA4D">
            <w:pPr>
              <w:shd w:val="clear"/>
              <w:snapToGrid w:val="0"/>
              <w:spacing w:line="360" w:lineRule="auto"/>
              <w:rPr>
                <w:rFonts w:hint="eastAsia" w:ascii="宋体" w:hAnsi="宋体" w:eastAsia="宋体" w:cs="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16D79E1D">
            <w:pPr>
              <w:shd w:val="clear"/>
              <w:snapToGrid w:val="0"/>
              <w:spacing w:line="360" w:lineRule="auto"/>
              <w:rPr>
                <w:rFonts w:hint="eastAsia" w:ascii="宋体" w:hAnsi="宋体" w:eastAsia="宋体" w:cs="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302CDCF0">
            <w:pPr>
              <w:shd w:val="clear"/>
              <w:snapToGrid w:val="0"/>
              <w:spacing w:line="360" w:lineRule="auto"/>
              <w:rPr>
                <w:rFonts w:hint="eastAsia" w:ascii="宋体" w:hAnsi="宋体" w:eastAsia="宋体" w:cs="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10FCADF4">
            <w:pPr>
              <w:shd w:val="clear"/>
              <w:snapToGrid w:val="0"/>
              <w:spacing w:line="360" w:lineRule="auto"/>
              <w:rPr>
                <w:rFonts w:hint="eastAsia" w:ascii="宋体" w:hAnsi="宋体" w:eastAsia="宋体" w:cs="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3C64096C">
            <w:pPr>
              <w:shd w:val="clear"/>
              <w:snapToGrid w:val="0"/>
              <w:spacing w:line="360" w:lineRule="auto"/>
              <w:rPr>
                <w:rFonts w:hint="eastAsia" w:ascii="宋体" w:hAnsi="宋体" w:eastAsia="宋体" w:cs="宋体"/>
                <w:color w:val="auto"/>
                <w:sz w:val="21"/>
                <w:szCs w:val="21"/>
                <w:highlight w:val="none"/>
                <w:u w:val="single"/>
              </w:rPr>
            </w:pPr>
          </w:p>
        </w:tc>
      </w:tr>
      <w:tr w14:paraId="1EA9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6429448F">
            <w:pPr>
              <w:pStyle w:val="30"/>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14:paraId="56F59B3A">
            <w:pPr>
              <w:shd w:val="clear"/>
              <w:snapToGrid w:val="0"/>
              <w:spacing w:line="360" w:lineRule="auto"/>
              <w:rPr>
                <w:rFonts w:hint="eastAsia" w:ascii="宋体" w:hAnsi="宋体" w:eastAsia="宋体" w:cs="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5D6A5A47">
            <w:pPr>
              <w:shd w:val="clear"/>
              <w:snapToGrid w:val="0"/>
              <w:spacing w:line="360" w:lineRule="auto"/>
              <w:rPr>
                <w:rFonts w:hint="eastAsia" w:ascii="宋体" w:hAnsi="宋体" w:eastAsia="宋体" w:cs="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338FD113">
            <w:pPr>
              <w:shd w:val="clear"/>
              <w:snapToGrid w:val="0"/>
              <w:spacing w:line="360" w:lineRule="auto"/>
              <w:rPr>
                <w:rFonts w:hint="eastAsia" w:ascii="宋体" w:hAnsi="宋体" w:eastAsia="宋体" w:cs="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2F0E063C">
            <w:pPr>
              <w:shd w:val="clear"/>
              <w:snapToGrid w:val="0"/>
              <w:spacing w:line="360" w:lineRule="auto"/>
              <w:rPr>
                <w:rFonts w:hint="eastAsia" w:ascii="宋体" w:hAnsi="宋体" w:eastAsia="宋体" w:cs="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13466651">
            <w:pPr>
              <w:shd w:val="clear"/>
              <w:snapToGrid w:val="0"/>
              <w:spacing w:line="360" w:lineRule="auto"/>
              <w:rPr>
                <w:rFonts w:hint="eastAsia" w:ascii="宋体" w:hAnsi="宋体" w:eastAsia="宋体" w:cs="宋体"/>
                <w:color w:val="auto"/>
                <w:sz w:val="21"/>
                <w:szCs w:val="21"/>
                <w:highlight w:val="none"/>
                <w:u w:val="single"/>
              </w:rPr>
            </w:pPr>
          </w:p>
        </w:tc>
      </w:tr>
      <w:tr w14:paraId="586E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25F9FCC9">
            <w:pPr>
              <w:pStyle w:val="30"/>
              <w:shd w:val="clear"/>
              <w:jc w:val="center"/>
              <w:rPr>
                <w:rFonts w:hint="eastAsia" w:ascii="宋体" w:hAnsi="宋体" w:eastAsia="宋体" w:cs="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14:paraId="362CC4C7">
            <w:pPr>
              <w:shd w:val="clear"/>
              <w:snapToGrid w:val="0"/>
              <w:spacing w:line="360" w:lineRule="auto"/>
              <w:rPr>
                <w:rFonts w:hint="eastAsia" w:ascii="宋体" w:hAnsi="宋体" w:eastAsia="宋体" w:cs="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132C479D">
            <w:pPr>
              <w:shd w:val="clear"/>
              <w:snapToGrid w:val="0"/>
              <w:spacing w:line="360" w:lineRule="auto"/>
              <w:rPr>
                <w:rFonts w:hint="eastAsia" w:ascii="宋体" w:hAnsi="宋体" w:eastAsia="宋体" w:cs="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596C5FE6">
            <w:pPr>
              <w:shd w:val="clear"/>
              <w:snapToGrid w:val="0"/>
              <w:spacing w:line="360" w:lineRule="auto"/>
              <w:rPr>
                <w:rFonts w:hint="eastAsia" w:ascii="宋体" w:hAnsi="宋体" w:eastAsia="宋体" w:cs="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0501DDD6">
            <w:pPr>
              <w:shd w:val="clear"/>
              <w:snapToGrid w:val="0"/>
              <w:spacing w:line="360" w:lineRule="auto"/>
              <w:rPr>
                <w:rFonts w:hint="eastAsia" w:ascii="宋体" w:hAnsi="宋体" w:eastAsia="宋体" w:cs="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0EF4CE10">
            <w:pPr>
              <w:shd w:val="clear"/>
              <w:snapToGrid w:val="0"/>
              <w:spacing w:line="360" w:lineRule="auto"/>
              <w:rPr>
                <w:rFonts w:hint="eastAsia" w:ascii="宋体" w:hAnsi="宋体" w:eastAsia="宋体" w:cs="宋体"/>
                <w:color w:val="auto"/>
                <w:sz w:val="21"/>
                <w:szCs w:val="21"/>
                <w:highlight w:val="none"/>
                <w:u w:val="single"/>
              </w:rPr>
            </w:pPr>
          </w:p>
        </w:tc>
      </w:tr>
      <w:tr w14:paraId="252F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6C251B31">
            <w:pPr>
              <w:pStyle w:val="30"/>
              <w:shd w:val="clear"/>
              <w:jc w:val="center"/>
              <w:rPr>
                <w:rFonts w:hint="eastAsia" w:ascii="宋体" w:hAnsi="宋体" w:eastAsia="宋体" w:cs="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14:paraId="4E1A4616">
            <w:pPr>
              <w:shd w:val="clear"/>
              <w:snapToGrid w:val="0"/>
              <w:spacing w:line="360" w:lineRule="auto"/>
              <w:rPr>
                <w:rFonts w:hint="eastAsia" w:ascii="宋体" w:hAnsi="宋体" w:eastAsia="宋体" w:cs="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7F350000">
            <w:pPr>
              <w:shd w:val="clear"/>
              <w:snapToGrid w:val="0"/>
              <w:spacing w:line="360" w:lineRule="auto"/>
              <w:rPr>
                <w:rFonts w:hint="eastAsia" w:ascii="宋体" w:hAnsi="宋体" w:eastAsia="宋体" w:cs="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2251D2E5">
            <w:pPr>
              <w:shd w:val="clear"/>
              <w:snapToGrid w:val="0"/>
              <w:spacing w:line="360" w:lineRule="auto"/>
              <w:rPr>
                <w:rFonts w:hint="eastAsia" w:ascii="宋体" w:hAnsi="宋体" w:eastAsia="宋体" w:cs="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7181D503">
            <w:pPr>
              <w:shd w:val="clear"/>
              <w:snapToGrid w:val="0"/>
              <w:spacing w:line="360" w:lineRule="auto"/>
              <w:rPr>
                <w:rFonts w:hint="eastAsia" w:ascii="宋体" w:hAnsi="宋体" w:eastAsia="宋体" w:cs="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6C195D2A">
            <w:pPr>
              <w:shd w:val="clear"/>
              <w:snapToGrid w:val="0"/>
              <w:spacing w:line="360" w:lineRule="auto"/>
              <w:rPr>
                <w:rFonts w:hint="eastAsia" w:ascii="宋体" w:hAnsi="宋体" w:eastAsia="宋体" w:cs="宋体"/>
                <w:color w:val="auto"/>
                <w:sz w:val="21"/>
                <w:szCs w:val="21"/>
                <w:highlight w:val="none"/>
                <w:u w:val="single"/>
              </w:rPr>
            </w:pPr>
          </w:p>
        </w:tc>
      </w:tr>
      <w:tr w14:paraId="22AA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1D025063">
            <w:pPr>
              <w:pStyle w:val="30"/>
              <w:shd w:val="clear"/>
              <w:jc w:val="center"/>
              <w:rPr>
                <w:rFonts w:hint="eastAsia" w:ascii="宋体" w:hAnsi="宋体" w:eastAsia="宋体" w:cs="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14:paraId="0891BC9A">
            <w:pPr>
              <w:shd w:val="clear"/>
              <w:snapToGrid w:val="0"/>
              <w:spacing w:line="360" w:lineRule="auto"/>
              <w:rPr>
                <w:rFonts w:hint="eastAsia" w:ascii="宋体" w:hAnsi="宋体" w:eastAsia="宋体" w:cs="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7FDE11B2">
            <w:pPr>
              <w:shd w:val="clear"/>
              <w:snapToGrid w:val="0"/>
              <w:spacing w:line="360" w:lineRule="auto"/>
              <w:rPr>
                <w:rFonts w:hint="eastAsia" w:ascii="宋体" w:hAnsi="宋体" w:eastAsia="宋体" w:cs="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478B5C2E">
            <w:pPr>
              <w:shd w:val="clear"/>
              <w:snapToGrid w:val="0"/>
              <w:spacing w:line="360" w:lineRule="auto"/>
              <w:rPr>
                <w:rFonts w:hint="eastAsia" w:ascii="宋体" w:hAnsi="宋体" w:eastAsia="宋体" w:cs="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1800311D">
            <w:pPr>
              <w:shd w:val="clear"/>
              <w:snapToGrid w:val="0"/>
              <w:spacing w:line="360" w:lineRule="auto"/>
              <w:rPr>
                <w:rFonts w:hint="eastAsia" w:ascii="宋体" w:hAnsi="宋体" w:eastAsia="宋体" w:cs="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499CB868">
            <w:pPr>
              <w:shd w:val="clear"/>
              <w:snapToGrid w:val="0"/>
              <w:spacing w:line="360" w:lineRule="auto"/>
              <w:rPr>
                <w:rFonts w:hint="eastAsia" w:ascii="宋体" w:hAnsi="宋体" w:eastAsia="宋体" w:cs="宋体"/>
                <w:color w:val="auto"/>
                <w:sz w:val="21"/>
                <w:szCs w:val="21"/>
                <w:highlight w:val="none"/>
                <w:u w:val="single"/>
              </w:rPr>
            </w:pPr>
          </w:p>
        </w:tc>
      </w:tr>
      <w:tr w14:paraId="0A96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14:paraId="409179EC">
            <w:pPr>
              <w:pStyle w:val="30"/>
              <w:shd w:val="clear"/>
              <w:jc w:val="center"/>
              <w:rPr>
                <w:rFonts w:hint="eastAsia" w:ascii="宋体" w:hAnsi="宋体" w:eastAsia="宋体" w:cs="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14:paraId="3E9FF65C">
            <w:pPr>
              <w:shd w:val="clear"/>
              <w:snapToGrid w:val="0"/>
              <w:spacing w:line="360" w:lineRule="auto"/>
              <w:rPr>
                <w:rFonts w:hint="eastAsia" w:ascii="宋体" w:hAnsi="宋体" w:eastAsia="宋体" w:cs="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14:paraId="27FF23FF">
            <w:pPr>
              <w:shd w:val="clear"/>
              <w:snapToGrid w:val="0"/>
              <w:spacing w:line="360" w:lineRule="auto"/>
              <w:rPr>
                <w:rFonts w:hint="eastAsia" w:ascii="宋体" w:hAnsi="宋体" w:eastAsia="宋体" w:cs="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14:paraId="74FBFAF5">
            <w:pPr>
              <w:shd w:val="clear"/>
              <w:snapToGrid w:val="0"/>
              <w:spacing w:line="360" w:lineRule="auto"/>
              <w:rPr>
                <w:rFonts w:hint="eastAsia" w:ascii="宋体" w:hAnsi="宋体" w:eastAsia="宋体" w:cs="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14:paraId="3A5E3621">
            <w:pPr>
              <w:shd w:val="clear"/>
              <w:snapToGrid w:val="0"/>
              <w:spacing w:line="360" w:lineRule="auto"/>
              <w:rPr>
                <w:rFonts w:hint="eastAsia" w:ascii="宋体" w:hAnsi="宋体" w:eastAsia="宋体" w:cs="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14:paraId="1BCBE199">
            <w:pPr>
              <w:shd w:val="clear"/>
              <w:snapToGrid w:val="0"/>
              <w:spacing w:line="360" w:lineRule="auto"/>
              <w:rPr>
                <w:rFonts w:hint="eastAsia" w:ascii="宋体" w:hAnsi="宋体" w:eastAsia="宋体" w:cs="宋体"/>
                <w:color w:val="auto"/>
                <w:sz w:val="21"/>
                <w:szCs w:val="21"/>
                <w:highlight w:val="none"/>
                <w:u w:val="single"/>
              </w:rPr>
            </w:pPr>
          </w:p>
        </w:tc>
      </w:tr>
    </w:tbl>
    <w:p w14:paraId="584EA153">
      <w:pPr>
        <w:pStyle w:val="30"/>
        <w:shd w:val="clear"/>
        <w:spacing w:line="480" w:lineRule="exact"/>
        <w:rPr>
          <w:rFonts w:hint="eastAsia" w:ascii="宋体" w:hAnsi="宋体" w:eastAsia="宋体" w:cs="宋体"/>
          <w:color w:val="auto"/>
          <w:sz w:val="22"/>
          <w:szCs w:val="22"/>
          <w:highlight w:val="none"/>
        </w:rPr>
      </w:pPr>
    </w:p>
    <w:p w14:paraId="57070D68">
      <w:pPr>
        <w:pStyle w:val="30"/>
        <w:shd w:val="clear"/>
        <w:spacing w:line="4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要求：</w:t>
      </w:r>
    </w:p>
    <w:p w14:paraId="130C8C40">
      <w:pPr>
        <w:pStyle w:val="30"/>
        <w:shd w:val="clear"/>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供应商应当如实、完整地填写本表格，内容包括所有同类或近似项目业绩。根据评分标准提供相应的证明材料。在填写过程中请按年份顺序填写。</w:t>
      </w:r>
    </w:p>
    <w:p w14:paraId="69927372">
      <w:pPr>
        <w:pStyle w:val="30"/>
        <w:shd w:val="clear"/>
        <w:spacing w:line="480" w:lineRule="exact"/>
        <w:rPr>
          <w:rFonts w:hint="eastAsia" w:ascii="宋体" w:hAnsi="宋体" w:eastAsia="宋体" w:cs="宋体"/>
          <w:color w:val="auto"/>
          <w:sz w:val="22"/>
          <w:szCs w:val="22"/>
          <w:highlight w:val="none"/>
        </w:rPr>
      </w:pPr>
    </w:p>
    <w:p w14:paraId="6EAAC9B8">
      <w:pPr>
        <w:shd w:val="clear"/>
        <w:overflowPunct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供应商名称（加盖公章）：</w:t>
      </w:r>
    </w:p>
    <w:p w14:paraId="7F478CF4">
      <w:pPr>
        <w:shd w:val="clear"/>
        <w:overflowPunct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供应商法定代表人或受委托人（签名或盖私章）：</w:t>
      </w:r>
    </w:p>
    <w:p w14:paraId="5BB91CF5">
      <w:pPr>
        <w:shd w:val="clear"/>
        <w:overflowPunct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日期：年月日 </w:t>
      </w:r>
    </w:p>
    <w:p w14:paraId="526D208F">
      <w:pPr>
        <w:pStyle w:val="63"/>
        <w:ind w:left="0" w:leftChars="0" w:firstLine="0" w:firstLineChars="0"/>
        <w:rPr>
          <w:rFonts w:hint="eastAsia" w:ascii="宋体" w:hAnsi="宋体" w:eastAsia="宋体" w:cs="宋体"/>
          <w:color w:val="auto"/>
          <w:highlight w:val="none"/>
        </w:rPr>
      </w:pPr>
    </w:p>
    <w:p w14:paraId="03E79141">
      <w:pPr>
        <w:rPr>
          <w:rFonts w:hint="eastAsia" w:ascii="宋体" w:hAnsi="宋体" w:eastAsia="宋体" w:cs="宋体"/>
          <w:b w:val="0"/>
          <w:bCs/>
          <w:color w:val="auto"/>
          <w:sz w:val="28"/>
          <w:szCs w:val="24"/>
          <w:lang w:val="en-US" w:eastAsia="zh-CN" w:bidi="ar-SA"/>
        </w:rPr>
      </w:pPr>
      <w:r>
        <w:rPr>
          <w:rFonts w:hint="eastAsia" w:ascii="宋体" w:hAnsi="宋体" w:eastAsia="宋体" w:cs="宋体"/>
          <w:b w:val="0"/>
          <w:bCs/>
          <w:color w:val="auto"/>
          <w:sz w:val="28"/>
          <w:szCs w:val="24"/>
          <w:lang w:val="en-US" w:eastAsia="zh-CN" w:bidi="ar-SA"/>
        </w:rPr>
        <w:br w:type="page"/>
      </w:r>
    </w:p>
    <w:p w14:paraId="2EBDA0BC">
      <w:pPr>
        <w:pStyle w:val="4"/>
        <w:numPr>
          <w:ilvl w:val="0"/>
          <w:numId w:val="0"/>
        </w:numPr>
        <w:shd w:val="clear"/>
        <w:ind w:left="0" w:leftChars="0" w:firstLine="420" w:firstLineChars="0"/>
        <w:jc w:val="center"/>
        <w:rPr>
          <w:rFonts w:hint="eastAsia" w:ascii="宋体" w:hAnsi="宋体" w:eastAsia="宋体" w:cs="宋体"/>
          <w:b w:val="0"/>
          <w:bCs/>
          <w:color w:val="auto"/>
          <w:sz w:val="28"/>
          <w:highlight w:val="none"/>
        </w:rPr>
      </w:pPr>
      <w:r>
        <w:rPr>
          <w:rFonts w:hint="eastAsia" w:ascii="宋体" w:hAnsi="宋体" w:eastAsia="宋体" w:cs="宋体"/>
          <w:b/>
          <w:bCs w:val="0"/>
          <w:color w:val="auto"/>
          <w:sz w:val="28"/>
          <w:szCs w:val="24"/>
          <w:lang w:val="en-US" w:eastAsia="zh-CN" w:bidi="ar-SA"/>
        </w:rPr>
        <w:t>九、</w:t>
      </w:r>
      <w:bookmarkStart w:id="259" w:name="_Toc17432"/>
      <w:bookmarkStart w:id="260" w:name="_Toc7897897"/>
      <w:bookmarkStart w:id="261" w:name="_Toc23633"/>
      <w:bookmarkStart w:id="262" w:name="_Toc6882"/>
      <w:r>
        <w:rPr>
          <w:rFonts w:hint="eastAsia" w:ascii="宋体" w:hAnsi="宋体" w:eastAsia="宋体" w:cs="宋体"/>
          <w:b/>
          <w:bCs w:val="0"/>
          <w:color w:val="auto"/>
          <w:sz w:val="28"/>
          <w:szCs w:val="28"/>
          <w:highlight w:val="none"/>
        </w:rPr>
        <w:t>在</w:t>
      </w:r>
      <w:r>
        <w:rPr>
          <w:rFonts w:hint="eastAsia" w:ascii="宋体" w:hAnsi="宋体" w:eastAsia="宋体" w:cs="宋体"/>
          <w:bCs/>
          <w:color w:val="auto"/>
          <w:sz w:val="28"/>
          <w:szCs w:val="28"/>
          <w:highlight w:val="none"/>
        </w:rPr>
        <w:t>经营活动中没有重大违法记录的书面声明</w:t>
      </w:r>
      <w:bookmarkEnd w:id="259"/>
      <w:bookmarkEnd w:id="260"/>
      <w:bookmarkEnd w:id="261"/>
      <w:bookmarkEnd w:id="262"/>
    </w:p>
    <w:p w14:paraId="5AF52D27">
      <w:pPr>
        <w:pStyle w:val="78"/>
        <w:shd w:val="clear"/>
        <w:ind w:firstLine="0" w:firstLineChars="0"/>
        <w:jc w:val="center"/>
        <w:rPr>
          <w:rFonts w:hint="eastAsia" w:ascii="宋体" w:hAnsi="宋体" w:eastAsia="宋体" w:cs="宋体"/>
          <w:b/>
          <w:color w:val="auto"/>
          <w:sz w:val="28"/>
          <w:highlight w:val="none"/>
        </w:rPr>
      </w:pPr>
    </w:p>
    <w:p w14:paraId="1F88522B">
      <w:pPr>
        <w:shd w:val="clea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致：</w:t>
      </w:r>
    </w:p>
    <w:p w14:paraId="1C604A72">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本公司参加采购项目（采购编号）的采购活动，并声明：</w:t>
      </w:r>
    </w:p>
    <w:p w14:paraId="7B7496E4">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14:paraId="254C215E">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特此声明！</w:t>
      </w:r>
    </w:p>
    <w:p w14:paraId="0848AB5B">
      <w:pPr>
        <w:shd w:val="clear"/>
        <w:rPr>
          <w:rFonts w:hint="eastAsia" w:ascii="宋体" w:hAnsi="宋体" w:eastAsia="宋体" w:cs="宋体"/>
          <w:color w:val="auto"/>
          <w:sz w:val="21"/>
          <w:szCs w:val="21"/>
          <w:highlight w:val="none"/>
        </w:rPr>
      </w:pPr>
    </w:p>
    <w:p w14:paraId="58262C95">
      <w:pPr>
        <w:shd w:val="clear"/>
        <w:rPr>
          <w:rFonts w:hint="eastAsia" w:ascii="宋体" w:hAnsi="宋体" w:eastAsia="宋体" w:cs="宋体"/>
          <w:color w:val="auto"/>
          <w:sz w:val="21"/>
          <w:szCs w:val="21"/>
          <w:highlight w:val="none"/>
        </w:rPr>
      </w:pPr>
    </w:p>
    <w:p w14:paraId="236155EC">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供应商名称（加盖公章）：</w:t>
      </w:r>
    </w:p>
    <w:p w14:paraId="733FC0C0">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供应商法定代表人或受委托人（签名或盖私章）：</w:t>
      </w:r>
    </w:p>
    <w:p w14:paraId="1F03C850">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日期：年月日 </w:t>
      </w:r>
    </w:p>
    <w:bookmarkEnd w:id="221"/>
    <w:bookmarkEnd w:id="222"/>
    <w:bookmarkEnd w:id="223"/>
    <w:bookmarkEnd w:id="224"/>
    <w:bookmarkEnd w:id="225"/>
    <w:bookmarkEnd w:id="226"/>
    <w:bookmarkEnd w:id="227"/>
    <w:p w14:paraId="327AAE72">
      <w:pPr>
        <w:rPr>
          <w:rFonts w:hint="eastAsia" w:ascii="宋体" w:hAnsi="宋体" w:eastAsia="宋体" w:cs="宋体"/>
          <w:b w:val="0"/>
          <w:color w:val="auto"/>
          <w:sz w:val="28"/>
          <w:szCs w:val="28"/>
          <w:lang w:val="en-US" w:eastAsia="zh-CN" w:bidi="ar-SA"/>
        </w:rPr>
      </w:pPr>
      <w:bookmarkStart w:id="263" w:name="_Toc110953865"/>
      <w:bookmarkStart w:id="264" w:name="_Toc479991617"/>
      <w:bookmarkStart w:id="265" w:name="_Toc467987857"/>
      <w:bookmarkStart w:id="266" w:name="_Toc467236774"/>
      <w:bookmarkStart w:id="267" w:name="_Toc35233726"/>
      <w:bookmarkStart w:id="268" w:name="_Toc480021086"/>
      <w:bookmarkStart w:id="269" w:name="_Toc458262644"/>
      <w:bookmarkStart w:id="270" w:name="_Toc480020290"/>
      <w:bookmarkStart w:id="271" w:name="_Toc468606065"/>
      <w:bookmarkStart w:id="272" w:name="_Toc468157570"/>
      <w:bookmarkStart w:id="273" w:name="_Toc480010743"/>
      <w:bookmarkStart w:id="274" w:name="_Toc454701411"/>
      <w:bookmarkStart w:id="275" w:name="_Toc480171915"/>
      <w:r>
        <w:rPr>
          <w:rFonts w:hint="eastAsia" w:ascii="宋体" w:hAnsi="宋体" w:eastAsia="宋体" w:cs="宋体"/>
          <w:b w:val="0"/>
          <w:color w:val="auto"/>
          <w:sz w:val="28"/>
          <w:szCs w:val="28"/>
          <w:lang w:val="en-US" w:eastAsia="zh-CN" w:bidi="ar-SA"/>
        </w:rPr>
        <w:br w:type="page"/>
      </w:r>
    </w:p>
    <w:p w14:paraId="5E4C75F1">
      <w:pPr>
        <w:pStyle w:val="4"/>
        <w:numPr>
          <w:ilvl w:val="0"/>
          <w:numId w:val="0"/>
        </w:numPr>
        <w:shd w:val="clear"/>
        <w:ind w:left="0" w:leftChars="0" w:firstLine="420" w:firstLineChars="0"/>
        <w:jc w:val="center"/>
        <w:rPr>
          <w:rFonts w:hint="eastAsia" w:ascii="宋体" w:hAnsi="宋体" w:eastAsia="宋体" w:cs="宋体"/>
          <w:b w:val="0"/>
          <w:color w:val="auto"/>
          <w:sz w:val="28"/>
          <w:szCs w:val="28"/>
          <w:highlight w:val="none"/>
        </w:rPr>
      </w:pPr>
      <w:r>
        <w:rPr>
          <w:rFonts w:hint="eastAsia" w:ascii="宋体" w:hAnsi="宋体" w:eastAsia="宋体" w:cs="宋体"/>
          <w:b/>
          <w:bCs/>
          <w:color w:val="auto"/>
          <w:sz w:val="28"/>
          <w:szCs w:val="28"/>
          <w:lang w:val="en-US" w:eastAsia="zh-CN" w:bidi="ar-SA"/>
        </w:rPr>
        <w:t>十、</w:t>
      </w:r>
      <w:bookmarkEnd w:id="263"/>
      <w:bookmarkStart w:id="276" w:name="_Toc2461"/>
      <w:bookmarkStart w:id="277" w:name="_Toc18024"/>
      <w:bookmarkStart w:id="278" w:name="_Toc7897900"/>
      <w:bookmarkStart w:id="279" w:name="_Toc8181"/>
      <w:r>
        <w:rPr>
          <w:rFonts w:hint="eastAsia" w:ascii="宋体" w:hAnsi="宋体" w:eastAsia="宋体" w:cs="宋体"/>
          <w:color w:val="auto"/>
          <w:sz w:val="28"/>
          <w:szCs w:val="28"/>
          <w:highlight w:val="none"/>
        </w:rPr>
        <w:t>针对本项目拟派人员及其技术资格一览表</w:t>
      </w:r>
      <w:bookmarkEnd w:id="276"/>
      <w:bookmarkEnd w:id="277"/>
      <w:bookmarkEnd w:id="278"/>
      <w:bookmarkEnd w:id="279"/>
    </w:p>
    <w:p w14:paraId="1CF52332">
      <w:pPr>
        <w:pStyle w:val="30"/>
        <w:shd w:val="clear"/>
        <w:spacing w:line="480" w:lineRule="exact"/>
        <w:ind w:left="-202" w:leftChars="-84" w:firstLine="241" w:firstLineChars="100"/>
        <w:rPr>
          <w:rFonts w:hint="eastAsia" w:ascii="宋体" w:hAnsi="宋体" w:eastAsia="宋体" w:cs="宋体"/>
          <w:b/>
          <w:color w:val="auto"/>
          <w:sz w:val="24"/>
          <w:szCs w:val="21"/>
          <w:highlight w:val="none"/>
        </w:rPr>
      </w:pPr>
    </w:p>
    <w:p w14:paraId="20DEA9B5">
      <w:pPr>
        <w:pStyle w:val="30"/>
        <w:shd w:val="clear"/>
        <w:spacing w:line="480" w:lineRule="exact"/>
        <w:ind w:left="-202" w:leftChars="-84" w:firstLine="221" w:firstLineChars="100"/>
        <w:rPr>
          <w:rFonts w:hint="eastAsia" w:ascii="宋体" w:hAnsi="宋体" w:eastAsia="宋体" w:cs="宋体"/>
          <w:b/>
          <w:color w:val="auto"/>
          <w:sz w:val="22"/>
          <w:szCs w:val="22"/>
          <w:highlight w:val="none"/>
          <w:u w:val="single"/>
        </w:rPr>
      </w:pPr>
    </w:p>
    <w:tbl>
      <w:tblPr>
        <w:tblStyle w:val="53"/>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14:paraId="45B9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14:paraId="5135D309">
            <w:pPr>
              <w:pStyle w:val="30"/>
              <w:shd w:val="clea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026" w:type="dxa"/>
            <w:vAlign w:val="center"/>
          </w:tcPr>
          <w:p w14:paraId="78F09F7C">
            <w:pPr>
              <w:pStyle w:val="30"/>
              <w:shd w:val="clea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姓名</w:t>
            </w:r>
          </w:p>
        </w:tc>
        <w:tc>
          <w:tcPr>
            <w:tcW w:w="877" w:type="dxa"/>
            <w:vAlign w:val="center"/>
          </w:tcPr>
          <w:p w14:paraId="5753533F">
            <w:pPr>
              <w:pStyle w:val="30"/>
              <w:shd w:val="clea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职位</w:t>
            </w:r>
          </w:p>
        </w:tc>
        <w:tc>
          <w:tcPr>
            <w:tcW w:w="1533" w:type="dxa"/>
          </w:tcPr>
          <w:p w14:paraId="218FB8F0">
            <w:pPr>
              <w:pStyle w:val="30"/>
              <w:shd w:val="clea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拟在本项目担任职务</w:t>
            </w:r>
          </w:p>
        </w:tc>
        <w:tc>
          <w:tcPr>
            <w:tcW w:w="1357" w:type="dxa"/>
            <w:vAlign w:val="center"/>
          </w:tcPr>
          <w:p w14:paraId="74862FE9">
            <w:pPr>
              <w:pStyle w:val="30"/>
              <w:shd w:val="clea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专业、资格证件</w:t>
            </w:r>
          </w:p>
        </w:tc>
        <w:tc>
          <w:tcPr>
            <w:tcW w:w="1200" w:type="dxa"/>
            <w:vAlign w:val="center"/>
          </w:tcPr>
          <w:p w14:paraId="6C4AE8D1">
            <w:pPr>
              <w:pStyle w:val="30"/>
              <w:shd w:val="clea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发证时间</w:t>
            </w:r>
          </w:p>
        </w:tc>
        <w:tc>
          <w:tcPr>
            <w:tcW w:w="1403" w:type="dxa"/>
            <w:vAlign w:val="center"/>
          </w:tcPr>
          <w:p w14:paraId="70B0DBD1">
            <w:pPr>
              <w:pStyle w:val="30"/>
              <w:shd w:val="clea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经验年限</w:t>
            </w:r>
          </w:p>
        </w:tc>
        <w:tc>
          <w:tcPr>
            <w:tcW w:w="1403" w:type="dxa"/>
          </w:tcPr>
          <w:p w14:paraId="22E4F341">
            <w:pPr>
              <w:pStyle w:val="30"/>
              <w:shd w:val="clea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主要承担过的项目</w:t>
            </w:r>
          </w:p>
        </w:tc>
      </w:tr>
      <w:tr w14:paraId="0664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51481D1D">
            <w:pPr>
              <w:pStyle w:val="30"/>
              <w:shd w:val="clear"/>
              <w:spacing w:line="480" w:lineRule="exact"/>
              <w:jc w:val="center"/>
              <w:rPr>
                <w:rFonts w:hint="eastAsia" w:ascii="宋体" w:hAnsi="宋体" w:eastAsia="宋体" w:cs="宋体"/>
                <w:color w:val="auto"/>
                <w:szCs w:val="21"/>
                <w:highlight w:val="none"/>
              </w:rPr>
            </w:pPr>
          </w:p>
        </w:tc>
        <w:tc>
          <w:tcPr>
            <w:tcW w:w="1026" w:type="dxa"/>
            <w:vAlign w:val="center"/>
          </w:tcPr>
          <w:p w14:paraId="09210D81">
            <w:pPr>
              <w:pStyle w:val="30"/>
              <w:shd w:val="clear"/>
              <w:spacing w:line="480" w:lineRule="exact"/>
              <w:jc w:val="center"/>
              <w:rPr>
                <w:rFonts w:hint="eastAsia" w:ascii="宋体" w:hAnsi="宋体" w:eastAsia="宋体" w:cs="宋体"/>
                <w:color w:val="auto"/>
                <w:szCs w:val="21"/>
                <w:highlight w:val="none"/>
              </w:rPr>
            </w:pPr>
          </w:p>
        </w:tc>
        <w:tc>
          <w:tcPr>
            <w:tcW w:w="877" w:type="dxa"/>
            <w:vAlign w:val="center"/>
          </w:tcPr>
          <w:p w14:paraId="3987DF5C">
            <w:pPr>
              <w:pStyle w:val="30"/>
              <w:shd w:val="clear"/>
              <w:spacing w:line="480" w:lineRule="exact"/>
              <w:jc w:val="center"/>
              <w:rPr>
                <w:rFonts w:hint="eastAsia" w:ascii="宋体" w:hAnsi="宋体" w:eastAsia="宋体" w:cs="宋体"/>
                <w:color w:val="auto"/>
                <w:szCs w:val="21"/>
                <w:highlight w:val="none"/>
              </w:rPr>
            </w:pPr>
          </w:p>
        </w:tc>
        <w:tc>
          <w:tcPr>
            <w:tcW w:w="1533" w:type="dxa"/>
          </w:tcPr>
          <w:p w14:paraId="3624B816">
            <w:pPr>
              <w:pStyle w:val="30"/>
              <w:shd w:val="clea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1357" w:type="dxa"/>
            <w:vAlign w:val="center"/>
          </w:tcPr>
          <w:p w14:paraId="1B12E6DB">
            <w:pPr>
              <w:pStyle w:val="30"/>
              <w:shd w:val="clear"/>
              <w:spacing w:line="480" w:lineRule="exact"/>
              <w:jc w:val="center"/>
              <w:rPr>
                <w:rFonts w:hint="eastAsia" w:ascii="宋体" w:hAnsi="宋体" w:eastAsia="宋体" w:cs="宋体"/>
                <w:color w:val="auto"/>
                <w:szCs w:val="21"/>
                <w:highlight w:val="none"/>
              </w:rPr>
            </w:pPr>
          </w:p>
        </w:tc>
        <w:tc>
          <w:tcPr>
            <w:tcW w:w="1200" w:type="dxa"/>
            <w:vAlign w:val="center"/>
          </w:tcPr>
          <w:p w14:paraId="7AA95E03">
            <w:pPr>
              <w:pStyle w:val="30"/>
              <w:shd w:val="clear"/>
              <w:spacing w:line="480" w:lineRule="exact"/>
              <w:jc w:val="center"/>
              <w:rPr>
                <w:rFonts w:hint="eastAsia" w:ascii="宋体" w:hAnsi="宋体" w:eastAsia="宋体" w:cs="宋体"/>
                <w:color w:val="auto"/>
                <w:szCs w:val="21"/>
                <w:highlight w:val="none"/>
              </w:rPr>
            </w:pPr>
          </w:p>
        </w:tc>
        <w:tc>
          <w:tcPr>
            <w:tcW w:w="1403" w:type="dxa"/>
            <w:vAlign w:val="center"/>
          </w:tcPr>
          <w:p w14:paraId="53159552">
            <w:pPr>
              <w:pStyle w:val="30"/>
              <w:shd w:val="clear"/>
              <w:spacing w:line="480" w:lineRule="exact"/>
              <w:jc w:val="center"/>
              <w:rPr>
                <w:rFonts w:hint="eastAsia" w:ascii="宋体" w:hAnsi="宋体" w:eastAsia="宋体" w:cs="宋体"/>
                <w:color w:val="auto"/>
                <w:szCs w:val="21"/>
                <w:highlight w:val="none"/>
              </w:rPr>
            </w:pPr>
          </w:p>
        </w:tc>
        <w:tc>
          <w:tcPr>
            <w:tcW w:w="1403" w:type="dxa"/>
          </w:tcPr>
          <w:p w14:paraId="59541B23">
            <w:pPr>
              <w:pStyle w:val="30"/>
              <w:shd w:val="clear"/>
              <w:spacing w:line="480" w:lineRule="exact"/>
              <w:jc w:val="center"/>
              <w:rPr>
                <w:rFonts w:hint="eastAsia" w:ascii="宋体" w:hAnsi="宋体" w:eastAsia="宋体" w:cs="宋体"/>
                <w:color w:val="auto"/>
                <w:szCs w:val="21"/>
                <w:highlight w:val="none"/>
              </w:rPr>
            </w:pPr>
          </w:p>
        </w:tc>
      </w:tr>
      <w:tr w14:paraId="6F0B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23808D56">
            <w:pPr>
              <w:pStyle w:val="30"/>
              <w:shd w:val="clear"/>
              <w:spacing w:line="480" w:lineRule="exact"/>
              <w:jc w:val="center"/>
              <w:rPr>
                <w:rFonts w:hint="eastAsia" w:ascii="宋体" w:hAnsi="宋体" w:eastAsia="宋体" w:cs="宋体"/>
                <w:color w:val="auto"/>
                <w:szCs w:val="21"/>
                <w:highlight w:val="none"/>
              </w:rPr>
            </w:pPr>
          </w:p>
        </w:tc>
        <w:tc>
          <w:tcPr>
            <w:tcW w:w="1026" w:type="dxa"/>
            <w:vAlign w:val="center"/>
          </w:tcPr>
          <w:p w14:paraId="66C45C1F">
            <w:pPr>
              <w:pStyle w:val="30"/>
              <w:shd w:val="clear"/>
              <w:spacing w:line="480" w:lineRule="exact"/>
              <w:jc w:val="center"/>
              <w:rPr>
                <w:rFonts w:hint="eastAsia" w:ascii="宋体" w:hAnsi="宋体" w:eastAsia="宋体" w:cs="宋体"/>
                <w:color w:val="auto"/>
                <w:szCs w:val="21"/>
                <w:highlight w:val="none"/>
              </w:rPr>
            </w:pPr>
          </w:p>
        </w:tc>
        <w:tc>
          <w:tcPr>
            <w:tcW w:w="877" w:type="dxa"/>
            <w:vAlign w:val="center"/>
          </w:tcPr>
          <w:p w14:paraId="344C20EA">
            <w:pPr>
              <w:pStyle w:val="30"/>
              <w:shd w:val="clear"/>
              <w:spacing w:line="480" w:lineRule="exact"/>
              <w:jc w:val="center"/>
              <w:rPr>
                <w:rFonts w:hint="eastAsia" w:ascii="宋体" w:hAnsi="宋体" w:eastAsia="宋体" w:cs="宋体"/>
                <w:color w:val="auto"/>
                <w:szCs w:val="21"/>
                <w:highlight w:val="none"/>
              </w:rPr>
            </w:pPr>
          </w:p>
        </w:tc>
        <w:tc>
          <w:tcPr>
            <w:tcW w:w="1533" w:type="dxa"/>
            <w:vAlign w:val="center"/>
          </w:tcPr>
          <w:p w14:paraId="4D7EC9D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项目人员</w:t>
            </w:r>
          </w:p>
        </w:tc>
        <w:tc>
          <w:tcPr>
            <w:tcW w:w="1357" w:type="dxa"/>
            <w:vAlign w:val="center"/>
          </w:tcPr>
          <w:p w14:paraId="701EEA6D">
            <w:pPr>
              <w:pStyle w:val="30"/>
              <w:shd w:val="clear"/>
              <w:spacing w:line="480" w:lineRule="exact"/>
              <w:jc w:val="center"/>
              <w:rPr>
                <w:rFonts w:hint="eastAsia" w:ascii="宋体" w:hAnsi="宋体" w:eastAsia="宋体" w:cs="宋体"/>
                <w:color w:val="auto"/>
                <w:szCs w:val="21"/>
                <w:highlight w:val="none"/>
              </w:rPr>
            </w:pPr>
          </w:p>
        </w:tc>
        <w:tc>
          <w:tcPr>
            <w:tcW w:w="1200" w:type="dxa"/>
            <w:vAlign w:val="center"/>
          </w:tcPr>
          <w:p w14:paraId="456379D6">
            <w:pPr>
              <w:pStyle w:val="30"/>
              <w:shd w:val="clear"/>
              <w:spacing w:line="480" w:lineRule="exact"/>
              <w:jc w:val="center"/>
              <w:rPr>
                <w:rFonts w:hint="eastAsia" w:ascii="宋体" w:hAnsi="宋体" w:eastAsia="宋体" w:cs="宋体"/>
                <w:color w:val="auto"/>
                <w:szCs w:val="21"/>
                <w:highlight w:val="none"/>
              </w:rPr>
            </w:pPr>
          </w:p>
        </w:tc>
        <w:tc>
          <w:tcPr>
            <w:tcW w:w="1403" w:type="dxa"/>
            <w:vAlign w:val="center"/>
          </w:tcPr>
          <w:p w14:paraId="16D3AA69">
            <w:pPr>
              <w:pStyle w:val="30"/>
              <w:shd w:val="clear"/>
              <w:spacing w:line="480" w:lineRule="exact"/>
              <w:jc w:val="center"/>
              <w:rPr>
                <w:rFonts w:hint="eastAsia" w:ascii="宋体" w:hAnsi="宋体" w:eastAsia="宋体" w:cs="宋体"/>
                <w:color w:val="auto"/>
                <w:szCs w:val="21"/>
                <w:highlight w:val="none"/>
              </w:rPr>
            </w:pPr>
          </w:p>
        </w:tc>
        <w:tc>
          <w:tcPr>
            <w:tcW w:w="1403" w:type="dxa"/>
          </w:tcPr>
          <w:p w14:paraId="5F2CDAAA">
            <w:pPr>
              <w:pStyle w:val="30"/>
              <w:shd w:val="clear"/>
              <w:spacing w:line="480" w:lineRule="exact"/>
              <w:jc w:val="center"/>
              <w:rPr>
                <w:rFonts w:hint="eastAsia" w:ascii="宋体" w:hAnsi="宋体" w:eastAsia="宋体" w:cs="宋体"/>
                <w:color w:val="auto"/>
                <w:szCs w:val="21"/>
                <w:highlight w:val="none"/>
              </w:rPr>
            </w:pPr>
          </w:p>
        </w:tc>
      </w:tr>
      <w:tr w14:paraId="4562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45830AB5">
            <w:pPr>
              <w:pStyle w:val="30"/>
              <w:shd w:val="clear"/>
              <w:spacing w:line="480" w:lineRule="exact"/>
              <w:jc w:val="center"/>
              <w:rPr>
                <w:rFonts w:hint="eastAsia" w:ascii="宋体" w:hAnsi="宋体" w:eastAsia="宋体" w:cs="宋体"/>
                <w:color w:val="auto"/>
                <w:szCs w:val="21"/>
                <w:highlight w:val="none"/>
              </w:rPr>
            </w:pPr>
          </w:p>
        </w:tc>
        <w:tc>
          <w:tcPr>
            <w:tcW w:w="1026" w:type="dxa"/>
            <w:vAlign w:val="center"/>
          </w:tcPr>
          <w:p w14:paraId="75868C4B">
            <w:pPr>
              <w:pStyle w:val="30"/>
              <w:shd w:val="clear"/>
              <w:spacing w:line="480" w:lineRule="exact"/>
              <w:jc w:val="center"/>
              <w:rPr>
                <w:rFonts w:hint="eastAsia" w:ascii="宋体" w:hAnsi="宋体" w:eastAsia="宋体" w:cs="宋体"/>
                <w:color w:val="auto"/>
                <w:szCs w:val="21"/>
                <w:highlight w:val="none"/>
              </w:rPr>
            </w:pPr>
          </w:p>
        </w:tc>
        <w:tc>
          <w:tcPr>
            <w:tcW w:w="877" w:type="dxa"/>
            <w:vAlign w:val="center"/>
          </w:tcPr>
          <w:p w14:paraId="267E7877">
            <w:pPr>
              <w:pStyle w:val="30"/>
              <w:shd w:val="clear"/>
              <w:spacing w:line="480" w:lineRule="exact"/>
              <w:jc w:val="center"/>
              <w:rPr>
                <w:rFonts w:hint="eastAsia" w:ascii="宋体" w:hAnsi="宋体" w:eastAsia="宋体" w:cs="宋体"/>
                <w:color w:val="auto"/>
                <w:szCs w:val="21"/>
                <w:highlight w:val="none"/>
              </w:rPr>
            </w:pPr>
          </w:p>
        </w:tc>
        <w:tc>
          <w:tcPr>
            <w:tcW w:w="1533" w:type="dxa"/>
          </w:tcPr>
          <w:p w14:paraId="5B71A466">
            <w:pPr>
              <w:pStyle w:val="30"/>
              <w:shd w:val="clear"/>
              <w:spacing w:line="4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7" w:type="dxa"/>
            <w:vAlign w:val="center"/>
          </w:tcPr>
          <w:p w14:paraId="2BE7BF5E">
            <w:pPr>
              <w:pStyle w:val="30"/>
              <w:shd w:val="clear"/>
              <w:spacing w:line="480" w:lineRule="exact"/>
              <w:jc w:val="center"/>
              <w:rPr>
                <w:rFonts w:hint="eastAsia" w:ascii="宋体" w:hAnsi="宋体" w:eastAsia="宋体" w:cs="宋体"/>
                <w:color w:val="auto"/>
                <w:szCs w:val="21"/>
                <w:highlight w:val="none"/>
              </w:rPr>
            </w:pPr>
          </w:p>
        </w:tc>
        <w:tc>
          <w:tcPr>
            <w:tcW w:w="1200" w:type="dxa"/>
            <w:vAlign w:val="center"/>
          </w:tcPr>
          <w:p w14:paraId="55CC0B91">
            <w:pPr>
              <w:pStyle w:val="30"/>
              <w:shd w:val="clear"/>
              <w:spacing w:line="480" w:lineRule="exact"/>
              <w:jc w:val="center"/>
              <w:rPr>
                <w:rFonts w:hint="eastAsia" w:ascii="宋体" w:hAnsi="宋体" w:eastAsia="宋体" w:cs="宋体"/>
                <w:color w:val="auto"/>
                <w:szCs w:val="21"/>
                <w:highlight w:val="none"/>
              </w:rPr>
            </w:pPr>
          </w:p>
        </w:tc>
        <w:tc>
          <w:tcPr>
            <w:tcW w:w="1403" w:type="dxa"/>
            <w:vAlign w:val="center"/>
          </w:tcPr>
          <w:p w14:paraId="1A0255ED">
            <w:pPr>
              <w:pStyle w:val="30"/>
              <w:shd w:val="clear"/>
              <w:spacing w:line="480" w:lineRule="exact"/>
              <w:jc w:val="center"/>
              <w:rPr>
                <w:rFonts w:hint="eastAsia" w:ascii="宋体" w:hAnsi="宋体" w:eastAsia="宋体" w:cs="宋体"/>
                <w:color w:val="auto"/>
                <w:szCs w:val="21"/>
                <w:highlight w:val="none"/>
              </w:rPr>
            </w:pPr>
          </w:p>
        </w:tc>
        <w:tc>
          <w:tcPr>
            <w:tcW w:w="1403" w:type="dxa"/>
          </w:tcPr>
          <w:p w14:paraId="792AC002">
            <w:pPr>
              <w:pStyle w:val="30"/>
              <w:shd w:val="clear"/>
              <w:spacing w:line="480" w:lineRule="exact"/>
              <w:jc w:val="center"/>
              <w:rPr>
                <w:rFonts w:hint="eastAsia" w:ascii="宋体" w:hAnsi="宋体" w:eastAsia="宋体" w:cs="宋体"/>
                <w:color w:val="auto"/>
                <w:szCs w:val="21"/>
                <w:highlight w:val="none"/>
              </w:rPr>
            </w:pPr>
          </w:p>
        </w:tc>
      </w:tr>
      <w:tr w14:paraId="240D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611B3E7A">
            <w:pPr>
              <w:pStyle w:val="30"/>
              <w:shd w:val="clear"/>
              <w:spacing w:line="480" w:lineRule="exact"/>
              <w:jc w:val="center"/>
              <w:rPr>
                <w:rFonts w:hint="eastAsia" w:ascii="宋体" w:hAnsi="宋体" w:eastAsia="宋体" w:cs="宋体"/>
                <w:color w:val="auto"/>
                <w:szCs w:val="21"/>
                <w:highlight w:val="none"/>
              </w:rPr>
            </w:pPr>
          </w:p>
        </w:tc>
        <w:tc>
          <w:tcPr>
            <w:tcW w:w="1026" w:type="dxa"/>
            <w:vAlign w:val="center"/>
          </w:tcPr>
          <w:p w14:paraId="7F125048">
            <w:pPr>
              <w:pStyle w:val="30"/>
              <w:shd w:val="clear"/>
              <w:spacing w:line="480" w:lineRule="exact"/>
              <w:jc w:val="center"/>
              <w:rPr>
                <w:rFonts w:hint="eastAsia" w:ascii="宋体" w:hAnsi="宋体" w:eastAsia="宋体" w:cs="宋体"/>
                <w:color w:val="auto"/>
                <w:szCs w:val="21"/>
                <w:highlight w:val="none"/>
              </w:rPr>
            </w:pPr>
          </w:p>
        </w:tc>
        <w:tc>
          <w:tcPr>
            <w:tcW w:w="877" w:type="dxa"/>
            <w:vAlign w:val="center"/>
          </w:tcPr>
          <w:p w14:paraId="75063280">
            <w:pPr>
              <w:pStyle w:val="30"/>
              <w:shd w:val="clear"/>
              <w:spacing w:line="480" w:lineRule="exact"/>
              <w:jc w:val="center"/>
              <w:rPr>
                <w:rFonts w:hint="eastAsia" w:ascii="宋体" w:hAnsi="宋体" w:eastAsia="宋体" w:cs="宋体"/>
                <w:color w:val="auto"/>
                <w:szCs w:val="21"/>
                <w:highlight w:val="none"/>
              </w:rPr>
            </w:pPr>
          </w:p>
        </w:tc>
        <w:tc>
          <w:tcPr>
            <w:tcW w:w="1533" w:type="dxa"/>
          </w:tcPr>
          <w:p w14:paraId="6CC64C38">
            <w:pPr>
              <w:pStyle w:val="30"/>
              <w:shd w:val="clear"/>
              <w:spacing w:line="480" w:lineRule="exact"/>
              <w:jc w:val="center"/>
              <w:rPr>
                <w:rFonts w:hint="eastAsia" w:ascii="宋体" w:hAnsi="宋体" w:eastAsia="宋体" w:cs="宋体"/>
                <w:color w:val="auto"/>
                <w:szCs w:val="21"/>
                <w:highlight w:val="none"/>
              </w:rPr>
            </w:pPr>
          </w:p>
        </w:tc>
        <w:tc>
          <w:tcPr>
            <w:tcW w:w="1357" w:type="dxa"/>
            <w:vAlign w:val="center"/>
          </w:tcPr>
          <w:p w14:paraId="2975F1B9">
            <w:pPr>
              <w:pStyle w:val="30"/>
              <w:shd w:val="clear"/>
              <w:spacing w:line="480" w:lineRule="exact"/>
              <w:jc w:val="center"/>
              <w:rPr>
                <w:rFonts w:hint="eastAsia" w:ascii="宋体" w:hAnsi="宋体" w:eastAsia="宋体" w:cs="宋体"/>
                <w:color w:val="auto"/>
                <w:szCs w:val="21"/>
                <w:highlight w:val="none"/>
              </w:rPr>
            </w:pPr>
          </w:p>
        </w:tc>
        <w:tc>
          <w:tcPr>
            <w:tcW w:w="1200" w:type="dxa"/>
            <w:vAlign w:val="center"/>
          </w:tcPr>
          <w:p w14:paraId="1ED82954">
            <w:pPr>
              <w:pStyle w:val="30"/>
              <w:shd w:val="clear"/>
              <w:spacing w:line="480" w:lineRule="exact"/>
              <w:jc w:val="center"/>
              <w:rPr>
                <w:rFonts w:hint="eastAsia" w:ascii="宋体" w:hAnsi="宋体" w:eastAsia="宋体" w:cs="宋体"/>
                <w:color w:val="auto"/>
                <w:szCs w:val="21"/>
                <w:highlight w:val="none"/>
              </w:rPr>
            </w:pPr>
          </w:p>
        </w:tc>
        <w:tc>
          <w:tcPr>
            <w:tcW w:w="1403" w:type="dxa"/>
            <w:vAlign w:val="center"/>
          </w:tcPr>
          <w:p w14:paraId="494DEAE9">
            <w:pPr>
              <w:pStyle w:val="30"/>
              <w:shd w:val="clear"/>
              <w:spacing w:line="480" w:lineRule="exact"/>
              <w:jc w:val="center"/>
              <w:rPr>
                <w:rFonts w:hint="eastAsia" w:ascii="宋体" w:hAnsi="宋体" w:eastAsia="宋体" w:cs="宋体"/>
                <w:color w:val="auto"/>
                <w:szCs w:val="21"/>
                <w:highlight w:val="none"/>
              </w:rPr>
            </w:pPr>
          </w:p>
        </w:tc>
        <w:tc>
          <w:tcPr>
            <w:tcW w:w="1403" w:type="dxa"/>
          </w:tcPr>
          <w:p w14:paraId="375ABBB2">
            <w:pPr>
              <w:pStyle w:val="30"/>
              <w:shd w:val="clear"/>
              <w:spacing w:line="480" w:lineRule="exact"/>
              <w:jc w:val="center"/>
              <w:rPr>
                <w:rFonts w:hint="eastAsia" w:ascii="宋体" w:hAnsi="宋体" w:eastAsia="宋体" w:cs="宋体"/>
                <w:color w:val="auto"/>
                <w:szCs w:val="21"/>
                <w:highlight w:val="none"/>
              </w:rPr>
            </w:pPr>
          </w:p>
        </w:tc>
      </w:tr>
      <w:tr w14:paraId="0AE6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73168F0F">
            <w:pPr>
              <w:pStyle w:val="30"/>
              <w:shd w:val="clear"/>
              <w:spacing w:line="480" w:lineRule="exact"/>
              <w:jc w:val="center"/>
              <w:rPr>
                <w:rFonts w:hint="eastAsia" w:ascii="宋体" w:hAnsi="宋体" w:eastAsia="宋体" w:cs="宋体"/>
                <w:color w:val="auto"/>
                <w:szCs w:val="21"/>
                <w:highlight w:val="none"/>
              </w:rPr>
            </w:pPr>
          </w:p>
        </w:tc>
        <w:tc>
          <w:tcPr>
            <w:tcW w:w="1026" w:type="dxa"/>
            <w:vAlign w:val="center"/>
          </w:tcPr>
          <w:p w14:paraId="3B194DFF">
            <w:pPr>
              <w:pStyle w:val="30"/>
              <w:shd w:val="clear"/>
              <w:spacing w:line="480" w:lineRule="exact"/>
              <w:jc w:val="center"/>
              <w:rPr>
                <w:rFonts w:hint="eastAsia" w:ascii="宋体" w:hAnsi="宋体" w:eastAsia="宋体" w:cs="宋体"/>
                <w:color w:val="auto"/>
                <w:szCs w:val="21"/>
                <w:highlight w:val="none"/>
              </w:rPr>
            </w:pPr>
          </w:p>
        </w:tc>
        <w:tc>
          <w:tcPr>
            <w:tcW w:w="877" w:type="dxa"/>
            <w:vAlign w:val="center"/>
          </w:tcPr>
          <w:p w14:paraId="7D31C8B3">
            <w:pPr>
              <w:pStyle w:val="30"/>
              <w:shd w:val="clear"/>
              <w:spacing w:line="480" w:lineRule="exact"/>
              <w:jc w:val="center"/>
              <w:rPr>
                <w:rFonts w:hint="eastAsia" w:ascii="宋体" w:hAnsi="宋体" w:eastAsia="宋体" w:cs="宋体"/>
                <w:color w:val="auto"/>
                <w:szCs w:val="21"/>
                <w:highlight w:val="none"/>
              </w:rPr>
            </w:pPr>
          </w:p>
        </w:tc>
        <w:tc>
          <w:tcPr>
            <w:tcW w:w="1533" w:type="dxa"/>
          </w:tcPr>
          <w:p w14:paraId="5EC02883">
            <w:pPr>
              <w:pStyle w:val="30"/>
              <w:shd w:val="clear"/>
              <w:spacing w:line="480" w:lineRule="exact"/>
              <w:jc w:val="center"/>
              <w:rPr>
                <w:rFonts w:hint="eastAsia" w:ascii="宋体" w:hAnsi="宋体" w:eastAsia="宋体" w:cs="宋体"/>
                <w:color w:val="auto"/>
                <w:szCs w:val="21"/>
                <w:highlight w:val="none"/>
              </w:rPr>
            </w:pPr>
          </w:p>
        </w:tc>
        <w:tc>
          <w:tcPr>
            <w:tcW w:w="1357" w:type="dxa"/>
            <w:vAlign w:val="center"/>
          </w:tcPr>
          <w:p w14:paraId="33097A86">
            <w:pPr>
              <w:pStyle w:val="30"/>
              <w:shd w:val="clear"/>
              <w:spacing w:line="480" w:lineRule="exact"/>
              <w:jc w:val="center"/>
              <w:rPr>
                <w:rFonts w:hint="eastAsia" w:ascii="宋体" w:hAnsi="宋体" w:eastAsia="宋体" w:cs="宋体"/>
                <w:color w:val="auto"/>
                <w:szCs w:val="21"/>
                <w:highlight w:val="none"/>
              </w:rPr>
            </w:pPr>
          </w:p>
        </w:tc>
        <w:tc>
          <w:tcPr>
            <w:tcW w:w="1200" w:type="dxa"/>
            <w:vAlign w:val="center"/>
          </w:tcPr>
          <w:p w14:paraId="46AD73C8">
            <w:pPr>
              <w:pStyle w:val="30"/>
              <w:shd w:val="clear"/>
              <w:spacing w:line="480" w:lineRule="exact"/>
              <w:jc w:val="center"/>
              <w:rPr>
                <w:rFonts w:hint="eastAsia" w:ascii="宋体" w:hAnsi="宋体" w:eastAsia="宋体" w:cs="宋体"/>
                <w:color w:val="auto"/>
                <w:szCs w:val="21"/>
                <w:highlight w:val="none"/>
              </w:rPr>
            </w:pPr>
          </w:p>
        </w:tc>
        <w:tc>
          <w:tcPr>
            <w:tcW w:w="1403" w:type="dxa"/>
            <w:vAlign w:val="center"/>
          </w:tcPr>
          <w:p w14:paraId="41568B92">
            <w:pPr>
              <w:pStyle w:val="30"/>
              <w:shd w:val="clear"/>
              <w:spacing w:line="480" w:lineRule="exact"/>
              <w:jc w:val="center"/>
              <w:rPr>
                <w:rFonts w:hint="eastAsia" w:ascii="宋体" w:hAnsi="宋体" w:eastAsia="宋体" w:cs="宋体"/>
                <w:color w:val="auto"/>
                <w:szCs w:val="21"/>
                <w:highlight w:val="none"/>
              </w:rPr>
            </w:pPr>
          </w:p>
        </w:tc>
        <w:tc>
          <w:tcPr>
            <w:tcW w:w="1403" w:type="dxa"/>
          </w:tcPr>
          <w:p w14:paraId="42E9BBBE">
            <w:pPr>
              <w:pStyle w:val="30"/>
              <w:shd w:val="clear"/>
              <w:spacing w:line="480" w:lineRule="exact"/>
              <w:jc w:val="center"/>
              <w:rPr>
                <w:rFonts w:hint="eastAsia" w:ascii="宋体" w:hAnsi="宋体" w:eastAsia="宋体" w:cs="宋体"/>
                <w:color w:val="auto"/>
                <w:szCs w:val="21"/>
                <w:highlight w:val="none"/>
              </w:rPr>
            </w:pPr>
          </w:p>
        </w:tc>
      </w:tr>
      <w:tr w14:paraId="1BFD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137C7242">
            <w:pPr>
              <w:pStyle w:val="30"/>
              <w:shd w:val="clear"/>
              <w:spacing w:line="480" w:lineRule="exact"/>
              <w:jc w:val="center"/>
              <w:rPr>
                <w:rFonts w:hint="eastAsia" w:ascii="宋体" w:hAnsi="宋体" w:eastAsia="宋体" w:cs="宋体"/>
                <w:color w:val="auto"/>
                <w:szCs w:val="21"/>
                <w:highlight w:val="none"/>
              </w:rPr>
            </w:pPr>
          </w:p>
        </w:tc>
        <w:tc>
          <w:tcPr>
            <w:tcW w:w="1026" w:type="dxa"/>
            <w:vAlign w:val="center"/>
          </w:tcPr>
          <w:p w14:paraId="5B9B6DCC">
            <w:pPr>
              <w:pStyle w:val="30"/>
              <w:shd w:val="clear"/>
              <w:spacing w:line="480" w:lineRule="exact"/>
              <w:jc w:val="center"/>
              <w:rPr>
                <w:rFonts w:hint="eastAsia" w:ascii="宋体" w:hAnsi="宋体" w:eastAsia="宋体" w:cs="宋体"/>
                <w:color w:val="auto"/>
                <w:szCs w:val="21"/>
                <w:highlight w:val="none"/>
              </w:rPr>
            </w:pPr>
          </w:p>
        </w:tc>
        <w:tc>
          <w:tcPr>
            <w:tcW w:w="877" w:type="dxa"/>
            <w:vAlign w:val="center"/>
          </w:tcPr>
          <w:p w14:paraId="5147C81C">
            <w:pPr>
              <w:pStyle w:val="30"/>
              <w:shd w:val="clear"/>
              <w:spacing w:line="480" w:lineRule="exact"/>
              <w:jc w:val="center"/>
              <w:rPr>
                <w:rFonts w:hint="eastAsia" w:ascii="宋体" w:hAnsi="宋体" w:eastAsia="宋体" w:cs="宋体"/>
                <w:color w:val="auto"/>
                <w:szCs w:val="21"/>
                <w:highlight w:val="none"/>
              </w:rPr>
            </w:pPr>
          </w:p>
        </w:tc>
        <w:tc>
          <w:tcPr>
            <w:tcW w:w="1533" w:type="dxa"/>
          </w:tcPr>
          <w:p w14:paraId="4531D23D">
            <w:pPr>
              <w:pStyle w:val="30"/>
              <w:shd w:val="clear"/>
              <w:spacing w:line="480" w:lineRule="exact"/>
              <w:jc w:val="center"/>
              <w:rPr>
                <w:rFonts w:hint="eastAsia" w:ascii="宋体" w:hAnsi="宋体" w:eastAsia="宋体" w:cs="宋体"/>
                <w:color w:val="auto"/>
                <w:szCs w:val="21"/>
                <w:highlight w:val="none"/>
              </w:rPr>
            </w:pPr>
          </w:p>
        </w:tc>
        <w:tc>
          <w:tcPr>
            <w:tcW w:w="1357" w:type="dxa"/>
            <w:vAlign w:val="center"/>
          </w:tcPr>
          <w:p w14:paraId="42F2AAB5">
            <w:pPr>
              <w:pStyle w:val="30"/>
              <w:shd w:val="clear"/>
              <w:spacing w:line="480" w:lineRule="exact"/>
              <w:jc w:val="center"/>
              <w:rPr>
                <w:rFonts w:hint="eastAsia" w:ascii="宋体" w:hAnsi="宋体" w:eastAsia="宋体" w:cs="宋体"/>
                <w:color w:val="auto"/>
                <w:szCs w:val="21"/>
                <w:highlight w:val="none"/>
              </w:rPr>
            </w:pPr>
          </w:p>
        </w:tc>
        <w:tc>
          <w:tcPr>
            <w:tcW w:w="1200" w:type="dxa"/>
            <w:vAlign w:val="center"/>
          </w:tcPr>
          <w:p w14:paraId="525A31AB">
            <w:pPr>
              <w:pStyle w:val="30"/>
              <w:shd w:val="clear"/>
              <w:spacing w:line="480" w:lineRule="exact"/>
              <w:jc w:val="center"/>
              <w:rPr>
                <w:rFonts w:hint="eastAsia" w:ascii="宋体" w:hAnsi="宋体" w:eastAsia="宋体" w:cs="宋体"/>
                <w:color w:val="auto"/>
                <w:szCs w:val="21"/>
                <w:highlight w:val="none"/>
              </w:rPr>
            </w:pPr>
          </w:p>
        </w:tc>
        <w:tc>
          <w:tcPr>
            <w:tcW w:w="1403" w:type="dxa"/>
            <w:vAlign w:val="center"/>
          </w:tcPr>
          <w:p w14:paraId="2B1FA438">
            <w:pPr>
              <w:pStyle w:val="30"/>
              <w:shd w:val="clear"/>
              <w:spacing w:line="480" w:lineRule="exact"/>
              <w:jc w:val="center"/>
              <w:rPr>
                <w:rFonts w:hint="eastAsia" w:ascii="宋体" w:hAnsi="宋体" w:eastAsia="宋体" w:cs="宋体"/>
                <w:color w:val="auto"/>
                <w:szCs w:val="21"/>
                <w:highlight w:val="none"/>
              </w:rPr>
            </w:pPr>
          </w:p>
        </w:tc>
        <w:tc>
          <w:tcPr>
            <w:tcW w:w="1403" w:type="dxa"/>
          </w:tcPr>
          <w:p w14:paraId="53D7C712">
            <w:pPr>
              <w:pStyle w:val="30"/>
              <w:shd w:val="clear"/>
              <w:spacing w:line="480" w:lineRule="exact"/>
              <w:jc w:val="center"/>
              <w:rPr>
                <w:rFonts w:hint="eastAsia" w:ascii="宋体" w:hAnsi="宋体" w:eastAsia="宋体" w:cs="宋体"/>
                <w:color w:val="auto"/>
                <w:szCs w:val="21"/>
                <w:highlight w:val="none"/>
              </w:rPr>
            </w:pPr>
          </w:p>
        </w:tc>
      </w:tr>
      <w:tr w14:paraId="604B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14:paraId="16337E39">
            <w:pPr>
              <w:pStyle w:val="30"/>
              <w:shd w:val="clear"/>
              <w:spacing w:line="480" w:lineRule="exact"/>
              <w:jc w:val="center"/>
              <w:rPr>
                <w:rFonts w:hint="eastAsia" w:ascii="宋体" w:hAnsi="宋体" w:eastAsia="宋体" w:cs="宋体"/>
                <w:color w:val="auto"/>
                <w:szCs w:val="21"/>
                <w:highlight w:val="none"/>
              </w:rPr>
            </w:pPr>
          </w:p>
        </w:tc>
        <w:tc>
          <w:tcPr>
            <w:tcW w:w="1026" w:type="dxa"/>
            <w:vAlign w:val="center"/>
          </w:tcPr>
          <w:p w14:paraId="20F09363">
            <w:pPr>
              <w:pStyle w:val="30"/>
              <w:shd w:val="clear"/>
              <w:spacing w:line="480" w:lineRule="exact"/>
              <w:jc w:val="center"/>
              <w:rPr>
                <w:rFonts w:hint="eastAsia" w:ascii="宋体" w:hAnsi="宋体" w:eastAsia="宋体" w:cs="宋体"/>
                <w:color w:val="auto"/>
                <w:szCs w:val="21"/>
                <w:highlight w:val="none"/>
              </w:rPr>
            </w:pPr>
          </w:p>
        </w:tc>
        <w:tc>
          <w:tcPr>
            <w:tcW w:w="877" w:type="dxa"/>
            <w:vAlign w:val="center"/>
          </w:tcPr>
          <w:p w14:paraId="6C536B3A">
            <w:pPr>
              <w:pStyle w:val="30"/>
              <w:shd w:val="clear"/>
              <w:spacing w:line="480" w:lineRule="exact"/>
              <w:jc w:val="center"/>
              <w:rPr>
                <w:rFonts w:hint="eastAsia" w:ascii="宋体" w:hAnsi="宋体" w:eastAsia="宋体" w:cs="宋体"/>
                <w:color w:val="auto"/>
                <w:szCs w:val="21"/>
                <w:highlight w:val="none"/>
              </w:rPr>
            </w:pPr>
          </w:p>
        </w:tc>
        <w:tc>
          <w:tcPr>
            <w:tcW w:w="1533" w:type="dxa"/>
          </w:tcPr>
          <w:p w14:paraId="555C3DC2">
            <w:pPr>
              <w:pStyle w:val="30"/>
              <w:shd w:val="clear"/>
              <w:spacing w:line="480" w:lineRule="exact"/>
              <w:jc w:val="center"/>
              <w:rPr>
                <w:rFonts w:hint="eastAsia" w:ascii="宋体" w:hAnsi="宋体" w:eastAsia="宋体" w:cs="宋体"/>
                <w:color w:val="auto"/>
                <w:szCs w:val="21"/>
                <w:highlight w:val="none"/>
              </w:rPr>
            </w:pPr>
          </w:p>
        </w:tc>
        <w:tc>
          <w:tcPr>
            <w:tcW w:w="1357" w:type="dxa"/>
            <w:vAlign w:val="center"/>
          </w:tcPr>
          <w:p w14:paraId="47628178">
            <w:pPr>
              <w:pStyle w:val="30"/>
              <w:shd w:val="clear"/>
              <w:spacing w:line="480" w:lineRule="exact"/>
              <w:jc w:val="center"/>
              <w:rPr>
                <w:rFonts w:hint="eastAsia" w:ascii="宋体" w:hAnsi="宋体" w:eastAsia="宋体" w:cs="宋体"/>
                <w:color w:val="auto"/>
                <w:szCs w:val="21"/>
                <w:highlight w:val="none"/>
              </w:rPr>
            </w:pPr>
          </w:p>
        </w:tc>
        <w:tc>
          <w:tcPr>
            <w:tcW w:w="1200" w:type="dxa"/>
            <w:vAlign w:val="center"/>
          </w:tcPr>
          <w:p w14:paraId="0E105B37">
            <w:pPr>
              <w:pStyle w:val="30"/>
              <w:shd w:val="clear"/>
              <w:spacing w:line="480" w:lineRule="exact"/>
              <w:jc w:val="center"/>
              <w:rPr>
                <w:rFonts w:hint="eastAsia" w:ascii="宋体" w:hAnsi="宋体" w:eastAsia="宋体" w:cs="宋体"/>
                <w:color w:val="auto"/>
                <w:szCs w:val="21"/>
                <w:highlight w:val="none"/>
              </w:rPr>
            </w:pPr>
          </w:p>
        </w:tc>
        <w:tc>
          <w:tcPr>
            <w:tcW w:w="1403" w:type="dxa"/>
            <w:vAlign w:val="center"/>
          </w:tcPr>
          <w:p w14:paraId="2CAD2A19">
            <w:pPr>
              <w:pStyle w:val="30"/>
              <w:shd w:val="clear"/>
              <w:spacing w:line="480" w:lineRule="exact"/>
              <w:jc w:val="center"/>
              <w:rPr>
                <w:rFonts w:hint="eastAsia" w:ascii="宋体" w:hAnsi="宋体" w:eastAsia="宋体" w:cs="宋体"/>
                <w:color w:val="auto"/>
                <w:szCs w:val="21"/>
                <w:highlight w:val="none"/>
              </w:rPr>
            </w:pPr>
          </w:p>
        </w:tc>
        <w:tc>
          <w:tcPr>
            <w:tcW w:w="1403" w:type="dxa"/>
          </w:tcPr>
          <w:p w14:paraId="266884AF">
            <w:pPr>
              <w:pStyle w:val="30"/>
              <w:shd w:val="clear"/>
              <w:spacing w:line="480" w:lineRule="exact"/>
              <w:jc w:val="center"/>
              <w:rPr>
                <w:rFonts w:hint="eastAsia" w:ascii="宋体" w:hAnsi="宋体" w:eastAsia="宋体" w:cs="宋体"/>
                <w:color w:val="auto"/>
                <w:szCs w:val="21"/>
                <w:highlight w:val="none"/>
              </w:rPr>
            </w:pPr>
          </w:p>
        </w:tc>
      </w:tr>
      <w:tr w14:paraId="23AE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78FA48AC">
            <w:pPr>
              <w:pStyle w:val="30"/>
              <w:shd w:val="clear"/>
              <w:spacing w:line="480" w:lineRule="exact"/>
              <w:jc w:val="center"/>
              <w:rPr>
                <w:rFonts w:hint="eastAsia" w:ascii="宋体" w:hAnsi="宋体" w:eastAsia="宋体" w:cs="宋体"/>
                <w:color w:val="auto"/>
                <w:szCs w:val="21"/>
                <w:highlight w:val="none"/>
              </w:rPr>
            </w:pPr>
          </w:p>
        </w:tc>
        <w:tc>
          <w:tcPr>
            <w:tcW w:w="1026" w:type="dxa"/>
            <w:vAlign w:val="center"/>
          </w:tcPr>
          <w:p w14:paraId="13040DF3">
            <w:pPr>
              <w:pStyle w:val="30"/>
              <w:shd w:val="clear"/>
              <w:spacing w:line="480" w:lineRule="exact"/>
              <w:jc w:val="center"/>
              <w:rPr>
                <w:rFonts w:hint="eastAsia" w:ascii="宋体" w:hAnsi="宋体" w:eastAsia="宋体" w:cs="宋体"/>
                <w:color w:val="auto"/>
                <w:szCs w:val="21"/>
                <w:highlight w:val="none"/>
              </w:rPr>
            </w:pPr>
          </w:p>
        </w:tc>
        <w:tc>
          <w:tcPr>
            <w:tcW w:w="877" w:type="dxa"/>
            <w:vAlign w:val="center"/>
          </w:tcPr>
          <w:p w14:paraId="08D13046">
            <w:pPr>
              <w:pStyle w:val="30"/>
              <w:shd w:val="clear"/>
              <w:spacing w:line="480" w:lineRule="exact"/>
              <w:jc w:val="center"/>
              <w:rPr>
                <w:rFonts w:hint="eastAsia" w:ascii="宋体" w:hAnsi="宋体" w:eastAsia="宋体" w:cs="宋体"/>
                <w:color w:val="auto"/>
                <w:szCs w:val="21"/>
                <w:highlight w:val="none"/>
              </w:rPr>
            </w:pPr>
          </w:p>
        </w:tc>
        <w:tc>
          <w:tcPr>
            <w:tcW w:w="1533" w:type="dxa"/>
          </w:tcPr>
          <w:p w14:paraId="5C71D943">
            <w:pPr>
              <w:pStyle w:val="30"/>
              <w:shd w:val="clear"/>
              <w:spacing w:line="480" w:lineRule="exact"/>
              <w:jc w:val="center"/>
              <w:rPr>
                <w:rFonts w:hint="eastAsia" w:ascii="宋体" w:hAnsi="宋体" w:eastAsia="宋体" w:cs="宋体"/>
                <w:color w:val="auto"/>
                <w:szCs w:val="21"/>
                <w:highlight w:val="none"/>
              </w:rPr>
            </w:pPr>
          </w:p>
        </w:tc>
        <w:tc>
          <w:tcPr>
            <w:tcW w:w="1357" w:type="dxa"/>
            <w:vAlign w:val="center"/>
          </w:tcPr>
          <w:p w14:paraId="70D7AB66">
            <w:pPr>
              <w:pStyle w:val="30"/>
              <w:shd w:val="clear"/>
              <w:spacing w:line="480" w:lineRule="exact"/>
              <w:jc w:val="center"/>
              <w:rPr>
                <w:rFonts w:hint="eastAsia" w:ascii="宋体" w:hAnsi="宋体" w:eastAsia="宋体" w:cs="宋体"/>
                <w:color w:val="auto"/>
                <w:szCs w:val="21"/>
                <w:highlight w:val="none"/>
              </w:rPr>
            </w:pPr>
          </w:p>
        </w:tc>
        <w:tc>
          <w:tcPr>
            <w:tcW w:w="1200" w:type="dxa"/>
            <w:vAlign w:val="center"/>
          </w:tcPr>
          <w:p w14:paraId="1AD66079">
            <w:pPr>
              <w:pStyle w:val="30"/>
              <w:shd w:val="clear"/>
              <w:spacing w:line="480" w:lineRule="exact"/>
              <w:jc w:val="center"/>
              <w:rPr>
                <w:rFonts w:hint="eastAsia" w:ascii="宋体" w:hAnsi="宋体" w:eastAsia="宋体" w:cs="宋体"/>
                <w:color w:val="auto"/>
                <w:szCs w:val="21"/>
                <w:highlight w:val="none"/>
              </w:rPr>
            </w:pPr>
          </w:p>
        </w:tc>
        <w:tc>
          <w:tcPr>
            <w:tcW w:w="1403" w:type="dxa"/>
            <w:vAlign w:val="center"/>
          </w:tcPr>
          <w:p w14:paraId="46A669DF">
            <w:pPr>
              <w:pStyle w:val="30"/>
              <w:shd w:val="clear"/>
              <w:spacing w:line="480" w:lineRule="exact"/>
              <w:jc w:val="center"/>
              <w:rPr>
                <w:rFonts w:hint="eastAsia" w:ascii="宋体" w:hAnsi="宋体" w:eastAsia="宋体" w:cs="宋体"/>
                <w:color w:val="auto"/>
                <w:szCs w:val="21"/>
                <w:highlight w:val="none"/>
              </w:rPr>
            </w:pPr>
          </w:p>
        </w:tc>
        <w:tc>
          <w:tcPr>
            <w:tcW w:w="1403" w:type="dxa"/>
          </w:tcPr>
          <w:p w14:paraId="4EB071B2">
            <w:pPr>
              <w:pStyle w:val="30"/>
              <w:shd w:val="clear"/>
              <w:spacing w:line="480" w:lineRule="exact"/>
              <w:jc w:val="center"/>
              <w:rPr>
                <w:rFonts w:hint="eastAsia" w:ascii="宋体" w:hAnsi="宋体" w:eastAsia="宋体" w:cs="宋体"/>
                <w:color w:val="auto"/>
                <w:szCs w:val="21"/>
                <w:highlight w:val="none"/>
              </w:rPr>
            </w:pPr>
          </w:p>
        </w:tc>
      </w:tr>
      <w:tr w14:paraId="00A3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56DF3844">
            <w:pPr>
              <w:pStyle w:val="30"/>
              <w:shd w:val="clear"/>
              <w:spacing w:line="480" w:lineRule="exact"/>
              <w:jc w:val="center"/>
              <w:rPr>
                <w:rFonts w:hint="eastAsia" w:ascii="宋体" w:hAnsi="宋体" w:eastAsia="宋体" w:cs="宋体"/>
                <w:color w:val="auto"/>
                <w:szCs w:val="21"/>
                <w:highlight w:val="none"/>
              </w:rPr>
            </w:pPr>
          </w:p>
        </w:tc>
        <w:tc>
          <w:tcPr>
            <w:tcW w:w="1026" w:type="dxa"/>
            <w:vAlign w:val="center"/>
          </w:tcPr>
          <w:p w14:paraId="165F2A90">
            <w:pPr>
              <w:pStyle w:val="30"/>
              <w:shd w:val="clear"/>
              <w:spacing w:line="480" w:lineRule="exact"/>
              <w:jc w:val="center"/>
              <w:rPr>
                <w:rFonts w:hint="eastAsia" w:ascii="宋体" w:hAnsi="宋体" w:eastAsia="宋体" w:cs="宋体"/>
                <w:color w:val="auto"/>
                <w:szCs w:val="21"/>
                <w:highlight w:val="none"/>
              </w:rPr>
            </w:pPr>
          </w:p>
        </w:tc>
        <w:tc>
          <w:tcPr>
            <w:tcW w:w="877" w:type="dxa"/>
            <w:vAlign w:val="center"/>
          </w:tcPr>
          <w:p w14:paraId="08000313">
            <w:pPr>
              <w:pStyle w:val="30"/>
              <w:shd w:val="clear"/>
              <w:spacing w:line="480" w:lineRule="exact"/>
              <w:jc w:val="center"/>
              <w:rPr>
                <w:rFonts w:hint="eastAsia" w:ascii="宋体" w:hAnsi="宋体" w:eastAsia="宋体" w:cs="宋体"/>
                <w:color w:val="auto"/>
                <w:szCs w:val="21"/>
                <w:highlight w:val="none"/>
              </w:rPr>
            </w:pPr>
          </w:p>
        </w:tc>
        <w:tc>
          <w:tcPr>
            <w:tcW w:w="1533" w:type="dxa"/>
          </w:tcPr>
          <w:p w14:paraId="0E37FED4">
            <w:pPr>
              <w:pStyle w:val="30"/>
              <w:shd w:val="clear"/>
              <w:spacing w:line="480" w:lineRule="exact"/>
              <w:jc w:val="center"/>
              <w:rPr>
                <w:rFonts w:hint="eastAsia" w:ascii="宋体" w:hAnsi="宋体" w:eastAsia="宋体" w:cs="宋体"/>
                <w:color w:val="auto"/>
                <w:szCs w:val="21"/>
                <w:highlight w:val="none"/>
              </w:rPr>
            </w:pPr>
          </w:p>
        </w:tc>
        <w:tc>
          <w:tcPr>
            <w:tcW w:w="1357" w:type="dxa"/>
            <w:vAlign w:val="center"/>
          </w:tcPr>
          <w:p w14:paraId="4B46AB05">
            <w:pPr>
              <w:pStyle w:val="30"/>
              <w:shd w:val="clear"/>
              <w:spacing w:line="480" w:lineRule="exact"/>
              <w:jc w:val="center"/>
              <w:rPr>
                <w:rFonts w:hint="eastAsia" w:ascii="宋体" w:hAnsi="宋体" w:eastAsia="宋体" w:cs="宋体"/>
                <w:color w:val="auto"/>
                <w:szCs w:val="21"/>
                <w:highlight w:val="none"/>
              </w:rPr>
            </w:pPr>
          </w:p>
        </w:tc>
        <w:tc>
          <w:tcPr>
            <w:tcW w:w="1200" w:type="dxa"/>
            <w:vAlign w:val="center"/>
          </w:tcPr>
          <w:p w14:paraId="502B8E1D">
            <w:pPr>
              <w:pStyle w:val="30"/>
              <w:shd w:val="clear"/>
              <w:spacing w:line="480" w:lineRule="exact"/>
              <w:jc w:val="center"/>
              <w:rPr>
                <w:rFonts w:hint="eastAsia" w:ascii="宋体" w:hAnsi="宋体" w:eastAsia="宋体" w:cs="宋体"/>
                <w:color w:val="auto"/>
                <w:szCs w:val="21"/>
                <w:highlight w:val="none"/>
              </w:rPr>
            </w:pPr>
          </w:p>
        </w:tc>
        <w:tc>
          <w:tcPr>
            <w:tcW w:w="1403" w:type="dxa"/>
            <w:vAlign w:val="center"/>
          </w:tcPr>
          <w:p w14:paraId="58ECC508">
            <w:pPr>
              <w:pStyle w:val="30"/>
              <w:shd w:val="clear"/>
              <w:spacing w:line="480" w:lineRule="exact"/>
              <w:jc w:val="center"/>
              <w:rPr>
                <w:rFonts w:hint="eastAsia" w:ascii="宋体" w:hAnsi="宋体" w:eastAsia="宋体" w:cs="宋体"/>
                <w:color w:val="auto"/>
                <w:szCs w:val="21"/>
                <w:highlight w:val="none"/>
              </w:rPr>
            </w:pPr>
          </w:p>
        </w:tc>
        <w:tc>
          <w:tcPr>
            <w:tcW w:w="1403" w:type="dxa"/>
          </w:tcPr>
          <w:p w14:paraId="583818B7">
            <w:pPr>
              <w:pStyle w:val="30"/>
              <w:shd w:val="clear"/>
              <w:spacing w:line="480" w:lineRule="exact"/>
              <w:jc w:val="center"/>
              <w:rPr>
                <w:rFonts w:hint="eastAsia" w:ascii="宋体" w:hAnsi="宋体" w:eastAsia="宋体" w:cs="宋体"/>
                <w:color w:val="auto"/>
                <w:szCs w:val="21"/>
                <w:highlight w:val="none"/>
              </w:rPr>
            </w:pPr>
          </w:p>
        </w:tc>
      </w:tr>
      <w:tr w14:paraId="7491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14:paraId="4A32F191">
            <w:pPr>
              <w:pStyle w:val="30"/>
              <w:shd w:val="clear"/>
              <w:spacing w:line="480" w:lineRule="exact"/>
              <w:jc w:val="center"/>
              <w:rPr>
                <w:rFonts w:hint="eastAsia" w:ascii="宋体" w:hAnsi="宋体" w:eastAsia="宋体" w:cs="宋体"/>
                <w:color w:val="auto"/>
                <w:szCs w:val="21"/>
                <w:highlight w:val="none"/>
              </w:rPr>
            </w:pPr>
          </w:p>
        </w:tc>
        <w:tc>
          <w:tcPr>
            <w:tcW w:w="1026" w:type="dxa"/>
            <w:vAlign w:val="center"/>
          </w:tcPr>
          <w:p w14:paraId="4DBE18D8">
            <w:pPr>
              <w:pStyle w:val="30"/>
              <w:shd w:val="clear"/>
              <w:spacing w:line="480" w:lineRule="exact"/>
              <w:jc w:val="center"/>
              <w:rPr>
                <w:rFonts w:hint="eastAsia" w:ascii="宋体" w:hAnsi="宋体" w:eastAsia="宋体" w:cs="宋体"/>
                <w:color w:val="auto"/>
                <w:szCs w:val="21"/>
                <w:highlight w:val="none"/>
              </w:rPr>
            </w:pPr>
          </w:p>
        </w:tc>
        <w:tc>
          <w:tcPr>
            <w:tcW w:w="877" w:type="dxa"/>
            <w:vAlign w:val="center"/>
          </w:tcPr>
          <w:p w14:paraId="1456B1B3">
            <w:pPr>
              <w:pStyle w:val="30"/>
              <w:shd w:val="clear"/>
              <w:spacing w:line="480" w:lineRule="exact"/>
              <w:jc w:val="center"/>
              <w:rPr>
                <w:rFonts w:hint="eastAsia" w:ascii="宋体" w:hAnsi="宋体" w:eastAsia="宋体" w:cs="宋体"/>
                <w:color w:val="auto"/>
                <w:szCs w:val="21"/>
                <w:highlight w:val="none"/>
              </w:rPr>
            </w:pPr>
          </w:p>
        </w:tc>
        <w:tc>
          <w:tcPr>
            <w:tcW w:w="1533" w:type="dxa"/>
          </w:tcPr>
          <w:p w14:paraId="200B256F">
            <w:pPr>
              <w:pStyle w:val="30"/>
              <w:shd w:val="clear"/>
              <w:spacing w:line="480" w:lineRule="exact"/>
              <w:jc w:val="center"/>
              <w:rPr>
                <w:rFonts w:hint="eastAsia" w:ascii="宋体" w:hAnsi="宋体" w:eastAsia="宋体" w:cs="宋体"/>
                <w:color w:val="auto"/>
                <w:szCs w:val="21"/>
                <w:highlight w:val="none"/>
              </w:rPr>
            </w:pPr>
          </w:p>
        </w:tc>
        <w:tc>
          <w:tcPr>
            <w:tcW w:w="1357" w:type="dxa"/>
            <w:vAlign w:val="center"/>
          </w:tcPr>
          <w:p w14:paraId="365441C2">
            <w:pPr>
              <w:pStyle w:val="30"/>
              <w:shd w:val="clear"/>
              <w:spacing w:line="480" w:lineRule="exact"/>
              <w:jc w:val="center"/>
              <w:rPr>
                <w:rFonts w:hint="eastAsia" w:ascii="宋体" w:hAnsi="宋体" w:eastAsia="宋体" w:cs="宋体"/>
                <w:color w:val="auto"/>
                <w:szCs w:val="21"/>
                <w:highlight w:val="none"/>
              </w:rPr>
            </w:pPr>
          </w:p>
        </w:tc>
        <w:tc>
          <w:tcPr>
            <w:tcW w:w="1200" w:type="dxa"/>
            <w:vAlign w:val="center"/>
          </w:tcPr>
          <w:p w14:paraId="46407249">
            <w:pPr>
              <w:pStyle w:val="30"/>
              <w:shd w:val="clear"/>
              <w:spacing w:line="480" w:lineRule="exact"/>
              <w:jc w:val="center"/>
              <w:rPr>
                <w:rFonts w:hint="eastAsia" w:ascii="宋体" w:hAnsi="宋体" w:eastAsia="宋体" w:cs="宋体"/>
                <w:color w:val="auto"/>
                <w:szCs w:val="21"/>
                <w:highlight w:val="none"/>
              </w:rPr>
            </w:pPr>
          </w:p>
        </w:tc>
        <w:tc>
          <w:tcPr>
            <w:tcW w:w="1403" w:type="dxa"/>
            <w:vAlign w:val="center"/>
          </w:tcPr>
          <w:p w14:paraId="4E74A9BB">
            <w:pPr>
              <w:pStyle w:val="30"/>
              <w:shd w:val="clear"/>
              <w:spacing w:line="480" w:lineRule="exact"/>
              <w:jc w:val="center"/>
              <w:rPr>
                <w:rFonts w:hint="eastAsia" w:ascii="宋体" w:hAnsi="宋体" w:eastAsia="宋体" w:cs="宋体"/>
                <w:color w:val="auto"/>
                <w:szCs w:val="21"/>
                <w:highlight w:val="none"/>
              </w:rPr>
            </w:pPr>
          </w:p>
        </w:tc>
        <w:tc>
          <w:tcPr>
            <w:tcW w:w="1403" w:type="dxa"/>
          </w:tcPr>
          <w:p w14:paraId="02EE98D9">
            <w:pPr>
              <w:pStyle w:val="30"/>
              <w:shd w:val="clear"/>
              <w:spacing w:line="480" w:lineRule="exact"/>
              <w:jc w:val="center"/>
              <w:rPr>
                <w:rFonts w:hint="eastAsia" w:ascii="宋体" w:hAnsi="宋体" w:eastAsia="宋体" w:cs="宋体"/>
                <w:color w:val="auto"/>
                <w:szCs w:val="21"/>
                <w:highlight w:val="none"/>
              </w:rPr>
            </w:pPr>
          </w:p>
        </w:tc>
      </w:tr>
    </w:tbl>
    <w:p w14:paraId="642967C7">
      <w:pPr>
        <w:shd w:val="clea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int="eastAsia" w:ascii="宋体" w:hAnsi="宋体" w:eastAsia="宋体" w:cs="宋体"/>
          <w:color w:val="auto"/>
          <w:sz w:val="22"/>
          <w:szCs w:val="22"/>
          <w:highlight w:val="none"/>
        </w:rPr>
      </w:pPr>
    </w:p>
    <w:p w14:paraId="5FF34033">
      <w:pPr>
        <w:shd w:val="clear"/>
        <w:tabs>
          <w:tab w:val="left" w:pos="654"/>
          <w:tab w:val="left" w:pos="1734"/>
          <w:tab w:val="left" w:pos="2814"/>
          <w:tab w:val="left" w:pos="3894"/>
          <w:tab w:val="left" w:pos="5334"/>
          <w:tab w:val="left" w:pos="6414"/>
          <w:tab w:val="left" w:pos="7254"/>
          <w:tab w:val="left" w:pos="8574"/>
          <w:tab w:val="left" w:pos="9654"/>
        </w:tabs>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p w14:paraId="469F2D8A">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1.供应商可以根据本表格内容和实际情况制作本表格。</w:t>
      </w:r>
    </w:p>
    <w:p w14:paraId="2B15EC1C">
      <w:pPr>
        <w:shd w:val="clea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2.供应商应当在响应文件中提供评分标准中要求提供的资料。（上述文件均加盖供应商公章）</w:t>
      </w:r>
    </w:p>
    <w:p w14:paraId="6338E752">
      <w:pPr>
        <w:pStyle w:val="21"/>
        <w:shd w:val="clear"/>
        <w:rPr>
          <w:rFonts w:hint="eastAsia" w:ascii="宋体" w:hAnsi="宋体" w:eastAsia="宋体" w:cs="宋体"/>
          <w:color w:val="auto"/>
          <w:sz w:val="21"/>
          <w:szCs w:val="21"/>
          <w:highlight w:val="none"/>
        </w:rPr>
      </w:pPr>
    </w:p>
    <w:p w14:paraId="0CCD794A">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供应商名称（加盖公章）：</w:t>
      </w:r>
    </w:p>
    <w:p w14:paraId="789F58C7">
      <w:pPr>
        <w:shd w:val="clear"/>
        <w:overflowPunct w:val="0"/>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供应商法定代表人或受委托人（签名或盖私章）：</w:t>
      </w:r>
    </w:p>
    <w:p w14:paraId="195E078A">
      <w:pPr>
        <w:shd w:val="clear"/>
        <w:overflowPunct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rPr>
        <w:t>日期：年月日</w:t>
      </w:r>
    </w:p>
    <w:p w14:paraId="1DD2B7B8">
      <w:pPr>
        <w:shd w:val="clear"/>
        <w:spacing w:line="480" w:lineRule="exact"/>
        <w:rPr>
          <w:rFonts w:hint="eastAsia" w:ascii="宋体" w:hAnsi="宋体" w:eastAsia="宋体" w:cs="宋体"/>
          <w:b/>
          <w:bCs/>
          <w:color w:val="auto"/>
          <w:szCs w:val="21"/>
          <w:highlight w:val="none"/>
          <w:u w:val="single"/>
        </w:rPr>
      </w:pPr>
    </w:p>
    <w:p w14:paraId="389A80BE">
      <w:pPr>
        <w:rPr>
          <w:rFonts w:hint="eastAsia" w:ascii="宋体" w:hAnsi="宋体" w:eastAsia="宋体" w:cs="宋体"/>
          <w:b/>
          <w:bCs/>
          <w:color w:val="auto"/>
          <w:sz w:val="28"/>
          <w:szCs w:val="28"/>
          <w:lang w:val="en-US" w:eastAsia="zh-CN" w:bidi="ar-SA"/>
        </w:rPr>
      </w:pPr>
      <w:r>
        <w:rPr>
          <w:rFonts w:hint="eastAsia" w:ascii="宋体" w:hAnsi="宋体" w:eastAsia="宋体" w:cs="宋体"/>
          <w:b/>
          <w:bCs/>
          <w:color w:val="auto"/>
          <w:sz w:val="28"/>
          <w:szCs w:val="28"/>
          <w:lang w:val="en-US" w:eastAsia="zh-CN" w:bidi="ar-SA"/>
        </w:rPr>
        <w:br w:type="page"/>
      </w:r>
    </w:p>
    <w:p w14:paraId="6A01107D">
      <w:pPr>
        <w:pStyle w:val="4"/>
        <w:numPr>
          <w:ilvl w:val="0"/>
          <w:numId w:val="0"/>
        </w:numPr>
        <w:shd w:val="clear"/>
        <w:ind w:left="0" w:leftChars="0" w:firstLine="420" w:firstLineChars="0"/>
        <w:jc w:val="center"/>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lang w:val="en-US" w:eastAsia="zh-CN" w:bidi="ar-SA"/>
        </w:rPr>
        <w:t>十一、</w:t>
      </w:r>
      <w:bookmarkEnd w:id="264"/>
      <w:bookmarkEnd w:id="265"/>
      <w:bookmarkEnd w:id="266"/>
      <w:bookmarkEnd w:id="267"/>
      <w:bookmarkEnd w:id="268"/>
      <w:bookmarkEnd w:id="269"/>
      <w:bookmarkEnd w:id="270"/>
      <w:bookmarkEnd w:id="271"/>
      <w:bookmarkEnd w:id="272"/>
      <w:bookmarkEnd w:id="273"/>
      <w:bookmarkEnd w:id="274"/>
      <w:bookmarkEnd w:id="275"/>
      <w:bookmarkStart w:id="280" w:name="_Toc16598"/>
      <w:bookmarkStart w:id="281" w:name="_Toc13441"/>
      <w:r>
        <w:rPr>
          <w:rFonts w:hint="eastAsia" w:ascii="宋体" w:hAnsi="宋体" w:eastAsia="宋体" w:cs="宋体"/>
          <w:bCs/>
          <w:color w:val="auto"/>
          <w:sz w:val="28"/>
          <w:szCs w:val="28"/>
          <w:highlight w:val="none"/>
        </w:rPr>
        <w:t>磋商保证金汇入情况说明（适用于转账、电汇方式）</w:t>
      </w:r>
      <w:bookmarkEnd w:id="280"/>
      <w:bookmarkEnd w:id="281"/>
    </w:p>
    <w:p w14:paraId="7349E0B2">
      <w:pPr>
        <w:shd w:val="clear"/>
        <w:spacing w:line="460" w:lineRule="exact"/>
        <w:rPr>
          <w:rFonts w:hint="eastAsia" w:ascii="宋体" w:hAnsi="宋体" w:eastAsia="宋体" w:cs="宋体"/>
          <w:b/>
          <w:bCs/>
          <w:color w:val="auto"/>
          <w:sz w:val="22"/>
          <w:szCs w:val="22"/>
          <w:highlight w:val="none"/>
        </w:rPr>
      </w:pPr>
    </w:p>
    <w:p w14:paraId="55322277">
      <w:pPr>
        <w:shd w:val="clear"/>
        <w:spacing w:line="46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中天项目咨询（东莞）有限公司</w:t>
      </w:r>
      <w:r>
        <w:rPr>
          <w:rFonts w:hint="eastAsia" w:ascii="宋体" w:hAnsi="宋体" w:eastAsia="宋体" w:cs="宋体"/>
          <w:color w:val="auto"/>
          <w:sz w:val="21"/>
          <w:szCs w:val="21"/>
          <w:highlight w:val="none"/>
        </w:rPr>
        <w:t xml:space="preserve">： </w:t>
      </w:r>
    </w:p>
    <w:p w14:paraId="57343108">
      <w:pPr>
        <w:shd w:val="clea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本单位已按</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采购编号：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的磋商文件要求，于年月日前以（付款形式）方式汇入</w:t>
      </w:r>
      <w:r>
        <w:rPr>
          <w:rFonts w:hint="eastAsia" w:hAnsi="宋体" w:cs="宋体"/>
          <w:color w:val="auto"/>
          <w:sz w:val="21"/>
          <w:szCs w:val="21"/>
          <w:highlight w:val="none"/>
          <w:lang w:eastAsia="zh-CN"/>
        </w:rPr>
        <w:t>指定账户</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账户名称：账号：</w:t>
      </w:r>
      <w:r>
        <w:rPr>
          <w:rFonts w:hint="eastAsia" w:ascii="宋体" w:hAnsi="宋体" w:eastAsia="宋体" w:cs="宋体"/>
          <w:color w:val="auto"/>
          <w:sz w:val="21"/>
          <w:szCs w:val="21"/>
          <w:highlight w:val="none"/>
        </w:rPr>
        <w:t>开户银行</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0D366DB">
      <w:pPr>
        <w:shd w:val="clea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供应商磋商保证金的汇款情况：（详见附件－磋商保证金进帐单）汇出时间：年月日；</w:t>
      </w:r>
    </w:p>
    <w:p w14:paraId="4206D2BF">
      <w:pPr>
        <w:shd w:val="clear"/>
        <w:spacing w:line="4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汇款金额：（大写）人民币</w:t>
      </w:r>
      <w:r>
        <w:rPr>
          <w:rFonts w:hint="eastAsia" w:ascii="宋体" w:hAnsi="宋体" w:eastAsia="宋体" w:cs="宋体"/>
          <w:color w:val="auto"/>
          <w:sz w:val="21"/>
          <w:szCs w:val="21"/>
          <w:highlight w:val="none"/>
          <w:u w:val="single"/>
        </w:rPr>
        <w:t xml:space="preserve">               元整</w:t>
      </w:r>
    </w:p>
    <w:p w14:paraId="4DB1ECF5">
      <w:pPr>
        <w:shd w:val="clear"/>
        <w:spacing w:line="460" w:lineRule="exact"/>
        <w:ind w:firstLine="1365" w:firstLineChars="6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（小写）￥元。</w:t>
      </w:r>
    </w:p>
    <w:p w14:paraId="2D8AB8BC">
      <w:pPr>
        <w:shd w:val="clear"/>
        <w:spacing w:line="4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汇款账户</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（必须是磋商时使用的单位名称）   </w:t>
      </w:r>
    </w:p>
    <w:p w14:paraId="1586BE39">
      <w:pPr>
        <w:shd w:val="clear"/>
        <w:spacing w:line="46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账</w:t>
      </w:r>
      <w:r>
        <w:rPr>
          <w:rFonts w:hint="eastAsia" w:ascii="宋体" w:hAnsi="宋体" w:eastAsia="宋体" w:cs="宋体"/>
          <w:color w:val="auto"/>
          <w:sz w:val="21"/>
          <w:szCs w:val="21"/>
          <w:highlight w:val="none"/>
        </w:rPr>
        <w:t xml:space="preserve">    号：</w:t>
      </w:r>
      <w:r>
        <w:rPr>
          <w:rFonts w:hint="eastAsia" w:ascii="宋体" w:hAnsi="宋体" w:eastAsia="宋体" w:cs="宋体"/>
          <w:color w:val="auto"/>
          <w:sz w:val="21"/>
          <w:szCs w:val="21"/>
          <w:highlight w:val="none"/>
          <w:u w:val="single"/>
        </w:rPr>
        <w:t xml:space="preserve">  （必须是磋商时使用</w:t>
      </w:r>
      <w:r>
        <w:rPr>
          <w:rFonts w:hint="eastAsia" w:hAnsi="宋体" w:cs="宋体"/>
          <w:color w:val="auto"/>
          <w:sz w:val="21"/>
          <w:szCs w:val="21"/>
          <w:highlight w:val="none"/>
          <w:u w:val="single"/>
          <w:lang w:eastAsia="zh-CN"/>
        </w:rPr>
        <w:t>的账号</w:t>
      </w:r>
      <w:r>
        <w:rPr>
          <w:rFonts w:hint="eastAsia" w:ascii="宋体" w:hAnsi="宋体" w:eastAsia="宋体" w:cs="宋体"/>
          <w:color w:val="auto"/>
          <w:sz w:val="21"/>
          <w:szCs w:val="21"/>
          <w:highlight w:val="none"/>
          <w:u w:val="single"/>
        </w:rPr>
        <w:t xml:space="preserve">）     </w:t>
      </w:r>
    </w:p>
    <w:p w14:paraId="0C67E43E">
      <w:pPr>
        <w:shd w:val="clear"/>
        <w:spacing w:line="4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银行   省    市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分行/支行</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p>
    <w:p w14:paraId="6AA167EF">
      <w:pPr>
        <w:shd w:val="clea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本单位谨承诺上述资料是正确、真实的，如因上述证明与事实不符导致的一切损失，本单位保证承担赔偿等一切法律责任。</w:t>
      </w:r>
    </w:p>
    <w:p w14:paraId="6E83CCE2">
      <w:pPr>
        <w:shd w:val="clea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磋商保证金退回时，请按上述资料退回。</w:t>
      </w:r>
    </w:p>
    <w:p w14:paraId="603991C1">
      <w:pPr>
        <w:shd w:val="clear"/>
        <w:spacing w:line="460" w:lineRule="exact"/>
        <w:rPr>
          <w:rFonts w:hint="eastAsia" w:ascii="宋体" w:hAnsi="宋体" w:eastAsia="宋体" w:cs="宋体"/>
          <w:b/>
          <w:bCs/>
          <w:color w:val="auto"/>
          <w:sz w:val="21"/>
          <w:szCs w:val="21"/>
          <w:highlight w:val="none"/>
        </w:rPr>
      </w:pPr>
    </w:p>
    <w:p w14:paraId="42E8E216">
      <w:pPr>
        <w:shd w:val="clear"/>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附件：磋商保证金</w:t>
      </w:r>
      <w:r>
        <w:rPr>
          <w:rFonts w:hint="eastAsia" w:hAnsi="宋体" w:cs="宋体"/>
          <w:b/>
          <w:bCs/>
          <w:color w:val="auto"/>
          <w:sz w:val="21"/>
          <w:szCs w:val="21"/>
          <w:highlight w:val="none"/>
          <w:lang w:eastAsia="zh-CN"/>
        </w:rPr>
        <w:t>进账单复印件</w:t>
      </w:r>
      <w:r>
        <w:rPr>
          <w:rFonts w:hint="eastAsia" w:ascii="宋体" w:hAnsi="宋体" w:eastAsia="宋体" w:cs="宋体"/>
          <w:b/>
          <w:bCs/>
          <w:color w:val="auto"/>
          <w:sz w:val="21"/>
          <w:szCs w:val="21"/>
          <w:highlight w:val="none"/>
        </w:rPr>
        <w:t>（加盖公章）</w:t>
      </w:r>
    </w:p>
    <w:p w14:paraId="6AC12A45">
      <w:pPr>
        <w:shd w:val="clear"/>
        <w:spacing w:line="460" w:lineRule="exact"/>
        <w:ind w:right="965" w:rightChars="402"/>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p>
    <w:p w14:paraId="5A3E3AE1">
      <w:pPr>
        <w:shd w:val="clear"/>
        <w:spacing w:line="460" w:lineRule="exact"/>
        <w:ind w:right="718" w:rightChars="299"/>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588F04FE">
      <w:pPr>
        <w:shd w:val="clea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单位名称：           </w:t>
      </w:r>
    </w:p>
    <w:p w14:paraId="51F12032">
      <w:pPr>
        <w:shd w:val="clea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p w14:paraId="72473B4B">
      <w:pPr>
        <w:shd w:val="clea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                   </w:t>
      </w:r>
    </w:p>
    <w:p w14:paraId="0110A040">
      <w:pPr>
        <w:shd w:val="clear"/>
        <w:spacing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单位电话：                 联系人手机：              </w:t>
      </w:r>
    </w:p>
    <w:p w14:paraId="1EBE47CD">
      <w:pPr>
        <w:shd w:val="clear"/>
        <w:spacing w:line="360" w:lineRule="auto"/>
        <w:rPr>
          <w:rFonts w:hint="eastAsia" w:ascii="宋体" w:hAnsi="宋体" w:eastAsia="宋体" w:cs="宋体"/>
          <w:b/>
          <w:color w:val="auto"/>
          <w:sz w:val="21"/>
          <w:szCs w:val="21"/>
          <w:highlight w:val="none"/>
        </w:rPr>
      </w:pPr>
    </w:p>
    <w:p w14:paraId="5DD3453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注：1、本说明的所有内容（包括所填写内容）均需打印；2、本说明及磋商保证金</w:t>
      </w:r>
      <w:r>
        <w:rPr>
          <w:rFonts w:hint="eastAsia" w:hAnsi="宋体" w:cs="宋体"/>
          <w:color w:val="auto"/>
          <w:sz w:val="21"/>
          <w:szCs w:val="21"/>
          <w:highlight w:val="none"/>
          <w:lang w:eastAsia="zh-CN"/>
        </w:rPr>
        <w:t>进账单复印件</w:t>
      </w:r>
      <w:r>
        <w:rPr>
          <w:rFonts w:hint="eastAsia" w:ascii="宋体" w:hAnsi="宋体" w:eastAsia="宋体" w:cs="宋体"/>
          <w:color w:val="auto"/>
          <w:sz w:val="21"/>
          <w:szCs w:val="21"/>
          <w:highlight w:val="none"/>
        </w:rPr>
        <w:t>（加盖公章）在磋商时放入唱标信封内。</w:t>
      </w:r>
      <w:bookmarkStart w:id="282" w:name="_Toc1711"/>
      <w:bookmarkStart w:id="283" w:name="_Toc5810"/>
      <w:bookmarkStart w:id="284" w:name="_Toc32258"/>
      <w:bookmarkStart w:id="285" w:name="_Toc3469"/>
      <w:bookmarkStart w:id="286" w:name="_Toc3023"/>
      <w:bookmarkStart w:id="287" w:name="_Toc24921"/>
      <w:bookmarkStart w:id="288" w:name="_Toc9804"/>
      <w:bookmarkStart w:id="289" w:name="_Toc28312"/>
      <w:bookmarkStart w:id="290" w:name="_Toc10038"/>
      <w:bookmarkStart w:id="291" w:name="_Toc23871"/>
      <w:bookmarkStart w:id="292" w:name="_Toc25023"/>
    </w:p>
    <w:p w14:paraId="688D49EB">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br w:type="page"/>
      </w:r>
    </w:p>
    <w:bookmarkEnd w:id="282"/>
    <w:bookmarkEnd w:id="283"/>
    <w:bookmarkEnd w:id="284"/>
    <w:bookmarkEnd w:id="285"/>
    <w:bookmarkEnd w:id="286"/>
    <w:bookmarkEnd w:id="287"/>
    <w:bookmarkEnd w:id="288"/>
    <w:bookmarkEnd w:id="289"/>
    <w:bookmarkEnd w:id="290"/>
    <w:bookmarkEnd w:id="291"/>
    <w:bookmarkEnd w:id="292"/>
    <w:p w14:paraId="47A1BE69">
      <w:pPr>
        <w:pStyle w:val="4"/>
        <w:pageBreakBefore/>
        <w:shd w:val="clear"/>
        <w:spacing w:line="360" w:lineRule="auto"/>
        <w:jc w:val="center"/>
        <w:rPr>
          <w:rFonts w:hint="eastAsia" w:ascii="宋体" w:hAnsi="宋体" w:eastAsia="宋体" w:cs="宋体"/>
          <w:bCs/>
          <w:color w:val="auto"/>
          <w:sz w:val="28"/>
          <w:szCs w:val="28"/>
          <w:highlight w:val="none"/>
        </w:rPr>
      </w:pPr>
      <w:bookmarkStart w:id="293" w:name="_Toc19888"/>
      <w:bookmarkStart w:id="294" w:name="_Toc20966"/>
      <w:r>
        <w:rPr>
          <w:rFonts w:hint="eastAsia" w:ascii="宋体" w:hAnsi="宋体" w:eastAsia="宋体" w:cs="宋体"/>
          <w:bCs/>
          <w:color w:val="auto"/>
          <w:sz w:val="28"/>
          <w:szCs w:val="28"/>
          <w:highlight w:val="none"/>
        </w:rPr>
        <w:t>第三部分 技术文件</w:t>
      </w:r>
      <w:bookmarkEnd w:id="293"/>
      <w:bookmarkEnd w:id="294"/>
    </w:p>
    <w:p w14:paraId="643BCC4B">
      <w:pPr>
        <w:shd w:val="clear"/>
        <w:jc w:val="center"/>
        <w:rPr>
          <w:rFonts w:hint="eastAsia" w:ascii="宋体" w:hAnsi="宋体" w:eastAsia="宋体" w:cs="宋体"/>
          <w:color w:val="auto"/>
          <w:highlight w:val="none"/>
        </w:rPr>
      </w:pPr>
    </w:p>
    <w:p w14:paraId="68963E44">
      <w:pPr>
        <w:pStyle w:val="4"/>
        <w:numPr>
          <w:ilvl w:val="0"/>
          <w:numId w:val="14"/>
        </w:numPr>
        <w:shd w:val="clear"/>
        <w:jc w:val="center"/>
        <w:rPr>
          <w:rFonts w:hint="eastAsia" w:ascii="宋体" w:hAnsi="宋体" w:eastAsia="宋体" w:cs="宋体"/>
          <w:color w:val="auto"/>
          <w:highlight w:val="none"/>
        </w:rPr>
      </w:pPr>
      <w:bookmarkStart w:id="295" w:name="_Toc9540"/>
      <w:bookmarkStart w:id="296" w:name="_Toc9579"/>
      <w:bookmarkStart w:id="297" w:name="_Toc24064"/>
      <w:bookmarkStart w:id="298" w:name="_Toc31683"/>
      <w:bookmarkStart w:id="299" w:name="_Toc1852"/>
      <w:bookmarkStart w:id="300" w:name="_Toc7161"/>
      <w:bookmarkStart w:id="301" w:name="_Toc25949"/>
      <w:bookmarkStart w:id="302" w:name="_Toc28884"/>
      <w:bookmarkStart w:id="303" w:name="_Toc15167"/>
      <w:r>
        <w:rPr>
          <w:rFonts w:hint="eastAsia" w:ascii="宋体" w:hAnsi="宋体" w:eastAsia="宋体" w:cs="宋体"/>
          <w:color w:val="auto"/>
          <w:highlight w:val="none"/>
        </w:rPr>
        <w:t>技术方案</w:t>
      </w:r>
      <w:bookmarkEnd w:id="295"/>
      <w:bookmarkEnd w:id="296"/>
      <w:bookmarkEnd w:id="297"/>
      <w:bookmarkEnd w:id="298"/>
      <w:bookmarkEnd w:id="299"/>
      <w:bookmarkEnd w:id="300"/>
      <w:bookmarkEnd w:id="301"/>
      <w:bookmarkEnd w:id="302"/>
      <w:bookmarkEnd w:id="303"/>
    </w:p>
    <w:p w14:paraId="39D4DCB5">
      <w:pPr>
        <w:shd w:val="clear"/>
        <w:snapToGrid w:val="0"/>
        <w:spacing w:line="360" w:lineRule="auto"/>
        <w:rPr>
          <w:rFonts w:hint="eastAsia" w:ascii="宋体" w:hAnsi="宋体" w:eastAsia="宋体" w:cs="宋体"/>
          <w:color w:val="auto"/>
          <w:sz w:val="21"/>
          <w:szCs w:val="21"/>
          <w:highlight w:val="none"/>
        </w:rPr>
      </w:pPr>
    </w:p>
    <w:p w14:paraId="0304C25A">
      <w:pPr>
        <w:shd w:val="clea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根据用户需求书编写。</w:t>
      </w:r>
    </w:p>
    <w:p w14:paraId="299E1BF2">
      <w:pPr>
        <w:shd w:val="clear"/>
        <w:snapToGrid w:val="0"/>
        <w:spacing w:line="360" w:lineRule="auto"/>
        <w:rPr>
          <w:rFonts w:hint="eastAsia" w:ascii="宋体" w:hAnsi="宋体" w:eastAsia="宋体" w:cs="宋体"/>
          <w:color w:val="auto"/>
          <w:sz w:val="21"/>
          <w:szCs w:val="21"/>
          <w:highlight w:val="none"/>
        </w:rPr>
      </w:pPr>
    </w:p>
    <w:p w14:paraId="7B998789">
      <w:pPr>
        <w:pStyle w:val="13"/>
        <w:shd w:val="clear"/>
        <w:rPr>
          <w:rFonts w:hint="eastAsia" w:ascii="宋体" w:hAnsi="宋体" w:eastAsia="宋体" w:cs="宋体"/>
          <w:color w:val="auto"/>
          <w:sz w:val="21"/>
          <w:szCs w:val="21"/>
          <w:highlight w:val="none"/>
        </w:rPr>
      </w:pPr>
    </w:p>
    <w:p w14:paraId="32F8AE99">
      <w:pPr>
        <w:pStyle w:val="13"/>
        <w:shd w:val="clear"/>
        <w:rPr>
          <w:rFonts w:hint="eastAsia" w:ascii="宋体" w:hAnsi="宋体" w:eastAsia="宋体" w:cs="宋体"/>
          <w:color w:val="auto"/>
          <w:sz w:val="21"/>
          <w:szCs w:val="21"/>
          <w:highlight w:val="none"/>
        </w:rPr>
      </w:pPr>
    </w:p>
    <w:p w14:paraId="70769F54">
      <w:pPr>
        <w:pStyle w:val="13"/>
        <w:shd w:val="clear"/>
        <w:rPr>
          <w:rFonts w:hint="eastAsia" w:ascii="宋体" w:hAnsi="宋体" w:eastAsia="宋体" w:cs="宋体"/>
          <w:color w:val="auto"/>
          <w:sz w:val="21"/>
          <w:szCs w:val="21"/>
          <w:highlight w:val="none"/>
        </w:rPr>
      </w:pPr>
    </w:p>
    <w:p w14:paraId="1F2C74B8">
      <w:pPr>
        <w:pStyle w:val="13"/>
        <w:shd w:val="clear"/>
        <w:rPr>
          <w:rFonts w:hint="eastAsia" w:ascii="宋体" w:hAnsi="宋体" w:eastAsia="宋体" w:cs="宋体"/>
          <w:color w:val="auto"/>
          <w:sz w:val="21"/>
          <w:szCs w:val="21"/>
          <w:highlight w:val="none"/>
        </w:rPr>
      </w:pPr>
    </w:p>
    <w:p w14:paraId="1CFDEB97">
      <w:pPr>
        <w:pStyle w:val="13"/>
        <w:shd w:val="clear"/>
        <w:rPr>
          <w:rFonts w:hint="eastAsia" w:ascii="宋体" w:hAnsi="宋体" w:eastAsia="宋体" w:cs="宋体"/>
          <w:color w:val="auto"/>
          <w:sz w:val="21"/>
          <w:szCs w:val="21"/>
          <w:highlight w:val="none"/>
        </w:rPr>
      </w:pPr>
    </w:p>
    <w:p w14:paraId="766FB030">
      <w:pPr>
        <w:pStyle w:val="13"/>
        <w:shd w:val="clear"/>
        <w:rPr>
          <w:rFonts w:hint="eastAsia" w:ascii="宋体" w:hAnsi="宋体" w:eastAsia="宋体" w:cs="宋体"/>
          <w:color w:val="auto"/>
          <w:sz w:val="21"/>
          <w:szCs w:val="21"/>
          <w:highlight w:val="none"/>
        </w:rPr>
      </w:pPr>
    </w:p>
    <w:p w14:paraId="0BB42B77">
      <w:pPr>
        <w:pStyle w:val="13"/>
        <w:shd w:val="clear"/>
        <w:rPr>
          <w:rFonts w:hint="eastAsia" w:ascii="宋体" w:hAnsi="宋体" w:eastAsia="宋体" w:cs="宋体"/>
          <w:color w:val="auto"/>
          <w:sz w:val="21"/>
          <w:szCs w:val="21"/>
          <w:highlight w:val="none"/>
        </w:rPr>
      </w:pPr>
    </w:p>
    <w:p w14:paraId="287F5BE5">
      <w:pPr>
        <w:pStyle w:val="13"/>
        <w:shd w:val="clear"/>
        <w:rPr>
          <w:rFonts w:hint="eastAsia" w:ascii="宋体" w:hAnsi="宋体" w:eastAsia="宋体" w:cs="宋体"/>
          <w:color w:val="auto"/>
          <w:sz w:val="21"/>
          <w:szCs w:val="21"/>
          <w:highlight w:val="none"/>
        </w:rPr>
      </w:pPr>
    </w:p>
    <w:p w14:paraId="3ADEA9CA">
      <w:pPr>
        <w:pStyle w:val="13"/>
        <w:shd w:val="clear"/>
        <w:rPr>
          <w:rFonts w:hint="eastAsia" w:ascii="宋体" w:hAnsi="宋体" w:eastAsia="宋体" w:cs="宋体"/>
          <w:color w:val="auto"/>
          <w:sz w:val="21"/>
          <w:szCs w:val="21"/>
          <w:highlight w:val="none"/>
        </w:rPr>
      </w:pPr>
    </w:p>
    <w:p w14:paraId="40D9D51B">
      <w:pPr>
        <w:pStyle w:val="13"/>
        <w:shd w:val="clear"/>
        <w:rPr>
          <w:rFonts w:hint="eastAsia" w:ascii="宋体" w:hAnsi="宋体" w:eastAsia="宋体" w:cs="宋体"/>
          <w:color w:val="auto"/>
          <w:sz w:val="21"/>
          <w:szCs w:val="21"/>
          <w:highlight w:val="none"/>
        </w:rPr>
      </w:pPr>
    </w:p>
    <w:p w14:paraId="582227CC">
      <w:pPr>
        <w:pStyle w:val="13"/>
        <w:shd w:val="clear"/>
        <w:rPr>
          <w:rFonts w:hint="eastAsia" w:ascii="宋体" w:hAnsi="宋体" w:eastAsia="宋体" w:cs="宋体"/>
          <w:color w:val="auto"/>
          <w:sz w:val="21"/>
          <w:szCs w:val="21"/>
          <w:highlight w:val="none"/>
        </w:rPr>
      </w:pPr>
    </w:p>
    <w:p w14:paraId="228C6A94">
      <w:pPr>
        <w:pStyle w:val="13"/>
        <w:shd w:val="clear"/>
        <w:rPr>
          <w:rFonts w:hint="eastAsia" w:ascii="宋体" w:hAnsi="宋体" w:eastAsia="宋体" w:cs="宋体"/>
          <w:color w:val="auto"/>
          <w:sz w:val="21"/>
          <w:szCs w:val="21"/>
          <w:highlight w:val="none"/>
        </w:rPr>
      </w:pPr>
    </w:p>
    <w:p w14:paraId="7EDE03FD">
      <w:pPr>
        <w:pStyle w:val="13"/>
        <w:shd w:val="clear"/>
        <w:rPr>
          <w:rFonts w:hint="eastAsia" w:ascii="宋体" w:hAnsi="宋体" w:eastAsia="宋体" w:cs="宋体"/>
          <w:color w:val="auto"/>
          <w:sz w:val="21"/>
          <w:szCs w:val="21"/>
          <w:highlight w:val="none"/>
        </w:rPr>
      </w:pPr>
    </w:p>
    <w:p w14:paraId="78A8A03A">
      <w:pPr>
        <w:pStyle w:val="13"/>
        <w:shd w:val="clear"/>
        <w:rPr>
          <w:rFonts w:hint="eastAsia" w:ascii="宋体" w:hAnsi="宋体" w:eastAsia="宋体" w:cs="宋体"/>
          <w:color w:val="auto"/>
          <w:sz w:val="21"/>
          <w:szCs w:val="21"/>
          <w:highlight w:val="none"/>
        </w:rPr>
      </w:pPr>
    </w:p>
    <w:p w14:paraId="5AB0DC73">
      <w:pPr>
        <w:pStyle w:val="13"/>
        <w:shd w:val="clear"/>
        <w:rPr>
          <w:rFonts w:hint="eastAsia" w:ascii="宋体" w:hAnsi="宋体" w:eastAsia="宋体" w:cs="宋体"/>
          <w:color w:val="auto"/>
          <w:sz w:val="21"/>
          <w:szCs w:val="21"/>
          <w:highlight w:val="none"/>
        </w:rPr>
      </w:pPr>
    </w:p>
    <w:p w14:paraId="370E2C78">
      <w:pPr>
        <w:pStyle w:val="13"/>
        <w:shd w:val="clear"/>
        <w:rPr>
          <w:rFonts w:hint="eastAsia" w:ascii="宋体" w:hAnsi="宋体" w:eastAsia="宋体" w:cs="宋体"/>
          <w:color w:val="auto"/>
          <w:sz w:val="21"/>
          <w:szCs w:val="21"/>
          <w:highlight w:val="none"/>
        </w:rPr>
      </w:pPr>
    </w:p>
    <w:p w14:paraId="7DE8508B">
      <w:pPr>
        <w:pStyle w:val="13"/>
        <w:shd w:val="clear"/>
        <w:rPr>
          <w:rFonts w:hint="eastAsia" w:ascii="宋体" w:hAnsi="宋体" w:eastAsia="宋体" w:cs="宋体"/>
          <w:color w:val="auto"/>
          <w:sz w:val="21"/>
          <w:szCs w:val="21"/>
          <w:highlight w:val="none"/>
        </w:rPr>
      </w:pPr>
    </w:p>
    <w:p w14:paraId="290B3F61">
      <w:pPr>
        <w:pStyle w:val="13"/>
        <w:shd w:val="clear"/>
        <w:rPr>
          <w:rFonts w:hint="eastAsia" w:ascii="宋体" w:hAnsi="宋体" w:eastAsia="宋体" w:cs="宋体"/>
          <w:color w:val="auto"/>
          <w:sz w:val="21"/>
          <w:szCs w:val="21"/>
          <w:highlight w:val="none"/>
        </w:rPr>
      </w:pPr>
    </w:p>
    <w:p w14:paraId="0B7DC7DD">
      <w:pPr>
        <w:pStyle w:val="13"/>
        <w:shd w:val="clear"/>
        <w:rPr>
          <w:rFonts w:hint="eastAsia" w:ascii="宋体" w:hAnsi="宋体" w:eastAsia="宋体" w:cs="宋体"/>
          <w:color w:val="auto"/>
          <w:sz w:val="21"/>
          <w:szCs w:val="21"/>
          <w:highlight w:val="none"/>
        </w:rPr>
      </w:pPr>
    </w:p>
    <w:p w14:paraId="07353A45">
      <w:pPr>
        <w:pStyle w:val="13"/>
        <w:shd w:val="clear"/>
        <w:rPr>
          <w:rFonts w:hint="eastAsia" w:ascii="宋体" w:hAnsi="宋体" w:eastAsia="宋体" w:cs="宋体"/>
          <w:color w:val="auto"/>
          <w:sz w:val="21"/>
          <w:szCs w:val="21"/>
          <w:highlight w:val="none"/>
        </w:rPr>
      </w:pPr>
    </w:p>
    <w:p w14:paraId="2741CC32">
      <w:pPr>
        <w:pStyle w:val="13"/>
        <w:shd w:val="clear"/>
        <w:rPr>
          <w:rFonts w:hint="eastAsia" w:ascii="宋体" w:hAnsi="宋体" w:eastAsia="宋体" w:cs="宋体"/>
          <w:color w:val="auto"/>
          <w:sz w:val="21"/>
          <w:szCs w:val="21"/>
          <w:highlight w:val="none"/>
        </w:rPr>
      </w:pPr>
    </w:p>
    <w:p w14:paraId="477B6D5C">
      <w:pPr>
        <w:pStyle w:val="13"/>
        <w:shd w:val="clear"/>
        <w:rPr>
          <w:rFonts w:hint="eastAsia" w:ascii="宋体" w:hAnsi="宋体" w:eastAsia="宋体" w:cs="宋体"/>
          <w:color w:val="auto"/>
          <w:sz w:val="21"/>
          <w:szCs w:val="21"/>
          <w:highlight w:val="none"/>
        </w:rPr>
      </w:pPr>
    </w:p>
    <w:p w14:paraId="0C13AFCC">
      <w:pPr>
        <w:pStyle w:val="13"/>
        <w:shd w:val="clear"/>
        <w:rPr>
          <w:rFonts w:hint="eastAsia" w:ascii="宋体" w:hAnsi="宋体" w:eastAsia="宋体" w:cs="宋体"/>
          <w:color w:val="auto"/>
          <w:sz w:val="21"/>
          <w:szCs w:val="21"/>
          <w:highlight w:val="none"/>
        </w:rPr>
      </w:pPr>
    </w:p>
    <w:p w14:paraId="25824605">
      <w:pPr>
        <w:rPr>
          <w:rFonts w:hint="eastAsia" w:ascii="宋体" w:hAnsi="宋体" w:eastAsia="宋体" w:cs="宋体"/>
          <w:color w:val="auto"/>
          <w:highlight w:val="none"/>
        </w:rPr>
      </w:pPr>
      <w:bookmarkStart w:id="304" w:name="_Toc24947"/>
      <w:bookmarkStart w:id="305" w:name="_Toc12278"/>
      <w:bookmarkStart w:id="306" w:name="_Toc28953"/>
      <w:bookmarkStart w:id="307" w:name="_Toc11036"/>
      <w:bookmarkStart w:id="308" w:name="_Toc30049"/>
      <w:bookmarkStart w:id="309" w:name="_Toc15530"/>
      <w:bookmarkStart w:id="310" w:name="_Toc23849"/>
      <w:bookmarkStart w:id="311" w:name="_Toc9982"/>
      <w:bookmarkStart w:id="312" w:name="_Toc9619"/>
      <w:r>
        <w:rPr>
          <w:rFonts w:hint="eastAsia" w:ascii="宋体" w:hAnsi="宋体" w:eastAsia="宋体" w:cs="宋体"/>
          <w:color w:val="auto"/>
          <w:highlight w:val="none"/>
        </w:rPr>
        <w:br w:type="page"/>
      </w:r>
    </w:p>
    <w:p w14:paraId="09A1F8D7">
      <w:pPr>
        <w:pStyle w:val="4"/>
        <w:numPr>
          <w:ilvl w:val="0"/>
          <w:numId w:val="14"/>
        </w:num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其他资料</w:t>
      </w:r>
      <w:bookmarkEnd w:id="304"/>
      <w:bookmarkEnd w:id="305"/>
      <w:bookmarkEnd w:id="306"/>
      <w:bookmarkEnd w:id="307"/>
      <w:bookmarkEnd w:id="308"/>
      <w:bookmarkEnd w:id="309"/>
      <w:bookmarkEnd w:id="310"/>
      <w:bookmarkEnd w:id="311"/>
      <w:bookmarkEnd w:id="312"/>
    </w:p>
    <w:p w14:paraId="74D5B57F">
      <w:pPr>
        <w:pStyle w:val="30"/>
        <w:shd w:val="clear"/>
        <w:spacing w:line="360" w:lineRule="auto"/>
        <w:ind w:firstLine="420"/>
        <w:rPr>
          <w:rFonts w:hint="eastAsia" w:ascii="宋体" w:hAnsi="宋体" w:eastAsia="宋体" w:cs="宋体"/>
          <w:color w:val="auto"/>
          <w:highlight w:val="none"/>
        </w:rPr>
      </w:pPr>
    </w:p>
    <w:p w14:paraId="088255C3">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1、磋商文件要求提供的其他资料（如有）</w:t>
      </w:r>
    </w:p>
    <w:p w14:paraId="60F713D5">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2、供应商认为需要提供的其他资料（如有）</w:t>
      </w:r>
    </w:p>
    <w:p w14:paraId="7941F423">
      <w:pPr>
        <w:pStyle w:val="13"/>
        <w:shd w:val="clear"/>
        <w:rPr>
          <w:rFonts w:hint="eastAsia" w:ascii="宋体" w:hAnsi="宋体" w:eastAsia="宋体" w:cs="宋体"/>
          <w:color w:val="auto"/>
          <w:sz w:val="21"/>
          <w:szCs w:val="21"/>
          <w:highlight w:val="none"/>
        </w:rPr>
      </w:pPr>
    </w:p>
    <w:p w14:paraId="15A43A8B">
      <w:pPr>
        <w:pStyle w:val="13"/>
        <w:shd w:val="clear"/>
        <w:rPr>
          <w:rFonts w:hint="eastAsia" w:ascii="宋体" w:hAnsi="宋体" w:eastAsia="宋体" w:cs="宋体"/>
          <w:color w:val="auto"/>
          <w:sz w:val="21"/>
          <w:szCs w:val="21"/>
          <w:highlight w:val="none"/>
        </w:rPr>
      </w:pPr>
    </w:p>
    <w:p w14:paraId="535CDD11">
      <w:pPr>
        <w:pStyle w:val="13"/>
        <w:shd w:val="clear"/>
        <w:rPr>
          <w:rFonts w:hint="eastAsia" w:ascii="宋体" w:hAnsi="宋体" w:eastAsia="宋体" w:cs="宋体"/>
          <w:color w:val="auto"/>
          <w:sz w:val="21"/>
          <w:szCs w:val="21"/>
          <w:highlight w:val="none"/>
        </w:rPr>
      </w:pPr>
    </w:p>
    <w:p w14:paraId="2E879B3C">
      <w:pPr>
        <w:pStyle w:val="13"/>
        <w:shd w:val="clear"/>
        <w:rPr>
          <w:rFonts w:hint="eastAsia" w:ascii="宋体" w:hAnsi="宋体" w:eastAsia="宋体" w:cs="宋体"/>
          <w:color w:val="auto"/>
          <w:sz w:val="21"/>
          <w:szCs w:val="21"/>
          <w:highlight w:val="none"/>
        </w:rPr>
      </w:pPr>
    </w:p>
    <w:p w14:paraId="2DE64433">
      <w:pPr>
        <w:pStyle w:val="13"/>
        <w:shd w:val="clear"/>
        <w:rPr>
          <w:rFonts w:hint="eastAsia" w:ascii="宋体" w:hAnsi="宋体" w:eastAsia="宋体" w:cs="宋体"/>
          <w:color w:val="auto"/>
          <w:sz w:val="21"/>
          <w:szCs w:val="21"/>
          <w:highlight w:val="none"/>
        </w:rPr>
      </w:pPr>
    </w:p>
    <w:p w14:paraId="5ABFADBE">
      <w:pPr>
        <w:pStyle w:val="13"/>
        <w:shd w:val="clear"/>
        <w:rPr>
          <w:rFonts w:hint="eastAsia" w:ascii="宋体" w:hAnsi="宋体" w:eastAsia="宋体" w:cs="宋体"/>
          <w:color w:val="auto"/>
          <w:sz w:val="21"/>
          <w:szCs w:val="21"/>
          <w:highlight w:val="none"/>
        </w:rPr>
      </w:pPr>
    </w:p>
    <w:p w14:paraId="6D9CDFC5">
      <w:pPr>
        <w:pStyle w:val="13"/>
        <w:shd w:val="clear"/>
        <w:rPr>
          <w:rFonts w:hint="eastAsia" w:ascii="宋体" w:hAnsi="宋体" w:eastAsia="宋体" w:cs="宋体"/>
          <w:color w:val="auto"/>
          <w:sz w:val="21"/>
          <w:szCs w:val="21"/>
          <w:highlight w:val="none"/>
        </w:rPr>
      </w:pPr>
    </w:p>
    <w:p w14:paraId="0FC73E26">
      <w:pPr>
        <w:pStyle w:val="13"/>
        <w:shd w:val="clear"/>
        <w:rPr>
          <w:rFonts w:hint="eastAsia" w:ascii="宋体" w:hAnsi="宋体" w:eastAsia="宋体" w:cs="宋体"/>
          <w:color w:val="auto"/>
          <w:sz w:val="21"/>
          <w:szCs w:val="21"/>
          <w:highlight w:val="none"/>
        </w:rPr>
      </w:pPr>
    </w:p>
    <w:p w14:paraId="75851A88">
      <w:pPr>
        <w:rPr>
          <w:rFonts w:hint="eastAsia" w:ascii="宋体" w:hAnsi="宋体" w:eastAsia="宋体" w:cs="宋体"/>
          <w:color w:val="auto"/>
          <w:sz w:val="28"/>
          <w:szCs w:val="28"/>
          <w:highlight w:val="none"/>
        </w:rPr>
      </w:pPr>
      <w:bookmarkStart w:id="313" w:name="_Toc17492"/>
      <w:r>
        <w:rPr>
          <w:rFonts w:hint="eastAsia" w:ascii="宋体" w:hAnsi="宋体" w:eastAsia="宋体" w:cs="宋体"/>
          <w:color w:val="auto"/>
          <w:sz w:val="28"/>
          <w:szCs w:val="28"/>
          <w:highlight w:val="none"/>
        </w:rPr>
        <w:br w:type="page"/>
      </w:r>
    </w:p>
    <w:p w14:paraId="07A3F1E7">
      <w:pPr>
        <w:pStyle w:val="4"/>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唱标信封</w:t>
      </w:r>
      <w:r>
        <w:rPr>
          <w:rFonts w:hint="eastAsia" w:ascii="宋体" w:hAnsi="宋体" w:eastAsia="宋体" w:cs="宋体"/>
          <w:bCs/>
          <w:color w:val="auto"/>
          <w:sz w:val="28"/>
          <w:szCs w:val="28"/>
          <w:highlight w:val="none"/>
        </w:rPr>
        <w:t>（单独编制装订成册，单独封装）</w:t>
      </w:r>
      <w:bookmarkEnd w:id="313"/>
    </w:p>
    <w:p w14:paraId="764924D3">
      <w:pPr>
        <w:pStyle w:val="78"/>
        <w:shd w:val="clear"/>
        <w:spacing w:line="4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唱标信封内装：</w:t>
      </w:r>
    </w:p>
    <w:p w14:paraId="69B8A633">
      <w:pPr>
        <w:pStyle w:val="78"/>
        <w:shd w:val="clear"/>
        <w:spacing w:line="46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（1）磋商保证金汇入情况说明及银行汇款凭证复印件加盖公章；</w:t>
      </w:r>
    </w:p>
    <w:p w14:paraId="7ED658E5">
      <w:pPr>
        <w:pStyle w:val="78"/>
        <w:shd w:val="clear"/>
        <w:spacing w:line="46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（2）法定代表人证明书原件或正本复印件加盖公章；</w:t>
      </w:r>
    </w:p>
    <w:p w14:paraId="651696EB">
      <w:pPr>
        <w:pStyle w:val="78"/>
        <w:shd w:val="clear"/>
        <w:spacing w:line="46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（3）法定代表人授权委托书原件或正本复印件加盖公章（法定代表人磋商的除外）；</w:t>
      </w:r>
    </w:p>
    <w:p w14:paraId="0A1F8947">
      <w:pPr>
        <w:pStyle w:val="78"/>
        <w:shd w:val="clear"/>
        <w:spacing w:line="460" w:lineRule="exact"/>
        <w:ind w:firstLine="433"/>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rPr>
        <w:t>（4）磋商文件电子文件（须含盖章版PDF磋商响应文件和WORD版磋商响应文件各一版，文字采用WORD文档，计算表格采用 EXCEL文档, 可采用光盘介质或U盘装载）；</w:t>
      </w:r>
    </w:p>
    <w:p w14:paraId="292C2CB3">
      <w:pPr>
        <w:pStyle w:val="78"/>
        <w:shd w:val="clear"/>
        <w:spacing w:line="460" w:lineRule="exact"/>
        <w:ind w:firstLine="453"/>
        <w:rPr>
          <w:rFonts w:hint="eastAsia" w:ascii="宋体" w:hAnsi="宋体" w:eastAsia="宋体" w:cs="宋体"/>
          <w:color w:val="auto"/>
          <w:sz w:val="22"/>
          <w:szCs w:val="22"/>
          <w:highlight w:val="none"/>
        </w:rPr>
      </w:pPr>
    </w:p>
    <w:p w14:paraId="048FEE88">
      <w:pPr>
        <w:pStyle w:val="78"/>
        <w:shd w:val="clear"/>
        <w:spacing w:line="460" w:lineRule="exact"/>
        <w:ind w:firstLine="453"/>
        <w:rPr>
          <w:rFonts w:hint="eastAsia" w:ascii="宋体" w:hAnsi="宋体" w:eastAsia="宋体" w:cs="宋体"/>
          <w:color w:val="auto"/>
          <w:sz w:val="22"/>
          <w:szCs w:val="22"/>
          <w:highlight w:val="none"/>
        </w:rPr>
      </w:pPr>
    </w:p>
    <w:p w14:paraId="4B17B00B">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340E9885">
      <w:pPr>
        <w:pStyle w:val="4"/>
        <w:numPr>
          <w:ilvl w:val="0"/>
          <w:numId w:val="15"/>
        </w:num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其他格式</w:t>
      </w:r>
    </w:p>
    <w:p w14:paraId="5C15E8F9">
      <w:pPr>
        <w:pStyle w:val="6"/>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314" w:name="_Toc2144"/>
      <w:bookmarkStart w:id="315" w:name="_Toc19947"/>
      <w:bookmarkStart w:id="316" w:name="_Toc1562"/>
      <w:bookmarkStart w:id="317" w:name="_Toc29855"/>
      <w:bookmarkStart w:id="318" w:name="_Toc28623"/>
      <w:bookmarkStart w:id="319" w:name="_Toc18296"/>
      <w:bookmarkStart w:id="320" w:name="_Toc14605"/>
      <w:bookmarkStart w:id="321" w:name="_Toc4866"/>
      <w:bookmarkStart w:id="322" w:name="_Toc25861"/>
      <w:bookmarkStart w:id="323" w:name="_Toc17028"/>
      <w:bookmarkStart w:id="324" w:name="_Toc2801"/>
      <w:r>
        <w:rPr>
          <w:rFonts w:hint="eastAsia" w:ascii="宋体" w:hAnsi="宋体" w:eastAsia="宋体" w:cs="宋体"/>
          <w:color w:val="auto"/>
          <w:sz w:val="21"/>
          <w:szCs w:val="21"/>
          <w:highlight w:val="none"/>
        </w:rPr>
        <w:t>附件1.不可撤销履约保函</w:t>
      </w:r>
      <w:bookmarkEnd w:id="314"/>
      <w:bookmarkEnd w:id="315"/>
      <w:bookmarkEnd w:id="316"/>
      <w:bookmarkEnd w:id="317"/>
      <w:bookmarkEnd w:id="318"/>
      <w:bookmarkEnd w:id="319"/>
      <w:bookmarkEnd w:id="320"/>
      <w:bookmarkEnd w:id="321"/>
      <w:bookmarkEnd w:id="322"/>
      <w:bookmarkEnd w:id="323"/>
      <w:bookmarkEnd w:id="324"/>
    </w:p>
    <w:p w14:paraId="1F0A772B">
      <w:pPr>
        <w:jc w:val="center"/>
        <w:rPr>
          <w:rFonts w:hint="eastAsia" w:ascii="宋体" w:hAnsi="宋体" w:eastAsia="宋体" w:cs="宋体"/>
          <w:color w:val="auto"/>
          <w:highlight w:val="none"/>
        </w:rPr>
      </w:pPr>
      <w:r>
        <w:rPr>
          <w:rFonts w:hint="eastAsia" w:ascii="宋体" w:hAnsi="宋体" w:eastAsia="宋体" w:cs="宋体"/>
          <w:color w:val="auto"/>
          <w:highlight w:val="none"/>
        </w:rPr>
        <w:t>银行编号：</w:t>
      </w:r>
    </w:p>
    <w:p w14:paraId="64CE51B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（甲方）</w:t>
      </w:r>
    </w:p>
    <w:p w14:paraId="7563B7B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（地址：          ，下称 “乙方” ）</w:t>
      </w:r>
      <w:r>
        <w:rPr>
          <w:rFonts w:hint="eastAsia" w:ascii="宋体" w:hAnsi="宋体" w:eastAsia="宋体" w:cs="宋体"/>
          <w:color w:val="auto"/>
          <w:sz w:val="21"/>
          <w:szCs w:val="21"/>
          <w:highlight w:val="none"/>
        </w:rPr>
        <w:t>已保证按</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合同（合同编号：    ）</w:t>
      </w:r>
      <w:r>
        <w:rPr>
          <w:rFonts w:hint="eastAsia" w:ascii="宋体" w:hAnsi="宋体" w:eastAsia="宋体" w:cs="宋体"/>
          <w:color w:val="auto"/>
          <w:sz w:val="21"/>
          <w:szCs w:val="21"/>
          <w:highlight w:val="none"/>
        </w:rPr>
        <w:t>中规定的义务履行合同。</w:t>
      </w:r>
    </w:p>
    <w:p w14:paraId="4BCD2BD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根据上述合同约定，乙方应向甲方提供一份金额为合同总价的10%即</w:t>
      </w:r>
      <w:r>
        <w:rPr>
          <w:rFonts w:hint="eastAsia" w:ascii="宋体" w:hAnsi="宋体" w:eastAsia="宋体" w:cs="宋体"/>
          <w:color w:val="auto"/>
          <w:sz w:val="21"/>
          <w:szCs w:val="21"/>
          <w:highlight w:val="none"/>
          <w:u w:val="single"/>
        </w:rPr>
        <w:t>人民币      （RMB    元）</w:t>
      </w:r>
      <w:r>
        <w:rPr>
          <w:rFonts w:hint="eastAsia" w:ascii="宋体" w:hAnsi="宋体" w:eastAsia="宋体" w:cs="宋体"/>
          <w:color w:val="auto"/>
          <w:sz w:val="21"/>
          <w:szCs w:val="21"/>
          <w:highlight w:val="none"/>
        </w:rPr>
        <w:t>的</w:t>
      </w:r>
      <w:r>
        <w:rPr>
          <w:rFonts w:hint="eastAsia" w:ascii="宋体" w:hAnsi="宋体" w:eastAsia="宋体" w:cs="宋体"/>
          <w:bCs/>
          <w:color w:val="auto"/>
          <w:sz w:val="21"/>
          <w:szCs w:val="21"/>
          <w:highlight w:val="none"/>
        </w:rPr>
        <w:t>不可撤销</w:t>
      </w:r>
      <w:r>
        <w:rPr>
          <w:rFonts w:hint="eastAsia" w:ascii="宋体" w:hAnsi="宋体" w:eastAsia="宋体" w:cs="宋体"/>
          <w:color w:val="auto"/>
          <w:sz w:val="21"/>
          <w:szCs w:val="21"/>
          <w:highlight w:val="none"/>
        </w:rPr>
        <w:t>银行履约保函，作为乙方履行上述合同的担保。</w:t>
      </w:r>
    </w:p>
    <w:p w14:paraId="08DF477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sz w:val="21"/>
          <w:szCs w:val="21"/>
          <w:highlight w:val="none"/>
          <w:u w:val="single"/>
        </w:rPr>
        <w:t>人民币          （RMB       元）</w:t>
      </w:r>
      <w:r>
        <w:rPr>
          <w:rFonts w:hint="eastAsia" w:ascii="宋体" w:hAnsi="宋体" w:eastAsia="宋体" w:cs="宋体"/>
          <w:color w:val="auto"/>
          <w:sz w:val="21"/>
          <w:szCs w:val="21"/>
          <w:highlight w:val="none"/>
        </w:rPr>
        <w:t>的保证金。</w:t>
      </w:r>
    </w:p>
    <w:p w14:paraId="0B4A84A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我方还同意，任何甲方与乙方之间可能对合同条款的修改、规范或其他合同文件的变动补充，都不能免除我方按本保函所承担的责任。因此，有关上述变动、补充和修改无须通知我方。</w:t>
      </w:r>
    </w:p>
    <w:p w14:paraId="3424505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本保函从上述合同签订之日起至项目完工验收合格并结算完毕后，经双方签字</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天内保持有效。</w:t>
      </w:r>
    </w:p>
    <w:p w14:paraId="29838B98">
      <w:pPr>
        <w:ind w:firstLine="2824" w:firstLineChars="1345"/>
        <w:rPr>
          <w:rFonts w:hint="eastAsia" w:ascii="宋体" w:hAnsi="宋体" w:eastAsia="宋体" w:cs="宋体"/>
          <w:color w:val="auto"/>
          <w:sz w:val="21"/>
          <w:szCs w:val="21"/>
          <w:highlight w:val="none"/>
        </w:rPr>
      </w:pPr>
    </w:p>
    <w:p w14:paraId="7A71CE93">
      <w:pPr>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保证人：（盖章）</w:t>
      </w:r>
      <w:r>
        <w:rPr>
          <w:rFonts w:hint="eastAsia" w:ascii="宋体" w:hAnsi="宋体" w:eastAsia="宋体" w:cs="宋体"/>
          <w:color w:val="auto"/>
          <w:sz w:val="21"/>
          <w:szCs w:val="21"/>
          <w:highlight w:val="none"/>
          <w:u w:val="single"/>
        </w:rPr>
        <w:t xml:space="preserve">                        </w:t>
      </w:r>
    </w:p>
    <w:p w14:paraId="2FA56838">
      <w:pPr>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负责人：（签字）</w:t>
      </w:r>
      <w:r>
        <w:rPr>
          <w:rFonts w:hint="eastAsia" w:ascii="宋体" w:hAnsi="宋体" w:eastAsia="宋体" w:cs="宋体"/>
          <w:color w:val="auto"/>
          <w:sz w:val="21"/>
          <w:szCs w:val="21"/>
          <w:highlight w:val="none"/>
          <w:u w:val="single"/>
        </w:rPr>
        <w:t xml:space="preserve">                        </w:t>
      </w:r>
    </w:p>
    <w:p w14:paraId="0A47E8AE">
      <w:pPr>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EB42E0A">
      <w:pPr>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p>
    <w:p w14:paraId="7DFB4855">
      <w:pPr>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41ACE939">
      <w:pPr>
        <w:pStyle w:val="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时不需提交正式保函，在</w:t>
      </w:r>
      <w:r>
        <w:rPr>
          <w:rFonts w:hint="eastAsia" w:ascii="宋体" w:hAnsi="宋体" w:cs="宋体"/>
          <w:color w:val="auto"/>
          <w:sz w:val="21"/>
          <w:szCs w:val="21"/>
          <w:highlight w:val="none"/>
          <w:lang w:eastAsia="zh-CN"/>
        </w:rPr>
        <w:t>响应文件中加</w:t>
      </w:r>
      <w:r>
        <w:rPr>
          <w:rFonts w:hint="eastAsia" w:ascii="宋体" w:hAnsi="宋体" w:eastAsia="宋体" w:cs="宋体"/>
          <w:color w:val="auto"/>
          <w:sz w:val="21"/>
          <w:szCs w:val="21"/>
          <w:highlight w:val="none"/>
        </w:rPr>
        <w:t>盖</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公章确认保函格式即可，乙方在签订合同时提交正式保函。</w:t>
      </w:r>
    </w:p>
    <w:p w14:paraId="1DFAC0F3">
      <w:pPr>
        <w:pStyle w:val="24"/>
        <w:rPr>
          <w:rFonts w:hint="eastAsia" w:ascii="宋体" w:hAnsi="宋体" w:eastAsia="宋体" w:cs="宋体"/>
          <w:color w:val="auto"/>
          <w:sz w:val="21"/>
          <w:szCs w:val="21"/>
          <w:highlight w:val="none"/>
        </w:rPr>
      </w:pPr>
    </w:p>
    <w:p w14:paraId="5F78E626">
      <w:pPr>
        <w:pStyle w:val="24"/>
        <w:rPr>
          <w:rFonts w:hint="eastAsia" w:ascii="宋体" w:hAnsi="宋体" w:eastAsia="宋体" w:cs="宋体"/>
          <w:color w:val="auto"/>
          <w:sz w:val="21"/>
          <w:szCs w:val="21"/>
          <w:highlight w:val="none"/>
        </w:rPr>
      </w:pPr>
    </w:p>
    <w:p w14:paraId="003A3270">
      <w:pPr>
        <w:pStyle w:val="24"/>
        <w:rPr>
          <w:rFonts w:hint="eastAsia" w:ascii="宋体" w:hAnsi="宋体" w:eastAsia="宋体" w:cs="宋体"/>
          <w:color w:val="auto"/>
          <w:sz w:val="21"/>
          <w:szCs w:val="21"/>
          <w:highlight w:val="none"/>
        </w:rPr>
      </w:pPr>
    </w:p>
    <w:p w14:paraId="17E24B80">
      <w:pPr>
        <w:rPr>
          <w:rFonts w:hint="eastAsia" w:ascii="宋体" w:hAnsi="宋体" w:eastAsia="宋体" w:cs="宋体"/>
          <w:color w:val="auto"/>
          <w:sz w:val="21"/>
          <w:szCs w:val="21"/>
          <w:highlight w:val="none"/>
        </w:rPr>
      </w:pPr>
      <w:bookmarkStart w:id="325" w:name="_Toc29098"/>
      <w:r>
        <w:rPr>
          <w:rFonts w:hint="eastAsia" w:ascii="宋体" w:hAnsi="宋体" w:eastAsia="宋体" w:cs="宋体"/>
          <w:color w:val="auto"/>
          <w:sz w:val="21"/>
          <w:szCs w:val="21"/>
          <w:highlight w:val="none"/>
        </w:rPr>
        <w:br w:type="page"/>
      </w:r>
    </w:p>
    <w:p w14:paraId="1B6B2457">
      <w:pPr>
        <w:pStyle w:val="6"/>
        <w:numPr>
          <w:ilvl w:val="255"/>
          <w:numId w:val="0"/>
        </w:numPr>
        <w:tabs>
          <w:tab w:val="left" w:pos="720"/>
          <w:tab w:val="left" w:pos="3840"/>
        </w:tabs>
        <w:ind w:left="28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附件2.预付款保函（适用于预付款支付）</w:t>
      </w:r>
      <w:bookmarkEnd w:id="325"/>
    </w:p>
    <w:p w14:paraId="2F184360">
      <w:pPr>
        <w:pStyle w:val="23"/>
        <w:rPr>
          <w:rFonts w:hint="eastAsia" w:ascii="宋体" w:hAnsi="宋体" w:eastAsia="宋体" w:cs="宋体"/>
          <w:color w:val="auto"/>
          <w:szCs w:val="24"/>
          <w:highlight w:val="none"/>
        </w:rPr>
      </w:pPr>
    </w:p>
    <w:p w14:paraId="10077471">
      <w:pPr>
        <w:jc w:val="center"/>
        <w:rPr>
          <w:rFonts w:hint="eastAsia" w:ascii="宋体" w:hAnsi="宋体" w:eastAsia="宋体" w:cs="宋体"/>
          <w:color w:val="auto"/>
          <w:sz w:val="28"/>
          <w:szCs w:val="28"/>
          <w:highlight w:val="none"/>
        </w:rPr>
      </w:pPr>
      <w:bookmarkStart w:id="326" w:name="_Toc25494"/>
      <w:bookmarkStart w:id="327" w:name="_Toc10315"/>
      <w:bookmarkStart w:id="328" w:name="_Toc20669"/>
      <w:bookmarkStart w:id="329" w:name="_Toc29728"/>
      <w:bookmarkStart w:id="330" w:name="_Toc6877"/>
      <w:bookmarkStart w:id="331" w:name="_Toc31418"/>
      <w:bookmarkStart w:id="332" w:name="_Toc29054"/>
      <w:bookmarkStart w:id="333" w:name="_Toc1039"/>
      <w:bookmarkStart w:id="334" w:name="_Toc27545"/>
      <w:bookmarkStart w:id="335" w:name="_Toc3295"/>
      <w:bookmarkStart w:id="336" w:name="_Toc5034"/>
      <w:bookmarkStart w:id="337" w:name="_Toc7374"/>
      <w:r>
        <w:rPr>
          <w:rFonts w:hint="eastAsia" w:ascii="宋体" w:hAnsi="宋体" w:eastAsia="宋体" w:cs="宋体"/>
          <w:color w:val="auto"/>
          <w:sz w:val="28"/>
          <w:szCs w:val="28"/>
          <w:highlight w:val="none"/>
        </w:rPr>
        <w:t>不可撤销预付款保函</w:t>
      </w:r>
      <w:bookmarkEnd w:id="326"/>
      <w:bookmarkEnd w:id="327"/>
      <w:bookmarkEnd w:id="328"/>
      <w:bookmarkEnd w:id="329"/>
      <w:bookmarkEnd w:id="330"/>
      <w:bookmarkEnd w:id="331"/>
      <w:bookmarkEnd w:id="332"/>
      <w:bookmarkEnd w:id="333"/>
      <w:bookmarkEnd w:id="334"/>
      <w:bookmarkEnd w:id="335"/>
      <w:bookmarkEnd w:id="336"/>
      <w:bookmarkEnd w:id="337"/>
    </w:p>
    <w:p w14:paraId="74A41BD2">
      <w:pPr>
        <w:ind w:firstLine="6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银行编号：</w:t>
      </w:r>
      <w:r>
        <w:rPr>
          <w:rFonts w:hint="eastAsia" w:ascii="宋体" w:hAnsi="宋体" w:eastAsia="宋体" w:cs="宋体"/>
          <w:color w:val="auto"/>
          <w:szCs w:val="21"/>
          <w:highlight w:val="none"/>
          <w:u w:val="single"/>
        </w:rPr>
        <w:t xml:space="preserve">             </w:t>
      </w:r>
    </w:p>
    <w:p w14:paraId="1A19C613">
      <w:pPr>
        <w:ind w:firstLine="6300"/>
        <w:rPr>
          <w:rFonts w:hint="eastAsia" w:ascii="宋体" w:hAnsi="宋体" w:eastAsia="宋体" w:cs="宋体"/>
          <w:color w:val="auto"/>
          <w:szCs w:val="21"/>
          <w:highlight w:val="none"/>
        </w:rPr>
      </w:pPr>
    </w:p>
    <w:p w14:paraId="3C12DE6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（下称“采购人”）</w:t>
      </w:r>
    </w:p>
    <w:p w14:paraId="4D65226C">
      <w:pPr>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（地址：          ，下称 “中标人” ）</w:t>
      </w:r>
      <w:r>
        <w:rPr>
          <w:rFonts w:hint="eastAsia" w:ascii="宋体" w:hAnsi="宋体" w:eastAsia="宋体" w:cs="宋体"/>
          <w:color w:val="auto"/>
          <w:sz w:val="21"/>
          <w:szCs w:val="21"/>
          <w:highlight w:val="none"/>
        </w:rPr>
        <w:t>，已保证按</w:t>
      </w:r>
      <w:r>
        <w:rPr>
          <w:rFonts w:hint="eastAsia" w:ascii="宋体" w:hAnsi="宋体" w:eastAsia="宋体" w:cs="宋体"/>
          <w:color w:val="auto"/>
          <w:sz w:val="21"/>
          <w:szCs w:val="21"/>
          <w:highlight w:val="none"/>
          <w:u w:val="single"/>
        </w:rPr>
        <w:t xml:space="preserve">          承包合同书（合同编号：    ）</w:t>
      </w:r>
      <w:r>
        <w:rPr>
          <w:rFonts w:hint="eastAsia" w:ascii="宋体" w:hAnsi="宋体" w:eastAsia="宋体" w:cs="宋体"/>
          <w:color w:val="auto"/>
          <w:sz w:val="21"/>
          <w:szCs w:val="21"/>
          <w:highlight w:val="none"/>
        </w:rPr>
        <w:t>中规定的义务履行合同。</w:t>
      </w:r>
    </w:p>
    <w:p w14:paraId="55DAD3C1">
      <w:pPr>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根据上述合同（招标文件）规定，中标人应向采购人提供一份金额为合同总价的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即人民币</w:t>
      </w:r>
      <w:r>
        <w:rPr>
          <w:rFonts w:hint="eastAsia" w:ascii="宋体" w:hAnsi="宋体" w:eastAsia="宋体" w:cs="宋体"/>
          <w:color w:val="auto"/>
          <w:sz w:val="21"/>
          <w:szCs w:val="21"/>
          <w:highlight w:val="none"/>
          <w:u w:val="single"/>
        </w:rPr>
        <w:t xml:space="preserve">      （RMB      元）</w:t>
      </w:r>
      <w:r>
        <w:rPr>
          <w:rFonts w:hint="eastAsia" w:ascii="宋体" w:hAnsi="宋体" w:eastAsia="宋体" w:cs="宋体"/>
          <w:color w:val="auto"/>
          <w:sz w:val="21"/>
          <w:szCs w:val="21"/>
          <w:highlight w:val="none"/>
        </w:rPr>
        <w:t>的不可撤销银行预付款保函，以保证中标人履行合同的相关条款。</w:t>
      </w:r>
    </w:p>
    <w:p w14:paraId="09D43561">
      <w:pPr>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  </w:t>
      </w:r>
      <w:r>
        <w:rPr>
          <w:rFonts w:hint="eastAsia" w:ascii="宋体" w:hAnsi="宋体" w:eastAsia="宋体" w:cs="宋体"/>
          <w:color w:val="auto"/>
          <w:sz w:val="21"/>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79EE5373">
      <w:pPr>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0D7CAF83">
      <w:pPr>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本保函有效期从保函开立之日起至采购人向中标人抵扣完所有预付款之日止。</w:t>
      </w:r>
    </w:p>
    <w:p w14:paraId="37A316D6">
      <w:pPr>
        <w:rPr>
          <w:rFonts w:hint="eastAsia" w:ascii="宋体" w:hAnsi="宋体" w:eastAsia="宋体" w:cs="宋体"/>
          <w:color w:val="auto"/>
          <w:sz w:val="21"/>
          <w:szCs w:val="21"/>
          <w:highlight w:val="none"/>
        </w:rPr>
      </w:pPr>
    </w:p>
    <w:p w14:paraId="2150ED94">
      <w:pPr>
        <w:ind w:firstLine="437"/>
        <w:rPr>
          <w:rFonts w:hint="eastAsia" w:ascii="宋体" w:hAnsi="宋体" w:eastAsia="宋体" w:cs="宋体"/>
          <w:color w:val="auto"/>
          <w:sz w:val="21"/>
          <w:szCs w:val="21"/>
          <w:highlight w:val="none"/>
        </w:rPr>
      </w:pPr>
    </w:p>
    <w:p w14:paraId="0914AF44">
      <w:pPr>
        <w:ind w:firstLine="48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保证人：（公章）</w:t>
      </w:r>
      <w:r>
        <w:rPr>
          <w:rFonts w:hint="eastAsia" w:ascii="宋体" w:hAnsi="宋体" w:eastAsia="宋体" w:cs="宋体"/>
          <w:color w:val="auto"/>
          <w:sz w:val="21"/>
          <w:szCs w:val="21"/>
          <w:highlight w:val="none"/>
          <w:u w:val="single"/>
        </w:rPr>
        <w:t xml:space="preserve">                     </w:t>
      </w:r>
    </w:p>
    <w:p w14:paraId="242FFCC1">
      <w:pPr>
        <w:ind w:firstLine="486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负责人：（签字）</w:t>
      </w:r>
      <w:r>
        <w:rPr>
          <w:rFonts w:hint="eastAsia" w:ascii="宋体" w:hAnsi="宋体" w:eastAsia="宋体" w:cs="宋体"/>
          <w:color w:val="auto"/>
          <w:sz w:val="21"/>
          <w:szCs w:val="21"/>
          <w:highlight w:val="none"/>
          <w:u w:val="single"/>
        </w:rPr>
        <w:t xml:space="preserve">                     </w:t>
      </w:r>
    </w:p>
    <w:p w14:paraId="6AF53381">
      <w:pPr>
        <w:ind w:firstLine="486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p>
    <w:p w14:paraId="2552E004">
      <w:pPr>
        <w:ind w:firstLine="48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4D4AF524">
      <w:pPr>
        <w:ind w:firstLine="486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2B180301">
      <w:pPr>
        <w:pStyle w:val="23"/>
        <w:rPr>
          <w:rFonts w:hint="eastAsia" w:ascii="宋体" w:hAnsi="宋体" w:eastAsia="宋体" w:cs="宋体"/>
          <w:color w:val="auto"/>
          <w:sz w:val="21"/>
          <w:szCs w:val="21"/>
          <w:highlight w:val="none"/>
        </w:rPr>
      </w:pPr>
    </w:p>
    <w:p w14:paraId="691F4B99">
      <w:pPr>
        <w:pStyle w:val="23"/>
        <w:rPr>
          <w:rFonts w:hint="eastAsia" w:ascii="宋体" w:hAnsi="宋体" w:eastAsia="宋体" w:cs="宋体"/>
          <w:color w:val="auto"/>
          <w:sz w:val="21"/>
          <w:szCs w:val="21"/>
          <w:highlight w:val="none"/>
        </w:rPr>
      </w:pPr>
    </w:p>
    <w:p w14:paraId="4E819A80">
      <w:pPr>
        <w:ind w:firstLine="413" w:firstLineChars="196"/>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rPr>
        <w:t>说明：</w:t>
      </w:r>
      <w:r>
        <w:rPr>
          <w:rFonts w:hint="eastAsia" w:hAnsi="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在</w:t>
      </w:r>
      <w:r>
        <w:rPr>
          <w:rFonts w:hint="eastAsia" w:hAnsi="宋体" w:cs="宋体"/>
          <w:b/>
          <w:color w:val="auto"/>
          <w:sz w:val="21"/>
          <w:szCs w:val="21"/>
          <w:highlight w:val="none"/>
          <w:lang w:eastAsia="zh-CN"/>
        </w:rPr>
        <w:t>响应文件中加</w:t>
      </w:r>
      <w:r>
        <w:rPr>
          <w:rFonts w:hint="eastAsia" w:ascii="宋体" w:hAnsi="宋体" w:eastAsia="宋体" w:cs="宋体"/>
          <w:b/>
          <w:color w:val="auto"/>
          <w:sz w:val="21"/>
          <w:szCs w:val="21"/>
          <w:highlight w:val="none"/>
        </w:rPr>
        <w:t>盖</w:t>
      </w:r>
      <w:r>
        <w:rPr>
          <w:rFonts w:hint="eastAsia" w:hAnsi="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公章确认保函内容即可，如</w:t>
      </w:r>
      <w:r>
        <w:rPr>
          <w:rFonts w:hint="eastAsia" w:hAnsi="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再由银行出具保函</w:t>
      </w:r>
      <w:r>
        <w:rPr>
          <w:rFonts w:hint="eastAsia" w:ascii="宋体" w:hAnsi="宋体" w:eastAsia="宋体" w:cs="宋体"/>
          <w:b/>
          <w:color w:val="auto"/>
          <w:sz w:val="21"/>
          <w:szCs w:val="21"/>
          <w:highlight w:val="none"/>
          <w:lang w:eastAsia="zh-CN"/>
        </w:rPr>
        <w:t>。</w:t>
      </w:r>
    </w:p>
    <w:sectPr>
      <w:headerReference r:id="rId5" w:type="default"/>
      <w:footerReference r:id="rId6" w:type="default"/>
      <w:pgSz w:w="11907" w:h="16840"/>
      <w:pgMar w:top="1440" w:right="1134" w:bottom="1440" w:left="1134" w:header="850" w:footer="720" w:gutter="0"/>
      <w:pgBorders>
        <w:top w:val="none" w:sz="0" w:space="0"/>
        <w:left w:val="none" w:sz="0" w:space="0"/>
        <w:bottom w:val="none" w:sz="0" w:space="0"/>
        <w:right w:val="none" w:sz="0" w:space="0"/>
      </w:pgBorders>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5D4A49-9887-4A2F-848D-5CD06EAAAC64}"/>
  </w:font>
  <w:font w:name="黑体">
    <w:panose1 w:val="02010609060101010101"/>
    <w:charset w:val="86"/>
    <w:family w:val="auto"/>
    <w:pitch w:val="default"/>
    <w:sig w:usb0="800002BF" w:usb1="38CF7CFA" w:usb2="00000016" w:usb3="00000000" w:csb0="00040001" w:csb1="00000000"/>
    <w:embedRegular r:id="rId2" w:fontKey="{9B91BCAB-1E7A-4FFA-AA55-8CD76D4A0A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3EE8656-2E3E-47F9-B325-92818784CBBE}"/>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4" w:fontKey="{24D4E893-2433-4D7F-8931-EBD5C9B8D1C0}"/>
  </w:font>
  <w:font w:name="Helvetica">
    <w:altName w:val="Arial"/>
    <w:panose1 w:val="020B0504020202030204"/>
    <w:charset w:val="00"/>
    <w:family w:val="swiss"/>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embedRegular r:id="rId5" w:fontKey="{322543C5-1A4E-4A5B-B254-65D76F56FFC4}"/>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embedRegular r:id="rId6" w:fontKey="{294BB0CF-DDEF-419D-8DA1-2947D0823422}"/>
  </w:font>
  <w:font w:name="Arial Unicode MS">
    <w:panose1 w:val="020B0604020202020204"/>
    <w:charset w:val="86"/>
    <w:family w:val="swiss"/>
    <w:pitch w:val="default"/>
    <w:sig w:usb0="FFFFFFFF" w:usb1="E9FFFFFF" w:usb2="0000003F" w:usb3="00000000" w:csb0="603F01FF" w:csb1="FFFF0000"/>
    <w:embedRegular r:id="rId7" w:fontKey="{7FE29FE0-5992-48ED-806F-FC162C8D0C49}"/>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Arial Black">
    <w:panose1 w:val="020B0A04020102020204"/>
    <w:charset w:val="00"/>
    <w:family w:val="swiss"/>
    <w:pitch w:val="default"/>
    <w:sig w:usb0="A00002AF" w:usb1="400078FB" w:usb2="00000000" w:usb3="00000000" w:csb0="6000009F" w:csb1="DFD70000"/>
  </w:font>
  <w:font w:name="思源黑体 CN Regular">
    <w:altName w:val="黑体"/>
    <w:panose1 w:val="00000000000000000000"/>
    <w:charset w:val="00"/>
    <w:family w:val="auto"/>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8" w:fontKey="{10595700-8849-465D-B3C9-AD30622B2C4A}"/>
  </w:font>
  <w:font w:name="时尚中黑简体">
    <w:altName w:val="黑体"/>
    <w:panose1 w:val="00000000000000000000"/>
    <w:charset w:val="86"/>
    <w:family w:val="auto"/>
    <w:pitch w:val="default"/>
    <w:sig w:usb0="00000000" w:usb1="00000000" w:usb2="00000012" w:usb3="00000000" w:csb0="00040001" w:csb1="00000000"/>
    <w:embedRegular r:id="rId9" w:fontKey="{22C1B0C0-9A9E-4AF8-860B-1B001D7198FA}"/>
  </w:font>
  <w:font w:name="WPSEMBED1">
    <w:panose1 w:val="02010609030101010101"/>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9EA6">
    <w:pPr>
      <w:pStyle w:val="3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66F22">
                          <w:pPr>
                            <w:pStyle w:val="3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C66F22">
                    <w:pPr>
                      <w:pStyle w:val="3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1107D">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A9F13">
                          <w:pPr>
                            <w:pStyle w:val="3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DA9F13">
                    <w:pPr>
                      <w:pStyle w:val="3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BF522">
    <w:pPr>
      <w:pStyle w:val="35"/>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14:paraId="37CED583">
                          <w:pPr>
                            <w:pStyle w:val="3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14:paraId="37CED583">
                    <w:pPr>
                      <w:pStyle w:val="3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ECA1">
    <w:pPr>
      <w:pStyle w:val="36"/>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lang w:eastAsia="zh-CN"/>
      </w:rPr>
      <w:t>中天项目咨询（东莞）有限公司</w:t>
    </w:r>
    <w:r>
      <w:rPr>
        <w:rFonts w:hint="eastAsia" w:ascii="时尚中黑简体" w:hAnsi="时尚中黑简体" w:eastAsia="时尚中黑简体" w:cs="时尚中黑简体"/>
        <w:bCs/>
        <w:sz w:val="21"/>
        <w:szCs w:val="21"/>
      </w:rPr>
      <w:t xml:space="preserve">  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5"/>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2"/>
    <w:multiLevelType w:val="multilevel"/>
    <w:tmpl w:val="00000012"/>
    <w:lvl w:ilvl="0" w:tentative="0">
      <w:start w:val="1"/>
      <w:numFmt w:val="bullet"/>
      <w:pStyle w:val="9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3"/>
    <w:multiLevelType w:val="multilevel"/>
    <w:tmpl w:val="00000013"/>
    <w:lvl w:ilvl="0" w:tentative="0">
      <w:start w:val="1"/>
      <w:numFmt w:val="decimal"/>
      <w:pStyle w:val="113"/>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16"/>
    <w:multiLevelType w:val="multilevel"/>
    <w:tmpl w:val="00000016"/>
    <w:lvl w:ilvl="0" w:tentative="0">
      <w:start w:val="1"/>
      <w:numFmt w:val="decimal"/>
      <w:pStyle w:val="15"/>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0"/>
    <w:multiLevelType w:val="multilevel"/>
    <w:tmpl w:val="00000020"/>
    <w:lvl w:ilvl="0" w:tentative="0">
      <w:start w:val="1"/>
      <w:numFmt w:val="bullet"/>
      <w:pStyle w:val="9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29"/>
    <w:multiLevelType w:val="multilevel"/>
    <w:tmpl w:val="00000029"/>
    <w:lvl w:ilvl="0" w:tentative="0">
      <w:start w:val="1"/>
      <w:numFmt w:val="bullet"/>
      <w:pStyle w:val="50"/>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9">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1BBEE17"/>
    <w:multiLevelType w:val="singleLevel"/>
    <w:tmpl w:val="21BBEE17"/>
    <w:lvl w:ilvl="0" w:tentative="0">
      <w:start w:val="5"/>
      <w:numFmt w:val="chineseCounting"/>
      <w:suff w:val="space"/>
      <w:lvlText w:val="第%1部分"/>
      <w:lvlJc w:val="left"/>
      <w:rPr>
        <w:rFonts w:hint="eastAsia"/>
      </w:rPr>
    </w:lvl>
  </w:abstractNum>
  <w:abstractNum w:abstractNumId="11">
    <w:nsid w:val="2727DD9B"/>
    <w:multiLevelType w:val="multilevel"/>
    <w:tmpl w:val="2727DD9B"/>
    <w:lvl w:ilvl="0" w:tentative="0">
      <w:start w:val="1"/>
      <w:numFmt w:val="decimal"/>
      <w:pStyle w:val="16"/>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2">
    <w:nsid w:val="37402185"/>
    <w:multiLevelType w:val="singleLevel"/>
    <w:tmpl w:val="37402185"/>
    <w:lvl w:ilvl="0" w:tentative="0">
      <w:start w:val="1"/>
      <w:numFmt w:val="decimal"/>
      <w:pStyle w:val="25"/>
      <w:lvlText w:val="%1."/>
      <w:lvlJc w:val="left"/>
      <w:pPr>
        <w:tabs>
          <w:tab w:val="left" w:pos="1200"/>
        </w:tabs>
        <w:ind w:left="1200" w:hanging="360"/>
      </w:pPr>
    </w:lvl>
  </w:abstractNum>
  <w:abstractNum w:abstractNumId="13">
    <w:nsid w:val="44B527B7"/>
    <w:multiLevelType w:val="singleLevel"/>
    <w:tmpl w:val="44B527B7"/>
    <w:lvl w:ilvl="0" w:tentative="0">
      <w:start w:val="1"/>
      <w:numFmt w:val="decimal"/>
      <w:suff w:val="nothing"/>
      <w:lvlText w:val="（%1）"/>
      <w:lvlJc w:val="left"/>
    </w:lvl>
  </w:abstractNum>
  <w:abstractNum w:abstractNumId="14">
    <w:nsid w:val="52F421C6"/>
    <w:multiLevelType w:val="singleLevel"/>
    <w:tmpl w:val="52F421C6"/>
    <w:lvl w:ilvl="0" w:tentative="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8"/>
  </w:num>
  <w:num w:numId="5">
    <w:abstractNumId w:val="6"/>
  </w:num>
  <w:num w:numId="6">
    <w:abstractNumId w:val="3"/>
  </w:num>
  <w:num w:numId="7">
    <w:abstractNumId w:val="1"/>
  </w:num>
  <w:num w:numId="8">
    <w:abstractNumId w:val="4"/>
  </w:num>
  <w:num w:numId="9">
    <w:abstractNumId w:val="9"/>
  </w:num>
  <w:num w:numId="10">
    <w:abstractNumId w:val="7"/>
  </w:num>
  <w:num w:numId="11">
    <w:abstractNumId w:val="13"/>
  </w:num>
  <w:num w:numId="12">
    <w:abstractNumId w:val="2"/>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20"/>
  <w:drawingGridVerticalSpacing w:val="16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lMzA3MDEyMDY3MjYxOGQyODQ5YTg2NWMwMTY1OTM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009"/>
    <w:rsid w:val="0011439F"/>
    <w:rsid w:val="00114927"/>
    <w:rsid w:val="00124125"/>
    <w:rsid w:val="00135223"/>
    <w:rsid w:val="00145E79"/>
    <w:rsid w:val="00152EFD"/>
    <w:rsid w:val="001617C8"/>
    <w:rsid w:val="00172A27"/>
    <w:rsid w:val="001749FA"/>
    <w:rsid w:val="001B549E"/>
    <w:rsid w:val="001B72E4"/>
    <w:rsid w:val="001C49E6"/>
    <w:rsid w:val="001C51E0"/>
    <w:rsid w:val="001D4260"/>
    <w:rsid w:val="001E2687"/>
    <w:rsid w:val="001E68CA"/>
    <w:rsid w:val="002002A4"/>
    <w:rsid w:val="00201FF9"/>
    <w:rsid w:val="00216ABC"/>
    <w:rsid w:val="002172C9"/>
    <w:rsid w:val="00217AB8"/>
    <w:rsid w:val="002326CA"/>
    <w:rsid w:val="0025621E"/>
    <w:rsid w:val="00265319"/>
    <w:rsid w:val="00265A37"/>
    <w:rsid w:val="00267764"/>
    <w:rsid w:val="00270A95"/>
    <w:rsid w:val="002877C1"/>
    <w:rsid w:val="002908F6"/>
    <w:rsid w:val="00291FAB"/>
    <w:rsid w:val="002C0888"/>
    <w:rsid w:val="002C53F2"/>
    <w:rsid w:val="002D14E4"/>
    <w:rsid w:val="002D4AB1"/>
    <w:rsid w:val="002D687C"/>
    <w:rsid w:val="002E58AE"/>
    <w:rsid w:val="003537B6"/>
    <w:rsid w:val="00354336"/>
    <w:rsid w:val="003613BD"/>
    <w:rsid w:val="00376337"/>
    <w:rsid w:val="003824C3"/>
    <w:rsid w:val="00391ED7"/>
    <w:rsid w:val="00393E42"/>
    <w:rsid w:val="003A2560"/>
    <w:rsid w:val="003C228D"/>
    <w:rsid w:val="003C2F31"/>
    <w:rsid w:val="00414870"/>
    <w:rsid w:val="004167E4"/>
    <w:rsid w:val="004207FB"/>
    <w:rsid w:val="0044257A"/>
    <w:rsid w:val="0045071E"/>
    <w:rsid w:val="0046288B"/>
    <w:rsid w:val="00465BC3"/>
    <w:rsid w:val="00473DA1"/>
    <w:rsid w:val="004D1919"/>
    <w:rsid w:val="004D2652"/>
    <w:rsid w:val="005471BA"/>
    <w:rsid w:val="00553F3A"/>
    <w:rsid w:val="00555F92"/>
    <w:rsid w:val="00563F71"/>
    <w:rsid w:val="005663EA"/>
    <w:rsid w:val="00585BAB"/>
    <w:rsid w:val="005A06DF"/>
    <w:rsid w:val="005A5A0D"/>
    <w:rsid w:val="005B5C14"/>
    <w:rsid w:val="005C3A06"/>
    <w:rsid w:val="005C7F93"/>
    <w:rsid w:val="005E0DBE"/>
    <w:rsid w:val="005F37C4"/>
    <w:rsid w:val="006023DD"/>
    <w:rsid w:val="006071A1"/>
    <w:rsid w:val="00636A66"/>
    <w:rsid w:val="00637720"/>
    <w:rsid w:val="006421D2"/>
    <w:rsid w:val="00643C95"/>
    <w:rsid w:val="006529BE"/>
    <w:rsid w:val="00661DDF"/>
    <w:rsid w:val="00662A8A"/>
    <w:rsid w:val="00675141"/>
    <w:rsid w:val="006B678C"/>
    <w:rsid w:val="006C4ED2"/>
    <w:rsid w:val="006E2C33"/>
    <w:rsid w:val="006F7565"/>
    <w:rsid w:val="00722579"/>
    <w:rsid w:val="007266BA"/>
    <w:rsid w:val="00737573"/>
    <w:rsid w:val="0075111E"/>
    <w:rsid w:val="00766AFF"/>
    <w:rsid w:val="0079444F"/>
    <w:rsid w:val="007A6701"/>
    <w:rsid w:val="007A6F63"/>
    <w:rsid w:val="007B21FC"/>
    <w:rsid w:val="007B3581"/>
    <w:rsid w:val="007D280B"/>
    <w:rsid w:val="007F1FF8"/>
    <w:rsid w:val="007F2B89"/>
    <w:rsid w:val="00803F10"/>
    <w:rsid w:val="00813E25"/>
    <w:rsid w:val="00821042"/>
    <w:rsid w:val="00821BD7"/>
    <w:rsid w:val="00823A4E"/>
    <w:rsid w:val="00831E15"/>
    <w:rsid w:val="00835AD1"/>
    <w:rsid w:val="00847835"/>
    <w:rsid w:val="008A0878"/>
    <w:rsid w:val="008A3562"/>
    <w:rsid w:val="008B5078"/>
    <w:rsid w:val="008B52E4"/>
    <w:rsid w:val="008C4084"/>
    <w:rsid w:val="008C4968"/>
    <w:rsid w:val="008D2C58"/>
    <w:rsid w:val="008E129D"/>
    <w:rsid w:val="008E37B0"/>
    <w:rsid w:val="008E464C"/>
    <w:rsid w:val="008E4970"/>
    <w:rsid w:val="009009BC"/>
    <w:rsid w:val="00904619"/>
    <w:rsid w:val="00915614"/>
    <w:rsid w:val="00915F7F"/>
    <w:rsid w:val="00921F1A"/>
    <w:rsid w:val="009229CB"/>
    <w:rsid w:val="00926978"/>
    <w:rsid w:val="009368EA"/>
    <w:rsid w:val="009422CE"/>
    <w:rsid w:val="00944D1A"/>
    <w:rsid w:val="00951A8F"/>
    <w:rsid w:val="009628FD"/>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C148A"/>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183C"/>
    <w:rsid w:val="00BE779E"/>
    <w:rsid w:val="00BF09ED"/>
    <w:rsid w:val="00BF27E1"/>
    <w:rsid w:val="00C00F5A"/>
    <w:rsid w:val="00C03F08"/>
    <w:rsid w:val="00C12379"/>
    <w:rsid w:val="00C16CB7"/>
    <w:rsid w:val="00C25C61"/>
    <w:rsid w:val="00C40AF8"/>
    <w:rsid w:val="00C41180"/>
    <w:rsid w:val="00C5753E"/>
    <w:rsid w:val="00C61390"/>
    <w:rsid w:val="00C62932"/>
    <w:rsid w:val="00C760CD"/>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19FA"/>
    <w:rsid w:val="00E438D2"/>
    <w:rsid w:val="00E53F8C"/>
    <w:rsid w:val="00E61200"/>
    <w:rsid w:val="00E63FBE"/>
    <w:rsid w:val="00E678C7"/>
    <w:rsid w:val="00E80F9B"/>
    <w:rsid w:val="00E82600"/>
    <w:rsid w:val="00E90F29"/>
    <w:rsid w:val="00EB1ABE"/>
    <w:rsid w:val="00EB4346"/>
    <w:rsid w:val="00ED1779"/>
    <w:rsid w:val="00EE7CA8"/>
    <w:rsid w:val="00EF189B"/>
    <w:rsid w:val="00EF6736"/>
    <w:rsid w:val="00EF6B76"/>
    <w:rsid w:val="00F014C7"/>
    <w:rsid w:val="00F02C24"/>
    <w:rsid w:val="00F04A9D"/>
    <w:rsid w:val="00F07594"/>
    <w:rsid w:val="00F31719"/>
    <w:rsid w:val="00F32C3A"/>
    <w:rsid w:val="00F53394"/>
    <w:rsid w:val="00F54AFB"/>
    <w:rsid w:val="00F67D80"/>
    <w:rsid w:val="00F718C6"/>
    <w:rsid w:val="00FC4DD8"/>
    <w:rsid w:val="00FC6B2E"/>
    <w:rsid w:val="00FD40C9"/>
    <w:rsid w:val="01016788"/>
    <w:rsid w:val="010B18A0"/>
    <w:rsid w:val="01101FD4"/>
    <w:rsid w:val="013511BC"/>
    <w:rsid w:val="01547328"/>
    <w:rsid w:val="01630778"/>
    <w:rsid w:val="01857C73"/>
    <w:rsid w:val="01964C25"/>
    <w:rsid w:val="01A12C3F"/>
    <w:rsid w:val="01CD1195"/>
    <w:rsid w:val="01D142D7"/>
    <w:rsid w:val="01EB797B"/>
    <w:rsid w:val="021F4C81"/>
    <w:rsid w:val="02414B92"/>
    <w:rsid w:val="028339A0"/>
    <w:rsid w:val="028366E4"/>
    <w:rsid w:val="02A56B80"/>
    <w:rsid w:val="02B5383F"/>
    <w:rsid w:val="02C560C8"/>
    <w:rsid w:val="02F741FF"/>
    <w:rsid w:val="03077BF2"/>
    <w:rsid w:val="03240B2D"/>
    <w:rsid w:val="03404A6C"/>
    <w:rsid w:val="0342204B"/>
    <w:rsid w:val="035324D3"/>
    <w:rsid w:val="036719BE"/>
    <w:rsid w:val="03772BBD"/>
    <w:rsid w:val="038413BE"/>
    <w:rsid w:val="038C71B9"/>
    <w:rsid w:val="0396442E"/>
    <w:rsid w:val="03C53166"/>
    <w:rsid w:val="03E3700D"/>
    <w:rsid w:val="04082941"/>
    <w:rsid w:val="0437435F"/>
    <w:rsid w:val="043948C2"/>
    <w:rsid w:val="0441683D"/>
    <w:rsid w:val="04755FE3"/>
    <w:rsid w:val="04897AAE"/>
    <w:rsid w:val="048D3C72"/>
    <w:rsid w:val="04946A57"/>
    <w:rsid w:val="049E01CA"/>
    <w:rsid w:val="04A67F3F"/>
    <w:rsid w:val="04AA7A54"/>
    <w:rsid w:val="04DC1E95"/>
    <w:rsid w:val="05056F9C"/>
    <w:rsid w:val="053B507A"/>
    <w:rsid w:val="056B6415"/>
    <w:rsid w:val="056F7E9D"/>
    <w:rsid w:val="05A04252"/>
    <w:rsid w:val="05B531D5"/>
    <w:rsid w:val="05BB5375"/>
    <w:rsid w:val="05D17368"/>
    <w:rsid w:val="05D64E8C"/>
    <w:rsid w:val="05D70893"/>
    <w:rsid w:val="05D879EE"/>
    <w:rsid w:val="05E66954"/>
    <w:rsid w:val="05EF3BF5"/>
    <w:rsid w:val="061B4DCC"/>
    <w:rsid w:val="0631131C"/>
    <w:rsid w:val="065C4ACB"/>
    <w:rsid w:val="0684556E"/>
    <w:rsid w:val="06B72B51"/>
    <w:rsid w:val="06D773BE"/>
    <w:rsid w:val="07005EC6"/>
    <w:rsid w:val="07143631"/>
    <w:rsid w:val="07144968"/>
    <w:rsid w:val="071F2807"/>
    <w:rsid w:val="07231446"/>
    <w:rsid w:val="074D0B91"/>
    <w:rsid w:val="07667537"/>
    <w:rsid w:val="076F789A"/>
    <w:rsid w:val="0784472B"/>
    <w:rsid w:val="079B0031"/>
    <w:rsid w:val="079F5559"/>
    <w:rsid w:val="07B00267"/>
    <w:rsid w:val="07B55B45"/>
    <w:rsid w:val="07E16810"/>
    <w:rsid w:val="08091249"/>
    <w:rsid w:val="08213B81"/>
    <w:rsid w:val="084C0B9D"/>
    <w:rsid w:val="0873640D"/>
    <w:rsid w:val="08783888"/>
    <w:rsid w:val="087D7A26"/>
    <w:rsid w:val="08AE00F7"/>
    <w:rsid w:val="08C30F20"/>
    <w:rsid w:val="08D1467C"/>
    <w:rsid w:val="08D23011"/>
    <w:rsid w:val="08DD3BDB"/>
    <w:rsid w:val="08ED6EB4"/>
    <w:rsid w:val="093F4ABD"/>
    <w:rsid w:val="09583AE9"/>
    <w:rsid w:val="09717CB2"/>
    <w:rsid w:val="099B68C7"/>
    <w:rsid w:val="099F3397"/>
    <w:rsid w:val="09A37C42"/>
    <w:rsid w:val="09B71979"/>
    <w:rsid w:val="09CA4C87"/>
    <w:rsid w:val="09EC0032"/>
    <w:rsid w:val="0A1846AD"/>
    <w:rsid w:val="0A334DE9"/>
    <w:rsid w:val="0A3673D1"/>
    <w:rsid w:val="0A391C61"/>
    <w:rsid w:val="0A395965"/>
    <w:rsid w:val="0A747C95"/>
    <w:rsid w:val="0A7E31A9"/>
    <w:rsid w:val="0A99628C"/>
    <w:rsid w:val="0AA12C61"/>
    <w:rsid w:val="0AD50B07"/>
    <w:rsid w:val="0B0D3780"/>
    <w:rsid w:val="0B192E69"/>
    <w:rsid w:val="0B1E5674"/>
    <w:rsid w:val="0B2B6432"/>
    <w:rsid w:val="0B481D54"/>
    <w:rsid w:val="0B504CAD"/>
    <w:rsid w:val="0B567FBC"/>
    <w:rsid w:val="0BA32867"/>
    <w:rsid w:val="0BEE6C3A"/>
    <w:rsid w:val="0C405D06"/>
    <w:rsid w:val="0C417DC3"/>
    <w:rsid w:val="0C5F45C4"/>
    <w:rsid w:val="0C6352C9"/>
    <w:rsid w:val="0C694A19"/>
    <w:rsid w:val="0C6E22F8"/>
    <w:rsid w:val="0C752414"/>
    <w:rsid w:val="0C781DA4"/>
    <w:rsid w:val="0CA4014A"/>
    <w:rsid w:val="0CC23CB2"/>
    <w:rsid w:val="0CD86DE7"/>
    <w:rsid w:val="0CE51F42"/>
    <w:rsid w:val="0CF9441B"/>
    <w:rsid w:val="0CFE63A4"/>
    <w:rsid w:val="0D0807FC"/>
    <w:rsid w:val="0D282054"/>
    <w:rsid w:val="0D33119A"/>
    <w:rsid w:val="0D4A2577"/>
    <w:rsid w:val="0D4D7EA2"/>
    <w:rsid w:val="0D596969"/>
    <w:rsid w:val="0D6D348A"/>
    <w:rsid w:val="0D9C0739"/>
    <w:rsid w:val="0DC77E1F"/>
    <w:rsid w:val="0DC87629"/>
    <w:rsid w:val="0DE500C7"/>
    <w:rsid w:val="0DFF5312"/>
    <w:rsid w:val="0E30061A"/>
    <w:rsid w:val="0E565A26"/>
    <w:rsid w:val="0E6759EA"/>
    <w:rsid w:val="0E693E94"/>
    <w:rsid w:val="0E88287D"/>
    <w:rsid w:val="0EAB15DF"/>
    <w:rsid w:val="0EB71B66"/>
    <w:rsid w:val="0EBD4ECC"/>
    <w:rsid w:val="0EC12B61"/>
    <w:rsid w:val="0ECB16D0"/>
    <w:rsid w:val="0F0F3E67"/>
    <w:rsid w:val="0F36681E"/>
    <w:rsid w:val="0F4B3B77"/>
    <w:rsid w:val="0F513C81"/>
    <w:rsid w:val="0F554B61"/>
    <w:rsid w:val="0F684139"/>
    <w:rsid w:val="0FA658B8"/>
    <w:rsid w:val="0FA725F9"/>
    <w:rsid w:val="0FB125A0"/>
    <w:rsid w:val="0FD32B55"/>
    <w:rsid w:val="0FF75B36"/>
    <w:rsid w:val="1007384E"/>
    <w:rsid w:val="107962EB"/>
    <w:rsid w:val="107D7A08"/>
    <w:rsid w:val="108C6692"/>
    <w:rsid w:val="109E5300"/>
    <w:rsid w:val="10BF5108"/>
    <w:rsid w:val="10C4053D"/>
    <w:rsid w:val="10D064F7"/>
    <w:rsid w:val="10D24A7B"/>
    <w:rsid w:val="10D763F7"/>
    <w:rsid w:val="10DA580F"/>
    <w:rsid w:val="10DF7BBC"/>
    <w:rsid w:val="111A2A3D"/>
    <w:rsid w:val="11244D2A"/>
    <w:rsid w:val="114253E0"/>
    <w:rsid w:val="11461A94"/>
    <w:rsid w:val="115D274C"/>
    <w:rsid w:val="115E3727"/>
    <w:rsid w:val="11B44234"/>
    <w:rsid w:val="11B472DB"/>
    <w:rsid w:val="11EC1420"/>
    <w:rsid w:val="11EE2FAE"/>
    <w:rsid w:val="11FA2120"/>
    <w:rsid w:val="1207493D"/>
    <w:rsid w:val="120D27E9"/>
    <w:rsid w:val="123E4872"/>
    <w:rsid w:val="124364E9"/>
    <w:rsid w:val="12835C65"/>
    <w:rsid w:val="129E014D"/>
    <w:rsid w:val="12AC1D0D"/>
    <w:rsid w:val="12BA6A0A"/>
    <w:rsid w:val="12C2266E"/>
    <w:rsid w:val="12CB160F"/>
    <w:rsid w:val="12D77FEC"/>
    <w:rsid w:val="12DB00BA"/>
    <w:rsid w:val="12F90EE0"/>
    <w:rsid w:val="1306089F"/>
    <w:rsid w:val="13276FF6"/>
    <w:rsid w:val="134F0DA1"/>
    <w:rsid w:val="136632E4"/>
    <w:rsid w:val="13693296"/>
    <w:rsid w:val="1394783B"/>
    <w:rsid w:val="139726F4"/>
    <w:rsid w:val="139B4F53"/>
    <w:rsid w:val="13CE5FC4"/>
    <w:rsid w:val="13F53443"/>
    <w:rsid w:val="144C6770"/>
    <w:rsid w:val="147778EA"/>
    <w:rsid w:val="14943CCC"/>
    <w:rsid w:val="14BA4603"/>
    <w:rsid w:val="14CD7B2A"/>
    <w:rsid w:val="14F16B6F"/>
    <w:rsid w:val="14F865C3"/>
    <w:rsid w:val="14FD2DF1"/>
    <w:rsid w:val="150F189B"/>
    <w:rsid w:val="1517294D"/>
    <w:rsid w:val="153642D6"/>
    <w:rsid w:val="15457698"/>
    <w:rsid w:val="154A5906"/>
    <w:rsid w:val="155558C2"/>
    <w:rsid w:val="15753037"/>
    <w:rsid w:val="158A75E1"/>
    <w:rsid w:val="1592511B"/>
    <w:rsid w:val="159C567E"/>
    <w:rsid w:val="15A520DA"/>
    <w:rsid w:val="15BA178C"/>
    <w:rsid w:val="15C0221F"/>
    <w:rsid w:val="15D77617"/>
    <w:rsid w:val="15D85E33"/>
    <w:rsid w:val="15E6513C"/>
    <w:rsid w:val="15E819C1"/>
    <w:rsid w:val="15F81571"/>
    <w:rsid w:val="161124BB"/>
    <w:rsid w:val="16483E1A"/>
    <w:rsid w:val="16554F68"/>
    <w:rsid w:val="165B5F0F"/>
    <w:rsid w:val="166320D6"/>
    <w:rsid w:val="166C4896"/>
    <w:rsid w:val="167B7AAC"/>
    <w:rsid w:val="169140C1"/>
    <w:rsid w:val="169B4AF9"/>
    <w:rsid w:val="16DB0595"/>
    <w:rsid w:val="16DF2F08"/>
    <w:rsid w:val="16E051E8"/>
    <w:rsid w:val="16ED26EB"/>
    <w:rsid w:val="17066EDE"/>
    <w:rsid w:val="1713214D"/>
    <w:rsid w:val="17945C52"/>
    <w:rsid w:val="17970727"/>
    <w:rsid w:val="17DD1C51"/>
    <w:rsid w:val="18092CD5"/>
    <w:rsid w:val="180D00A7"/>
    <w:rsid w:val="181A6207"/>
    <w:rsid w:val="18214341"/>
    <w:rsid w:val="18336B8F"/>
    <w:rsid w:val="1874792B"/>
    <w:rsid w:val="18C00D35"/>
    <w:rsid w:val="18D13A9A"/>
    <w:rsid w:val="18DE453C"/>
    <w:rsid w:val="18E514CE"/>
    <w:rsid w:val="190848C5"/>
    <w:rsid w:val="190A3B3E"/>
    <w:rsid w:val="191474B7"/>
    <w:rsid w:val="191911EB"/>
    <w:rsid w:val="192616BB"/>
    <w:rsid w:val="192C0FEE"/>
    <w:rsid w:val="19331160"/>
    <w:rsid w:val="19496281"/>
    <w:rsid w:val="196F6FC1"/>
    <w:rsid w:val="19711A8D"/>
    <w:rsid w:val="19992BD1"/>
    <w:rsid w:val="19AB5ACC"/>
    <w:rsid w:val="19C3351E"/>
    <w:rsid w:val="19CA0483"/>
    <w:rsid w:val="1A1D464D"/>
    <w:rsid w:val="1A5F77D3"/>
    <w:rsid w:val="1A6E6871"/>
    <w:rsid w:val="1A837B1C"/>
    <w:rsid w:val="1A8635C8"/>
    <w:rsid w:val="1AB56D4E"/>
    <w:rsid w:val="1ADA1355"/>
    <w:rsid w:val="1B006539"/>
    <w:rsid w:val="1B194961"/>
    <w:rsid w:val="1B195DEC"/>
    <w:rsid w:val="1B1B7BBB"/>
    <w:rsid w:val="1B285C20"/>
    <w:rsid w:val="1B4A6BAE"/>
    <w:rsid w:val="1B4B370A"/>
    <w:rsid w:val="1B537FF8"/>
    <w:rsid w:val="1B767B01"/>
    <w:rsid w:val="1B860FD9"/>
    <w:rsid w:val="1B9B47A0"/>
    <w:rsid w:val="1BB05E26"/>
    <w:rsid w:val="1BC40E99"/>
    <w:rsid w:val="1BC8314E"/>
    <w:rsid w:val="1BCA7890"/>
    <w:rsid w:val="1BCB6A47"/>
    <w:rsid w:val="1BFB1779"/>
    <w:rsid w:val="1BFD00F2"/>
    <w:rsid w:val="1C1327C3"/>
    <w:rsid w:val="1C3670C8"/>
    <w:rsid w:val="1C43363D"/>
    <w:rsid w:val="1C4628F7"/>
    <w:rsid w:val="1C5E28E7"/>
    <w:rsid w:val="1C79295A"/>
    <w:rsid w:val="1CA03602"/>
    <w:rsid w:val="1CC16689"/>
    <w:rsid w:val="1CCC24BC"/>
    <w:rsid w:val="1CE512E6"/>
    <w:rsid w:val="1CEF2480"/>
    <w:rsid w:val="1D061139"/>
    <w:rsid w:val="1D155742"/>
    <w:rsid w:val="1D59238C"/>
    <w:rsid w:val="1D870AB9"/>
    <w:rsid w:val="1D8A0E3C"/>
    <w:rsid w:val="1D8F4459"/>
    <w:rsid w:val="1D9254CD"/>
    <w:rsid w:val="1DA15E50"/>
    <w:rsid w:val="1DB01096"/>
    <w:rsid w:val="1DB27B15"/>
    <w:rsid w:val="1DB87E85"/>
    <w:rsid w:val="1DC85751"/>
    <w:rsid w:val="1DC934BA"/>
    <w:rsid w:val="1DEB61F5"/>
    <w:rsid w:val="1E0A627C"/>
    <w:rsid w:val="1E16086E"/>
    <w:rsid w:val="1E3A6AB1"/>
    <w:rsid w:val="1E80319B"/>
    <w:rsid w:val="1E885A3B"/>
    <w:rsid w:val="1E927FD6"/>
    <w:rsid w:val="1E9860A5"/>
    <w:rsid w:val="1EA838E7"/>
    <w:rsid w:val="1ED20877"/>
    <w:rsid w:val="1ED94E4B"/>
    <w:rsid w:val="1EDE5D5E"/>
    <w:rsid w:val="1EF77DC5"/>
    <w:rsid w:val="1F383ACC"/>
    <w:rsid w:val="1F394458"/>
    <w:rsid w:val="1F596305"/>
    <w:rsid w:val="1F8811C7"/>
    <w:rsid w:val="1F8D31BC"/>
    <w:rsid w:val="1F9062F5"/>
    <w:rsid w:val="1FEB5C6A"/>
    <w:rsid w:val="1FFF5A5F"/>
    <w:rsid w:val="202209B9"/>
    <w:rsid w:val="20280066"/>
    <w:rsid w:val="202C0E96"/>
    <w:rsid w:val="20304AD2"/>
    <w:rsid w:val="203B6599"/>
    <w:rsid w:val="204F6722"/>
    <w:rsid w:val="20782C9F"/>
    <w:rsid w:val="20902778"/>
    <w:rsid w:val="20991F33"/>
    <w:rsid w:val="20AF30C4"/>
    <w:rsid w:val="20C20F88"/>
    <w:rsid w:val="20FD5C7C"/>
    <w:rsid w:val="21096CBA"/>
    <w:rsid w:val="21142ADE"/>
    <w:rsid w:val="2115662C"/>
    <w:rsid w:val="211E06F8"/>
    <w:rsid w:val="21361A04"/>
    <w:rsid w:val="214418DF"/>
    <w:rsid w:val="21B95143"/>
    <w:rsid w:val="21C04FD1"/>
    <w:rsid w:val="21D51B3D"/>
    <w:rsid w:val="21FE0CB2"/>
    <w:rsid w:val="2201295E"/>
    <w:rsid w:val="220D6242"/>
    <w:rsid w:val="22196712"/>
    <w:rsid w:val="2272212A"/>
    <w:rsid w:val="22EC4950"/>
    <w:rsid w:val="22ED5F44"/>
    <w:rsid w:val="23197F12"/>
    <w:rsid w:val="231A56E2"/>
    <w:rsid w:val="231F7C19"/>
    <w:rsid w:val="232B5FAF"/>
    <w:rsid w:val="233F76E0"/>
    <w:rsid w:val="23411E36"/>
    <w:rsid w:val="23481CC9"/>
    <w:rsid w:val="235D3882"/>
    <w:rsid w:val="235F1272"/>
    <w:rsid w:val="23AE10BA"/>
    <w:rsid w:val="23E56B32"/>
    <w:rsid w:val="24142B46"/>
    <w:rsid w:val="24183F62"/>
    <w:rsid w:val="241D037F"/>
    <w:rsid w:val="2433149D"/>
    <w:rsid w:val="246270E4"/>
    <w:rsid w:val="24703D25"/>
    <w:rsid w:val="24772C2B"/>
    <w:rsid w:val="248B2E3F"/>
    <w:rsid w:val="24A32E7B"/>
    <w:rsid w:val="24DF22D5"/>
    <w:rsid w:val="251C2D64"/>
    <w:rsid w:val="25241FCD"/>
    <w:rsid w:val="25314C51"/>
    <w:rsid w:val="254A4C11"/>
    <w:rsid w:val="257008BE"/>
    <w:rsid w:val="258A0443"/>
    <w:rsid w:val="259B6286"/>
    <w:rsid w:val="25E86FC2"/>
    <w:rsid w:val="260C3AE7"/>
    <w:rsid w:val="261B35E2"/>
    <w:rsid w:val="261D7A35"/>
    <w:rsid w:val="263A612D"/>
    <w:rsid w:val="26483965"/>
    <w:rsid w:val="26684108"/>
    <w:rsid w:val="268B0B22"/>
    <w:rsid w:val="26BB607A"/>
    <w:rsid w:val="26BB7E4E"/>
    <w:rsid w:val="26C10F08"/>
    <w:rsid w:val="26D075A8"/>
    <w:rsid w:val="26D17DBC"/>
    <w:rsid w:val="26D24757"/>
    <w:rsid w:val="274D17E4"/>
    <w:rsid w:val="27506176"/>
    <w:rsid w:val="275D4096"/>
    <w:rsid w:val="276C3DD0"/>
    <w:rsid w:val="277B4947"/>
    <w:rsid w:val="27A57C3A"/>
    <w:rsid w:val="27D20BC1"/>
    <w:rsid w:val="27EB7AF0"/>
    <w:rsid w:val="280553D3"/>
    <w:rsid w:val="280F6C60"/>
    <w:rsid w:val="281253C2"/>
    <w:rsid w:val="28163476"/>
    <w:rsid w:val="282455AC"/>
    <w:rsid w:val="28261D0F"/>
    <w:rsid w:val="2838738D"/>
    <w:rsid w:val="286F250E"/>
    <w:rsid w:val="287D2504"/>
    <w:rsid w:val="2886147E"/>
    <w:rsid w:val="28A87389"/>
    <w:rsid w:val="28AB0694"/>
    <w:rsid w:val="28AE6A69"/>
    <w:rsid w:val="28B81772"/>
    <w:rsid w:val="28E6171F"/>
    <w:rsid w:val="290A4DA8"/>
    <w:rsid w:val="291176CC"/>
    <w:rsid w:val="291B6CB7"/>
    <w:rsid w:val="291C67BC"/>
    <w:rsid w:val="2944347B"/>
    <w:rsid w:val="29503AAE"/>
    <w:rsid w:val="29573123"/>
    <w:rsid w:val="297F7A53"/>
    <w:rsid w:val="2992095F"/>
    <w:rsid w:val="29AC6651"/>
    <w:rsid w:val="29C4608A"/>
    <w:rsid w:val="29E769C8"/>
    <w:rsid w:val="29F21662"/>
    <w:rsid w:val="29F51AC1"/>
    <w:rsid w:val="29F51D07"/>
    <w:rsid w:val="29FC30C2"/>
    <w:rsid w:val="2A263B34"/>
    <w:rsid w:val="2A406B43"/>
    <w:rsid w:val="2A481CFC"/>
    <w:rsid w:val="2A6D3E9B"/>
    <w:rsid w:val="2A706411"/>
    <w:rsid w:val="2A783D0E"/>
    <w:rsid w:val="2A9C0461"/>
    <w:rsid w:val="2AD0515C"/>
    <w:rsid w:val="2AE8528D"/>
    <w:rsid w:val="2AF16E8B"/>
    <w:rsid w:val="2B0B7CEC"/>
    <w:rsid w:val="2B27452A"/>
    <w:rsid w:val="2B2D4BDC"/>
    <w:rsid w:val="2B4503EF"/>
    <w:rsid w:val="2B767712"/>
    <w:rsid w:val="2BBA7AC6"/>
    <w:rsid w:val="2BFC26B9"/>
    <w:rsid w:val="2BFF2965"/>
    <w:rsid w:val="2C3C0A88"/>
    <w:rsid w:val="2C51001B"/>
    <w:rsid w:val="2C596FFF"/>
    <w:rsid w:val="2C906216"/>
    <w:rsid w:val="2C9A17D6"/>
    <w:rsid w:val="2CA6566A"/>
    <w:rsid w:val="2CAE7599"/>
    <w:rsid w:val="2CB749B3"/>
    <w:rsid w:val="2CBB6294"/>
    <w:rsid w:val="2CBF39BD"/>
    <w:rsid w:val="2D016EDC"/>
    <w:rsid w:val="2D2E04D4"/>
    <w:rsid w:val="2D3878C4"/>
    <w:rsid w:val="2D3A4057"/>
    <w:rsid w:val="2D5343E6"/>
    <w:rsid w:val="2D994DBE"/>
    <w:rsid w:val="2DD53F02"/>
    <w:rsid w:val="2E0A0263"/>
    <w:rsid w:val="2E6932C2"/>
    <w:rsid w:val="2E73484D"/>
    <w:rsid w:val="2E734C4D"/>
    <w:rsid w:val="2E9A7164"/>
    <w:rsid w:val="2ED21188"/>
    <w:rsid w:val="2EE1137A"/>
    <w:rsid w:val="2EE6759F"/>
    <w:rsid w:val="2EEB0819"/>
    <w:rsid w:val="2EF44200"/>
    <w:rsid w:val="2F010E90"/>
    <w:rsid w:val="2F0C69E6"/>
    <w:rsid w:val="2F0D5CED"/>
    <w:rsid w:val="2F110235"/>
    <w:rsid w:val="2F16689C"/>
    <w:rsid w:val="2F1C6FC0"/>
    <w:rsid w:val="2F236129"/>
    <w:rsid w:val="2F2C56BA"/>
    <w:rsid w:val="2F2D0218"/>
    <w:rsid w:val="2F356A16"/>
    <w:rsid w:val="2F4614DA"/>
    <w:rsid w:val="2F636A54"/>
    <w:rsid w:val="2F650D5D"/>
    <w:rsid w:val="2F796556"/>
    <w:rsid w:val="2FA00DAE"/>
    <w:rsid w:val="30081603"/>
    <w:rsid w:val="30420830"/>
    <w:rsid w:val="309C224F"/>
    <w:rsid w:val="31190489"/>
    <w:rsid w:val="311C3987"/>
    <w:rsid w:val="31232963"/>
    <w:rsid w:val="312C101E"/>
    <w:rsid w:val="313071E7"/>
    <w:rsid w:val="314C7D21"/>
    <w:rsid w:val="31540C79"/>
    <w:rsid w:val="315857B1"/>
    <w:rsid w:val="31650177"/>
    <w:rsid w:val="31694EEC"/>
    <w:rsid w:val="31A43DC9"/>
    <w:rsid w:val="31AB6658"/>
    <w:rsid w:val="31BC3F1B"/>
    <w:rsid w:val="31C37B9C"/>
    <w:rsid w:val="31EA7F55"/>
    <w:rsid w:val="32137CF0"/>
    <w:rsid w:val="321E50BD"/>
    <w:rsid w:val="32224344"/>
    <w:rsid w:val="32340C69"/>
    <w:rsid w:val="32363F32"/>
    <w:rsid w:val="32471F5A"/>
    <w:rsid w:val="3253078F"/>
    <w:rsid w:val="325E3A96"/>
    <w:rsid w:val="32B7356F"/>
    <w:rsid w:val="32C849EF"/>
    <w:rsid w:val="330C088A"/>
    <w:rsid w:val="330D0F43"/>
    <w:rsid w:val="332A5E08"/>
    <w:rsid w:val="33310C6F"/>
    <w:rsid w:val="333E728C"/>
    <w:rsid w:val="334F202E"/>
    <w:rsid w:val="33A03A4B"/>
    <w:rsid w:val="33A04007"/>
    <w:rsid w:val="33A60671"/>
    <w:rsid w:val="33AF4FB4"/>
    <w:rsid w:val="33CF2119"/>
    <w:rsid w:val="33DE4357"/>
    <w:rsid w:val="341D5AAB"/>
    <w:rsid w:val="342732F1"/>
    <w:rsid w:val="342B2E3E"/>
    <w:rsid w:val="344517CB"/>
    <w:rsid w:val="3454463B"/>
    <w:rsid w:val="346B507B"/>
    <w:rsid w:val="347A0A28"/>
    <w:rsid w:val="347B293F"/>
    <w:rsid w:val="348C37FE"/>
    <w:rsid w:val="349B5AE7"/>
    <w:rsid w:val="34AA4F73"/>
    <w:rsid w:val="34CE6938"/>
    <w:rsid w:val="34F52FDD"/>
    <w:rsid w:val="352B6C5A"/>
    <w:rsid w:val="35306ECD"/>
    <w:rsid w:val="35520294"/>
    <w:rsid w:val="357A04F1"/>
    <w:rsid w:val="357C1D84"/>
    <w:rsid w:val="35887A53"/>
    <w:rsid w:val="35AF4576"/>
    <w:rsid w:val="35B4397E"/>
    <w:rsid w:val="360300F8"/>
    <w:rsid w:val="36034EE1"/>
    <w:rsid w:val="36237D2D"/>
    <w:rsid w:val="363503EB"/>
    <w:rsid w:val="3647637B"/>
    <w:rsid w:val="367F686D"/>
    <w:rsid w:val="36A14C50"/>
    <w:rsid w:val="36B412F5"/>
    <w:rsid w:val="36B66A91"/>
    <w:rsid w:val="36CC7A6D"/>
    <w:rsid w:val="36E17616"/>
    <w:rsid w:val="37076693"/>
    <w:rsid w:val="372B30FF"/>
    <w:rsid w:val="372F768E"/>
    <w:rsid w:val="375E41FD"/>
    <w:rsid w:val="3765223E"/>
    <w:rsid w:val="376A4278"/>
    <w:rsid w:val="377870B5"/>
    <w:rsid w:val="377D54A5"/>
    <w:rsid w:val="377D5E16"/>
    <w:rsid w:val="377E65D4"/>
    <w:rsid w:val="37872B44"/>
    <w:rsid w:val="379A0642"/>
    <w:rsid w:val="379F77DA"/>
    <w:rsid w:val="37A7041E"/>
    <w:rsid w:val="37A80A27"/>
    <w:rsid w:val="37C914D9"/>
    <w:rsid w:val="37D63EC9"/>
    <w:rsid w:val="37F02038"/>
    <w:rsid w:val="38280519"/>
    <w:rsid w:val="38304C4D"/>
    <w:rsid w:val="38321297"/>
    <w:rsid w:val="386D019E"/>
    <w:rsid w:val="38894B13"/>
    <w:rsid w:val="38A42A5B"/>
    <w:rsid w:val="38C06F01"/>
    <w:rsid w:val="38C10BFB"/>
    <w:rsid w:val="38D24390"/>
    <w:rsid w:val="38DD791D"/>
    <w:rsid w:val="3920221B"/>
    <w:rsid w:val="39334BFF"/>
    <w:rsid w:val="393667C3"/>
    <w:rsid w:val="39457CAF"/>
    <w:rsid w:val="3948048E"/>
    <w:rsid w:val="39812B9C"/>
    <w:rsid w:val="399208A7"/>
    <w:rsid w:val="39B565E1"/>
    <w:rsid w:val="39D4235F"/>
    <w:rsid w:val="39FD6163"/>
    <w:rsid w:val="3A257802"/>
    <w:rsid w:val="3A606A76"/>
    <w:rsid w:val="3A8231F1"/>
    <w:rsid w:val="3A921749"/>
    <w:rsid w:val="3AA81B41"/>
    <w:rsid w:val="3ADD242D"/>
    <w:rsid w:val="3B143086"/>
    <w:rsid w:val="3B147A5B"/>
    <w:rsid w:val="3B1A2D8C"/>
    <w:rsid w:val="3B4042AB"/>
    <w:rsid w:val="3B4E6CEA"/>
    <w:rsid w:val="3B66210B"/>
    <w:rsid w:val="3B814E71"/>
    <w:rsid w:val="3B964D74"/>
    <w:rsid w:val="3B972AF7"/>
    <w:rsid w:val="3BB62FA9"/>
    <w:rsid w:val="3BB70D15"/>
    <w:rsid w:val="3BBB09FC"/>
    <w:rsid w:val="3BC91BB9"/>
    <w:rsid w:val="3C120308"/>
    <w:rsid w:val="3C42650A"/>
    <w:rsid w:val="3C762DF2"/>
    <w:rsid w:val="3C7D1D40"/>
    <w:rsid w:val="3C9B51F8"/>
    <w:rsid w:val="3CDD0DBD"/>
    <w:rsid w:val="3D101034"/>
    <w:rsid w:val="3D544EBB"/>
    <w:rsid w:val="3D554467"/>
    <w:rsid w:val="3D882CF1"/>
    <w:rsid w:val="3D9814F2"/>
    <w:rsid w:val="3DAF40CD"/>
    <w:rsid w:val="3DE32AFA"/>
    <w:rsid w:val="3DE454C2"/>
    <w:rsid w:val="3E0456CC"/>
    <w:rsid w:val="3E115C36"/>
    <w:rsid w:val="3E136ED4"/>
    <w:rsid w:val="3E2418CD"/>
    <w:rsid w:val="3E2726B6"/>
    <w:rsid w:val="3E3A6B14"/>
    <w:rsid w:val="3E8A1A02"/>
    <w:rsid w:val="3E8E765E"/>
    <w:rsid w:val="3EA9393D"/>
    <w:rsid w:val="3EAD0498"/>
    <w:rsid w:val="3EC56D78"/>
    <w:rsid w:val="3EC7715A"/>
    <w:rsid w:val="3ED16A4F"/>
    <w:rsid w:val="3ED17EBE"/>
    <w:rsid w:val="3EDC543E"/>
    <w:rsid w:val="3EED5016"/>
    <w:rsid w:val="3EF52FF7"/>
    <w:rsid w:val="3EF62F89"/>
    <w:rsid w:val="3EF75B65"/>
    <w:rsid w:val="3EFB570C"/>
    <w:rsid w:val="3F204493"/>
    <w:rsid w:val="3F2B7413"/>
    <w:rsid w:val="3F5871FB"/>
    <w:rsid w:val="3F8E35DC"/>
    <w:rsid w:val="3F8F5DC2"/>
    <w:rsid w:val="3FA46F4F"/>
    <w:rsid w:val="3FA624AC"/>
    <w:rsid w:val="3FB00475"/>
    <w:rsid w:val="3FBF5991"/>
    <w:rsid w:val="3FE10717"/>
    <w:rsid w:val="3FF668F3"/>
    <w:rsid w:val="40023F34"/>
    <w:rsid w:val="40090025"/>
    <w:rsid w:val="40181902"/>
    <w:rsid w:val="402F5A4D"/>
    <w:rsid w:val="40411288"/>
    <w:rsid w:val="404742BD"/>
    <w:rsid w:val="40600DD5"/>
    <w:rsid w:val="40660F91"/>
    <w:rsid w:val="407A1958"/>
    <w:rsid w:val="407D57C8"/>
    <w:rsid w:val="40B26892"/>
    <w:rsid w:val="40E21CB8"/>
    <w:rsid w:val="410F31C3"/>
    <w:rsid w:val="4112553B"/>
    <w:rsid w:val="41344AAB"/>
    <w:rsid w:val="41550C30"/>
    <w:rsid w:val="41875FCE"/>
    <w:rsid w:val="4190424D"/>
    <w:rsid w:val="41BA6E78"/>
    <w:rsid w:val="41E43D07"/>
    <w:rsid w:val="41F6399A"/>
    <w:rsid w:val="41F94DC7"/>
    <w:rsid w:val="41FA3A29"/>
    <w:rsid w:val="42137C42"/>
    <w:rsid w:val="422E57D7"/>
    <w:rsid w:val="42555DF7"/>
    <w:rsid w:val="42A27001"/>
    <w:rsid w:val="42C507A4"/>
    <w:rsid w:val="42F07508"/>
    <w:rsid w:val="42F85408"/>
    <w:rsid w:val="43270B23"/>
    <w:rsid w:val="43366434"/>
    <w:rsid w:val="434A0913"/>
    <w:rsid w:val="436A64E9"/>
    <w:rsid w:val="4370434B"/>
    <w:rsid w:val="43711057"/>
    <w:rsid w:val="43891ADB"/>
    <w:rsid w:val="439C4F5E"/>
    <w:rsid w:val="43B65B15"/>
    <w:rsid w:val="43E630D7"/>
    <w:rsid w:val="43EF2D9F"/>
    <w:rsid w:val="43F02783"/>
    <w:rsid w:val="44656E26"/>
    <w:rsid w:val="4468183E"/>
    <w:rsid w:val="44786783"/>
    <w:rsid w:val="449457D3"/>
    <w:rsid w:val="44A25A9F"/>
    <w:rsid w:val="44A61055"/>
    <w:rsid w:val="44BE5C95"/>
    <w:rsid w:val="44DD6EB7"/>
    <w:rsid w:val="44E01145"/>
    <w:rsid w:val="450018DF"/>
    <w:rsid w:val="450F2BC2"/>
    <w:rsid w:val="451D2C75"/>
    <w:rsid w:val="45203860"/>
    <w:rsid w:val="454746DD"/>
    <w:rsid w:val="455367B2"/>
    <w:rsid w:val="45555732"/>
    <w:rsid w:val="455F10D7"/>
    <w:rsid w:val="456355DA"/>
    <w:rsid w:val="45741675"/>
    <w:rsid w:val="459C4648"/>
    <w:rsid w:val="45A02EDD"/>
    <w:rsid w:val="45E61BCA"/>
    <w:rsid w:val="45EE32D7"/>
    <w:rsid w:val="460A6FE4"/>
    <w:rsid w:val="461A323C"/>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844901"/>
    <w:rsid w:val="479A2ED2"/>
    <w:rsid w:val="47B328B4"/>
    <w:rsid w:val="47C13542"/>
    <w:rsid w:val="48113D01"/>
    <w:rsid w:val="484C7B11"/>
    <w:rsid w:val="485E0A04"/>
    <w:rsid w:val="48740F1D"/>
    <w:rsid w:val="48761BE3"/>
    <w:rsid w:val="489E0EB1"/>
    <w:rsid w:val="48A4548A"/>
    <w:rsid w:val="48A57E1F"/>
    <w:rsid w:val="48B50D92"/>
    <w:rsid w:val="48D80297"/>
    <w:rsid w:val="48DE3BBF"/>
    <w:rsid w:val="48E77164"/>
    <w:rsid w:val="48EE42CC"/>
    <w:rsid w:val="491D19DF"/>
    <w:rsid w:val="49304CB2"/>
    <w:rsid w:val="49620FF1"/>
    <w:rsid w:val="496F6EBE"/>
    <w:rsid w:val="49814F4C"/>
    <w:rsid w:val="49836E4C"/>
    <w:rsid w:val="49A364F7"/>
    <w:rsid w:val="49B42429"/>
    <w:rsid w:val="49C4569B"/>
    <w:rsid w:val="49E5408C"/>
    <w:rsid w:val="4A074043"/>
    <w:rsid w:val="4A090DC7"/>
    <w:rsid w:val="4A091441"/>
    <w:rsid w:val="4A14567E"/>
    <w:rsid w:val="4A1C1271"/>
    <w:rsid w:val="4A1E6180"/>
    <w:rsid w:val="4A2308FE"/>
    <w:rsid w:val="4A2412C3"/>
    <w:rsid w:val="4A287AB1"/>
    <w:rsid w:val="4A5133EE"/>
    <w:rsid w:val="4A5D4EF8"/>
    <w:rsid w:val="4A791824"/>
    <w:rsid w:val="4A915C19"/>
    <w:rsid w:val="4A955A49"/>
    <w:rsid w:val="4A9C5501"/>
    <w:rsid w:val="4AAF7BD4"/>
    <w:rsid w:val="4AD80F53"/>
    <w:rsid w:val="4AD86EA7"/>
    <w:rsid w:val="4B2C75A6"/>
    <w:rsid w:val="4B2F25FD"/>
    <w:rsid w:val="4BB15678"/>
    <w:rsid w:val="4BB635D2"/>
    <w:rsid w:val="4BB76960"/>
    <w:rsid w:val="4BC655C8"/>
    <w:rsid w:val="4BD03593"/>
    <w:rsid w:val="4BD63363"/>
    <w:rsid w:val="4BD87666"/>
    <w:rsid w:val="4BE63621"/>
    <w:rsid w:val="4BE6691C"/>
    <w:rsid w:val="4BF467F9"/>
    <w:rsid w:val="4BF83E44"/>
    <w:rsid w:val="4C276C17"/>
    <w:rsid w:val="4C73767A"/>
    <w:rsid w:val="4C7C0669"/>
    <w:rsid w:val="4C7D0871"/>
    <w:rsid w:val="4C850277"/>
    <w:rsid w:val="4C9904F2"/>
    <w:rsid w:val="4CC52EB8"/>
    <w:rsid w:val="4D2572CD"/>
    <w:rsid w:val="4D354FF0"/>
    <w:rsid w:val="4D4C32B8"/>
    <w:rsid w:val="4DBB048A"/>
    <w:rsid w:val="4DCE336E"/>
    <w:rsid w:val="4DE07DE4"/>
    <w:rsid w:val="4E0D5D14"/>
    <w:rsid w:val="4E2809CC"/>
    <w:rsid w:val="4E2F45C0"/>
    <w:rsid w:val="4E363F2F"/>
    <w:rsid w:val="4E662F07"/>
    <w:rsid w:val="4E682F97"/>
    <w:rsid w:val="4EA42281"/>
    <w:rsid w:val="4EA546F0"/>
    <w:rsid w:val="4EAF3AED"/>
    <w:rsid w:val="4EB0019E"/>
    <w:rsid w:val="4ECB1385"/>
    <w:rsid w:val="4ED32851"/>
    <w:rsid w:val="4ED35762"/>
    <w:rsid w:val="4EDF1745"/>
    <w:rsid w:val="4EF5014E"/>
    <w:rsid w:val="4EFA3C4E"/>
    <w:rsid w:val="4F235A8E"/>
    <w:rsid w:val="4F26262A"/>
    <w:rsid w:val="4F33554E"/>
    <w:rsid w:val="4F612BE4"/>
    <w:rsid w:val="4F6461D6"/>
    <w:rsid w:val="4F7B292B"/>
    <w:rsid w:val="4F865749"/>
    <w:rsid w:val="4F9E59ED"/>
    <w:rsid w:val="4FB426B1"/>
    <w:rsid w:val="4FDC58FD"/>
    <w:rsid w:val="4FDE1C0C"/>
    <w:rsid w:val="4FE54A2D"/>
    <w:rsid w:val="4FF958E6"/>
    <w:rsid w:val="50202BC7"/>
    <w:rsid w:val="50216FE4"/>
    <w:rsid w:val="502D2C76"/>
    <w:rsid w:val="50614DD7"/>
    <w:rsid w:val="506B628A"/>
    <w:rsid w:val="507663CE"/>
    <w:rsid w:val="50787CFE"/>
    <w:rsid w:val="50AE1AE4"/>
    <w:rsid w:val="50DE21C3"/>
    <w:rsid w:val="50FE2631"/>
    <w:rsid w:val="51151D83"/>
    <w:rsid w:val="51167E7F"/>
    <w:rsid w:val="51390032"/>
    <w:rsid w:val="515426DE"/>
    <w:rsid w:val="515C74D2"/>
    <w:rsid w:val="51652C0F"/>
    <w:rsid w:val="5189523D"/>
    <w:rsid w:val="518D4538"/>
    <w:rsid w:val="51960DFD"/>
    <w:rsid w:val="51BB2BF3"/>
    <w:rsid w:val="51C87FCE"/>
    <w:rsid w:val="51FD0367"/>
    <w:rsid w:val="52377D55"/>
    <w:rsid w:val="525F7483"/>
    <w:rsid w:val="52862351"/>
    <w:rsid w:val="52984624"/>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AC5365"/>
    <w:rsid w:val="54D53B13"/>
    <w:rsid w:val="54EB74E4"/>
    <w:rsid w:val="55284AD7"/>
    <w:rsid w:val="5530324E"/>
    <w:rsid w:val="55326F25"/>
    <w:rsid w:val="55457E29"/>
    <w:rsid w:val="555B0657"/>
    <w:rsid w:val="556032BE"/>
    <w:rsid w:val="55B86023"/>
    <w:rsid w:val="55C151DC"/>
    <w:rsid w:val="55E556DC"/>
    <w:rsid w:val="55FF3036"/>
    <w:rsid w:val="56213505"/>
    <w:rsid w:val="56292705"/>
    <w:rsid w:val="5632227A"/>
    <w:rsid w:val="56482C0E"/>
    <w:rsid w:val="564E3203"/>
    <w:rsid w:val="568C03E5"/>
    <w:rsid w:val="56B91708"/>
    <w:rsid w:val="56E60496"/>
    <w:rsid w:val="57360834"/>
    <w:rsid w:val="57374E0B"/>
    <w:rsid w:val="57444728"/>
    <w:rsid w:val="575B090B"/>
    <w:rsid w:val="577439B5"/>
    <w:rsid w:val="57926FF9"/>
    <w:rsid w:val="57A355F8"/>
    <w:rsid w:val="57E6509B"/>
    <w:rsid w:val="57E738F8"/>
    <w:rsid w:val="57EB5B27"/>
    <w:rsid w:val="57EC2D60"/>
    <w:rsid w:val="58263426"/>
    <w:rsid w:val="583C0E12"/>
    <w:rsid w:val="5856757B"/>
    <w:rsid w:val="58630650"/>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658B9"/>
    <w:rsid w:val="59693F87"/>
    <w:rsid w:val="59851D75"/>
    <w:rsid w:val="59AA2A85"/>
    <w:rsid w:val="59B42F07"/>
    <w:rsid w:val="59BB77BA"/>
    <w:rsid w:val="5A2C4220"/>
    <w:rsid w:val="5A316507"/>
    <w:rsid w:val="5A463D28"/>
    <w:rsid w:val="5A497C34"/>
    <w:rsid w:val="5A4C0E52"/>
    <w:rsid w:val="5A7B33E5"/>
    <w:rsid w:val="5A8C664D"/>
    <w:rsid w:val="5ABD43B1"/>
    <w:rsid w:val="5AC20EBF"/>
    <w:rsid w:val="5ACD5B73"/>
    <w:rsid w:val="5ADF42CD"/>
    <w:rsid w:val="5B050809"/>
    <w:rsid w:val="5B1038C0"/>
    <w:rsid w:val="5B366061"/>
    <w:rsid w:val="5B3846E5"/>
    <w:rsid w:val="5B440B6E"/>
    <w:rsid w:val="5B553BEC"/>
    <w:rsid w:val="5B5B4ABD"/>
    <w:rsid w:val="5B5C5E93"/>
    <w:rsid w:val="5B5E3394"/>
    <w:rsid w:val="5B74024A"/>
    <w:rsid w:val="5B792560"/>
    <w:rsid w:val="5B8A7735"/>
    <w:rsid w:val="5B9D0E06"/>
    <w:rsid w:val="5BA172F8"/>
    <w:rsid w:val="5BAF7A77"/>
    <w:rsid w:val="5BB151A5"/>
    <w:rsid w:val="5BB6027C"/>
    <w:rsid w:val="5BBB47C2"/>
    <w:rsid w:val="5BE568D3"/>
    <w:rsid w:val="5BF62976"/>
    <w:rsid w:val="5C16597D"/>
    <w:rsid w:val="5C576F8B"/>
    <w:rsid w:val="5C5D6A62"/>
    <w:rsid w:val="5C707C6C"/>
    <w:rsid w:val="5C8D5239"/>
    <w:rsid w:val="5C8E0CD7"/>
    <w:rsid w:val="5C9E2C36"/>
    <w:rsid w:val="5CB21C23"/>
    <w:rsid w:val="5CB6579C"/>
    <w:rsid w:val="5CBB2347"/>
    <w:rsid w:val="5CC6320E"/>
    <w:rsid w:val="5CC76C7C"/>
    <w:rsid w:val="5CF36024"/>
    <w:rsid w:val="5CFF01AA"/>
    <w:rsid w:val="5D1344DD"/>
    <w:rsid w:val="5D7726AE"/>
    <w:rsid w:val="5D7B6EDD"/>
    <w:rsid w:val="5D806796"/>
    <w:rsid w:val="5D827D40"/>
    <w:rsid w:val="5DC43C07"/>
    <w:rsid w:val="5DCA3A55"/>
    <w:rsid w:val="5DCD3255"/>
    <w:rsid w:val="5DE640E1"/>
    <w:rsid w:val="5E297761"/>
    <w:rsid w:val="5E33770D"/>
    <w:rsid w:val="5E532ADD"/>
    <w:rsid w:val="5E610B28"/>
    <w:rsid w:val="5E66579C"/>
    <w:rsid w:val="5E91320F"/>
    <w:rsid w:val="5E915A7A"/>
    <w:rsid w:val="5E9345FF"/>
    <w:rsid w:val="5EA33A97"/>
    <w:rsid w:val="5ED134B6"/>
    <w:rsid w:val="5EF55DBA"/>
    <w:rsid w:val="5F6B1358"/>
    <w:rsid w:val="5F803CFA"/>
    <w:rsid w:val="5FC51458"/>
    <w:rsid w:val="5FC866E5"/>
    <w:rsid w:val="5FDC13D8"/>
    <w:rsid w:val="60090629"/>
    <w:rsid w:val="60413F7F"/>
    <w:rsid w:val="60660F52"/>
    <w:rsid w:val="606A3C6B"/>
    <w:rsid w:val="609B5019"/>
    <w:rsid w:val="60B4769E"/>
    <w:rsid w:val="60B55083"/>
    <w:rsid w:val="610242F6"/>
    <w:rsid w:val="6119401A"/>
    <w:rsid w:val="611D2CA6"/>
    <w:rsid w:val="61200642"/>
    <w:rsid w:val="612C581B"/>
    <w:rsid w:val="61652DB1"/>
    <w:rsid w:val="61753431"/>
    <w:rsid w:val="61970BE7"/>
    <w:rsid w:val="61A20E5D"/>
    <w:rsid w:val="61B8332B"/>
    <w:rsid w:val="61F17268"/>
    <w:rsid w:val="61FC7432"/>
    <w:rsid w:val="620A3859"/>
    <w:rsid w:val="62204E0F"/>
    <w:rsid w:val="62207D5C"/>
    <w:rsid w:val="624063A3"/>
    <w:rsid w:val="62533606"/>
    <w:rsid w:val="62845968"/>
    <w:rsid w:val="628E2B97"/>
    <w:rsid w:val="62A86B6F"/>
    <w:rsid w:val="62B35B81"/>
    <w:rsid w:val="62B75EDD"/>
    <w:rsid w:val="62BA2CE3"/>
    <w:rsid w:val="62C01D55"/>
    <w:rsid w:val="62C92F2D"/>
    <w:rsid w:val="62D6722B"/>
    <w:rsid w:val="62D93169"/>
    <w:rsid w:val="62E40282"/>
    <w:rsid w:val="631D5B18"/>
    <w:rsid w:val="631E201F"/>
    <w:rsid w:val="63320961"/>
    <w:rsid w:val="634E6C76"/>
    <w:rsid w:val="63577D60"/>
    <w:rsid w:val="636514C6"/>
    <w:rsid w:val="636F701B"/>
    <w:rsid w:val="6382662F"/>
    <w:rsid w:val="63B23C71"/>
    <w:rsid w:val="63C95202"/>
    <w:rsid w:val="63CB4107"/>
    <w:rsid w:val="63DB551D"/>
    <w:rsid w:val="63ED3A09"/>
    <w:rsid w:val="64090834"/>
    <w:rsid w:val="64116EAE"/>
    <w:rsid w:val="64272A3B"/>
    <w:rsid w:val="6467063D"/>
    <w:rsid w:val="648F4A0E"/>
    <w:rsid w:val="64937E71"/>
    <w:rsid w:val="6495646A"/>
    <w:rsid w:val="64C02EBC"/>
    <w:rsid w:val="64FA320D"/>
    <w:rsid w:val="6569753B"/>
    <w:rsid w:val="65797FD4"/>
    <w:rsid w:val="658D5E16"/>
    <w:rsid w:val="65953363"/>
    <w:rsid w:val="65B732B6"/>
    <w:rsid w:val="65B841DE"/>
    <w:rsid w:val="65CA03C9"/>
    <w:rsid w:val="65E1661E"/>
    <w:rsid w:val="65E36C18"/>
    <w:rsid w:val="660918F9"/>
    <w:rsid w:val="663C1302"/>
    <w:rsid w:val="6642069E"/>
    <w:rsid w:val="665F0112"/>
    <w:rsid w:val="666E3D14"/>
    <w:rsid w:val="667F18FA"/>
    <w:rsid w:val="669A5886"/>
    <w:rsid w:val="66BF54E4"/>
    <w:rsid w:val="67101119"/>
    <w:rsid w:val="67151BB5"/>
    <w:rsid w:val="671C67EA"/>
    <w:rsid w:val="67400D4D"/>
    <w:rsid w:val="677A414A"/>
    <w:rsid w:val="67C952B3"/>
    <w:rsid w:val="67CB697C"/>
    <w:rsid w:val="67DB4341"/>
    <w:rsid w:val="68720AE2"/>
    <w:rsid w:val="689554F5"/>
    <w:rsid w:val="68AA7215"/>
    <w:rsid w:val="68ED6911"/>
    <w:rsid w:val="68F4045B"/>
    <w:rsid w:val="6903642B"/>
    <w:rsid w:val="690F1870"/>
    <w:rsid w:val="692F5E27"/>
    <w:rsid w:val="6934046F"/>
    <w:rsid w:val="69466675"/>
    <w:rsid w:val="698C2B7F"/>
    <w:rsid w:val="69A231E6"/>
    <w:rsid w:val="69AB5D7A"/>
    <w:rsid w:val="69DF7BDF"/>
    <w:rsid w:val="69F21353"/>
    <w:rsid w:val="69F575F2"/>
    <w:rsid w:val="6A1E730C"/>
    <w:rsid w:val="6A3D5D36"/>
    <w:rsid w:val="6A4C7335"/>
    <w:rsid w:val="6A531E39"/>
    <w:rsid w:val="6A545ADB"/>
    <w:rsid w:val="6A5D05BD"/>
    <w:rsid w:val="6A6B273C"/>
    <w:rsid w:val="6A703222"/>
    <w:rsid w:val="6AAA18E6"/>
    <w:rsid w:val="6AB66294"/>
    <w:rsid w:val="6AC60849"/>
    <w:rsid w:val="6AC938A9"/>
    <w:rsid w:val="6AFD0DEB"/>
    <w:rsid w:val="6B2F05BC"/>
    <w:rsid w:val="6B435167"/>
    <w:rsid w:val="6BB237C9"/>
    <w:rsid w:val="6BB37104"/>
    <w:rsid w:val="6BDF1336"/>
    <w:rsid w:val="6C3161F1"/>
    <w:rsid w:val="6C3745DF"/>
    <w:rsid w:val="6C3D4127"/>
    <w:rsid w:val="6C6253EB"/>
    <w:rsid w:val="6C666B72"/>
    <w:rsid w:val="6C6D2D24"/>
    <w:rsid w:val="6C8F3EF6"/>
    <w:rsid w:val="6CAD55CC"/>
    <w:rsid w:val="6CBE1616"/>
    <w:rsid w:val="6CC15D2B"/>
    <w:rsid w:val="6CC15F94"/>
    <w:rsid w:val="6CDA118A"/>
    <w:rsid w:val="6D0C01A9"/>
    <w:rsid w:val="6D0C33BE"/>
    <w:rsid w:val="6D2A44DD"/>
    <w:rsid w:val="6D493A0A"/>
    <w:rsid w:val="6D551BE3"/>
    <w:rsid w:val="6D5C2995"/>
    <w:rsid w:val="6D8E2C9C"/>
    <w:rsid w:val="6DAD51A4"/>
    <w:rsid w:val="6DD23DC2"/>
    <w:rsid w:val="6E017D0E"/>
    <w:rsid w:val="6E053E0B"/>
    <w:rsid w:val="6E1E1DB6"/>
    <w:rsid w:val="6E201C15"/>
    <w:rsid w:val="6E366886"/>
    <w:rsid w:val="6E3D083A"/>
    <w:rsid w:val="6E3F4BAC"/>
    <w:rsid w:val="6E524DE3"/>
    <w:rsid w:val="6E735A03"/>
    <w:rsid w:val="6E7A3904"/>
    <w:rsid w:val="6E7D3005"/>
    <w:rsid w:val="6EA04E08"/>
    <w:rsid w:val="6EAA18F7"/>
    <w:rsid w:val="6EBB6601"/>
    <w:rsid w:val="6ECF710B"/>
    <w:rsid w:val="6EEE5D94"/>
    <w:rsid w:val="6F050882"/>
    <w:rsid w:val="6F0B5A13"/>
    <w:rsid w:val="6F1579C7"/>
    <w:rsid w:val="6F62521C"/>
    <w:rsid w:val="6FBC6483"/>
    <w:rsid w:val="6FC130A1"/>
    <w:rsid w:val="6FC26F58"/>
    <w:rsid w:val="6FD761EC"/>
    <w:rsid w:val="6FE52312"/>
    <w:rsid w:val="6FF1085F"/>
    <w:rsid w:val="700F6510"/>
    <w:rsid w:val="70750A7A"/>
    <w:rsid w:val="70991D59"/>
    <w:rsid w:val="709A5C21"/>
    <w:rsid w:val="70C51917"/>
    <w:rsid w:val="70D02722"/>
    <w:rsid w:val="70F067F3"/>
    <w:rsid w:val="711A09D1"/>
    <w:rsid w:val="71275E70"/>
    <w:rsid w:val="712F60DB"/>
    <w:rsid w:val="714B6CD7"/>
    <w:rsid w:val="71653B96"/>
    <w:rsid w:val="718B55F7"/>
    <w:rsid w:val="71D8215F"/>
    <w:rsid w:val="71DF1D07"/>
    <w:rsid w:val="71FB7CB1"/>
    <w:rsid w:val="720D209A"/>
    <w:rsid w:val="7221044F"/>
    <w:rsid w:val="72252F84"/>
    <w:rsid w:val="722F089D"/>
    <w:rsid w:val="723126FD"/>
    <w:rsid w:val="723E2E01"/>
    <w:rsid w:val="72404D8A"/>
    <w:rsid w:val="724C22E8"/>
    <w:rsid w:val="725F0F01"/>
    <w:rsid w:val="729D5E1F"/>
    <w:rsid w:val="72E72EAA"/>
    <w:rsid w:val="72F27051"/>
    <w:rsid w:val="7331658B"/>
    <w:rsid w:val="733C6C97"/>
    <w:rsid w:val="734B4A4B"/>
    <w:rsid w:val="734C70B6"/>
    <w:rsid w:val="73560C2B"/>
    <w:rsid w:val="735E4E1D"/>
    <w:rsid w:val="7388314F"/>
    <w:rsid w:val="73C30699"/>
    <w:rsid w:val="73CB394C"/>
    <w:rsid w:val="73CF1337"/>
    <w:rsid w:val="73D51780"/>
    <w:rsid w:val="73E34188"/>
    <w:rsid w:val="73F006A6"/>
    <w:rsid w:val="73F022C4"/>
    <w:rsid w:val="73F63EFE"/>
    <w:rsid w:val="73FF26B3"/>
    <w:rsid w:val="74071758"/>
    <w:rsid w:val="741425AC"/>
    <w:rsid w:val="741D773B"/>
    <w:rsid w:val="741E2752"/>
    <w:rsid w:val="74280680"/>
    <w:rsid w:val="744F658E"/>
    <w:rsid w:val="7463178E"/>
    <w:rsid w:val="746371B3"/>
    <w:rsid w:val="746E5228"/>
    <w:rsid w:val="747A43C9"/>
    <w:rsid w:val="74922B66"/>
    <w:rsid w:val="74A5696C"/>
    <w:rsid w:val="74DB20FA"/>
    <w:rsid w:val="7508529D"/>
    <w:rsid w:val="752C3218"/>
    <w:rsid w:val="75397634"/>
    <w:rsid w:val="75537CD8"/>
    <w:rsid w:val="75595BE3"/>
    <w:rsid w:val="755E58D5"/>
    <w:rsid w:val="757606EF"/>
    <w:rsid w:val="75844FC1"/>
    <w:rsid w:val="75B73EBE"/>
    <w:rsid w:val="75EE069B"/>
    <w:rsid w:val="75FC15CE"/>
    <w:rsid w:val="7615419A"/>
    <w:rsid w:val="76172D6A"/>
    <w:rsid w:val="761A409E"/>
    <w:rsid w:val="762F02D7"/>
    <w:rsid w:val="763D7340"/>
    <w:rsid w:val="76512EE8"/>
    <w:rsid w:val="767A6C09"/>
    <w:rsid w:val="767F5650"/>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74E5D"/>
    <w:rsid w:val="77592E82"/>
    <w:rsid w:val="775D2B17"/>
    <w:rsid w:val="7760235E"/>
    <w:rsid w:val="777D4FBC"/>
    <w:rsid w:val="77C64121"/>
    <w:rsid w:val="77CD3C5D"/>
    <w:rsid w:val="77FD4667"/>
    <w:rsid w:val="781200C6"/>
    <w:rsid w:val="78150104"/>
    <w:rsid w:val="786B1829"/>
    <w:rsid w:val="78C7234E"/>
    <w:rsid w:val="791063B8"/>
    <w:rsid w:val="79235A1B"/>
    <w:rsid w:val="793842B6"/>
    <w:rsid w:val="793E7F2E"/>
    <w:rsid w:val="796362D3"/>
    <w:rsid w:val="79774ECD"/>
    <w:rsid w:val="79827C27"/>
    <w:rsid w:val="798834D2"/>
    <w:rsid w:val="799B7D73"/>
    <w:rsid w:val="79B07BB3"/>
    <w:rsid w:val="79B7369F"/>
    <w:rsid w:val="79C03278"/>
    <w:rsid w:val="79D510F0"/>
    <w:rsid w:val="79ED59B1"/>
    <w:rsid w:val="79F56CDC"/>
    <w:rsid w:val="7A032271"/>
    <w:rsid w:val="7A320BDB"/>
    <w:rsid w:val="7A491583"/>
    <w:rsid w:val="7A5B6EDF"/>
    <w:rsid w:val="7A5D2F7E"/>
    <w:rsid w:val="7A676444"/>
    <w:rsid w:val="7A72534A"/>
    <w:rsid w:val="7A832DB1"/>
    <w:rsid w:val="7A8F7D69"/>
    <w:rsid w:val="7A9C5FF5"/>
    <w:rsid w:val="7AA27F96"/>
    <w:rsid w:val="7AB320ED"/>
    <w:rsid w:val="7AC2422A"/>
    <w:rsid w:val="7AC24E05"/>
    <w:rsid w:val="7AD44A1D"/>
    <w:rsid w:val="7B045A0E"/>
    <w:rsid w:val="7B137629"/>
    <w:rsid w:val="7B1B29C2"/>
    <w:rsid w:val="7B5D2C25"/>
    <w:rsid w:val="7B832034"/>
    <w:rsid w:val="7BA57F90"/>
    <w:rsid w:val="7BBC18FF"/>
    <w:rsid w:val="7C100290"/>
    <w:rsid w:val="7C151FE3"/>
    <w:rsid w:val="7C1D63E0"/>
    <w:rsid w:val="7C2925EF"/>
    <w:rsid w:val="7C463AF9"/>
    <w:rsid w:val="7C4673AC"/>
    <w:rsid w:val="7C691C0E"/>
    <w:rsid w:val="7C6D0FAF"/>
    <w:rsid w:val="7C7654E0"/>
    <w:rsid w:val="7C9D56FC"/>
    <w:rsid w:val="7C9E2AE3"/>
    <w:rsid w:val="7CA34E3A"/>
    <w:rsid w:val="7CC7797E"/>
    <w:rsid w:val="7CDE5607"/>
    <w:rsid w:val="7D0D23F8"/>
    <w:rsid w:val="7D1819A4"/>
    <w:rsid w:val="7D5118F4"/>
    <w:rsid w:val="7D57537E"/>
    <w:rsid w:val="7D657DFF"/>
    <w:rsid w:val="7D79413D"/>
    <w:rsid w:val="7D7F5BFA"/>
    <w:rsid w:val="7D872924"/>
    <w:rsid w:val="7D8B2DD3"/>
    <w:rsid w:val="7D8F5F9C"/>
    <w:rsid w:val="7D97637C"/>
    <w:rsid w:val="7DE5359B"/>
    <w:rsid w:val="7E180A37"/>
    <w:rsid w:val="7E252BD1"/>
    <w:rsid w:val="7E2D4483"/>
    <w:rsid w:val="7E324C0E"/>
    <w:rsid w:val="7E327A3B"/>
    <w:rsid w:val="7E621BA9"/>
    <w:rsid w:val="7E665892"/>
    <w:rsid w:val="7E782BA9"/>
    <w:rsid w:val="7E7D2135"/>
    <w:rsid w:val="7E8926E1"/>
    <w:rsid w:val="7E9213CC"/>
    <w:rsid w:val="7EA926FF"/>
    <w:rsid w:val="7EAA18EA"/>
    <w:rsid w:val="7EC93E9C"/>
    <w:rsid w:val="7ECD3B82"/>
    <w:rsid w:val="7ED12906"/>
    <w:rsid w:val="7EF33F65"/>
    <w:rsid w:val="7EFA1C61"/>
    <w:rsid w:val="7F0300DD"/>
    <w:rsid w:val="7F2569C6"/>
    <w:rsid w:val="7F6C7183"/>
    <w:rsid w:val="7F826632"/>
    <w:rsid w:val="7FA31856"/>
    <w:rsid w:val="7FAF2DF8"/>
    <w:rsid w:val="7FB2207D"/>
    <w:rsid w:val="7FD4448F"/>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3">
    <w:name w:val="heading 1"/>
    <w:basedOn w:val="1"/>
    <w:next w:val="1"/>
    <w:link w:val="73"/>
    <w:qFormat/>
    <w:uiPriority w:val="0"/>
    <w:pPr>
      <w:outlineLvl w:val="0"/>
    </w:pPr>
  </w:style>
  <w:style w:type="paragraph" w:styleId="4">
    <w:name w:val="heading 2"/>
    <w:basedOn w:val="1"/>
    <w:next w:val="1"/>
    <w:qFormat/>
    <w:uiPriority w:val="0"/>
    <w:pPr>
      <w:outlineLvl w:val="1"/>
    </w:pPr>
    <w:rPr>
      <w:rFonts w:hAnsi="宋体"/>
      <w:b/>
    </w:rPr>
  </w:style>
  <w:style w:type="paragraph" w:styleId="5">
    <w:name w:val="heading 3"/>
    <w:basedOn w:val="1"/>
    <w:next w:val="1"/>
    <w:qFormat/>
    <w:uiPriority w:val="0"/>
    <w:pPr>
      <w:outlineLvl w:val="2"/>
    </w:p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8">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9">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0">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1">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12">
    <w:name w:val="toc 7"/>
    <w:basedOn w:val="1"/>
    <w:next w:val="1"/>
    <w:qFormat/>
    <w:uiPriority w:val="0"/>
    <w:pPr>
      <w:ind w:left="1440"/>
    </w:pPr>
    <w:rPr>
      <w:rFonts w:ascii="Calibri" w:cs="Calibri"/>
      <w:sz w:val="18"/>
      <w:szCs w:val="18"/>
    </w:rPr>
  </w:style>
  <w:style w:type="paragraph" w:styleId="13">
    <w:name w:val="Normal Indent"/>
    <w:basedOn w:val="1"/>
    <w:link w:val="79"/>
    <w:qFormat/>
    <w:uiPriority w:val="0"/>
    <w:pPr>
      <w:widowControl/>
      <w:autoSpaceDE/>
      <w:autoSpaceDN/>
      <w:adjustRightInd/>
      <w:ind w:firstLine="420" w:firstLineChars="200"/>
    </w:pPr>
    <w:rPr>
      <w:rFonts w:ascii="Calibri"/>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List Bullet"/>
    <w:basedOn w:val="16"/>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6">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9">
    <w:name w:val="annotation text"/>
    <w:basedOn w:val="1"/>
    <w:link w:val="186"/>
    <w:qFormat/>
    <w:uiPriority w:val="0"/>
    <w:pPr>
      <w:widowControl/>
      <w:autoSpaceDE/>
      <w:autoSpaceDN/>
      <w:adjustRightInd/>
    </w:pPr>
    <w:rPr>
      <w:rFonts w:ascii="Times New Roman"/>
      <w:sz w:val="21"/>
      <w:szCs w:val="20"/>
    </w:rPr>
  </w:style>
  <w:style w:type="paragraph" w:styleId="20">
    <w:name w:val="Body Text 3"/>
    <w:basedOn w:val="1"/>
    <w:qFormat/>
    <w:uiPriority w:val="0"/>
    <w:pPr>
      <w:ind w:right="-26"/>
      <w:jc w:val="center"/>
    </w:pPr>
    <w:rPr>
      <w:b/>
      <w:bCs/>
      <w:color w:val="3366FF"/>
      <w:kern w:val="2"/>
      <w:sz w:val="52"/>
      <w:szCs w:val="52"/>
      <w:lang w:val="zh-CN"/>
    </w:rPr>
  </w:style>
  <w:style w:type="paragraph" w:styleId="21">
    <w:name w:val="Body Text"/>
    <w:basedOn w:val="1"/>
    <w:next w:val="22"/>
    <w:link w:val="84"/>
    <w:qFormat/>
    <w:uiPriority w:val="0"/>
    <w:pPr>
      <w:ind w:right="-26"/>
      <w:jc w:val="center"/>
    </w:pPr>
    <w:rPr>
      <w:rFonts w:hAnsi="Times New Roman"/>
      <w:b/>
      <w:bCs/>
      <w:kern w:val="2"/>
      <w:sz w:val="84"/>
      <w:szCs w:val="84"/>
      <w:lang w:val="zh-CN"/>
    </w:rPr>
  </w:style>
  <w:style w:type="paragraph" w:styleId="22">
    <w:name w:val="Body Text First Indent"/>
    <w:basedOn w:val="21"/>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23">
    <w:name w:val="Body Text Indent"/>
    <w:basedOn w:val="1"/>
    <w:next w:val="24"/>
    <w:qFormat/>
    <w:uiPriority w:val="0"/>
    <w:pPr>
      <w:autoSpaceDE/>
      <w:autoSpaceDN/>
      <w:adjustRightInd/>
      <w:ind w:left="567" w:leftChars="270"/>
      <w:jc w:val="both"/>
    </w:pPr>
    <w:rPr>
      <w:rFonts w:ascii="Times New Roman"/>
      <w:kern w:val="2"/>
      <w:sz w:val="21"/>
      <w:szCs w:val="20"/>
    </w:rPr>
  </w:style>
  <w:style w:type="paragraph" w:styleId="24">
    <w:name w:val="envelope return"/>
    <w:basedOn w:val="1"/>
    <w:unhideWhenUsed/>
    <w:qFormat/>
    <w:uiPriority w:val="99"/>
  </w:style>
  <w:style w:type="paragraph" w:styleId="25">
    <w:name w:val="List Number 3"/>
    <w:basedOn w:val="1"/>
    <w:qFormat/>
    <w:uiPriority w:val="0"/>
    <w:pPr>
      <w:numPr>
        <w:ilvl w:val="0"/>
        <w:numId w:val="3"/>
      </w:numPr>
    </w:pPr>
  </w:style>
  <w:style w:type="paragraph" w:styleId="26">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7">
    <w:name w:val="Block Text"/>
    <w:basedOn w:val="1"/>
    <w:qFormat/>
    <w:uiPriority w:val="0"/>
    <w:pPr>
      <w:spacing w:after="120"/>
      <w:ind w:left="1440" w:leftChars="700" w:right="1440" w:rightChars="700"/>
    </w:pPr>
  </w:style>
  <w:style w:type="paragraph" w:styleId="28">
    <w:name w:val="toc 5"/>
    <w:basedOn w:val="1"/>
    <w:next w:val="1"/>
    <w:qFormat/>
    <w:uiPriority w:val="0"/>
    <w:pPr>
      <w:ind w:left="960"/>
    </w:pPr>
    <w:rPr>
      <w:rFonts w:ascii="Calibri" w:cs="Calibri"/>
      <w:sz w:val="18"/>
      <w:szCs w:val="18"/>
    </w:rPr>
  </w:style>
  <w:style w:type="paragraph" w:styleId="29">
    <w:name w:val="toc 3"/>
    <w:basedOn w:val="1"/>
    <w:next w:val="1"/>
    <w:qFormat/>
    <w:uiPriority w:val="0"/>
    <w:pPr>
      <w:ind w:left="480"/>
    </w:pPr>
    <w:rPr>
      <w:rFonts w:ascii="Calibri" w:cs="Calibri"/>
      <w:i/>
      <w:iCs/>
      <w:sz w:val="20"/>
      <w:szCs w:val="20"/>
    </w:rPr>
  </w:style>
  <w:style w:type="paragraph" w:styleId="30">
    <w:name w:val="Plain Text"/>
    <w:basedOn w:val="1"/>
    <w:next w:val="1"/>
    <w:link w:val="80"/>
    <w:qFormat/>
    <w:uiPriority w:val="0"/>
    <w:pPr>
      <w:autoSpaceDE/>
      <w:autoSpaceDN/>
      <w:adjustRightInd/>
      <w:jc w:val="both"/>
    </w:pPr>
    <w:rPr>
      <w:rFonts w:hAnsi="Courier New"/>
      <w:kern w:val="2"/>
      <w:sz w:val="21"/>
      <w:szCs w:val="20"/>
    </w:rPr>
  </w:style>
  <w:style w:type="paragraph" w:styleId="31">
    <w:name w:val="toc 8"/>
    <w:basedOn w:val="1"/>
    <w:next w:val="1"/>
    <w:qFormat/>
    <w:uiPriority w:val="0"/>
    <w:pPr>
      <w:ind w:left="1680"/>
    </w:pPr>
    <w:rPr>
      <w:rFonts w:ascii="Calibri" w:cs="Calibri"/>
      <w:sz w:val="18"/>
      <w:szCs w:val="18"/>
    </w:rPr>
  </w:style>
  <w:style w:type="paragraph" w:styleId="32">
    <w:name w:val="Date"/>
    <w:basedOn w:val="1"/>
    <w:next w:val="1"/>
    <w:qFormat/>
    <w:uiPriority w:val="0"/>
    <w:pPr>
      <w:ind w:left="100" w:leftChars="2500"/>
    </w:pPr>
    <w:rPr>
      <w:b/>
      <w:bCs/>
      <w:kern w:val="2"/>
      <w:sz w:val="21"/>
      <w:szCs w:val="21"/>
      <w:lang w:val="zh-CN"/>
    </w:rPr>
  </w:style>
  <w:style w:type="paragraph" w:styleId="33">
    <w:name w:val="Body Text Indent 2"/>
    <w:basedOn w:val="1"/>
    <w:qFormat/>
    <w:uiPriority w:val="0"/>
    <w:pPr>
      <w:tabs>
        <w:tab w:val="left" w:pos="8640"/>
      </w:tabs>
      <w:autoSpaceDE/>
      <w:autoSpaceDN/>
      <w:adjustRightInd/>
      <w:ind w:left="1260"/>
      <w:jc w:val="both"/>
    </w:pPr>
    <w:rPr>
      <w:kern w:val="2"/>
      <w:sz w:val="21"/>
      <w:szCs w:val="20"/>
    </w:rPr>
  </w:style>
  <w:style w:type="paragraph" w:styleId="34">
    <w:name w:val="Balloon Text"/>
    <w:basedOn w:val="1"/>
    <w:qFormat/>
    <w:uiPriority w:val="0"/>
    <w:pPr>
      <w:autoSpaceDE/>
      <w:autoSpaceDN/>
      <w:adjustRightInd/>
      <w:jc w:val="both"/>
    </w:pPr>
    <w:rPr>
      <w:rFonts w:ascii="Times New Roman"/>
      <w:kern w:val="2"/>
      <w:sz w:val="18"/>
      <w:szCs w:val="18"/>
    </w:rPr>
  </w:style>
  <w:style w:type="paragraph" w:styleId="35">
    <w:name w:val="footer"/>
    <w:basedOn w:val="1"/>
    <w:link w:val="93"/>
    <w:qFormat/>
    <w:uiPriority w:val="0"/>
    <w:pPr>
      <w:tabs>
        <w:tab w:val="center" w:pos="4153"/>
        <w:tab w:val="right" w:pos="8306"/>
      </w:tabs>
      <w:snapToGrid w:val="0"/>
    </w:pPr>
    <w:rPr>
      <w:rFonts w:hAnsi="Times New Roman"/>
      <w:sz w:val="18"/>
      <w:szCs w:val="18"/>
    </w:rPr>
  </w:style>
  <w:style w:type="paragraph" w:styleId="36">
    <w:name w:val="header"/>
    <w:basedOn w:val="1"/>
    <w:link w:val="89"/>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spacing w:before="120" w:after="120"/>
    </w:pPr>
    <w:rPr>
      <w:rFonts w:ascii="Calibri" w:cs="Calibri"/>
      <w:b/>
      <w:bCs/>
      <w:caps/>
      <w:sz w:val="20"/>
      <w:szCs w:val="20"/>
    </w:rPr>
  </w:style>
  <w:style w:type="paragraph" w:styleId="38">
    <w:name w:val="toc 4"/>
    <w:basedOn w:val="1"/>
    <w:next w:val="1"/>
    <w:qFormat/>
    <w:uiPriority w:val="0"/>
    <w:pPr>
      <w:ind w:left="720"/>
    </w:pPr>
    <w:rPr>
      <w:rFonts w:ascii="Calibri" w:cs="Calibri"/>
      <w:sz w:val="18"/>
      <w:szCs w:val="18"/>
    </w:rPr>
  </w:style>
  <w:style w:type="paragraph" w:styleId="39">
    <w:name w:val="index heading"/>
    <w:basedOn w:val="1"/>
    <w:next w:val="40"/>
    <w:qFormat/>
    <w:uiPriority w:val="0"/>
    <w:pPr>
      <w:autoSpaceDE/>
      <w:autoSpaceDN/>
      <w:adjustRightInd/>
      <w:jc w:val="both"/>
    </w:pPr>
    <w:rPr>
      <w:rFonts w:ascii="Times New Roman"/>
      <w:kern w:val="2"/>
      <w:sz w:val="21"/>
      <w:szCs w:val="20"/>
    </w:rPr>
  </w:style>
  <w:style w:type="paragraph" w:styleId="40">
    <w:name w:val="index 1"/>
    <w:basedOn w:val="1"/>
    <w:next w:val="1"/>
    <w:qFormat/>
    <w:uiPriority w:val="0"/>
    <w:pPr>
      <w:autoSpaceDE/>
      <w:autoSpaceDN/>
      <w:adjustRightInd/>
      <w:ind w:left="540" w:leftChars="257"/>
      <w:jc w:val="both"/>
    </w:pPr>
    <w:rPr>
      <w:rFonts w:ascii="Arial" w:hAnsi="Arial" w:cs="Arial"/>
      <w:kern w:val="2"/>
      <w:sz w:val="21"/>
    </w:rPr>
  </w:style>
  <w:style w:type="paragraph" w:styleId="41">
    <w:name w:val="Subtitle"/>
    <w:basedOn w:val="1"/>
    <w:link w:val="92"/>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2">
    <w:name w:val="toc 6"/>
    <w:basedOn w:val="1"/>
    <w:next w:val="1"/>
    <w:qFormat/>
    <w:uiPriority w:val="0"/>
    <w:pPr>
      <w:ind w:left="1200"/>
    </w:pPr>
    <w:rPr>
      <w:rFonts w:ascii="Calibri" w:cs="Calibri"/>
      <w:sz w:val="18"/>
      <w:szCs w:val="18"/>
    </w:rPr>
  </w:style>
  <w:style w:type="paragraph" w:styleId="43">
    <w:name w:val="Body Text Indent 3"/>
    <w:basedOn w:val="1"/>
    <w:qFormat/>
    <w:uiPriority w:val="0"/>
    <w:pPr>
      <w:spacing w:line="360" w:lineRule="auto"/>
      <w:ind w:firstLine="480" w:firstLineChars="200"/>
    </w:pPr>
  </w:style>
  <w:style w:type="paragraph" w:styleId="44">
    <w:name w:val="toc 2"/>
    <w:basedOn w:val="1"/>
    <w:next w:val="1"/>
    <w:qFormat/>
    <w:uiPriority w:val="0"/>
    <w:pPr>
      <w:ind w:left="240"/>
    </w:pPr>
    <w:rPr>
      <w:rFonts w:ascii="Calibri" w:cs="Calibri"/>
      <w:smallCaps/>
      <w:sz w:val="20"/>
      <w:szCs w:val="20"/>
    </w:rPr>
  </w:style>
  <w:style w:type="paragraph" w:styleId="45">
    <w:name w:val="toc 9"/>
    <w:basedOn w:val="1"/>
    <w:next w:val="1"/>
    <w:qFormat/>
    <w:uiPriority w:val="0"/>
    <w:pPr>
      <w:ind w:left="1920"/>
    </w:pPr>
    <w:rPr>
      <w:rFonts w:ascii="Calibri" w:cs="Calibri"/>
      <w:sz w:val="18"/>
      <w:szCs w:val="18"/>
    </w:rPr>
  </w:style>
  <w:style w:type="paragraph" w:styleId="46">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7">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8">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9">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50">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51">
    <w:name w:val="annotation subject"/>
    <w:basedOn w:val="19"/>
    <w:next w:val="19"/>
    <w:qFormat/>
    <w:uiPriority w:val="0"/>
    <w:rPr>
      <w:b/>
      <w:bCs/>
    </w:rPr>
  </w:style>
  <w:style w:type="paragraph" w:styleId="52">
    <w:name w:val="Body Text First Indent 2"/>
    <w:basedOn w:val="23"/>
    <w:semiHidden/>
    <w:unhideWhenUsed/>
    <w:qFormat/>
    <w:uiPriority w:val="99"/>
    <w:pPr>
      <w:ind w:firstLine="420" w:firstLineChars="200"/>
    </w:p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333333"/>
      <w:u w:val="none"/>
    </w:rPr>
  </w:style>
  <w:style w:type="character" w:styleId="59">
    <w:name w:val="Emphasis"/>
    <w:qFormat/>
    <w:uiPriority w:val="0"/>
    <w:rPr>
      <w:i/>
      <w:iCs/>
    </w:rPr>
  </w:style>
  <w:style w:type="character" w:styleId="60">
    <w:name w:val="Hyperlink"/>
    <w:qFormat/>
    <w:uiPriority w:val="0"/>
    <w:rPr>
      <w:color w:val="333333"/>
      <w:u w:val="none"/>
    </w:rPr>
  </w:style>
  <w:style w:type="character" w:styleId="61">
    <w:name w:val="annotation reference"/>
    <w:basedOn w:val="55"/>
    <w:qFormat/>
    <w:uiPriority w:val="0"/>
    <w:rPr>
      <w:sz w:val="21"/>
      <w:szCs w:val="21"/>
    </w:rPr>
  </w:style>
  <w:style w:type="paragraph" w:customStyle="1" w:styleId="62">
    <w:name w:val="样式 正文首行缩进 + 首行缩进:  1 字符"/>
    <w:basedOn w:val="1"/>
    <w:next w:val="1"/>
    <w:qFormat/>
    <w:uiPriority w:val="0"/>
    <w:pPr>
      <w:ind w:firstLine="200" w:firstLineChars="200"/>
    </w:pPr>
    <w:rPr>
      <w:rFonts w:cs="宋体"/>
      <w:szCs w:val="20"/>
    </w:rPr>
  </w:style>
  <w:style w:type="paragraph" w:customStyle="1" w:styleId="63">
    <w:name w:val="正文2"/>
    <w:basedOn w:val="13"/>
    <w:qFormat/>
    <w:uiPriority w:val="0"/>
    <w:pPr>
      <w:jc w:val="both"/>
    </w:pPr>
    <w:rPr>
      <w:rFonts w:ascii="Times New Roman" w:hAnsi="Times New Roman" w:eastAsia="宋体" w:cs="Times New Roman"/>
      <w:kern w:val="2"/>
      <w:sz w:val="21"/>
      <w:szCs w:val="21"/>
      <w:lang w:val="en-US" w:eastAsia="zh-CN" w:bidi="ar-SA"/>
    </w:rPr>
  </w:style>
  <w:style w:type="paragraph" w:customStyle="1" w:styleId="64">
    <w:name w:val="表格文字"/>
    <w:basedOn w:val="1"/>
    <w:qFormat/>
    <w:uiPriority w:val="0"/>
    <w:pPr>
      <w:autoSpaceDE/>
      <w:autoSpaceDN/>
      <w:adjustRightInd/>
      <w:spacing w:before="25" w:after="25"/>
    </w:pPr>
    <w:rPr>
      <w:rFonts w:ascii="Times New Roman"/>
      <w:bCs/>
      <w:spacing w:val="10"/>
      <w:szCs w:val="20"/>
    </w:rPr>
  </w:style>
  <w:style w:type="paragraph" w:customStyle="1" w:styleId="6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66">
    <w:name w:val="s1"/>
    <w:qFormat/>
    <w:uiPriority w:val="0"/>
    <w:rPr>
      <w:rFonts w:ascii="Helvetica" w:hAnsi="Helvetica" w:eastAsia="Helvetica" w:cs="Helvetica"/>
      <w:sz w:val="24"/>
      <w:szCs w:val="24"/>
    </w:rPr>
  </w:style>
  <w:style w:type="character" w:customStyle="1" w:styleId="67">
    <w:name w:val="keyfeatures1"/>
    <w:qFormat/>
    <w:uiPriority w:val="0"/>
    <w:rPr>
      <w:rFonts w:hint="default" w:ascii="Arial" w:hAnsi="Arial" w:cs="Arial"/>
      <w:color w:val="003366"/>
      <w:sz w:val="17"/>
      <w:szCs w:val="17"/>
      <w:u w:val="none"/>
    </w:rPr>
  </w:style>
  <w:style w:type="character" w:customStyle="1" w:styleId="68">
    <w:name w:val="小 Char"/>
    <w:qFormat/>
    <w:uiPriority w:val="0"/>
    <w:rPr>
      <w:rFonts w:ascii="宋体" w:hAnsi="Courier New" w:eastAsia="宋体" w:cs="Times New Roman"/>
      <w:kern w:val="2"/>
      <w:sz w:val="21"/>
      <w:lang w:val="en-US" w:eastAsia="zh-CN" w:bidi="ar-SA"/>
    </w:rPr>
  </w:style>
  <w:style w:type="character" w:customStyle="1" w:styleId="69">
    <w:name w:val="纯文本 Char Char"/>
    <w:qFormat/>
    <w:uiPriority w:val="0"/>
    <w:rPr>
      <w:rFonts w:ascii="宋体" w:hAnsi="Courier New" w:eastAsia="宋体"/>
      <w:kern w:val="2"/>
      <w:sz w:val="21"/>
      <w:lang w:val="en-US" w:eastAsia="zh-CN" w:bidi="ar-SA"/>
    </w:rPr>
  </w:style>
  <w:style w:type="character" w:customStyle="1" w:styleId="70">
    <w:name w:val="meuncn1"/>
    <w:qFormat/>
    <w:uiPriority w:val="0"/>
    <w:rPr>
      <w:rFonts w:hint="eastAsia" w:ascii="宋体" w:hAnsi="宋体" w:eastAsia="宋体"/>
      <w:color w:val="666666"/>
      <w:sz w:val="18"/>
      <w:u w:val="none"/>
    </w:rPr>
  </w:style>
  <w:style w:type="character" w:customStyle="1" w:styleId="71">
    <w:name w:val="标题 3.1 Char Char"/>
    <w:link w:val="72"/>
    <w:qFormat/>
    <w:uiPriority w:val="0"/>
    <w:rPr>
      <w:rFonts w:ascii="宋体" w:hAnsi="宋体"/>
      <w:b/>
      <w:bCs/>
      <w:kern w:val="2"/>
      <w:sz w:val="32"/>
      <w:szCs w:val="32"/>
    </w:rPr>
  </w:style>
  <w:style w:type="paragraph" w:customStyle="1" w:styleId="72">
    <w:name w:val="标题 3.1"/>
    <w:basedOn w:val="5"/>
    <w:link w:val="71"/>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3">
    <w:name w:val="标题 1 字符"/>
    <w:link w:val="3"/>
    <w:qFormat/>
    <w:uiPriority w:val="0"/>
  </w:style>
  <w:style w:type="character" w:customStyle="1" w:styleId="74">
    <w:name w:val="HTML Markup"/>
    <w:qFormat/>
    <w:uiPriority w:val="0"/>
    <w:rPr>
      <w:rFonts w:ascii="Times New Roman" w:hAnsi="Times New Roman" w:eastAsia="宋体" w:cs="Times New Roman"/>
      <w:vanish/>
      <w:color w:val="FF0000"/>
    </w:rPr>
  </w:style>
  <w:style w:type="character" w:customStyle="1" w:styleId="75">
    <w:name w:val="页脚 Char Char"/>
    <w:qFormat/>
    <w:uiPriority w:val="0"/>
    <w:rPr>
      <w:rFonts w:ascii="宋体"/>
      <w:sz w:val="18"/>
      <w:szCs w:val="18"/>
    </w:rPr>
  </w:style>
  <w:style w:type="character" w:customStyle="1" w:styleId="76">
    <w:name w:val="p105"/>
    <w:basedOn w:val="55"/>
    <w:qFormat/>
    <w:uiPriority w:val="0"/>
  </w:style>
  <w:style w:type="character" w:customStyle="1" w:styleId="77">
    <w:name w:val="正文缩进2格 Char Char"/>
    <w:link w:val="78"/>
    <w:qFormat/>
    <w:uiPriority w:val="0"/>
    <w:rPr>
      <w:rFonts w:ascii="仿宋_GB2312" w:hAnsi="宋体" w:eastAsia="仿宋_GB2312"/>
      <w:kern w:val="2"/>
      <w:sz w:val="31"/>
      <w:szCs w:val="28"/>
      <w:lang w:val="en-US" w:eastAsia="zh-CN" w:bidi="ar-SA"/>
    </w:rPr>
  </w:style>
  <w:style w:type="paragraph" w:customStyle="1" w:styleId="78">
    <w:name w:val="正文缩进2格"/>
    <w:basedOn w:val="1"/>
    <w:link w:val="77"/>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9">
    <w:name w:val="正文缩进 字符"/>
    <w:link w:val="13"/>
    <w:qFormat/>
    <w:uiPriority w:val="0"/>
    <w:rPr>
      <w:rFonts w:eastAsia="宋体"/>
      <w:lang w:val="en-US" w:eastAsia="zh-CN" w:bidi="ar-SA"/>
    </w:rPr>
  </w:style>
  <w:style w:type="character" w:customStyle="1" w:styleId="80">
    <w:name w:val="纯文本 字符"/>
    <w:link w:val="30"/>
    <w:qFormat/>
    <w:uiPriority w:val="0"/>
    <w:rPr>
      <w:rFonts w:ascii="宋体" w:hAnsi="Courier New" w:eastAsia="宋体" w:cs="Times New Roman"/>
      <w:kern w:val="2"/>
      <w:sz w:val="21"/>
      <w:lang w:val="en-US" w:eastAsia="zh-CN" w:bidi="ar-SA"/>
    </w:rPr>
  </w:style>
  <w:style w:type="character" w:customStyle="1" w:styleId="81">
    <w:name w:val="font01"/>
    <w:qFormat/>
    <w:uiPriority w:val="0"/>
    <w:rPr>
      <w:rFonts w:hint="eastAsia" w:ascii="宋体" w:hAnsi="宋体" w:eastAsia="宋体" w:cs="宋体"/>
      <w:color w:val="000000"/>
      <w:sz w:val="24"/>
      <w:szCs w:val="24"/>
      <w:u w:val="none"/>
    </w:rPr>
  </w:style>
  <w:style w:type="character" w:customStyle="1" w:styleId="82">
    <w:name w:val="wctjfont1"/>
    <w:qFormat/>
    <w:uiPriority w:val="0"/>
    <w:rPr>
      <w:sz w:val="18"/>
    </w:rPr>
  </w:style>
  <w:style w:type="character" w:customStyle="1" w:styleId="83">
    <w:name w:val="bold1"/>
    <w:qFormat/>
    <w:uiPriority w:val="0"/>
    <w:rPr>
      <w:sz w:val="32"/>
    </w:rPr>
  </w:style>
  <w:style w:type="character" w:customStyle="1" w:styleId="84">
    <w:name w:val="正文文本 字符"/>
    <w:link w:val="21"/>
    <w:qFormat/>
    <w:uiPriority w:val="0"/>
    <w:rPr>
      <w:rFonts w:ascii="宋体" w:hAnsi="Times New Roman" w:eastAsia="宋体" w:cs="Times New Roman"/>
      <w:b/>
      <w:bCs/>
      <w:kern w:val="2"/>
      <w:sz w:val="84"/>
      <w:szCs w:val="84"/>
      <w:lang w:val="zh-CN" w:eastAsia="zh-CN" w:bidi="ar-SA"/>
    </w:rPr>
  </w:style>
  <w:style w:type="character" w:customStyle="1" w:styleId="85">
    <w:name w:val="DAS正文 Char Char"/>
    <w:qFormat/>
    <w:uiPriority w:val="0"/>
    <w:rPr>
      <w:rFonts w:ascii="Verdana" w:hAnsi="Verdana" w:eastAsia="宋体"/>
      <w:kern w:val="2"/>
      <w:sz w:val="21"/>
      <w:szCs w:val="21"/>
      <w:lang w:val="en-US" w:eastAsia="zh-CN" w:bidi="ar-SA"/>
    </w:rPr>
  </w:style>
  <w:style w:type="character" w:customStyle="1" w:styleId="86">
    <w:name w:val="Highlighted Variable"/>
    <w:qFormat/>
    <w:uiPriority w:val="0"/>
    <w:rPr>
      <w:color w:val="000000"/>
    </w:rPr>
  </w:style>
  <w:style w:type="character" w:customStyle="1" w:styleId="87">
    <w:name w:val="neir1"/>
    <w:qFormat/>
    <w:uiPriority w:val="0"/>
    <w:rPr>
      <w:rFonts w:hint="default" w:ascii="ˎ̥" w:hAnsi="ˎ̥" w:eastAsia="宋体" w:cs="Times New Roman"/>
      <w:color w:val="333333"/>
      <w:sz w:val="21"/>
      <w:szCs w:val="21"/>
      <w:u w:val="none"/>
    </w:rPr>
  </w:style>
  <w:style w:type="character" w:customStyle="1" w:styleId="88">
    <w:name w:val="style61"/>
    <w:qFormat/>
    <w:uiPriority w:val="0"/>
    <w:rPr>
      <w:b/>
      <w:bCs/>
    </w:rPr>
  </w:style>
  <w:style w:type="character" w:customStyle="1" w:styleId="89">
    <w:name w:val="页眉 字符"/>
    <w:link w:val="36"/>
    <w:qFormat/>
    <w:uiPriority w:val="0"/>
    <w:rPr>
      <w:rFonts w:ascii="宋体"/>
      <w:sz w:val="18"/>
      <w:szCs w:val="18"/>
    </w:rPr>
  </w:style>
  <w:style w:type="character" w:customStyle="1" w:styleId="90">
    <w:name w:val="HTML 预设格式 字符"/>
    <w:link w:val="48"/>
    <w:qFormat/>
    <w:uiPriority w:val="0"/>
    <w:rPr>
      <w:rFonts w:ascii="Arial" w:hAnsi="Arial" w:eastAsia="宋体" w:cs="Arial"/>
      <w:sz w:val="21"/>
      <w:szCs w:val="21"/>
      <w:lang w:val="en-US" w:eastAsia="zh-CN" w:bidi="ar-SA"/>
    </w:rPr>
  </w:style>
  <w:style w:type="character" w:customStyle="1" w:styleId="91">
    <w:name w:val="f141"/>
    <w:qFormat/>
    <w:uiPriority w:val="0"/>
    <w:rPr>
      <w:sz w:val="21"/>
      <w:szCs w:val="21"/>
    </w:rPr>
  </w:style>
  <w:style w:type="character" w:customStyle="1" w:styleId="92">
    <w:name w:val="副标题 字符"/>
    <w:link w:val="41"/>
    <w:qFormat/>
    <w:uiPriority w:val="0"/>
    <w:rPr>
      <w:rFonts w:ascii="Arial" w:hAnsi="Arial"/>
      <w:b/>
      <w:kern w:val="28"/>
      <w:sz w:val="32"/>
    </w:rPr>
  </w:style>
  <w:style w:type="character" w:customStyle="1" w:styleId="93">
    <w:name w:val="页脚 字符"/>
    <w:link w:val="35"/>
    <w:qFormat/>
    <w:uiPriority w:val="0"/>
    <w:rPr>
      <w:rFonts w:ascii="宋体" w:hAnsi="Times New Roman" w:eastAsia="宋体" w:cs="Times New Roman"/>
      <w:sz w:val="18"/>
      <w:szCs w:val="18"/>
      <w:lang w:val="en-US" w:eastAsia="zh-CN" w:bidi="ar-SA"/>
    </w:rPr>
  </w:style>
  <w:style w:type="paragraph" w:customStyle="1" w:styleId="94">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5">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6">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7">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8">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9">
    <w:name w:val="样式 我的标题 + 两端对齐"/>
    <w:basedOn w:val="3"/>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100">
    <w:name w:val="默认段落字体 Para Char"/>
    <w:basedOn w:val="1"/>
    <w:qFormat/>
    <w:uiPriority w:val="0"/>
    <w:pPr>
      <w:autoSpaceDE/>
      <w:autoSpaceDN/>
      <w:spacing w:line="360" w:lineRule="auto"/>
      <w:jc w:val="both"/>
    </w:pPr>
    <w:rPr>
      <w:rFonts w:ascii="Times New Roman"/>
      <w:szCs w:val="20"/>
    </w:rPr>
  </w:style>
  <w:style w:type="paragraph" w:customStyle="1" w:styleId="101">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02">
    <w:name w:val="TOC 标题1"/>
    <w:basedOn w:val="3"/>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3">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4">
    <w:name w:val="需求书2"/>
    <w:basedOn w:val="1"/>
    <w:qFormat/>
    <w:uiPriority w:val="0"/>
    <w:pPr>
      <w:autoSpaceDE/>
      <w:autoSpaceDN/>
      <w:adjustRightInd/>
      <w:jc w:val="both"/>
    </w:pPr>
    <w:rPr>
      <w:rFonts w:hAnsi="宋体"/>
      <w:spacing w:val="10"/>
      <w:kern w:val="2"/>
      <w:sz w:val="18"/>
      <w:szCs w:val="20"/>
    </w:rPr>
  </w:style>
  <w:style w:type="paragraph" w:customStyle="1" w:styleId="105">
    <w:name w:val="Char Char Char Char1"/>
    <w:basedOn w:val="4"/>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6">
    <w:name w:val="Char1"/>
    <w:basedOn w:val="17"/>
    <w:qFormat/>
    <w:uiPriority w:val="0"/>
    <w:pPr>
      <w:autoSpaceDE/>
      <w:autoSpaceDN/>
      <w:adjustRightInd/>
      <w:jc w:val="both"/>
    </w:pPr>
    <w:rPr>
      <w:rFonts w:ascii="Tahoma" w:hAnsi="Tahoma"/>
      <w:kern w:val="2"/>
    </w:rPr>
  </w:style>
  <w:style w:type="paragraph" w:customStyle="1" w:styleId="107">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8">
    <w:name w:val="Blockquote"/>
    <w:basedOn w:val="1"/>
    <w:qFormat/>
    <w:uiPriority w:val="0"/>
    <w:pPr>
      <w:spacing w:before="100" w:after="100"/>
      <w:ind w:left="360" w:right="360"/>
    </w:pPr>
    <w:rPr>
      <w:rFonts w:ascii="Times New Roman" w:hAnsi="Times New Roman" w:cs="Times New Roman"/>
      <w:szCs w:val="20"/>
    </w:rPr>
  </w:style>
  <w:style w:type="paragraph" w:customStyle="1" w:styleId="109">
    <w:name w:val="样式 标题 2 + Times New Roman 四号 非加粗 段前: 5 磅 段后: 0 磅 行距: 固定值 20..."/>
    <w:basedOn w:val="4"/>
    <w:qFormat/>
    <w:uiPriority w:val="0"/>
    <w:pPr>
      <w:spacing w:before="100" w:line="400" w:lineRule="exact"/>
    </w:pPr>
    <w:rPr>
      <w:rFonts w:ascii="Times New Roman" w:hAnsi="Times New Roman"/>
      <w:b w:val="0"/>
      <w:sz w:val="28"/>
      <w:szCs w:val="20"/>
    </w:rPr>
  </w:style>
  <w:style w:type="paragraph" w:customStyle="1" w:styleId="110">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11">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12">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3">
    <w:name w:val="D标3"/>
    <w:basedOn w:val="5"/>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4">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5">
    <w:name w:val="_Style 202"/>
    <w:basedOn w:val="1"/>
    <w:qFormat/>
    <w:uiPriority w:val="0"/>
    <w:pPr>
      <w:tabs>
        <w:tab w:val="left" w:pos="360"/>
      </w:tabs>
      <w:autoSpaceDE/>
      <w:autoSpaceDN/>
      <w:adjustRightInd/>
      <w:jc w:val="both"/>
    </w:pPr>
    <w:rPr>
      <w:rFonts w:ascii="Times New Roman"/>
      <w:kern w:val="2"/>
      <w:sz w:val="21"/>
    </w:rPr>
  </w:style>
  <w:style w:type="paragraph" w:customStyle="1" w:styleId="116">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7">
    <w:name w:val="shall-正文"/>
    <w:basedOn w:val="1"/>
    <w:qFormat/>
    <w:uiPriority w:val="0"/>
    <w:pPr>
      <w:snapToGrid w:val="0"/>
      <w:spacing w:beforeLines="30" w:line="288" w:lineRule="auto"/>
      <w:ind w:firstLine="200" w:firstLineChars="200"/>
    </w:pPr>
    <w:rPr>
      <w:rFonts w:eastAsia="华文细黑"/>
    </w:rPr>
  </w:style>
  <w:style w:type="paragraph" w:customStyle="1" w:styleId="118">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9">
    <w:name w:val="p2"/>
    <w:basedOn w:val="1"/>
    <w:qFormat/>
    <w:uiPriority w:val="0"/>
    <w:rPr>
      <w:rFonts w:cs="Times New Roman"/>
    </w:rPr>
  </w:style>
  <w:style w:type="paragraph" w:customStyle="1" w:styleId="120">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21">
    <w:name w:val="标题4"/>
    <w:basedOn w:val="78"/>
    <w:qFormat/>
    <w:uiPriority w:val="0"/>
    <w:pPr>
      <w:spacing w:line="540" w:lineRule="exact"/>
      <w:ind w:firstLine="0" w:firstLineChars="0"/>
    </w:pPr>
    <w:rPr>
      <w:rFonts w:hAnsi="Times New Roman"/>
      <w:szCs w:val="24"/>
    </w:rPr>
  </w:style>
  <w:style w:type="paragraph" w:styleId="122">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3">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4">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5">
    <w:name w:val="Char Char2 Char"/>
    <w:basedOn w:val="1"/>
    <w:qFormat/>
    <w:uiPriority w:val="0"/>
    <w:pPr>
      <w:autoSpaceDE/>
      <w:autoSpaceDN/>
      <w:adjustRightInd/>
      <w:jc w:val="both"/>
    </w:pPr>
    <w:rPr>
      <w:rFonts w:hAnsi="宋体"/>
      <w:b/>
      <w:kern w:val="2"/>
      <w:sz w:val="28"/>
      <w:szCs w:val="28"/>
    </w:rPr>
  </w:style>
  <w:style w:type="paragraph" w:customStyle="1" w:styleId="126">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7">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8">
    <w:name w:val="表格栏头"/>
    <w:basedOn w:val="129"/>
    <w:next w:val="129"/>
    <w:qFormat/>
    <w:uiPriority w:val="0"/>
    <w:rPr>
      <w:b/>
    </w:rPr>
  </w:style>
  <w:style w:type="paragraph" w:customStyle="1" w:styleId="129">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30">
    <w:name w:val="正文列表"/>
    <w:basedOn w:val="1"/>
    <w:qFormat/>
    <w:uiPriority w:val="0"/>
    <w:pPr>
      <w:jc w:val="center"/>
      <w:textAlignment w:val="baseline"/>
    </w:pPr>
    <w:rPr>
      <w:rFonts w:hAnsi="宋体"/>
      <w:szCs w:val="20"/>
    </w:rPr>
  </w:style>
  <w:style w:type="paragraph" w:customStyle="1" w:styleId="131">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32">
    <w:name w:val="题注4"/>
    <w:basedOn w:val="1"/>
    <w:next w:val="14"/>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3">
    <w:name w:val="题目副题"/>
    <w:basedOn w:val="41"/>
    <w:qFormat/>
    <w:uiPriority w:val="0"/>
    <w:pPr>
      <w:spacing w:before="0" w:after="312"/>
      <w:ind w:left="240" w:firstLine="600"/>
      <w:jc w:val="left"/>
      <w:outlineLvl w:val="9"/>
    </w:pPr>
    <w:rPr>
      <w:rFonts w:ascii="宋体" w:hAnsi="宋体"/>
      <w:sz w:val="30"/>
    </w:rPr>
  </w:style>
  <w:style w:type="paragraph" w:customStyle="1" w:styleId="134">
    <w:name w:val="列出段落1"/>
    <w:basedOn w:val="1"/>
    <w:qFormat/>
    <w:uiPriority w:val="34"/>
    <w:pPr>
      <w:ind w:firstLine="420" w:firstLineChars="200"/>
    </w:pPr>
    <w:rPr>
      <w:rFonts w:ascii="Calibri" w:cs="黑体"/>
    </w:rPr>
  </w:style>
  <w:style w:type="paragraph" w:customStyle="1" w:styleId="135">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6">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7">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8">
    <w:name w:val="进度表"/>
    <w:basedOn w:val="13"/>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9">
    <w:name w:val="大标题"/>
    <w:basedOn w:val="3"/>
    <w:qFormat/>
    <w:uiPriority w:val="0"/>
    <w:rPr>
      <w:snapToGrid w:val="0"/>
      <w:sz w:val="52"/>
      <w:szCs w:val="72"/>
    </w:rPr>
  </w:style>
  <w:style w:type="paragraph" w:customStyle="1" w:styleId="140">
    <w:name w:val="正文无缩进"/>
    <w:basedOn w:val="78"/>
    <w:qFormat/>
    <w:uiPriority w:val="0"/>
    <w:pPr>
      <w:ind w:firstLine="0" w:firstLineChars="0"/>
    </w:pPr>
  </w:style>
  <w:style w:type="paragraph" w:customStyle="1" w:styleId="141">
    <w:name w:val="标题 3.5"/>
    <w:basedOn w:val="5"/>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42">
    <w:name w:val="题注5"/>
    <w:basedOn w:val="1"/>
    <w:next w:val="14"/>
    <w:qFormat/>
    <w:uiPriority w:val="0"/>
    <w:pPr>
      <w:autoSpaceDE/>
      <w:autoSpaceDN/>
      <w:adjustRightInd/>
      <w:jc w:val="center"/>
    </w:pPr>
    <w:rPr>
      <w:rFonts w:ascii="Times New Roman"/>
      <w:b/>
      <w:color w:val="000000"/>
      <w:kern w:val="2"/>
      <w:szCs w:val="21"/>
    </w:rPr>
  </w:style>
  <w:style w:type="paragraph" w:customStyle="1" w:styleId="143">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4">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5">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6">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7">
    <w:name w:val="List Paragraph"/>
    <w:basedOn w:val="1"/>
    <w:qFormat/>
    <w:uiPriority w:val="0"/>
    <w:pPr>
      <w:autoSpaceDE/>
      <w:autoSpaceDN/>
      <w:adjustRightInd/>
      <w:ind w:firstLine="420" w:firstLineChars="200"/>
      <w:jc w:val="both"/>
    </w:pPr>
    <w:rPr>
      <w:rFonts w:ascii="Calibri"/>
      <w:kern w:val="2"/>
      <w:sz w:val="21"/>
    </w:rPr>
  </w:style>
  <w:style w:type="paragraph" w:customStyle="1" w:styleId="148">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9">
    <w:name w:val="目录"/>
    <w:basedOn w:val="1"/>
    <w:qFormat/>
    <w:uiPriority w:val="0"/>
    <w:pPr>
      <w:widowControl/>
      <w:autoSpaceDE/>
      <w:autoSpaceDN/>
      <w:adjustRightInd/>
      <w:spacing w:line="480" w:lineRule="auto"/>
      <w:jc w:val="center"/>
    </w:pPr>
    <w:rPr>
      <w:b/>
      <w:szCs w:val="20"/>
    </w:rPr>
  </w:style>
  <w:style w:type="paragraph" w:customStyle="1" w:styleId="150">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51">
    <w:name w:val="Char11"/>
    <w:basedOn w:val="17"/>
    <w:qFormat/>
    <w:uiPriority w:val="0"/>
    <w:pPr>
      <w:autoSpaceDE/>
      <w:autoSpaceDN/>
      <w:adjustRightInd/>
      <w:jc w:val="both"/>
    </w:pPr>
    <w:rPr>
      <w:rFonts w:ascii="Tahoma" w:hAnsi="Tahoma" w:cs="Times New Roman"/>
      <w:kern w:val="2"/>
    </w:rPr>
  </w:style>
  <w:style w:type="paragraph" w:customStyle="1" w:styleId="152">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3">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4">
    <w:name w:val="信息标题2"/>
    <w:basedOn w:val="14"/>
    <w:next w:val="14"/>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5">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6">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7">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8">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9">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60">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61">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62">
    <w:name w:val="样式 标题 3Level 3 HeadH3Heading 3 - oldh3sect1.2.3Head33l3..."/>
    <w:basedOn w:val="5"/>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3">
    <w:name w:val="p0"/>
    <w:basedOn w:val="1"/>
    <w:qFormat/>
    <w:uiPriority w:val="99"/>
    <w:pPr>
      <w:widowControl/>
    </w:pPr>
    <w:rPr>
      <w:szCs w:val="21"/>
    </w:rPr>
  </w:style>
  <w:style w:type="paragraph" w:customStyle="1" w:styleId="164">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5">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6">
    <w:name w:val="投标文件格式"/>
    <w:basedOn w:val="30"/>
    <w:qFormat/>
    <w:uiPriority w:val="0"/>
    <w:pPr>
      <w:jc w:val="center"/>
    </w:pPr>
    <w:rPr>
      <w:rFonts w:hAnsi="Times New Roman"/>
      <w:b/>
    </w:rPr>
  </w:style>
  <w:style w:type="paragraph" w:customStyle="1" w:styleId="167">
    <w:name w:val="日期右"/>
    <w:basedOn w:val="32"/>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8">
    <w:name w:val="Char1 Char Char Char"/>
    <w:basedOn w:val="1"/>
    <w:qFormat/>
    <w:uiPriority w:val="0"/>
    <w:pPr>
      <w:autoSpaceDE/>
      <w:autoSpaceDN/>
      <w:adjustRightInd/>
      <w:jc w:val="both"/>
    </w:pPr>
    <w:rPr>
      <w:rFonts w:ascii="Tahoma" w:hAnsi="Tahoma"/>
      <w:kern w:val="2"/>
      <w:szCs w:val="20"/>
    </w:rPr>
  </w:style>
  <w:style w:type="paragraph" w:customStyle="1" w:styleId="169">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70">
    <w:name w:val="Char Char Char"/>
    <w:basedOn w:val="1"/>
    <w:qFormat/>
    <w:uiPriority w:val="0"/>
    <w:pPr>
      <w:autoSpaceDE/>
      <w:autoSpaceDN/>
      <w:adjustRightInd/>
      <w:jc w:val="both"/>
    </w:pPr>
    <w:rPr>
      <w:rFonts w:ascii="Tahoma" w:hAnsi="Tahoma"/>
      <w:b/>
      <w:sz w:val="28"/>
      <w:szCs w:val="20"/>
    </w:rPr>
  </w:style>
  <w:style w:type="paragraph" w:customStyle="1" w:styleId="171">
    <w:name w:val="保留正文"/>
    <w:basedOn w:val="21"/>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72">
    <w:name w:val="正文缩进6格"/>
    <w:basedOn w:val="173"/>
    <w:qFormat/>
    <w:uiPriority w:val="0"/>
    <w:pPr>
      <w:ind w:left="1758" w:leftChars="854"/>
    </w:pPr>
  </w:style>
  <w:style w:type="paragraph" w:customStyle="1" w:styleId="173">
    <w:name w:val="正文缩进4格"/>
    <w:basedOn w:val="78"/>
    <w:qFormat/>
    <w:uiPriority w:val="0"/>
    <w:pPr>
      <w:ind w:left="651" w:leftChars="310" w:firstLine="608" w:firstLineChars="196"/>
    </w:pPr>
    <w:rPr>
      <w:color w:val="000000"/>
    </w:rPr>
  </w:style>
  <w:style w:type="paragraph" w:customStyle="1" w:styleId="174">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5">
    <w:name w:val="表头"/>
    <w:basedOn w:val="14"/>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6">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7">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8">
    <w:name w:val="表正文"/>
    <w:basedOn w:val="1"/>
    <w:next w:val="27"/>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9">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80">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81">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82">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3">
    <w:name w:val="样式37"/>
    <w:basedOn w:val="1"/>
    <w:qFormat/>
    <w:uiPriority w:val="0"/>
    <w:pPr>
      <w:widowControl/>
      <w:spacing w:line="360" w:lineRule="auto"/>
    </w:pPr>
    <w:rPr>
      <w:rFonts w:hAnsi="宋体"/>
      <w:spacing w:val="-2"/>
      <w:szCs w:val="21"/>
    </w:rPr>
  </w:style>
  <w:style w:type="paragraph" w:customStyle="1" w:styleId="184">
    <w:name w:val="文档正文"/>
    <w:basedOn w:val="1"/>
    <w:qFormat/>
    <w:uiPriority w:val="0"/>
    <w:pPr>
      <w:spacing w:line="460" w:lineRule="exact"/>
      <w:ind w:firstLine="567"/>
      <w:textAlignment w:val="baseline"/>
    </w:pPr>
    <w:rPr>
      <w:rFonts w:ascii="Arial" w:hAnsi="Arial"/>
    </w:rPr>
  </w:style>
  <w:style w:type="paragraph" w:customStyle="1" w:styleId="185">
    <w:name w:val="正文列序2"/>
    <w:basedOn w:val="1"/>
    <w:qFormat/>
    <w:uiPriority w:val="0"/>
    <w:pPr>
      <w:spacing w:line="360" w:lineRule="auto"/>
      <w:ind w:firstLine="425"/>
    </w:pPr>
    <w:rPr>
      <w:rFonts w:hAnsi="宋体"/>
    </w:rPr>
  </w:style>
  <w:style w:type="character" w:customStyle="1" w:styleId="186">
    <w:name w:val="批注文字 字符"/>
    <w:basedOn w:val="55"/>
    <w:link w:val="19"/>
    <w:qFormat/>
    <w:uiPriority w:val="0"/>
    <w:rPr>
      <w:rFonts w:ascii="Times New Roman" w:hAnsi="Calibri" w:eastAsia="宋体" w:cs="宋体"/>
      <w:sz w:val="21"/>
    </w:rPr>
  </w:style>
  <w:style w:type="paragraph" w:customStyle="1" w:styleId="187">
    <w:name w:val="正文文本缩进 21"/>
    <w:basedOn w:val="1"/>
    <w:qFormat/>
    <w:uiPriority w:val="99"/>
    <w:pPr>
      <w:spacing w:line="480" w:lineRule="auto"/>
      <w:ind w:firstLine="540"/>
    </w:pPr>
    <w:rPr>
      <w:sz w:val="20"/>
      <w:szCs w:val="20"/>
    </w:rPr>
  </w:style>
  <w:style w:type="paragraph" w:customStyle="1" w:styleId="188">
    <w:name w:val="WPSOffice手动目录 1"/>
    <w:qFormat/>
    <w:uiPriority w:val="0"/>
    <w:rPr>
      <w:rFonts w:ascii="Times New Roman" w:hAnsi="Times New Roman" w:eastAsia="宋体" w:cs="Times New Roman"/>
      <w:lang w:val="en-US" w:eastAsia="zh-CN" w:bidi="ar-SA"/>
    </w:rPr>
  </w:style>
  <w:style w:type="character" w:customStyle="1" w:styleId="189">
    <w:name w:val="font121"/>
    <w:basedOn w:val="55"/>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90">
    <w:name w:val="font112"/>
    <w:basedOn w:val="55"/>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91">
    <w:name w:val="font131"/>
    <w:basedOn w:val="55"/>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92">
    <w:name w:val="font291"/>
    <w:basedOn w:val="55"/>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3">
    <w:name w:val="font301"/>
    <w:basedOn w:val="55"/>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4">
    <w:name w:val="修订1"/>
    <w:hidden/>
    <w:semiHidden/>
    <w:qFormat/>
    <w:uiPriority w:val="99"/>
    <w:rPr>
      <w:rFonts w:ascii="宋体" w:hAnsi="Calibri" w:eastAsia="宋体" w:cs="宋体"/>
      <w:sz w:val="24"/>
      <w:szCs w:val="24"/>
      <w:lang w:val="en-US" w:eastAsia="zh-CN" w:bidi="ar-SA"/>
    </w:rPr>
  </w:style>
  <w:style w:type="character" w:customStyle="1" w:styleId="195">
    <w:name w:val="font51"/>
    <w:basedOn w:val="55"/>
    <w:qFormat/>
    <w:uiPriority w:val="0"/>
    <w:rPr>
      <w:rFonts w:hint="eastAsia" w:ascii="宋体" w:hAnsi="宋体" w:eastAsia="宋体" w:cs="宋体"/>
      <w:color w:val="000000"/>
      <w:sz w:val="20"/>
      <w:szCs w:val="20"/>
      <w:u w:val="none"/>
    </w:rPr>
  </w:style>
  <w:style w:type="paragraph" w:customStyle="1" w:styleId="196">
    <w:name w:val="列出段落11"/>
    <w:basedOn w:val="1"/>
    <w:qFormat/>
    <w:uiPriority w:val="99"/>
    <w:pPr>
      <w:adjustRightInd/>
      <w:spacing w:line="360" w:lineRule="auto"/>
      <w:ind w:firstLine="420" w:firstLineChars="200"/>
      <w:jc w:val="both"/>
    </w:pPr>
    <w:rPr>
      <w:rFonts w:ascii="Times New Roman" w:hAnsi="Times New Roman" w:cs="Times New Roman"/>
      <w:kern w:val="2"/>
    </w:rPr>
  </w:style>
  <w:style w:type="character" w:customStyle="1" w:styleId="197">
    <w:name w:val="font31"/>
    <w:basedOn w:val="55"/>
    <w:qFormat/>
    <w:uiPriority w:val="0"/>
    <w:rPr>
      <w:rFonts w:hint="default" w:ascii="Times New Roman" w:hAnsi="Times New Roman" w:cs="Times New Roman"/>
      <w:color w:val="FF0000"/>
      <w:sz w:val="22"/>
      <w:szCs w:val="22"/>
      <w:u w:val="none"/>
    </w:rPr>
  </w:style>
  <w:style w:type="character" w:customStyle="1" w:styleId="198">
    <w:name w:val="font41"/>
    <w:basedOn w:val="55"/>
    <w:qFormat/>
    <w:uiPriority w:val="0"/>
    <w:rPr>
      <w:rFonts w:hint="eastAsia" w:ascii="宋体" w:hAnsi="宋体" w:eastAsia="宋体" w:cs="宋体"/>
      <w:color w:val="FF0000"/>
      <w:sz w:val="22"/>
      <w:szCs w:val="22"/>
      <w:u w:val="none"/>
    </w:rPr>
  </w:style>
  <w:style w:type="character" w:customStyle="1" w:styleId="199">
    <w:name w:val="font11"/>
    <w:basedOn w:val="55"/>
    <w:qFormat/>
    <w:uiPriority w:val="0"/>
    <w:rPr>
      <w:rFonts w:hint="default" w:ascii="Times New Roman" w:hAnsi="Times New Roman" w:cs="Times New Roman"/>
      <w:color w:val="FF0000"/>
      <w:sz w:val="22"/>
      <w:szCs w:val="22"/>
      <w:u w:val="none"/>
    </w:rPr>
  </w:style>
  <w:style w:type="character" w:customStyle="1" w:styleId="200">
    <w:name w:val="font21"/>
    <w:basedOn w:val="55"/>
    <w:qFormat/>
    <w:uiPriority w:val="0"/>
    <w:rPr>
      <w:rFonts w:hint="eastAsia" w:ascii="仿宋" w:hAnsi="仿宋" w:eastAsia="仿宋" w:cs="仿宋"/>
      <w:color w:val="000000"/>
      <w:sz w:val="24"/>
      <w:szCs w:val="24"/>
      <w:u w:val="none"/>
    </w:rPr>
  </w:style>
  <w:style w:type="character" w:customStyle="1" w:styleId="201">
    <w:name w:val="font151"/>
    <w:basedOn w:val="55"/>
    <w:qFormat/>
    <w:uiPriority w:val="0"/>
    <w:rPr>
      <w:rFonts w:hint="eastAsia" w:ascii="宋体" w:hAnsi="宋体" w:eastAsia="宋体" w:cs="宋体"/>
      <w:color w:val="000000"/>
      <w:sz w:val="18"/>
      <w:szCs w:val="18"/>
      <w:u w:val="none"/>
    </w:rPr>
  </w:style>
  <w:style w:type="character" w:customStyle="1" w:styleId="202">
    <w:name w:val="font141"/>
    <w:basedOn w:val="55"/>
    <w:qFormat/>
    <w:uiPriority w:val="0"/>
    <w:rPr>
      <w:rFonts w:hint="eastAsia" w:ascii="宋体" w:hAnsi="宋体" w:eastAsia="宋体" w:cs="宋体"/>
      <w:color w:val="000000"/>
      <w:sz w:val="18"/>
      <w:szCs w:val="18"/>
      <w:u w:val="none"/>
    </w:rPr>
  </w:style>
  <w:style w:type="character" w:customStyle="1" w:styleId="203">
    <w:name w:val="font61"/>
    <w:basedOn w:val="5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b125ca09-531d-4349-bec1-9a2d1e23dc44</errorID>
      <errorWord>达</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3BD91DE4</paraID>
      <start>39</start>
      <end>40</end>
      <status>modified</status>
      <modifiedWord>到</modifiedWord>
      <trackRevisions>false</trackRevisions>
    </reviewItem>
    <reviewItem>
      <errorID>bd5d2eca-28e8-44d1-9afe-347a0c4ec6aa</errorID>
      <errorWord>(</errorWord>
      <group>L1_Format</group>
      <groupName>格式问题</groupName>
      <ability>L2_HalfPunc</ability>
      <abilityName>全半角检查</abilityName>
      <candidateList>
        <item>（</item>
      </candidateList>
      <explain>文本全半角错误。</explain>
      <paraID>6BD1F732</paraID>
      <start>79</start>
      <end>80</end>
      <status>modified</status>
      <modifiedWord>（</modifiedWord>
      <trackRevisions>false</trackRevisions>
    </reviewItem>
    <reviewItem>
      <errorID>aad52af8-91c3-4f7f-b0a2-22a8f23d0359</errorID>
      <errorWord>)</errorWord>
      <group>L1_Format</group>
      <groupName>格式问题</groupName>
      <ability>L2_HalfPunc</ability>
      <abilityName>全半角检查</abilityName>
      <candidateList>
        <item>）</item>
      </candidateList>
      <explain>文本全半角错误。</explain>
      <paraID>6BD1F732</paraID>
      <start>110</start>
      <end>111</end>
      <status>modified</status>
      <modifiedWord>）</modifiedWord>
      <trackRevisions>false</trackRevisions>
    </reviewItem>
    <reviewItem>
      <errorID>fc047c3f-ebaa-4ddb-9001-9ef5db27f4de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16AA892</paraID>
      <start>0</start>
      <end>2</end>
      <status>ignored</status>
      <modifiedWord/>
      <trackRevisions>false</trackRevisions>
    </reviewItem>
    <reviewItem>
      <errorID>d33bbb68-63aa-4ac1-a337-f600f0af4316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7EDDAFE</paraID>
      <start>0</start>
      <end>2</end>
      <status>ignored</status>
      <modifiedWord/>
      <trackRevisions>false</trackRevisions>
    </reviewItem>
    <reviewItem>
      <errorID>be79108c-05ae-43bc-9576-cd9ac7ee076f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721FD216</paraID>
      <start>0</start>
      <end>2</end>
      <status>ignored</status>
      <modifiedWord/>
      <trackRevisions>false</trackRevisions>
    </reviewItem>
    <reviewItem>
      <errorID>49873c49-f60e-4888-8257-0b5ea0c0eef4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35BBE566</paraID>
      <start>0</start>
      <end>2</end>
      <status>ignored</status>
      <modifiedWord/>
      <trackRevisions>false</trackRevisions>
    </reviewItem>
    <reviewItem>
      <errorID>79bd2f8d-c484-45f5-b16a-953e74c9d947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26DEEC83</paraID>
      <start>0</start>
      <end>2</end>
      <status>ignored</status>
      <modifiedWord/>
      <trackRevisions>false</trackRevisions>
    </reviewItem>
    <reviewItem>
      <errorID>53d1ea31-b2cf-442b-a0b5-03fad8dfff0f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7167B351</paraID>
      <start>0</start>
      <end>2</end>
      <status>ignored</status>
      <modifiedWord/>
      <trackRevisions>false</trackRevisions>
    </reviewItem>
    <reviewItem>
      <errorID>980f75e3-352d-462d-9560-194a41228351</errorID>
      <errorWord>(</errorWord>
      <group>L1_Format</group>
      <groupName>格式问题</groupName>
      <ability>L2_HalfPunc</ability>
      <abilityName>全半角检查</abilityName>
      <candidateList>
        <item>（</item>
      </candidateList>
      <explain>文本全半角错误。</explain>
      <paraID>10C909EE</paraID>
      <start>15</start>
      <end>16</end>
      <status>ignored</status>
      <modifiedWord/>
      <trackRevisions>false</trackRevisions>
    </reviewItem>
    <reviewItem>
      <errorID>de8aad8a-1296-4fb5-a47a-6001e16b5753</errorID>
      <errorWord>)</errorWord>
      <group>L1_Format</group>
      <groupName>格式问题</groupName>
      <ability>L2_HalfPunc</ability>
      <abilityName>全半角检查</abilityName>
      <candidateList>
        <item>）</item>
      </candidateList>
      <explain>文本全半角错误。</explain>
      <paraID>10C909EE</paraID>
      <start>39</start>
      <end>40</end>
      <status>ignored</status>
      <modifiedWord/>
      <trackRevisions>false</trackRevisions>
    </reviewItem>
    <reviewItem>
      <errorID>65476c3e-057c-4a1e-a611-7dcc11c7357b</errorID>
      <errorWord>[2025〕</errorWord>
      <group>L1_Punc</group>
      <groupName>标点问题</groupName>
      <ability>L2_Punc</ability>
      <abilityName>标点符号检查</abilityName>
      <candidateList>
        <item>〔2025〕</item>
      </candidateList>
      <explain/>
      <paraID>6AEFD5A9</paraID>
      <start>138</start>
      <end>144</end>
      <status>modified</status>
      <modifiedWord>〔2025〕</modifiedWord>
      <trackRevisions>false</trackRevisions>
    </reviewItem>
    <reviewItem>
      <errorID>8d7622de-2a6a-459d-8dc1-c8b037dbf573</errorID>
      <errorWord>，，</errorWord>
      <group>L1_Punc</group>
      <groupName>标点问题</groupName>
      <ability>L2_Punc</ability>
      <abilityName>标点符号检查</abilityName>
      <candidateList>
        <item>，</item>
      </candidateList>
      <explain/>
      <paraID>6AEFD5A9</paraID>
      <start>157</start>
      <end>158</end>
      <status>modified</status>
      <modifiedWord>，</modifiedWord>
      <trackRevisions>false</trackRevisions>
    </reviewItem>
    <reviewItem>
      <errorID>12331700-d594-4ccd-a4c0-f98555264135</errorID>
      <errorWord>。】</errorWord>
      <group>L1_Punc</group>
      <groupName>标点问题</groupName>
      <ability>L2_Punc</ability>
      <abilityName>标点符号检查</abilityName>
      <candidateList>
        <item>】</item>
      </candidateList>
      <explain/>
      <paraID>6AEFD5A9</paraID>
      <start>174</start>
      <end>176</end>
      <status>ignored</status>
      <modifiedWord/>
      <trackRevisions>false</trackRevisions>
    </reviewItem>
    <reviewItem>
      <errorID>d427b001-c584-4549-9ae5-cc67e86bb08f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55F3FC5E</paraID>
      <start>0</start>
      <end>2</end>
      <status>ignored</status>
      <modifiedWord/>
      <trackRevisions>false</trackRevisions>
    </reviewItem>
    <reviewItem>
      <errorID>0561f743-1949-47a1-8feb-c849a3df34b0</errorID>
      <errorWord>-</errorWord>
      <group>L1_Format</group>
      <groupName>格式问题</groupName>
      <ability>L2_HalfPunc</ability>
      <abilityName>全半角检查</abilityName>
      <candidateList>
        <item>－</item>
      </candidateList>
      <explain>文本全半角错误。</explain>
      <paraID>54C65BBD</paraID>
      <start>108</start>
      <end>109</end>
      <status>unmodified</status>
      <modifiedWord/>
      <trackRevisions>false</trackRevisions>
    </reviewItem>
    <reviewItem>
      <errorID>95d8840d-0786-4346-821b-c818ba84b875</errorID>
      <errorWord>-</errorWord>
      <group>L1_Format</group>
      <groupName>格式问题</groupName>
      <ability>L2_HalfPunc</ability>
      <abilityName>全半角检查</abilityName>
      <candidateList>
        <item>－</item>
      </candidateList>
      <explain>文本全半角错误。</explain>
      <paraID>6AC8645C</paraID>
      <start>25</start>
      <end>26</end>
      <status>ignored</status>
      <modifiedWord/>
      <trackRevisions>false</trackRevisions>
    </reviewItem>
    <reviewItem>
      <errorID>56469b0d-e9da-40c0-b9b7-b0b17aaeeff0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77442CD4</paraID>
      <start>0</start>
      <end>2</end>
      <status>ignored</status>
      <modifiedWord/>
      <trackRevisions>false</trackRevisions>
    </reviewItem>
    <reviewItem>
      <errorID>ec7cefbb-8c38-4633-81ae-22cd4f4c8e56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5F5B7D00</paraID>
      <start>0</start>
      <end>2</end>
      <status>ignored</status>
      <modifiedWord/>
      <trackRevisions>false</trackRevisions>
    </reviewItem>
    <reviewItem>
      <errorID>d18a997a-a871-4a4f-93d9-2f4dec071745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76EA8360</paraID>
      <start>0</start>
      <end>2</end>
      <status>ignored</status>
      <modifiedWord/>
      <trackRevisions>false</trackRevisions>
    </reviewItem>
    <reviewItem>
      <errorID>85f6234a-cae9-4ffb-b359-82a218f9d6d5</errorID>
      <errorWord>:</errorWord>
      <group>L1_Format</group>
      <groupName>格式问题</groupName>
      <ability>L2_HalfPunc</ability>
      <abilityName>全半角检查</abilityName>
      <candidateList>
        <item>：</item>
      </candidateList>
      <explain>文本全半角错误。</explain>
      <paraID>2319231D</paraID>
      <start>5</start>
      <end>6</end>
      <status>modified</status>
      <modifiedWord>：</modifiedWord>
      <trackRevisions>false</trackRevisions>
    </reviewItem>
    <reviewItem>
      <errorID>e75ebe1c-8ec4-4be7-b85a-32889f2033c0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5CCDD9F7</paraID>
      <start>44</start>
      <end>46</end>
      <status>modified</status>
      <modifiedWord>”“</modifiedWord>
      <trackRevisions>false</trackRevisions>
    </reviewItem>
    <reviewItem>
      <errorID>8b7c30a7-b2a9-444d-b081-e8a297ff1738</errorID>
      <errorWord>作必要</errorWord>
      <group>L1_Word</group>
      <groupName>字词问题</groupName>
      <ability>L2_Typo</ability>
      <abilityName>字词错误</abilityName>
      <candidateList>
        <item>做必要</item>
      </candidateList>
      <explain/>
      <paraID>6FD4E115</paraID>
      <start>11</start>
      <end>14</end>
      <status>ignored</status>
      <modifiedWord/>
      <trackRevisions>false</trackRevisions>
    </reviewItem>
    <reviewItem>
      <errorID>d69dbac1-5f58-4793-bfee-53f9a25465da</errorID>
      <errorWord>拟</errorWord>
      <group>L1_Word</group>
      <groupName>字词问题</groupName>
      <ability>L2_Typo</ability>
      <abilityName>字词错误</abilityName>
      <candidateList>
        <item>拟提</item>
      </candidateList>
      <explain/>
      <paraID> 820DDCC</paraID>
      <start>11</start>
      <end>13</end>
      <status>modified</status>
      <modifiedWord>拟提</modifiedWord>
      <trackRevisions>false</trackRevisions>
    </reviewItem>
    <reviewItem>
      <errorID>4b2afa06-8d24-48f1-b5e1-20e6fa2588de</errorID>
      <errorWord>转帐</errorWord>
      <group>L1_Word</group>
      <groupName>字词问题</groupName>
      <ability>L2_Typo</ability>
      <abilityName>字词错误</abilityName>
      <candidateList>
        <item>转账</item>
      </candidateList>
      <explain>存在发音相同字词的误用。</explain>
      <paraID> 439AC34</paraID>
      <start>7</start>
      <end>9</end>
      <status>modified</status>
      <modifiedWord>转账</modifiedWord>
      <trackRevisions>false</trackRevisions>
    </reviewItem>
    <reviewItem>
      <errorID>314ec07a-d7dc-4639-9faf-3393e58e0a8a</errorID>
      <errorWord>由以</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439AC34</paraID>
      <start>45</start>
      <end>46</end>
      <status>modified</status>
      <modifiedWord>由</modifiedWord>
      <trackRevisions>false</trackRevisions>
    </reviewItem>
    <reviewItem>
      <errorID>214ea8f5-eaac-48a2-aa50-ad9cc2324d1d</errorID>
      <errorWord>私人帐户</errorWord>
      <group>L1_Word</group>
      <groupName>字词问题</groupName>
      <ability>L2_Alias</ability>
      <abilityName>也作/曾用词</abilityName>
      <candidateList>
        <item>私人账户</item>
      </candidateList>
      <explain>词汇[私人帐户]为不规范表述或旧称，其规范书面表述为[私人账户]。</explain>
      <paraID> 439AC34</paraID>
      <start>54</start>
      <end>58</end>
      <status>modified</status>
      <modifiedWord>私人账户</modifiedWord>
      <trackRevisions>false</trackRevisions>
    </reviewItem>
    <reviewItem>
      <errorID>5d431cd1-d042-44b5-8da7-5826824ac7e0</errorID>
      <errorWord>到帐为准</errorWord>
      <group>L1_Word</group>
      <groupName>字词问题</groupName>
      <ability>L2_Alias</ability>
      <abilityName>也作/曾用词</abilityName>
      <candidateList>
        <item>到账为准</item>
      </candidateList>
      <explain>词汇[到帐为准]为不规范表述或旧称，其规范书面表述为[到账为准]。</explain>
      <paraID>517EF60E</paraID>
      <start>58</start>
      <end>62</end>
      <status>modified</status>
      <modifiedWord>到账为准</modifiedWord>
      <trackRevisions>false</trackRevisions>
    </reviewItem>
    <reviewItem>
      <errorID>50fed954-a787-412b-bdd1-39f05b51bffc</errorID>
      <errorWord>银行转帐</errorWord>
      <group>L1_Word</group>
      <groupName>字词问题</groupName>
      <ability>L2_Alias</ability>
      <abilityName>也作/曾用词</abilityName>
      <candidateList>
        <item>银行转账</item>
      </candidateList>
      <explain>词汇[银行转帐]为不规范表述或旧称，其规范书面表述为[银行转账]。</explain>
      <paraID>517EF60E</paraID>
      <start>67</start>
      <end>71</end>
      <status>modified</status>
      <modifiedWord>银行转账</modifiedWord>
      <trackRevisions>false</trackRevisions>
    </reviewItem>
    <reviewItem>
      <errorID>2ec8cf94-0f2e-4ac4-9bd8-b5e21c974018</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50B2E1A3</paraID>
      <start>21</start>
      <end>25</end>
      <status>modified</status>
      <modifiedWord>其他情况</modifiedWord>
      <trackRevisions>false</trackRevisions>
    </reviewItem>
    <reviewItem>
      <errorID>da1d1622-797a-403d-b4b7-680faacbd8eb</errorID>
      <errorWord>：；</errorWord>
      <group>L1_Punc</group>
      <groupName>标点问题</groupName>
      <ability>L2_Punc</ability>
      <abilityName>标点符号检查</abilityName>
      <candidateList>
        <item>：</item>
      </candidateList>
      <explain/>
      <paraID>29AB31CB</paraID>
      <start>7</start>
      <end>9</end>
      <status>ignored</status>
      <modifiedWord/>
      <trackRevisions>false</trackRevisions>
    </reviewItem>
    <reviewItem>
      <errorID>8d95647c-7a8a-4b18-8d5b-adaccc338fa5</errorID>
      <errorWord>：；</errorWord>
      <group>L1_Punc</group>
      <groupName>标点问题</groupName>
      <ability>L2_Punc</ability>
      <abilityName>标点符号检查</abilityName>
      <candidateList>
        <item>：</item>
      </candidateList>
      <explain/>
      <paraID>50F2673C</paraID>
      <start>6</start>
      <end>8</end>
      <status>ignored</status>
      <modifiedWord/>
      <trackRevisions>false</trackRevisions>
    </reviewItem>
    <reviewItem>
      <errorID>3b7c59f6-729e-4aa9-b657-f59cb1e1ec09</errorID>
      <errorWord>：；</errorWord>
      <group>L1_Punc</group>
      <groupName>标点问题</groupName>
      <ability>L2_Punc</ability>
      <abilityName>标点符号检查</abilityName>
      <candidateList>
        <item>：</item>
      </candidateList>
      <explain/>
      <paraID>25E8B1BE</paraID>
      <start>6</start>
      <end>8</end>
      <status>ignored</status>
      <modifiedWord/>
      <trackRevisions>false</trackRevisions>
    </reviewItem>
    <reviewItem>
      <errorID>81d9edeb-5370-4ecd-b02f-9ffa82762bb5</errorID>
      <errorWord>响应响应</errorWord>
      <group>L1_Word</group>
      <groupName>字词问题</groupName>
      <ability>L2_Typo</ability>
      <abilityName>字词错误</abilityName>
      <candidateList>
        <item>响应</item>
      </candidateList>
      <explain>〈动〉回声相应，比喻用言语行动表示赞同、支持某种号召或倡议：～号召。</explain>
      <paraID>21B538B7</paraID>
      <start>152</start>
      <end>154</end>
      <status>modified</status>
      <modifiedWord>响应</modifiedWord>
      <trackRevisions>false</trackRevisions>
    </reviewItem>
    <reviewItem>
      <errorID>b7c9aa16-8032-4a92-b876-41e94bcd6060</errorID>
      <errorWord>不</errorWord>
      <group>L1_Word</group>
      <groupName>字词问题</groupName>
      <ability>L2_Typo</ability>
      <abilityName>字词错误</abilityName>
      <candidateList>
        <item>不符</item>
      </candidateList>
      <explain/>
      <paraID>677CD085</paraID>
      <start>39</start>
      <end>41</end>
      <status>modified</status>
      <modifiedWord>不符</modifiedWord>
      <trackRevisions>false</trackRevisions>
    </reviewItem>
    <reviewItem>
      <errorID>1014bbcd-502a-495d-89b3-3ead05c40ee7</errorID>
      <errorWord>作必要</errorWord>
      <group>L1_Word</group>
      <groupName>字词问题</groupName>
      <ability>L2_Typo</ability>
      <abilityName>字词错误</abilityName>
      <candidateList>
        <item>做必要</item>
      </candidateList>
      <explain/>
      <paraID>49BA3636</paraID>
      <start>56</start>
      <end>59</end>
      <status>ignored</status>
      <modifiedWord/>
      <trackRevisions>false</trackRevisions>
    </reviewItem>
    <reviewItem>
      <errorID>f25e9915-0c02-47d9-b0bc-720f2a20bc8d</errorID>
      <errorWord>的允许的情况</errorWord>
      <group>L1_Word</group>
      <groupName>字词问题</groupName>
      <ability>L2_Typo</ability>
      <abilityName>字词错误</abilityName>
      <candidateList>
        <item>允许的情况</item>
      </candidateList>
      <explain/>
      <paraID>3CDDFDE7</paraID>
      <start>73</start>
      <end>78</end>
      <status>modified</status>
      <modifiedWord>允许的情况</modifiedWord>
      <trackRevisions>false</trackRevisions>
    </reviewItem>
    <reviewItem>
      <errorID>0452a8bf-c55a-48e6-8a03-a27b0a524874</errorID>
      <errorWord>,</errorWord>
      <group>L1_Format</group>
      <groupName>格式问题</groupName>
      <ability>L2_HalfPunc</ability>
      <abilityName>全半角检查</abilityName>
      <candidateList>
        <item>，</item>
      </candidateList>
      <explain>文本全半角错误。</explain>
      <paraID>4A443485</paraID>
      <start>95</start>
      <end>96</end>
      <status>modified</status>
      <modifiedWord>，</modifiedWord>
      <trackRevisions>false</trackRevisions>
    </reviewItem>
    <reviewItem>
      <errorID>1b474601-c5db-49d7-8a4b-202bd62d39ad</errorID>
      <errorWord>-</errorWord>
      <group>L1_Format</group>
      <groupName>格式问题</groupName>
      <ability>L2_HalfPunc</ability>
      <abilityName>全半角检查</abilityName>
      <candidateList>
        <item>－</item>
      </candidateList>
      <explain>文本全半角错误。</explain>
      <paraID>2AB7799B</paraID>
      <start>25</start>
      <end>26</end>
      <status>ignored</status>
      <modifiedWord/>
      <trackRevisions>false</trackRevisions>
    </reviewItem>
    <reviewItem>
      <errorID>89db98ed-a561-4ee5-b2eb-a450030233e2</errorID>
      <errorWord>银行转帐</errorWord>
      <group>L1_Word</group>
      <groupName>字词问题</groupName>
      <ability>L2_Alias</ability>
      <abilityName>也作/曾用词</abilityName>
      <candidateList>
        <item>银行转账</item>
      </candidateList>
      <explain>词汇[银行转帐]为不规范表述或旧称，其规范书面表述为[银行转账]。</explain>
      <paraID>286F3E64</paraID>
      <start>20</start>
      <end>24</end>
      <status>modified</status>
      <modifiedWord>银行转账</modifiedWord>
      <trackRevisions>false</trackRevisions>
    </reviewItem>
    <reviewItem>
      <errorID>58b1acba-06b8-4907-b158-1777fc08561e</errorID>
      <errorWord>建筑物</errorWord>
      <group>L1_Word</group>
      <groupName>字词问题</groupName>
      <ability>L2_Typo</ability>
      <abilityName>字词错误</abilityName>
      <candidateList>
        <item>建筑</item>
      </candidateList>
      <explain/>
      <paraID>3DB9BA36</paraID>
      <start>36</start>
      <end>39</end>
      <status>ignored</status>
      <modifiedWord/>
      <trackRevisions>false</trackRevisions>
    </reviewItem>
    <reviewItem>
      <errorID>c3f29927-60a4-4774-9288-81eb7876d77e</errorID>
      <errorWord>：：</errorWord>
      <group>L1_Punc</group>
      <groupName>标点问题</groupName>
      <ability>L2_Punc</ability>
      <abilityName>标点符号检查</abilityName>
      <candidateList>
        <item>：</item>
      </candidateList>
      <explain/>
      <paraID>  650859</paraID>
      <start>20</start>
      <end>21</end>
      <status>modified</status>
      <modifiedWord>：</modifiedWord>
      <trackRevisions>false</trackRevisions>
    </reviewItem>
    <reviewItem>
      <errorID>0a0c0187-089f-40d2-a5f3-f136cbdc8328</errorID>
      <errorWord>[2002]1980号</errorWord>
      <group>L1_Knowledge</group>
      <groupName>知识性问题</groupName>
      <ability>L2_Knowledge</ability>
      <abilityName>其他知识</abilityName>
      <candidateList>
        <item>〔2002〕1980号</item>
      </candidateList>
      <explain>发文字号格式错误。</explain>
      <paraID>6F30451D</paraID>
      <start>45</start>
      <end>56</end>
      <status>modified</status>
      <modifiedWord>〔2002〕1980号</modifiedWord>
      <trackRevisions>false</trackRevisions>
    </reviewItem>
    <reviewItem>
      <errorID>4016aa0f-449c-47f1-95dc-26b6247d9d21</errorID>
      <errorWord>[2011]534号</errorWord>
      <group>L1_Knowledge</group>
      <groupName>知识性问题</groupName>
      <ability>L2_Knowledge</ability>
      <abilityName>其他知识</abilityName>
      <candidateList>
        <item>〔2011〕534号</item>
      </candidateList>
      <explain>发文字号格式错误。</explain>
      <paraID>6F30451D</paraID>
      <start>100</start>
      <end>110</end>
      <status>modified</status>
      <modifiedWord>〔2011〕534号</modifiedWord>
      <trackRevisions>false</trackRevisions>
    </reviewItem>
    <reviewItem>
      <errorID>591f22a0-416e-4445-a73f-2fdfb3920bf7</errorID>
      <errorWord>法律、法规</errorWord>
      <group>L1_Word</group>
      <groupName>字词问题</groupName>
      <ability>L2_Typo</ability>
      <abilityName>字词错误</abilityName>
      <candidateList>
        <item>法律法规</item>
      </candidateList>
      <explain/>
      <paraID>47EDA7A1</paraID>
      <start>8</start>
      <end>12</end>
      <status>modified</status>
      <modifiedWord>法律法规</modifiedWord>
      <trackRevisions>false</trackRevisions>
    </reviewItem>
    <reviewItem>
      <errorID>a9b703a6-6bbb-4be6-92ba-a05b6016e243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733CE0FD</paraID>
      <start>0</start>
      <end>2</end>
      <status>ignored</status>
      <modifiedWord/>
      <trackRevisions>false</trackRevisions>
    </reviewItem>
    <reviewItem>
      <errorID>d1f5e01b-23ce-42ae-bc7c-e545beb5f9e6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51BB514A</paraID>
      <start>0</start>
      <end>2</end>
      <status>ignored</status>
      <modifiedWord/>
      <trackRevisions>false</trackRevisions>
    </reviewItem>
    <reviewItem>
      <errorID>31a6ad44-6ba5-4e49-9fc2-6e7196630382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2479B084</paraID>
      <start>0</start>
      <end>2</end>
      <status>modified</status>
      <modifiedWord>5.</modifiedWord>
      <trackRevisions>false</trackRevisions>
    </reviewItem>
    <reviewItem>
      <errorID>bff7f6fb-0e2b-4b37-aac1-afa53952aea1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2EF18489</paraID>
      <start>0</start>
      <end>2</end>
      <status>modified</status>
      <modifiedWord>6.</modifiedWord>
      <trackRevisions>false</trackRevisions>
    </reviewItem>
    <reviewItem>
      <errorID>78aa054e-ae76-4a3f-8d4a-7c42ea9d39b2</errorID>
      <errorWord>服务态度的</errorWord>
      <group>L1_Word</group>
      <groupName>字词问题</groupName>
      <ability>L2_Typo</ability>
      <abilityName>字词错误</abilityName>
      <candidateList>
        <item>服务态度</item>
      </candidateList>
      <explain/>
      <paraID>2EF18489</paraID>
      <start>44</start>
      <end>48</end>
      <status>modified</status>
      <modifiedWord>服务态度</modifiedWord>
      <trackRevisions>false</trackRevisions>
    </reviewItem>
    <reviewItem>
      <errorID>83690dc9-24d0-46b7-a662-d4acdca93be3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62D70162</paraID>
      <start>0</start>
      <end>2</end>
      <status>modified</status>
      <modifiedWord>7.</modifiedWord>
      <trackRevisions>false</trackRevisions>
    </reviewItem>
    <reviewItem>
      <errorID>2a1a3889-75e3-426b-a402-70df63792fbc</errorID>
      <errorWord>法律、法规</errorWord>
      <group>L1_Word</group>
      <groupName>字词问题</groupName>
      <ability>L2_Typo</ability>
      <abilityName>字词错误</abilityName>
      <candidateList>
        <item>法律法规</item>
      </candidateList>
      <explain/>
      <paraID>236E3D5C</paraID>
      <start>95</start>
      <end>100</end>
      <status>ignored</status>
      <modifiedWord/>
      <trackRevisions>false</trackRevisions>
    </reviewItem>
    <reviewItem>
      <errorID>a5704b27-c471-412e-8e94-f2b017681715</errorID>
      <errorWord>(</errorWord>
      <group>L1_Format</group>
      <groupName>格式问题</groupName>
      <ability>L2_HalfPunc</ability>
      <abilityName>全半角检查</abilityName>
      <candidateList>
        <item>（</item>
      </candidateList>
      <explain>文本全半角错误。</explain>
      <paraID>2707063B</paraID>
      <start>15</start>
      <end>16</end>
      <status>modified</status>
      <modifiedWord>（</modifiedWord>
      <trackRevisions>false</trackRevisions>
    </reviewItem>
    <reviewItem>
      <errorID>2a799609-926e-40e3-8384-1a7efdbde482</errorID>
      <errorWord>)</errorWord>
      <group>L1_Format</group>
      <groupName>格式问题</groupName>
      <ability>L2_HalfPunc</ability>
      <abilityName>全半角检查</abilityName>
      <candidateList>
        <item>）</item>
      </candidateList>
      <explain>文本全半角错误。</explain>
      <paraID>2707063B</paraID>
      <start>39</start>
      <end>40</end>
      <status>modified</status>
      <modifiedWord>）</modifiedWord>
      <trackRevisions>false</trackRevisions>
    </reviewItem>
    <reviewItem>
      <errorID>625bbc83-995d-4fbc-9488-70d727027da7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3D484D21</paraID>
      <start>24</start>
      <end>25</end>
      <status>ignored</status>
      <modifiedWord/>
      <trackRevisions>false</trackRevisions>
    </reviewItem>
    <reviewItem>
      <errorID>15caa288-b1e3-4c43-a580-0375ca98a652</errorID>
      <errorWord>[2025〕</errorWord>
      <group>L1_Punc</group>
      <groupName>标点问题</groupName>
      <ability>L2_Punc</ability>
      <abilityName>标点符号检查</abilityName>
      <candidateList>
        <item>〔2025〕</item>
      </candidateList>
      <explain/>
      <paraID>3D484D21</paraID>
      <start>138</start>
      <end>144</end>
      <status>modified</status>
      <modifiedWord>〔2025〕</modifiedWord>
      <trackRevisions>false</trackRevisions>
    </reviewItem>
    <reviewItem>
      <errorID>ecc2e730-9f82-4fbb-9743-b58ca975a24e</errorID>
      <errorWord>法律、法规</errorWord>
      <group>L1_Word</group>
      <groupName>字词问题</groupName>
      <ability>L2_Typo</ability>
      <abilityName>字词错误</abilityName>
      <candidateList>
        <item>法律法规</item>
      </candidateList>
      <explain/>
      <paraID>1298F03C</paraID>
      <start>3</start>
      <end>8</end>
      <status>ignored</status>
      <modifiedWord/>
      <trackRevisions>false</trackRevisions>
    </reviewItem>
    <reviewItem>
      <errorID>a813cd54-8801-4da6-b44a-83f150714328</errorID>
      <errorWord>撤消其</errorWord>
      <group>L1_Word</group>
      <groupName>字词问题</groupName>
      <ability>L2_Alias</ability>
      <abilityName>也作/曾用词</abilityName>
      <candidateList>
        <item>撤销其</item>
      </candidateList>
      <explain>词汇[撤消其]为不规范表述或旧称，其规范书面表述为[撤销其]。</explain>
      <paraID> 882E10D</paraID>
      <start>75</start>
      <end>78</end>
      <status>modified</status>
      <modifiedWord>撤销其</modifiedWord>
      <trackRevisions>false</trackRevisions>
    </reviewItem>
    <reviewItem>
      <errorID>b4039369-a40e-4d43-9787-66259008af83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5176D01E</paraID>
      <start>0</start>
      <end>2</end>
      <status>ignored</status>
      <modifiedWord/>
      <trackRevisions>false</trackRevisions>
    </reviewItem>
    <reviewItem>
      <errorID>1fda212d-fb1f-4202-87c9-3a661d92ccf5</errorID>
      <errorWord>:</errorWord>
      <group>L1_Format</group>
      <groupName>格式问题</groupName>
      <ability>L2_HalfPunc</ability>
      <abilityName>全半角检查</abilityName>
      <candidateList>
        <item>：</item>
      </candidateList>
      <explain>文本全半角错误。</explain>
      <paraID>5176D01E</paraID>
      <start>16</start>
      <end>17</end>
      <status>modified</status>
      <modifiedWord>：</modifiedWord>
      <trackRevisions>false</trackRevisions>
    </reviewItem>
    <reviewItem>
      <errorID>d4f6373f-d0d2-498f-9e68-aecc30939d3d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503A1A59</paraID>
      <start>0</start>
      <end>2</end>
      <status>modified</status>
      <modifiedWord>2.</modifiedWord>
      <trackRevisions>false</trackRevisions>
    </reviewItem>
    <reviewItem>
      <errorID>ea8c60bf-7341-4c4e-9262-818866fae234</errorID>
      <errorWord>日</errorWord>
      <group>L1_Word</group>
      <groupName>字词问题</groupName>
      <ability>L2_Typo</ability>
      <abilityName>字词错误</abilityName>
      <candidateList>
        <item>日起</item>
      </candidateList>
      <explain/>
      <paraID>372DABC5</paraID>
      <start>51</start>
      <end>53</end>
      <status>modified</status>
      <modifiedWord>日起</modifiedWord>
      <trackRevisions>false</trackRevisions>
    </reviewItem>
    <reviewItem>
      <errorID>ac05bff2-d4cb-4de1-aae1-ec32a4daea4e</errorID>
      <errorWord>详实</errorWord>
      <group>L1_Word</group>
      <groupName>字词问题</groupName>
      <ability>L2_Typo</ability>
      <abilityName>字词错误</abilityName>
      <candidateList>
        <item>翔实</item>
      </candidateList>
      <explain>存在发音相同字词的误用。</explain>
      <paraID>6ABD33E6</paraID>
      <start>94</start>
      <end>96</end>
      <status>ignored</status>
      <modifiedWord/>
      <trackRevisions>false</trackRevisions>
    </reviewItem>
    <reviewItem>
      <errorID>9ae0d406-bbe9-4548-801e-6e0d73c3795c</errorID>
      <errorWord>(</errorWord>
      <group>L1_Format</group>
      <groupName>格式问题</groupName>
      <ability>L2_HalfPunc</ability>
      <abilityName>全半角检查</abilityName>
      <candidateList>
        <item>（</item>
      </candidateList>
      <explain>文本全半角错误。</explain>
      <paraID>24A01ED7</paraID>
      <start>77</start>
      <end>78</end>
      <status>modified</status>
      <modifiedWord>（</modifiedWord>
      <trackRevisions>false</trackRevisions>
    </reviewItem>
    <reviewItem>
      <errorID>881f4695-feda-463a-8d64-a56e98ca6708</errorID>
      <errorWord>)</errorWord>
      <group>L1_Format</group>
      <groupName>格式问题</groupName>
      <ability>L2_HalfPunc</ability>
      <abilityName>全半角检查</abilityName>
      <candidateList>
        <item>）</item>
      </candidateList>
      <explain>文本全半角错误。</explain>
      <paraID>24A01ED7</paraID>
      <start>88</start>
      <end>89</end>
      <status>modified</status>
      <modifiedWord>）</modifiedWord>
      <trackRevisions>false</trackRevisions>
    </reviewItem>
    <reviewItem>
      <errorID>3f675275-febd-4b85-85bc-efcef0e3afa2</errorID>
      <errorWord>）</errorWord>
      <group>L1_Word</group>
      <groupName>字词问题</groupName>
      <ability>L2_Typo</ability>
      <abilityName>字词错误</abilityName>
      <candidateList>
        <item>）以</item>
      </candidateList>
      <explain/>
      <paraID>1A34FAD0</paraID>
      <start>2</start>
      <end>4</end>
      <status>modified</status>
      <modifiedWord>）以</modifiedWord>
      <trackRevisions>false</trackRevisions>
    </reviewItem>
    <reviewItem>
      <errorID>acbae2de-a826-41e0-96de-dbe96421efbe</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6E77C362</paraID>
      <start>60</start>
      <end>61</end>
      <status>modified</status>
      <modifiedWord>或</modifiedWord>
      <trackRevisions>false</trackRevisions>
    </reviewItem>
    <reviewItem>
      <errorID>92d1fa0c-2b63-48cf-812d-af675740b20b</errorID>
      <errorWord>携</errorWord>
      <group>L1_Word</group>
      <groupName>字词问题</groupName>
      <ability>L2_Typo</ability>
      <abilityName>字词错误</abilityName>
      <candidateList>
        <item>携带</item>
      </candidateList>
      <explain/>
      <paraID>6E77C362</paraID>
      <start>67</start>
      <end>69</end>
      <status>modified</status>
      <modifiedWord>携带</modifiedWord>
      <trackRevisions>false</trackRevisions>
    </reviewItem>
    <reviewItem>
      <errorID>1272169a-a21f-4c4d-900c-740c238c6ba1</errorID>
      <errorWord>果</errorWord>
      <group>L1_Word</group>
      <groupName>字词问题</groupName>
      <ability>L2_Typo</ability>
      <abilityName>字词错误</abilityName>
      <candidateList>
        <item>果由</item>
      </candidateList>
      <explain/>
      <paraID>6E77C362</paraID>
      <start>87</start>
      <end>89</end>
      <status>modified</status>
      <modifiedWord>果由</modifiedWord>
      <trackRevisions>false</trackRevisions>
    </reviewItem>
    <reviewItem>
      <errorID>96bdee2e-4f92-4114-b753-56dfd02e369d</errorID>
      <errorWord>）</errorWord>
      <group>L1_Word</group>
      <groupName>字词问题</groupName>
      <ability>L2_Typo</ability>
      <abilityName>字词错误</abilityName>
      <candidateList>
        <item>）作</item>
      </candidateList>
      <explain/>
      <paraID>1A49734A</paraID>
      <start>39</start>
      <end>41</end>
      <status>modified</status>
      <modifiedWord>）作</modifiedWord>
      <trackRevisions>false</trackRevisions>
    </reviewItem>
    <reviewItem>
      <errorID>0a8d0041-8d91-412a-8a64-9355db931529</errorID>
      <errorWord>，</errorWord>
      <group>L1_Word</group>
      <groupName>字词问题</groupName>
      <ability>L2_Typo</ability>
      <abilityName>字词错误</abilityName>
      <candidateList>
        <item>，确</item>
      </candidateList>
      <explain/>
      <paraID>1A49734A</paraID>
      <start>47</start>
      <end>49</end>
      <status>modified</status>
      <modifiedWord>，确</modifiedWord>
      <trackRevisions>false</trackRevisions>
    </reviewItem>
    <reviewItem>
      <errorID>f44fefb5-e8bf-48d9-bbbd-5d9fb539c6b1</errorID>
      <errorWord>(</errorWord>
      <group>L1_Format</group>
      <groupName>格式问题</groupName>
      <ability>L2_HalfPunc</ability>
      <abilityName>全半角检查</abilityName>
      <candidateList>
        <item>（</item>
      </candidateList>
      <explain>文本全半角错误。</explain>
      <paraID>1A49734A</paraID>
      <start>73</start>
      <end>74</end>
      <status>modified</status>
      <modifiedWord>（</modifiedWord>
      <trackRevisions>false</trackRevisions>
    </reviewItem>
    <reviewItem>
      <errorID>92b24706-5a3d-4a63-8df8-c545f7cfa69d</errorID>
      <errorWord>)</errorWord>
      <group>L1_Format</group>
      <groupName>格式问题</groupName>
      <ability>L2_HalfPunc</ability>
      <abilityName>全半角检查</abilityName>
      <candidateList>
        <item>）</item>
      </candidateList>
      <explain>文本全半角错误。</explain>
      <paraID>1A49734A</paraID>
      <start>86</start>
      <end>87</end>
      <status>modified</status>
      <modifiedWord>）</modifiedWord>
      <trackRevisions>false</trackRevisions>
    </reviewItem>
    <reviewItem>
      <errorID>668ab17c-8bcc-43d9-b05a-bae83b378286</errorID>
      <errorWord>建筑物</errorWord>
      <group>L1_Word</group>
      <groupName>字词问题</groupName>
      <ability>L2_Typo</ability>
      <abilityName>字词错误</abilityName>
      <candidateList>
        <item>建筑</item>
      </candidateList>
      <explain/>
      <paraID>72362B43</paraID>
      <start>43</start>
      <end>46</end>
      <status>ignored</status>
      <modifiedWord/>
      <trackRevisions>false</trackRevisions>
    </reviewItem>
    <reviewItem>
      <errorID>055389e6-dc6a-4233-b516-079d9a5e1aa8</errorID>
      <errorWord>)</errorWord>
      <group>L1_Format</group>
      <groupName>格式问题</groupName>
      <ability>L2_HalfPunc</ability>
      <abilityName>全半角检查</abilityName>
      <candidateList>
        <item>）</item>
      </candidateList>
      <explain>文本全半角错误。</explain>
      <paraID>54F8D585</paraID>
      <start>36</start>
      <end>37</end>
      <status>modified</status>
      <modifiedWord>）</modifiedWord>
      <trackRevisions>false</trackRevisions>
    </reviewItem>
    <reviewItem>
      <errorID>fca0978c-db1b-4b78-9e0a-286d3e5eb3db</errorID>
      <errorWord>拟定</errorWord>
      <group>L1_Word</group>
      <groupName>字词问题</groupName>
      <ability>L2_Typo</ability>
      <abilityName>字词错误</abilityName>
      <candidateList>
        <item>拟订</item>
      </candidateList>
      <explain>〈动〉草拟：～计划｜～方案。</explain>
      <paraID>43472CE9</paraID>
      <start>14</start>
      <end>16</end>
      <status>ignored</status>
      <modifiedWord/>
      <trackRevisions>false</trackRevisions>
    </reviewItem>
    <reviewItem>
      <errorID>f80eeb10-85c8-46ae-a730-6bd6d863d40a</errorID>
      <errorWord>[2002]1980号</errorWord>
      <group>L1_Knowledge</group>
      <groupName>知识性问题</groupName>
      <ability>L2_Knowledge</ability>
      <abilityName>其他知识</abilityName>
      <candidateList>
        <item>〔2002〕1980号</item>
      </candidateList>
      <explain>发文字号格式错误。</explain>
      <paraID>23B8719F</paraID>
      <start>38</start>
      <end>49</end>
      <status>modified</status>
      <modifiedWord>〔2002〕1980号</modifiedWord>
      <trackRevisions>false</trackRevisions>
    </reviewItem>
    <reviewItem>
      <errorID>823c569e-e9eb-45b4-ac25-dd1ebc51d72f</errorID>
      <errorWord>[2011]534号</errorWord>
      <group>L1_Knowledge</group>
      <groupName>知识性问题</groupName>
      <ability>L2_Knowledge</ability>
      <abilityName>其他知识</abilityName>
      <candidateList>
        <item>〔2011〕534号</item>
      </candidateList>
      <explain>发文字号格式错误。</explain>
      <paraID>23B8719F</paraID>
      <start>93</start>
      <end>103</end>
      <status>modified</status>
      <modifiedWord>〔2011〕534号</modifiedWord>
      <trackRevisions>false</trackRevisions>
    </reviewItem>
    <reviewItem>
      <errorID>3aaea361-029a-45c9-84f3-944280c516d0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5E38A350</paraID>
      <start>0</start>
      <end>2</end>
      <status>ignored</status>
      <modifiedWord/>
      <trackRevisions>false</trackRevisions>
    </reviewItem>
    <reviewItem>
      <errorID>0a57ef31-95d3-48e2-9092-adfadef7c029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56F6E873</paraID>
      <start>0</start>
      <end>2</end>
      <status>ignored</status>
      <modifiedWord/>
      <trackRevisions>false</trackRevisions>
    </reviewItem>
    <reviewItem>
      <errorID>ba33936c-a02e-4526-9823-ee8408706db8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D40A5EB</paraID>
      <start>0</start>
      <end>2</end>
      <status>ignored</status>
      <modifiedWord/>
      <trackRevisions>false</trackRevisions>
    </reviewItem>
    <reviewItem>
      <errorID>51bb78e2-394b-4f2f-8d27-fe58653f0e7c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46685328</paraID>
      <start>0</start>
      <end>2</end>
      <status>ignored</status>
      <modifiedWord/>
      <trackRevisions>false</trackRevisions>
    </reviewItem>
    <reviewItem>
      <errorID>3e934e0d-a257-4e29-91a8-bdcc308c88e5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3FFBEC75</paraID>
      <start>0</start>
      <end>2</end>
      <status>ignored</status>
      <modifiedWord/>
      <trackRevisions>false</trackRevisions>
    </reviewItem>
    <reviewItem>
      <errorID>aedcd87e-edc5-4ab4-a499-6b1f3883553a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6560C2A8</paraID>
      <start>0</start>
      <end>2</end>
      <status>ignored</status>
      <modifiedWord/>
      <trackRevisions>false</trackRevisions>
    </reviewItem>
    <reviewItem>
      <errorID>80bc157d-a0fa-4e2a-a85b-f4700df66c06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6668560A</paraID>
      <start>0</start>
      <end>2</end>
      <status>ignored</status>
      <modifiedWord/>
      <trackRevisions>false</trackRevisions>
    </reviewItem>
    <reviewItem>
      <errorID>b77ccb31-067d-476a-85f5-8c6e25c2d2d7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29897A8E</paraID>
      <start>0</start>
      <end>2</end>
      <status>ignored</status>
      <modifiedWord/>
      <trackRevisions>false</trackRevisions>
    </reviewItem>
    <reviewItem>
      <errorID>f8ed2e0e-b698-4ac3-8581-5e7f77d91fe0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30BAEEF5</paraID>
      <start>0</start>
      <end>2</end>
      <status>ignored</status>
      <modifiedWord/>
      <trackRevisions>false</trackRevisions>
    </reviewItem>
    <reviewItem>
      <errorID>489fca25-cac5-4ba6-b934-019f4fa6bcaa</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64670A48</paraID>
      <start>0</start>
      <end>1</end>
      <status>modified</status>
      <modifiedWord>账</modifiedWord>
      <trackRevisions>false</trackRevisions>
    </reviewItem>
    <reviewItem>
      <errorID>4f887b7f-fd69-439d-b949-aa8a371a5b02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62A1A55C</paraID>
      <start>0</start>
      <end>1</end>
      <status>modified</status>
      <modifiedWord>账</modifiedWord>
      <trackRevisions>false</trackRevisions>
    </reviewItem>
    <reviewItem>
      <errorID>17c81541-f319-4e6c-aabd-05aa524f7c28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6280EB1E</paraID>
      <start>0</start>
      <end>2</end>
      <status>ignored</status>
      <modifiedWord/>
      <trackRevisions>false</trackRevisions>
    </reviewItem>
    <reviewItem>
      <errorID>2bdd37f5-a084-4d43-a784-e5d38d170dda</errorID>
      <errorWord>通用</errorWord>
      <group>L1_Word</group>
      <groupName>字词问题</groupName>
      <ability>L2_Typo</ability>
      <abilityName>字词错误</abilityName>
      <candidateList>
        <item>适用</item>
      </candidateList>
      <explain>〈形〉适合使用：这套耕作方法，在我们这个地区也完全～。</explain>
      <paraID>784A4E94</paraID>
      <start>33</start>
      <end>35</end>
      <status>ignored</status>
      <modifiedWord/>
      <trackRevisions>false</trackRevisions>
    </reviewItem>
    <reviewItem>
      <errorID>7e4256d8-cbab-4a63-ad9b-5f5122bc9b2c</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4954AC2A</paraID>
      <start>62</start>
      <end>65</end>
      <status>ignored</status>
      <modifiedWord/>
      <trackRevisions>false</trackRevisions>
    </reviewItem>
    <reviewItem>
      <errorID>9caa906d-8aac-4e65-aec3-13cace3ff652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381634C3</paraID>
      <start>3</start>
      <end>5</end>
      <status>ignored</status>
      <modifiedWord/>
      <trackRevisions>false</trackRevisions>
    </reviewItem>
    <reviewItem>
      <errorID>83190148-ae03-4109-9578-4b82548784e1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2550592C</paraID>
      <start>2</start>
      <end>4</end>
      <status>ignored</status>
      <modifiedWord/>
      <trackRevisions>false</trackRevisions>
    </reviewItem>
    <reviewItem>
      <errorID>5a9a4948-9277-4acd-b16f-3c27acec78a8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621F2AE8</paraID>
      <start>3</start>
      <end>5</end>
      <status>ignored</status>
      <modifiedWord/>
      <trackRevisions>false</trackRevisions>
    </reviewItem>
    <reviewItem>
      <errorID>0d660b64-7f1c-451f-8e4c-c4515428bc91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70C1ADDA</paraID>
      <start>0</start>
      <end>2</end>
      <status>ignored</status>
      <modifiedWord/>
      <trackRevisions>false</trackRevisions>
    </reviewItem>
    <reviewItem>
      <errorID>67ebc61e-5bd6-4adb-bc4b-22e08007661a</errorID>
      <errorWord>其它</errorWord>
      <group>L1_Word</group>
      <groupName>字词问题</groupName>
      <ability>L2_Alias</ability>
      <abilityName>也作/曾用词</abilityName>
      <candidateList>
        <item>其他</item>
      </candidateList>
      <explain>词汇[其它]为不规范表述或旧称，其规范书面表述为[其他]。</explain>
      <paraID>4750E874</paraID>
      <start>27</start>
      <end>29</end>
      <status>ignored</status>
      <modifiedWord/>
      <trackRevisions>false</trackRevisions>
    </reviewItem>
    <reviewItem>
      <errorID>d82e4469-943d-4d95-a1ec-7894d6a0be25</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4750E874</paraID>
      <start>72</start>
      <end>76</end>
      <status>ignored</status>
      <modifiedWord/>
      <trackRevisions>false</trackRevisions>
    </reviewItem>
    <reviewItem>
      <errorID>837864bf-ac30-4a86-bf6e-b3c7e6a16a5d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146A0420</paraID>
      <start>4</start>
      <end>6</end>
      <status>ignored</status>
      <modifiedWord/>
      <trackRevisions>false</trackRevisions>
    </reviewItem>
    <reviewItem>
      <errorID>ee9b3dbc-7dcb-45bb-b228-11f3f459d073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EEE1C45</paraID>
      <start>0</start>
      <end>2</end>
      <status>ignored</status>
      <modifiedWord/>
      <trackRevisions>false</trackRevisions>
    </reviewItem>
    <reviewItem>
      <errorID>58b65d10-d145-42e8-93f7-2cbd440cf5ab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7834FC3B</paraID>
      <start>0</start>
      <end>2</end>
      <status>ignored</status>
      <modifiedWord/>
      <trackRevisions>false</trackRevisions>
    </reviewItem>
    <reviewItem>
      <errorID>7da2e7f2-a0c9-408a-8341-93874cba7108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21D14F8A</paraID>
      <start>2</start>
      <end>4</end>
      <status>ignored</status>
      <modifiedWord/>
      <trackRevisions>false</trackRevisions>
    </reviewItem>
    <reviewItem>
      <errorID>81a9105c-ceb8-427b-b890-476ee16c6d43</errorID>
      <errorWord>受权</errorWord>
      <group>L1_Word</group>
      <groupName>字词问题</groupName>
      <ability>L2_Typo</ability>
      <abilityName>字词错误</abilityName>
      <candidateList>
        <item>授权</item>
      </candidateList>
      <explain>〈动〉把权力委托给他人或机构代为执行。</explain>
      <paraID>2AA1F4BC</paraID>
      <start>57</start>
      <end>59</end>
      <status>modified</status>
      <modifiedWord>授权</modifiedWord>
      <trackRevisions>false</trackRevisions>
    </reviewItem>
    <reviewItem>
      <errorID>5e23c6d7-5768-436f-a45c-e65b1bdeb98c</errorID>
      <errorWord>受权</errorWord>
      <group>L1_Word</group>
      <groupName>字词问题</groupName>
      <ability>L2_Typo</ability>
      <abilityName>字词错误</abilityName>
      <candidateList>
        <item>授权</item>
      </candidateList>
      <explain>〈动〉把权力委托给他人或机构代为执行。</explain>
      <paraID>569E3B1A</paraID>
      <start>59</start>
      <end>61</end>
      <status>modified</status>
      <modifiedWord>授权</modifiedWord>
      <trackRevisions>false</trackRevisions>
    </reviewItem>
    <reviewItem>
      <errorID>35035d5e-4927-406b-9d98-c5fe55379ee5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36888DCF</paraID>
      <start>2</start>
      <end>5</end>
      <status>ignored</status>
      <modifiedWord/>
      <trackRevisions>false</trackRevisions>
    </reviewItem>
    <reviewItem>
      <errorID>13298f0d-d1d9-48e9-bc81-f50232812ca2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4230094B</paraID>
      <start>0</start>
      <end>3</end>
      <status>ignored</status>
      <modifiedWord/>
      <trackRevisions>false</trackRevisions>
    </reviewItem>
    <reviewItem>
      <errorID>b6490e8e-573b-4207-80c9-b80fc16b40e5</errorID>
      <errorWord>作</errorWord>
      <group>L1_Word</group>
      <groupName>字词问题</groupName>
      <ability>L2_Typo</ability>
      <abilityName>字词错误</abilityName>
      <candidateList>
        <item>做</item>
      </candidateList>
      <explain>存在发音相同字词的误用。</explain>
      <paraID>73D6E731</paraID>
      <start>36</start>
      <end>37</end>
      <status>unmodified</status>
      <modifiedWord/>
      <trackRevisions>false</trackRevisions>
    </reviewItem>
    <reviewItem>
      <errorID>3a10e1e2-e3b1-4b63-9aed-a48fedc4adc2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EB84B10</paraID>
      <start>0</start>
      <end>3</end>
      <status>ignored</status>
      <modifiedWord/>
      <trackRevisions>false</trackRevisions>
    </reviewItem>
    <reviewItem>
      <errorID>9016d583-20fa-43ad-8693-6143c708e5d9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5E6B22DE</paraID>
      <start>0</start>
      <end>3</end>
      <status>ignored</status>
      <modifiedWord/>
      <trackRevisions>false</trackRevisions>
    </reviewItem>
    <reviewItem>
      <errorID>c984b131-1b29-4859-adc0-a5d5203a640e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4C6DA2B8</paraID>
      <start>0</start>
      <end>3</end>
      <status>ignored</status>
      <modifiedWord/>
      <trackRevisions>false</trackRevisions>
    </reviewItem>
    <reviewItem>
      <errorID>791361cb-5259-4e56-9bec-e806d04664ce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6FD201A5</paraID>
      <start>0</start>
      <end>3</end>
      <status>ignored</status>
      <modifiedWord/>
      <trackRevisions>false</trackRevisions>
    </reviewItem>
    <reviewItem>
      <errorID>a8e55d7f-8b76-4a7b-8f7f-6f22bb3fbf82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7A589EDF</paraID>
      <start>0</start>
      <end>3</end>
      <status>ignored</status>
      <modifiedWord/>
      <trackRevisions>false</trackRevisions>
    </reviewItem>
    <reviewItem>
      <errorID>91645dc0-1add-47c0-901d-74c865a9a600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3C85D9A6</paraID>
      <start>0</start>
      <end>2</end>
      <status>ignored</status>
      <modifiedWord/>
      <trackRevisions>false</trackRevisions>
    </reviewItem>
    <reviewItem>
      <errorID>d6bacfb4-4833-4f03-9ae0-46ef27a2d971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45D07DC8</paraID>
      <start>0</start>
      <end>2</end>
      <status>ignored</status>
      <modifiedWord/>
      <trackRevisions>false</trackRevisions>
    </reviewItem>
    <reviewItem>
      <errorID>5ba90dcf-712f-4558-a3da-7f29ee319f6c</errorID>
      <errorWord>法律、法规</errorWord>
      <group>L1_Word</group>
      <groupName>字词问题</groupName>
      <ability>L2_Typo</ability>
      <abilityName>字词错误</abilityName>
      <candidateList>
        <item>法律法规</item>
      </candidateList>
      <explain/>
      <paraID>41DDDF32</paraID>
      <start>52</start>
      <end>57</end>
      <status>unmodified</status>
      <modifiedWord/>
      <trackRevisions>false</trackRevisions>
    </reviewItem>
    <reviewItem>
      <errorID>03ad38b2-6165-4ec4-a99f-cdd225082c29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91CD083</paraID>
      <start>0</start>
      <end>2</end>
      <status>ignored</status>
      <modifiedWord/>
      <trackRevisions>false</trackRevisions>
    </reviewItem>
    <reviewItem>
      <errorID>30cb5348-3be0-42f4-8ec1-f883564511e8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13D9EBF</paraID>
      <start>0</start>
      <end>2</end>
      <status>ignored</status>
      <modifiedWord/>
      <trackRevisions>false</trackRevisions>
    </reviewItem>
    <reviewItem>
      <errorID>4144c805-ec5b-4fe9-815f-66c6453d98c2</errorID>
      <errorWord>,</errorWord>
      <group>L1_Format</group>
      <groupName>格式问题</groupName>
      <ability>L2_HalfPunc</ability>
      <abilityName>全半角检查</abilityName>
      <candidateList>
        <item>，</item>
      </candidateList>
      <explain>文本全半角错误。</explain>
      <paraID>445F5062</paraID>
      <start>16</start>
      <end>17</end>
      <status>ignored</status>
      <modifiedWord/>
      <trackRevisions>false</trackRevisions>
    </reviewItem>
    <reviewItem>
      <errorID>847a0a2e-6c8c-4d10-8c68-ba314e5d23ae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A0FD05D</paraID>
      <start>0</start>
      <end>2</end>
      <status>ignored</status>
      <modifiedWord/>
      <trackRevisions>false</trackRevisions>
    </reviewItem>
    <reviewItem>
      <errorID>59140cba-0e3c-45f9-b38a-6e205d0e9e47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51A15766</paraID>
      <start>0</start>
      <end>2</end>
      <status>ignored</status>
      <modifiedWord/>
      <trackRevisions>false</trackRevisions>
    </reviewItem>
    <reviewItem>
      <errorID>0c8f7aaa-d378-421d-bd96-1360e126c589</errorID>
      <errorWord>法律、法规</errorWord>
      <group>L1_Word</group>
      <groupName>字词问题</groupName>
      <ability>L2_Typo</ability>
      <abilityName>字词错误</abilityName>
      <candidateList>
        <item>法律法规</item>
      </candidateList>
      <explain/>
      <paraID>1CB70752</paraID>
      <start>20</start>
      <end>25</end>
      <status>ignored</status>
      <modifiedWord/>
      <trackRevisions>false</trackRevisions>
    </reviewItem>
    <reviewItem>
      <errorID>d0a873e6-4191-46b3-a288-5684506f7f6a</errorID>
      <errorWord>其它</errorWord>
      <group>L1_Word</group>
      <groupName>字词问题</groupName>
      <ability>L2_Alias</ability>
      <abilityName>也作/曾用词</abilityName>
      <candidateList>
        <item>其他</item>
      </candidateList>
      <explain>词汇[其它]为不规范表述或旧称，其规范书面表述为[其他]。</explain>
      <paraID>1CB70752</paraID>
      <start>100</start>
      <end>102</end>
      <status>ignored</status>
      <modifiedWord/>
      <trackRevisions>false</trackRevisions>
    </reviewItem>
    <reviewItem>
      <errorID>bd00f744-e0b7-4032-ac32-90a08c5a09fc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C00DBF6</paraID>
      <start>0</start>
      <end>2</end>
      <status>ignored</status>
      <modifiedWord/>
      <trackRevisions>false</trackRevisions>
    </reviewItem>
    <reviewItem>
      <errorID>1e4266a5-eaae-44b1-9f7d-97c63b029a39</errorID>
      <errorWord>[2002]1980号</errorWord>
      <group>L1_Knowledge</group>
      <groupName>知识性问题</groupName>
      <ability>L2_Knowledge</ability>
      <abilityName>其他知识</abilityName>
      <candidateList>
        <item>〔2002〕1980号</item>
      </candidateList>
      <explain>发文字号格式错误。</explain>
      <paraID>3DC1125F</paraID>
      <start>52</start>
      <end>63</end>
      <status>ignored</status>
      <modifiedWord/>
      <trackRevisions>false</trackRevisions>
    </reviewItem>
    <reviewItem>
      <errorID>9e2cf2cb-62b4-42be-a5d5-724de9af63bb</errorID>
      <errorWord>[2011]534号</errorWord>
      <group>L1_Knowledge</group>
      <groupName>知识性问题</groupName>
      <ability>L2_Knowledge</ability>
      <abilityName>其他知识</abilityName>
      <candidateList>
        <item>〔2011〕534号</item>
      </candidateList>
      <explain>发文字号格式错误。</explain>
      <paraID>3DC1125F</paraID>
      <start>107</start>
      <end>117</end>
      <status>ignored</status>
      <modifiedWord/>
      <trackRevisions>false</trackRevisions>
    </reviewItem>
    <reviewItem>
      <errorID>e10dc2d0-8660-4d03-8ac7-e7b27bf5ce90</errorID>
      <errorWord>(</errorWord>
      <group>L1_Format</group>
      <groupName>格式问题</groupName>
      <ability>L2_HalfPunc</ability>
      <abilityName>全半角检查</abilityName>
      <candidateList>
        <item>（</item>
      </candidateList>
      <explain>文本全半角错误。</explain>
      <paraID>17299C2E</paraID>
      <start>10</start>
      <end>11</end>
      <status>ignored</status>
      <modifiedWord/>
      <trackRevisions>false</trackRevisions>
    </reviewItem>
    <reviewItem>
      <errorID>c0278663-fc5e-4532-a0fb-f3c6b1f8b251</errorID>
      <errorWord>)</errorWord>
      <group>L1_Format</group>
      <groupName>格式问题</groupName>
      <ability>L2_HalfPunc</ability>
      <abilityName>全半角检查</abilityName>
      <candidateList>
        <item>）</item>
      </candidateList>
      <explain>文本全半角错误。</explain>
      <paraID>17299C2E</paraID>
      <start>13</start>
      <end>14</end>
      <status>ignored</status>
      <modifiedWord/>
      <trackRevisions>false</trackRevisions>
    </reviewItem>
    <reviewItem>
      <errorID>5eabb243-3192-436c-b203-5a7a3c4b3935</errorID>
      <errorWord>％</errorWord>
      <group>L1_Format</group>
      <groupName>格式问题</groupName>
      <ability>L2_HalfPunc</ability>
      <abilityName>全半角检查</abilityName>
      <candidateList>
        <item>%</item>
      </candidateList>
      <explain>文本全半角错误。</explain>
      <paraID>2346F1F3</paraID>
      <start>3</start>
      <end>4</end>
      <status>ignored</status>
      <modifiedWord/>
      <trackRevisions>false</trackRevisions>
    </reviewItem>
    <reviewItem>
      <errorID>5dac2156-8c88-4322-b278-24771363cecb</errorID>
      <errorWord>％</errorWord>
      <group>L1_Format</group>
      <groupName>格式问题</groupName>
      <ability>L2_HalfPunc</ability>
      <abilityName>全半角检查</abilityName>
      <candidateList>
        <item>%</item>
      </candidateList>
      <explain>文本全半角错误。</explain>
      <paraID>36D99EB3</paraID>
      <start>3</start>
      <end>4</end>
      <status>ignored</status>
      <modifiedWord/>
      <trackRevisions>false</trackRevisions>
    </reviewItem>
    <reviewItem>
      <errorID>c636561f-c32b-4baa-b069-9e31266c5829</errorID>
      <errorWord>％</errorWord>
      <group>L1_Format</group>
      <groupName>格式问题</groupName>
      <ability>L2_HalfPunc</ability>
      <abilityName>全半角检查</abilityName>
      <candidateList>
        <item>%</item>
      </candidateList>
      <explain>文本全半角错误。</explain>
      <paraID>4913BB3C</paraID>
      <start>3</start>
      <end>4</end>
      <status>ignored</status>
      <modifiedWord/>
      <trackRevisions>false</trackRevisions>
    </reviewItem>
    <reviewItem>
      <errorID>920dac83-f028-4007-a355-7f1907cc719e</errorID>
      <errorWord>％</errorWord>
      <group>L1_Format</group>
      <groupName>格式问题</groupName>
      <ability>L2_HalfPunc</ability>
      <abilityName>全半角检查</abilityName>
      <candidateList>
        <item>%</item>
      </candidateList>
      <explain>文本全半角错误。</explain>
      <paraID>6B9DBAAC</paraID>
      <start>3</start>
      <end>4</end>
      <status>ignored</status>
      <modifiedWord/>
      <trackRevisions>false</trackRevisions>
    </reviewItem>
    <reviewItem>
      <errorID>8945b229-50b7-4c6d-9ddd-36aecf501317</errorID>
      <errorWord>％</errorWord>
      <group>L1_Format</group>
      <groupName>格式问题</groupName>
      <ability>L2_HalfPunc</ability>
      <abilityName>全半角检查</abilityName>
      <candidateList>
        <item>%</item>
      </candidateList>
      <explain>文本全半角错误。</explain>
      <paraID> 71EB5C7</paraID>
      <start>3</start>
      <end>4</end>
      <status>ignored</status>
      <modifiedWord/>
      <trackRevisions>false</trackRevisions>
    </reviewItem>
    <reviewItem>
      <errorID>71477794-2e14-402a-b757-bfaff2902191</errorID>
      <errorWord>％</errorWord>
      <group>L1_Format</group>
      <groupName>格式问题</groupName>
      <ability>L2_HalfPunc</ability>
      <abilityName>全半角检查</abilityName>
      <candidateList>
        <item>%</item>
      </candidateList>
      <explain>文本全半角错误。</explain>
      <paraID>72E935CE</paraID>
      <start>3</start>
      <end>4</end>
      <status>ignored</status>
      <modifiedWord/>
      <trackRevisions>false</trackRevisions>
    </reviewItem>
    <reviewItem>
      <errorID>a4b3a5d6-02ae-41f8-9d1d-b426371e2318</errorID>
      <errorWord>％</errorWord>
      <group>L1_Format</group>
      <groupName>格式问题</groupName>
      <ability>L2_HalfPunc</ability>
      <abilityName>全半角检查</abilityName>
      <candidateList>
        <item>%</item>
      </candidateList>
      <explain>文本全半角错误。</explain>
      <paraID>10E2CD87</paraID>
      <start>3</start>
      <end>4</end>
      <status>ignored</status>
      <modifiedWord/>
      <trackRevisions>false</trackRevisions>
    </reviewItem>
    <reviewItem>
      <errorID>5cd7bc89-e360-43ea-8e62-00eed256347f</errorID>
      <errorWord>％</errorWord>
      <group>L1_Format</group>
      <groupName>格式问题</groupName>
      <ability>L2_HalfPunc</ability>
      <abilityName>全半角检查</abilityName>
      <candidateList>
        <item>%</item>
      </candidateList>
      <explain>文本全半角错误。</explain>
      <paraID>55AD8041</paraID>
      <start>4</start>
      <end>5</end>
      <status>ignored</status>
      <modifiedWord/>
      <trackRevisions>false</trackRevisions>
    </reviewItem>
    <reviewItem>
      <errorID>f0e6ddf1-f531-47d7-adbd-35c2cd8b5e3c</errorID>
      <errorWord>％</errorWord>
      <group>L1_Format</group>
      <groupName>格式问题</groupName>
      <ability>L2_HalfPunc</ability>
      <abilityName>全半角检查</abilityName>
      <candidateList>
        <item>%</item>
      </candidateList>
      <explain>文本全半角错误。</explain>
      <paraID>46B56101</paraID>
      <start>4</start>
      <end>5</end>
      <status>ignored</status>
      <modifiedWord/>
      <trackRevisions>false</trackRevisions>
    </reviewItem>
    <reviewItem>
      <errorID>a751c696-ff78-4125-8105-edff9f0f9630</errorID>
      <errorWord>％</errorWord>
      <group>L1_Format</group>
      <groupName>格式问题</groupName>
      <ability>L2_HalfPunc</ability>
      <abilityName>全半角检查</abilityName>
      <candidateList>
        <item>%</item>
      </candidateList>
      <explain>文本全半角错误。</explain>
      <paraID>1E115D43</paraID>
      <start>3</start>
      <end>4</end>
      <status>ignored</status>
      <modifiedWord/>
      <trackRevisions>false</trackRevisions>
    </reviewItem>
    <reviewItem>
      <errorID>e8e796d6-2049-4468-a0f9-20ea657578ac</errorID>
      <errorWord>％</errorWord>
      <group>L1_Format</group>
      <groupName>格式问题</groupName>
      <ability>L2_HalfPunc</ability>
      <abilityName>全半角检查</abilityName>
      <candidateList>
        <item>%</item>
      </candidateList>
      <explain>文本全半角错误。</explain>
      <paraID>76002F4D</paraID>
      <start>4</start>
      <end>5</end>
      <status>ignored</status>
      <modifiedWord/>
      <trackRevisions>false</trackRevisions>
    </reviewItem>
    <reviewItem>
      <errorID>747e6159-ae4d-403e-bdd7-a2b1aab87026</errorID>
      <errorWord>％</errorWord>
      <group>L1_Format</group>
      <groupName>格式问题</groupName>
      <ability>L2_HalfPunc</ability>
      <abilityName>全半角检查</abilityName>
      <candidateList>
        <item>%</item>
      </candidateList>
      <explain>文本全半角错误。</explain>
      <paraID>1963C5FF</paraID>
      <start>4</start>
      <end>5</end>
      <status>ignored</status>
      <modifiedWord/>
      <trackRevisions>false</trackRevisions>
    </reviewItem>
    <reviewItem>
      <errorID>5095ca1a-3d65-4f79-8225-53941e939161</errorID>
      <errorWord>％</errorWord>
      <group>L1_Format</group>
      <groupName>格式问题</groupName>
      <ability>L2_HalfPunc</ability>
      <abilityName>全半角检查</abilityName>
      <candidateList>
        <item>%</item>
      </candidateList>
      <explain>文本全半角错误。</explain>
      <paraID>30848B3E</paraID>
      <start>4</start>
      <end>5</end>
      <status>ignored</status>
      <modifiedWord/>
      <trackRevisions>false</trackRevisions>
    </reviewItem>
    <reviewItem>
      <errorID>511959d4-9b26-4460-bfe1-059bc17ef9c0</errorID>
      <errorWord>％</errorWord>
      <group>L1_Format</group>
      <groupName>格式问题</groupName>
      <ability>L2_HalfPunc</ability>
      <abilityName>全半角检查</abilityName>
      <candidateList>
        <item>%</item>
      </candidateList>
      <explain>文本全半角错误。</explain>
      <paraID>58DB9E72</paraID>
      <start>3</start>
      <end>4</end>
      <status>ignored</status>
      <modifiedWord/>
      <trackRevisions>false</trackRevisions>
    </reviewItem>
    <reviewItem>
      <errorID>26d88824-f66b-4414-884d-5b5ae3a062d2</errorID>
      <errorWord>％</errorWord>
      <group>L1_Format</group>
      <groupName>格式问题</groupName>
      <ability>L2_HalfPunc</ability>
      <abilityName>全半角检查</abilityName>
      <candidateList>
        <item>%</item>
      </candidateList>
      <explain>文本全半角错误。</explain>
      <paraID>6ACC79A2</paraID>
      <start>3</start>
      <end>4</end>
      <status>ignored</status>
      <modifiedWord/>
      <trackRevisions>false</trackRevisions>
    </reviewItem>
    <reviewItem>
      <errorID>9b88375f-3ab1-45ea-9bd9-6b2c6e13f068</errorID>
      <errorWord>％</errorWord>
      <group>L1_Format</group>
      <groupName>格式问题</groupName>
      <ability>L2_HalfPunc</ability>
      <abilityName>全半角检查</abilityName>
      <candidateList>
        <item>%</item>
      </candidateList>
      <explain>文本全半角错误。</explain>
      <paraID> BA26135</paraID>
      <start>4</start>
      <end>5</end>
      <status>ignored</status>
      <modifiedWord/>
      <trackRevisions>false</trackRevisions>
    </reviewItem>
    <reviewItem>
      <errorID>3cd4ce87-e4c0-4981-b7b5-526d493623f3</errorID>
      <errorWord>％</errorWord>
      <group>L1_Format</group>
      <groupName>格式问题</groupName>
      <ability>L2_HalfPunc</ability>
      <abilityName>全半角检查</abilityName>
      <candidateList>
        <item>%</item>
      </candidateList>
      <explain>文本全半角错误。</explain>
      <paraID>681BE6FA</paraID>
      <start>4</start>
      <end>5</end>
      <status>ignored</status>
      <modifiedWord/>
      <trackRevisions>false</trackRevisions>
    </reviewItem>
    <reviewItem>
      <errorID>e4c7df90-a111-439d-ab57-8a0193b3c6bd</errorID>
      <errorWord>％</errorWord>
      <group>L1_Format</group>
      <groupName>格式问题</groupName>
      <ability>L2_HalfPunc</ability>
      <abilityName>全半角检查</abilityName>
      <candidateList>
        <item>%</item>
      </candidateList>
      <explain>文本全半角错误。</explain>
      <paraID>3C9C72A3</paraID>
      <start>4</start>
      <end>5</end>
      <status>ignored</status>
      <modifiedWord/>
      <trackRevisions>false</trackRevisions>
    </reviewItem>
    <reviewItem>
      <errorID>9126e748-1925-4de7-871b-840900771888</errorID>
      <errorWord>％</errorWord>
      <group>L1_Format</group>
      <groupName>格式问题</groupName>
      <ability>L2_HalfPunc</ability>
      <abilityName>全半角检查</abilityName>
      <candidateList>
        <item>%</item>
      </candidateList>
      <explain>文本全半角错误。</explain>
      <paraID> CD9A82A</paraID>
      <start>5</start>
      <end>6</end>
      <status>ignored</status>
      <modifiedWord/>
      <trackRevisions>false</trackRevisions>
    </reviewItem>
    <reviewItem>
      <errorID>fa39850f-74c5-4c65-a60e-6a20ab85d45d</errorID>
      <errorWord>％</errorWord>
      <group>L1_Format</group>
      <groupName>格式问题</groupName>
      <ability>L2_HalfPunc</ability>
      <abilityName>全半角检查</abilityName>
      <candidateList>
        <item>%</item>
      </candidateList>
      <explain>文本全半角错误。</explain>
      <paraID> DFA263B</paraID>
      <start>5</start>
      <end>6</end>
      <status>ignored</status>
      <modifiedWord/>
      <trackRevisions>false</trackRevisions>
    </reviewItem>
    <reviewItem>
      <errorID>f4d334d1-2f4a-45a7-b998-098e65bad54a</errorID>
      <errorWord>％</errorWord>
      <group>L1_Format</group>
      <groupName>格式问题</groupName>
      <ability>L2_HalfPunc</ability>
      <abilityName>全半角检查</abilityName>
      <candidateList>
        <item>%</item>
      </candidateList>
      <explain>文本全半角错误。</explain>
      <paraID>1AEFAA0D</paraID>
      <start>5</start>
      <end>6</end>
      <status>ignored</status>
      <modifiedWord/>
      <trackRevisions>false</trackRevisions>
    </reviewItem>
    <reviewItem>
      <errorID>a8ab43b9-a8dc-40e6-b8ad-b4538ef321bf</errorID>
      <errorWord>％</errorWord>
      <group>L1_Format</group>
      <groupName>格式问题</groupName>
      <ability>L2_HalfPunc</ability>
      <abilityName>全半角检查</abilityName>
      <candidateList>
        <item>%</item>
      </candidateList>
      <explain>文本全半角错误。</explain>
      <paraID>6484409D</paraID>
      <start>5</start>
      <end>6</end>
      <status>ignored</status>
      <modifiedWord/>
      <trackRevisions>false</trackRevisions>
    </reviewItem>
    <reviewItem>
      <errorID>6b7c8352-48a8-4da9-bc7a-9b55f837b6e1</errorID>
      <errorWord>％</errorWord>
      <group>L1_Format</group>
      <groupName>格式问题</groupName>
      <ability>L2_HalfPunc</ability>
      <abilityName>全半角检查</abilityName>
      <candidateList>
        <item>%</item>
      </candidateList>
      <explain>文本全半角错误。</explain>
      <paraID>760C4D68</paraID>
      <start>5</start>
      <end>6</end>
      <status>ignored</status>
      <modifiedWord/>
      <trackRevisions>false</trackRevisions>
    </reviewItem>
    <reviewItem>
      <errorID>6a270f3f-bf93-4f1b-8200-065bcb2c45c5</errorID>
      <errorWord>％</errorWord>
      <group>L1_Format</group>
      <groupName>格式问题</groupName>
      <ability>L2_HalfPunc</ability>
      <abilityName>全半角检查</abilityName>
      <candidateList>
        <item>%</item>
      </candidateList>
      <explain>文本全半角错误。</explain>
      <paraID>4D1CB010</paraID>
      <start>5</start>
      <end>6</end>
      <status>ignored</status>
      <modifiedWord/>
      <trackRevisions>false</trackRevisions>
    </reviewItem>
    <reviewItem>
      <errorID>0bfeb63e-8625-4ae2-8beb-6f3268e7373a</errorID>
      <errorWord>％</errorWord>
      <group>L1_Format</group>
      <groupName>格式问题</groupName>
      <ability>L2_HalfPunc</ability>
      <abilityName>全半角检查</abilityName>
      <candidateList>
        <item>%</item>
      </candidateList>
      <explain>文本全半角错误。</explain>
      <paraID>438F91E2</paraID>
      <start>5</start>
      <end>6</end>
      <status>ignored</status>
      <modifiedWord/>
      <trackRevisions>false</trackRevisions>
    </reviewItem>
    <reviewItem>
      <errorID>253d3a9c-df09-4708-830b-ef06b8cd68ec</errorID>
      <errorWord>％</errorWord>
      <group>L1_Format</group>
      <groupName>格式问题</groupName>
      <ability>L2_HalfPunc</ability>
      <abilityName>全半角检查</abilityName>
      <candidateList>
        <item>%</item>
      </candidateList>
      <explain>文本全半角错误。</explain>
      <paraID>4C31A8C7</paraID>
      <start>5</start>
      <end>6</end>
      <status>ignored</status>
      <modifiedWord/>
      <trackRevisions>false</trackRevisions>
    </reviewItem>
    <reviewItem>
      <errorID>34084d1a-fa9e-46db-bc88-baa1616dd59c</errorID>
      <errorWord>％</errorWord>
      <group>L1_Format</group>
      <groupName>格式问题</groupName>
      <ability>L2_HalfPunc</ability>
      <abilityName>全半角检查</abilityName>
      <candidateList>
        <item>%</item>
      </candidateList>
      <explain>文本全半角错误。</explain>
      <paraID>51AFAF83</paraID>
      <start>5</start>
      <end>6</end>
      <status>ignored</status>
      <modifiedWord/>
      <trackRevisions>false</trackRevisions>
    </reviewItem>
    <reviewItem>
      <errorID>8418041b-9ae6-4bba-98e4-dc87bee9aacc</errorID>
      <errorWord>％</errorWord>
      <group>L1_Format</group>
      <groupName>格式问题</groupName>
      <ability>L2_HalfPunc</ability>
      <abilityName>全半角检查</abilityName>
      <candidateList>
        <item>%</item>
      </candidateList>
      <explain>文本全半角错误。</explain>
      <paraID>4FE525DC</paraID>
      <start>5</start>
      <end>6</end>
      <status>ignored</status>
      <modifiedWord/>
      <trackRevisions>false</trackRevisions>
    </reviewItem>
    <reviewItem>
      <errorID>e634581d-4572-48d3-b608-c89f2cc00b3e</errorID>
      <errorWord>％</errorWord>
      <group>L1_Format</group>
      <groupName>格式问题</groupName>
      <ability>L2_HalfPunc</ability>
      <abilityName>全半角检查</abilityName>
      <candidateList>
        <item>%</item>
      </candidateList>
      <explain>文本全半角错误。</explain>
      <paraID>110A1BA9</paraID>
      <start>5</start>
      <end>6</end>
      <status>ignored</status>
      <modifiedWord/>
      <trackRevisions>false</trackRevisions>
    </reviewItem>
    <reviewItem>
      <errorID>7ca81dae-f6e1-4957-ba4c-318fe6c411ab</errorID>
      <errorWord>％</errorWord>
      <group>L1_Format</group>
      <groupName>格式问题</groupName>
      <ability>L2_HalfPunc</ability>
      <abilityName>全半角检查</abilityName>
      <candidateList>
        <item>%</item>
      </candidateList>
      <explain>文本全半角错误。</explain>
      <paraID>2D5A9071</paraID>
      <start>5</start>
      <end>6</end>
      <status>ignored</status>
      <modifiedWord/>
      <trackRevisions>false</trackRevisions>
    </reviewItem>
    <reviewItem>
      <errorID>2f465aa9-f224-4f78-9221-ffc8e607e21b</errorID>
      <errorWord>(</errorWord>
      <group>L1_Format</group>
      <groupName>格式问题</groupName>
      <ability>L2_HalfPunc</ability>
      <abilityName>全半角检查</abilityName>
      <candidateList>
        <item>（</item>
      </candidateList>
      <explain>文本全半角错误。</explain>
      <paraID>7D2A2019</paraID>
      <start>36</start>
      <end>37</end>
      <status>ignored</status>
      <modifiedWord/>
      <trackRevisions>false</trackRevisions>
    </reviewItem>
    <reviewItem>
      <errorID>fab243cb-1ab4-4796-9826-de275985eb75</errorID>
      <errorWord>)</errorWord>
      <group>L1_Format</group>
      <groupName>格式问题</groupName>
      <ability>L2_HalfPunc</ability>
      <abilityName>全半角检查</abilityName>
      <candidateList>
        <item>）</item>
      </candidateList>
      <explain>文本全半角错误。</explain>
      <paraID>7D2A2019</paraID>
      <start>39</start>
      <end>40</end>
      <status>ignored</status>
      <modifiedWord/>
      <trackRevisions>false</trackRevisions>
    </reviewItem>
    <reviewItem>
      <errorID>d7ba32be-80e2-4fd1-9147-e202d716433d</errorID>
      <errorWord>成</errorWord>
      <group>L1_Word</group>
      <groupName>字词问题</groupName>
      <ability>L2_Typo</ability>
      <abilityName>字词错误</abilityName>
      <candidateList>
        <item>成后</item>
      </candidateList>
      <explain/>
      <paraID>34BE3217</paraID>
      <start>16</start>
      <end>17</end>
      <status>ignored</status>
      <modifiedWord/>
      <trackRevisions>false</trackRevisions>
    </reviewItem>
    <reviewItem>
      <errorID>a7f2037f-6c80-45c6-a541-1acae32d3b35</errorID>
      <errorWord>出</errorWord>
      <group>L1_Word</group>
      <groupName>字词问题</groupName>
      <ability>L2_Typo</ability>
      <abilityName>字词错误</abilityName>
      <candidateList>
        <item>出具</item>
      </candidateList>
      <explain>〈动〉开出；写出（证明、证件等）：～介绍信｜～健康证明。</explain>
      <paraID>768FAB69</paraID>
      <start>41</start>
      <end>42</end>
      <status>ignored</status>
      <modifiedWord/>
      <trackRevisions>false</trackRevisions>
    </reviewItem>
    <reviewItem>
      <errorID>3a4b4bfc-bb19-4092-a96b-af51918db4e1</errorID>
      <errorWord>束</errorWord>
      <group>L1_Word</group>
      <groupName>字词问题</groupName>
      <ability>L2_Typo</ability>
      <abilityName>字词错误</abilityName>
      <candidateList>
        <item>束后</item>
      </candidateList>
      <explain/>
      <paraID>5A0F5D61</paraID>
      <start>109</start>
      <end>110</end>
      <status>ignored</status>
      <modifiedWord/>
      <trackRevisions>false</trackRevisions>
    </reviewItem>
    <reviewItem>
      <errorID>93a4c20a-52e1-43a1-976e-b5df0316b27f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2CC8065B</paraID>
      <start>0</start>
      <end>2</end>
      <status>ignored</status>
      <modifiedWord/>
      <trackRevisions>false</trackRevisions>
    </reviewItem>
    <reviewItem>
      <errorID>7d64b8cc-5f66-4851-a5e3-be533731fa74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4163B455</paraID>
      <start>0</start>
      <end>3</end>
      <status>ignored</status>
      <modifiedWord/>
      <trackRevisions>false</trackRevisions>
    </reviewItem>
    <reviewItem>
      <errorID>5435e8fc-ccc3-4caa-8e43-fd64710b7fc6</errorID>
      <errorWord>款</errorWord>
      <group>L1_Word</group>
      <groupName>字词问题</groupName>
      <ability>L2_Typo</ability>
      <abilityName>字词错误</abilityName>
      <candidateList>
        <item>款第</item>
      </candidateList>
      <explain/>
      <paraID>5B76F560</paraID>
      <start>53</start>
      <end>54</end>
      <status>ignored</status>
      <modifiedWord/>
      <trackRevisions>false</trackRevisions>
    </reviewItem>
    <reviewItem>
      <errorID>d7936199-f892-489b-bf5a-fae2368f976b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7CFB0CED</paraID>
      <start>0</start>
      <end>3</end>
      <status>ignored</status>
      <modifiedWord/>
      <trackRevisions>false</trackRevisions>
    </reviewItem>
    <reviewItem>
      <errorID>2973047d-31a2-4368-95c8-44e3d033efe4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43A77842</paraID>
      <start>0</start>
      <end>3</end>
      <status>ignored</status>
      <modifiedWord/>
      <trackRevisions>false</trackRevisions>
    </reviewItem>
    <reviewItem>
      <errorID>fa83927e-3e85-4884-90d8-34f75be44431</errorID>
      <errorWord>书</errorWord>
      <group>L1_Word</group>
      <groupName>字词问题</groupName>
      <ability>L2_Typo</ability>
      <abilityName>字词错误</abilityName>
      <candidateList>
        <item>书中</item>
      </candidateList>
      <explain/>
      <paraID>184DE143</paraID>
      <start>61</start>
      <end>62</end>
      <status>ignored</status>
      <modifiedWord/>
      <trackRevisions>false</trackRevisions>
    </reviewItem>
    <reviewItem>
      <errorID>57ae6bd2-189c-4687-b729-8a0963f9309b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30A62A8B</paraID>
      <start>0</start>
      <end>3</end>
      <status>ignored</status>
      <modifiedWord/>
      <trackRevisions>false</trackRevisions>
    </reviewItem>
    <reviewItem>
      <errorID>4b8d54ea-a282-45a1-a5ed-b502d33402a1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3994DA9F</paraID>
      <start>0</start>
      <end>3</end>
      <status>ignored</status>
      <modifiedWord/>
      <trackRevisions>false</trackRevisions>
    </reviewItem>
    <reviewItem>
      <errorID>13b40ff1-f6de-4ef3-a995-c9b9a2b42d38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368565EC</paraID>
      <start>0</start>
      <end>3</end>
      <status>ignored</status>
      <modifiedWord/>
      <trackRevisions>false</trackRevisions>
    </reviewItem>
    <reviewItem>
      <errorID>1248c890-68f2-4e41-9fb2-659bb28fa99c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6AF38A0C</paraID>
      <start>0</start>
      <end>3</end>
      <status>ignored</status>
      <modifiedWord/>
      <trackRevisions>false</trackRevisions>
    </reviewItem>
    <reviewItem>
      <errorID>aa9cc89d-0f6f-4a6b-a044-74bde9ca635c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744DCFFD</paraID>
      <start>0</start>
      <end>2</end>
      <status>ignored</status>
      <modifiedWord/>
      <trackRevisions>false</trackRevisions>
    </reviewItem>
    <reviewItem>
      <errorID>fbd91458-1daa-4d87-91c6-77bbc5115b74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7B16D093</paraID>
      <start>0</start>
      <end>2</end>
      <status>ignored</status>
      <modifiedWord/>
      <trackRevisions>false</trackRevisions>
    </reviewItem>
    <reviewItem>
      <errorID>0f336f34-f00e-4369-bcf0-a60bcc82ffa5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48235E71</paraID>
      <start>0</start>
      <end>2</end>
      <status>ignored</status>
      <modifiedWord/>
      <trackRevisions>false</trackRevisions>
    </reviewItem>
    <reviewItem>
      <errorID>e507124c-c3ef-4d32-a667-915adf420f05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972FED1</paraID>
      <start>0</start>
      <end>3</end>
      <status>ignored</status>
      <modifiedWord/>
      <trackRevisions>false</trackRevisions>
    </reviewItem>
    <reviewItem>
      <errorID>3a563df2-e1b4-443d-82d6-51c56642a207</errorID>
      <errorWord>《 东莞市立沙岛绿色新材料产业园项目招标代理合同》（以下简称原合同）</errorWord>
      <group>L1_Knowledge</group>
      <groupName>知识性问题</groupName>
      <ability>L2_Knowledge</ability>
      <abilityName>其他知识</abilityName>
      <candidateList>
        <item>《 东莞市立沙岛绿色新材料产业园项目招标代理合同》（以下简称“原合同”）</item>
      </candidateList>
      <explain>疑似政策文件、法律法规名称等书写不规范，请注意检查。</explain>
      <paraID>2FB6C53B</paraID>
      <start>29</start>
      <end>63</end>
      <status>ignored</status>
      <modifiedWord/>
      <trackRevisions>false</trackRevisions>
    </reviewItem>
    <reviewItem>
      <errorID>2793b7d3-52d2-4611-9bd7-e53d70543020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927AF96</paraID>
      <start>0</start>
      <end>2</end>
      <status>ignored</status>
      <modifiedWord/>
      <trackRevisions>false</trackRevisions>
    </reviewItem>
    <reviewItem>
      <errorID>bbbcb98b-652d-400e-8590-3b4449d056be</errorID>
      <errorWord>和及</errorWord>
      <group>L1_Word</group>
      <groupName>字词问题</groupName>
      <ability>L2_Typo</ability>
      <abilityName>字词错误</abilityName>
      <candidateList>
        <item>和</item>
      </candidateList>
      <explain>〈量〉用于洗东西换水的次数或一剂药煎的次数：衣裳已经洗了三～｜二～药。</explain>
      <paraID>292667A2</paraID>
      <start>25</start>
      <end>27</end>
      <status>ignored</status>
      <modifiedWord/>
      <trackRevisions>false</trackRevisions>
    </reviewItem>
    <reviewItem>
      <errorID>c2c3a6ff-57cf-4335-9771-07487be8ab2d</errorID>
      <errorWord>或者如</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463FC637</paraID>
      <start>231</start>
      <end>234</end>
      <status>ignored</status>
      <modifiedWord/>
      <trackRevisions>false</trackRevisions>
    </reviewItem>
    <reviewItem>
      <errorID>4d174ddc-76c8-4e4d-9f8a-359a28dc4bd8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4CDD824E</paraID>
      <start>0</start>
      <end>2</end>
      <status>ignored</status>
      <modifiedWord/>
      <trackRevisions>false</trackRevisions>
    </reviewItem>
    <reviewItem>
      <errorID>f01422b6-60d3-43e4-aae1-af3f09f2a715</errorID>
      <errorWord>东莞市东城区</errorWord>
      <group>L1_Knowledge</group>
      <groupName>知识性问题</groupName>
      <ability>L2_Location</ability>
      <abilityName>地名检查</abilityName>
      <candidateList>
        <item>北京市东城区</item>
      </candidateList>
      <explain>地名表述错误。</explain>
      <paraID>72BB1FD2</paraID>
      <start>5</start>
      <end>11</end>
      <status>ignored</status>
      <modifiedWord/>
      <trackRevisions>false</trackRevisions>
    </reviewItem>
    <reviewItem>
      <errorID>d20bb0f1-b718-4b1a-a406-1c2c3501ca15</errorID>
      <errorWord>,</errorWord>
      <group>L1_Format</group>
      <groupName>格式问题</groupName>
      <ability>L2_HalfPunc</ability>
      <abilityName>全半角检查</abilityName>
      <candidateList>
        <item>，</item>
      </candidateList>
      <explain>文本全半角错误。</explain>
      <paraID>3D76A473</paraID>
      <start>21</start>
      <end>22</end>
      <status>ignored</status>
      <modifiedWord/>
      <trackRevisions>false</trackRevisions>
    </reviewItem>
    <reviewItem>
      <errorID>ef815ff4-554e-4a39-ad76-eca4ec5afa98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6322C525</paraID>
      <start>1</start>
      <end>3</end>
      <status>ignored</status>
      <modifiedWord/>
      <trackRevisions>false</trackRevisions>
    </reviewItem>
    <reviewItem>
      <errorID>86ad57a9-cbc0-4241-9916-216bd4c262ae</errorID>
      <errorWord>其它</errorWord>
      <group>L1_Word</group>
      <groupName>字词问题</groupName>
      <ability>L2_Alias</ability>
      <abilityName>也作/曾用词</abilityName>
      <candidateList>
        <item>其他</item>
      </candidateList>
      <explain>词汇[其它]为不规范表述或旧称，其规范书面表述为[其他]。</explain>
      <paraID>7B218ED5</paraID>
      <start>22</start>
      <end>24</end>
      <status>ignored</status>
      <modifiedWord/>
      <trackRevisions>false</trackRevisions>
    </reviewItem>
    <reviewItem>
      <errorID>21df9d28-4998-43f4-84e9-103e21296833</errorID>
      <errorWord>未出</errorWord>
      <group>L1_Word</group>
      <groupName>字词问题</groupName>
      <ability>L2_Typo</ability>
      <abilityName>字词错误</abilityName>
      <candidateList>
        <item>未</item>
      </candidateList>
      <explain>〈副〉❶没（跟“已”相对）：尚～成年｜健康仍～恢复。❷不：～便｜～敢苟同｜～可厚非。</explain>
      <paraID> 2D598F7</paraID>
      <start>8</start>
      <end>10</end>
      <status>ignored</status>
      <modifiedWord/>
      <trackRevisions>false</trackRevisions>
    </reviewItem>
    <reviewItem>
      <errorID>d83f500a-bbf3-4422-a5ed-399924a849c9</errorID>
      <errorWord>必须</errorWord>
      <group>L1_Word</group>
      <groupName>字词问题</groupName>
      <ability>L2_Typo</ability>
      <abilityName>字词错误</abilityName>
      <candidateList>
        <item>必需</item>
      </candidateList>
      <explain>〈动〉一定要有；不可少：日用～品｜煤铁等是发展工业所～的原料。</explain>
      <paraID>2F998BBA</paraID>
      <start>14</start>
      <end>16</end>
      <status>ignored</status>
      <modifiedWord/>
      <trackRevisions>false</trackRevisions>
    </reviewItem>
    <reviewItem>
      <errorID>ed2b2aaf-6d75-443c-aca9-99d8b871db98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4C7AB08D</paraID>
      <start>82</start>
      <end>84</end>
      <status>ignored</status>
      <modifiedWord/>
      <trackRevisions>false</trackRevisions>
    </reviewItem>
    <reviewItem>
      <errorID>a65ae4be-3099-413f-9636-0c9e7ec94b02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1EE4296</paraID>
      <start>0</start>
      <end>2</end>
      <status>ignored</status>
      <modifiedWord/>
      <trackRevisions>false</trackRevisions>
    </reviewItem>
    <reviewItem>
      <errorID>342c2306-8e42-49e9-b7f3-794333e84581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2E88EBCB</paraID>
      <start>0</start>
      <end>2</end>
      <status>ignored</status>
      <modifiedWord/>
      <trackRevisions>false</trackRevisions>
    </reviewItem>
    <reviewItem>
      <errorID>42b4cd1e-830e-4ac5-9c63-c06780bf6ee1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7773EFA</paraID>
      <start>0</start>
      <end>2</end>
      <status>modified</status>
      <modifiedWord>1.</modifiedWord>
      <trackRevisions>false</trackRevisions>
    </reviewItem>
    <reviewItem>
      <errorID>c387f17a-f678-4906-9dcb-848fa1c93e45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B3A80C9</paraID>
      <start>0</start>
      <end>2</end>
      <status>modified</status>
      <modifiedWord>2.</modifiedWord>
      <trackRevisions>false</trackRevisions>
    </reviewItem>
    <reviewItem>
      <errorID>810a232c-9f65-4014-8e2d-b19e23908b86</errorID>
      <errorWord>：）</errorWord>
      <group>L1_Punc</group>
      <groupName>标点问题</groupName>
      <ability>L2_Punc</ability>
      <abilityName>标点符号检查</abilityName>
      <candidateList>
        <item>）</item>
      </candidateList>
      <explain/>
      <paraID>28F8398D</paraID>
      <start>9</start>
      <end>11</end>
      <status>ignored</status>
      <modifiedWord/>
      <trackRevisions>false</trackRevisions>
    </reviewItem>
    <reviewItem>
      <errorID>5e6d3795-e5f3-4eb3-ac7f-57f155105cb7</errorID>
      <errorWord>:</errorWord>
      <group>L1_Format</group>
      <groupName>格式问题</groupName>
      <ability>L2_HalfPunc</ability>
      <abilityName>全半角检查</abilityName>
      <candidateList>
        <item>：</item>
      </candidateList>
      <explain>文本全半角错误。</explain>
      <paraID>5612D69A</paraID>
      <start>5</start>
      <end>6</end>
      <status>ignored</status>
      <modifiedWord/>
      <trackRevisions>false</trackRevisions>
    </reviewItem>
    <reviewItem>
      <errorID>54ff28b5-fce4-475a-848b-830aed0c6392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43E40911</paraID>
      <start>0</start>
      <end>2</end>
      <status>modified</status>
      <modifiedWord>1.</modifiedWord>
      <trackRevisions>false</trackRevisions>
    </reviewItem>
    <reviewItem>
      <errorID>e727e2ae-5df5-42ac-b8b2-0fd77d085cc0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F76FE62</paraID>
      <start>0</start>
      <end>2</end>
      <status>modified</status>
      <modifiedWord>2.</modifiedWord>
      <trackRevisions>false</trackRevisions>
    </reviewItem>
    <reviewItem>
      <errorID>67df3230-29e0-47ae-ad4a-cb852601b888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8168BAB</paraID>
      <start>0</start>
      <end>2</end>
      <status>modified</status>
      <modifiedWord>3.</modifiedWord>
      <trackRevisions>false</trackRevisions>
    </reviewItem>
    <reviewItem>
      <errorID>b589ef4c-39d2-4a1a-8898-dd9ac0f34291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55525643</paraID>
      <start>0</start>
      <end>2</end>
      <status>modified</status>
      <modifiedWord>4.</modifiedWord>
      <trackRevisions>false</trackRevisions>
    </reviewItem>
    <reviewItem>
      <errorID>450ad74a-4593-40b8-bbac-d1ea243d0d9d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7708283E</paraID>
      <start>0</start>
      <end>2</end>
      <status>modified</status>
      <modifiedWord>5.</modifiedWord>
      <trackRevisions>false</trackRevisions>
    </reviewItem>
    <reviewItem>
      <errorID>e07a219d-cfed-4668-97a3-8531a8461997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30169F95</paraID>
      <start>0</start>
      <end>2</end>
      <status>modified</status>
      <modifiedWord>6.</modifiedWord>
      <trackRevisions>false</trackRevisions>
    </reviewItem>
    <reviewItem>
      <errorID>b46a3134-e69d-41c0-b06b-1cdb84bc5118</errorID>
      <errorWord>:</errorWord>
      <group>L1_Format</group>
      <groupName>格式问题</groupName>
      <ability>L2_HalfPunc</ability>
      <abilityName>全半角检查</abilityName>
      <candidateList>
        <item>：</item>
      </candidateList>
      <explain>文本全半角错误。</explain>
      <paraID>30169F95</paraID>
      <start>6</start>
      <end>7</end>
      <status>modified</status>
      <modifiedWord>：</modifiedWord>
      <trackRevisions>false</trackRevisions>
    </reviewItem>
    <reviewItem>
      <errorID>d614d8c6-02b4-4850-bc9d-684b0343fab5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64E4B4D0</paraID>
      <start>0</start>
      <end>2</end>
      <status>modified</status>
      <modifiedWord>7.</modifiedWord>
      <trackRevisions>false</trackRevisions>
    </reviewItem>
    <reviewItem>
      <errorID>9a43d418-f893-4d40-bc1a-d5119fbc5f23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4BFDF8D6</paraID>
      <start>15</start>
      <end>18</end>
      <status>ignored</status>
      <modifiedWord/>
      <trackRevisions>false</trackRevisions>
    </reviewItem>
    <reviewItem>
      <errorID>ba6ccfdf-70b1-4c7c-bcd0-d85af876ca69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4BFDF8D6</paraID>
      <start>21</start>
      <end>24</end>
      <status>ignored</status>
      <modifiedWord/>
      <trackRevisions>false</trackRevisions>
    </reviewItem>
    <reviewItem>
      <errorID>58ae47b1-106e-4bac-a542-b2600e06a59a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256800FA</paraID>
      <start>0</start>
      <end>2</end>
      <status>ignored</status>
      <modifiedWord/>
      <trackRevisions>false</trackRevisions>
    </reviewItem>
    <reviewItem>
      <errorID>04d3106e-a133-4840-a798-3b98416fda4a</errorID>
      <errorWord>指定帐户</errorWord>
      <group>L1_Word</group>
      <groupName>字词问题</groupName>
      <ability>L2_Alias</ability>
      <abilityName>也作/曾用词</abilityName>
      <candidateList>
        <item>指定账户</item>
      </candidateList>
      <explain>词汇[指定帐户]为不规范表述或旧称，其规范书面表述为[指定账户]。</explain>
      <paraID>57343108</paraID>
      <start>52</start>
      <end>56</end>
      <status>modified</status>
      <modifiedWord>指定账户</modifiedWord>
      <trackRevisions>false</trackRevisions>
    </reviewItem>
    <reviewItem>
      <errorID>8335a140-5e19-4e9d-bc0b-2340cd28817a</errorID>
      <errorWord>帐户名称</errorWord>
      <group>L1_Word</group>
      <groupName>字词问题</groupName>
      <ability>L2_Alias</ability>
      <abilityName>也作/曾用词</abilityName>
      <candidateList>
        <item>账户名称</item>
      </candidateList>
      <explain>词汇[帐户名称]为不规范表述或旧称，其规范书面表述为[账户名称]。</explain>
      <paraID>57343108</paraID>
      <start>57</start>
      <end>61</end>
      <status>modified</status>
      <modifiedWord>账户名称</modifiedWord>
      <trackRevisions>false</trackRevisions>
    </reviewItem>
    <reviewItem>
      <errorID>b97a04d6-4826-4ff4-bd0a-93aca6487e30</errorID>
      <errorWord>：，</errorWord>
      <group>L1_Punc</group>
      <groupName>标点问题</groupName>
      <ability>L2_Punc</ability>
      <abilityName>标点符号检查</abilityName>
      <candidateList>
        <item>：</item>
      </candidateList>
      <explain/>
      <paraID>57343108</paraID>
      <start>61</start>
      <end>62</end>
      <status>modified</status>
      <modifiedWord>：</modifiedWord>
      <trackRevisions>false</trackRevisions>
    </reviewItem>
    <reviewItem>
      <errorID>377c9f41-16f6-4f18-85e0-2bf97c76a432</errorID>
      <errorWord>帐号</errorWord>
      <group>L1_Word</group>
      <groupName>字词问题</groupName>
      <ability>L2_Typo</ability>
      <abilityName>字词错误</abilityName>
      <candidateList>
        <item>账号</item>
      </candidateList>
      <explain>存在发音相同字词的误用。</explain>
      <paraID>57343108</paraID>
      <start>62</start>
      <end>64</end>
      <status>modified</status>
      <modifiedWord>账号</modifiedWord>
      <trackRevisions>false</trackRevisions>
    </reviewItem>
    <reviewItem>
      <errorID>d8c56d65-556e-4bb8-94b7-9c49c486b3f7</errorID>
      <errorWord>：,</errorWord>
      <group>L1_Punc</group>
      <groupName>标点问题</groupName>
      <ability>L2_Punc</ability>
      <abilityName>标点符号检查</abilityName>
      <candidateList>
        <item>：</item>
      </candidateList>
      <explain/>
      <paraID>57343108</paraID>
      <start>64</start>
      <end>65</end>
      <status>modified</status>
      <modifiedWord>：</modifiedWord>
      <trackRevisions>false</trackRevisions>
    </reviewItem>
    <reviewItem>
      <errorID>326938b7-c3a1-4673-9be5-a1a48868cb1d</errorID>
      <errorWord>：）</errorWord>
      <group>L1_Punc</group>
      <groupName>标点问题</groupName>
      <ability>L2_Punc</ability>
      <abilityName>标点符号检查</abilityName>
      <candidateList>
        <item>）</item>
      </candidateList>
      <explain/>
      <paraID>57343108</paraID>
      <start>69</start>
      <end>70</end>
      <status>modified</status>
      <modifiedWord>）</modifiedWord>
      <trackRevisions>false</trackRevisions>
    </reviewItem>
    <reviewItem>
      <errorID>dbce7a83-ab80-4990-9efa-4909a49ced5e</errorID>
      <errorWord>汇款帐户</errorWord>
      <group>L1_Word</group>
      <groupName>字词问题</groupName>
      <ability>L2_Alias</ability>
      <abilityName>也作/曾用词</abilityName>
      <candidateList>
        <item>汇款账户</item>
      </candidateList>
      <explain>词汇[汇款帐户]为不规范表述或旧称，其规范书面表述为[汇款账户]。</explain>
      <paraID>2D8AB8BC</paraID>
      <start>0</start>
      <end>4</end>
      <status>modified</status>
      <modifiedWord>汇款账户</modifiedWord>
      <trackRevisions>false</trackRevisions>
    </reviewItem>
    <reviewItem>
      <errorID>f5685afa-e5cd-4e35-bd06-cb2cf3de521d</errorID>
      <errorWord>帐</errorWord>
      <group>L1_Word</group>
      <groupName>字词问题</groupName>
      <ability>L2_Typo</ability>
      <abilityName>字词错误</abilityName>
      <candidateList>
        <item>账</item>
      </candidateList>
      <explain>存在发音相同字词的误用。</explain>
      <paraID>1586BE39</paraID>
      <start>0</start>
      <end>1</end>
      <status>modified</status>
      <modifiedWord>账</modifiedWord>
      <trackRevisions>false</trackRevisions>
    </reviewItem>
    <reviewItem>
      <errorID>76eb7fe5-ba18-4e33-b9c1-251db6d37ebc</errorID>
      <errorWord>的帐号</errorWord>
      <group>L1_Word</group>
      <groupName>字词问题</groupName>
      <ability>L2_Alias</ability>
      <abilityName>也作/曾用词</abilityName>
      <candidateList>
        <item>的账号</item>
      </candidateList>
      <explain>词汇[的帐号]为不规范表述或旧称，其规范书面表述为[的账号]。</explain>
      <paraID>1586BE39</paraID>
      <start>18</start>
      <end>21</end>
      <status>modified</status>
      <modifiedWord>的账号</modifiedWord>
      <trackRevisions>false</trackRevisions>
    </reviewItem>
    <reviewItem>
      <errorID>8454e46f-394b-461c-aff9-5dcb62c520a5</errorID>
      <errorWord>(</errorWord>
      <group>L1_Format</group>
      <groupName>格式问题</groupName>
      <ability>L2_HalfPunc</ability>
      <abilityName>全半角检查</abilityName>
      <candidateList>
        <item>（</item>
      </candidateList>
      <explain>文本全半角错误。</explain>
      <paraID> C67E43E</paraID>
      <start>30</start>
      <end>31</end>
      <status>modified</status>
      <modifiedWord>（</modifiedWord>
      <trackRevisions>false</trackRevisions>
    </reviewItem>
    <reviewItem>
      <errorID>513e14d8-39e8-4bec-b706-67a669b04f25</errorID>
      <errorWord>)</errorWord>
      <group>L1_Format</group>
      <groupName>格式问题</groupName>
      <ability>L2_HalfPunc</ability>
      <abilityName>全半角检查</abilityName>
      <candidateList>
        <item>）</item>
      </candidateList>
      <explain>文本全半角错误。</explain>
      <paraID> C67E43E</paraID>
      <start>36</start>
      <end>37</end>
      <status>modified</status>
      <modifiedWord>）</modifiedWord>
      <trackRevisions>false</trackRevisions>
    </reviewItem>
    <reviewItem>
      <errorID>eb3d188c-46cb-4d3f-b3b9-fb0ce0a0226b</errorID>
      <errorWord>进帐单复印件</errorWord>
      <group>L1_Word</group>
      <groupName>字词问题</groupName>
      <ability>L2_Alias</ability>
      <abilityName>也作/曾用词</abilityName>
      <candidateList>
        <item>进账单复印件</item>
      </candidateList>
      <explain>词汇[进帐单复印件]为不规范表述或旧称，其规范书面表述为[进账单复印件]。</explain>
      <paraID>42E8E216</paraID>
      <start>8</start>
      <end>14</end>
      <status>modified</status>
      <modifiedWord>进账单复印件</modifiedWord>
      <trackRevisions>false</trackRevisions>
    </reviewItem>
    <reviewItem>
      <errorID>b50afa16-93d9-454f-b75d-ce6df451bcd5</errorID>
      <errorWord>进帐单复印件</errorWord>
      <group>L1_Word</group>
      <groupName>字词问题</groupName>
      <ability>L2_Alias</ability>
      <abilityName>也作/曾用词</abilityName>
      <candidateList>
        <item>进账单复印件</item>
      </candidateList>
      <explain>词汇[进帐单复印件]为不规范表述或旧称，其规范书面表述为[进账单复印件]。</explain>
      <paraID>5DD34534</paraID>
      <start>37</start>
      <end>43</end>
      <status>modified</status>
      <modifiedWord>进账单复印件</modifiedWord>
      <trackRevisions>false</trackRevisions>
    </reviewItem>
    <reviewItem>
      <errorID>762e98ee-666c-4a1b-8ab5-0bb07aa63581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88255C3</paraID>
      <start>0</start>
      <end>2</end>
      <status>ignored</status>
      <modifiedWord/>
      <trackRevisions>false</trackRevisions>
    </reviewItem>
    <reviewItem>
      <errorID>de460245-cdd9-4419-a74b-bddfe6e3b484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60F713D5</paraID>
      <start>0</start>
      <end>2</end>
      <status>ignored</status>
      <modifiedWord/>
      <trackRevisions>false</trackRevisions>
    </reviewItem>
    <reviewItem>
      <errorID>4d809739-302b-4959-bfcf-bf1e9229db2d</errorID>
      <errorWord>,</errorWord>
      <group>L1_Format</group>
      <groupName>格式问题</groupName>
      <ability>L2_HalfPunc</ability>
      <abilityName>全半角检查</abilityName>
      <candidateList>
        <item>，</item>
      </candidateList>
      <explain>文本全半角错误。</explain>
      <paraID> A1F8947</paraID>
      <start>67</start>
      <end>68</end>
      <status>ignored</status>
      <modifiedWord/>
      <trackRevisions>false</trackRevisions>
    </reviewItem>
    <reviewItem>
      <errorID>70207c15-6c0f-482e-9d9e-22274fe10284</errorID>
      <errorWord>中</errorWord>
      <group>L1_Word</group>
      <groupName>字词问题</groupName>
      <ability>L2_Typo</ability>
      <abilityName>字词错误</abilityName>
      <candidateList>
        <item>中加</item>
      </candidateList>
      <explain/>
      <paraID>41ACE939</paraID>
      <start>24</start>
      <end>26</end>
      <status>modified</status>
      <modifiedWord>中加</modifiedWord>
      <trackRevisions>false</trackRevisions>
    </reviewItem>
    <reviewItem>
      <errorID>7c3fcb5c-00a1-43dd-b76b-0a46cb5409e5</errorID>
      <errorWord>中</errorWord>
      <group>L1_Word</group>
      <groupName>字词问题</groupName>
      <ability>L2_Typo</ability>
      <abilityName>字词错误</abilityName>
      <candidateList>
        <item>中加</item>
      </candidateList>
      <explain/>
      <paraID>4E819A80</paraID>
      <start>11</start>
      <end>13</end>
      <status>modified</status>
      <modifiedWord>中加</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38d2c6-1a4b-4a97-8d32-5da6386421ef}">
  <ds:schemaRefs/>
</ds:datastoreItem>
</file>

<file path=docProps/app.xml><?xml version="1.0" encoding="utf-8"?>
<Properties xmlns="http://schemas.openxmlformats.org/officeDocument/2006/extended-properties" xmlns:vt="http://schemas.openxmlformats.org/officeDocument/2006/docPropsVTypes">
  <Template>Normal.dotm</Template>
  <Company>zgydgb</Company>
  <Pages>69</Pages>
  <Words>11295</Words>
  <Characters>12079</Characters>
  <Lines>375</Lines>
  <Paragraphs>105</Paragraphs>
  <TotalTime>36</TotalTime>
  <ScaleCrop>false</ScaleCrop>
  <LinksUpToDate>false</LinksUpToDate>
  <CharactersWithSpaces>12237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2023-11-23T12:45:00Z</dcterms:created>
  <dc:creator>lyy</dc:creator>
  <cp:lastModifiedBy>01</cp:lastModifiedBy>
  <cp:lastPrinted>2020-07-10T09:47:00Z</cp:lastPrinted>
  <dcterms:modified xsi:type="dcterms:W3CDTF">2026-04-29T03:26:13Z</dcterms:modified>
  <dc:title>货物公开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E0CFE52EAEF94A9990FE0864B3A61C1A_13</vt:lpwstr>
  </property>
  <property fmtid="{D5CDD505-2E9C-101B-9397-08002B2CF9AE}" pid="4" name="KSOTemplateDocerSaveRecord">
    <vt:lpwstr>eyJoZGlkIjoiYTRjMjIwYTRjOTc5ZmEyMWUyNzU3MDBkZjI1YmQ3OTIiLCJ1c2VySWQiOiI0MTA0NDMxNzMifQ==</vt:lpwstr>
  </property>
</Properties>
</file>