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C6765">
      <w:pPr>
        <w:adjustRightInd w:val="0"/>
        <w:snapToGrid w:val="0"/>
        <w:spacing w:before="120" w:after="120" w:line="276" w:lineRule="auto"/>
        <w:jc w:val="center"/>
        <w:rPr>
          <w:rFonts w:eastAsia="华文中宋"/>
          <w:color w:val="000000"/>
          <w:sz w:val="44"/>
          <w:szCs w:val="44"/>
          <w:highlight w:val="none"/>
        </w:rPr>
      </w:pPr>
      <w:r>
        <w:rPr>
          <w:rFonts w:hint="eastAsia" w:eastAsia="华文中宋"/>
          <w:color w:val="000000"/>
          <w:sz w:val="44"/>
          <w:szCs w:val="44"/>
          <w:highlight w:val="none"/>
        </w:rPr>
        <w:t>询价文件</w:t>
      </w:r>
    </w:p>
    <w:p w14:paraId="7C4ACB48">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lang w:val="en-US" w:eastAsia="zh-CN"/>
        </w:rPr>
        <w:t>东莞市新锋新能源有限公司</w:t>
      </w:r>
      <w:r>
        <w:rPr>
          <w:rFonts w:hint="eastAsia" w:eastAsia="仿宋_GB2312"/>
          <w:color w:val="000000"/>
          <w:sz w:val="32"/>
          <w:szCs w:val="32"/>
          <w:highlight w:val="none"/>
          <w:u w:val="none"/>
          <w:lang w:val="en-US" w:eastAsia="zh-CN"/>
        </w:rPr>
        <w:t>宣传</w:t>
      </w:r>
      <w:r>
        <w:rPr>
          <w:rFonts w:hint="eastAsia" w:eastAsia="仿宋_GB2312"/>
          <w:color w:val="000000"/>
          <w:sz w:val="32"/>
          <w:szCs w:val="32"/>
          <w:highlight w:val="none"/>
        </w:rPr>
        <w:t>需采购一</w:t>
      </w:r>
      <w:r>
        <w:rPr>
          <w:rFonts w:hint="eastAsia" w:eastAsia="仿宋_GB2312"/>
          <w:color w:val="000000"/>
          <w:sz w:val="32"/>
          <w:szCs w:val="32"/>
          <w:highlight w:val="none"/>
          <w:lang w:val="en-US" w:eastAsia="zh-CN"/>
        </w:rPr>
        <w:t>项</w:t>
      </w:r>
      <w:r>
        <w:rPr>
          <w:rFonts w:hint="eastAsia" w:eastAsia="仿宋_GB2312"/>
          <w:color w:val="000000"/>
          <w:sz w:val="32"/>
          <w:szCs w:val="32"/>
          <w:highlight w:val="none"/>
          <w:u w:val="single"/>
          <w:lang w:val="en-US" w:eastAsia="zh-CN"/>
        </w:rPr>
        <w:t>电动自行车充电管理平台、运营平台建设</w:t>
      </w:r>
      <w:r>
        <w:rPr>
          <w:rFonts w:hint="eastAsia" w:eastAsia="仿宋_GB2312"/>
          <w:color w:val="000000"/>
          <w:sz w:val="32"/>
          <w:szCs w:val="32"/>
          <w:highlight w:val="none"/>
          <w:lang w:val="en-US" w:eastAsia="zh-CN"/>
        </w:rPr>
        <w:t>服务</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将进行公开询价，</w:t>
      </w:r>
      <w:r>
        <w:rPr>
          <w:rFonts w:hint="eastAsia" w:eastAsia="仿宋_GB2312"/>
          <w:color w:val="000000"/>
          <w:sz w:val="32"/>
          <w:szCs w:val="32"/>
          <w:highlight w:val="none"/>
        </w:rPr>
        <w:t>现将相关情况介绍如下：</w:t>
      </w:r>
    </w:p>
    <w:p w14:paraId="0DF4999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一、项目名称及内容</w:t>
      </w:r>
    </w:p>
    <w:p w14:paraId="2A9FC2EE">
      <w:pPr>
        <w:adjustRightInd w:val="0"/>
        <w:snapToGrid w:val="0"/>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、项目名称：</w:t>
      </w:r>
      <w:r>
        <w:rPr>
          <w:rFonts w:hint="eastAsia" w:eastAsia="仿宋_GB2312"/>
          <w:color w:val="000000"/>
          <w:sz w:val="32"/>
          <w:szCs w:val="32"/>
          <w:highlight w:val="none"/>
          <w:u w:val="single"/>
        </w:rPr>
        <w:t>东莞市电动自行车充电管理平台、电动自行车充电站运营平台第二阶段迭代升级；</w:t>
      </w:r>
    </w:p>
    <w:p w14:paraId="00508731">
      <w:pPr>
        <w:adjustRightInd w:val="0"/>
        <w:snapToGrid w:val="0"/>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服务</w:t>
      </w:r>
      <w:r>
        <w:rPr>
          <w:rFonts w:hint="eastAsia" w:eastAsia="仿宋_GB2312"/>
          <w:color w:val="000000"/>
          <w:sz w:val="32"/>
          <w:szCs w:val="32"/>
          <w:highlight w:val="none"/>
        </w:rPr>
        <w:t>地点：</w:t>
      </w:r>
      <w:r>
        <w:rPr>
          <w:rFonts w:hint="eastAsia" w:eastAsia="仿宋_GB2312"/>
          <w:color w:val="000000"/>
          <w:sz w:val="32"/>
          <w:szCs w:val="32"/>
          <w:highlight w:val="none"/>
          <w:u w:val="single"/>
        </w:rPr>
        <w:t>采购人指定地点；</w:t>
      </w:r>
    </w:p>
    <w:p w14:paraId="4DBAEC1C">
      <w:pPr>
        <w:adjustRightInd w:val="0"/>
        <w:snapToGrid w:val="0"/>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lang w:val="en-US" w:eastAsia="zh-CN"/>
        </w:rPr>
        <w:t>3</w:t>
      </w:r>
      <w:r>
        <w:rPr>
          <w:rFonts w:hint="eastAsia" w:eastAsia="仿宋_GB2312"/>
          <w:color w:val="000000"/>
          <w:sz w:val="32"/>
          <w:szCs w:val="32"/>
          <w:highlight w:val="none"/>
        </w:rPr>
        <w:t>、</w:t>
      </w:r>
      <w:r>
        <w:rPr>
          <w:rFonts w:hint="eastAsia" w:eastAsia="仿宋_GB2312"/>
          <w:color w:val="000000"/>
          <w:sz w:val="32"/>
          <w:szCs w:val="32"/>
          <w:highlight w:val="none"/>
          <w:lang w:val="en-US" w:eastAsia="zh-CN"/>
        </w:rPr>
        <w:t>工期要求</w:t>
      </w:r>
      <w:r>
        <w:rPr>
          <w:rFonts w:hint="eastAsia" w:eastAsia="仿宋_GB2312"/>
          <w:color w:val="000000"/>
          <w:sz w:val="32"/>
          <w:szCs w:val="32"/>
          <w:highlight w:val="none"/>
        </w:rPr>
        <w:t>：</w:t>
      </w:r>
      <w:r>
        <w:rPr>
          <w:rFonts w:hint="eastAsia" w:eastAsia="仿宋_GB2312"/>
          <w:color w:val="000000"/>
          <w:sz w:val="32"/>
          <w:szCs w:val="32"/>
          <w:highlight w:val="none"/>
          <w:u w:val="single"/>
          <w:lang w:val="en-US" w:eastAsia="zh-CN"/>
        </w:rPr>
        <w:t>2026年9月30日前完成验收；</w:t>
      </w:r>
    </w:p>
    <w:p w14:paraId="551F5195">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二、项目发布</w:t>
      </w:r>
    </w:p>
    <w:p w14:paraId="240C354C">
      <w:pPr>
        <w:adjustRightInd w:val="0"/>
        <w:snapToGrid w:val="0"/>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本采购项目信息在东莞实业投资控股集团有限公司网站（</w:t>
      </w:r>
      <w:r>
        <w:rPr>
          <w:rFonts w:eastAsia="仿宋_GB2312"/>
          <w:color w:val="000000"/>
          <w:sz w:val="32"/>
          <w:szCs w:val="32"/>
          <w:highlight w:val="none"/>
        </w:rPr>
        <w:t>http://www.dgsy.com.cn/</w:t>
      </w:r>
      <w:r>
        <w:rPr>
          <w:rFonts w:hint="eastAsia" w:eastAsia="仿宋_GB2312"/>
          <w:color w:val="000000"/>
          <w:sz w:val="32"/>
          <w:szCs w:val="32"/>
          <w:highlight w:val="none"/>
        </w:rPr>
        <w:t>）发布。</w:t>
      </w:r>
    </w:p>
    <w:p w14:paraId="57004BB7">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三、响应人资格要求</w:t>
      </w:r>
    </w:p>
    <w:p w14:paraId="0C37DD6D">
      <w:pPr>
        <w:adjustRightInd w:val="0"/>
        <w:snapToGrid w:val="0"/>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4210CB7">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2、业绩要求：至少完成1个城市区域级充电平台建设或服务、能源管理平台类相关项目业绩，要求2023年1月1日至今。【按合同签订时间为准，须提供合同关键页复印件（包含但不限于合同首页、合同金额页、合同签字页等）及平台截图】。</w:t>
      </w:r>
    </w:p>
    <w:p w14:paraId="0BFB8A0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领域黑名单。【以东莞实业投资控股集团</w:t>
      </w:r>
      <w:r>
        <w:rPr>
          <w:rFonts w:hint="default" w:ascii="Times New Roman" w:hAnsi="Times New Roman" w:eastAsia="仿宋_GB2312" w:cs="Times New Roman"/>
          <w:color w:val="auto"/>
          <w:sz w:val="32"/>
          <w:szCs w:val="32"/>
          <w:highlight w:val="none"/>
        </w:rPr>
        <w:t>有限公司发文（东实通〔2021〕44号）、（东实通〔2021〕98号）</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（东实通〔2022〕75号）（东实通〔2023〕37号）</w:t>
      </w:r>
      <w:r>
        <w:rPr>
          <w:rFonts w:hint="default" w:ascii="Times New Roman" w:hAnsi="Times New Roman" w:eastAsia="仿宋_GB2312" w:cs="Times New Roman"/>
          <w:color w:val="auto"/>
          <w:sz w:val="32"/>
          <w:szCs w:val="32"/>
          <w:highlight w:val="none"/>
        </w:rPr>
        <w:t>为准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如有最新发文通知，按最新文件执行。</w:t>
      </w:r>
      <w:r>
        <w:rPr>
          <w:rFonts w:hint="default" w:ascii="Times New Roman" w:hAnsi="Times New Roman" w:eastAsia="仿宋_GB2312" w:cs="Times New Roman"/>
          <w:color w:val="auto"/>
          <w:sz w:val="32"/>
          <w:szCs w:val="32"/>
          <w:highlight w:val="none"/>
        </w:rPr>
        <w:t>】</w:t>
      </w:r>
    </w:p>
    <w:p w14:paraId="7E2F123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四、采购内容及要求</w:t>
      </w:r>
    </w:p>
    <w:p w14:paraId="734DD122">
      <w:pPr>
        <w:adjustRightInd w:val="0"/>
        <w:snapToGrid w:val="0"/>
        <w:spacing w:line="600" w:lineRule="exact"/>
        <w:ind w:firstLine="640" w:firstLineChars="200"/>
        <w:outlineLvl w:val="1"/>
        <w:rPr>
          <w:rFonts w:hint="eastAsia" w:eastAsia="仿宋_GB2312"/>
          <w:color w:val="000000"/>
          <w:sz w:val="32"/>
          <w:szCs w:val="32"/>
          <w:highlight w:val="none"/>
          <w:u w:val="none"/>
        </w:rPr>
      </w:pPr>
      <w:r>
        <w:rPr>
          <w:rFonts w:hint="eastAsia" w:eastAsia="仿宋_GB2312"/>
          <w:color w:val="000000"/>
          <w:sz w:val="32"/>
          <w:szCs w:val="32"/>
          <w:highlight w:val="none"/>
          <w:u w:val="none"/>
          <w:lang w:val="en-US" w:eastAsia="zh-CN"/>
        </w:rPr>
        <w:t>我司</w:t>
      </w:r>
      <w:r>
        <w:rPr>
          <w:rFonts w:hint="eastAsia" w:eastAsia="仿宋_GB2312"/>
          <w:color w:val="000000"/>
          <w:sz w:val="32"/>
          <w:szCs w:val="32"/>
          <w:highlight w:val="none"/>
          <w:u w:val="none"/>
        </w:rPr>
        <w:t>于2026年1月份开展东莞市电动自行车充电管理平台、电动自行车充电站运营平台建设工作，一期SaaS版本的管理平台于2月11日上线</w:t>
      </w:r>
      <w:r>
        <w:rPr>
          <w:rFonts w:hint="eastAsia" w:eastAsia="仿宋_GB2312"/>
          <w:color w:val="000000"/>
          <w:sz w:val="32"/>
          <w:szCs w:val="32"/>
          <w:highlight w:val="none"/>
          <w:u w:val="none"/>
          <w:lang w:eastAsia="zh-CN"/>
        </w:rPr>
        <w:t>（</w:t>
      </w:r>
      <w:r>
        <w:rPr>
          <w:rFonts w:hint="eastAsia" w:eastAsia="仿宋_GB2312"/>
          <w:color w:val="000000"/>
          <w:sz w:val="32"/>
          <w:szCs w:val="32"/>
          <w:highlight w:val="none"/>
          <w:u w:val="none"/>
        </w:rPr>
        <w:t>基础版本，部署服务商的服务器上，不提供源代码</w:t>
      </w:r>
      <w:r>
        <w:rPr>
          <w:rFonts w:hint="eastAsia" w:eastAsia="仿宋_GB2312"/>
          <w:color w:val="000000"/>
          <w:sz w:val="32"/>
          <w:szCs w:val="32"/>
          <w:highlight w:val="none"/>
          <w:u w:val="none"/>
          <w:lang w:eastAsia="zh-CN"/>
        </w:rPr>
        <w:t>）</w:t>
      </w:r>
      <w:r>
        <w:rPr>
          <w:rFonts w:hint="eastAsia" w:eastAsia="仿宋_GB2312"/>
          <w:color w:val="000000"/>
          <w:sz w:val="32"/>
          <w:szCs w:val="32"/>
          <w:highlight w:val="none"/>
          <w:u w:val="none"/>
        </w:rPr>
        <w:t>。现启动二期建设，相关情况如下：</w:t>
      </w:r>
    </w:p>
    <w:p w14:paraId="14865B62">
      <w:pPr>
        <w:adjustRightInd w:val="0"/>
        <w:snapToGrid w:val="0"/>
        <w:spacing w:line="600" w:lineRule="exact"/>
        <w:ind w:firstLine="640" w:firstLineChars="200"/>
        <w:outlineLvl w:val="1"/>
        <w:rPr>
          <w:rFonts w:hint="eastAsia" w:eastAsia="仿宋_GB2312"/>
          <w:color w:val="000000"/>
          <w:sz w:val="32"/>
          <w:szCs w:val="32"/>
          <w:highlight w:val="none"/>
          <w:u w:val="none"/>
        </w:rPr>
      </w:pPr>
      <w:r>
        <w:rPr>
          <w:rFonts w:hint="eastAsia" w:eastAsia="仿宋_GB2312"/>
          <w:color w:val="000000"/>
          <w:sz w:val="32"/>
          <w:szCs w:val="32"/>
          <w:highlight w:val="none"/>
          <w:u w:val="none"/>
          <w:lang w:val="en-US" w:eastAsia="zh-CN"/>
        </w:rPr>
        <w:t>1</w:t>
      </w:r>
      <w:r>
        <w:rPr>
          <w:rFonts w:hint="eastAsia" w:eastAsia="仿宋_GB2312"/>
          <w:color w:val="000000"/>
          <w:sz w:val="32"/>
          <w:szCs w:val="32"/>
          <w:highlight w:val="none"/>
          <w:u w:val="none"/>
        </w:rPr>
        <w:t>、要实现对充电过程中的电流、电压、温度、电量、充电车次、告警等关键参数的实时监控，并将视频监控接入（AI识别明火及烟雾报警）。</w:t>
      </w:r>
    </w:p>
    <w:p w14:paraId="6B1178E5">
      <w:pPr>
        <w:numPr>
          <w:ilvl w:val="0"/>
          <w:numId w:val="0"/>
        </w:numPr>
        <w:adjustRightInd w:val="0"/>
        <w:snapToGrid w:val="0"/>
        <w:spacing w:line="600" w:lineRule="exact"/>
        <w:ind w:firstLine="640" w:firstLineChars="200"/>
        <w:outlineLvl w:val="1"/>
        <w:rPr>
          <w:rFonts w:hint="eastAsia" w:eastAsia="仿宋_GB2312"/>
          <w:color w:val="000000"/>
          <w:sz w:val="32"/>
          <w:szCs w:val="32"/>
          <w:highlight w:val="none"/>
          <w:u w:val="none"/>
        </w:rPr>
      </w:pPr>
      <w:r>
        <w:rPr>
          <w:rFonts w:hint="eastAsia" w:eastAsia="仿宋_GB2312" w:cs="Times New Roman"/>
          <w:color w:val="000000"/>
          <w:kern w:val="2"/>
          <w:sz w:val="32"/>
          <w:szCs w:val="32"/>
          <w:lang w:val="en-US" w:eastAsia="zh-CN" w:bidi="ar-SA"/>
        </w:rPr>
        <w:t>2</w:t>
      </w:r>
      <w:r>
        <w:rPr>
          <w:rFonts w:hint="eastAsia" w:ascii="Times New Roman" w:hAnsi="Times New Roman" w:eastAsia="仿宋_GB2312" w:cs="Times New Roman"/>
          <w:color w:val="000000"/>
          <w:kern w:val="2"/>
          <w:sz w:val="32"/>
          <w:szCs w:val="32"/>
          <w:lang w:val="en-US" w:eastAsia="zh-CN" w:bidi="ar-SA"/>
        </w:rPr>
        <w:t>、</w:t>
      </w:r>
      <w:r>
        <w:rPr>
          <w:rFonts w:hint="eastAsia" w:eastAsia="仿宋_GB2312"/>
          <w:color w:val="000000"/>
          <w:sz w:val="32"/>
          <w:szCs w:val="32"/>
          <w:highlight w:val="none"/>
          <w:u w:val="none"/>
        </w:rPr>
        <w:t>为便于电动自行车充电站收费运营管理，利用互联网、大数据等技术，构建智能充电网络，整合多品牌运营平台数据，实现"终端+云端+人端"，对充电站运行进行远程调度与管理。运营管理平台端功能包括：充电站远程控制、客户充电收费管理、电价策略灵活配置、异常订单处理、客户退款处理、开放站/专用站权限管理、运维管理（巡检、维护、维修工单派发）、经营管理（运营数据统计分析，数据可报表形式导出）、支持营销工具（优惠券、会员管理）等。</w:t>
      </w:r>
    </w:p>
    <w:p w14:paraId="68226272">
      <w:pPr>
        <w:numPr>
          <w:ilvl w:val="0"/>
          <w:numId w:val="0"/>
        </w:numPr>
        <w:adjustRightInd w:val="0"/>
        <w:snapToGrid w:val="0"/>
        <w:spacing w:line="600" w:lineRule="exact"/>
        <w:outlineLvl w:val="1"/>
        <w:rPr>
          <w:rFonts w:hint="eastAsia" w:ascii="Times New Roman" w:hAnsi="Times New Roman" w:eastAsia="仿宋_GB2312" w:cs="Times New Roman"/>
          <w:color w:val="000000"/>
          <w:kern w:val="2"/>
          <w:sz w:val="32"/>
          <w:szCs w:val="32"/>
          <w:lang w:val="en-US" w:eastAsia="zh-CN" w:bidi="ar-SA"/>
        </w:rPr>
      </w:pPr>
      <w:r>
        <w:rPr>
          <w:rFonts w:hint="eastAsia" w:eastAsia="仿宋_GB2312"/>
          <w:color w:val="000000"/>
          <w:sz w:val="32"/>
          <w:szCs w:val="32"/>
          <w:highlight w:val="none"/>
          <w:u w:val="none"/>
          <w:lang w:val="en-US" w:eastAsia="zh-CN"/>
        </w:rPr>
        <w:t xml:space="preserve">    </w:t>
      </w:r>
      <w:r>
        <w:rPr>
          <w:rFonts w:hint="eastAsia" w:eastAsia="仿宋_GB2312" w:cs="Times New Roman"/>
          <w:color w:val="000000"/>
          <w:kern w:val="2"/>
          <w:sz w:val="32"/>
          <w:szCs w:val="32"/>
          <w:lang w:val="en-US" w:eastAsia="zh-CN" w:bidi="ar-SA"/>
        </w:rPr>
        <w:t>3</w:t>
      </w:r>
      <w:r>
        <w:rPr>
          <w:rFonts w:hint="eastAsia" w:ascii="Times New Roman" w:hAnsi="Times New Roman" w:eastAsia="仿宋_GB2312" w:cs="Times New Roman"/>
          <w:color w:val="000000"/>
          <w:kern w:val="2"/>
          <w:sz w:val="32"/>
          <w:szCs w:val="32"/>
          <w:lang w:val="en-US" w:eastAsia="zh-CN" w:bidi="ar-SA"/>
        </w:rPr>
        <w:t>、平台开发进度要求：</w:t>
      </w:r>
    </w:p>
    <w:p w14:paraId="475E210B">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1</w:t>
      </w: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2026年4月30日前需完成电动自行车监管平台上线试运行；</w:t>
      </w:r>
    </w:p>
    <w:p w14:paraId="18AA4A8D">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2</w:t>
      </w: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2026年5月15日前完成电动自行车充电站运营平台上线试运行；</w:t>
      </w:r>
    </w:p>
    <w:p w14:paraId="3BA3C211">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3</w:t>
      </w: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2026年7月31日前完成75%的数据接入；</w:t>
      </w:r>
    </w:p>
    <w:p w14:paraId="0689B990">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4</w:t>
      </w:r>
      <w:r>
        <w:rPr>
          <w:rFonts w:hint="eastAsia" w:eastAsia="仿宋_GB2312" w:cs="Times New Roman"/>
          <w:color w:val="000000"/>
          <w:kern w:val="2"/>
          <w:sz w:val="32"/>
          <w:szCs w:val="32"/>
          <w:lang w:val="en-US" w:eastAsia="zh-CN" w:bidi="ar-SA"/>
        </w:rPr>
        <w:t>）</w:t>
      </w:r>
      <w:r>
        <w:rPr>
          <w:rFonts w:hint="eastAsia" w:ascii="Times New Roman" w:hAnsi="Times New Roman" w:eastAsia="仿宋_GB2312" w:cs="Times New Roman"/>
          <w:color w:val="000000"/>
          <w:kern w:val="2"/>
          <w:sz w:val="32"/>
          <w:szCs w:val="32"/>
          <w:lang w:val="en-US" w:eastAsia="zh-CN" w:bidi="ar-SA"/>
        </w:rPr>
        <w:t>2026年9月30日前完成功能全部开发，改进并完成验收。</w:t>
      </w:r>
    </w:p>
    <w:p w14:paraId="6672D0DD">
      <w:pPr>
        <w:numPr>
          <w:ilvl w:val="0"/>
          <w:numId w:val="0"/>
        </w:num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s="Times New Roman"/>
          <w:color w:val="000000"/>
          <w:kern w:val="2"/>
          <w:sz w:val="32"/>
          <w:szCs w:val="32"/>
          <w:lang w:val="en-US" w:eastAsia="zh-CN" w:bidi="ar-SA"/>
        </w:rPr>
        <w:t>（5）</w:t>
      </w:r>
      <w:r>
        <w:rPr>
          <w:rFonts w:hint="eastAsia" w:ascii="Times New Roman" w:hAnsi="Times New Roman" w:eastAsia="仿宋_GB2312" w:cs="Times New Roman"/>
          <w:color w:val="000000"/>
          <w:kern w:val="2"/>
          <w:sz w:val="32"/>
          <w:szCs w:val="32"/>
          <w:lang w:val="en-US" w:eastAsia="zh-CN" w:bidi="ar-SA"/>
        </w:rPr>
        <w:t>以上平台开发进度，每逾期一天罚款</w:t>
      </w:r>
      <w:r>
        <w:rPr>
          <w:rFonts w:hint="eastAsia" w:eastAsia="仿宋_GB2312" w:cs="Times New Roman"/>
          <w:color w:val="000000"/>
          <w:kern w:val="2"/>
          <w:sz w:val="32"/>
          <w:szCs w:val="32"/>
          <w:lang w:val="en-US" w:eastAsia="zh-CN" w:bidi="ar-SA"/>
        </w:rPr>
        <w:t>2</w:t>
      </w:r>
      <w:r>
        <w:rPr>
          <w:rFonts w:hint="eastAsia" w:ascii="Times New Roman" w:hAnsi="Times New Roman" w:eastAsia="仿宋_GB2312" w:cs="Times New Roman"/>
          <w:color w:val="000000"/>
          <w:kern w:val="2"/>
          <w:sz w:val="32"/>
          <w:szCs w:val="32"/>
          <w:lang w:val="en-US" w:eastAsia="zh-CN" w:bidi="ar-SA"/>
        </w:rPr>
        <w:t>000元。</w:t>
      </w:r>
    </w:p>
    <w:p w14:paraId="110DFBEA">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rPr>
        <w:t>现委托有资质第三方建设，提供平台系统迭代服务（平台系统搭建及数据接入，含网页版及微信小程序，提供源代码）、云服务器及数据库（第一年代租赁）、二级等保测试并出具报告</w:t>
      </w:r>
      <w:r>
        <w:rPr>
          <w:rFonts w:hint="eastAsia" w:eastAsia="仿宋_GB2312"/>
          <w:color w:val="000000"/>
          <w:sz w:val="32"/>
          <w:szCs w:val="32"/>
          <w:highlight w:val="none"/>
          <w:u w:val="none"/>
          <w:lang w:val="en-US" w:eastAsia="zh-CN"/>
        </w:rPr>
        <w:t>等</w:t>
      </w:r>
      <w:r>
        <w:rPr>
          <w:rFonts w:hint="eastAsia" w:eastAsia="仿宋_GB2312"/>
          <w:color w:val="000000"/>
          <w:sz w:val="32"/>
          <w:szCs w:val="32"/>
          <w:highlight w:val="none"/>
          <w:u w:val="none"/>
        </w:rPr>
        <w:t>。</w:t>
      </w:r>
      <w:r>
        <w:rPr>
          <w:rFonts w:hint="eastAsia" w:eastAsia="仿宋_GB2312"/>
          <w:color w:val="000000"/>
          <w:sz w:val="32"/>
          <w:szCs w:val="32"/>
          <w:highlight w:val="none"/>
          <w:u w:val="none"/>
          <w:lang w:val="en-US" w:eastAsia="zh-CN"/>
        </w:rPr>
        <w:t>具体功能需求如下：</w:t>
      </w:r>
    </w:p>
    <w:tbl>
      <w:tblPr>
        <w:tblStyle w:val="18"/>
        <w:tblW w:w="950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2"/>
        <w:gridCol w:w="1728"/>
        <w:gridCol w:w="6803"/>
      </w:tblGrid>
      <w:tr w14:paraId="5A432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950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72DF0">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东莞市电动自行车充电管理平台功能需求</w:t>
            </w:r>
          </w:p>
        </w:tc>
      </w:tr>
      <w:tr w14:paraId="4A127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9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21E2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30DB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功能模块</w:t>
            </w: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0B32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具体功能</w:t>
            </w:r>
          </w:p>
        </w:tc>
      </w:tr>
      <w:tr w14:paraId="2FDE4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BA69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07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数字化大屏</w:t>
            </w: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1972B">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平台名称：东莞市电动自行车充电管理平台</w:t>
            </w:r>
          </w:p>
        </w:tc>
      </w:tr>
      <w:tr w14:paraId="48055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1BB4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B35C3">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786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可以看到接入的累计运营商/企业的总数</w:t>
            </w:r>
          </w:p>
        </w:tc>
      </w:tr>
      <w:tr w14:paraId="7BB6C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F03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B82C7">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E649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可以看到接入的充电桩相关的数据：</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1.累计充电桩总数；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2.累计充电端口总数；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3.实时充电端口数；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4.累计充电站点总数；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5.端口使用情况，空闲/占用的比例；</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6.充电电量趋势，可按每小时、每日、每月、每年显示趋势；</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7.充电车次趋势，可按每小时、每日、每月、每年显示趋势；</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8.充电端口增长趋势，按月、年显示；</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9.区域内各小区的所有设备数量和端口数滚动轮播；</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10.区域内各小区的充电端口数量排行；</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11.分布在中间的是客户所在区域（东莞市）地图的轮廓，地图划分到镇级别，会显示各个区域站点标识；</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12.点击地图上的街道可以进入镇街级别的地图，地图显示各个站点标识，大屏相关数据同步显示为本镇街的数据；</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13.点击地图上某站点，可以跳转到该站点的具体运行数据画面；</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14.显示实时告警数量，点击进去可以看到具体告警项目、告警内容、紧急联系人和电话、视频画面。</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15.安全设施的数量（摄像头、烟感传感器、电力采集器、喷淋系统、灭火器）</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16.也可以通过筛选进行选择和还原回最初的数据状态。</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17.其他必要的数据展示。</w:t>
            </w:r>
          </w:p>
        </w:tc>
      </w:tr>
      <w:tr w14:paraId="2B52B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8F0E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C6EDE">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0F2C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可以看到接入的告警相关数据：</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不同告警类型的占比（烟火险情、明火预警、温度过高、电流过高、电压过高、电流过低。</w:t>
            </w:r>
          </w:p>
        </w:tc>
      </w:tr>
      <w:tr w14:paraId="539D8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DB30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E04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站点管理</w:t>
            </w: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3C25">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主要功能是在地图上查看所有站点的分布和具体定位</w:t>
            </w:r>
          </w:p>
        </w:tc>
      </w:tr>
      <w:tr w14:paraId="6DE5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7E08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E4CFC">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6CA2">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站点管理列表可通过2个查询条件进行查询索要查询的站点：</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1.直接输入站点名称搜索；</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2.筛选站点的行政划分。</w:t>
            </w:r>
          </w:p>
        </w:tc>
      </w:tr>
      <w:tr w14:paraId="317D0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E064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D4183">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995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点击站点详情可查看此站点的详情信息：</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1.站点名称，充电类型（充电/换电），站点类型（住宅类、自建房、机关、学校、医院、交通枢纽、商场、市场、写字楼、公园和旅游景区、体育馆、市政路旁）；</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2.直流充电桩和交流充电桩的数量，累计告警数量；</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3.本站点共有充电端口数量、充电中的端口数、故障的端口数、待机的端口数、锁定的端口数；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4.安全设施的数量（摄像头、烟感传感器、电力采集器、喷淋系统、灭火器）；</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5.充电桩设备的设备号、充电桩设备的设备类型、充电桩设备的设备名称；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6.充电电量趋势，可按每小时、每日、每月、每年显示趋势；</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7.充电车次趋势，可按每小时、每日、每月、每年显示趋势；</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8.显示收费标准；</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9.显示实时告警数量，点击进去可以看到具体告警项目、告警内容、紧急联系人和电话、视频画面。</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10.站点信息，信息内容包含但不限于：站点名称、地址（镇街、村社区必选，便于后台数据区分统计）、运营商（可在本系统选入）、紧急联系人及电话、站点类型（充电/换电）、直流充电桩和交流充电桩的数量、充电端口数量、安全设施的数量（摄像头、烟感传感器、电力采集器、喷淋系统、灭火器）、充电桩设备的设备号、充电桩设备的设备类型、充电桩设备的设备名称等。--运营商接口对接实现</w:t>
            </w:r>
          </w:p>
        </w:tc>
      </w:tr>
      <w:tr w14:paraId="12D94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D0E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59E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告警数据总览</w:t>
            </w: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5B1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告警数据：呈现了数据的可视化报表。可便捷查看以下内容</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1.全部告警数：即平台搭建以来所有的告警数；</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2.不同告警类型的占比（烟火险情、明火预警、温度过高、电流过高、电压过高、电流过低；</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3.不同告警类型的具体告警数量（烟火险情、明火预警、温度过高、电流过高、电压过高、电流过低）；</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4.目前系统值守的站点数量；</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5.告警趋势，可按每小时、每日、每月、每年显示趋势；</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6.本月哪日有告警的日历图表；</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7.区域内不同行政区划/站点的告警数量排行。（可按镇街、村社区两种级别排名）</w:t>
            </w:r>
          </w:p>
        </w:tc>
      </w:tr>
      <w:tr w14:paraId="5BDB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A2A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FF4F7">
            <w:pPr>
              <w:jc w:val="center"/>
              <w:rPr>
                <w:rFonts w:hint="eastAsia" w:ascii="仿宋_GB2312" w:hAnsi="仿宋_GB2312" w:eastAsia="仿宋_GB2312" w:cs="仿宋_GB2312"/>
                <w:i w:val="0"/>
                <w:iCs w:val="0"/>
                <w:color w:val="000000"/>
                <w:sz w:val="24"/>
                <w:szCs w:val="24"/>
                <w:u w:val="none"/>
              </w:rPr>
            </w:pP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4A44">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告警列表：在左侧选择告警后，右侧可查看此告警的详情详细</w:t>
            </w:r>
          </w:p>
        </w:tc>
      </w:tr>
      <w:tr w14:paraId="3BB01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C658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4F1F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视频监控</w:t>
            </w: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0B7E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可通过左侧的站点列表来选择指定站点，来查看其视频监控画面，点击画面后可以全屏播放。需符合国标GB28181-2016，有兼容性风险</w:t>
            </w:r>
          </w:p>
        </w:tc>
      </w:tr>
      <w:tr w14:paraId="0F38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3CA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883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运营商管理</w:t>
            </w: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A4D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1.可用运营商名称、联系人、电话、统一社会信用代码等方式搜索运营商信息；</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2.显示已录入运营商信息列表；</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3.可人工录入运营商信息，信息内容包含：企业名称、法人代表、客服电话、运营商类别、统一社会信用代码、企业注册地址等；</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4.可导出所有运营商信息台账。</w:t>
            </w:r>
          </w:p>
        </w:tc>
      </w:tr>
      <w:tr w14:paraId="10C0A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9A5B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CB15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报表管理</w:t>
            </w: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F86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1.可以按站点名称，查询和导出该站点的充电电量、充电次数、告警信息；</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2.可以按站点类型，查询和导出该类型站点的充电电量、充电次数、告警信息；</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3.可以按时间方式，查询和导出每日、或每月、或每年的充电电量、充电次数、告警信息；</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4.可以按区域方式，查询和导出市、或镇街、或村社区的充电电量、充电次数、告警信息；</w:t>
            </w:r>
          </w:p>
        </w:tc>
      </w:tr>
      <w:tr w14:paraId="3B428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9E9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87AD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系统管理</w:t>
            </w:r>
          </w:p>
        </w:tc>
        <w:tc>
          <w:tcPr>
            <w:tcW w:w="68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9E1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可以设置子账号给下级单位，并可按不同部分进行区分，可以设置不同权限。</w:t>
            </w:r>
          </w:p>
        </w:tc>
      </w:tr>
      <w:tr w14:paraId="77B45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BAD8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2FB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微信小程序</w:t>
            </w:r>
          </w:p>
        </w:tc>
        <w:tc>
          <w:tcPr>
            <w:tcW w:w="68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711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在微信小程序可以看到监管平台数据总览，包含：站点数量、端口总数量、告警总数量、总电量，当前告警数量、电量等数据，可二级按镇街或村社区查询这些数据。</w:t>
            </w:r>
          </w:p>
        </w:tc>
      </w:tr>
    </w:tbl>
    <w:p w14:paraId="26AD2A10">
      <w:pPr>
        <w:adjustRightInd w:val="0"/>
        <w:snapToGrid w:val="0"/>
        <w:spacing w:line="600" w:lineRule="exact"/>
        <w:outlineLvl w:val="1"/>
        <w:rPr>
          <w:rFonts w:hint="default" w:eastAsia="仿宋_GB2312"/>
          <w:color w:val="000000"/>
          <w:sz w:val="32"/>
          <w:szCs w:val="32"/>
          <w:highlight w:val="none"/>
          <w:u w:val="none"/>
          <w:lang w:val="en-US" w:eastAsia="zh-CN"/>
        </w:rPr>
      </w:pPr>
    </w:p>
    <w:tbl>
      <w:tblPr>
        <w:tblStyle w:val="18"/>
        <w:tblW w:w="9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28"/>
        <w:gridCol w:w="1296"/>
        <w:gridCol w:w="1416"/>
        <w:gridCol w:w="1374"/>
        <w:gridCol w:w="4547"/>
      </w:tblGrid>
      <w:tr w14:paraId="14614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461" w:type="dxa"/>
            <w:gridSpan w:val="5"/>
            <w:shd w:val="clear" w:color="auto" w:fill="auto"/>
            <w:noWrap/>
            <w:vAlign w:val="center"/>
          </w:tcPr>
          <w:p w14:paraId="7AC5C0D3">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8"/>
                <w:szCs w:val="28"/>
                <w:u w:val="none"/>
                <w:lang w:val="en-US" w:eastAsia="zh-CN" w:bidi="ar"/>
              </w:rPr>
              <w:t>电动自行车充电站运营平台功能需求</w:t>
            </w:r>
          </w:p>
        </w:tc>
      </w:tr>
      <w:tr w14:paraId="43B20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shd w:val="clear" w:color="auto" w:fill="FFFFFF" w:themeFill="background1"/>
            <w:vAlign w:val="center"/>
          </w:tcPr>
          <w:p w14:paraId="78CD83B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系统</w:t>
            </w:r>
          </w:p>
        </w:tc>
        <w:tc>
          <w:tcPr>
            <w:tcW w:w="1296" w:type="dxa"/>
            <w:shd w:val="clear" w:color="auto" w:fill="FFFFFF" w:themeFill="background1"/>
            <w:vAlign w:val="center"/>
          </w:tcPr>
          <w:p w14:paraId="712B628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一级功能</w:t>
            </w:r>
          </w:p>
        </w:tc>
        <w:tc>
          <w:tcPr>
            <w:tcW w:w="1416" w:type="dxa"/>
            <w:shd w:val="clear" w:color="auto" w:fill="FFFFFF" w:themeFill="background1"/>
            <w:vAlign w:val="center"/>
          </w:tcPr>
          <w:p w14:paraId="48D99F2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二级功能</w:t>
            </w:r>
          </w:p>
        </w:tc>
        <w:tc>
          <w:tcPr>
            <w:tcW w:w="1374" w:type="dxa"/>
            <w:shd w:val="clear" w:color="auto" w:fill="FFFFFF" w:themeFill="background1"/>
            <w:vAlign w:val="center"/>
          </w:tcPr>
          <w:p w14:paraId="1138D2B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三级功能</w:t>
            </w:r>
          </w:p>
        </w:tc>
        <w:tc>
          <w:tcPr>
            <w:tcW w:w="4547" w:type="dxa"/>
            <w:shd w:val="clear" w:color="auto" w:fill="FFFFFF" w:themeFill="background1"/>
            <w:vAlign w:val="center"/>
          </w:tcPr>
          <w:p w14:paraId="297C0EA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描述</w:t>
            </w:r>
          </w:p>
        </w:tc>
      </w:tr>
      <w:tr w14:paraId="6F23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28" w:type="dxa"/>
            <w:vMerge w:val="restart"/>
            <w:shd w:val="clear" w:color="auto" w:fill="FFFFFF"/>
            <w:vAlign w:val="center"/>
          </w:tcPr>
          <w:p w14:paraId="1AC1B63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运营管理平台</w:t>
            </w:r>
          </w:p>
        </w:tc>
        <w:tc>
          <w:tcPr>
            <w:tcW w:w="1296" w:type="dxa"/>
            <w:vMerge w:val="restart"/>
            <w:shd w:val="clear" w:color="auto" w:fill="FFFFFF"/>
            <w:vAlign w:val="center"/>
          </w:tcPr>
          <w:p w14:paraId="38A0303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运营分析</w:t>
            </w:r>
          </w:p>
        </w:tc>
        <w:tc>
          <w:tcPr>
            <w:tcW w:w="1416" w:type="dxa"/>
            <w:vMerge w:val="restart"/>
            <w:shd w:val="clear" w:color="auto" w:fill="FFFFFF"/>
            <w:vAlign w:val="center"/>
          </w:tcPr>
          <w:p w14:paraId="3DDF581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首页总览</w:t>
            </w:r>
          </w:p>
        </w:tc>
        <w:tc>
          <w:tcPr>
            <w:tcW w:w="1374" w:type="dxa"/>
            <w:shd w:val="clear" w:color="auto" w:fill="FFFFFF"/>
            <w:vAlign w:val="center"/>
          </w:tcPr>
          <w:p w14:paraId="75AC710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核心数据</w:t>
            </w:r>
          </w:p>
        </w:tc>
        <w:tc>
          <w:tcPr>
            <w:tcW w:w="4547" w:type="dxa"/>
            <w:shd w:val="clear" w:color="auto" w:fill="FFFFFF"/>
            <w:vAlign w:val="center"/>
          </w:tcPr>
          <w:p w14:paraId="320EFE3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支持对平台的核心运营数据进行统计，包括运营商数量、物业公司数量、物业项目数量、合伙人数量、充电桩站数据、今日/累计订单金额、今日/累计充电量、今日/累计充电订单以及今日/累计充电用户数。</w:t>
            </w:r>
          </w:p>
        </w:tc>
      </w:tr>
      <w:tr w14:paraId="630DF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28" w:type="dxa"/>
            <w:vMerge w:val="continue"/>
            <w:shd w:val="clear" w:color="auto" w:fill="FFFFFF"/>
            <w:vAlign w:val="center"/>
          </w:tcPr>
          <w:p w14:paraId="3888130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67FE153">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4E43DD7">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46374E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设备情况</w:t>
            </w:r>
          </w:p>
        </w:tc>
        <w:tc>
          <w:tcPr>
            <w:tcW w:w="4547" w:type="dxa"/>
            <w:shd w:val="clear" w:color="auto" w:fill="FFFFFF"/>
            <w:vAlign w:val="center"/>
          </w:tcPr>
          <w:p w14:paraId="7B4FC51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对充电设备和插座的在线、在用状态进行统计，并支持从使用率、平均订单金额、故障率、使用时长四个维度对插座运营情况进行分析。</w:t>
            </w:r>
          </w:p>
        </w:tc>
      </w:tr>
      <w:tr w14:paraId="1C3C9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28" w:type="dxa"/>
            <w:vMerge w:val="continue"/>
            <w:shd w:val="clear" w:color="auto" w:fill="FFFFFF"/>
            <w:vAlign w:val="center"/>
          </w:tcPr>
          <w:p w14:paraId="6DCE04A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5CB5538">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328D9B76">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46E752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营收统计</w:t>
            </w:r>
          </w:p>
        </w:tc>
        <w:tc>
          <w:tcPr>
            <w:tcW w:w="4547" w:type="dxa"/>
            <w:shd w:val="clear" w:color="auto" w:fill="FFFFFF"/>
            <w:vAlign w:val="center"/>
          </w:tcPr>
          <w:p w14:paraId="7307CF2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支持按订单金额、交易流水两个维度对日、月、年的营收情况进行统计，并可以按小时、日、月展示营收变化趋势。</w:t>
            </w:r>
          </w:p>
        </w:tc>
      </w:tr>
      <w:tr w14:paraId="2B626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11B9D76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D9F9BCA">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4BEA1F10">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77EE03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排名分析</w:t>
            </w:r>
          </w:p>
        </w:tc>
        <w:tc>
          <w:tcPr>
            <w:tcW w:w="4547" w:type="dxa"/>
            <w:shd w:val="clear" w:color="auto" w:fill="FFFFFF"/>
            <w:vAlign w:val="center"/>
          </w:tcPr>
          <w:p w14:paraId="29D821B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支持按插座使用率、客单价、订单量、订单金额四个维度对运营商、物业项目、充电站进行排名分析。</w:t>
            </w:r>
          </w:p>
        </w:tc>
      </w:tr>
      <w:tr w14:paraId="26BB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33A88E5E">
            <w:pPr>
              <w:jc w:val="center"/>
              <w:rPr>
                <w:rFonts w:hint="eastAsia" w:ascii="仿宋_GB2312" w:hAnsi="仿宋_GB2312" w:eastAsia="仿宋_GB2312" w:cs="仿宋_GB2312"/>
                <w:i w:val="0"/>
                <w:iCs w:val="0"/>
                <w:color w:val="000000"/>
                <w:sz w:val="24"/>
                <w:szCs w:val="24"/>
                <w:u w:val="none"/>
              </w:rPr>
            </w:pPr>
          </w:p>
        </w:tc>
        <w:tc>
          <w:tcPr>
            <w:tcW w:w="1296" w:type="dxa"/>
            <w:shd w:val="clear" w:color="auto" w:fill="FFFFFF"/>
            <w:vAlign w:val="center"/>
          </w:tcPr>
          <w:p w14:paraId="77ADCD4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商户管理</w:t>
            </w:r>
          </w:p>
        </w:tc>
        <w:tc>
          <w:tcPr>
            <w:tcW w:w="1416" w:type="dxa"/>
            <w:shd w:val="clear" w:color="auto" w:fill="FFFFFF"/>
            <w:vAlign w:val="center"/>
          </w:tcPr>
          <w:p w14:paraId="25C9E66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商户管理</w:t>
            </w:r>
          </w:p>
        </w:tc>
        <w:tc>
          <w:tcPr>
            <w:tcW w:w="1374" w:type="dxa"/>
            <w:shd w:val="clear" w:color="auto" w:fill="FFFFFF"/>
            <w:vAlign w:val="center"/>
          </w:tcPr>
          <w:p w14:paraId="7F2D2A4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运营商</w:t>
            </w:r>
          </w:p>
        </w:tc>
        <w:tc>
          <w:tcPr>
            <w:tcW w:w="4547" w:type="dxa"/>
            <w:shd w:val="clear" w:color="auto" w:fill="FFFFFF"/>
            <w:vAlign w:val="center"/>
          </w:tcPr>
          <w:p w14:paraId="65F11E5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支持对充电站运营商信息进行管理，运营商是充电站的运营主体，对充电站进行日常管理。一个商户可以既是物业又是运营商。</w:t>
            </w:r>
          </w:p>
        </w:tc>
      </w:tr>
      <w:tr w14:paraId="06C2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28" w:type="dxa"/>
            <w:vMerge w:val="continue"/>
            <w:shd w:val="clear" w:color="auto" w:fill="FFFFFF"/>
            <w:vAlign w:val="center"/>
          </w:tcPr>
          <w:p w14:paraId="37D09275">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48EAEC9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充电站管理</w:t>
            </w:r>
          </w:p>
        </w:tc>
        <w:tc>
          <w:tcPr>
            <w:tcW w:w="1416" w:type="dxa"/>
            <w:shd w:val="clear" w:color="auto" w:fill="FFFFFF"/>
            <w:vAlign w:val="center"/>
          </w:tcPr>
          <w:p w14:paraId="642424D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物业项目管理</w:t>
            </w:r>
          </w:p>
        </w:tc>
        <w:tc>
          <w:tcPr>
            <w:tcW w:w="1374" w:type="dxa"/>
            <w:shd w:val="clear" w:color="auto" w:fill="FFFFFF"/>
            <w:vAlign w:val="center"/>
          </w:tcPr>
          <w:p w14:paraId="1C02C3BD">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12815F8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物业项目可以按业态（如小区、写字楼等）进行分类，新增物业项目时，可以维护物业项目的基础情况信息（如楼栋数、常驻人数、电动车保有量等数据）。</w:t>
            </w:r>
          </w:p>
        </w:tc>
      </w:tr>
      <w:tr w14:paraId="6EC9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7DB4905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9B6B272">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7DDFACE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站点管理</w:t>
            </w:r>
          </w:p>
        </w:tc>
        <w:tc>
          <w:tcPr>
            <w:tcW w:w="1374" w:type="dxa"/>
            <w:shd w:val="clear" w:color="auto" w:fill="FFFFFF"/>
            <w:vAlign w:val="center"/>
          </w:tcPr>
          <w:p w14:paraId="34D436B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站点新增</w:t>
            </w:r>
          </w:p>
        </w:tc>
        <w:tc>
          <w:tcPr>
            <w:tcW w:w="4547" w:type="dxa"/>
            <w:shd w:val="clear" w:color="auto" w:fill="FFFFFF"/>
            <w:vAlign w:val="center"/>
          </w:tcPr>
          <w:p w14:paraId="5509D9B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支持新增和编辑充电站点，充电站挂在物业项目下面。</w:t>
            </w:r>
          </w:p>
        </w:tc>
      </w:tr>
      <w:tr w14:paraId="05F98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12631BA3">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F590CAC">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02E6388F">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2A4511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站点状态</w:t>
            </w:r>
          </w:p>
        </w:tc>
        <w:tc>
          <w:tcPr>
            <w:tcW w:w="4547" w:type="dxa"/>
            <w:shd w:val="clear" w:color="auto" w:fill="FFFFFF"/>
            <w:vAlign w:val="center"/>
          </w:tcPr>
          <w:p w14:paraId="2EFFEE7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支持对充电站修改充电站运营状态，包括：投运、检修、退运、停运、建设。</w:t>
            </w:r>
          </w:p>
        </w:tc>
      </w:tr>
      <w:tr w14:paraId="03A7A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128C27C3">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6F5CD1C">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45BD1FD8">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51D53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站点详情</w:t>
            </w:r>
          </w:p>
        </w:tc>
        <w:tc>
          <w:tcPr>
            <w:tcW w:w="4547" w:type="dxa"/>
            <w:shd w:val="clear" w:color="auto" w:fill="FFFFFF"/>
            <w:vAlign w:val="center"/>
          </w:tcPr>
          <w:p w14:paraId="6D8E8C1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站点详情展示：站点基本信息、计费信息、站点设备实况等。</w:t>
            </w:r>
          </w:p>
        </w:tc>
      </w:tr>
      <w:tr w14:paraId="07AB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10CC1A2D">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746AB88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设备管理</w:t>
            </w:r>
          </w:p>
        </w:tc>
        <w:tc>
          <w:tcPr>
            <w:tcW w:w="1416" w:type="dxa"/>
            <w:vMerge w:val="restart"/>
            <w:shd w:val="clear" w:color="auto" w:fill="FFFFFF"/>
            <w:vAlign w:val="center"/>
          </w:tcPr>
          <w:p w14:paraId="51066F7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品牌型号</w:t>
            </w:r>
          </w:p>
        </w:tc>
        <w:tc>
          <w:tcPr>
            <w:tcW w:w="1374" w:type="dxa"/>
            <w:shd w:val="clear" w:color="auto" w:fill="FFFFFF"/>
            <w:vAlign w:val="center"/>
          </w:tcPr>
          <w:p w14:paraId="1DF861C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品牌管理</w:t>
            </w:r>
          </w:p>
        </w:tc>
        <w:tc>
          <w:tcPr>
            <w:tcW w:w="4547" w:type="dxa"/>
            <w:shd w:val="clear" w:color="auto" w:fill="FFFFFF"/>
            <w:vAlign w:val="center"/>
          </w:tcPr>
          <w:p w14:paraId="2444B8F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支持管理充电桩设备品牌信息。</w:t>
            </w:r>
          </w:p>
        </w:tc>
      </w:tr>
      <w:tr w14:paraId="5E0F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0955937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DA07932">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00CA7EDB">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0F47A25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型号管理</w:t>
            </w:r>
          </w:p>
        </w:tc>
        <w:tc>
          <w:tcPr>
            <w:tcW w:w="4547" w:type="dxa"/>
            <w:shd w:val="clear" w:color="auto" w:fill="FFFFFF"/>
            <w:vAlign w:val="center"/>
          </w:tcPr>
          <w:p w14:paraId="5D3095E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支持管理充电桩设备型号信息，包括型号参数信息、充电控制参数信息。</w:t>
            </w:r>
          </w:p>
        </w:tc>
      </w:tr>
      <w:tr w14:paraId="60FD8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23AFE0D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2DD3CDA">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66316A1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充电桩管理</w:t>
            </w:r>
          </w:p>
        </w:tc>
        <w:tc>
          <w:tcPr>
            <w:tcW w:w="1374" w:type="dxa"/>
            <w:shd w:val="clear" w:color="auto" w:fill="FFFFFF"/>
            <w:vAlign w:val="center"/>
          </w:tcPr>
          <w:p w14:paraId="7D28200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设备新增</w:t>
            </w:r>
          </w:p>
        </w:tc>
        <w:tc>
          <w:tcPr>
            <w:tcW w:w="4547" w:type="dxa"/>
            <w:shd w:val="clear" w:color="auto" w:fill="FFFFFF"/>
            <w:vAlign w:val="center"/>
          </w:tcPr>
          <w:p w14:paraId="4CA67AB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支持新增和编辑充电设备，充电设备挂在充电站下面。</w:t>
            </w:r>
          </w:p>
        </w:tc>
      </w:tr>
      <w:tr w14:paraId="64540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28200B7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D127CD4">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6835579A">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6C30687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平台二维码</w:t>
            </w:r>
          </w:p>
        </w:tc>
        <w:tc>
          <w:tcPr>
            <w:tcW w:w="4547" w:type="dxa"/>
            <w:shd w:val="clear" w:color="auto" w:fill="FFFFFF"/>
            <w:vAlign w:val="center"/>
          </w:tcPr>
          <w:p w14:paraId="4CDC2E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生成和下载平台侧设备二维码。可以按充电设备和插座生成二维码。</w:t>
            </w:r>
          </w:p>
        </w:tc>
      </w:tr>
      <w:tr w14:paraId="4ECC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28" w:type="dxa"/>
            <w:vMerge w:val="continue"/>
            <w:shd w:val="clear" w:color="auto" w:fill="FFFFFF"/>
            <w:vAlign w:val="center"/>
          </w:tcPr>
          <w:p w14:paraId="7BC3275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19CF78B">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2B0C18CC">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EA9F64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支付宝二维码</w:t>
            </w:r>
          </w:p>
        </w:tc>
        <w:tc>
          <w:tcPr>
            <w:tcW w:w="4547" w:type="dxa"/>
            <w:shd w:val="clear" w:color="auto" w:fill="FFFFFF"/>
            <w:vAlign w:val="center"/>
          </w:tcPr>
          <w:p w14:paraId="4AA21AF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生成和下载支付宝侧设备二维码。可以按充电设备和插座生成二维码。</w:t>
            </w:r>
          </w:p>
        </w:tc>
      </w:tr>
      <w:tr w14:paraId="6D1B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210FDAE">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6D98BC2">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0FCD1AF2">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1F6496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设备详情</w:t>
            </w:r>
          </w:p>
        </w:tc>
        <w:tc>
          <w:tcPr>
            <w:tcW w:w="4547" w:type="dxa"/>
            <w:shd w:val="clear" w:color="auto" w:fill="FFFFFF"/>
            <w:vAlign w:val="center"/>
          </w:tcPr>
          <w:p w14:paraId="58BA520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可以查询设备的详情信息，可以查询设备端口状态，端口在充订单。</w:t>
            </w:r>
          </w:p>
        </w:tc>
      </w:tr>
      <w:tr w14:paraId="62429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3592DD4">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A53D852">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76DFB5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批量生码</w:t>
            </w:r>
          </w:p>
        </w:tc>
        <w:tc>
          <w:tcPr>
            <w:tcW w:w="1374" w:type="dxa"/>
            <w:shd w:val="clear" w:color="auto" w:fill="FFFFFF"/>
            <w:vAlign w:val="center"/>
          </w:tcPr>
          <w:p w14:paraId="7F5802CE">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35E4216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支持通过平台设备编码预先批量生成设备和端口二维码。</w:t>
            </w:r>
          </w:p>
        </w:tc>
      </w:tr>
      <w:tr w14:paraId="72BEB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828" w:type="dxa"/>
            <w:vMerge w:val="continue"/>
            <w:shd w:val="clear" w:color="auto" w:fill="FFFFFF"/>
            <w:vAlign w:val="center"/>
          </w:tcPr>
          <w:p w14:paraId="39E2AF63">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6F5FD05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计费管理</w:t>
            </w:r>
          </w:p>
        </w:tc>
        <w:tc>
          <w:tcPr>
            <w:tcW w:w="1416" w:type="dxa"/>
            <w:vMerge w:val="restart"/>
            <w:shd w:val="clear" w:color="auto" w:fill="FFFFFF"/>
            <w:vAlign w:val="center"/>
          </w:tcPr>
          <w:p w14:paraId="2B196F5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计费模板</w:t>
            </w:r>
          </w:p>
        </w:tc>
        <w:tc>
          <w:tcPr>
            <w:tcW w:w="1374" w:type="dxa"/>
            <w:shd w:val="clear" w:color="auto" w:fill="FFFFFF"/>
            <w:vAlign w:val="center"/>
          </w:tcPr>
          <w:p w14:paraId="509278F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价费分离</w:t>
            </w:r>
          </w:p>
        </w:tc>
        <w:tc>
          <w:tcPr>
            <w:tcW w:w="4547" w:type="dxa"/>
            <w:shd w:val="clear" w:color="auto" w:fill="FFFFFF"/>
            <w:vAlign w:val="center"/>
          </w:tcPr>
          <w:p w14:paraId="7973280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支持价费分离，电费按充电度数配置单价，服务费可以按充电度数、时长、功率和按次四个维度配置单价。</w:t>
            </w:r>
          </w:p>
        </w:tc>
      </w:tr>
      <w:tr w14:paraId="3B781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828" w:type="dxa"/>
            <w:vMerge w:val="continue"/>
            <w:shd w:val="clear" w:color="auto" w:fill="FFFFFF"/>
            <w:vAlign w:val="center"/>
          </w:tcPr>
          <w:p w14:paraId="2C202C1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2FE5F32">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6D1E4A35">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38FA623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非价费分离</w:t>
            </w:r>
          </w:p>
        </w:tc>
        <w:tc>
          <w:tcPr>
            <w:tcW w:w="4547" w:type="dxa"/>
            <w:shd w:val="clear" w:color="auto" w:fill="FFFFFF"/>
            <w:vAlign w:val="center"/>
          </w:tcPr>
          <w:p w14:paraId="6A01A8D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支持不区分电费和服务费方式进行计费，可以按充电度数、时长、功率和按次四个维度配置充电费单价。</w:t>
            </w:r>
          </w:p>
        </w:tc>
      </w:tr>
      <w:tr w14:paraId="50195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0E459F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0CC6040">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5712582">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4390C3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峰谷计费</w:t>
            </w:r>
          </w:p>
        </w:tc>
        <w:tc>
          <w:tcPr>
            <w:tcW w:w="4547" w:type="dxa"/>
            <w:shd w:val="clear" w:color="auto" w:fill="FFFFFF"/>
            <w:vAlign w:val="center"/>
          </w:tcPr>
          <w:p w14:paraId="1770AF2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支持价费分离模式下，电费按峰谷分时计费，服务费在按度数计费时，按峰谷分时计费。</w:t>
            </w:r>
          </w:p>
        </w:tc>
      </w:tr>
      <w:tr w14:paraId="73975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2ADE603">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A0A5999">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2647080C">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7F1D345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低电量免费</w:t>
            </w:r>
          </w:p>
        </w:tc>
        <w:tc>
          <w:tcPr>
            <w:tcW w:w="4547" w:type="dxa"/>
            <w:shd w:val="clear" w:color="auto" w:fill="FFFFFF"/>
            <w:vAlign w:val="center"/>
          </w:tcPr>
          <w:p w14:paraId="13162B2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支持配置低电量免费结算，配置范围为0-0.1度。</w:t>
            </w:r>
          </w:p>
        </w:tc>
      </w:tr>
      <w:tr w14:paraId="407FC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EE8745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27AA987">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83E8F07">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764AE3E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低时长免费</w:t>
            </w:r>
          </w:p>
        </w:tc>
        <w:tc>
          <w:tcPr>
            <w:tcW w:w="4547" w:type="dxa"/>
            <w:shd w:val="clear" w:color="auto" w:fill="FFFFFF"/>
            <w:vAlign w:val="center"/>
          </w:tcPr>
          <w:p w14:paraId="61138C9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支持配置低时长免费结算，配置范围为0-30分钟。</w:t>
            </w:r>
          </w:p>
        </w:tc>
      </w:tr>
      <w:tr w14:paraId="4901C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CC153E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F6E17FB">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46F73E0">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A2D8EF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启动充电阈值</w:t>
            </w:r>
          </w:p>
        </w:tc>
        <w:tc>
          <w:tcPr>
            <w:tcW w:w="4547" w:type="dxa"/>
            <w:shd w:val="clear" w:color="auto" w:fill="FFFFFF"/>
            <w:vAlign w:val="center"/>
          </w:tcPr>
          <w:p w14:paraId="04CFC1E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支持配置预充模式下，启动充电的金额阈值，对预存、刷卡、余额支付有效。</w:t>
            </w:r>
          </w:p>
        </w:tc>
      </w:tr>
      <w:tr w14:paraId="23C51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2BA0F9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007C772">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C6C4C8D">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0C0CB5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提前停止阈值</w:t>
            </w:r>
          </w:p>
        </w:tc>
        <w:tc>
          <w:tcPr>
            <w:tcW w:w="4547" w:type="dxa"/>
            <w:shd w:val="clear" w:color="auto" w:fill="FFFFFF"/>
            <w:vAlign w:val="center"/>
          </w:tcPr>
          <w:p w14:paraId="0267C8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支持配置预充模式下，提前停止充电的余额阈值，放在产生超充欠费。</w:t>
            </w:r>
          </w:p>
        </w:tc>
      </w:tr>
      <w:tr w14:paraId="13A4E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6F81C64">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0B7EB16">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235AF77">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37A6955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最低消费金额</w:t>
            </w:r>
          </w:p>
        </w:tc>
        <w:tc>
          <w:tcPr>
            <w:tcW w:w="4547" w:type="dxa"/>
            <w:shd w:val="clear" w:color="auto" w:fill="FFFFFF"/>
            <w:vAlign w:val="center"/>
          </w:tcPr>
          <w:p w14:paraId="25B4E81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支持非价费分离模式下，配置每次充电的最低消费金额。</w:t>
            </w:r>
          </w:p>
        </w:tc>
      </w:tr>
      <w:tr w14:paraId="08FF1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25162B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D313FBA">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410EBE73">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33C6C72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一口价</w:t>
            </w:r>
          </w:p>
        </w:tc>
        <w:tc>
          <w:tcPr>
            <w:tcW w:w="4547" w:type="dxa"/>
            <w:shd w:val="clear" w:color="auto" w:fill="FFFFFF"/>
            <w:vAlign w:val="center"/>
          </w:tcPr>
          <w:p w14:paraId="16EB161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支持非价费分离模式下，开启一口价模式。</w:t>
            </w:r>
          </w:p>
        </w:tc>
      </w:tr>
      <w:tr w14:paraId="5E255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231A6D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C883EE7">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3717759E">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6F7700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候选项目配置</w:t>
            </w:r>
          </w:p>
        </w:tc>
        <w:tc>
          <w:tcPr>
            <w:tcW w:w="4547" w:type="dxa"/>
            <w:shd w:val="clear" w:color="auto" w:fill="FFFFFF"/>
            <w:vAlign w:val="center"/>
          </w:tcPr>
          <w:p w14:paraId="6169E85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可配置C端充电候选项，包括时长、金额、电量三种候选。</w:t>
            </w:r>
          </w:p>
        </w:tc>
      </w:tr>
      <w:tr w14:paraId="4889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0E23C6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9BB83CE">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691367A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计费绑定</w:t>
            </w:r>
          </w:p>
        </w:tc>
        <w:tc>
          <w:tcPr>
            <w:tcW w:w="1374" w:type="dxa"/>
            <w:shd w:val="clear" w:color="auto" w:fill="FFFFFF"/>
            <w:vAlign w:val="center"/>
          </w:tcPr>
          <w:p w14:paraId="77A4C95F">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559FFBD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可以按充电站维度绑定计费模板，可以一次绑定多个站点。</w:t>
            </w:r>
          </w:p>
        </w:tc>
      </w:tr>
      <w:tr w14:paraId="0B616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AF77CFA">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0C68649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订单管理</w:t>
            </w:r>
          </w:p>
        </w:tc>
        <w:tc>
          <w:tcPr>
            <w:tcW w:w="1416" w:type="dxa"/>
            <w:shd w:val="clear" w:color="auto" w:fill="FFFFFF"/>
            <w:vAlign w:val="center"/>
          </w:tcPr>
          <w:p w14:paraId="21FA49F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充电订单</w:t>
            </w:r>
          </w:p>
        </w:tc>
        <w:tc>
          <w:tcPr>
            <w:tcW w:w="1374" w:type="dxa"/>
            <w:shd w:val="clear" w:color="auto" w:fill="FFFFFF"/>
            <w:vAlign w:val="center"/>
          </w:tcPr>
          <w:p w14:paraId="27CF4931">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442B618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查询和管理充电订单、发起售后退款申请。</w:t>
            </w:r>
          </w:p>
        </w:tc>
      </w:tr>
      <w:tr w14:paraId="62131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A0B0CF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25B8E6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78EF1D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退款申请审核</w:t>
            </w:r>
          </w:p>
        </w:tc>
        <w:tc>
          <w:tcPr>
            <w:tcW w:w="1374" w:type="dxa"/>
            <w:shd w:val="clear" w:color="auto" w:fill="FFFFFF"/>
            <w:vAlign w:val="center"/>
          </w:tcPr>
          <w:p w14:paraId="1FE5ACAC">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06D4228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查询和管理订单退款申请，并对申请进行审核。</w:t>
            </w:r>
          </w:p>
        </w:tc>
      </w:tr>
      <w:tr w14:paraId="371F6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63A2401">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6B73A0B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w:t>
            </w:r>
          </w:p>
        </w:tc>
        <w:tc>
          <w:tcPr>
            <w:tcW w:w="1416" w:type="dxa"/>
            <w:vMerge w:val="restart"/>
            <w:shd w:val="clear" w:color="auto" w:fill="FFFFFF"/>
            <w:vAlign w:val="center"/>
          </w:tcPr>
          <w:p w14:paraId="491FB1D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充电卡管理</w:t>
            </w:r>
          </w:p>
        </w:tc>
        <w:tc>
          <w:tcPr>
            <w:tcW w:w="1374" w:type="dxa"/>
            <w:shd w:val="clear" w:color="auto" w:fill="FFFFFF"/>
            <w:vAlign w:val="center"/>
          </w:tcPr>
          <w:p w14:paraId="68CF3D4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充电卡查询</w:t>
            </w:r>
          </w:p>
        </w:tc>
        <w:tc>
          <w:tcPr>
            <w:tcW w:w="4547" w:type="dxa"/>
            <w:shd w:val="clear" w:color="auto" w:fill="FFFFFF"/>
            <w:vAlign w:val="center"/>
          </w:tcPr>
          <w:p w14:paraId="60C4761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查询已发行的充电卡列表和详情，详情页展示充电卡信息、余额、日志以及交易流水。</w:t>
            </w:r>
          </w:p>
        </w:tc>
      </w:tr>
      <w:tr w14:paraId="0EE5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6C25B3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E8CD4B2">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6C156561">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EE0882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充电卡新增</w:t>
            </w:r>
          </w:p>
        </w:tc>
        <w:tc>
          <w:tcPr>
            <w:tcW w:w="4547" w:type="dxa"/>
            <w:shd w:val="clear" w:color="auto" w:fill="FFFFFF"/>
            <w:vAlign w:val="center"/>
          </w:tcPr>
          <w:p w14:paraId="2002382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支持新增充电卡，包括充电卡卡号，归属运营商、可用站点，持卡人信息。</w:t>
            </w:r>
          </w:p>
        </w:tc>
      </w:tr>
      <w:tr w14:paraId="582F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58AF91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F3C705D">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7EFECE42">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26970C1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批量新增充电卡</w:t>
            </w:r>
          </w:p>
        </w:tc>
        <w:tc>
          <w:tcPr>
            <w:tcW w:w="4547" w:type="dxa"/>
            <w:shd w:val="clear" w:color="auto" w:fill="FFFFFF"/>
            <w:vAlign w:val="center"/>
          </w:tcPr>
          <w:p w14:paraId="53BC21D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通过下载导入模板，填写内容后，进行充电卡批量导入。</w:t>
            </w:r>
          </w:p>
        </w:tc>
      </w:tr>
      <w:tr w14:paraId="1B00B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CE1EA8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54E667E">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4970A777">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51566EA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编辑充电卡</w:t>
            </w:r>
          </w:p>
        </w:tc>
        <w:tc>
          <w:tcPr>
            <w:tcW w:w="4547" w:type="dxa"/>
            <w:shd w:val="clear" w:color="auto" w:fill="FFFFFF"/>
            <w:vAlign w:val="center"/>
          </w:tcPr>
          <w:p w14:paraId="4CF92CE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可以编辑充电卡信息，包括归属运营商、可用站点，持卡人信息。</w:t>
            </w:r>
          </w:p>
        </w:tc>
      </w:tr>
      <w:tr w14:paraId="20B7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7FE176C">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4692F80">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6DEFAF72">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6DA07C9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启用充电卡</w:t>
            </w:r>
          </w:p>
        </w:tc>
        <w:tc>
          <w:tcPr>
            <w:tcW w:w="4547" w:type="dxa"/>
            <w:shd w:val="clear" w:color="auto" w:fill="FFFFFF"/>
            <w:vAlign w:val="center"/>
          </w:tcPr>
          <w:p w14:paraId="51AF4C0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可以对新增的充电卡进行启用。</w:t>
            </w:r>
          </w:p>
        </w:tc>
      </w:tr>
      <w:tr w14:paraId="52268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020F41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C0E6E99">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7ACF611">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55662E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挂失充电卡</w:t>
            </w:r>
          </w:p>
        </w:tc>
        <w:tc>
          <w:tcPr>
            <w:tcW w:w="4547" w:type="dxa"/>
            <w:shd w:val="clear" w:color="auto" w:fill="FFFFFF"/>
            <w:vAlign w:val="center"/>
          </w:tcPr>
          <w:p w14:paraId="7753DBF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可以对已启用的充电卡进行挂失，挂失后卡片将处于锁定状态,不可使用。</w:t>
            </w:r>
          </w:p>
        </w:tc>
      </w:tr>
      <w:tr w14:paraId="169D1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549E80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7018F08">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0F8E4290">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260617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取消挂失充电卡</w:t>
            </w:r>
          </w:p>
        </w:tc>
        <w:tc>
          <w:tcPr>
            <w:tcW w:w="4547" w:type="dxa"/>
            <w:shd w:val="clear" w:color="auto" w:fill="FFFFFF"/>
            <w:vAlign w:val="center"/>
          </w:tcPr>
          <w:p w14:paraId="7F46D04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可以对已挂失的充电卡取消挂失，解除挂失后卡片将恢复使用。</w:t>
            </w:r>
          </w:p>
        </w:tc>
      </w:tr>
      <w:tr w14:paraId="0908D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5BD0D3C">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91B4D6F">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7C058F97">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043B4EA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充电卡退卡</w:t>
            </w:r>
          </w:p>
        </w:tc>
        <w:tc>
          <w:tcPr>
            <w:tcW w:w="4547" w:type="dxa"/>
            <w:shd w:val="clear" w:color="auto" w:fill="FFFFFF"/>
            <w:vAlign w:val="center"/>
          </w:tcPr>
          <w:p w14:paraId="619CAAD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可以对已挂失的充电卡进行退卡，退卡后卡内余额将原路退还回原支付账户，且卡片不可再次被使用。</w:t>
            </w:r>
          </w:p>
        </w:tc>
      </w:tr>
      <w:tr w14:paraId="0C434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6F8325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8EBC80C">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2AF6D3C1">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31D3D26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充电卡补卡</w:t>
            </w:r>
          </w:p>
        </w:tc>
        <w:tc>
          <w:tcPr>
            <w:tcW w:w="4547" w:type="dxa"/>
            <w:shd w:val="clear" w:color="auto" w:fill="FFFFFF"/>
            <w:vAlign w:val="center"/>
          </w:tcPr>
          <w:p w14:paraId="3F2D3DD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可以对已挂失的充电卡进行补卡，补卡后卡内余额和相关信息转移到新卡，老卡将不可再次被使用。</w:t>
            </w:r>
          </w:p>
        </w:tc>
      </w:tr>
      <w:tr w14:paraId="7055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8529ED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6030AF5">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03EB9FAA">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61AF114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充电卡充值</w:t>
            </w:r>
          </w:p>
        </w:tc>
        <w:tc>
          <w:tcPr>
            <w:tcW w:w="4547" w:type="dxa"/>
            <w:shd w:val="clear" w:color="auto" w:fill="FFFFFF"/>
            <w:vAlign w:val="center"/>
          </w:tcPr>
          <w:p w14:paraId="4CF7E05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可以对充电卡进行充值，充电卡余额采用统一支付余额体系，充电卡充值时需通过扫码完成支付。</w:t>
            </w:r>
          </w:p>
        </w:tc>
      </w:tr>
      <w:tr w14:paraId="10F09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4F3B1D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5C41536">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5079978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卡交易流水</w:t>
            </w:r>
          </w:p>
        </w:tc>
        <w:tc>
          <w:tcPr>
            <w:tcW w:w="1374" w:type="dxa"/>
            <w:shd w:val="clear" w:color="auto" w:fill="FFFFFF"/>
            <w:vAlign w:val="center"/>
          </w:tcPr>
          <w:p w14:paraId="10DE9BD4">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24A1930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查询充电卡交易流水，包括充值、消费、退款和退卡。</w:t>
            </w:r>
          </w:p>
        </w:tc>
      </w:tr>
      <w:tr w14:paraId="4D7F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5952C53">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0E457C4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余额管理</w:t>
            </w:r>
          </w:p>
        </w:tc>
        <w:tc>
          <w:tcPr>
            <w:tcW w:w="1416" w:type="dxa"/>
            <w:vMerge w:val="restart"/>
            <w:shd w:val="clear" w:color="auto" w:fill="FFFFFF"/>
            <w:vAlign w:val="center"/>
          </w:tcPr>
          <w:p w14:paraId="759BFAB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余额账户</w:t>
            </w:r>
          </w:p>
        </w:tc>
        <w:tc>
          <w:tcPr>
            <w:tcW w:w="1374" w:type="dxa"/>
            <w:shd w:val="clear" w:color="auto" w:fill="FFFFFF"/>
            <w:vAlign w:val="center"/>
          </w:tcPr>
          <w:p w14:paraId="1605B3E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余额账户管理</w:t>
            </w:r>
          </w:p>
        </w:tc>
        <w:tc>
          <w:tcPr>
            <w:tcW w:w="4547" w:type="dxa"/>
            <w:shd w:val="clear" w:color="auto" w:fill="FFFFFF"/>
            <w:vAlign w:val="center"/>
          </w:tcPr>
          <w:p w14:paraId="43DEF5A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支持管理运营商余额账户。包括新增余额账户、设置余额账户可用范围、管理余额账户状态。</w:t>
            </w:r>
          </w:p>
        </w:tc>
      </w:tr>
      <w:tr w14:paraId="1DA6C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9010F8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6F3FA49">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F52239C">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8575B3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子账户管理</w:t>
            </w:r>
          </w:p>
        </w:tc>
        <w:tc>
          <w:tcPr>
            <w:tcW w:w="4547" w:type="dxa"/>
            <w:shd w:val="clear" w:color="auto" w:fill="FFFFFF"/>
            <w:vAlign w:val="center"/>
          </w:tcPr>
          <w:p w14:paraId="073A847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支持管理余额账户下的用户子账户。支持新建和批量导入用户子账户、动账操作和状态管理。</w:t>
            </w:r>
          </w:p>
        </w:tc>
      </w:tr>
      <w:tr w14:paraId="00B1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84009B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8C1B65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5198B66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余额交易流水</w:t>
            </w:r>
          </w:p>
        </w:tc>
        <w:tc>
          <w:tcPr>
            <w:tcW w:w="1374" w:type="dxa"/>
            <w:shd w:val="clear" w:color="auto" w:fill="FFFFFF"/>
            <w:vAlign w:val="center"/>
          </w:tcPr>
          <w:p w14:paraId="2395641E">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7588D49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支持查询余额账户下的交易流水记录。</w:t>
            </w:r>
          </w:p>
        </w:tc>
      </w:tr>
      <w:tr w14:paraId="7707C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EAE7459">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41722BC">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0D1AE23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用户余额查询</w:t>
            </w:r>
          </w:p>
        </w:tc>
        <w:tc>
          <w:tcPr>
            <w:tcW w:w="1374" w:type="dxa"/>
            <w:shd w:val="clear" w:color="auto" w:fill="FFFFFF"/>
            <w:vAlign w:val="center"/>
          </w:tcPr>
          <w:p w14:paraId="5F4F20EC">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2478204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支持输入用户手机号后，查询手机号对应的用户子账户信息。</w:t>
            </w:r>
          </w:p>
        </w:tc>
      </w:tr>
      <w:tr w14:paraId="173E2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57CC33F">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7D42E3E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财务报表</w:t>
            </w:r>
          </w:p>
        </w:tc>
        <w:tc>
          <w:tcPr>
            <w:tcW w:w="1416" w:type="dxa"/>
            <w:shd w:val="clear" w:color="auto" w:fill="FFFFFF"/>
            <w:vAlign w:val="center"/>
          </w:tcPr>
          <w:p w14:paraId="16E3BA6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交易对账报表</w:t>
            </w:r>
          </w:p>
        </w:tc>
        <w:tc>
          <w:tcPr>
            <w:tcW w:w="1374" w:type="dxa"/>
            <w:shd w:val="clear" w:color="auto" w:fill="FFFFFF"/>
            <w:vAlign w:val="center"/>
          </w:tcPr>
          <w:p w14:paraId="4F9CCCA5">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468F4D3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与支付平台（支付渠道）对交易流水进行逐笔对账，展示对账结果和对账明细。</w:t>
            </w:r>
          </w:p>
        </w:tc>
      </w:tr>
      <w:tr w14:paraId="1EE2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CFB35F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4855E42">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6FE6BF6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商户结算报表</w:t>
            </w:r>
          </w:p>
        </w:tc>
        <w:tc>
          <w:tcPr>
            <w:tcW w:w="1374" w:type="dxa"/>
            <w:shd w:val="clear" w:color="auto" w:fill="FFFFFF"/>
            <w:vAlign w:val="center"/>
          </w:tcPr>
          <w:p w14:paraId="37C1B52F">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42E46A5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按商户维度统计商户结算收入。</w:t>
            </w:r>
          </w:p>
        </w:tc>
      </w:tr>
      <w:tr w14:paraId="4755A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60C19FA">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D4D2B74">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60CFC6C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站点结算报表</w:t>
            </w:r>
          </w:p>
        </w:tc>
        <w:tc>
          <w:tcPr>
            <w:tcW w:w="1374" w:type="dxa"/>
            <w:shd w:val="clear" w:color="auto" w:fill="FFFFFF"/>
            <w:vAlign w:val="center"/>
          </w:tcPr>
          <w:p w14:paraId="620A4A06">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246E629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按站点维度统计商户结算收入。</w:t>
            </w:r>
          </w:p>
        </w:tc>
      </w:tr>
      <w:tr w14:paraId="74490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FC2DCE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538A0F8">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0E77D8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订单结算明细</w:t>
            </w:r>
          </w:p>
        </w:tc>
        <w:tc>
          <w:tcPr>
            <w:tcW w:w="1374" w:type="dxa"/>
            <w:shd w:val="clear" w:color="auto" w:fill="FFFFFF"/>
            <w:vAlign w:val="center"/>
          </w:tcPr>
          <w:p w14:paraId="5B2DC52F">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3DD374A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展示每笔订单的清分结算记录。</w:t>
            </w:r>
          </w:p>
        </w:tc>
      </w:tr>
      <w:tr w14:paraId="5B6B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C10BAF6">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50F8CB3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运行监控</w:t>
            </w:r>
          </w:p>
        </w:tc>
        <w:tc>
          <w:tcPr>
            <w:tcW w:w="1416" w:type="dxa"/>
            <w:shd w:val="clear" w:color="auto" w:fill="FFFFFF"/>
            <w:vAlign w:val="center"/>
          </w:tcPr>
          <w:p w14:paraId="70871FE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故障记录</w:t>
            </w:r>
          </w:p>
        </w:tc>
        <w:tc>
          <w:tcPr>
            <w:tcW w:w="1374" w:type="dxa"/>
            <w:shd w:val="clear" w:color="auto" w:fill="FFFFFF"/>
            <w:vAlign w:val="center"/>
          </w:tcPr>
          <w:p w14:paraId="6C14F124">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5A01BF4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展示充电设备的故障记录流水。</w:t>
            </w:r>
          </w:p>
        </w:tc>
      </w:tr>
      <w:tr w14:paraId="0B42B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9EF568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F49157A">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FD228E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报修管理</w:t>
            </w:r>
          </w:p>
        </w:tc>
        <w:tc>
          <w:tcPr>
            <w:tcW w:w="1374" w:type="dxa"/>
            <w:shd w:val="clear" w:color="auto" w:fill="FFFFFF"/>
            <w:vAlign w:val="center"/>
          </w:tcPr>
          <w:p w14:paraId="675C09B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报修记录</w:t>
            </w:r>
          </w:p>
        </w:tc>
        <w:tc>
          <w:tcPr>
            <w:tcW w:w="4547" w:type="dxa"/>
            <w:shd w:val="clear" w:color="auto" w:fill="FFFFFF"/>
            <w:vAlign w:val="center"/>
          </w:tcPr>
          <w:p w14:paraId="57EB2F5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展示人工报修记录，并可以对报修进行处理。</w:t>
            </w:r>
          </w:p>
        </w:tc>
      </w:tr>
      <w:tr w14:paraId="6F0CC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28" w:type="dxa"/>
            <w:vMerge w:val="continue"/>
            <w:shd w:val="clear" w:color="auto" w:fill="FFFFFF"/>
            <w:vAlign w:val="center"/>
          </w:tcPr>
          <w:p w14:paraId="5F448838">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1450D83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运维管理</w:t>
            </w:r>
          </w:p>
        </w:tc>
        <w:tc>
          <w:tcPr>
            <w:tcW w:w="1416" w:type="dxa"/>
            <w:shd w:val="clear" w:color="auto" w:fill="FFFFFF"/>
            <w:vAlign w:val="center"/>
          </w:tcPr>
          <w:p w14:paraId="3907336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巡检管理</w:t>
            </w:r>
          </w:p>
        </w:tc>
        <w:tc>
          <w:tcPr>
            <w:tcW w:w="1374" w:type="dxa"/>
            <w:shd w:val="clear" w:color="auto" w:fill="FFFFFF"/>
            <w:vAlign w:val="center"/>
          </w:tcPr>
          <w:p w14:paraId="0C7DF440">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54A271A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巡检工单定制下发与分派（可选项编辑巡检内容）；查询巡检工单：巡检编号、状态、巡检名称、巡检目标、任务制定人、执行人、制定时间、要求开始时间、要求结束时间、实际完成时间。</w:t>
            </w:r>
          </w:p>
        </w:tc>
      </w:tr>
      <w:tr w14:paraId="5FEA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8" w:hRule="atLeast"/>
          <w:jc w:val="center"/>
        </w:trPr>
        <w:tc>
          <w:tcPr>
            <w:tcW w:w="828" w:type="dxa"/>
            <w:vMerge w:val="continue"/>
            <w:shd w:val="clear" w:color="auto" w:fill="FFFFFF"/>
            <w:vAlign w:val="center"/>
          </w:tcPr>
          <w:p w14:paraId="2054E63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FDEAD71">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51D4837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故障维修管理</w:t>
            </w:r>
          </w:p>
        </w:tc>
        <w:tc>
          <w:tcPr>
            <w:tcW w:w="1374" w:type="dxa"/>
            <w:shd w:val="clear" w:color="auto" w:fill="FFFFFF"/>
            <w:vAlign w:val="center"/>
          </w:tcPr>
          <w:p w14:paraId="0BA881B5">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76DF00E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故障维修工单定制下发与分派；查询故障维修工单：工单编号、状态、处理结果、项目名称、故障描述、制定人、执行人、发起时间、要求开始时间、要求结束时间、实际完成时间。</w:t>
            </w:r>
          </w:p>
        </w:tc>
      </w:tr>
      <w:tr w14:paraId="1404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35B7666">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036DED3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用户运营</w:t>
            </w:r>
          </w:p>
        </w:tc>
        <w:tc>
          <w:tcPr>
            <w:tcW w:w="1416" w:type="dxa"/>
            <w:vMerge w:val="restart"/>
            <w:shd w:val="clear" w:color="auto" w:fill="FFFFFF"/>
            <w:vAlign w:val="center"/>
          </w:tcPr>
          <w:p w14:paraId="7665390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用户管理</w:t>
            </w:r>
          </w:p>
        </w:tc>
        <w:tc>
          <w:tcPr>
            <w:tcW w:w="1374" w:type="dxa"/>
            <w:shd w:val="clear" w:color="auto" w:fill="FFFFFF"/>
            <w:vAlign w:val="center"/>
          </w:tcPr>
          <w:p w14:paraId="5A35EBD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用户列表</w:t>
            </w:r>
          </w:p>
        </w:tc>
        <w:tc>
          <w:tcPr>
            <w:tcW w:w="4547" w:type="dxa"/>
            <w:shd w:val="clear" w:color="auto" w:fill="FFFFFF"/>
            <w:vAlign w:val="center"/>
          </w:tcPr>
          <w:p w14:paraId="3D345F2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展示平台注册用户信息，并可查看用户详情。</w:t>
            </w:r>
          </w:p>
        </w:tc>
      </w:tr>
      <w:tr w14:paraId="55A7C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D52D74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44011FF">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6C853F6">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271130E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灰度用户</w:t>
            </w:r>
          </w:p>
        </w:tc>
        <w:tc>
          <w:tcPr>
            <w:tcW w:w="4547" w:type="dxa"/>
            <w:shd w:val="clear" w:color="auto" w:fill="FFFFFF"/>
            <w:vAlign w:val="center"/>
          </w:tcPr>
          <w:p w14:paraId="734C55C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用于配置平台灰度用户信息，灰度用户可以在C端看到灰度发布中的展位或资讯内容。</w:t>
            </w:r>
          </w:p>
        </w:tc>
      </w:tr>
      <w:tr w14:paraId="01C91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045AC8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A924E49">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76AB44A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小程序管理</w:t>
            </w:r>
          </w:p>
        </w:tc>
        <w:tc>
          <w:tcPr>
            <w:tcW w:w="1374" w:type="dxa"/>
            <w:shd w:val="clear" w:color="auto" w:fill="FFFFFF"/>
            <w:vAlign w:val="center"/>
          </w:tcPr>
          <w:p w14:paraId="35FB10B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展位管理</w:t>
            </w:r>
          </w:p>
        </w:tc>
        <w:tc>
          <w:tcPr>
            <w:tcW w:w="4547" w:type="dxa"/>
            <w:shd w:val="clear" w:color="auto" w:fill="FFFFFF"/>
            <w:vAlign w:val="center"/>
          </w:tcPr>
          <w:p w14:paraId="32A86B6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C端展位投放内容的管理。</w:t>
            </w:r>
          </w:p>
        </w:tc>
      </w:tr>
      <w:tr w14:paraId="2E975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612D42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CCF0ECE">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697ADD0B">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0EF9A96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资讯管理</w:t>
            </w:r>
          </w:p>
        </w:tc>
        <w:tc>
          <w:tcPr>
            <w:tcW w:w="4547" w:type="dxa"/>
            <w:shd w:val="clear" w:color="auto" w:fill="FFFFFF"/>
            <w:vAlign w:val="center"/>
          </w:tcPr>
          <w:p w14:paraId="1A4B325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C端资讯文章管理。</w:t>
            </w:r>
          </w:p>
        </w:tc>
      </w:tr>
      <w:tr w14:paraId="2B710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743A5A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593397D">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4C733FBB">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7A8BD51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协议管理</w:t>
            </w:r>
          </w:p>
        </w:tc>
        <w:tc>
          <w:tcPr>
            <w:tcW w:w="4547" w:type="dxa"/>
            <w:shd w:val="clear" w:color="auto" w:fill="FFFFFF"/>
            <w:vAlign w:val="center"/>
          </w:tcPr>
          <w:p w14:paraId="2F55B53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对C端的用户协议、隐私政策进行管理。</w:t>
            </w:r>
          </w:p>
        </w:tc>
      </w:tr>
      <w:tr w14:paraId="5FC4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482D7BB">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2968DB2D">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系统管理</w:t>
            </w:r>
          </w:p>
        </w:tc>
        <w:tc>
          <w:tcPr>
            <w:tcW w:w="1416" w:type="dxa"/>
            <w:shd w:val="clear" w:color="auto" w:fill="FFFFFF"/>
            <w:vAlign w:val="center"/>
          </w:tcPr>
          <w:p w14:paraId="47F7C84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组织管理</w:t>
            </w:r>
          </w:p>
        </w:tc>
        <w:tc>
          <w:tcPr>
            <w:tcW w:w="1374" w:type="dxa"/>
            <w:shd w:val="clear" w:color="auto" w:fill="FFFFFF"/>
            <w:vAlign w:val="center"/>
          </w:tcPr>
          <w:p w14:paraId="2FD4AD17">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613F7B7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多级组织架构的配置</w:t>
            </w:r>
          </w:p>
        </w:tc>
      </w:tr>
      <w:tr w14:paraId="07D6F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6E638DA">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57E5528">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377FAD6D">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菜单管理</w:t>
            </w:r>
          </w:p>
        </w:tc>
        <w:tc>
          <w:tcPr>
            <w:tcW w:w="1374" w:type="dxa"/>
            <w:shd w:val="clear" w:color="auto" w:fill="FFFFFF"/>
            <w:vAlign w:val="center"/>
          </w:tcPr>
          <w:p w14:paraId="0255526F">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5BAE2ED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系统菜单和功能的配置</w:t>
            </w:r>
          </w:p>
        </w:tc>
      </w:tr>
      <w:tr w14:paraId="37FBA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F786ED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30C1E35">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0120ABC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角色管理</w:t>
            </w:r>
          </w:p>
        </w:tc>
        <w:tc>
          <w:tcPr>
            <w:tcW w:w="1374" w:type="dxa"/>
            <w:shd w:val="clear" w:color="auto" w:fill="FFFFFF"/>
            <w:vAlign w:val="center"/>
          </w:tcPr>
          <w:p w14:paraId="5F21ED96">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03B1BE6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系统使用用户角色的配置管理</w:t>
            </w:r>
          </w:p>
        </w:tc>
      </w:tr>
      <w:tr w14:paraId="23FB4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8A8BF1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14BA62E">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78F396A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权限管理</w:t>
            </w:r>
          </w:p>
        </w:tc>
        <w:tc>
          <w:tcPr>
            <w:tcW w:w="1374" w:type="dxa"/>
            <w:shd w:val="clear" w:color="auto" w:fill="FFFFFF"/>
            <w:vAlign w:val="center"/>
          </w:tcPr>
          <w:p w14:paraId="0CA1226B">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32C4E96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系统用户的操作权限配置</w:t>
            </w:r>
          </w:p>
        </w:tc>
      </w:tr>
      <w:tr w14:paraId="3E097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D5F1B9C">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2BCA4BF">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0AF482A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系统日志</w:t>
            </w:r>
          </w:p>
        </w:tc>
        <w:tc>
          <w:tcPr>
            <w:tcW w:w="1374" w:type="dxa"/>
            <w:shd w:val="clear" w:color="auto" w:fill="FFFFFF"/>
            <w:vAlign w:val="center"/>
          </w:tcPr>
          <w:p w14:paraId="717C6CC6">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34EE331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系统日志查询</w:t>
            </w:r>
          </w:p>
        </w:tc>
      </w:tr>
      <w:tr w14:paraId="019D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restart"/>
            <w:shd w:val="clear" w:color="auto" w:fill="FFFFFF"/>
            <w:vAlign w:val="center"/>
          </w:tcPr>
          <w:p w14:paraId="56A5A96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商家小程序</w:t>
            </w:r>
          </w:p>
        </w:tc>
        <w:tc>
          <w:tcPr>
            <w:tcW w:w="1296" w:type="dxa"/>
            <w:vMerge w:val="restart"/>
            <w:shd w:val="clear" w:color="auto" w:fill="FFFFFF"/>
            <w:vAlign w:val="center"/>
          </w:tcPr>
          <w:p w14:paraId="7770CB7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首页概览</w:t>
            </w:r>
          </w:p>
        </w:tc>
        <w:tc>
          <w:tcPr>
            <w:tcW w:w="1416" w:type="dxa"/>
            <w:vMerge w:val="restart"/>
            <w:shd w:val="clear" w:color="auto" w:fill="FFFFFF"/>
            <w:vAlign w:val="center"/>
          </w:tcPr>
          <w:p w14:paraId="6CA73BD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数据概览</w:t>
            </w:r>
          </w:p>
        </w:tc>
        <w:tc>
          <w:tcPr>
            <w:tcW w:w="1374" w:type="dxa"/>
            <w:shd w:val="clear" w:color="auto" w:fill="FFFFFF"/>
            <w:vAlign w:val="center"/>
          </w:tcPr>
          <w:p w14:paraId="67A9BC5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核心数据展示</w:t>
            </w:r>
          </w:p>
        </w:tc>
        <w:tc>
          <w:tcPr>
            <w:tcW w:w="4547" w:type="dxa"/>
            <w:shd w:val="clear" w:color="auto" w:fill="FFFFFF"/>
            <w:vAlign w:val="center"/>
          </w:tcPr>
          <w:p w14:paraId="763466F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显示今日订单金额和今日订单数量等关键指标。</w:t>
            </w:r>
          </w:p>
        </w:tc>
      </w:tr>
      <w:tr w14:paraId="0408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93BB82A">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F9FC86D">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3341A4CE">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4A18BE6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数据看板入口</w:t>
            </w:r>
          </w:p>
        </w:tc>
        <w:tc>
          <w:tcPr>
            <w:tcW w:w="4547" w:type="dxa"/>
            <w:shd w:val="clear" w:color="auto" w:fill="FFFFFF"/>
            <w:vAlign w:val="center"/>
          </w:tcPr>
          <w:p w14:paraId="0168FBB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提供跳转到详细数据看板的入口。</w:t>
            </w:r>
          </w:p>
        </w:tc>
      </w:tr>
      <w:tr w14:paraId="52B5A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3EF51B4">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14554C6">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111730B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功能导航</w:t>
            </w:r>
          </w:p>
        </w:tc>
        <w:tc>
          <w:tcPr>
            <w:tcW w:w="1374" w:type="dxa"/>
            <w:shd w:val="clear" w:color="auto" w:fill="FFFFFF"/>
            <w:vAlign w:val="center"/>
          </w:tcPr>
          <w:p w14:paraId="3AA5E6E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站点运营功能</w:t>
            </w:r>
          </w:p>
        </w:tc>
        <w:tc>
          <w:tcPr>
            <w:tcW w:w="4547" w:type="dxa"/>
            <w:shd w:val="clear" w:color="auto" w:fill="FFFFFF"/>
            <w:vAlign w:val="center"/>
          </w:tcPr>
          <w:p w14:paraId="73C6451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提供站点管理、计费管理、充电卡管理等运营功能入口。</w:t>
            </w:r>
          </w:p>
        </w:tc>
      </w:tr>
      <w:tr w14:paraId="39B4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253836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62AADEB">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37259B1F">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0B68B4E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站点运维功能</w:t>
            </w:r>
          </w:p>
        </w:tc>
        <w:tc>
          <w:tcPr>
            <w:tcW w:w="4547" w:type="dxa"/>
            <w:shd w:val="clear" w:color="auto" w:fill="FFFFFF"/>
            <w:vAlign w:val="center"/>
          </w:tcPr>
          <w:p w14:paraId="182BF2E5">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提供设备管理、故障查询、报修记录等运维功能入口。</w:t>
            </w:r>
          </w:p>
        </w:tc>
      </w:tr>
      <w:tr w14:paraId="20245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9EC2AA0">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09D022C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数据看板</w:t>
            </w:r>
          </w:p>
        </w:tc>
        <w:tc>
          <w:tcPr>
            <w:tcW w:w="1416" w:type="dxa"/>
            <w:shd w:val="clear" w:color="auto" w:fill="FFFFFF"/>
            <w:vAlign w:val="center"/>
          </w:tcPr>
          <w:p w14:paraId="02BE8DB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核心数据</w:t>
            </w:r>
          </w:p>
        </w:tc>
        <w:tc>
          <w:tcPr>
            <w:tcW w:w="1374" w:type="dxa"/>
            <w:shd w:val="clear" w:color="auto" w:fill="FFFFFF"/>
            <w:vAlign w:val="center"/>
          </w:tcPr>
          <w:p w14:paraId="5E92E97F">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495BF5A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展示今日订单量、今日订单金额、今日插座使用率、今日充电用户数，以及历史累计属数据。</w:t>
            </w:r>
          </w:p>
        </w:tc>
      </w:tr>
      <w:tr w14:paraId="23424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6B46A6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90A4267">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1270118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设备情况</w:t>
            </w:r>
          </w:p>
        </w:tc>
        <w:tc>
          <w:tcPr>
            <w:tcW w:w="1374" w:type="dxa"/>
            <w:shd w:val="clear" w:color="auto" w:fill="FFFFFF"/>
            <w:vAlign w:val="center"/>
          </w:tcPr>
          <w:p w14:paraId="346FCDB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充电设备数</w:t>
            </w:r>
          </w:p>
        </w:tc>
        <w:tc>
          <w:tcPr>
            <w:tcW w:w="4547" w:type="dxa"/>
            <w:shd w:val="clear" w:color="auto" w:fill="FFFFFF"/>
            <w:vAlign w:val="center"/>
          </w:tcPr>
          <w:p w14:paraId="4B1D2AC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展示运营商运营的充电设备数，并通过饼图展示不同状态的设备数据。</w:t>
            </w:r>
          </w:p>
        </w:tc>
      </w:tr>
      <w:tr w14:paraId="12DAD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62E213C">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9DD9E24">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650BACE2">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9AEACD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充电插座数</w:t>
            </w:r>
          </w:p>
        </w:tc>
        <w:tc>
          <w:tcPr>
            <w:tcW w:w="4547" w:type="dxa"/>
            <w:shd w:val="clear" w:color="auto" w:fill="FFFFFF"/>
            <w:vAlign w:val="center"/>
          </w:tcPr>
          <w:p w14:paraId="07A3F9B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展示运营商运营的充电插座数，并通过饼图展示不同状态的插座数据。</w:t>
            </w:r>
          </w:p>
        </w:tc>
      </w:tr>
      <w:tr w14:paraId="77E72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650EDF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DF29C41">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26B69D1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运营情况</w:t>
            </w:r>
          </w:p>
        </w:tc>
        <w:tc>
          <w:tcPr>
            <w:tcW w:w="1374" w:type="dxa"/>
            <w:shd w:val="clear" w:color="auto" w:fill="FFFFFF"/>
            <w:vAlign w:val="center"/>
          </w:tcPr>
          <w:p w14:paraId="1CA263F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日均插座使用率</w:t>
            </w:r>
          </w:p>
        </w:tc>
        <w:tc>
          <w:tcPr>
            <w:tcW w:w="4547" w:type="dxa"/>
            <w:shd w:val="clear" w:color="auto" w:fill="FFFFFF"/>
            <w:vAlign w:val="center"/>
          </w:tcPr>
          <w:p w14:paraId="1FD7012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支持筛选近7日/一个月的日均插座使用率，以及每日插座使用率的变化趋势。</w:t>
            </w:r>
          </w:p>
        </w:tc>
      </w:tr>
      <w:tr w14:paraId="4598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EFEE30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44F084F">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69E0D04D">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4DA4DEF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日均插座订单金额</w:t>
            </w:r>
          </w:p>
        </w:tc>
        <w:tc>
          <w:tcPr>
            <w:tcW w:w="4547" w:type="dxa"/>
            <w:shd w:val="clear" w:color="auto" w:fill="FFFFFF"/>
            <w:vAlign w:val="center"/>
          </w:tcPr>
          <w:p w14:paraId="7C13287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支持筛选近7日/一个月的日均插座订单金额，以及每日插座订单金额的变化趋势。</w:t>
            </w:r>
          </w:p>
        </w:tc>
      </w:tr>
      <w:tr w14:paraId="4FDDB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BD9472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C6C8AC0">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1C40C67C">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4158BCA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日均订单金额</w:t>
            </w:r>
          </w:p>
        </w:tc>
        <w:tc>
          <w:tcPr>
            <w:tcW w:w="4547" w:type="dxa"/>
            <w:shd w:val="clear" w:color="auto" w:fill="FFFFFF"/>
            <w:vAlign w:val="center"/>
          </w:tcPr>
          <w:p w14:paraId="2A93F5A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支持筛选近7日/一个月的日均订单金额，以及每日订单金额的变化趋势。</w:t>
            </w:r>
          </w:p>
        </w:tc>
      </w:tr>
      <w:tr w14:paraId="141C6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0DF470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EE7E201">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4DD1C14E">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55F79E3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日均充电用户</w:t>
            </w:r>
          </w:p>
        </w:tc>
        <w:tc>
          <w:tcPr>
            <w:tcW w:w="4547" w:type="dxa"/>
            <w:shd w:val="clear" w:color="auto" w:fill="FFFFFF"/>
            <w:vAlign w:val="center"/>
          </w:tcPr>
          <w:p w14:paraId="6BFAF56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支持筛选近7日/一个月的日均充电用户，以及每日充电用户的变化趋势。</w:t>
            </w:r>
          </w:p>
        </w:tc>
      </w:tr>
      <w:tr w14:paraId="4BD8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2181223">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71A92A0">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157FCC7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营收统计</w:t>
            </w:r>
          </w:p>
        </w:tc>
        <w:tc>
          <w:tcPr>
            <w:tcW w:w="1374" w:type="dxa"/>
            <w:shd w:val="clear" w:color="auto" w:fill="FFFFFF"/>
            <w:vAlign w:val="center"/>
          </w:tcPr>
          <w:p w14:paraId="00BD66F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订单金额分析</w:t>
            </w:r>
          </w:p>
        </w:tc>
        <w:tc>
          <w:tcPr>
            <w:tcW w:w="4547" w:type="dxa"/>
            <w:shd w:val="clear" w:color="auto" w:fill="FFFFFF"/>
            <w:vAlign w:val="center"/>
          </w:tcPr>
          <w:p w14:paraId="6715A1C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支持日/月/年时间范围选择和自定义日期选择，按支付渠道和支付方式统计订单金额。</w:t>
            </w:r>
          </w:p>
        </w:tc>
      </w:tr>
      <w:tr w14:paraId="0A72D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43EE33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98ACC93">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3F2E8C4F">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0454EA66">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交易流水分析</w:t>
            </w:r>
          </w:p>
        </w:tc>
        <w:tc>
          <w:tcPr>
            <w:tcW w:w="4547" w:type="dxa"/>
            <w:shd w:val="clear" w:color="auto" w:fill="FFFFFF"/>
            <w:vAlign w:val="center"/>
          </w:tcPr>
          <w:p w14:paraId="3F6B4B5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支持日/月/年时间范围选择和自定义日期选择，按支付渠道和支付方式统计交易流水。</w:t>
            </w:r>
          </w:p>
        </w:tc>
      </w:tr>
      <w:tr w14:paraId="5F18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AA356D9">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B8902B3">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1FE05111">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1269E46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经营趋势分析</w:t>
            </w:r>
          </w:p>
        </w:tc>
        <w:tc>
          <w:tcPr>
            <w:tcW w:w="4547" w:type="dxa"/>
            <w:shd w:val="clear" w:color="auto" w:fill="FFFFFF"/>
            <w:vAlign w:val="center"/>
          </w:tcPr>
          <w:p w14:paraId="22DEA345">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支持日/月/年时间范围选择和自定义日期选择，展示订单量、订单金额、用户数、插座使用率趋势。</w:t>
            </w:r>
          </w:p>
        </w:tc>
      </w:tr>
      <w:tr w14:paraId="2280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075C3C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8C4E99B">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7585BCBD">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排行分析</w:t>
            </w:r>
          </w:p>
        </w:tc>
        <w:tc>
          <w:tcPr>
            <w:tcW w:w="1374" w:type="dxa"/>
            <w:shd w:val="clear" w:color="auto" w:fill="FFFFFF"/>
            <w:vAlign w:val="center"/>
          </w:tcPr>
          <w:p w14:paraId="6DB9999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排行指标选择</w:t>
            </w:r>
          </w:p>
        </w:tc>
        <w:tc>
          <w:tcPr>
            <w:tcW w:w="4547" w:type="dxa"/>
            <w:shd w:val="clear" w:color="auto" w:fill="FFFFFF"/>
            <w:vAlign w:val="center"/>
          </w:tcPr>
          <w:p w14:paraId="63E368A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支持从站点、物业项目、运营商三个维度的展示7日插口使用率排行。</w:t>
            </w:r>
          </w:p>
        </w:tc>
      </w:tr>
      <w:tr w14:paraId="26AA7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C3378C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BFFFA67">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1062922E">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4E9D8A3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7日平均客单价</w:t>
            </w:r>
          </w:p>
        </w:tc>
        <w:tc>
          <w:tcPr>
            <w:tcW w:w="4547" w:type="dxa"/>
            <w:shd w:val="clear" w:color="auto" w:fill="FFFFFF"/>
            <w:vAlign w:val="center"/>
          </w:tcPr>
          <w:p w14:paraId="7E2ADD8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支持从站点、物业项目、运营商三个维度的展示7日平均客单价排行。</w:t>
            </w:r>
          </w:p>
        </w:tc>
      </w:tr>
      <w:tr w14:paraId="710A7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F14FE1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D3F0682">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76C477F8">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3567149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今日订单量</w:t>
            </w:r>
          </w:p>
        </w:tc>
        <w:tc>
          <w:tcPr>
            <w:tcW w:w="4547" w:type="dxa"/>
            <w:shd w:val="clear" w:color="auto" w:fill="FFFFFF"/>
            <w:vAlign w:val="center"/>
          </w:tcPr>
          <w:p w14:paraId="110861C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支持从站点、物业项目、运营商三个维度的展示今日订单量排行。</w:t>
            </w:r>
          </w:p>
        </w:tc>
      </w:tr>
      <w:tr w14:paraId="01404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E297F5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47DB828">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3858CFB7">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0B2C6E6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今日订单金额</w:t>
            </w:r>
          </w:p>
        </w:tc>
        <w:tc>
          <w:tcPr>
            <w:tcW w:w="4547" w:type="dxa"/>
            <w:shd w:val="clear" w:color="auto" w:fill="FFFFFF"/>
            <w:vAlign w:val="center"/>
          </w:tcPr>
          <w:p w14:paraId="065E086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支持从站点、物业项目、运营商三个维度的展示今日订单金额排行。</w:t>
            </w:r>
          </w:p>
        </w:tc>
      </w:tr>
      <w:tr w14:paraId="4AD26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32AD5E2">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61A5DD0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站点管理</w:t>
            </w:r>
          </w:p>
        </w:tc>
        <w:tc>
          <w:tcPr>
            <w:tcW w:w="1416" w:type="dxa"/>
            <w:shd w:val="clear" w:color="auto" w:fill="FFFFFF"/>
            <w:vAlign w:val="center"/>
          </w:tcPr>
          <w:p w14:paraId="063DE33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站点列表</w:t>
            </w:r>
          </w:p>
        </w:tc>
        <w:tc>
          <w:tcPr>
            <w:tcW w:w="1374" w:type="dxa"/>
            <w:shd w:val="clear" w:color="auto" w:fill="FFFFFF"/>
            <w:vAlign w:val="center"/>
          </w:tcPr>
          <w:p w14:paraId="5805FA3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站点信息展示</w:t>
            </w:r>
          </w:p>
        </w:tc>
        <w:tc>
          <w:tcPr>
            <w:tcW w:w="4547" w:type="dxa"/>
            <w:shd w:val="clear" w:color="auto" w:fill="FFFFFF"/>
            <w:vAlign w:val="center"/>
          </w:tcPr>
          <w:p w14:paraId="4C02C5B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显示站点名称、地址、状态、设备数量等信息。</w:t>
            </w:r>
          </w:p>
        </w:tc>
      </w:tr>
      <w:tr w14:paraId="5E71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B6AA45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1330415">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4409191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站点详情</w:t>
            </w:r>
          </w:p>
        </w:tc>
        <w:tc>
          <w:tcPr>
            <w:tcW w:w="1374" w:type="dxa"/>
            <w:shd w:val="clear" w:color="auto" w:fill="FFFFFF"/>
            <w:vAlign w:val="center"/>
          </w:tcPr>
          <w:p w14:paraId="130BCFB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基本信息</w:t>
            </w:r>
          </w:p>
        </w:tc>
        <w:tc>
          <w:tcPr>
            <w:tcW w:w="4547" w:type="dxa"/>
            <w:shd w:val="clear" w:color="auto" w:fill="FFFFFF"/>
            <w:vAlign w:val="center"/>
          </w:tcPr>
          <w:p w14:paraId="254656F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查看站点详细信息、联系方式、地理位置。</w:t>
            </w:r>
          </w:p>
        </w:tc>
      </w:tr>
      <w:tr w14:paraId="5D8AA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D6E206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BE6FBDE">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4A65B117">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64DB8E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设备状态</w:t>
            </w:r>
          </w:p>
        </w:tc>
        <w:tc>
          <w:tcPr>
            <w:tcW w:w="4547" w:type="dxa"/>
            <w:shd w:val="clear" w:color="auto" w:fill="FFFFFF"/>
            <w:vAlign w:val="center"/>
          </w:tcPr>
          <w:p w14:paraId="553D2D3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监控充电设备列表和插座状态。</w:t>
            </w:r>
          </w:p>
        </w:tc>
      </w:tr>
      <w:tr w14:paraId="6E523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A1E4F1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94EC13C">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5A2616CC">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56CE533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计费信息</w:t>
            </w:r>
          </w:p>
        </w:tc>
        <w:tc>
          <w:tcPr>
            <w:tcW w:w="4547" w:type="dxa"/>
            <w:shd w:val="clear" w:color="auto" w:fill="FFFFFF"/>
            <w:vAlign w:val="center"/>
          </w:tcPr>
          <w:p w14:paraId="09D6B20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查询站点的计费信息，并支持绑定计费模板、设置价格和生效时间。</w:t>
            </w:r>
          </w:p>
        </w:tc>
      </w:tr>
      <w:tr w14:paraId="3FF24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2305CE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6B25C45">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52618F98">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CF65F1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站点操作</w:t>
            </w:r>
          </w:p>
        </w:tc>
        <w:tc>
          <w:tcPr>
            <w:tcW w:w="4547" w:type="dxa"/>
            <w:shd w:val="clear" w:color="auto" w:fill="FFFFFF"/>
            <w:vAlign w:val="center"/>
          </w:tcPr>
          <w:p w14:paraId="273CD28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支持对站点进行投运、检修、停运、退运的状态变更操作。</w:t>
            </w:r>
          </w:p>
        </w:tc>
      </w:tr>
      <w:tr w14:paraId="7CCAB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80DD10D">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333AA22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设备管理</w:t>
            </w:r>
          </w:p>
        </w:tc>
        <w:tc>
          <w:tcPr>
            <w:tcW w:w="1416" w:type="dxa"/>
            <w:shd w:val="clear" w:color="auto" w:fill="FFFFFF"/>
            <w:vAlign w:val="center"/>
          </w:tcPr>
          <w:p w14:paraId="0405AF7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设备列表</w:t>
            </w:r>
          </w:p>
        </w:tc>
        <w:tc>
          <w:tcPr>
            <w:tcW w:w="1374" w:type="dxa"/>
            <w:shd w:val="clear" w:color="auto" w:fill="FFFFFF"/>
            <w:vAlign w:val="center"/>
          </w:tcPr>
          <w:p w14:paraId="58020B5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设备信息展示</w:t>
            </w:r>
          </w:p>
        </w:tc>
        <w:tc>
          <w:tcPr>
            <w:tcW w:w="4547" w:type="dxa"/>
            <w:shd w:val="clear" w:color="auto" w:fill="FFFFFF"/>
            <w:vAlign w:val="center"/>
          </w:tcPr>
          <w:p w14:paraId="4EFE43D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显示设备编号、型号、状态、所属站点信息。</w:t>
            </w:r>
          </w:p>
        </w:tc>
      </w:tr>
      <w:tr w14:paraId="24B3C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BAD636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1694B68">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6522B8E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设备详情</w:t>
            </w:r>
          </w:p>
        </w:tc>
        <w:tc>
          <w:tcPr>
            <w:tcW w:w="1374" w:type="dxa"/>
            <w:shd w:val="clear" w:color="auto" w:fill="FFFFFF"/>
            <w:vAlign w:val="center"/>
          </w:tcPr>
          <w:p w14:paraId="51ED4D4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基本信息</w:t>
            </w:r>
          </w:p>
        </w:tc>
        <w:tc>
          <w:tcPr>
            <w:tcW w:w="4547" w:type="dxa"/>
            <w:shd w:val="clear" w:color="auto" w:fill="FFFFFF"/>
            <w:vAlign w:val="center"/>
          </w:tcPr>
          <w:p w14:paraId="1FFA016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查看设备基础信息。</w:t>
            </w:r>
          </w:p>
        </w:tc>
      </w:tr>
      <w:tr w14:paraId="18393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4A79A3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2678315">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3BC11327">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5B4F70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运行实况</w:t>
            </w:r>
          </w:p>
        </w:tc>
        <w:tc>
          <w:tcPr>
            <w:tcW w:w="4547" w:type="dxa"/>
            <w:shd w:val="clear" w:color="auto" w:fill="FFFFFF"/>
            <w:vAlign w:val="center"/>
          </w:tcPr>
          <w:p w14:paraId="7905DDD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查询设备运行实况。</w:t>
            </w:r>
          </w:p>
        </w:tc>
      </w:tr>
      <w:tr w14:paraId="269FA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F1CC285">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D7C9C8F">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59AFD6E1">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4D9EE17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设备操作</w:t>
            </w:r>
          </w:p>
        </w:tc>
        <w:tc>
          <w:tcPr>
            <w:tcW w:w="4547" w:type="dxa"/>
            <w:shd w:val="clear" w:color="auto" w:fill="FFFFFF"/>
            <w:vAlign w:val="center"/>
          </w:tcPr>
          <w:p w14:paraId="1FAEE7D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支持对设备进行投运、检修、停运、退运的状态变更操作。</w:t>
            </w:r>
          </w:p>
        </w:tc>
      </w:tr>
      <w:tr w14:paraId="4075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40EC129">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719BDC5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订单管理</w:t>
            </w:r>
          </w:p>
        </w:tc>
        <w:tc>
          <w:tcPr>
            <w:tcW w:w="1416" w:type="dxa"/>
            <w:shd w:val="clear" w:color="auto" w:fill="FFFFFF"/>
            <w:vAlign w:val="center"/>
          </w:tcPr>
          <w:p w14:paraId="71E3448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订单列表</w:t>
            </w:r>
          </w:p>
        </w:tc>
        <w:tc>
          <w:tcPr>
            <w:tcW w:w="1374" w:type="dxa"/>
            <w:shd w:val="clear" w:color="auto" w:fill="FFFFFF"/>
            <w:vAlign w:val="center"/>
          </w:tcPr>
          <w:p w14:paraId="7EE468F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订单信息</w:t>
            </w:r>
          </w:p>
        </w:tc>
        <w:tc>
          <w:tcPr>
            <w:tcW w:w="4547" w:type="dxa"/>
            <w:shd w:val="clear" w:color="auto" w:fill="FFFFFF"/>
            <w:vAlign w:val="center"/>
          </w:tcPr>
          <w:p w14:paraId="3A34C1D6">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显示订单号、用户信息、充电时长、费用、支付状态。</w:t>
            </w:r>
          </w:p>
        </w:tc>
      </w:tr>
      <w:tr w14:paraId="2EAAC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5A4AA0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E6DB5C9">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17F3652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订单详情</w:t>
            </w:r>
          </w:p>
        </w:tc>
        <w:tc>
          <w:tcPr>
            <w:tcW w:w="1374" w:type="dxa"/>
            <w:shd w:val="clear" w:color="auto" w:fill="FFFFFF"/>
            <w:vAlign w:val="center"/>
          </w:tcPr>
          <w:p w14:paraId="3F08002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订单信息</w:t>
            </w:r>
          </w:p>
        </w:tc>
        <w:tc>
          <w:tcPr>
            <w:tcW w:w="4547" w:type="dxa"/>
            <w:shd w:val="clear" w:color="auto" w:fill="FFFFFF"/>
            <w:vAlign w:val="center"/>
          </w:tcPr>
          <w:p w14:paraId="55C9D0B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查看完整订单详情、充电记录和支付信息。</w:t>
            </w:r>
          </w:p>
        </w:tc>
      </w:tr>
      <w:tr w14:paraId="67BDA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29DF51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836FE17">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7703FEB0">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5E3FE83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充电信息</w:t>
            </w:r>
          </w:p>
        </w:tc>
        <w:tc>
          <w:tcPr>
            <w:tcW w:w="4547" w:type="dxa"/>
            <w:shd w:val="clear" w:color="auto" w:fill="FFFFFF"/>
            <w:vAlign w:val="center"/>
          </w:tcPr>
          <w:p w14:paraId="1D8657E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查看订单充电过程中的电流、电压、功率和电量的变化趋势图。</w:t>
            </w:r>
          </w:p>
        </w:tc>
      </w:tr>
      <w:tr w14:paraId="0725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7F76509">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951691D">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66DF93F3">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76E023A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控制记录</w:t>
            </w:r>
          </w:p>
        </w:tc>
        <w:tc>
          <w:tcPr>
            <w:tcW w:w="4547" w:type="dxa"/>
            <w:shd w:val="clear" w:color="auto" w:fill="FFFFFF"/>
            <w:vAlign w:val="center"/>
          </w:tcPr>
          <w:p w14:paraId="768E757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查看充电过程中与平台与充电桩的控制记录。</w:t>
            </w:r>
          </w:p>
        </w:tc>
      </w:tr>
      <w:tr w14:paraId="2242C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DC01C2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93E9BB7">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43B2FFC2">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0DD5E80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退款申请</w:t>
            </w:r>
          </w:p>
        </w:tc>
        <w:tc>
          <w:tcPr>
            <w:tcW w:w="4547" w:type="dxa"/>
            <w:shd w:val="clear" w:color="auto" w:fill="FFFFFF"/>
            <w:vAlign w:val="center"/>
          </w:tcPr>
          <w:p w14:paraId="12271EB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支持对订单发起退款申请。</w:t>
            </w:r>
          </w:p>
        </w:tc>
      </w:tr>
      <w:tr w14:paraId="4A211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80CBA8F">
            <w:pPr>
              <w:jc w:val="center"/>
              <w:rPr>
                <w:rFonts w:hint="eastAsia" w:ascii="仿宋_GB2312" w:hAnsi="仿宋_GB2312" w:eastAsia="仿宋_GB2312" w:cs="仿宋_GB2312"/>
                <w:i w:val="0"/>
                <w:iCs w:val="0"/>
                <w:color w:val="000000"/>
                <w:sz w:val="24"/>
                <w:szCs w:val="24"/>
                <w:u w:val="none"/>
              </w:rPr>
            </w:pPr>
          </w:p>
        </w:tc>
        <w:tc>
          <w:tcPr>
            <w:tcW w:w="1296" w:type="dxa"/>
            <w:shd w:val="clear" w:color="auto" w:fill="FFFFFF"/>
            <w:vAlign w:val="center"/>
          </w:tcPr>
          <w:p w14:paraId="2C008D9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订单退款</w:t>
            </w:r>
          </w:p>
        </w:tc>
        <w:tc>
          <w:tcPr>
            <w:tcW w:w="1416" w:type="dxa"/>
            <w:shd w:val="clear" w:color="auto" w:fill="FFFFFF"/>
            <w:vAlign w:val="center"/>
          </w:tcPr>
          <w:p w14:paraId="656E26F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退款列表</w:t>
            </w:r>
          </w:p>
        </w:tc>
        <w:tc>
          <w:tcPr>
            <w:tcW w:w="1374" w:type="dxa"/>
            <w:shd w:val="clear" w:color="auto" w:fill="FFFFFF"/>
            <w:vAlign w:val="center"/>
          </w:tcPr>
          <w:p w14:paraId="3090F06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退款申请展示</w:t>
            </w:r>
          </w:p>
        </w:tc>
        <w:tc>
          <w:tcPr>
            <w:tcW w:w="4547" w:type="dxa"/>
            <w:shd w:val="clear" w:color="auto" w:fill="FFFFFF"/>
            <w:vAlign w:val="center"/>
          </w:tcPr>
          <w:p w14:paraId="1A8608C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显示退款申请列表和申请状态。</w:t>
            </w:r>
          </w:p>
        </w:tc>
      </w:tr>
      <w:tr w14:paraId="09E2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342CB62">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6CB714A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报修记录</w:t>
            </w:r>
          </w:p>
        </w:tc>
        <w:tc>
          <w:tcPr>
            <w:tcW w:w="1416" w:type="dxa"/>
            <w:shd w:val="clear" w:color="auto" w:fill="FFFFFF"/>
            <w:vAlign w:val="center"/>
          </w:tcPr>
          <w:p w14:paraId="11CDF7D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报修列表</w:t>
            </w:r>
          </w:p>
        </w:tc>
        <w:tc>
          <w:tcPr>
            <w:tcW w:w="1374" w:type="dxa"/>
            <w:shd w:val="clear" w:color="auto" w:fill="FFFFFF"/>
            <w:vAlign w:val="center"/>
          </w:tcPr>
          <w:p w14:paraId="6D2EB06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报修列表</w:t>
            </w:r>
          </w:p>
        </w:tc>
        <w:tc>
          <w:tcPr>
            <w:tcW w:w="4547" w:type="dxa"/>
            <w:shd w:val="clear" w:color="auto" w:fill="FFFFFF"/>
            <w:vAlign w:val="center"/>
          </w:tcPr>
          <w:p w14:paraId="7C03CDE3">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显示报修申请列表和申请状态，支持充电站筛选和时间筛选。</w:t>
            </w:r>
          </w:p>
        </w:tc>
      </w:tr>
      <w:tr w14:paraId="54BA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014A44E">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EED5033">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033F49F9">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报修处理</w:t>
            </w:r>
          </w:p>
        </w:tc>
        <w:tc>
          <w:tcPr>
            <w:tcW w:w="1374" w:type="dxa"/>
            <w:shd w:val="clear" w:color="auto" w:fill="FFFFFF"/>
            <w:vAlign w:val="center"/>
          </w:tcPr>
          <w:p w14:paraId="74398918">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0A1C135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查看报修详情和处理记录，并可对未处理的报修录入处理结果。</w:t>
            </w:r>
          </w:p>
        </w:tc>
      </w:tr>
      <w:tr w14:paraId="0DF3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460DF71">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00A88AD5">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运维管理</w:t>
            </w:r>
          </w:p>
        </w:tc>
        <w:tc>
          <w:tcPr>
            <w:tcW w:w="1416" w:type="dxa"/>
            <w:shd w:val="clear" w:color="auto" w:fill="FFFFFF"/>
            <w:vAlign w:val="center"/>
          </w:tcPr>
          <w:p w14:paraId="3E1147E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巡检管理</w:t>
            </w:r>
          </w:p>
        </w:tc>
        <w:tc>
          <w:tcPr>
            <w:tcW w:w="1374" w:type="dxa"/>
            <w:shd w:val="clear" w:color="auto" w:fill="FFFFFF"/>
            <w:vAlign w:val="center"/>
          </w:tcPr>
          <w:p w14:paraId="663B7AF8">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797D17D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接收与提交巡检工单（可上传图片）</w:t>
            </w:r>
          </w:p>
        </w:tc>
      </w:tr>
      <w:tr w14:paraId="1497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90BF34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DE3E6C7">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348B7C1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故障维修管理</w:t>
            </w:r>
          </w:p>
        </w:tc>
        <w:tc>
          <w:tcPr>
            <w:tcW w:w="1374" w:type="dxa"/>
            <w:shd w:val="clear" w:color="auto" w:fill="FFFFFF"/>
            <w:vAlign w:val="center"/>
          </w:tcPr>
          <w:p w14:paraId="4780A10F">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5C2B9916">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接收与提交故障维修工单（可上传图片）</w:t>
            </w:r>
          </w:p>
        </w:tc>
      </w:tr>
      <w:tr w14:paraId="5FFE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F991F6F">
            <w:pPr>
              <w:jc w:val="center"/>
              <w:rPr>
                <w:rFonts w:hint="eastAsia" w:ascii="仿宋_GB2312" w:hAnsi="仿宋_GB2312" w:eastAsia="仿宋_GB2312" w:cs="仿宋_GB2312"/>
                <w:i w:val="0"/>
                <w:iCs w:val="0"/>
                <w:color w:val="000000"/>
                <w:sz w:val="24"/>
                <w:szCs w:val="24"/>
                <w:u w:val="none"/>
              </w:rPr>
            </w:pPr>
          </w:p>
        </w:tc>
        <w:tc>
          <w:tcPr>
            <w:tcW w:w="1296" w:type="dxa"/>
            <w:shd w:val="clear" w:color="auto" w:fill="FFFFFF"/>
            <w:vAlign w:val="center"/>
          </w:tcPr>
          <w:p w14:paraId="6B95102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消息中心</w:t>
            </w:r>
          </w:p>
        </w:tc>
        <w:tc>
          <w:tcPr>
            <w:tcW w:w="1416" w:type="dxa"/>
            <w:shd w:val="clear" w:color="auto" w:fill="FFFFFF"/>
            <w:vAlign w:val="center"/>
          </w:tcPr>
          <w:p w14:paraId="19EBBEF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系统通知</w:t>
            </w:r>
          </w:p>
        </w:tc>
        <w:tc>
          <w:tcPr>
            <w:tcW w:w="1374" w:type="dxa"/>
            <w:shd w:val="clear" w:color="auto" w:fill="FFFFFF"/>
            <w:vAlign w:val="center"/>
          </w:tcPr>
          <w:p w14:paraId="46C2FE2C">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0A30906A">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显示审核结果通知、故障报警。</w:t>
            </w:r>
          </w:p>
        </w:tc>
      </w:tr>
      <w:tr w14:paraId="0876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828" w:type="dxa"/>
            <w:vMerge w:val="continue"/>
            <w:shd w:val="clear" w:color="auto" w:fill="FFFFFF"/>
            <w:vAlign w:val="center"/>
          </w:tcPr>
          <w:p w14:paraId="00D879E2">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1747DF7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厂商专区</w:t>
            </w:r>
          </w:p>
        </w:tc>
        <w:tc>
          <w:tcPr>
            <w:tcW w:w="1416" w:type="dxa"/>
            <w:vMerge w:val="restart"/>
            <w:shd w:val="clear" w:color="auto" w:fill="FFFFFF"/>
            <w:vAlign w:val="center"/>
          </w:tcPr>
          <w:p w14:paraId="5F9E685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扫码绑定</w:t>
            </w:r>
          </w:p>
        </w:tc>
        <w:tc>
          <w:tcPr>
            <w:tcW w:w="1374" w:type="dxa"/>
            <w:shd w:val="clear" w:color="auto" w:fill="FFFFFF"/>
            <w:vAlign w:val="center"/>
          </w:tcPr>
          <w:p w14:paraId="66498B72">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扫码绑定</w:t>
            </w:r>
          </w:p>
        </w:tc>
        <w:tc>
          <w:tcPr>
            <w:tcW w:w="4547" w:type="dxa"/>
            <w:shd w:val="clear" w:color="auto" w:fill="FFFFFF"/>
            <w:vAlign w:val="center"/>
          </w:tcPr>
          <w:p w14:paraId="48818211">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支持厂家在设备生产阶段，扫码绑定平台设备编码和厂商设备标识号，绑定后设备在平台完成预备桩建档。</w:t>
            </w:r>
          </w:p>
        </w:tc>
      </w:tr>
      <w:tr w14:paraId="5812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8DDB00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19F552C">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6EB1A57C">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09F563B">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绑定记录</w:t>
            </w:r>
          </w:p>
        </w:tc>
        <w:tc>
          <w:tcPr>
            <w:tcW w:w="4547" w:type="dxa"/>
            <w:shd w:val="clear" w:color="auto" w:fill="FFFFFF"/>
            <w:vAlign w:val="center"/>
          </w:tcPr>
          <w:p w14:paraId="68467E8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支持厂商查询设备绑定记录</w:t>
            </w:r>
          </w:p>
        </w:tc>
      </w:tr>
      <w:tr w14:paraId="5D32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D2B8F91">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70923F41">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201B696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出厂检测</w:t>
            </w:r>
          </w:p>
        </w:tc>
        <w:tc>
          <w:tcPr>
            <w:tcW w:w="1374" w:type="dxa"/>
            <w:shd w:val="clear" w:color="auto" w:fill="FFFFFF"/>
            <w:vAlign w:val="center"/>
          </w:tcPr>
          <w:p w14:paraId="1CB8EC84">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4CDE5B4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支持厂家在设备出厂前，通过扫描或输入平台设备编码，下发召测指令，对设备进行出厂测试。</w:t>
            </w:r>
          </w:p>
        </w:tc>
      </w:tr>
      <w:tr w14:paraId="3D2C5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A83FA63">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1AD28AEA">
            <w:pPr>
              <w:jc w:val="center"/>
              <w:rPr>
                <w:rFonts w:hint="eastAsia" w:ascii="仿宋_GB2312" w:hAnsi="仿宋_GB2312" w:eastAsia="仿宋_GB2312" w:cs="仿宋_GB2312"/>
                <w:i w:val="0"/>
                <w:iCs w:val="0"/>
                <w:color w:val="262626"/>
                <w:sz w:val="24"/>
                <w:szCs w:val="24"/>
                <w:u w:val="none"/>
              </w:rPr>
            </w:pPr>
          </w:p>
        </w:tc>
        <w:tc>
          <w:tcPr>
            <w:tcW w:w="1416" w:type="dxa"/>
            <w:shd w:val="clear" w:color="auto" w:fill="FFFFFF"/>
            <w:vAlign w:val="center"/>
          </w:tcPr>
          <w:p w14:paraId="6D266950">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关于我们</w:t>
            </w:r>
          </w:p>
        </w:tc>
        <w:tc>
          <w:tcPr>
            <w:tcW w:w="1374" w:type="dxa"/>
            <w:shd w:val="clear" w:color="auto" w:fill="FFFFFF"/>
            <w:vAlign w:val="center"/>
          </w:tcPr>
          <w:p w14:paraId="65555835">
            <w:pPr>
              <w:jc w:val="center"/>
              <w:rPr>
                <w:rFonts w:hint="eastAsia" w:ascii="仿宋_GB2312" w:hAnsi="仿宋_GB2312" w:eastAsia="仿宋_GB2312" w:cs="仿宋_GB2312"/>
                <w:i w:val="0"/>
                <w:iCs w:val="0"/>
                <w:color w:val="262626"/>
                <w:sz w:val="24"/>
                <w:szCs w:val="24"/>
                <w:u w:val="none"/>
              </w:rPr>
            </w:pPr>
          </w:p>
        </w:tc>
        <w:tc>
          <w:tcPr>
            <w:tcW w:w="4547" w:type="dxa"/>
            <w:shd w:val="clear" w:color="auto" w:fill="FFFFFF"/>
            <w:vAlign w:val="center"/>
          </w:tcPr>
          <w:p w14:paraId="0B5DF50E">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查看系统版本信息和联系方式</w:t>
            </w:r>
          </w:p>
        </w:tc>
      </w:tr>
      <w:tr w14:paraId="2714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45A4AF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FB68A58">
            <w:pPr>
              <w:jc w:val="center"/>
              <w:rPr>
                <w:rFonts w:hint="eastAsia" w:ascii="仿宋_GB2312" w:hAnsi="仿宋_GB2312" w:eastAsia="仿宋_GB2312" w:cs="仿宋_GB2312"/>
                <w:i w:val="0"/>
                <w:iCs w:val="0"/>
                <w:color w:val="262626"/>
                <w:sz w:val="24"/>
                <w:szCs w:val="24"/>
                <w:u w:val="none"/>
              </w:rPr>
            </w:pPr>
          </w:p>
        </w:tc>
        <w:tc>
          <w:tcPr>
            <w:tcW w:w="1416" w:type="dxa"/>
            <w:vMerge w:val="restart"/>
            <w:shd w:val="clear" w:color="auto" w:fill="FFFFFF"/>
            <w:vAlign w:val="center"/>
          </w:tcPr>
          <w:p w14:paraId="78CB20E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账户管理</w:t>
            </w:r>
          </w:p>
        </w:tc>
        <w:tc>
          <w:tcPr>
            <w:tcW w:w="1374" w:type="dxa"/>
            <w:shd w:val="clear" w:color="auto" w:fill="FFFFFF"/>
            <w:vAlign w:val="center"/>
          </w:tcPr>
          <w:p w14:paraId="5B8997AC">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在线登录</w:t>
            </w:r>
          </w:p>
        </w:tc>
        <w:tc>
          <w:tcPr>
            <w:tcW w:w="4547" w:type="dxa"/>
            <w:shd w:val="clear" w:color="auto" w:fill="FFFFFF"/>
            <w:vAlign w:val="center"/>
          </w:tcPr>
          <w:p w14:paraId="0ADF7834">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通过用户名密码登录</w:t>
            </w:r>
          </w:p>
        </w:tc>
      </w:tr>
      <w:tr w14:paraId="6EB7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660E0E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2484AA2">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5AE73AE0">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F68E098">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登录状态管理</w:t>
            </w:r>
          </w:p>
        </w:tc>
        <w:tc>
          <w:tcPr>
            <w:tcW w:w="4547" w:type="dxa"/>
            <w:shd w:val="clear" w:color="auto" w:fill="FFFFFF"/>
            <w:vAlign w:val="center"/>
          </w:tcPr>
          <w:p w14:paraId="3921F576">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管理登录状态和会话信息</w:t>
            </w:r>
          </w:p>
        </w:tc>
      </w:tr>
      <w:tr w14:paraId="26B9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933415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68478D3">
            <w:pPr>
              <w:jc w:val="center"/>
              <w:rPr>
                <w:rFonts w:hint="eastAsia" w:ascii="仿宋_GB2312" w:hAnsi="仿宋_GB2312" w:eastAsia="仿宋_GB2312" w:cs="仿宋_GB2312"/>
                <w:i w:val="0"/>
                <w:iCs w:val="0"/>
                <w:color w:val="262626"/>
                <w:sz w:val="24"/>
                <w:szCs w:val="24"/>
                <w:u w:val="none"/>
              </w:rPr>
            </w:pPr>
          </w:p>
        </w:tc>
        <w:tc>
          <w:tcPr>
            <w:tcW w:w="1416" w:type="dxa"/>
            <w:vMerge w:val="continue"/>
            <w:shd w:val="clear" w:color="auto" w:fill="FFFFFF"/>
            <w:vAlign w:val="center"/>
          </w:tcPr>
          <w:p w14:paraId="52EB200B">
            <w:pPr>
              <w:jc w:val="center"/>
              <w:rPr>
                <w:rFonts w:hint="eastAsia" w:ascii="仿宋_GB2312" w:hAnsi="仿宋_GB2312" w:eastAsia="仿宋_GB2312" w:cs="仿宋_GB2312"/>
                <w:i w:val="0"/>
                <w:iCs w:val="0"/>
                <w:color w:val="262626"/>
                <w:sz w:val="24"/>
                <w:szCs w:val="24"/>
                <w:u w:val="none"/>
              </w:rPr>
            </w:pPr>
          </w:p>
        </w:tc>
        <w:tc>
          <w:tcPr>
            <w:tcW w:w="1374" w:type="dxa"/>
            <w:shd w:val="clear" w:color="auto" w:fill="FFFFFF"/>
            <w:vAlign w:val="center"/>
          </w:tcPr>
          <w:p w14:paraId="680FFE3F">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退出登录</w:t>
            </w:r>
          </w:p>
        </w:tc>
        <w:tc>
          <w:tcPr>
            <w:tcW w:w="4547" w:type="dxa"/>
            <w:shd w:val="clear" w:color="auto" w:fill="FFFFFF"/>
            <w:vAlign w:val="center"/>
          </w:tcPr>
          <w:p w14:paraId="6FA99C57">
            <w:pPr>
              <w:keepNext w:val="0"/>
              <w:keepLines w:val="0"/>
              <w:widowControl/>
              <w:suppressLineNumbers w:val="0"/>
              <w:jc w:val="center"/>
              <w:textAlignment w:val="center"/>
              <w:rPr>
                <w:rFonts w:hint="eastAsia" w:ascii="仿宋_GB2312" w:hAnsi="仿宋_GB2312" w:eastAsia="仿宋_GB2312" w:cs="仿宋_GB2312"/>
                <w:i w:val="0"/>
                <w:iCs w:val="0"/>
                <w:color w:val="262626"/>
                <w:sz w:val="24"/>
                <w:szCs w:val="24"/>
                <w:u w:val="none"/>
              </w:rPr>
            </w:pPr>
            <w:r>
              <w:rPr>
                <w:rFonts w:hint="eastAsia" w:ascii="仿宋_GB2312" w:hAnsi="仿宋_GB2312" w:eastAsia="仿宋_GB2312" w:cs="仿宋_GB2312"/>
                <w:i w:val="0"/>
                <w:iCs w:val="0"/>
                <w:color w:val="262626"/>
                <w:kern w:val="0"/>
                <w:sz w:val="24"/>
                <w:szCs w:val="24"/>
                <w:u w:val="none"/>
                <w:lang w:val="en-US" w:eastAsia="zh-CN" w:bidi="ar"/>
              </w:rPr>
              <w:t>安全退出当前账户</w:t>
            </w:r>
          </w:p>
        </w:tc>
      </w:tr>
      <w:tr w14:paraId="39381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restart"/>
            <w:shd w:val="clear" w:color="auto" w:fill="FFFFFF"/>
            <w:vAlign w:val="center"/>
          </w:tcPr>
          <w:p w14:paraId="0316144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C端小程序</w:t>
            </w:r>
          </w:p>
        </w:tc>
        <w:tc>
          <w:tcPr>
            <w:tcW w:w="1296" w:type="dxa"/>
            <w:vMerge w:val="restart"/>
            <w:shd w:val="clear" w:color="auto" w:fill="FFFFFF"/>
            <w:vAlign w:val="center"/>
          </w:tcPr>
          <w:p w14:paraId="4EEDA1D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通用</w:t>
            </w:r>
          </w:p>
        </w:tc>
        <w:tc>
          <w:tcPr>
            <w:tcW w:w="1416" w:type="dxa"/>
            <w:shd w:val="clear" w:color="auto" w:fill="FFFFFF"/>
            <w:vAlign w:val="center"/>
          </w:tcPr>
          <w:p w14:paraId="7BC111F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注册/登录</w:t>
            </w:r>
          </w:p>
        </w:tc>
        <w:tc>
          <w:tcPr>
            <w:tcW w:w="1374" w:type="dxa"/>
            <w:shd w:val="clear" w:color="auto" w:fill="FFFFFF"/>
            <w:vAlign w:val="center"/>
          </w:tcPr>
          <w:p w14:paraId="683C486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手机号授权登录</w:t>
            </w:r>
          </w:p>
        </w:tc>
        <w:tc>
          <w:tcPr>
            <w:tcW w:w="4547" w:type="dxa"/>
            <w:shd w:val="clear" w:color="auto" w:fill="FFFFFF"/>
            <w:vAlign w:val="center"/>
          </w:tcPr>
          <w:p w14:paraId="010F1F8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用户授权小程序手机号注册/登录</w:t>
            </w:r>
          </w:p>
        </w:tc>
      </w:tr>
      <w:tr w14:paraId="7A8B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376DE7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D8D693B">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12557EE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小程序分享</w:t>
            </w:r>
          </w:p>
        </w:tc>
        <w:tc>
          <w:tcPr>
            <w:tcW w:w="1374" w:type="dxa"/>
            <w:shd w:val="clear" w:color="auto" w:fill="FFFFFF"/>
            <w:vAlign w:val="center"/>
          </w:tcPr>
          <w:p w14:paraId="56ABEAF9">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3D507B4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支持小程序的分享（需要配置）</w:t>
            </w:r>
          </w:p>
        </w:tc>
      </w:tr>
      <w:tr w14:paraId="4FC24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AF3A06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27A5D803">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344106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数据脱敏</w:t>
            </w:r>
          </w:p>
        </w:tc>
        <w:tc>
          <w:tcPr>
            <w:tcW w:w="1374" w:type="dxa"/>
            <w:shd w:val="clear" w:color="auto" w:fill="FFFFFF"/>
            <w:vAlign w:val="center"/>
          </w:tcPr>
          <w:p w14:paraId="439454C1">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3B8F761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用户手机号、证件号等敏感数据脱敏</w:t>
            </w:r>
          </w:p>
        </w:tc>
      </w:tr>
      <w:tr w14:paraId="14775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7790A0CD">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524D62A">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CAC6F7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协议管理</w:t>
            </w:r>
          </w:p>
        </w:tc>
        <w:tc>
          <w:tcPr>
            <w:tcW w:w="1374" w:type="dxa"/>
            <w:shd w:val="clear" w:color="auto" w:fill="FFFFFF"/>
            <w:vAlign w:val="center"/>
          </w:tcPr>
          <w:p w14:paraId="43C71975">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7123687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展示用户协议、隐私协议等信息</w:t>
            </w:r>
          </w:p>
        </w:tc>
      </w:tr>
      <w:tr w14:paraId="49D83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59AB578">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280393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3EE7292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关于我们</w:t>
            </w:r>
          </w:p>
        </w:tc>
        <w:tc>
          <w:tcPr>
            <w:tcW w:w="1374" w:type="dxa"/>
            <w:shd w:val="clear" w:color="auto" w:fill="FFFFFF"/>
            <w:vAlign w:val="center"/>
          </w:tcPr>
          <w:p w14:paraId="40151865">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2E334F7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介绍平台的的基础信息</w:t>
            </w:r>
          </w:p>
        </w:tc>
      </w:tr>
      <w:tr w14:paraId="0EC5C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F4D4E2F">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5ACAE8F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首页</w:t>
            </w:r>
          </w:p>
        </w:tc>
        <w:tc>
          <w:tcPr>
            <w:tcW w:w="1416" w:type="dxa"/>
            <w:shd w:val="clear" w:color="auto" w:fill="FFFFFF"/>
            <w:vAlign w:val="center"/>
          </w:tcPr>
          <w:p w14:paraId="134CE8E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bannner</w:t>
            </w:r>
          </w:p>
        </w:tc>
        <w:tc>
          <w:tcPr>
            <w:tcW w:w="1374" w:type="dxa"/>
            <w:shd w:val="clear" w:color="auto" w:fill="FFFFFF"/>
            <w:vAlign w:val="center"/>
          </w:tcPr>
          <w:p w14:paraId="13589E6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4547" w:type="dxa"/>
            <w:shd w:val="clear" w:color="auto" w:fill="FFFFFF"/>
            <w:vAlign w:val="center"/>
          </w:tcPr>
          <w:p w14:paraId="773B0E5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首页banner广告展示</w:t>
            </w:r>
          </w:p>
        </w:tc>
      </w:tr>
      <w:tr w14:paraId="32FD1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EEE136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EF8220D">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5393504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金刚区</w:t>
            </w:r>
          </w:p>
        </w:tc>
        <w:tc>
          <w:tcPr>
            <w:tcW w:w="1374" w:type="dxa"/>
            <w:shd w:val="clear" w:color="auto" w:fill="FFFFFF"/>
            <w:vAlign w:val="center"/>
          </w:tcPr>
          <w:p w14:paraId="40A4F85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4547" w:type="dxa"/>
            <w:shd w:val="clear" w:color="auto" w:fill="FFFFFF"/>
            <w:vAlign w:val="center"/>
          </w:tcPr>
          <w:p w14:paraId="4632E43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首页金刚区展示常用功能快捷功能入口</w:t>
            </w:r>
          </w:p>
        </w:tc>
      </w:tr>
      <w:tr w14:paraId="1F911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F2EB387">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98CE186">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2269669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充电实况</w:t>
            </w:r>
          </w:p>
        </w:tc>
        <w:tc>
          <w:tcPr>
            <w:tcW w:w="1374" w:type="dxa"/>
            <w:shd w:val="clear" w:color="auto" w:fill="FFFFFF"/>
            <w:vAlign w:val="center"/>
          </w:tcPr>
          <w:p w14:paraId="2242A02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4547" w:type="dxa"/>
            <w:shd w:val="clear" w:color="auto" w:fill="FFFFFF"/>
            <w:vAlign w:val="center"/>
          </w:tcPr>
          <w:p w14:paraId="34E12A2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如果存在充电中的订单，展示充电进度，用户可以快速进入到充电详情页</w:t>
            </w:r>
          </w:p>
        </w:tc>
      </w:tr>
      <w:tr w14:paraId="0A98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67D013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D876146">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2FF5AC7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附近站点</w:t>
            </w:r>
          </w:p>
        </w:tc>
        <w:tc>
          <w:tcPr>
            <w:tcW w:w="1374" w:type="dxa"/>
            <w:shd w:val="clear" w:color="auto" w:fill="FFFFFF"/>
            <w:vAlign w:val="center"/>
          </w:tcPr>
          <w:p w14:paraId="29DC027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列表模式</w:t>
            </w:r>
          </w:p>
        </w:tc>
        <w:tc>
          <w:tcPr>
            <w:tcW w:w="4547" w:type="dxa"/>
            <w:shd w:val="clear" w:color="auto" w:fill="FFFFFF"/>
            <w:vAlign w:val="center"/>
          </w:tcPr>
          <w:p w14:paraId="5CAD478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基于定位信息展示附近的站点信息，点击可以查看站点详情</w:t>
            </w:r>
          </w:p>
        </w:tc>
      </w:tr>
      <w:tr w14:paraId="57286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FF64C8E">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0E3E524">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247A7B2B">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0B72ABF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我要报修</w:t>
            </w:r>
          </w:p>
        </w:tc>
        <w:tc>
          <w:tcPr>
            <w:tcW w:w="4547" w:type="dxa"/>
            <w:shd w:val="clear" w:color="auto" w:fill="FFFFFF"/>
            <w:vAlign w:val="center"/>
          </w:tcPr>
          <w:p w14:paraId="3B63EEA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可以对站点和设备进行报修</w:t>
            </w:r>
          </w:p>
        </w:tc>
      </w:tr>
      <w:tr w14:paraId="5605C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954F666">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1F9553B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w:t>
            </w:r>
          </w:p>
        </w:tc>
        <w:tc>
          <w:tcPr>
            <w:tcW w:w="1416" w:type="dxa"/>
            <w:shd w:val="clear" w:color="auto" w:fill="FFFFFF"/>
            <w:vAlign w:val="center"/>
          </w:tcPr>
          <w:p w14:paraId="0BF52EF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启动充电</w:t>
            </w:r>
          </w:p>
        </w:tc>
        <w:tc>
          <w:tcPr>
            <w:tcW w:w="1374" w:type="dxa"/>
            <w:shd w:val="clear" w:color="auto" w:fill="FFFFFF"/>
            <w:vAlign w:val="center"/>
          </w:tcPr>
          <w:p w14:paraId="499C326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扫码充电</w:t>
            </w:r>
          </w:p>
        </w:tc>
        <w:tc>
          <w:tcPr>
            <w:tcW w:w="4547" w:type="dxa"/>
            <w:shd w:val="clear" w:color="auto" w:fill="FFFFFF"/>
            <w:vAlign w:val="center"/>
          </w:tcPr>
          <w:p w14:paraId="4FF6D85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扫码启动充电</w:t>
            </w:r>
          </w:p>
        </w:tc>
      </w:tr>
      <w:tr w14:paraId="7B73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E9DED7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08F4A304">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1DA9385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充电过程</w:t>
            </w:r>
          </w:p>
        </w:tc>
        <w:tc>
          <w:tcPr>
            <w:tcW w:w="1374" w:type="dxa"/>
            <w:shd w:val="clear" w:color="auto" w:fill="FFFFFF"/>
            <w:vAlign w:val="center"/>
          </w:tcPr>
          <w:p w14:paraId="5E1D235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实时数据监测</w:t>
            </w:r>
          </w:p>
        </w:tc>
        <w:tc>
          <w:tcPr>
            <w:tcW w:w="4547" w:type="dxa"/>
            <w:shd w:val="clear" w:color="auto" w:fill="FFFFFF"/>
            <w:vAlign w:val="center"/>
          </w:tcPr>
          <w:p w14:paraId="2131219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实时监测充电过程中的功率、充电时长、进度信息</w:t>
            </w:r>
          </w:p>
        </w:tc>
      </w:tr>
      <w:tr w14:paraId="20379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0096A3AB">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D1D03CF">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35143AC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支付方式</w:t>
            </w:r>
          </w:p>
        </w:tc>
        <w:tc>
          <w:tcPr>
            <w:tcW w:w="1374" w:type="dxa"/>
            <w:shd w:val="clear" w:color="auto" w:fill="FFFFFF"/>
            <w:vAlign w:val="center"/>
          </w:tcPr>
          <w:p w14:paraId="7E7D95E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支付宝先充后付</w:t>
            </w:r>
          </w:p>
        </w:tc>
        <w:tc>
          <w:tcPr>
            <w:tcW w:w="4547" w:type="dxa"/>
            <w:shd w:val="clear" w:color="auto" w:fill="FFFFFF"/>
            <w:vAlign w:val="center"/>
          </w:tcPr>
          <w:p w14:paraId="6F2BCF6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先充电后付费</w:t>
            </w:r>
          </w:p>
        </w:tc>
      </w:tr>
      <w:tr w14:paraId="5B74D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895E94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1F9C6595">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0D16E52">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451047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微信支付</w:t>
            </w:r>
          </w:p>
        </w:tc>
        <w:tc>
          <w:tcPr>
            <w:tcW w:w="4547" w:type="dxa"/>
            <w:shd w:val="clear" w:color="auto" w:fill="FFFFFF"/>
            <w:vAlign w:val="center"/>
          </w:tcPr>
          <w:p w14:paraId="72AF686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通过微信支付预存充电费用</w:t>
            </w:r>
          </w:p>
        </w:tc>
      </w:tr>
      <w:tr w14:paraId="232D4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25DA8A0">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AFE17CA">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5C9B7FE5">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19F2B50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支付宝支付</w:t>
            </w:r>
          </w:p>
        </w:tc>
        <w:tc>
          <w:tcPr>
            <w:tcW w:w="4547" w:type="dxa"/>
            <w:shd w:val="clear" w:color="auto" w:fill="FFFFFF"/>
            <w:vAlign w:val="center"/>
          </w:tcPr>
          <w:p w14:paraId="1CD3115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通过支付宝支付预存充电费用</w:t>
            </w:r>
          </w:p>
        </w:tc>
      </w:tr>
      <w:tr w14:paraId="7178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FD56192">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EEA8EED">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1D593F38">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442D2DA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余额支付</w:t>
            </w:r>
          </w:p>
        </w:tc>
        <w:tc>
          <w:tcPr>
            <w:tcW w:w="4547" w:type="dxa"/>
            <w:shd w:val="clear" w:color="auto" w:fill="FFFFFF"/>
            <w:vAlign w:val="center"/>
          </w:tcPr>
          <w:p w14:paraId="27C3413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支持使用余额账户进行充电</w:t>
            </w:r>
          </w:p>
        </w:tc>
      </w:tr>
      <w:tr w14:paraId="48193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29FA9E3">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4DAB875E">
            <w:pPr>
              <w:jc w:val="center"/>
              <w:rPr>
                <w:rFonts w:hint="eastAsia" w:ascii="仿宋_GB2312" w:hAnsi="仿宋_GB2312" w:eastAsia="仿宋_GB2312" w:cs="仿宋_GB2312"/>
                <w:i w:val="0"/>
                <w:iCs w:val="0"/>
                <w:color w:val="000000"/>
                <w:sz w:val="24"/>
                <w:szCs w:val="24"/>
                <w:u w:val="none"/>
              </w:rPr>
            </w:pPr>
          </w:p>
        </w:tc>
        <w:tc>
          <w:tcPr>
            <w:tcW w:w="1416" w:type="dxa"/>
            <w:vMerge w:val="restart"/>
            <w:shd w:val="clear" w:color="auto" w:fill="FFFFFF"/>
            <w:vAlign w:val="center"/>
          </w:tcPr>
          <w:p w14:paraId="6D8716D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停止充电</w:t>
            </w:r>
          </w:p>
        </w:tc>
        <w:tc>
          <w:tcPr>
            <w:tcW w:w="1374" w:type="dxa"/>
            <w:shd w:val="clear" w:color="auto" w:fill="FFFFFF"/>
            <w:vAlign w:val="center"/>
          </w:tcPr>
          <w:p w14:paraId="57ED9A9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手动停止</w:t>
            </w:r>
          </w:p>
        </w:tc>
        <w:tc>
          <w:tcPr>
            <w:tcW w:w="4547" w:type="dxa"/>
            <w:shd w:val="clear" w:color="auto" w:fill="FFFFFF"/>
            <w:vAlign w:val="center"/>
          </w:tcPr>
          <w:p w14:paraId="5979123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支持用户手动停止充电</w:t>
            </w:r>
          </w:p>
        </w:tc>
      </w:tr>
      <w:tr w14:paraId="63C5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5160825F">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EBE0EB0">
            <w:pPr>
              <w:jc w:val="center"/>
              <w:rPr>
                <w:rFonts w:hint="eastAsia" w:ascii="仿宋_GB2312" w:hAnsi="仿宋_GB2312" w:eastAsia="仿宋_GB2312" w:cs="仿宋_GB2312"/>
                <w:i w:val="0"/>
                <w:iCs w:val="0"/>
                <w:color w:val="000000"/>
                <w:sz w:val="24"/>
                <w:szCs w:val="24"/>
                <w:u w:val="none"/>
              </w:rPr>
            </w:pPr>
          </w:p>
        </w:tc>
        <w:tc>
          <w:tcPr>
            <w:tcW w:w="1416" w:type="dxa"/>
            <w:vMerge w:val="continue"/>
            <w:shd w:val="clear" w:color="auto" w:fill="FFFFFF"/>
            <w:vAlign w:val="center"/>
          </w:tcPr>
          <w:p w14:paraId="36204830">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vAlign w:val="center"/>
          </w:tcPr>
          <w:p w14:paraId="7422B28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自动停止</w:t>
            </w:r>
          </w:p>
        </w:tc>
        <w:tc>
          <w:tcPr>
            <w:tcW w:w="4547" w:type="dxa"/>
            <w:shd w:val="clear" w:color="auto" w:fill="FFFFFF"/>
            <w:vAlign w:val="center"/>
          </w:tcPr>
          <w:p w14:paraId="6F3A6D1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充电完成或金额不足时，自动结束充电行为</w:t>
            </w:r>
          </w:p>
        </w:tc>
      </w:tr>
      <w:tr w14:paraId="127A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1D87F73B">
            <w:pPr>
              <w:jc w:val="center"/>
              <w:rPr>
                <w:rFonts w:hint="eastAsia" w:ascii="仿宋_GB2312" w:hAnsi="仿宋_GB2312" w:eastAsia="仿宋_GB2312" w:cs="仿宋_GB2312"/>
                <w:i w:val="0"/>
                <w:iCs w:val="0"/>
                <w:color w:val="000000"/>
                <w:sz w:val="24"/>
                <w:szCs w:val="24"/>
                <w:u w:val="none"/>
              </w:rPr>
            </w:pPr>
          </w:p>
        </w:tc>
        <w:tc>
          <w:tcPr>
            <w:tcW w:w="1296" w:type="dxa"/>
            <w:vMerge w:val="restart"/>
            <w:shd w:val="clear" w:color="auto" w:fill="FFFFFF"/>
            <w:vAlign w:val="center"/>
          </w:tcPr>
          <w:p w14:paraId="3851EFC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个人中心</w:t>
            </w:r>
          </w:p>
        </w:tc>
        <w:tc>
          <w:tcPr>
            <w:tcW w:w="1416" w:type="dxa"/>
            <w:shd w:val="clear" w:color="auto" w:fill="FFFFFF"/>
            <w:vAlign w:val="center"/>
          </w:tcPr>
          <w:p w14:paraId="29F1546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个人首页</w:t>
            </w:r>
          </w:p>
        </w:tc>
        <w:tc>
          <w:tcPr>
            <w:tcW w:w="1374" w:type="dxa"/>
            <w:shd w:val="clear" w:color="auto" w:fill="FFFFFF"/>
            <w:vAlign w:val="center"/>
          </w:tcPr>
          <w:p w14:paraId="0C58318A">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6CDE32E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个人中心首页，展示用户基本信息，汇集所有个人相关的功能入口</w:t>
            </w:r>
          </w:p>
        </w:tc>
      </w:tr>
      <w:tr w14:paraId="66BF3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2725B25A">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ADDB3A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645845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我的订单</w:t>
            </w:r>
          </w:p>
        </w:tc>
        <w:tc>
          <w:tcPr>
            <w:tcW w:w="1374" w:type="dxa"/>
            <w:shd w:val="clear" w:color="auto" w:fill="FFFFFF"/>
            <w:vAlign w:val="center"/>
          </w:tcPr>
          <w:p w14:paraId="3C5392D6">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6ABB8F6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展示用户的充电订单列表，订单上展示相应的状态标记，订单详情中展示具体的订单信息</w:t>
            </w:r>
          </w:p>
        </w:tc>
      </w:tr>
      <w:tr w14:paraId="4731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D5AFEF4">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5B05EC2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243A706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我的余额</w:t>
            </w:r>
          </w:p>
        </w:tc>
        <w:tc>
          <w:tcPr>
            <w:tcW w:w="1374" w:type="dxa"/>
            <w:shd w:val="clear" w:color="auto" w:fill="FFFFFF"/>
            <w:vAlign w:val="center"/>
          </w:tcPr>
          <w:p w14:paraId="06082D00">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626E3D4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支持查询用户余额信息</w:t>
            </w:r>
          </w:p>
        </w:tc>
      </w:tr>
      <w:tr w14:paraId="004FE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5DAE246">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64DD2F88">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4EAF8AB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使用帮助</w:t>
            </w:r>
          </w:p>
        </w:tc>
        <w:tc>
          <w:tcPr>
            <w:tcW w:w="1374" w:type="dxa"/>
            <w:shd w:val="clear" w:color="auto" w:fill="FFFFFF"/>
            <w:vAlign w:val="center"/>
          </w:tcPr>
          <w:p w14:paraId="0B291A85">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1A84E1B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展示使用帮助信息，帮助用户快速上手</w:t>
            </w:r>
          </w:p>
        </w:tc>
      </w:tr>
      <w:tr w14:paraId="25165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679FE33E">
            <w:pPr>
              <w:jc w:val="center"/>
              <w:rPr>
                <w:rFonts w:hint="eastAsia" w:ascii="仿宋_GB2312" w:hAnsi="仿宋_GB2312" w:eastAsia="仿宋_GB2312" w:cs="仿宋_GB2312"/>
                <w:i w:val="0"/>
                <w:iCs w:val="0"/>
                <w:color w:val="000000"/>
                <w:sz w:val="24"/>
                <w:szCs w:val="24"/>
                <w:u w:val="none"/>
              </w:rPr>
            </w:pPr>
          </w:p>
        </w:tc>
        <w:tc>
          <w:tcPr>
            <w:tcW w:w="1296" w:type="dxa"/>
            <w:vMerge w:val="continue"/>
            <w:shd w:val="clear" w:color="auto" w:fill="FFFFFF"/>
            <w:vAlign w:val="center"/>
          </w:tcPr>
          <w:p w14:paraId="395EB297">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vAlign w:val="center"/>
          </w:tcPr>
          <w:p w14:paraId="7DC5CDF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客服电话</w:t>
            </w:r>
          </w:p>
        </w:tc>
        <w:tc>
          <w:tcPr>
            <w:tcW w:w="1374" w:type="dxa"/>
            <w:shd w:val="clear" w:color="auto" w:fill="FFFFFF"/>
            <w:vAlign w:val="center"/>
          </w:tcPr>
          <w:p w14:paraId="6766FEDE">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7CB00CB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展示客服电话，点击可以拨号</w:t>
            </w:r>
          </w:p>
        </w:tc>
      </w:tr>
      <w:tr w14:paraId="30334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restart"/>
            <w:shd w:val="clear" w:color="auto" w:fill="FFFFFF"/>
            <w:vAlign w:val="center"/>
          </w:tcPr>
          <w:p w14:paraId="3F56376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底层支撑</w:t>
            </w:r>
          </w:p>
        </w:tc>
        <w:tc>
          <w:tcPr>
            <w:tcW w:w="1296" w:type="dxa"/>
            <w:shd w:val="clear" w:color="auto" w:fill="FFFFFF"/>
            <w:vAlign w:val="center"/>
          </w:tcPr>
          <w:p w14:paraId="3623FDD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IOE</w:t>
            </w:r>
          </w:p>
        </w:tc>
        <w:tc>
          <w:tcPr>
            <w:tcW w:w="1416" w:type="dxa"/>
            <w:shd w:val="clear" w:color="auto" w:fill="FFFFFF"/>
            <w:vAlign w:val="center"/>
          </w:tcPr>
          <w:p w14:paraId="2A19BD0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IOE平台</w:t>
            </w:r>
          </w:p>
        </w:tc>
        <w:tc>
          <w:tcPr>
            <w:tcW w:w="1374" w:type="dxa"/>
            <w:shd w:val="clear" w:color="auto" w:fill="FFFFFF"/>
            <w:vAlign w:val="center"/>
          </w:tcPr>
          <w:p w14:paraId="5F0FCDA2">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vAlign w:val="center"/>
          </w:tcPr>
          <w:p w14:paraId="2C99437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IOE平台标品</w:t>
            </w:r>
          </w:p>
        </w:tc>
      </w:tr>
      <w:tr w14:paraId="31ED0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36009AF8">
            <w:pPr>
              <w:jc w:val="center"/>
              <w:rPr>
                <w:rFonts w:hint="eastAsia" w:ascii="仿宋_GB2312" w:hAnsi="仿宋_GB2312" w:eastAsia="仿宋_GB2312" w:cs="仿宋_GB2312"/>
                <w:i w:val="0"/>
                <w:iCs w:val="0"/>
                <w:color w:val="000000"/>
                <w:sz w:val="24"/>
                <w:szCs w:val="24"/>
                <w:u w:val="none"/>
              </w:rPr>
            </w:pPr>
          </w:p>
        </w:tc>
        <w:tc>
          <w:tcPr>
            <w:tcW w:w="1296" w:type="dxa"/>
            <w:shd w:val="clear" w:color="auto" w:fill="FFFFFF"/>
            <w:vAlign w:val="center"/>
          </w:tcPr>
          <w:p w14:paraId="0E7A4FA5">
            <w:pPr>
              <w:jc w:val="center"/>
              <w:rPr>
                <w:rFonts w:hint="eastAsia" w:ascii="仿宋_GB2312" w:hAnsi="仿宋_GB2312" w:eastAsia="仿宋_GB2312" w:cs="仿宋_GB2312"/>
                <w:i w:val="0"/>
                <w:iCs w:val="0"/>
                <w:color w:val="000000"/>
                <w:sz w:val="24"/>
                <w:szCs w:val="24"/>
                <w:u w:val="none"/>
              </w:rPr>
            </w:pPr>
          </w:p>
        </w:tc>
        <w:tc>
          <w:tcPr>
            <w:tcW w:w="1416" w:type="dxa"/>
            <w:shd w:val="clear" w:color="auto" w:fill="FFFFFF"/>
            <w:noWrap/>
            <w:vAlign w:val="center"/>
          </w:tcPr>
          <w:p w14:paraId="71E95D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充电桩协议</w:t>
            </w:r>
          </w:p>
        </w:tc>
        <w:tc>
          <w:tcPr>
            <w:tcW w:w="1374" w:type="dxa"/>
            <w:shd w:val="clear" w:color="auto" w:fill="FFFFFF"/>
            <w:noWrap/>
            <w:vAlign w:val="center"/>
          </w:tcPr>
          <w:p w14:paraId="130768E3">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noWrap/>
            <w:vAlign w:val="center"/>
          </w:tcPr>
          <w:p w14:paraId="7E519FD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预留充电桩协议对接</w:t>
            </w:r>
          </w:p>
        </w:tc>
      </w:tr>
      <w:tr w14:paraId="4194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28" w:type="dxa"/>
            <w:vMerge w:val="continue"/>
            <w:shd w:val="clear" w:color="auto" w:fill="FFFFFF"/>
            <w:vAlign w:val="center"/>
          </w:tcPr>
          <w:p w14:paraId="43CDB390">
            <w:pPr>
              <w:jc w:val="center"/>
              <w:rPr>
                <w:rFonts w:hint="eastAsia" w:ascii="仿宋_GB2312" w:hAnsi="仿宋_GB2312" w:eastAsia="仿宋_GB2312" w:cs="仿宋_GB2312"/>
                <w:i w:val="0"/>
                <w:iCs w:val="0"/>
                <w:color w:val="000000"/>
                <w:sz w:val="24"/>
                <w:szCs w:val="24"/>
                <w:u w:val="none"/>
              </w:rPr>
            </w:pPr>
          </w:p>
        </w:tc>
        <w:tc>
          <w:tcPr>
            <w:tcW w:w="1296" w:type="dxa"/>
            <w:shd w:val="clear" w:color="auto" w:fill="FFFFFF"/>
            <w:noWrap/>
            <w:vAlign w:val="center"/>
          </w:tcPr>
          <w:p w14:paraId="0F5DF3C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支付+清分</w:t>
            </w:r>
          </w:p>
        </w:tc>
        <w:tc>
          <w:tcPr>
            <w:tcW w:w="1416" w:type="dxa"/>
            <w:shd w:val="clear" w:color="auto" w:fill="FFFFFF"/>
            <w:noWrap/>
            <w:vAlign w:val="center"/>
          </w:tcPr>
          <w:p w14:paraId="32321194">
            <w:pPr>
              <w:jc w:val="center"/>
              <w:rPr>
                <w:rFonts w:hint="eastAsia" w:ascii="仿宋_GB2312" w:hAnsi="仿宋_GB2312" w:eastAsia="仿宋_GB2312" w:cs="仿宋_GB2312"/>
                <w:i w:val="0"/>
                <w:iCs w:val="0"/>
                <w:color w:val="000000"/>
                <w:sz w:val="24"/>
                <w:szCs w:val="24"/>
                <w:u w:val="none"/>
              </w:rPr>
            </w:pPr>
          </w:p>
        </w:tc>
        <w:tc>
          <w:tcPr>
            <w:tcW w:w="1374" w:type="dxa"/>
            <w:shd w:val="clear" w:color="auto" w:fill="FFFFFF"/>
            <w:noWrap/>
            <w:vAlign w:val="center"/>
          </w:tcPr>
          <w:p w14:paraId="23FC074C">
            <w:pPr>
              <w:jc w:val="center"/>
              <w:rPr>
                <w:rFonts w:hint="eastAsia" w:ascii="仿宋_GB2312" w:hAnsi="仿宋_GB2312" w:eastAsia="仿宋_GB2312" w:cs="仿宋_GB2312"/>
                <w:i w:val="0"/>
                <w:iCs w:val="0"/>
                <w:color w:val="000000"/>
                <w:sz w:val="24"/>
                <w:szCs w:val="24"/>
                <w:u w:val="none"/>
              </w:rPr>
            </w:pPr>
          </w:p>
        </w:tc>
        <w:tc>
          <w:tcPr>
            <w:tcW w:w="4547" w:type="dxa"/>
            <w:shd w:val="clear" w:color="auto" w:fill="FFFFFF"/>
            <w:noWrap/>
            <w:vAlign w:val="center"/>
          </w:tcPr>
          <w:p w14:paraId="3FD3D70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基于统一支付+与支付渠道和清分机构对接。实现充电订单金额在线清分。</w:t>
            </w:r>
          </w:p>
        </w:tc>
      </w:tr>
    </w:tbl>
    <w:p w14:paraId="3F3845B3">
      <w:pPr>
        <w:adjustRightInd w:val="0"/>
        <w:snapToGrid w:val="0"/>
        <w:spacing w:line="600" w:lineRule="exact"/>
        <w:outlineLvl w:val="1"/>
        <w:rPr>
          <w:rFonts w:hint="default" w:eastAsia="仿宋_GB2312"/>
          <w:color w:val="000000"/>
          <w:sz w:val="32"/>
          <w:szCs w:val="32"/>
          <w:highlight w:val="none"/>
          <w:u w:val="none"/>
          <w:lang w:val="en-US" w:eastAsia="zh-CN"/>
        </w:rPr>
      </w:pPr>
    </w:p>
    <w:p w14:paraId="76AB5E20">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五、完成时间</w:t>
      </w:r>
    </w:p>
    <w:p w14:paraId="0410BAC9">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1、2026年4月30日前需完成电动自行车监管平台上线试运行；</w:t>
      </w:r>
    </w:p>
    <w:p w14:paraId="2133E355">
      <w:pPr>
        <w:adjustRightInd w:val="0"/>
        <w:snapToGrid w:val="0"/>
        <w:spacing w:line="600" w:lineRule="exact"/>
        <w:ind w:firstLine="640" w:firstLineChars="200"/>
        <w:outlineLvl w:val="1"/>
        <w:rPr>
          <w:rFonts w:hint="eastAsia"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2、2026年5月15日前完成电动自行车充电站运营平台上线试运行；</w:t>
      </w:r>
    </w:p>
    <w:p w14:paraId="15A14B1B">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3、2026年9月30日前完成验收。</w:t>
      </w:r>
    </w:p>
    <w:p w14:paraId="6520B53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六、支付方式</w:t>
      </w:r>
    </w:p>
    <w:p w14:paraId="2773CF0B">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1、</w:t>
      </w:r>
      <w:r>
        <w:rPr>
          <w:rFonts w:hint="default" w:eastAsia="仿宋_GB2312"/>
          <w:color w:val="000000"/>
          <w:sz w:val="32"/>
          <w:szCs w:val="32"/>
          <w:highlight w:val="none"/>
          <w:u w:val="none"/>
          <w:lang w:val="en-US" w:eastAsia="zh-CN"/>
        </w:rPr>
        <w:t>双方正式签订合同</w:t>
      </w:r>
      <w:r>
        <w:rPr>
          <w:rFonts w:hint="eastAsia" w:eastAsia="仿宋_GB2312"/>
          <w:color w:val="000000"/>
          <w:sz w:val="32"/>
          <w:szCs w:val="32"/>
          <w:highlight w:val="none"/>
          <w:u w:val="none"/>
          <w:lang w:val="en-US" w:eastAsia="zh-CN"/>
        </w:rPr>
        <w:t>后</w:t>
      </w:r>
      <w:r>
        <w:rPr>
          <w:rFonts w:hint="default" w:eastAsia="仿宋_GB2312"/>
          <w:color w:val="000000"/>
          <w:sz w:val="32"/>
          <w:szCs w:val="32"/>
          <w:highlight w:val="none"/>
          <w:u w:val="none"/>
          <w:lang w:val="en-US" w:eastAsia="zh-CN"/>
        </w:rPr>
        <w:t>，</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收到</w:t>
      </w:r>
      <w:r>
        <w:rPr>
          <w:rFonts w:hint="eastAsia" w:eastAsia="仿宋_GB2312"/>
          <w:color w:val="000000"/>
          <w:sz w:val="32"/>
          <w:szCs w:val="32"/>
          <w:highlight w:val="none"/>
          <w:u w:val="none"/>
          <w:lang w:val="en-US" w:eastAsia="zh-CN"/>
        </w:rPr>
        <w:t>中标人</w:t>
      </w:r>
      <w:r>
        <w:rPr>
          <w:rFonts w:hint="default" w:eastAsia="仿宋_GB2312"/>
          <w:color w:val="000000"/>
          <w:sz w:val="32"/>
          <w:szCs w:val="32"/>
          <w:highlight w:val="none"/>
          <w:u w:val="none"/>
          <w:lang w:val="en-US" w:eastAsia="zh-CN"/>
        </w:rPr>
        <w:t>提交请款申请资料15个工作日内支付合同总金额的30%。</w:t>
      </w:r>
    </w:p>
    <w:p w14:paraId="0D297DDE">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2、</w:t>
      </w:r>
      <w:r>
        <w:rPr>
          <w:rFonts w:hint="default" w:eastAsia="仿宋_GB2312"/>
          <w:color w:val="000000"/>
          <w:sz w:val="32"/>
          <w:szCs w:val="32"/>
          <w:highlight w:val="none"/>
          <w:u w:val="none"/>
          <w:lang w:val="en-US" w:eastAsia="zh-CN"/>
        </w:rPr>
        <w:t>系统上线运行后，</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收到</w:t>
      </w:r>
      <w:r>
        <w:rPr>
          <w:rFonts w:hint="eastAsia" w:eastAsia="仿宋_GB2312"/>
          <w:color w:val="000000"/>
          <w:sz w:val="32"/>
          <w:szCs w:val="32"/>
          <w:highlight w:val="none"/>
          <w:u w:val="none"/>
          <w:lang w:val="en-US" w:eastAsia="zh-CN"/>
        </w:rPr>
        <w:t>中标人</w:t>
      </w:r>
      <w:r>
        <w:rPr>
          <w:rFonts w:hint="default" w:eastAsia="仿宋_GB2312"/>
          <w:color w:val="000000"/>
          <w:sz w:val="32"/>
          <w:szCs w:val="32"/>
          <w:highlight w:val="none"/>
          <w:u w:val="none"/>
          <w:lang w:val="en-US" w:eastAsia="zh-CN"/>
        </w:rPr>
        <w:t>提交请款申请资料15个工作日内支付合同金额的40%。</w:t>
      </w:r>
    </w:p>
    <w:p w14:paraId="3F71A8C3">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3、</w:t>
      </w:r>
      <w:r>
        <w:rPr>
          <w:rFonts w:hint="default" w:eastAsia="仿宋_GB2312"/>
          <w:color w:val="000000"/>
          <w:sz w:val="32"/>
          <w:szCs w:val="32"/>
          <w:highlight w:val="none"/>
          <w:u w:val="none"/>
          <w:lang w:val="en-US" w:eastAsia="zh-CN"/>
        </w:rPr>
        <w:t>系统上线完毕初步验收合格，</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收到</w:t>
      </w:r>
      <w:r>
        <w:rPr>
          <w:rFonts w:hint="eastAsia" w:eastAsia="仿宋_GB2312"/>
          <w:color w:val="000000"/>
          <w:sz w:val="32"/>
          <w:szCs w:val="32"/>
          <w:highlight w:val="none"/>
          <w:u w:val="none"/>
          <w:lang w:val="en-US" w:eastAsia="zh-CN"/>
        </w:rPr>
        <w:t>中标人</w:t>
      </w:r>
      <w:r>
        <w:rPr>
          <w:rFonts w:hint="default" w:eastAsia="仿宋_GB2312"/>
          <w:color w:val="000000"/>
          <w:sz w:val="32"/>
          <w:szCs w:val="32"/>
          <w:highlight w:val="none"/>
          <w:u w:val="none"/>
          <w:lang w:val="en-US" w:eastAsia="zh-CN"/>
        </w:rPr>
        <w:t>提交请款申请资料，</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确认功能初步正常使用后可支付合同金额的2</w:t>
      </w:r>
      <w:r>
        <w:rPr>
          <w:rFonts w:hint="eastAsia" w:eastAsia="仿宋_GB2312"/>
          <w:color w:val="000000"/>
          <w:sz w:val="32"/>
          <w:szCs w:val="32"/>
          <w:highlight w:val="none"/>
          <w:u w:val="none"/>
          <w:lang w:val="en-US" w:eastAsia="zh-CN"/>
        </w:rPr>
        <w:t>5</w:t>
      </w:r>
      <w:r>
        <w:rPr>
          <w:rFonts w:hint="default" w:eastAsia="仿宋_GB2312"/>
          <w:color w:val="000000"/>
          <w:sz w:val="32"/>
          <w:szCs w:val="32"/>
          <w:highlight w:val="none"/>
          <w:u w:val="none"/>
          <w:lang w:val="en-US" w:eastAsia="zh-CN"/>
        </w:rPr>
        <w:t>%。</w:t>
      </w:r>
    </w:p>
    <w:p w14:paraId="115E2C97">
      <w:pPr>
        <w:adjustRightInd w:val="0"/>
        <w:snapToGrid w:val="0"/>
        <w:spacing w:line="600" w:lineRule="exact"/>
        <w:ind w:firstLine="640" w:firstLineChars="200"/>
        <w:outlineLvl w:val="1"/>
        <w:rPr>
          <w:rFonts w:hint="default" w:eastAsia="仿宋_GB2312"/>
          <w:color w:val="000000"/>
          <w:sz w:val="32"/>
          <w:szCs w:val="32"/>
          <w:highlight w:val="none"/>
          <w:u w:val="none"/>
          <w:lang w:val="en-US" w:eastAsia="zh-CN"/>
        </w:rPr>
      </w:pPr>
      <w:r>
        <w:rPr>
          <w:rFonts w:hint="eastAsia" w:eastAsia="仿宋_GB2312"/>
          <w:color w:val="000000"/>
          <w:sz w:val="32"/>
          <w:szCs w:val="32"/>
          <w:highlight w:val="none"/>
          <w:u w:val="none"/>
          <w:lang w:val="en-US" w:eastAsia="zh-CN"/>
        </w:rPr>
        <w:t>4、</w:t>
      </w:r>
      <w:r>
        <w:rPr>
          <w:rFonts w:hint="default" w:eastAsia="仿宋_GB2312"/>
          <w:color w:val="000000"/>
          <w:sz w:val="32"/>
          <w:szCs w:val="32"/>
          <w:highlight w:val="none"/>
          <w:u w:val="none"/>
          <w:lang w:val="en-US" w:eastAsia="zh-CN"/>
        </w:rPr>
        <w:t>整体项目实施完成最终验收且系统转移至</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的云服务器之日</w:t>
      </w:r>
      <w:r>
        <w:rPr>
          <w:rFonts w:hint="eastAsia" w:eastAsia="仿宋_GB2312"/>
          <w:color w:val="000000"/>
          <w:sz w:val="32"/>
          <w:szCs w:val="32"/>
          <w:highlight w:val="none"/>
          <w:u w:val="none"/>
          <w:lang w:val="en-US" w:eastAsia="zh-CN"/>
        </w:rPr>
        <w:t>起</w:t>
      </w:r>
      <w:r>
        <w:rPr>
          <w:rFonts w:hint="default" w:eastAsia="仿宋_GB2312"/>
          <w:color w:val="000000"/>
          <w:sz w:val="32"/>
          <w:szCs w:val="32"/>
          <w:highlight w:val="none"/>
          <w:u w:val="none"/>
          <w:lang w:val="en-US" w:eastAsia="zh-CN"/>
        </w:rPr>
        <w:t>180日历日内，</w:t>
      </w:r>
      <w:r>
        <w:rPr>
          <w:rFonts w:hint="eastAsia" w:eastAsia="仿宋_GB2312"/>
          <w:color w:val="000000"/>
          <w:sz w:val="32"/>
          <w:szCs w:val="32"/>
          <w:highlight w:val="none"/>
          <w:u w:val="none"/>
          <w:lang w:val="en-US" w:eastAsia="zh-CN"/>
        </w:rPr>
        <w:t>采购人</w:t>
      </w:r>
      <w:r>
        <w:rPr>
          <w:rFonts w:hint="default" w:eastAsia="仿宋_GB2312"/>
          <w:color w:val="000000"/>
          <w:sz w:val="32"/>
          <w:szCs w:val="32"/>
          <w:highlight w:val="none"/>
          <w:u w:val="none"/>
          <w:lang w:val="en-US" w:eastAsia="zh-CN"/>
        </w:rPr>
        <w:t>收到</w:t>
      </w:r>
      <w:r>
        <w:rPr>
          <w:rFonts w:hint="eastAsia" w:eastAsia="仿宋_GB2312"/>
          <w:color w:val="000000"/>
          <w:sz w:val="32"/>
          <w:szCs w:val="32"/>
          <w:highlight w:val="none"/>
          <w:u w:val="none"/>
          <w:lang w:val="en-US" w:eastAsia="zh-CN"/>
        </w:rPr>
        <w:t>中标人</w:t>
      </w:r>
      <w:r>
        <w:rPr>
          <w:rFonts w:hint="default" w:eastAsia="仿宋_GB2312"/>
          <w:color w:val="000000"/>
          <w:sz w:val="32"/>
          <w:szCs w:val="32"/>
          <w:highlight w:val="none"/>
          <w:u w:val="none"/>
          <w:lang w:val="en-US" w:eastAsia="zh-CN"/>
        </w:rPr>
        <w:t>请款资料后支付合同金额5%的验收款。</w:t>
      </w:r>
    </w:p>
    <w:p w14:paraId="142D7966">
      <w:pPr>
        <w:adjustRightInd w:val="0"/>
        <w:snapToGrid w:val="0"/>
        <w:spacing w:line="600" w:lineRule="exact"/>
        <w:ind w:firstLine="640" w:firstLineChars="200"/>
        <w:outlineLvl w:val="1"/>
        <w:rPr>
          <w:rFonts w:hint="eastAsia" w:eastAsia="仿宋_GB2312"/>
          <w:color w:val="000000"/>
          <w:sz w:val="32"/>
          <w:szCs w:val="32"/>
          <w:highlight w:val="none"/>
          <w:u w:val="none"/>
          <w:lang w:eastAsia="zh-CN"/>
        </w:rPr>
      </w:pPr>
      <w:r>
        <w:rPr>
          <w:rFonts w:hint="eastAsia" w:ascii="Times New Roman" w:hAnsi="Times New Roman" w:eastAsia="仿宋_GB2312" w:cs="Times New Roman"/>
          <w:color w:val="000000"/>
          <w:sz w:val="32"/>
          <w:szCs w:val="32"/>
          <w:highlight w:val="none"/>
          <w:u w:val="none"/>
        </w:rPr>
        <w:t>（税率</w:t>
      </w:r>
      <w:r>
        <w:rPr>
          <w:rFonts w:hint="eastAsia" w:ascii="Times New Roman" w:hAnsi="Times New Roman" w:eastAsia="仿宋_GB2312" w:cs="Times New Roman"/>
          <w:color w:val="000000"/>
          <w:sz w:val="32"/>
          <w:szCs w:val="32"/>
          <w:highlight w:val="none"/>
          <w:u w:val="none"/>
          <w:lang w:val="en-US" w:eastAsia="zh-CN"/>
        </w:rPr>
        <w:t>6</w:t>
      </w:r>
      <w:r>
        <w:rPr>
          <w:rFonts w:hint="eastAsia" w:ascii="Times New Roman" w:hAnsi="Times New Roman" w:eastAsia="仿宋_GB2312" w:cs="Times New Roman"/>
          <w:color w:val="000000"/>
          <w:sz w:val="32"/>
          <w:szCs w:val="32"/>
          <w:highlight w:val="none"/>
          <w:u w:val="none"/>
        </w:rPr>
        <w:t>%</w:t>
      </w:r>
      <w:r>
        <w:rPr>
          <w:rFonts w:hint="eastAsia" w:ascii="Times New Roman" w:hAnsi="Times New Roman"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增值税额按业务发生时国家政策规定增值税率计算</w:t>
      </w:r>
      <w:r>
        <w:rPr>
          <w:rFonts w:hint="eastAsia" w:eastAsia="仿宋_GB2312" w:cs="Times New Roman"/>
          <w:color w:val="000000"/>
          <w:sz w:val="32"/>
          <w:szCs w:val="32"/>
          <w:highlight w:val="none"/>
          <w:u w:val="none"/>
          <w:lang w:eastAsia="zh-CN"/>
        </w:rPr>
        <w:t>。</w:t>
      </w:r>
      <w:r>
        <w:rPr>
          <w:rFonts w:hint="eastAsia" w:ascii="Times New Roman" w:hAnsi="Times New Roman" w:eastAsia="仿宋_GB2312" w:cs="Times New Roman"/>
          <w:color w:val="000000"/>
          <w:sz w:val="32"/>
          <w:szCs w:val="32"/>
          <w:highlight w:val="none"/>
          <w:u w:val="none"/>
        </w:rPr>
        <w:t>）</w:t>
      </w:r>
    </w:p>
    <w:p w14:paraId="6946E652">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七、报价</w:t>
      </w:r>
    </w:p>
    <w:p w14:paraId="03393087">
      <w:pPr>
        <w:spacing w:line="600" w:lineRule="exact"/>
        <w:ind w:firstLine="640" w:firstLineChars="200"/>
        <w:rPr>
          <w:rFonts w:hint="default" w:eastAsia="仿宋_GB2312"/>
          <w:color w:val="000000"/>
          <w:sz w:val="32"/>
          <w:szCs w:val="32"/>
          <w:highlight w:val="none"/>
          <w:lang w:val="en-US" w:eastAsia="zh-CN"/>
        </w:rPr>
      </w:pPr>
      <w:r>
        <w:rPr>
          <w:rFonts w:hint="eastAsia" w:eastAsia="仿宋_GB2312"/>
          <w:color w:val="000000"/>
          <w:sz w:val="32"/>
          <w:szCs w:val="32"/>
          <w:highlight w:val="none"/>
        </w:rPr>
        <w:t>采购限价：¥</w:t>
      </w:r>
      <w:r>
        <w:rPr>
          <w:rFonts w:hint="eastAsia" w:eastAsia="仿宋_GB2312"/>
          <w:color w:val="000000"/>
          <w:sz w:val="32"/>
          <w:szCs w:val="32"/>
          <w:highlight w:val="none"/>
          <w:u w:val="single"/>
          <w:lang w:val="en-US" w:eastAsia="zh-CN"/>
        </w:rPr>
        <w:t>800</w:t>
      </w:r>
      <w:r>
        <w:rPr>
          <w:rFonts w:hint="eastAsia" w:eastAsia="仿宋_GB2312"/>
          <w:color w:val="000000"/>
          <w:sz w:val="32"/>
          <w:szCs w:val="32"/>
          <w:highlight w:val="none"/>
          <w:u w:val="single"/>
        </w:rPr>
        <w:t>,</w:t>
      </w:r>
      <w:r>
        <w:rPr>
          <w:rFonts w:hint="eastAsia" w:eastAsia="仿宋_GB2312"/>
          <w:color w:val="000000"/>
          <w:sz w:val="32"/>
          <w:szCs w:val="32"/>
          <w:highlight w:val="none"/>
          <w:u w:val="single"/>
          <w:lang w:val="en-US" w:eastAsia="zh-CN"/>
        </w:rPr>
        <w:t>0</w:t>
      </w:r>
      <w:r>
        <w:rPr>
          <w:rFonts w:hint="eastAsia" w:eastAsia="仿宋_GB2312"/>
          <w:color w:val="000000"/>
          <w:sz w:val="32"/>
          <w:szCs w:val="32"/>
          <w:highlight w:val="none"/>
          <w:u w:val="single"/>
        </w:rPr>
        <w:t>00.00</w:t>
      </w:r>
      <w:r>
        <w:rPr>
          <w:rFonts w:hint="eastAsia" w:eastAsia="仿宋_GB2312"/>
          <w:color w:val="000000"/>
          <w:sz w:val="32"/>
          <w:szCs w:val="32"/>
          <w:highlight w:val="none"/>
        </w:rPr>
        <w:t>元（含税）。</w:t>
      </w:r>
      <w:r>
        <w:rPr>
          <w:rFonts w:hint="eastAsia" w:eastAsia="仿宋_GB2312"/>
          <w:color w:val="000000"/>
          <w:sz w:val="32"/>
          <w:szCs w:val="32"/>
          <w:highlight w:val="none"/>
          <w:lang w:val="en-US" w:eastAsia="zh-CN"/>
        </w:rPr>
        <w:t xml:space="preserve">                                                                                                                                                                                                                      </w:t>
      </w:r>
    </w:p>
    <w:p w14:paraId="78BB364F">
      <w:pPr>
        <w:spacing w:line="600" w:lineRule="exact"/>
        <w:ind w:firstLine="640" w:firstLineChars="200"/>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本项目发包方式为固定总价包干，实行固定价格报价，包括但不限于：完成本项目的成本、利润、税金、人工费、交通费、会务费、专家评审费等在项目过程中可能产生的一切费用。响应人已充分考虑了本项目服务内容及要求描述工作量可能与最终实际工作量存在差距的风险。</w:t>
      </w:r>
    </w:p>
    <w:p w14:paraId="55F2B4F9">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八、定标</w:t>
      </w:r>
    </w:p>
    <w:p w14:paraId="0C9B304B">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lang w:val="en-US" w:eastAsia="zh-CN"/>
        </w:rPr>
        <w:t>1、</w:t>
      </w:r>
      <w:r>
        <w:rPr>
          <w:rFonts w:hint="eastAsia" w:eastAsia="仿宋_GB2312"/>
          <w:color w:val="000000"/>
          <w:sz w:val="32"/>
          <w:szCs w:val="32"/>
          <w:highlight w:val="none"/>
          <w:u w:val="single"/>
        </w:rPr>
        <w:t>异常低价审查:</w:t>
      </w:r>
    </w:p>
    <w:p w14:paraId="01CFF728">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rPr>
        <w:t>出现下列情形之一的，应当启动异常低价响应审查程序：</w:t>
      </w:r>
    </w:p>
    <w:p w14:paraId="67D14F6A">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lang w:eastAsia="zh-CN"/>
        </w:rPr>
        <w:t>（</w:t>
      </w:r>
      <w:r>
        <w:rPr>
          <w:rFonts w:hint="eastAsia" w:eastAsia="仿宋_GB2312"/>
          <w:color w:val="000000"/>
          <w:sz w:val="32"/>
          <w:szCs w:val="32"/>
          <w:highlight w:val="none"/>
          <w:u w:val="single"/>
          <w:lang w:val="en-US" w:eastAsia="zh-CN"/>
        </w:rPr>
        <w:t>1</w:t>
      </w:r>
      <w:r>
        <w:rPr>
          <w:rFonts w:hint="eastAsia" w:eastAsia="仿宋_GB2312"/>
          <w:color w:val="000000"/>
          <w:sz w:val="32"/>
          <w:szCs w:val="32"/>
          <w:highlight w:val="none"/>
          <w:u w:val="single"/>
          <w:lang w:eastAsia="zh-CN"/>
        </w:rPr>
        <w:t>）</w:t>
      </w:r>
      <w:r>
        <w:rPr>
          <w:rFonts w:hint="eastAsia" w:eastAsia="仿宋_GB2312"/>
          <w:color w:val="000000"/>
          <w:sz w:val="32"/>
          <w:szCs w:val="32"/>
          <w:highlight w:val="none"/>
          <w:u w:val="single"/>
        </w:rPr>
        <w:t>响应报价低于全部通过符合性审查供应商响应报价平均值50%的，即响应报价&lt;全部通过符合性审查供应商响应报价平均值×50%；</w:t>
      </w:r>
    </w:p>
    <w:p w14:paraId="3CEC33C3">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rPr>
        <w:t>（</w:t>
      </w:r>
      <w:r>
        <w:rPr>
          <w:rFonts w:hint="eastAsia" w:eastAsia="仿宋_GB2312"/>
          <w:color w:val="000000"/>
          <w:sz w:val="32"/>
          <w:szCs w:val="32"/>
          <w:highlight w:val="none"/>
          <w:u w:val="single"/>
          <w:lang w:val="en-US" w:eastAsia="zh-CN"/>
        </w:rPr>
        <w:t>2</w:t>
      </w:r>
      <w:r>
        <w:rPr>
          <w:rFonts w:hint="eastAsia" w:eastAsia="仿宋_GB2312"/>
          <w:color w:val="000000"/>
          <w:sz w:val="32"/>
          <w:szCs w:val="32"/>
          <w:highlight w:val="none"/>
          <w:u w:val="single"/>
        </w:rPr>
        <w:t>）响应报价低于通过符合性审查的次低报价供应商响应报价50%的，即响应报价&lt;通过符合性审查的次低报价供应商响应报价×50%；</w:t>
      </w:r>
    </w:p>
    <w:p w14:paraId="0067B927">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rPr>
        <w:t>（</w:t>
      </w:r>
      <w:r>
        <w:rPr>
          <w:rFonts w:hint="eastAsia" w:eastAsia="仿宋_GB2312"/>
          <w:color w:val="000000"/>
          <w:sz w:val="32"/>
          <w:szCs w:val="32"/>
          <w:highlight w:val="none"/>
          <w:u w:val="single"/>
          <w:lang w:val="en-US" w:eastAsia="zh-CN"/>
        </w:rPr>
        <w:t>3</w:t>
      </w:r>
      <w:r>
        <w:rPr>
          <w:rFonts w:hint="eastAsia" w:eastAsia="仿宋_GB2312"/>
          <w:color w:val="000000"/>
          <w:sz w:val="32"/>
          <w:szCs w:val="32"/>
          <w:highlight w:val="none"/>
          <w:u w:val="single"/>
        </w:rPr>
        <w:t>）响应报价低于采购项目最高限价45%的，即响应报价&lt;采购项目最高限价×45%；</w:t>
      </w:r>
    </w:p>
    <w:p w14:paraId="04D39033">
      <w:pPr>
        <w:spacing w:line="600" w:lineRule="exact"/>
        <w:ind w:firstLine="640" w:firstLineChars="200"/>
        <w:rPr>
          <w:rFonts w:hint="eastAsia" w:eastAsia="仿宋_GB2312"/>
          <w:color w:val="000000"/>
          <w:sz w:val="32"/>
          <w:szCs w:val="32"/>
          <w:highlight w:val="none"/>
          <w:u w:val="single"/>
        </w:rPr>
      </w:pPr>
      <w:r>
        <w:rPr>
          <w:rFonts w:hint="eastAsia" w:eastAsia="仿宋_GB2312"/>
          <w:color w:val="000000"/>
          <w:sz w:val="32"/>
          <w:szCs w:val="32"/>
          <w:highlight w:val="none"/>
          <w:u w:val="single"/>
        </w:rPr>
        <w:t>（</w:t>
      </w:r>
      <w:r>
        <w:rPr>
          <w:rFonts w:hint="eastAsia" w:eastAsia="仿宋_GB2312"/>
          <w:color w:val="000000"/>
          <w:sz w:val="32"/>
          <w:szCs w:val="32"/>
          <w:highlight w:val="none"/>
          <w:u w:val="single"/>
          <w:lang w:val="en-US" w:eastAsia="zh-CN"/>
        </w:rPr>
        <w:t>4</w:t>
      </w:r>
      <w:r>
        <w:rPr>
          <w:rFonts w:hint="eastAsia" w:eastAsia="仿宋_GB2312"/>
          <w:color w:val="000000"/>
          <w:sz w:val="32"/>
          <w:szCs w:val="32"/>
          <w:highlight w:val="none"/>
          <w:u w:val="single"/>
        </w:rPr>
        <w:t>）基于专业判断，认为供应商报价过低，有可能影响产品质量或者不能诚信履约的其他情形。应当要求相关供应商在现场合理的时间内（30分钟内）提供书面说明及必要的证明材料，对响应价格作出解释。提供项目具体成本测算等与报价合理性相关的书面说明及必要的证明材料，包括但不限于原材料成本、人工成本、制造费用等。响应供应商不能提供书面说明、证明材料，或者提供的书面说明、证明材料不能证明其报价合理性的，应当将其作为无效响应处理。如果响应供应商提供的书面说明、证明材料能证明其报价合理性的，</w:t>
      </w:r>
      <w:r>
        <w:rPr>
          <w:rFonts w:hint="eastAsia" w:eastAsia="仿宋_GB2312"/>
          <w:color w:val="000000"/>
          <w:sz w:val="32"/>
          <w:szCs w:val="32"/>
          <w:highlight w:val="none"/>
          <w:u w:val="single"/>
          <w:lang w:val="en-US" w:eastAsia="zh-CN"/>
        </w:rPr>
        <w:t>符合性审查</w:t>
      </w:r>
      <w:r>
        <w:rPr>
          <w:rFonts w:hint="eastAsia" w:eastAsia="仿宋_GB2312"/>
          <w:color w:val="000000"/>
          <w:sz w:val="32"/>
          <w:szCs w:val="32"/>
          <w:highlight w:val="none"/>
          <w:u w:val="single"/>
        </w:rPr>
        <w:t>结果为通过。</w:t>
      </w:r>
    </w:p>
    <w:p w14:paraId="228759AB">
      <w:pPr>
        <w:spacing w:line="600" w:lineRule="exact"/>
        <w:ind w:firstLine="640" w:firstLineChars="200"/>
        <w:rPr>
          <w:rFonts w:hint="eastAsia" w:eastAsia="仿宋_GB2312"/>
          <w:color w:val="000000"/>
          <w:sz w:val="32"/>
          <w:szCs w:val="32"/>
          <w:highlight w:val="none"/>
          <w:u w:val="single"/>
          <w:lang w:eastAsia="zh-CN"/>
        </w:rPr>
      </w:pPr>
      <w:r>
        <w:rPr>
          <w:rFonts w:hint="eastAsia" w:eastAsia="仿宋_GB2312"/>
          <w:color w:val="000000"/>
          <w:sz w:val="32"/>
          <w:szCs w:val="32"/>
          <w:highlight w:val="none"/>
          <w:u w:val="single"/>
          <w:lang w:val="en-US" w:eastAsia="zh-CN"/>
        </w:rPr>
        <w:t>2、</w:t>
      </w:r>
      <w:r>
        <w:rPr>
          <w:rFonts w:hint="eastAsia" w:eastAsia="仿宋_GB2312"/>
          <w:color w:val="000000"/>
          <w:sz w:val="32"/>
          <w:szCs w:val="32"/>
          <w:highlight w:val="none"/>
          <w:u w:val="single"/>
        </w:rPr>
        <w:t>本次项目采用询价方式进行采购，</w:t>
      </w:r>
      <w:r>
        <w:rPr>
          <w:rFonts w:hint="eastAsia" w:eastAsia="仿宋_GB2312"/>
          <w:color w:val="000000"/>
          <w:sz w:val="32"/>
          <w:szCs w:val="32"/>
          <w:highlight w:val="none"/>
          <w:u w:val="single"/>
          <w:lang w:val="en-US" w:eastAsia="zh-CN"/>
        </w:rPr>
        <w:t>将</w:t>
      </w:r>
      <w:r>
        <w:rPr>
          <w:rFonts w:hint="eastAsia" w:eastAsia="仿宋_GB2312"/>
          <w:color w:val="000000"/>
          <w:sz w:val="32"/>
          <w:szCs w:val="32"/>
          <w:highlight w:val="none"/>
          <w:u w:val="single"/>
        </w:rPr>
        <w:t>对各供应商响应文件进行审核，并根据质量和服务均能满足采购文件实质性响应要求且报价最低的原则，推荐成交候选供应商（报价相同的，由采购人对投标单位的规模、人员等进行评定，并出具询价报告，排在前面的响应人的最低报价为中标供应商。采购人一致认为响应人报价明显不合理或者低于成本，应当要求响应人在规定时间内提供书面文件予以解释说明，并提供相关证明材料）</w:t>
      </w:r>
      <w:r>
        <w:rPr>
          <w:rFonts w:hint="eastAsia" w:eastAsia="仿宋_GB2312"/>
          <w:color w:val="000000"/>
          <w:sz w:val="32"/>
          <w:szCs w:val="32"/>
          <w:highlight w:val="none"/>
          <w:u w:val="single"/>
          <w:lang w:eastAsia="zh-CN"/>
        </w:rPr>
        <w:t>。</w:t>
      </w:r>
    </w:p>
    <w:p w14:paraId="527AFFA5">
      <w:pPr>
        <w:spacing w:line="600" w:lineRule="exact"/>
        <w:ind w:firstLine="640" w:firstLineChars="200"/>
        <w:rPr>
          <w:rFonts w:eastAsia="仿宋_GB2312"/>
          <w:color w:val="000000"/>
          <w:sz w:val="32"/>
          <w:szCs w:val="32"/>
          <w:highlight w:val="none"/>
          <w:u w:val="single"/>
        </w:rPr>
      </w:pPr>
      <w:r>
        <w:rPr>
          <w:rFonts w:hint="eastAsia" w:eastAsia="仿宋_GB2312"/>
          <w:color w:val="000000"/>
          <w:sz w:val="32"/>
          <w:szCs w:val="32"/>
          <w:highlight w:val="none"/>
          <w:u w:val="single"/>
        </w:rPr>
        <w:t>询价结束后，将相关询价情况按程序审批并确定成交人。</w:t>
      </w:r>
    </w:p>
    <w:p w14:paraId="4B890377">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九、采取的合同文本</w:t>
      </w:r>
    </w:p>
    <w:p w14:paraId="561469D2">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合同签订的依据为询价函、响应文件及补充说明等。确定成交单位后，成交单位在</w:t>
      </w:r>
      <w:r>
        <w:rPr>
          <w:rFonts w:eastAsia="仿宋_GB2312"/>
          <w:color w:val="000000"/>
          <w:sz w:val="32"/>
          <w:szCs w:val="32"/>
          <w:highlight w:val="none"/>
          <w:u w:val="single"/>
        </w:rPr>
        <w:t>1</w:t>
      </w:r>
      <w:r>
        <w:rPr>
          <w:rFonts w:hint="eastAsia" w:eastAsia="仿宋_GB2312"/>
          <w:color w:val="000000"/>
          <w:sz w:val="32"/>
          <w:szCs w:val="32"/>
          <w:highlight w:val="none"/>
          <w:u w:val="single"/>
          <w:lang w:val="en-US" w:eastAsia="zh-CN"/>
        </w:rPr>
        <w:t>0</w:t>
      </w:r>
      <w:r>
        <w:rPr>
          <w:rFonts w:hint="eastAsia" w:eastAsia="仿宋_GB2312"/>
          <w:color w:val="000000"/>
          <w:sz w:val="32"/>
          <w:szCs w:val="32"/>
          <w:highlight w:val="none"/>
        </w:rPr>
        <w:t>天内与采购人签订合同。</w:t>
      </w:r>
    </w:p>
    <w:p w14:paraId="476CF8DF">
      <w:pPr>
        <w:adjustRightInd w:val="0"/>
        <w:snapToGrid w:val="0"/>
        <w:spacing w:line="600" w:lineRule="exact"/>
        <w:ind w:firstLine="640" w:firstLineChars="200"/>
        <w:outlineLvl w:val="1"/>
        <w:rPr>
          <w:rFonts w:eastAsia="黑体"/>
          <w:color w:val="000000"/>
          <w:sz w:val="32"/>
          <w:szCs w:val="32"/>
          <w:highlight w:val="none"/>
        </w:rPr>
      </w:pPr>
      <w:r>
        <w:rPr>
          <w:rFonts w:eastAsia="黑体"/>
          <w:color w:val="000000"/>
          <w:sz w:val="32"/>
          <w:szCs w:val="32"/>
          <w:highlight w:val="none"/>
        </w:rPr>
        <w:sym w:font="Wingdings" w:char="F0AB"/>
      </w:r>
      <w:r>
        <w:rPr>
          <w:rFonts w:hint="eastAsia" w:eastAsia="黑体"/>
          <w:color w:val="000000"/>
          <w:sz w:val="32"/>
          <w:szCs w:val="32"/>
          <w:highlight w:val="none"/>
        </w:rPr>
        <w:t>十、响应文件的组成部分（响应文件本项资料如有不全，则作无效报价处理）</w:t>
      </w:r>
    </w:p>
    <w:p w14:paraId="427FFCA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w:t>
      </w:r>
      <w:r>
        <w:rPr>
          <w:rFonts w:hint="eastAsia" w:eastAsia="仿宋_GB2312"/>
          <w:color w:val="000000"/>
          <w:sz w:val="32"/>
          <w:szCs w:val="32"/>
          <w:highlight w:val="none"/>
          <w:lang w:val="en-US" w:eastAsia="zh-CN"/>
        </w:rPr>
        <w:t>函</w:t>
      </w:r>
      <w:r>
        <w:rPr>
          <w:rFonts w:hint="eastAsia" w:eastAsia="仿宋_GB2312"/>
          <w:color w:val="000000"/>
          <w:sz w:val="32"/>
          <w:szCs w:val="32"/>
          <w:highlight w:val="none"/>
        </w:rPr>
        <w:t>（模板）及报价清单（</w:t>
      </w:r>
      <w:r>
        <w:rPr>
          <w:rFonts w:hint="eastAsia" w:eastAsia="仿宋_GB2312"/>
          <w:color w:val="000000"/>
          <w:sz w:val="32"/>
          <w:szCs w:val="32"/>
          <w:highlight w:val="none"/>
          <w:lang w:val="en-US" w:eastAsia="zh-CN"/>
        </w:rPr>
        <w:t>如有，可自拟</w:t>
      </w:r>
      <w:r>
        <w:rPr>
          <w:rFonts w:hint="eastAsia" w:eastAsia="仿宋_GB2312"/>
          <w:color w:val="000000"/>
          <w:sz w:val="32"/>
          <w:szCs w:val="32"/>
          <w:highlight w:val="none"/>
        </w:rPr>
        <w:t>）；</w:t>
      </w:r>
    </w:p>
    <w:p w14:paraId="1B13FC7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1616240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68922E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082E3B59">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A4FEBBA">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120A193C">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响应人须严格按照采购人提供的表单格式报价，响应文件必须装订完整，于骑缝处加盖投标单位企业公章。</w:t>
      </w:r>
      <w:r>
        <w:rPr>
          <w:rFonts w:hint="eastAsia" w:eastAsia="仿宋_GB2312"/>
          <w:b/>
          <w:bCs/>
          <w:color w:val="000000"/>
          <w:sz w:val="32"/>
          <w:szCs w:val="32"/>
          <w:highlight w:val="none"/>
        </w:rPr>
        <w:t>装有响应文件的文件袋须贴有密封条，于骑缝处加盖企业公章</w:t>
      </w:r>
      <w:r>
        <w:rPr>
          <w:rFonts w:hint="eastAsia" w:eastAsia="仿宋_GB2312"/>
          <w:color w:val="000000"/>
          <w:sz w:val="32"/>
          <w:szCs w:val="32"/>
          <w:highlight w:val="none"/>
        </w:rPr>
        <w:t>。</w:t>
      </w:r>
    </w:p>
    <w:p w14:paraId="3DD5109A">
      <w:pPr>
        <w:adjustRightInd w:val="0"/>
        <w:snapToGrid w:val="0"/>
        <w:spacing w:line="600" w:lineRule="exact"/>
        <w:ind w:firstLine="640" w:firstLineChars="200"/>
        <w:outlineLvl w:val="1"/>
        <w:rPr>
          <w:rFonts w:eastAsia="黑体"/>
          <w:color w:val="000000"/>
          <w:sz w:val="32"/>
          <w:szCs w:val="32"/>
          <w:highlight w:val="none"/>
        </w:rPr>
      </w:pPr>
      <w:r>
        <w:rPr>
          <w:rFonts w:hint="eastAsia" w:eastAsia="黑体"/>
          <w:color w:val="000000"/>
          <w:sz w:val="32"/>
          <w:szCs w:val="32"/>
          <w:highlight w:val="none"/>
        </w:rPr>
        <w:t>十一、响应文件份数</w:t>
      </w:r>
    </w:p>
    <w:p w14:paraId="7B8DB578">
      <w:pPr>
        <w:spacing w:line="600" w:lineRule="exact"/>
        <w:ind w:firstLine="640" w:firstLineChars="200"/>
        <w:rPr>
          <w:rFonts w:hint="eastAsia" w:eastAsia="仿宋_GB2312"/>
          <w:color w:val="000000"/>
          <w:sz w:val="32"/>
          <w:szCs w:val="32"/>
          <w:highlight w:val="none"/>
        </w:rPr>
      </w:pPr>
      <w:r>
        <w:rPr>
          <w:rFonts w:hint="eastAsia" w:eastAsia="仿宋_GB2312"/>
          <w:color w:val="000000"/>
          <w:sz w:val="32"/>
          <w:szCs w:val="32"/>
          <w:highlight w:val="none"/>
        </w:rPr>
        <w:t>本项目有意向的响应人可</w:t>
      </w:r>
      <w:r>
        <w:rPr>
          <w:rFonts w:hint="eastAsia" w:eastAsia="仿宋_GB2312"/>
          <w:color w:val="000000"/>
          <w:sz w:val="32"/>
          <w:szCs w:val="32"/>
          <w:highlight w:val="none"/>
          <w:lang w:val="en-US" w:eastAsia="zh-CN"/>
        </w:rPr>
        <w:t>在开标截止时间之前递交响应文件</w:t>
      </w:r>
      <w:r>
        <w:rPr>
          <w:rFonts w:hint="eastAsia" w:eastAsia="仿宋_GB2312"/>
          <w:color w:val="000000"/>
          <w:sz w:val="32"/>
          <w:szCs w:val="32"/>
          <w:highlight w:val="none"/>
        </w:rPr>
        <w:t>，报价人需严格按照要求进行报价。</w:t>
      </w:r>
    </w:p>
    <w:p w14:paraId="20641A86">
      <w:pPr>
        <w:spacing w:line="600" w:lineRule="exact"/>
        <w:ind w:firstLine="640" w:firstLineChars="200"/>
        <w:rPr>
          <w:rFonts w:hint="eastAsia" w:eastAsia="仿宋_GB2312"/>
          <w:color w:val="000000"/>
          <w:sz w:val="32"/>
          <w:szCs w:val="32"/>
          <w:highlight w:val="none"/>
          <w:lang w:val="en-US" w:eastAsia="zh-CN"/>
        </w:rPr>
      </w:pPr>
      <w:r>
        <w:rPr>
          <w:rFonts w:hint="eastAsia" w:eastAsia="仿宋_GB2312"/>
          <w:color w:val="000000"/>
          <w:sz w:val="32"/>
          <w:szCs w:val="32"/>
          <w:highlight w:val="none"/>
        </w:rPr>
        <w:t>有意向的响应人，可形成响应文件正本一份</w:t>
      </w:r>
      <w:r>
        <w:rPr>
          <w:rFonts w:hint="eastAsia" w:eastAsia="仿宋_GB2312"/>
          <w:color w:val="000000"/>
          <w:sz w:val="32"/>
          <w:szCs w:val="32"/>
          <w:highlight w:val="none"/>
          <w:lang w:val="en-US" w:eastAsia="zh-CN"/>
        </w:rPr>
        <w:t>（如有，可补充</w:t>
      </w:r>
      <w:r>
        <w:rPr>
          <w:rFonts w:hint="eastAsia" w:eastAsia="仿宋_GB2312"/>
          <w:color w:val="000000"/>
          <w:sz w:val="32"/>
          <w:szCs w:val="32"/>
          <w:highlight w:val="none"/>
        </w:rPr>
        <w:t>响应文件 PDF 扫描件电子版</w:t>
      </w:r>
      <w:r>
        <w:rPr>
          <w:rFonts w:hint="eastAsia" w:eastAsia="仿宋_GB2312"/>
          <w:color w:val="000000"/>
          <w:sz w:val="32"/>
          <w:szCs w:val="32"/>
          <w:highlight w:val="none"/>
          <w:lang w:val="en-US" w:eastAsia="zh-CN"/>
        </w:rPr>
        <w:t>）</w:t>
      </w:r>
    </w:p>
    <w:p w14:paraId="6E3B3DAC">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8541B00">
      <w:pPr>
        <w:adjustRightInd w:val="0"/>
        <w:snapToGrid w:val="0"/>
        <w:spacing w:line="600" w:lineRule="exact"/>
        <w:ind w:firstLine="640" w:firstLineChars="200"/>
        <w:outlineLvl w:val="1"/>
        <w:rPr>
          <w:rFonts w:hint="eastAsia"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本项目无保证金额。</w:t>
      </w:r>
    </w:p>
    <w:p w14:paraId="177F42E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AA4E4CA">
      <w:pPr>
        <w:spacing w:line="600" w:lineRule="exact"/>
        <w:ind w:firstLine="643" w:firstLineChars="200"/>
        <w:rPr>
          <w:rFonts w:eastAsia="仿宋_GB2312"/>
          <w:b/>
          <w:color w:val="000000"/>
          <w:sz w:val="32"/>
          <w:szCs w:val="32"/>
          <w:highlight w:val="none"/>
        </w:rPr>
      </w:pPr>
      <w:r>
        <w:rPr>
          <w:rFonts w:eastAsia="仿宋_GB2312"/>
          <w:b/>
          <w:color w:val="000000"/>
          <w:sz w:val="32"/>
          <w:szCs w:val="32"/>
          <w:highlight w:val="none"/>
        </w:rPr>
        <w:t>1</w:t>
      </w:r>
      <w:r>
        <w:rPr>
          <w:rFonts w:hint="eastAsia" w:eastAsia="仿宋_GB2312"/>
          <w:b/>
          <w:color w:val="000000"/>
          <w:sz w:val="32"/>
          <w:szCs w:val="32"/>
          <w:highlight w:val="none"/>
        </w:rPr>
        <w:t>、开标时间：</w:t>
      </w:r>
      <w:r>
        <w:rPr>
          <w:rFonts w:eastAsia="仿宋_GB2312"/>
          <w:b/>
          <w:color w:val="000000"/>
          <w:sz w:val="32"/>
          <w:szCs w:val="32"/>
          <w:highlight w:val="none"/>
          <w:u w:val="single"/>
        </w:rPr>
        <w:t>20</w:t>
      </w:r>
      <w:r>
        <w:rPr>
          <w:rFonts w:hint="eastAsia" w:eastAsia="仿宋_GB2312"/>
          <w:b/>
          <w:color w:val="000000"/>
          <w:sz w:val="32"/>
          <w:szCs w:val="32"/>
          <w:highlight w:val="none"/>
          <w:u w:val="single"/>
          <w:lang w:val="en-US" w:eastAsia="zh-CN"/>
        </w:rPr>
        <w:t>26</w:t>
      </w:r>
      <w:r>
        <w:rPr>
          <w:rFonts w:hint="eastAsia" w:eastAsia="仿宋_GB2312"/>
          <w:b/>
          <w:color w:val="000000"/>
          <w:sz w:val="32"/>
          <w:szCs w:val="32"/>
          <w:highlight w:val="none"/>
        </w:rPr>
        <w:t>年</w:t>
      </w:r>
      <w:r>
        <w:rPr>
          <w:rFonts w:hint="eastAsia" w:eastAsia="仿宋_GB2312"/>
          <w:b/>
          <w:color w:val="000000"/>
          <w:sz w:val="32"/>
          <w:szCs w:val="32"/>
          <w:highlight w:val="none"/>
          <w:u w:val="single"/>
          <w:lang w:val="en-US" w:eastAsia="zh-CN"/>
        </w:rPr>
        <w:t>4</w:t>
      </w:r>
      <w:r>
        <w:rPr>
          <w:rFonts w:hint="eastAsia" w:eastAsia="仿宋_GB2312"/>
          <w:b/>
          <w:color w:val="000000"/>
          <w:sz w:val="32"/>
          <w:szCs w:val="32"/>
          <w:highlight w:val="none"/>
        </w:rPr>
        <w:t>月</w:t>
      </w:r>
      <w:r>
        <w:rPr>
          <w:rFonts w:hint="eastAsia" w:eastAsia="仿宋_GB2312"/>
          <w:b/>
          <w:color w:val="000000"/>
          <w:sz w:val="32"/>
          <w:szCs w:val="32"/>
          <w:highlight w:val="none"/>
          <w:u w:val="single"/>
          <w:lang w:val="en-US" w:eastAsia="zh-CN"/>
        </w:rPr>
        <w:t>13</w:t>
      </w:r>
      <w:r>
        <w:rPr>
          <w:rFonts w:hint="eastAsia" w:eastAsia="仿宋_GB2312"/>
          <w:b/>
          <w:color w:val="000000"/>
          <w:sz w:val="32"/>
          <w:szCs w:val="32"/>
          <w:highlight w:val="none"/>
        </w:rPr>
        <w:t>日（星期</w:t>
      </w:r>
      <w:r>
        <w:rPr>
          <w:rFonts w:hint="eastAsia" w:eastAsia="仿宋_GB2312"/>
          <w:b/>
          <w:color w:val="000000"/>
          <w:sz w:val="32"/>
          <w:szCs w:val="32"/>
          <w:highlight w:val="none"/>
          <w:u w:val="single"/>
          <w:lang w:val="en-US" w:eastAsia="zh-CN"/>
        </w:rPr>
        <w:t>一</w:t>
      </w:r>
      <w:r>
        <w:rPr>
          <w:rFonts w:hint="eastAsia" w:eastAsia="仿宋_GB2312"/>
          <w:b/>
          <w:color w:val="000000"/>
          <w:sz w:val="32"/>
          <w:szCs w:val="32"/>
          <w:highlight w:val="none"/>
        </w:rPr>
        <w:t>）</w:t>
      </w:r>
      <w:r>
        <w:rPr>
          <w:rFonts w:hint="eastAsia" w:eastAsia="仿宋_GB2312"/>
          <w:b/>
          <w:color w:val="000000"/>
          <w:sz w:val="32"/>
          <w:szCs w:val="32"/>
          <w:highlight w:val="none"/>
          <w:u w:val="single"/>
          <w:lang w:val="en-US" w:eastAsia="zh-CN"/>
        </w:rPr>
        <w:t>下</w:t>
      </w:r>
      <w:r>
        <w:rPr>
          <w:rFonts w:hint="eastAsia" w:eastAsia="仿宋_GB2312"/>
          <w:b/>
          <w:color w:val="000000"/>
          <w:sz w:val="32"/>
          <w:szCs w:val="32"/>
          <w:highlight w:val="none"/>
        </w:rPr>
        <w:t>午</w:t>
      </w:r>
      <w:r>
        <w:rPr>
          <w:rFonts w:hint="eastAsia" w:eastAsia="仿宋_GB2312"/>
          <w:b/>
          <w:color w:val="000000"/>
          <w:sz w:val="32"/>
          <w:szCs w:val="32"/>
          <w:highlight w:val="none"/>
          <w:u w:val="single"/>
          <w:lang w:val="en-US" w:eastAsia="zh-CN"/>
        </w:rPr>
        <w:t>16</w:t>
      </w:r>
      <w:r>
        <w:rPr>
          <w:rFonts w:eastAsia="仿宋_GB2312"/>
          <w:b/>
          <w:color w:val="000000"/>
          <w:sz w:val="32"/>
          <w:szCs w:val="32"/>
          <w:highlight w:val="none"/>
          <w:u w:val="single"/>
        </w:rPr>
        <w:t>:</w:t>
      </w:r>
      <w:r>
        <w:rPr>
          <w:rFonts w:hint="eastAsia" w:eastAsia="仿宋_GB2312"/>
          <w:b/>
          <w:color w:val="000000"/>
          <w:sz w:val="32"/>
          <w:szCs w:val="32"/>
          <w:highlight w:val="none"/>
          <w:u w:val="single"/>
          <w:lang w:val="en-US" w:eastAsia="zh-CN"/>
        </w:rPr>
        <w:t>0</w:t>
      </w:r>
      <w:r>
        <w:rPr>
          <w:rFonts w:eastAsia="仿宋_GB2312"/>
          <w:b/>
          <w:color w:val="000000"/>
          <w:sz w:val="32"/>
          <w:szCs w:val="32"/>
          <w:highlight w:val="none"/>
          <w:u w:val="single"/>
        </w:rPr>
        <w:t>0</w:t>
      </w:r>
      <w:r>
        <w:rPr>
          <w:rFonts w:hint="eastAsia" w:eastAsia="仿宋_GB2312"/>
          <w:b/>
          <w:color w:val="000000"/>
          <w:sz w:val="32"/>
          <w:szCs w:val="32"/>
          <w:highlight w:val="none"/>
        </w:rPr>
        <w:t>。</w:t>
      </w:r>
    </w:p>
    <w:p w14:paraId="2042C4D8">
      <w:pPr>
        <w:spacing w:line="600" w:lineRule="exact"/>
        <w:ind w:firstLine="640" w:firstLineChars="200"/>
        <w:rPr>
          <w:rFonts w:hint="eastAsia" w:eastAsia="仿宋_GB2312"/>
          <w:b w:val="0"/>
          <w:bCs/>
          <w:color w:val="000000"/>
          <w:sz w:val="32"/>
          <w:szCs w:val="32"/>
          <w:highlight w:val="none"/>
          <w:lang w:val="en-US" w:eastAsia="zh-CN"/>
        </w:rPr>
      </w:pPr>
      <w:r>
        <w:rPr>
          <w:rFonts w:eastAsia="仿宋_GB2312"/>
          <w:b w:val="0"/>
          <w:bCs/>
          <w:color w:val="000000"/>
          <w:sz w:val="32"/>
          <w:szCs w:val="32"/>
          <w:highlight w:val="none"/>
        </w:rPr>
        <w:t>2</w:t>
      </w:r>
      <w:r>
        <w:rPr>
          <w:rFonts w:hint="eastAsia" w:eastAsia="仿宋_GB2312"/>
          <w:b w:val="0"/>
          <w:bCs/>
          <w:color w:val="000000"/>
          <w:sz w:val="32"/>
          <w:szCs w:val="32"/>
          <w:highlight w:val="none"/>
        </w:rPr>
        <w:t>、</w:t>
      </w:r>
      <w:r>
        <w:rPr>
          <w:rFonts w:hint="eastAsia" w:eastAsia="仿宋_GB2312"/>
          <w:b w:val="0"/>
          <w:bCs/>
          <w:color w:val="000000"/>
          <w:sz w:val="32"/>
          <w:szCs w:val="32"/>
          <w:highlight w:val="none"/>
          <w:lang w:val="en-US" w:eastAsia="zh-CN"/>
        </w:rPr>
        <w:t>响应文件递交</w:t>
      </w:r>
    </w:p>
    <w:p w14:paraId="68FE0DEE">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（1）现场递交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70577BBD">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人须委派法定代表人或授权委托人按时到开标地址提交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文件，开标时间后送达的报价文件无效。</w:t>
      </w:r>
    </w:p>
    <w:p w14:paraId="0B3EC92C">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人现场递交报价文件地址：广东省东莞市松山湖园区新城路5号1栋601室</w:t>
      </w:r>
      <w:r>
        <w:rPr>
          <w:rFonts w:hint="eastAsia" w:eastAsia="仿宋_GB2312"/>
          <w:b w:val="0"/>
          <w:bCs/>
          <w:color w:val="000000"/>
          <w:sz w:val="32"/>
          <w:szCs w:val="32"/>
          <w:highlight w:val="none"/>
          <w:lang w:val="en-US" w:eastAsia="zh-CN"/>
        </w:rPr>
        <w:t>监控室</w:t>
      </w:r>
      <w:r>
        <w:rPr>
          <w:rFonts w:hint="default" w:eastAsia="仿宋_GB2312"/>
          <w:b w:val="0"/>
          <w:bCs/>
          <w:color w:val="000000"/>
          <w:sz w:val="32"/>
          <w:szCs w:val="32"/>
          <w:highlight w:val="none"/>
          <w:lang w:val="en-US" w:eastAsia="zh-CN"/>
        </w:rPr>
        <w:t>，逾期无效。</w:t>
      </w:r>
    </w:p>
    <w:p w14:paraId="28D7982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联系人：</w:t>
      </w:r>
      <w:r>
        <w:rPr>
          <w:rFonts w:hint="eastAsia" w:eastAsia="仿宋_GB2312"/>
          <w:b w:val="0"/>
          <w:bCs/>
          <w:color w:val="000000"/>
          <w:sz w:val="32"/>
          <w:szCs w:val="32"/>
          <w:highlight w:val="none"/>
          <w:u w:val="single"/>
          <w:lang w:val="en-US" w:eastAsia="zh-CN"/>
        </w:rPr>
        <w:t>翟先生</w:t>
      </w:r>
    </w:p>
    <w:p w14:paraId="7306BD6A">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p>
    <w:p w14:paraId="22D5E883">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（2）邮寄递交</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w:t>
      </w:r>
    </w:p>
    <w:p w14:paraId="189FF642">
      <w:pPr>
        <w:spacing w:line="600" w:lineRule="exact"/>
        <w:ind w:firstLine="640" w:firstLineChars="200"/>
        <w:rPr>
          <w:rFonts w:hint="default" w:eastAsia="仿宋_GB2312"/>
          <w:b w:val="0"/>
          <w:bCs/>
          <w:color w:val="000000"/>
          <w:sz w:val="32"/>
          <w:szCs w:val="32"/>
          <w:highlight w:val="none"/>
          <w:lang w:val="en-US" w:eastAsia="zh-CN"/>
        </w:rPr>
      </w:pP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人必须确保</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文件密封完好，在开标截止时间前送达采购人处（运费自理，采购人拒收到付件），因邮寄造成报价文件破损无效或文件丢失的责任由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人自负，因快递派件人员原因造成快递派件问题的责任由</w:t>
      </w:r>
      <w:r>
        <w:rPr>
          <w:rFonts w:hint="eastAsia" w:eastAsia="仿宋_GB2312"/>
          <w:b w:val="0"/>
          <w:bCs/>
          <w:color w:val="000000"/>
          <w:sz w:val="32"/>
          <w:szCs w:val="32"/>
          <w:highlight w:val="none"/>
          <w:lang w:val="en-US" w:eastAsia="zh-CN"/>
        </w:rPr>
        <w:t>响应</w:t>
      </w:r>
      <w:r>
        <w:rPr>
          <w:rFonts w:hint="default" w:eastAsia="仿宋_GB2312"/>
          <w:b w:val="0"/>
          <w:bCs/>
          <w:color w:val="000000"/>
          <w:sz w:val="32"/>
          <w:szCs w:val="32"/>
          <w:highlight w:val="none"/>
          <w:lang w:val="en-US" w:eastAsia="zh-CN"/>
        </w:rPr>
        <w:t>人自负，开标时间后送达的报价文件无效。</w:t>
      </w:r>
    </w:p>
    <w:p w14:paraId="0B6186F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邮寄递交报价收件信息：</w:t>
      </w:r>
    </w:p>
    <w:p w14:paraId="55779436">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收件地址：</w:t>
      </w:r>
      <w:r>
        <w:rPr>
          <w:rFonts w:hint="default" w:eastAsia="仿宋_GB2312"/>
          <w:b w:val="0"/>
          <w:bCs/>
          <w:color w:val="000000"/>
          <w:sz w:val="32"/>
          <w:szCs w:val="32"/>
          <w:highlight w:val="none"/>
          <w:u w:val="single"/>
          <w:lang w:val="en-US" w:eastAsia="zh-CN"/>
        </w:rPr>
        <w:t>广东省东莞市松山湖园区新城路5号1栋601室</w:t>
      </w:r>
      <w:r>
        <w:rPr>
          <w:rFonts w:hint="eastAsia" w:eastAsia="仿宋_GB2312"/>
          <w:b w:val="0"/>
          <w:bCs/>
          <w:color w:val="000000"/>
          <w:sz w:val="32"/>
          <w:szCs w:val="32"/>
          <w:highlight w:val="none"/>
          <w:u w:val="single"/>
          <w:lang w:val="en-US" w:eastAsia="zh-CN"/>
        </w:rPr>
        <w:t>监控室</w:t>
      </w:r>
    </w:p>
    <w:p w14:paraId="050C0E70">
      <w:pPr>
        <w:spacing w:line="600" w:lineRule="exact"/>
        <w:ind w:firstLine="640" w:firstLineChars="200"/>
        <w:rPr>
          <w:rFonts w:hint="default" w:eastAsia="仿宋_GB2312"/>
          <w:b w:val="0"/>
          <w:bCs/>
          <w:color w:val="000000"/>
          <w:sz w:val="32"/>
          <w:szCs w:val="32"/>
          <w:highlight w:val="none"/>
          <w:lang w:val="en-US" w:eastAsia="zh-CN"/>
        </w:rPr>
      </w:pPr>
      <w:r>
        <w:rPr>
          <w:rFonts w:hint="default" w:eastAsia="仿宋_GB2312"/>
          <w:b w:val="0"/>
          <w:bCs/>
          <w:color w:val="000000"/>
          <w:sz w:val="32"/>
          <w:szCs w:val="32"/>
          <w:highlight w:val="none"/>
          <w:lang w:val="en-US" w:eastAsia="zh-CN"/>
        </w:rPr>
        <w:t>收件人：</w:t>
      </w:r>
      <w:r>
        <w:rPr>
          <w:rFonts w:hint="eastAsia" w:eastAsia="仿宋_GB2312"/>
          <w:b w:val="0"/>
          <w:bCs/>
          <w:color w:val="000000"/>
          <w:sz w:val="32"/>
          <w:szCs w:val="32"/>
          <w:highlight w:val="none"/>
          <w:u w:val="single"/>
          <w:lang w:val="en-US" w:eastAsia="zh-CN"/>
        </w:rPr>
        <w:t>翟先生</w:t>
      </w:r>
    </w:p>
    <w:p w14:paraId="024AD724">
      <w:pPr>
        <w:spacing w:line="600" w:lineRule="exact"/>
        <w:ind w:firstLine="640" w:firstLineChars="200"/>
        <w:rPr>
          <w:rFonts w:hint="default" w:ascii="黑体" w:hAnsi="黑体" w:eastAsia="仿宋_GB2312" w:cs="黑体"/>
          <w:i w:val="0"/>
          <w:iCs w:val="0"/>
          <w:caps w:val="0"/>
          <w:color w:val="0000FF"/>
          <w:spacing w:val="0"/>
          <w:sz w:val="32"/>
          <w:szCs w:val="32"/>
          <w:highlight w:val="none"/>
          <w:lang w:val="en-US" w:eastAsia="zh-CN"/>
        </w:rPr>
      </w:pPr>
      <w:r>
        <w:rPr>
          <w:rFonts w:hint="default" w:eastAsia="仿宋_GB2312"/>
          <w:b w:val="0"/>
          <w:bCs/>
          <w:color w:val="000000"/>
          <w:sz w:val="32"/>
          <w:szCs w:val="32"/>
          <w:highlight w:val="none"/>
          <w:lang w:val="en-US" w:eastAsia="zh-CN"/>
        </w:rPr>
        <w:t>联系电话：</w:t>
      </w:r>
      <w:r>
        <w:rPr>
          <w:rFonts w:hint="default" w:eastAsia="仿宋_GB2312"/>
          <w:b w:val="0"/>
          <w:bCs/>
          <w:color w:val="000000"/>
          <w:sz w:val="32"/>
          <w:szCs w:val="32"/>
          <w:highlight w:val="none"/>
          <w:u w:val="single"/>
          <w:lang w:val="en-US" w:eastAsia="zh-CN"/>
        </w:rPr>
        <w:t>0769-22899838-864</w:t>
      </w:r>
      <w:bookmarkStart w:id="4" w:name="_GoBack"/>
      <w:bookmarkEnd w:id="4"/>
    </w:p>
    <w:p w14:paraId="2CCB7E4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4D39891">
      <w:pPr>
        <w:spacing w:line="600" w:lineRule="exact"/>
        <w:ind w:firstLine="640" w:firstLineChars="200"/>
        <w:rPr>
          <w:rFonts w:eastAsia="仿宋_GB2312"/>
          <w:color w:val="000000"/>
          <w:sz w:val="32"/>
          <w:szCs w:val="32"/>
          <w:highlight w:val="none"/>
        </w:rPr>
      </w:pPr>
      <w:bookmarkStart w:id="0" w:name="_Hlk517879660"/>
      <w:r>
        <w:rPr>
          <w:rFonts w:eastAsia="仿宋_GB2312"/>
          <w:color w:val="000000"/>
          <w:sz w:val="32"/>
          <w:szCs w:val="32"/>
          <w:highlight w:val="none"/>
        </w:rPr>
        <w:t>1</w:t>
      </w:r>
      <w:r>
        <w:rPr>
          <w:rFonts w:hint="eastAsia" w:eastAsia="仿宋_GB2312"/>
          <w:color w:val="000000"/>
          <w:sz w:val="32"/>
          <w:szCs w:val="32"/>
          <w:highlight w:val="none"/>
        </w:rPr>
        <w:t>、若响应人未按规定时间将文件送达现场，视为放弃投标资格。</w:t>
      </w:r>
    </w:p>
    <w:p w14:paraId="6DC13D8E">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、采购人向响应人提供的有关资料和数据，是采购人现有的能使响应人利用的资料，采购人对响应人由此而做出的推论、理解和结论概不负责。</w:t>
      </w:r>
    </w:p>
    <w:p w14:paraId="1FD58DD0">
      <w:pPr>
        <w:spacing w:line="600" w:lineRule="exact"/>
        <w:ind w:firstLine="640" w:firstLineChars="200"/>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、本项目执行过程中将遵循国家、省、市有关法律、法规、标准、技术规范和规范性文件的最新规定。</w:t>
      </w:r>
      <w:bookmarkEnd w:id="0"/>
    </w:p>
    <w:p w14:paraId="34D61684">
      <w:pPr>
        <w:widowControl/>
        <w:spacing w:line="600" w:lineRule="exact"/>
        <w:ind w:firstLine="640" w:firstLineChars="200"/>
        <w:jc w:val="lef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6F9E0330">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43DD923">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3D10E4C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DAEB92B">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8C3612A">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w:t>
      </w:r>
    </w:p>
    <w:p w14:paraId="6D3A9579">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74CCFC9B">
      <w:pPr>
        <w:widowControl/>
        <w:spacing w:line="600" w:lineRule="exact"/>
        <w:jc w:val="left"/>
        <w:rPr>
          <w:rFonts w:eastAsia="仿宋_GB2312"/>
          <w:color w:val="000000"/>
          <w:sz w:val="32"/>
          <w:szCs w:val="32"/>
          <w:highlight w:val="none"/>
        </w:rPr>
      </w:pPr>
    </w:p>
    <w:p w14:paraId="310401A9">
      <w:pPr>
        <w:spacing w:line="600" w:lineRule="exact"/>
        <w:ind w:firstLine="640" w:firstLineChars="200"/>
        <w:jc w:val="right"/>
        <w:rPr>
          <w:rFonts w:eastAsia="仿宋_GB2312"/>
          <w:sz w:val="32"/>
          <w:szCs w:val="32"/>
          <w:highlight w:val="none"/>
        </w:rPr>
      </w:pPr>
      <w:r>
        <w:rPr>
          <w:rFonts w:hint="eastAsia" w:eastAsia="仿宋_GB2312"/>
          <w:sz w:val="32"/>
          <w:szCs w:val="32"/>
          <w:highlight w:val="none"/>
          <w:u w:val="single"/>
          <w:lang w:val="en-US" w:eastAsia="zh-CN"/>
        </w:rPr>
        <w:t>东莞市新锋新能源有限公司</w:t>
      </w:r>
      <w:r>
        <w:rPr>
          <w:rFonts w:hint="eastAsia" w:eastAsia="仿宋_GB2312"/>
          <w:sz w:val="32"/>
          <w:szCs w:val="32"/>
          <w:highlight w:val="none"/>
        </w:rPr>
        <w:t>（采购人）</w:t>
      </w:r>
    </w:p>
    <w:p w14:paraId="7F6075B9">
      <w:pPr>
        <w:spacing w:line="600" w:lineRule="exact"/>
        <w:ind w:firstLine="640" w:firstLineChars="200"/>
        <w:jc w:val="center"/>
        <w:rPr>
          <w:rFonts w:eastAsia="仿宋_GB2312"/>
          <w:sz w:val="32"/>
          <w:szCs w:val="32"/>
          <w:highlight w:val="none"/>
        </w:rPr>
      </w:pPr>
      <w:r>
        <w:rPr>
          <w:rFonts w:hint="eastAsia" w:eastAsia="仿宋_GB2312"/>
          <w:sz w:val="32"/>
          <w:szCs w:val="32"/>
          <w:highlight w:val="none"/>
          <w:lang w:val="en-US" w:eastAsia="zh-CN"/>
        </w:rPr>
        <w:t xml:space="preserve">            </w:t>
      </w:r>
      <w:r>
        <w:rPr>
          <w:rFonts w:eastAsia="仿宋_GB2312"/>
          <w:sz w:val="32"/>
          <w:szCs w:val="32"/>
          <w:highlight w:val="none"/>
        </w:rPr>
        <w:t>20</w:t>
      </w:r>
      <w:r>
        <w:rPr>
          <w:rFonts w:hint="eastAsia" w:eastAsia="仿宋_GB2312"/>
          <w:sz w:val="32"/>
          <w:szCs w:val="32"/>
          <w:highlight w:val="none"/>
          <w:u w:val="single"/>
          <w:lang w:val="en-US" w:eastAsia="zh-CN"/>
        </w:rPr>
        <w:t>26</w:t>
      </w:r>
      <w:r>
        <w:rPr>
          <w:rFonts w:hint="eastAsia" w:eastAsia="仿宋_GB2312"/>
          <w:sz w:val="32"/>
          <w:szCs w:val="32"/>
          <w:highlight w:val="none"/>
        </w:rPr>
        <w:t>年</w:t>
      </w:r>
      <w:r>
        <w:rPr>
          <w:rFonts w:hint="eastAsia" w:eastAsia="仿宋_GB2312"/>
          <w:sz w:val="32"/>
          <w:szCs w:val="32"/>
          <w:highlight w:val="none"/>
          <w:u w:val="single"/>
          <w:lang w:val="en-US" w:eastAsia="zh-CN"/>
        </w:rPr>
        <w:t>4</w:t>
      </w:r>
      <w:r>
        <w:rPr>
          <w:rFonts w:hint="eastAsia" w:eastAsia="仿宋_GB2312"/>
          <w:sz w:val="32"/>
          <w:szCs w:val="32"/>
          <w:highlight w:val="none"/>
        </w:rPr>
        <w:t>月</w:t>
      </w:r>
      <w:r>
        <w:rPr>
          <w:rFonts w:hint="eastAsia" w:eastAsia="仿宋_GB2312"/>
          <w:sz w:val="32"/>
          <w:szCs w:val="32"/>
          <w:highlight w:val="none"/>
          <w:u w:val="single"/>
          <w:lang w:val="en-US" w:eastAsia="zh-CN"/>
        </w:rPr>
        <w:t>10</w:t>
      </w:r>
      <w:r>
        <w:rPr>
          <w:rFonts w:hint="eastAsia" w:eastAsia="仿宋_GB2312"/>
          <w:sz w:val="32"/>
          <w:szCs w:val="32"/>
          <w:highlight w:val="none"/>
        </w:rPr>
        <w:t>日</w:t>
      </w:r>
    </w:p>
    <w:p w14:paraId="2CC47DFD">
      <w:pPr>
        <w:widowControl/>
        <w:spacing w:line="600" w:lineRule="exact"/>
        <w:ind w:firstLine="640" w:firstLineChars="200"/>
        <w:jc w:val="left"/>
        <w:rPr>
          <w:rFonts w:eastAsia="仿宋_GB2312"/>
          <w:color w:val="000000"/>
          <w:sz w:val="32"/>
          <w:szCs w:val="32"/>
          <w:highlight w:val="none"/>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22EC4867">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附件一 响应须知</w:t>
      </w:r>
    </w:p>
    <w:p w14:paraId="13CCAD47">
      <w:pPr>
        <w:jc w:val="center"/>
        <w:rPr>
          <w:rFonts w:eastAsia="华文中宋"/>
          <w:color w:val="000000"/>
          <w:sz w:val="44"/>
          <w:szCs w:val="44"/>
          <w:highlight w:val="none"/>
        </w:rPr>
      </w:pPr>
      <w:r>
        <w:rPr>
          <w:rFonts w:hint="eastAsia" w:eastAsia="华文中宋"/>
          <w:color w:val="000000"/>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A08B0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4EEFC10">
            <w:pPr>
              <w:pStyle w:val="17"/>
              <w:spacing w:after="0" w:line="360" w:lineRule="auto"/>
              <w:ind w:firstLine="0" w:firstLineChars="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项号</w:t>
            </w:r>
          </w:p>
        </w:tc>
        <w:tc>
          <w:tcPr>
            <w:tcW w:w="2275" w:type="dxa"/>
            <w:tcBorders>
              <w:top w:val="double" w:color="auto" w:sz="4" w:space="0"/>
            </w:tcBorders>
            <w:vAlign w:val="center"/>
          </w:tcPr>
          <w:p w14:paraId="53D79CF3">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内容</w:t>
            </w:r>
          </w:p>
        </w:tc>
        <w:tc>
          <w:tcPr>
            <w:tcW w:w="5942" w:type="dxa"/>
            <w:tcBorders>
              <w:top w:val="double" w:color="auto" w:sz="4" w:space="0"/>
            </w:tcBorders>
            <w:vAlign w:val="center"/>
          </w:tcPr>
          <w:p w14:paraId="75B8560D">
            <w:pPr>
              <w:pStyle w:val="17"/>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说明与要求</w:t>
            </w:r>
          </w:p>
        </w:tc>
      </w:tr>
      <w:tr w14:paraId="48C4E2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7C0387">
            <w:pPr>
              <w:spacing w:line="360" w:lineRule="auto"/>
              <w:jc w:val="center"/>
              <w:rPr>
                <w:rFonts w:eastAsia="仿宋_GB2312"/>
                <w:color w:val="000000"/>
                <w:sz w:val="32"/>
                <w:szCs w:val="32"/>
                <w:highlight w:val="none"/>
              </w:rPr>
            </w:pPr>
            <w:r>
              <w:rPr>
                <w:rFonts w:eastAsia="仿宋_GB2312"/>
                <w:color w:val="000000"/>
                <w:sz w:val="32"/>
                <w:szCs w:val="32"/>
                <w:highlight w:val="none"/>
              </w:rPr>
              <w:t>1</w:t>
            </w:r>
          </w:p>
        </w:tc>
        <w:tc>
          <w:tcPr>
            <w:tcW w:w="2275" w:type="dxa"/>
            <w:vAlign w:val="center"/>
          </w:tcPr>
          <w:p w14:paraId="4765BF8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项目名称</w:t>
            </w:r>
          </w:p>
        </w:tc>
        <w:tc>
          <w:tcPr>
            <w:tcW w:w="5942" w:type="dxa"/>
            <w:vAlign w:val="center"/>
          </w:tcPr>
          <w:p w14:paraId="0B267ED6">
            <w:pPr>
              <w:adjustRightInd w:val="0"/>
              <w:snapToGrid w:val="0"/>
              <w:spacing w:line="560" w:lineRule="exact"/>
              <w:rPr>
                <w:rFonts w:hint="eastAsia" w:eastAsia="仿宋_GB2312"/>
                <w:color w:val="000000"/>
                <w:sz w:val="32"/>
                <w:szCs w:val="32"/>
                <w:highlight w:val="none"/>
              </w:rPr>
            </w:pPr>
            <w:r>
              <w:rPr>
                <w:rFonts w:hint="eastAsia" w:eastAsia="仿宋_GB2312"/>
                <w:color w:val="000000"/>
                <w:sz w:val="32"/>
                <w:szCs w:val="32"/>
                <w:highlight w:val="none"/>
              </w:rPr>
              <w:t>东莞市电动自行车充电管理平台、电动自行车充电站运营平台第二阶段迭代升级</w:t>
            </w:r>
          </w:p>
        </w:tc>
      </w:tr>
      <w:tr w14:paraId="3F86C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1D311D">
            <w:pPr>
              <w:spacing w:line="360" w:lineRule="auto"/>
              <w:jc w:val="center"/>
              <w:rPr>
                <w:rFonts w:eastAsia="仿宋_GB2312"/>
                <w:color w:val="000000"/>
                <w:sz w:val="32"/>
                <w:szCs w:val="32"/>
                <w:highlight w:val="none"/>
              </w:rPr>
            </w:pPr>
            <w:r>
              <w:rPr>
                <w:rFonts w:eastAsia="仿宋_GB2312"/>
                <w:color w:val="000000"/>
                <w:sz w:val="32"/>
                <w:szCs w:val="32"/>
                <w:highlight w:val="none"/>
              </w:rPr>
              <w:t>2</w:t>
            </w:r>
          </w:p>
        </w:tc>
        <w:tc>
          <w:tcPr>
            <w:tcW w:w="2275" w:type="dxa"/>
            <w:vAlign w:val="center"/>
          </w:tcPr>
          <w:p w14:paraId="3FBD427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建设地点</w:t>
            </w:r>
          </w:p>
        </w:tc>
        <w:tc>
          <w:tcPr>
            <w:tcW w:w="5942" w:type="dxa"/>
            <w:vAlign w:val="center"/>
          </w:tcPr>
          <w:p w14:paraId="7CCE4384">
            <w:pPr>
              <w:spacing w:line="360" w:lineRule="auto"/>
              <w:rPr>
                <w:rFonts w:hint="eastAsia" w:eastAsia="仿宋_GB2312"/>
                <w:color w:val="000000"/>
                <w:sz w:val="32"/>
                <w:szCs w:val="32"/>
                <w:highlight w:val="none"/>
                <w:lang w:eastAsia="zh-CN"/>
              </w:rPr>
            </w:pPr>
            <w:r>
              <w:rPr>
                <w:rFonts w:hint="eastAsia" w:eastAsia="仿宋_GB2312"/>
                <w:color w:val="auto"/>
                <w:sz w:val="32"/>
                <w:szCs w:val="32"/>
                <w:highlight w:val="none"/>
                <w:lang w:val="en-US" w:eastAsia="zh-CN"/>
              </w:rPr>
              <w:t>详见《采购文件》</w:t>
            </w:r>
          </w:p>
        </w:tc>
      </w:tr>
      <w:tr w14:paraId="60A8D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ED823F">
            <w:pPr>
              <w:spacing w:line="360" w:lineRule="auto"/>
              <w:jc w:val="center"/>
              <w:rPr>
                <w:rFonts w:eastAsia="仿宋_GB2312"/>
                <w:color w:val="000000"/>
                <w:sz w:val="32"/>
                <w:szCs w:val="32"/>
                <w:highlight w:val="none"/>
              </w:rPr>
            </w:pPr>
            <w:r>
              <w:rPr>
                <w:rFonts w:eastAsia="仿宋_GB2312"/>
                <w:color w:val="000000"/>
                <w:sz w:val="32"/>
                <w:szCs w:val="32"/>
                <w:highlight w:val="none"/>
              </w:rPr>
              <w:t>3</w:t>
            </w:r>
          </w:p>
        </w:tc>
        <w:tc>
          <w:tcPr>
            <w:tcW w:w="2275" w:type="dxa"/>
            <w:vAlign w:val="center"/>
          </w:tcPr>
          <w:p w14:paraId="292B139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项目性质</w:t>
            </w:r>
          </w:p>
        </w:tc>
        <w:tc>
          <w:tcPr>
            <w:tcW w:w="5942" w:type="dxa"/>
            <w:vAlign w:val="center"/>
          </w:tcPr>
          <w:p w14:paraId="1ABDE3BA">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285BA9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D017B6">
            <w:pPr>
              <w:spacing w:line="360" w:lineRule="auto"/>
              <w:jc w:val="center"/>
              <w:rPr>
                <w:rFonts w:eastAsia="仿宋_GB2312"/>
                <w:color w:val="000000"/>
                <w:sz w:val="32"/>
                <w:szCs w:val="32"/>
                <w:highlight w:val="none"/>
              </w:rPr>
            </w:pPr>
            <w:r>
              <w:rPr>
                <w:rFonts w:eastAsia="仿宋_GB2312"/>
                <w:color w:val="000000"/>
                <w:sz w:val="32"/>
                <w:szCs w:val="32"/>
                <w:highlight w:val="none"/>
              </w:rPr>
              <w:t>4</w:t>
            </w:r>
          </w:p>
        </w:tc>
        <w:tc>
          <w:tcPr>
            <w:tcW w:w="2275" w:type="dxa"/>
            <w:vAlign w:val="center"/>
          </w:tcPr>
          <w:p w14:paraId="125A4947">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发包要求</w:t>
            </w:r>
          </w:p>
        </w:tc>
        <w:tc>
          <w:tcPr>
            <w:tcW w:w="5942" w:type="dxa"/>
            <w:vAlign w:val="center"/>
          </w:tcPr>
          <w:p w14:paraId="2AB46217">
            <w:pPr>
              <w:spacing w:line="360" w:lineRule="auto"/>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64403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2533616">
            <w:pPr>
              <w:spacing w:line="360" w:lineRule="auto"/>
              <w:jc w:val="center"/>
              <w:rPr>
                <w:rFonts w:eastAsia="仿宋_GB2312"/>
                <w:color w:val="000000"/>
                <w:sz w:val="32"/>
                <w:szCs w:val="32"/>
                <w:highlight w:val="none"/>
              </w:rPr>
            </w:pPr>
            <w:r>
              <w:rPr>
                <w:rFonts w:eastAsia="仿宋_GB2312"/>
                <w:color w:val="000000"/>
                <w:sz w:val="32"/>
                <w:szCs w:val="32"/>
                <w:highlight w:val="none"/>
              </w:rPr>
              <w:t>5</w:t>
            </w:r>
          </w:p>
        </w:tc>
        <w:tc>
          <w:tcPr>
            <w:tcW w:w="2275" w:type="dxa"/>
            <w:vAlign w:val="center"/>
          </w:tcPr>
          <w:p w14:paraId="211F9B6E">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质量标准</w:t>
            </w:r>
          </w:p>
        </w:tc>
        <w:tc>
          <w:tcPr>
            <w:tcW w:w="5942" w:type="dxa"/>
            <w:vAlign w:val="center"/>
          </w:tcPr>
          <w:p w14:paraId="0388E4BB">
            <w:pPr>
              <w:jc w:val="left"/>
              <w:rPr>
                <w:rFonts w:eastAsia="仿宋"/>
                <w:color w:val="000000"/>
                <w:sz w:val="32"/>
                <w:szCs w:val="32"/>
                <w:highlight w:val="none"/>
              </w:rPr>
            </w:pPr>
            <w:r>
              <w:rPr>
                <w:rFonts w:hint="eastAsia" w:eastAsia="仿宋_GB2312"/>
                <w:color w:val="auto"/>
                <w:sz w:val="32"/>
                <w:szCs w:val="32"/>
                <w:highlight w:val="none"/>
                <w:lang w:val="en-US" w:eastAsia="zh-CN"/>
              </w:rPr>
              <w:t>详见《采购文件》</w:t>
            </w:r>
          </w:p>
        </w:tc>
      </w:tr>
      <w:tr w14:paraId="55228F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BF2403">
            <w:pPr>
              <w:spacing w:line="360" w:lineRule="auto"/>
              <w:jc w:val="center"/>
              <w:rPr>
                <w:rFonts w:eastAsia="仿宋_GB2312"/>
                <w:color w:val="000000"/>
                <w:sz w:val="32"/>
                <w:szCs w:val="32"/>
                <w:highlight w:val="none"/>
              </w:rPr>
            </w:pPr>
            <w:r>
              <w:rPr>
                <w:rFonts w:eastAsia="仿宋_GB2312"/>
                <w:color w:val="000000"/>
                <w:sz w:val="32"/>
                <w:szCs w:val="32"/>
                <w:highlight w:val="none"/>
              </w:rPr>
              <w:t>6</w:t>
            </w:r>
          </w:p>
        </w:tc>
        <w:tc>
          <w:tcPr>
            <w:tcW w:w="2275" w:type="dxa"/>
            <w:vAlign w:val="center"/>
          </w:tcPr>
          <w:p w14:paraId="0A09B29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工期要求</w:t>
            </w:r>
          </w:p>
        </w:tc>
        <w:tc>
          <w:tcPr>
            <w:tcW w:w="5942" w:type="dxa"/>
            <w:vAlign w:val="center"/>
          </w:tcPr>
          <w:p w14:paraId="5FF0D51C">
            <w:pPr>
              <w:spacing w:line="500" w:lineRule="exact"/>
              <w:jc w:val="lef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418D57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FCAC668">
            <w:pPr>
              <w:spacing w:line="360" w:lineRule="auto"/>
              <w:jc w:val="center"/>
              <w:rPr>
                <w:rFonts w:eastAsia="仿宋_GB2312"/>
                <w:color w:val="000000"/>
                <w:sz w:val="32"/>
                <w:szCs w:val="32"/>
                <w:highlight w:val="none"/>
              </w:rPr>
            </w:pPr>
            <w:r>
              <w:rPr>
                <w:rFonts w:eastAsia="仿宋_GB2312"/>
                <w:color w:val="000000"/>
                <w:sz w:val="32"/>
                <w:szCs w:val="32"/>
                <w:highlight w:val="none"/>
              </w:rPr>
              <w:t>7</w:t>
            </w:r>
          </w:p>
        </w:tc>
        <w:tc>
          <w:tcPr>
            <w:tcW w:w="2275" w:type="dxa"/>
            <w:vAlign w:val="center"/>
          </w:tcPr>
          <w:p w14:paraId="2EE0FF69">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14:paraId="6E9BEF1C">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详见《采购文件》</w:t>
            </w:r>
          </w:p>
        </w:tc>
      </w:tr>
      <w:tr w14:paraId="782E2B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555F37">
            <w:pP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tcPr>
          <w:p w14:paraId="435F99B4">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询价保证金金额及缴纳方式</w:t>
            </w:r>
          </w:p>
        </w:tc>
        <w:tc>
          <w:tcPr>
            <w:tcW w:w="5942" w:type="dxa"/>
            <w:vAlign w:val="center"/>
          </w:tcPr>
          <w:p w14:paraId="42A476CD">
            <w:pPr>
              <w:adjustRightInd w:val="0"/>
              <w:snapToGrid w:val="0"/>
              <w:spacing w:line="560" w:lineRule="exact"/>
              <w:rPr>
                <w:rFonts w:eastAsia="仿宋_GB2312"/>
                <w:color w:val="000000"/>
                <w:sz w:val="32"/>
                <w:szCs w:val="32"/>
                <w:highlight w:val="none"/>
              </w:rPr>
            </w:pPr>
            <w:r>
              <w:rPr>
                <w:rFonts w:hint="eastAsia" w:eastAsia="仿宋_GB2312"/>
                <w:color w:val="auto"/>
                <w:sz w:val="32"/>
                <w:szCs w:val="32"/>
                <w:highlight w:val="none"/>
                <w:lang w:val="en-US" w:eastAsia="zh-CN"/>
              </w:rPr>
              <w:t>无。</w:t>
            </w:r>
          </w:p>
        </w:tc>
      </w:tr>
      <w:tr w14:paraId="5F191C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538902">
            <w:pPr>
              <w:spacing w:line="360" w:lineRule="auto"/>
              <w:jc w:val="center"/>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9</w:t>
            </w:r>
          </w:p>
        </w:tc>
        <w:tc>
          <w:tcPr>
            <w:tcW w:w="2275" w:type="dxa"/>
          </w:tcPr>
          <w:p w14:paraId="1C6CA17C">
            <w:pP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履约保证金</w:t>
            </w:r>
          </w:p>
        </w:tc>
        <w:tc>
          <w:tcPr>
            <w:tcW w:w="5942" w:type="dxa"/>
            <w:vAlign w:val="center"/>
          </w:tcPr>
          <w:p w14:paraId="52FCDEC8">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8万元</w:t>
            </w:r>
          </w:p>
        </w:tc>
      </w:tr>
      <w:tr w14:paraId="7562CE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077AC07">
            <w:pP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10</w:t>
            </w:r>
          </w:p>
        </w:tc>
        <w:tc>
          <w:tcPr>
            <w:tcW w:w="2275" w:type="dxa"/>
          </w:tcPr>
          <w:p w14:paraId="156BF409">
            <w:pPr>
              <w:spacing w:line="360" w:lineRule="auto"/>
              <w:jc w:val="center"/>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损失赔偿</w:t>
            </w:r>
          </w:p>
        </w:tc>
        <w:tc>
          <w:tcPr>
            <w:tcW w:w="5942" w:type="dxa"/>
            <w:vAlign w:val="center"/>
          </w:tcPr>
          <w:p w14:paraId="76BB7C51">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如平台开发进度逾期严重或无能力继续开发造成我司损失的，我司有权追究赔偿损失。</w:t>
            </w:r>
          </w:p>
        </w:tc>
      </w:tr>
      <w:tr w14:paraId="1C703A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6B8ABE6">
            <w:pP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11</w:t>
            </w:r>
          </w:p>
        </w:tc>
        <w:tc>
          <w:tcPr>
            <w:tcW w:w="2275" w:type="dxa"/>
          </w:tcPr>
          <w:p w14:paraId="69DE2071">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询价有效期</w:t>
            </w:r>
          </w:p>
        </w:tc>
        <w:tc>
          <w:tcPr>
            <w:tcW w:w="5942" w:type="dxa"/>
            <w:vAlign w:val="center"/>
          </w:tcPr>
          <w:p w14:paraId="36D3FDC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90</w:t>
            </w:r>
            <w:r>
              <w:rPr>
                <w:rFonts w:hint="eastAsia" w:eastAsia="仿宋_GB2312"/>
                <w:color w:val="000000"/>
                <w:sz w:val="32"/>
                <w:szCs w:val="32"/>
                <w:highlight w:val="none"/>
              </w:rPr>
              <w:t>天</w:t>
            </w:r>
          </w:p>
        </w:tc>
      </w:tr>
      <w:tr w14:paraId="2EEA2D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C9232B">
            <w:pP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12</w:t>
            </w:r>
          </w:p>
        </w:tc>
        <w:tc>
          <w:tcPr>
            <w:tcW w:w="2275" w:type="dxa"/>
            <w:vAlign w:val="center"/>
          </w:tcPr>
          <w:p w14:paraId="76A574A6">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响应人不得存在的情形</w:t>
            </w:r>
          </w:p>
        </w:tc>
        <w:tc>
          <w:tcPr>
            <w:tcW w:w="5942" w:type="dxa"/>
            <w:vAlign w:val="center"/>
          </w:tcPr>
          <w:p w14:paraId="69F7C0C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5D353A7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108B2BD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5D948F4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3DDB72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1C926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342EDAF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BFA975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04B01FE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34B7DCD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16266B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77F1341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233D0C1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12AF5BA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685F473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40C96F3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6838375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7301818D">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4DC0BC67">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3F8216A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5443B61A">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3AFF90B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72D443D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0210B1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09AE819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5C26AFCC">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EEF1C8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39265FE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79E989A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A46AAD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2E9649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2DA2362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04A1BBE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654F645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6345E6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（三）其他可能影响询价活动公平、公正进行的关系。</w:t>
            </w:r>
          </w:p>
        </w:tc>
      </w:tr>
      <w:tr w14:paraId="0B7B76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078A74">
            <w:pPr>
              <w:spacing w:line="360" w:lineRule="auto"/>
              <w:jc w:val="center"/>
              <w:rPr>
                <w:rFonts w:eastAsia="仿宋_GB2312"/>
                <w:color w:val="000000"/>
                <w:sz w:val="32"/>
                <w:szCs w:val="32"/>
                <w:highlight w:val="none"/>
              </w:rPr>
            </w:pPr>
          </w:p>
        </w:tc>
        <w:tc>
          <w:tcPr>
            <w:tcW w:w="2275" w:type="dxa"/>
            <w:vAlign w:val="center"/>
          </w:tcPr>
          <w:p w14:paraId="7E2D15D8">
            <w:pPr>
              <w:spacing w:line="360" w:lineRule="auto"/>
              <w:jc w:val="center"/>
              <w:rPr>
                <w:rFonts w:eastAsia="仿宋_GB2312"/>
                <w:color w:val="000000"/>
                <w:sz w:val="32"/>
                <w:szCs w:val="32"/>
                <w:highlight w:val="none"/>
              </w:rPr>
            </w:pPr>
            <w:r>
              <w:rPr>
                <w:rFonts w:hint="eastAsia" w:eastAsia="仿宋_GB2312"/>
                <w:color w:val="000000"/>
                <w:sz w:val="32"/>
                <w:szCs w:val="32"/>
                <w:highlight w:val="none"/>
              </w:rPr>
              <w:t>……</w:t>
            </w:r>
          </w:p>
        </w:tc>
        <w:tc>
          <w:tcPr>
            <w:tcW w:w="5942" w:type="dxa"/>
            <w:vAlign w:val="center"/>
          </w:tcPr>
          <w:p w14:paraId="5238383D">
            <w:pPr>
              <w:adjustRightInd w:val="0"/>
              <w:snapToGrid w:val="0"/>
              <w:spacing w:line="560" w:lineRule="exact"/>
              <w:rPr>
                <w:rFonts w:eastAsia="仿宋_GB2312"/>
                <w:color w:val="000000"/>
                <w:sz w:val="32"/>
                <w:szCs w:val="32"/>
                <w:highlight w:val="none"/>
              </w:rPr>
            </w:pPr>
          </w:p>
        </w:tc>
      </w:tr>
      <w:tr w14:paraId="491F28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4459A534">
            <w:pPr>
              <w:spacing w:line="360" w:lineRule="auto"/>
              <w:jc w:val="center"/>
              <w:rPr>
                <w:rFonts w:eastAsia="仿宋_GB2312"/>
                <w:color w:val="000000"/>
                <w:sz w:val="32"/>
                <w:szCs w:val="32"/>
                <w:highlight w:val="none"/>
              </w:rPr>
            </w:pPr>
          </w:p>
        </w:tc>
        <w:tc>
          <w:tcPr>
            <w:tcW w:w="2275" w:type="dxa"/>
            <w:tcBorders>
              <w:bottom w:val="double" w:color="auto" w:sz="4" w:space="0"/>
            </w:tcBorders>
            <w:vAlign w:val="center"/>
          </w:tcPr>
          <w:p w14:paraId="3A2A8D90">
            <w:pPr>
              <w:spacing w:line="360" w:lineRule="auto"/>
              <w:jc w:val="center"/>
              <w:rPr>
                <w:rFonts w:eastAsia="仿宋_GB2312"/>
                <w:color w:val="000000"/>
                <w:sz w:val="32"/>
                <w:szCs w:val="32"/>
                <w:highlight w:val="none"/>
              </w:rPr>
            </w:pPr>
          </w:p>
        </w:tc>
        <w:tc>
          <w:tcPr>
            <w:tcW w:w="5942" w:type="dxa"/>
            <w:tcBorders>
              <w:bottom w:val="double" w:color="auto" w:sz="4" w:space="0"/>
            </w:tcBorders>
            <w:vAlign w:val="center"/>
          </w:tcPr>
          <w:p w14:paraId="63FAF697">
            <w:pPr>
              <w:adjustRightInd w:val="0"/>
              <w:snapToGrid w:val="0"/>
              <w:spacing w:line="560" w:lineRule="exact"/>
              <w:rPr>
                <w:rFonts w:eastAsia="仿宋_GB2312"/>
                <w:color w:val="000000"/>
                <w:sz w:val="32"/>
                <w:szCs w:val="32"/>
                <w:highlight w:val="none"/>
              </w:rPr>
            </w:pPr>
          </w:p>
        </w:tc>
      </w:tr>
    </w:tbl>
    <w:p w14:paraId="343618D4">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sectPr>
          <w:pgSz w:w="11907" w:h="16840"/>
          <w:pgMar w:top="1531" w:right="1588" w:bottom="1418" w:left="1418" w:header="851" w:footer="1191" w:gutter="0"/>
          <w:pgBorders>
            <w:top w:val="none" w:sz="0" w:space="0"/>
            <w:left w:val="none" w:sz="0" w:space="0"/>
            <w:bottom w:val="none" w:sz="0" w:space="0"/>
            <w:right w:val="none" w:sz="0" w:space="0"/>
          </w:pgBorders>
          <w:cols w:space="720" w:num="1"/>
          <w:docGrid w:type="linesAndChars" w:linePitch="332" w:charSpace="0"/>
        </w:sectPr>
      </w:pPr>
      <w:bookmarkStart w:id="1" w:name="_Hlk524442005"/>
    </w:p>
    <w:p w14:paraId="137F0F45">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pPr>
      <w:r>
        <w:rPr>
          <w:rFonts w:hint="eastAsia" w:ascii="Times New Roman" w:hAnsi="Times New Roman" w:eastAsia="黑体" w:cs="Times New Roman"/>
          <w:color w:val="000000"/>
          <w:sz w:val="28"/>
          <w:szCs w:val="44"/>
          <w:highlight w:val="none"/>
          <w:lang w:val="en-US" w:eastAsia="zh-CN"/>
        </w:rPr>
        <w:t>附件二报价函</w:t>
      </w:r>
    </w:p>
    <w:p w14:paraId="4B5E4CD1">
      <w:pPr>
        <w:spacing w:beforeLines="0" w:afterLines="0"/>
        <w:jc w:val="center"/>
        <w:rPr>
          <w:rFonts w:hint="eastAsia"/>
          <w:color w:val="000000"/>
          <w:sz w:val="44"/>
          <w:szCs w:val="44"/>
          <w:highlight w:val="none"/>
        </w:rPr>
      </w:pPr>
      <w:r>
        <w:rPr>
          <w:rFonts w:hint="eastAsia" w:eastAsia="华文中宋"/>
          <w:color w:val="000000"/>
          <w:sz w:val="44"/>
          <w:szCs w:val="44"/>
          <w:highlight w:val="none"/>
        </w:rPr>
        <w:t>报价函</w:t>
      </w:r>
    </w:p>
    <w:p w14:paraId="05F1F7EF">
      <w:pPr>
        <w:spacing w:beforeLines="0" w:afterLines="0"/>
        <w:ind w:firstLine="560"/>
        <w:jc w:val="center"/>
        <w:rPr>
          <w:rFonts w:hint="eastAsia"/>
          <w:color w:val="000000"/>
          <w:sz w:val="32"/>
          <w:szCs w:val="32"/>
          <w:highlight w:val="none"/>
        </w:rPr>
      </w:pPr>
    </w:p>
    <w:p w14:paraId="677C2CCA">
      <w:pPr>
        <w:spacing w:beforeLines="0" w:afterLines="0"/>
        <w:rPr>
          <w:rFonts w:hint="eastAsia"/>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28A029C2">
      <w:pPr>
        <w:spacing w:beforeLines="0" w:afterLines="0"/>
        <w:ind w:firstLine="640" w:firstLineChars="200"/>
        <w:rPr>
          <w:rFonts w:hint="eastAsia"/>
          <w:color w:val="000000"/>
          <w:sz w:val="32"/>
          <w:szCs w:val="32"/>
          <w:highlight w:val="none"/>
        </w:rPr>
      </w:pPr>
      <w:r>
        <w:rPr>
          <w:rFonts w:hint="eastAsia" w:eastAsia="仿宋_GB2312"/>
          <w:color w:val="000000"/>
          <w:sz w:val="32"/>
          <w:szCs w:val="32"/>
          <w:highlight w:val="none"/>
        </w:rPr>
        <w:t>针对贵司</w:t>
      </w:r>
      <w:r>
        <w:rPr>
          <w:rFonts w:hint="eastAsia"/>
          <w:color w:val="000000"/>
          <w:sz w:val="32"/>
          <w:szCs w:val="32"/>
          <w:highlight w:val="none"/>
          <w:u w:val="single"/>
        </w:rPr>
        <w:t xml:space="preserve">               </w:t>
      </w:r>
      <w:r>
        <w:rPr>
          <w:rFonts w:hint="eastAsia" w:eastAsia="仿宋_GB2312"/>
          <w:color w:val="000000"/>
          <w:sz w:val="32"/>
          <w:szCs w:val="32"/>
          <w:highlight w:val="none"/>
        </w:rPr>
        <w:t>项目，我司愿意以含税总价人民币</w:t>
      </w:r>
      <w:r>
        <w:rPr>
          <w:rFonts w:hint="eastAsia"/>
          <w:color w:val="000000"/>
          <w:sz w:val="32"/>
          <w:szCs w:val="32"/>
          <w:highlight w:val="none"/>
          <w:u w:val="single"/>
        </w:rPr>
        <w:t>xxxx</w:t>
      </w:r>
      <w:r>
        <w:rPr>
          <w:rFonts w:hint="eastAsia" w:eastAsia="仿宋_GB2312"/>
          <w:color w:val="000000"/>
          <w:sz w:val="32"/>
          <w:szCs w:val="32"/>
          <w:highlight w:val="none"/>
          <w:u w:val="single"/>
        </w:rPr>
        <w:t>元（大写），</w:t>
      </w:r>
      <w:r>
        <w:rPr>
          <w:rFonts w:hint="eastAsia"/>
          <w:color w:val="000000"/>
          <w:sz w:val="32"/>
          <w:szCs w:val="32"/>
          <w:highlight w:val="none"/>
          <w:u w:val="single"/>
        </w:rPr>
        <w:t>¥xxx.00</w:t>
      </w:r>
      <w:r>
        <w:rPr>
          <w:rFonts w:hint="eastAsia" w:eastAsia="仿宋_GB2312"/>
          <w:color w:val="000000"/>
          <w:sz w:val="32"/>
          <w:szCs w:val="32"/>
          <w:highlight w:val="none"/>
          <w:u w:val="single"/>
        </w:rPr>
        <w:t>（小写）</w:t>
      </w:r>
      <w:r>
        <w:rPr>
          <w:rFonts w:hint="eastAsia" w:eastAsia="仿宋_GB2312"/>
          <w:color w:val="000000"/>
          <w:sz w:val="32"/>
          <w:szCs w:val="32"/>
          <w:highlight w:val="none"/>
        </w:rPr>
        <w:t>承接此项目。</w:t>
      </w:r>
    </w:p>
    <w:p w14:paraId="59E3C57F">
      <w:pPr>
        <w:spacing w:beforeLines="0" w:afterLines="0"/>
        <w:rPr>
          <w:rFonts w:hint="eastAsia"/>
          <w:color w:val="000000"/>
          <w:sz w:val="32"/>
          <w:szCs w:val="32"/>
          <w:highlight w:val="none"/>
        </w:rPr>
      </w:pPr>
    </w:p>
    <w:p w14:paraId="0AA1BE99">
      <w:pPr>
        <w:spacing w:beforeLines="0" w:afterLines="0"/>
        <w:rPr>
          <w:rFonts w:hint="eastAsia"/>
          <w:color w:val="000000"/>
          <w:sz w:val="32"/>
          <w:szCs w:val="32"/>
          <w:highlight w:val="none"/>
        </w:rPr>
      </w:pPr>
    </w:p>
    <w:p w14:paraId="5889B1D8">
      <w:pPr>
        <w:spacing w:beforeLines="0" w:afterLines="0"/>
        <w:rPr>
          <w:rFonts w:hint="eastAsia"/>
          <w:color w:val="000000"/>
          <w:sz w:val="32"/>
          <w:szCs w:val="32"/>
          <w:highlight w:val="none"/>
        </w:rPr>
      </w:pPr>
    </w:p>
    <w:p w14:paraId="5B41B16B">
      <w:pPr>
        <w:spacing w:beforeLines="0" w:afterLines="0"/>
        <w:jc w:val="left"/>
        <w:rPr>
          <w:rFonts w:hint="eastAsia"/>
          <w:color w:val="000000"/>
          <w:sz w:val="32"/>
          <w:szCs w:val="32"/>
          <w:highlight w:val="none"/>
        </w:rPr>
      </w:pPr>
      <w:r>
        <w:rPr>
          <w:rFonts w:hint="eastAsia" w:eastAsia="仿宋_GB2312"/>
          <w:color w:val="000000"/>
          <w:sz w:val="32"/>
          <w:szCs w:val="32"/>
          <w:highlight w:val="none"/>
        </w:rPr>
        <w:t>响应人名称（加盖公章）：</w:t>
      </w:r>
    </w:p>
    <w:p w14:paraId="40F066C8">
      <w:pPr>
        <w:spacing w:beforeLines="0" w:afterLines="0"/>
        <w:jc w:val="left"/>
        <w:rPr>
          <w:rFonts w:hint="eastAsia"/>
          <w:color w:val="000000"/>
          <w:sz w:val="32"/>
          <w:szCs w:val="32"/>
          <w:highlight w:val="none"/>
        </w:rPr>
      </w:pPr>
      <w:r>
        <w:rPr>
          <w:rFonts w:hint="eastAsia" w:eastAsia="仿宋_GB2312"/>
          <w:color w:val="000000"/>
          <w:sz w:val="32"/>
          <w:szCs w:val="32"/>
          <w:highlight w:val="none"/>
        </w:rPr>
        <w:t>法定代表人（签名或盖章）：</w:t>
      </w:r>
    </w:p>
    <w:p w14:paraId="08EACDD1">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联系人：</w:t>
      </w:r>
    </w:p>
    <w:p w14:paraId="5EF1208B">
      <w:pPr>
        <w:spacing w:beforeLines="0" w:afterLines="0"/>
        <w:jc w:val="left"/>
        <w:rPr>
          <w:rFonts w:hint="eastAsia"/>
          <w:color w:val="000000"/>
          <w:sz w:val="32"/>
          <w:szCs w:val="32"/>
          <w:highlight w:val="none"/>
        </w:rPr>
      </w:pPr>
      <w:r>
        <w:rPr>
          <w:rFonts w:hint="eastAsia" w:eastAsia="仿宋_GB2312"/>
          <w:color w:val="000000"/>
          <w:sz w:val="32"/>
          <w:szCs w:val="32"/>
          <w:highlight w:val="none"/>
        </w:rPr>
        <w:t>联系电话：</w:t>
      </w:r>
    </w:p>
    <w:p w14:paraId="3BD097B2">
      <w:pPr>
        <w:spacing w:beforeLines="0" w:afterLines="0"/>
        <w:jc w:val="left"/>
        <w:rPr>
          <w:rFonts w:hint="eastAsia"/>
          <w:color w:val="000000"/>
          <w:sz w:val="32"/>
          <w:szCs w:val="32"/>
          <w:highlight w:val="none"/>
        </w:rPr>
      </w:pPr>
      <w:r>
        <w:rPr>
          <w:rFonts w:hint="eastAsia" w:eastAsia="仿宋_GB2312"/>
          <w:color w:val="000000"/>
          <w:sz w:val="32"/>
          <w:szCs w:val="32"/>
          <w:highlight w:val="none"/>
        </w:rPr>
        <w:t>日期：</w:t>
      </w:r>
    </w:p>
    <w:p w14:paraId="15ED7A5C">
      <w:pPr>
        <w:spacing w:beforeLines="0" w:afterLines="0"/>
        <w:jc w:val="center"/>
        <w:rPr>
          <w:rFonts w:hint="eastAsia"/>
          <w:color w:val="000000"/>
          <w:sz w:val="32"/>
          <w:szCs w:val="32"/>
          <w:highlight w:val="none"/>
        </w:rPr>
      </w:pPr>
    </w:p>
    <w:p w14:paraId="646E453F">
      <w:pPr>
        <w:spacing w:beforeLines="0" w:afterLines="0"/>
        <w:jc w:val="center"/>
        <w:rPr>
          <w:rFonts w:hint="eastAsia"/>
          <w:color w:val="000000"/>
          <w:sz w:val="32"/>
          <w:szCs w:val="32"/>
          <w:highlight w:val="none"/>
        </w:rPr>
      </w:pPr>
    </w:p>
    <w:p w14:paraId="647BBB03">
      <w:pPr>
        <w:pStyle w:val="37"/>
        <w:ind w:firstLine="0" w:firstLineChars="0"/>
        <w:jc w:val="center"/>
        <w:outlineLvl w:val="1"/>
        <w:rPr>
          <w:rFonts w:hint="eastAsia" w:ascii="Times New Roman" w:hAnsi="Times New Roman" w:eastAsia="黑体" w:cs="Times New Roman"/>
          <w:color w:val="000000"/>
          <w:sz w:val="28"/>
          <w:szCs w:val="44"/>
          <w:highlight w:val="none"/>
          <w:lang w:val="en-US" w:eastAsia="zh-CN"/>
        </w:rPr>
      </w:pPr>
    </w:p>
    <w:p w14:paraId="485CD932">
      <w:pPr>
        <w:pStyle w:val="37"/>
        <w:ind w:firstLine="0" w:firstLineChars="0"/>
        <w:jc w:val="center"/>
        <w:outlineLvl w:val="1"/>
        <w:rPr>
          <w:rFonts w:hint="eastAsia" w:ascii="Times New Roman" w:hAnsi="Times New Roman" w:eastAsia="黑体" w:cs="Times New Roman"/>
          <w:color w:val="000000"/>
          <w:sz w:val="28"/>
          <w:szCs w:val="44"/>
          <w:highlight w:val="none"/>
          <w:lang w:val="en-US" w:eastAsia="zh-CN"/>
        </w:rPr>
      </w:pPr>
    </w:p>
    <w:p w14:paraId="2DBD2E37">
      <w:pPr>
        <w:pStyle w:val="37"/>
        <w:ind w:firstLine="0" w:firstLineChars="0"/>
        <w:jc w:val="center"/>
        <w:outlineLvl w:val="1"/>
        <w:rPr>
          <w:rFonts w:hint="eastAsia" w:ascii="Times New Roman" w:hAnsi="Times New Roman" w:eastAsia="黑体" w:cs="Times New Roman"/>
          <w:color w:val="000000"/>
          <w:sz w:val="28"/>
          <w:szCs w:val="44"/>
          <w:highlight w:val="none"/>
          <w:lang w:val="en-US" w:eastAsia="zh-CN"/>
        </w:rPr>
      </w:pPr>
    </w:p>
    <w:p w14:paraId="005A8565">
      <w:pPr>
        <w:pStyle w:val="37"/>
        <w:ind w:firstLine="0" w:firstLineChars="0"/>
        <w:jc w:val="left"/>
        <w:outlineLvl w:val="1"/>
        <w:rPr>
          <w:rFonts w:hint="eastAsia" w:ascii="Times New Roman" w:hAnsi="Times New Roman" w:eastAsia="黑体" w:cs="Times New Roman"/>
          <w:color w:val="000000"/>
          <w:sz w:val="28"/>
          <w:szCs w:val="44"/>
          <w:highlight w:val="none"/>
          <w:lang w:val="en-US" w:eastAsia="zh-CN"/>
        </w:rPr>
      </w:pPr>
    </w:p>
    <w:p w14:paraId="480BFCF4">
      <w:pPr>
        <w:pStyle w:val="37"/>
        <w:ind w:firstLine="0" w:firstLineChars="0"/>
        <w:jc w:val="left"/>
        <w:outlineLvl w:val="1"/>
        <w:rPr>
          <w:rFonts w:hint="default" w:ascii="Times New Roman" w:hAnsi="Times New Roman" w:eastAsia="黑体" w:cs="Times New Roman"/>
          <w:color w:val="000000"/>
          <w:sz w:val="28"/>
          <w:szCs w:val="44"/>
          <w:highlight w:val="none"/>
          <w:lang w:val="en-US" w:eastAsia="zh-CN"/>
        </w:rPr>
      </w:pPr>
    </w:p>
    <w:p w14:paraId="7E7D82ED">
      <w:pPr>
        <w:pStyle w:val="37"/>
        <w:ind w:firstLine="0" w:firstLineChars="0"/>
        <w:jc w:val="left"/>
        <w:outlineLvl w:val="1"/>
        <w:rPr>
          <w:rFonts w:hint="default" w:ascii="Times New Roman" w:hAnsi="Times New Roman" w:eastAsia="黑体" w:cs="Times New Roman"/>
          <w:color w:val="000000"/>
          <w:sz w:val="28"/>
          <w:szCs w:val="44"/>
          <w:highlight w:val="none"/>
          <w:lang w:val="en-US" w:eastAsia="zh-CN"/>
        </w:rPr>
        <w:sectPr>
          <w:pgSz w:w="11907" w:h="16840"/>
          <w:pgMar w:top="1531" w:right="1588" w:bottom="1418" w:left="1418" w:header="851" w:footer="1191" w:gutter="0"/>
          <w:pgBorders>
            <w:top w:val="none" w:sz="0" w:space="0"/>
            <w:left w:val="none" w:sz="0" w:space="0"/>
            <w:bottom w:val="none" w:sz="0" w:space="0"/>
            <w:right w:val="none" w:sz="0" w:space="0"/>
          </w:pgBorders>
          <w:cols w:space="720" w:num="1"/>
          <w:docGrid w:type="linesAndChars" w:linePitch="332" w:charSpace="0"/>
        </w:sectPr>
      </w:pPr>
    </w:p>
    <w:p w14:paraId="387E815C">
      <w:pPr>
        <w:pStyle w:val="37"/>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w:t>
      </w:r>
      <w:r>
        <w:rPr>
          <w:rFonts w:hint="eastAsia" w:eastAsia="黑体"/>
          <w:color w:val="000000"/>
          <w:sz w:val="28"/>
          <w:szCs w:val="44"/>
          <w:highlight w:val="none"/>
          <w:lang w:val="en-US" w:eastAsia="zh-CN"/>
        </w:rPr>
        <w:t>三</w:t>
      </w:r>
      <w:r>
        <w:rPr>
          <w:rFonts w:hint="eastAsia" w:eastAsia="黑体"/>
          <w:color w:val="000000"/>
          <w:sz w:val="28"/>
          <w:szCs w:val="44"/>
          <w:highlight w:val="none"/>
        </w:rPr>
        <w:t>法人证明</w:t>
      </w:r>
    </w:p>
    <w:p w14:paraId="4BC5AE1D">
      <w:pPr>
        <w:pStyle w:val="37"/>
        <w:ind w:firstLine="0" w:firstLineChars="0"/>
        <w:jc w:val="left"/>
        <w:rPr>
          <w:rFonts w:eastAsia="黑体"/>
          <w:color w:val="000000"/>
          <w:sz w:val="28"/>
          <w:szCs w:val="44"/>
          <w:highlight w:val="none"/>
        </w:rPr>
      </w:pPr>
    </w:p>
    <w:p w14:paraId="21B467CC">
      <w:pPr>
        <w:jc w:val="center"/>
        <w:rPr>
          <w:rFonts w:eastAsia="仿宋_GB2312"/>
          <w:b/>
          <w:bCs/>
          <w:color w:val="000000"/>
          <w:sz w:val="32"/>
          <w:szCs w:val="32"/>
          <w:highlight w:val="none"/>
        </w:rPr>
      </w:pPr>
      <w:r>
        <w:rPr>
          <w:rFonts w:hint="eastAsia" w:eastAsia="仿宋_GB2312"/>
          <w:b/>
          <w:bCs/>
          <w:color w:val="000000"/>
          <w:sz w:val="32"/>
          <w:szCs w:val="32"/>
          <w:highlight w:val="none"/>
        </w:rPr>
        <w:t>法定代表人身份证明书及法定代表人身份证复印件</w:t>
      </w:r>
    </w:p>
    <w:p w14:paraId="3967C0CE">
      <w:pPr>
        <w:rPr>
          <w:rFonts w:eastAsia="仿宋_GB2312"/>
          <w:color w:val="000000"/>
          <w:sz w:val="32"/>
          <w:szCs w:val="32"/>
          <w:highlight w:val="none"/>
        </w:rPr>
      </w:pPr>
    </w:p>
    <w:p w14:paraId="36095202">
      <w:pPr>
        <w:rPr>
          <w:rFonts w:eastAsia="仿宋_GB2312"/>
          <w:color w:val="auto"/>
          <w:sz w:val="32"/>
          <w:szCs w:val="32"/>
          <w:highlight w:val="none"/>
        </w:rPr>
      </w:pPr>
      <w:r>
        <w:rPr>
          <w:rFonts w:hint="eastAsia" w:eastAsia="仿宋_GB2312"/>
          <w:color w:val="auto"/>
          <w:sz w:val="32"/>
          <w:szCs w:val="32"/>
          <w:highlight w:val="none"/>
          <w:u w:val="single"/>
          <w:lang w:val="en-US" w:eastAsia="zh-CN"/>
        </w:rPr>
        <w:t>东莞市新锋新能源有限公司</w:t>
      </w:r>
      <w:r>
        <w:rPr>
          <w:rFonts w:hint="eastAsia" w:eastAsia="仿宋_GB2312"/>
          <w:color w:val="auto"/>
          <w:sz w:val="32"/>
          <w:szCs w:val="32"/>
          <w:highlight w:val="none"/>
        </w:rPr>
        <w:t>：</w:t>
      </w:r>
    </w:p>
    <w:p w14:paraId="58EC2504">
      <w:pPr>
        <w:pStyle w:val="36"/>
        <w:ind w:firstLine="659"/>
        <w:rPr>
          <w:rFonts w:ascii="Times New Roman" w:hAnsi="Times New Roman"/>
          <w:color w:val="000000"/>
          <w:sz w:val="30"/>
          <w:szCs w:val="30"/>
          <w:highlight w:val="none"/>
        </w:rPr>
      </w:pPr>
      <w:r>
        <w:rPr>
          <w:rFonts w:hint="eastAsia" w:ascii="Times New Roman" w:hAnsi="Times New Roman"/>
          <w:color w:val="000000"/>
          <w:sz w:val="30"/>
          <w:szCs w:val="30"/>
          <w:highlight w:val="none"/>
        </w:rPr>
        <w:t>本证明书声明：注册于（国家名称）的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（响应人名称）在下面签字的</w:t>
      </w:r>
      <w:r>
        <w:rPr>
          <w:rFonts w:hint="eastAsia" w:ascii="Times New Roman" w:hAnsi="Times New Roman"/>
          <w:color w:val="000000"/>
          <w:sz w:val="30"/>
          <w:szCs w:val="30"/>
          <w:highlight w:val="none"/>
          <w:u w:val="single"/>
        </w:rPr>
        <w:t>　　　　　</w:t>
      </w:r>
      <w:r>
        <w:rPr>
          <w:rFonts w:hint="eastAsia" w:ascii="Times New Roman" w:hAnsi="Times New Roman"/>
          <w:color w:val="000000"/>
          <w:sz w:val="30"/>
          <w:szCs w:val="30"/>
          <w:highlight w:val="none"/>
        </w:rPr>
        <w:t>（法定代表人姓名、职务）为本公司的合法代表人（</w:t>
      </w:r>
      <w:r>
        <w:rPr>
          <w:rFonts w:hint="eastAsia" w:ascii="Times New Roman" w:hAnsi="Times New Roman"/>
          <w:b/>
          <w:bCs/>
          <w:color w:val="000000"/>
          <w:sz w:val="30"/>
          <w:szCs w:val="30"/>
          <w:highlight w:val="none"/>
        </w:rPr>
        <w:t>须附法定代表人身份证复印件</w:t>
      </w:r>
      <w:r>
        <w:rPr>
          <w:rFonts w:hint="eastAsia" w:ascii="Times New Roman" w:hAnsi="Times New Roman"/>
          <w:color w:val="000000"/>
          <w:sz w:val="30"/>
          <w:szCs w:val="30"/>
          <w:highlight w:val="none"/>
        </w:rPr>
        <w:t>）。</w:t>
      </w:r>
    </w:p>
    <w:p w14:paraId="777BF844">
      <w:pPr>
        <w:spacing w:line="600" w:lineRule="exact"/>
        <w:ind w:firstLine="450" w:firstLineChars="150"/>
        <w:rPr>
          <w:rFonts w:eastAsia="仿宋_GB2312"/>
          <w:color w:val="000000"/>
          <w:sz w:val="30"/>
          <w:szCs w:val="30"/>
          <w:highlight w:val="none"/>
        </w:rPr>
      </w:pPr>
      <w:r>
        <w:rPr>
          <w:rFonts w:hint="eastAsia" w:eastAsia="仿宋_GB2312"/>
          <w:color w:val="000000"/>
          <w:sz w:val="30"/>
          <w:szCs w:val="30"/>
          <w:highlight w:val="none"/>
        </w:rPr>
        <w:t>特此证明</w:t>
      </w:r>
    </w:p>
    <w:p w14:paraId="2D6AEEAA">
      <w:pPr>
        <w:spacing w:line="600" w:lineRule="exact"/>
        <w:rPr>
          <w:rFonts w:eastAsia="仿宋_GB2312"/>
          <w:color w:val="000000"/>
          <w:sz w:val="32"/>
          <w:szCs w:val="32"/>
          <w:highlight w:val="none"/>
        </w:rPr>
      </w:pPr>
    </w:p>
    <w:p w14:paraId="38EAA64A">
      <w:pPr>
        <w:spacing w:line="600" w:lineRule="exact"/>
        <w:rPr>
          <w:rFonts w:eastAsia="仿宋_GB2312"/>
          <w:color w:val="000000"/>
          <w:sz w:val="32"/>
          <w:szCs w:val="32"/>
          <w:highlight w:val="none"/>
        </w:rPr>
      </w:pPr>
    </w:p>
    <w:p w14:paraId="56C4F7BB">
      <w:pPr>
        <w:spacing w:line="600" w:lineRule="exact"/>
        <w:rPr>
          <w:rFonts w:eastAsia="仿宋_GB2312"/>
          <w:color w:val="000000"/>
          <w:sz w:val="32"/>
          <w:szCs w:val="32"/>
          <w:highlight w:val="none"/>
        </w:rPr>
      </w:pPr>
    </w:p>
    <w:p w14:paraId="56AD1629">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响应人名称（加盖公章）：</w:t>
      </w:r>
    </w:p>
    <w:p w14:paraId="2DD251E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响应人地址：</w:t>
      </w:r>
    </w:p>
    <w:p w14:paraId="59D30BF0">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法定代表人（签名或盖私章）：</w:t>
      </w:r>
    </w:p>
    <w:p w14:paraId="67024723">
      <w:pPr>
        <w:spacing w:line="600" w:lineRule="exact"/>
        <w:jc w:val="left"/>
        <w:rPr>
          <w:rFonts w:eastAsia="仿宋_GB2312"/>
          <w:color w:val="000000"/>
          <w:sz w:val="32"/>
          <w:szCs w:val="32"/>
          <w:highlight w:val="none"/>
        </w:rPr>
      </w:pPr>
      <w:r>
        <w:rPr>
          <w:rFonts w:hint="eastAsia" w:eastAsia="仿宋_GB2312"/>
          <w:color w:val="000000"/>
          <w:sz w:val="32"/>
          <w:szCs w:val="32"/>
          <w:highlight w:val="none"/>
        </w:rPr>
        <w:t>职务：</w:t>
      </w:r>
    </w:p>
    <w:p w14:paraId="0FF52A7F">
      <w:pPr>
        <w:rPr>
          <w:rFonts w:eastAsia="仿宋_GB2312"/>
          <w:color w:val="000000"/>
          <w:sz w:val="32"/>
          <w:szCs w:val="32"/>
          <w:highlight w:val="none"/>
        </w:rPr>
      </w:pPr>
    </w:p>
    <w:p w14:paraId="4709D3F8">
      <w:pPr>
        <w:widowControl/>
        <w:jc w:val="center"/>
        <w:rPr>
          <w:rFonts w:eastAsia="仿宋_GB2312"/>
          <w:color w:val="000000"/>
          <w:sz w:val="32"/>
          <w:szCs w:val="32"/>
          <w:highlight w:val="none"/>
        </w:rPr>
      </w:pPr>
      <w:r>
        <w:rPr>
          <w:rFonts w:eastAsia="仿宋_GB2312"/>
          <w:color w:val="000000"/>
          <w:sz w:val="32"/>
          <w:szCs w:val="32"/>
          <w:highlight w:val="none"/>
        </w:rPr>
        <w:br w:type="page"/>
      </w:r>
      <w:bookmarkStart w:id="2" w:name="_Toc384752807"/>
    </w:p>
    <w:p w14:paraId="686855BD">
      <w:pPr>
        <w:pStyle w:val="37"/>
        <w:ind w:firstLine="0" w:firstLineChars="0"/>
        <w:jc w:val="left"/>
        <w:outlineLvl w:val="1"/>
        <w:rPr>
          <w:rFonts w:eastAsia="黑体"/>
          <w:color w:val="000000"/>
          <w:sz w:val="28"/>
          <w:szCs w:val="44"/>
          <w:highlight w:val="none"/>
        </w:rPr>
      </w:pPr>
      <w:bookmarkStart w:id="3" w:name="_Hlk40704362"/>
      <w:r>
        <w:rPr>
          <w:rFonts w:hint="eastAsia" w:eastAsia="黑体"/>
          <w:color w:val="000000"/>
          <w:sz w:val="28"/>
          <w:szCs w:val="44"/>
          <w:highlight w:val="none"/>
        </w:rPr>
        <w:t>附件</w:t>
      </w:r>
      <w:r>
        <w:rPr>
          <w:rFonts w:hint="eastAsia" w:eastAsia="黑体"/>
          <w:color w:val="000000"/>
          <w:sz w:val="28"/>
          <w:szCs w:val="44"/>
          <w:highlight w:val="none"/>
          <w:lang w:val="en-US" w:eastAsia="zh-CN"/>
        </w:rPr>
        <w:t>四</w:t>
      </w:r>
      <w:r>
        <w:rPr>
          <w:rFonts w:hint="eastAsia" w:eastAsia="黑体"/>
          <w:color w:val="000000"/>
          <w:sz w:val="28"/>
          <w:szCs w:val="44"/>
          <w:highlight w:val="none"/>
        </w:rPr>
        <w:t>法人授权书</w:t>
      </w:r>
    </w:p>
    <w:p w14:paraId="47DF87E5">
      <w:pPr>
        <w:widowControl/>
        <w:jc w:val="center"/>
        <w:rPr>
          <w:rFonts w:eastAsia="仿宋_GB2312"/>
          <w:b/>
          <w:color w:val="000000"/>
          <w:sz w:val="32"/>
          <w:szCs w:val="32"/>
          <w:highlight w:val="none"/>
        </w:rPr>
      </w:pPr>
    </w:p>
    <w:p w14:paraId="77FBF0AE">
      <w:pPr>
        <w:widowControl/>
        <w:jc w:val="center"/>
        <w:rPr>
          <w:rFonts w:eastAsia="仿宋_GB2312"/>
          <w:color w:val="000000"/>
          <w:sz w:val="32"/>
          <w:szCs w:val="32"/>
          <w:highlight w:val="none"/>
        </w:rPr>
      </w:pPr>
      <w:r>
        <w:rPr>
          <w:rFonts w:hint="eastAsia" w:eastAsia="仿宋_GB2312"/>
          <w:b/>
          <w:color w:val="000000"/>
          <w:sz w:val="32"/>
          <w:szCs w:val="32"/>
          <w:highlight w:val="none"/>
        </w:rPr>
        <w:t>授权委托书</w:t>
      </w:r>
      <w:bookmarkEnd w:id="2"/>
    </w:p>
    <w:p w14:paraId="5207E06E">
      <w:pPr>
        <w:pStyle w:val="36"/>
        <w:ind w:firstLine="0" w:firstLineChars="0"/>
        <w:rPr>
          <w:rFonts w:ascii="Times New Roman" w:hAnsi="Times New Roman"/>
          <w:color w:val="000000"/>
          <w:sz w:val="32"/>
          <w:szCs w:val="32"/>
          <w:highlight w:val="none"/>
        </w:rPr>
      </w:pPr>
    </w:p>
    <w:p w14:paraId="25EA29E6">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224D5368">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本委托书声明：在下面签字的</w:t>
      </w:r>
      <w:r>
        <w:rPr>
          <w:rFonts w:hint="eastAsia" w:ascii="Times New Roman" w:hAnsi="Times New Roman"/>
          <w:color w:val="000000"/>
          <w:sz w:val="32"/>
          <w:szCs w:val="32"/>
          <w:highlight w:val="none"/>
          <w:u w:val="single"/>
        </w:rPr>
        <w:t>（填写法定代表人姓名、职务）</w:t>
      </w:r>
      <w:r>
        <w:rPr>
          <w:rFonts w:hint="eastAsia" w:ascii="Times New Roman" w:hAnsi="Times New Roman"/>
          <w:color w:val="000000"/>
          <w:sz w:val="32"/>
          <w:szCs w:val="32"/>
          <w:highlight w:val="none"/>
        </w:rPr>
        <w:t>代表</w:t>
      </w:r>
      <w:r>
        <w:rPr>
          <w:rFonts w:hint="eastAsia" w:ascii="Times New Roman" w:hAnsi="Times New Roman"/>
          <w:color w:val="000000"/>
          <w:sz w:val="32"/>
          <w:szCs w:val="32"/>
          <w:highlight w:val="none"/>
          <w:u w:val="single"/>
        </w:rPr>
        <w:t>（填写响应人名称）</w:t>
      </w:r>
      <w:r>
        <w:rPr>
          <w:rFonts w:hint="eastAsia" w:ascii="Times New Roman" w:hAnsi="Times New Roman"/>
          <w:color w:val="000000"/>
          <w:sz w:val="32"/>
          <w:szCs w:val="32"/>
          <w:highlight w:val="none"/>
        </w:rPr>
        <w:t>委托在下面签字的</w:t>
      </w:r>
      <w:r>
        <w:rPr>
          <w:rFonts w:hint="eastAsia" w:ascii="Times New Roman" w:hAnsi="Times New Roman"/>
          <w:color w:val="000000"/>
          <w:sz w:val="32"/>
          <w:szCs w:val="32"/>
          <w:highlight w:val="none"/>
          <w:u w:val="single"/>
        </w:rPr>
        <w:t>（填写受委托人的姓名、职务）</w:t>
      </w:r>
      <w:r>
        <w:rPr>
          <w:rFonts w:hint="eastAsia" w:ascii="Times New Roman" w:hAnsi="Times New Roman"/>
          <w:color w:val="000000"/>
          <w:sz w:val="32"/>
          <w:szCs w:val="32"/>
          <w:highlight w:val="none"/>
        </w:rPr>
        <w:t>为本公司的合法代表人，就</w:t>
      </w:r>
      <w:r>
        <w:rPr>
          <w:rFonts w:hint="eastAsia"/>
          <w:color w:val="000000"/>
          <w:sz w:val="32"/>
          <w:szCs w:val="32"/>
          <w:highlight w:val="none"/>
          <w:u w:val="single"/>
        </w:rPr>
        <w:t>（填写项目名称）</w:t>
      </w:r>
      <w:r>
        <w:rPr>
          <w:rFonts w:hint="eastAsia"/>
          <w:color w:val="000000"/>
          <w:sz w:val="32"/>
          <w:szCs w:val="32"/>
          <w:highlight w:val="none"/>
        </w:rPr>
        <w:t>项目</w:t>
      </w:r>
      <w:r>
        <w:rPr>
          <w:rFonts w:hint="eastAsia" w:ascii="Times New Roman" w:hAnsi="Times New Roman"/>
          <w:color w:val="000000"/>
          <w:sz w:val="32"/>
          <w:szCs w:val="32"/>
          <w:highlight w:val="none"/>
        </w:rPr>
        <w:t>等相关服务的谈判和合同的执行，以我方的名义处理一切与之有关的事宜（相关身份证复印件须附后）。</w:t>
      </w:r>
    </w:p>
    <w:p w14:paraId="3CDE7703">
      <w:pPr>
        <w:pStyle w:val="36"/>
        <w:ind w:firstLine="659"/>
        <w:rPr>
          <w:rFonts w:ascii="Times New Roman" w:hAnsi="Times New Roman"/>
          <w:color w:val="000000"/>
          <w:sz w:val="32"/>
          <w:szCs w:val="32"/>
          <w:highlight w:val="none"/>
        </w:rPr>
      </w:pPr>
    </w:p>
    <w:p w14:paraId="5842192A">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本委托书于年月日至年月日签字生效，有效期与询价有效期一致，特此声明。</w:t>
      </w:r>
    </w:p>
    <w:p w14:paraId="311D91E4">
      <w:pPr>
        <w:pStyle w:val="36"/>
        <w:ind w:firstLine="659"/>
        <w:rPr>
          <w:rFonts w:ascii="Times New Roman" w:hAnsi="Times New Roman"/>
          <w:color w:val="000000"/>
          <w:sz w:val="32"/>
          <w:szCs w:val="32"/>
          <w:highlight w:val="none"/>
        </w:rPr>
      </w:pPr>
    </w:p>
    <w:p w14:paraId="5C232C76">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7138C8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1A0EF3BD">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D47B5B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67F55602">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受委托人（签字或盖章）：</w:t>
      </w:r>
    </w:p>
    <w:p w14:paraId="35F8C5C4">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7E3B22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bookmarkEnd w:id="3"/>
    <w:p w14:paraId="25B16EA3">
      <w:pPr>
        <w:pStyle w:val="37"/>
        <w:ind w:firstLine="0" w:firstLineChars="0"/>
        <w:jc w:val="left"/>
        <w:outlineLvl w:val="1"/>
        <w:rPr>
          <w:rFonts w:eastAsia="黑体"/>
          <w:color w:val="000000"/>
          <w:sz w:val="28"/>
          <w:szCs w:val="44"/>
          <w:highlight w:val="none"/>
        </w:rPr>
      </w:pPr>
      <w:r>
        <w:rPr>
          <w:color w:val="000000"/>
          <w:sz w:val="32"/>
          <w:szCs w:val="32"/>
          <w:highlight w:val="none"/>
        </w:rPr>
        <w:br w:type="page"/>
      </w:r>
      <w:r>
        <w:rPr>
          <w:rFonts w:hint="eastAsia" w:eastAsia="黑体"/>
          <w:color w:val="000000"/>
          <w:sz w:val="28"/>
          <w:szCs w:val="44"/>
          <w:highlight w:val="none"/>
        </w:rPr>
        <w:t>附件</w:t>
      </w:r>
      <w:r>
        <w:rPr>
          <w:rFonts w:hint="eastAsia" w:eastAsia="黑体"/>
          <w:color w:val="000000"/>
          <w:sz w:val="28"/>
          <w:szCs w:val="44"/>
          <w:highlight w:val="none"/>
          <w:lang w:val="en-US" w:eastAsia="zh-CN"/>
        </w:rPr>
        <w:t>五</w:t>
      </w:r>
      <w:r>
        <w:rPr>
          <w:rFonts w:hint="eastAsia" w:eastAsia="黑体"/>
          <w:color w:val="000000"/>
          <w:sz w:val="28"/>
          <w:szCs w:val="44"/>
          <w:highlight w:val="none"/>
        </w:rPr>
        <w:t>承诺函</w:t>
      </w:r>
    </w:p>
    <w:p w14:paraId="421A967C">
      <w:pPr>
        <w:pStyle w:val="37"/>
        <w:ind w:firstLine="0" w:firstLineChars="0"/>
        <w:jc w:val="center"/>
        <w:rPr>
          <w:rFonts w:eastAsia="仿宋_GB2312"/>
          <w:b/>
          <w:color w:val="000000"/>
          <w:sz w:val="32"/>
          <w:szCs w:val="32"/>
          <w:highlight w:val="none"/>
        </w:rPr>
      </w:pPr>
      <w:r>
        <w:rPr>
          <w:rFonts w:hint="eastAsia" w:eastAsia="仿宋_GB2312"/>
          <w:b/>
          <w:color w:val="000000"/>
          <w:sz w:val="32"/>
          <w:szCs w:val="32"/>
          <w:highlight w:val="none"/>
        </w:rPr>
        <w:t>承诺函</w:t>
      </w:r>
    </w:p>
    <w:p w14:paraId="07D89B12">
      <w:pPr>
        <w:rPr>
          <w:rFonts w:eastAsia="仿宋_GB2312"/>
          <w:color w:val="000000"/>
          <w:sz w:val="32"/>
          <w:szCs w:val="32"/>
          <w:highlight w:val="none"/>
        </w:rPr>
      </w:pPr>
      <w:r>
        <w:rPr>
          <w:rFonts w:hint="eastAsia" w:eastAsia="仿宋_GB2312"/>
          <w:color w:val="000000"/>
          <w:sz w:val="32"/>
          <w:szCs w:val="32"/>
          <w:highlight w:val="none"/>
          <w:u w:val="single"/>
        </w:rPr>
        <w:t>东莞市新锋新能源有限公司（采购人）</w:t>
      </w:r>
      <w:r>
        <w:rPr>
          <w:rFonts w:hint="eastAsia" w:eastAsia="仿宋_GB2312"/>
          <w:color w:val="000000"/>
          <w:sz w:val="32"/>
          <w:szCs w:val="32"/>
          <w:highlight w:val="none"/>
        </w:rPr>
        <w:t>：</w:t>
      </w:r>
    </w:p>
    <w:p w14:paraId="069B991C">
      <w:pPr>
        <w:pStyle w:val="36"/>
        <w:ind w:firstLine="640" w:firstLineChars="0"/>
        <w:rPr>
          <w:rFonts w:ascii="Times New Roman" w:hAnsi="Times New Roman"/>
          <w:color w:val="000000"/>
          <w:sz w:val="32"/>
          <w:szCs w:val="32"/>
          <w:highlight w:val="none"/>
        </w:rPr>
      </w:pPr>
      <w:r>
        <w:rPr>
          <w:rFonts w:hint="eastAsia" w:ascii="Times New Roman" w:hAnsi="Times New Roman"/>
          <w:color w:val="000000"/>
          <w:sz w:val="32"/>
          <w:szCs w:val="32"/>
          <w:highlight w:val="none"/>
        </w:rPr>
        <w:t>我司就参加</w:t>
      </w:r>
      <w:r>
        <w:rPr>
          <w:color w:val="000000"/>
          <w:sz w:val="32"/>
          <w:szCs w:val="32"/>
          <w:highlight w:val="none"/>
          <w:u w:val="single"/>
        </w:rPr>
        <w:t xml:space="preserve">         </w:t>
      </w:r>
      <w:r>
        <w:rPr>
          <w:rFonts w:hint="eastAsia"/>
          <w:color w:val="000000"/>
          <w:sz w:val="32"/>
          <w:szCs w:val="32"/>
          <w:highlight w:val="none"/>
          <w:u w:val="single"/>
        </w:rPr>
        <w:t>（项目名称）</w:t>
      </w:r>
      <w:r>
        <w:rPr>
          <w:rFonts w:hint="eastAsia"/>
          <w:color w:val="000000"/>
          <w:sz w:val="32"/>
          <w:szCs w:val="32"/>
          <w:highlight w:val="none"/>
        </w:rPr>
        <w:t>项目</w:t>
      </w:r>
      <w:r>
        <w:rPr>
          <w:rFonts w:hint="eastAsia" w:ascii="Times New Roman" w:hAnsi="Times New Roman"/>
          <w:color w:val="000000"/>
          <w:sz w:val="32"/>
          <w:szCs w:val="32"/>
          <w:highlight w:val="none"/>
        </w:rPr>
        <w:t>投标工作，作出以下承诺：</w:t>
      </w:r>
    </w:p>
    <w:p w14:paraId="16ADCF90">
      <w:pPr>
        <w:pStyle w:val="36"/>
        <w:ind w:firstLine="659"/>
        <w:rPr>
          <w:rFonts w:ascii="Times New Roman" w:hAnsi="Times New Roman"/>
          <w:color w:val="000000"/>
          <w:sz w:val="32"/>
          <w:szCs w:val="32"/>
          <w:highlight w:val="none"/>
        </w:rPr>
      </w:pPr>
      <w:r>
        <w:rPr>
          <w:rFonts w:hint="eastAsia" w:ascii="Times New Roman" w:hAnsi="Times New Roman"/>
          <w:color w:val="000000"/>
          <w:sz w:val="32"/>
          <w:szCs w:val="32"/>
          <w:highlight w:val="none"/>
        </w:rPr>
        <w:t>我公司已充分了解采购项目情况，本次报价完全响应询价文件的要求，我公司所提供的</w:t>
      </w:r>
      <w:r>
        <w:rPr>
          <w:color w:val="000000"/>
          <w:sz w:val="32"/>
          <w:szCs w:val="32"/>
          <w:highlight w:val="none"/>
          <w:u w:val="single"/>
        </w:rPr>
        <w:t xml:space="preserve">      </w:t>
      </w:r>
      <w:r>
        <w:rPr>
          <w:rFonts w:hint="eastAsia"/>
          <w:color w:val="000000"/>
          <w:sz w:val="32"/>
          <w:szCs w:val="32"/>
          <w:highlight w:val="none"/>
          <w:u w:val="single"/>
        </w:rPr>
        <w:t>（服务内容）</w:t>
      </w:r>
      <w:r>
        <w:rPr>
          <w:rFonts w:hint="eastAsia" w:ascii="Times New Roman" w:hAnsi="Times New Roman"/>
          <w:color w:val="000000"/>
          <w:sz w:val="32"/>
          <w:szCs w:val="32"/>
          <w:highlight w:val="none"/>
        </w:rPr>
        <w:t>等于或优于采购人需求，并承诺如不满足采购人需求，采购人有权取消合同并进行违约处罚。</w:t>
      </w:r>
    </w:p>
    <w:p w14:paraId="563849C0">
      <w:pPr>
        <w:pStyle w:val="36"/>
        <w:ind w:firstLine="659"/>
        <w:rPr>
          <w:rFonts w:ascii="Times New Roman" w:hAnsi="Times New Roman"/>
          <w:color w:val="000000"/>
          <w:sz w:val="32"/>
          <w:szCs w:val="32"/>
          <w:highlight w:val="none"/>
        </w:rPr>
      </w:pPr>
    </w:p>
    <w:p w14:paraId="6CE7E7BB">
      <w:pPr>
        <w:pStyle w:val="36"/>
        <w:ind w:firstLine="0" w:firstLineChars="0"/>
        <w:jc w:val="left"/>
        <w:rPr>
          <w:rFonts w:ascii="Times New Roman" w:hAnsi="Times New Roman"/>
          <w:color w:val="000000"/>
          <w:sz w:val="32"/>
          <w:szCs w:val="32"/>
          <w:highlight w:val="none"/>
        </w:rPr>
      </w:pPr>
    </w:p>
    <w:p w14:paraId="3FCBBD06">
      <w:pPr>
        <w:jc w:val="left"/>
        <w:rPr>
          <w:rFonts w:eastAsia="仿宋"/>
          <w:color w:val="000000"/>
          <w:sz w:val="32"/>
          <w:szCs w:val="32"/>
          <w:highlight w:val="none"/>
        </w:rPr>
      </w:pPr>
    </w:p>
    <w:p w14:paraId="25239E35">
      <w:pPr>
        <w:jc w:val="left"/>
        <w:rPr>
          <w:rFonts w:eastAsia="仿宋"/>
          <w:color w:val="000000"/>
          <w:sz w:val="32"/>
          <w:szCs w:val="32"/>
          <w:highlight w:val="none"/>
        </w:rPr>
      </w:pPr>
    </w:p>
    <w:p w14:paraId="6660CD07">
      <w:pPr>
        <w:jc w:val="left"/>
        <w:rPr>
          <w:rFonts w:eastAsia="仿宋"/>
          <w:color w:val="000000"/>
          <w:sz w:val="32"/>
          <w:szCs w:val="32"/>
          <w:highlight w:val="none"/>
        </w:rPr>
      </w:pPr>
    </w:p>
    <w:p w14:paraId="2DBF37DE">
      <w:pPr>
        <w:pStyle w:val="36"/>
        <w:ind w:right="160"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响应人名称（加盖公章）：</w:t>
      </w:r>
    </w:p>
    <w:p w14:paraId="6CA83D75">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响应人地址：</w:t>
      </w:r>
    </w:p>
    <w:p w14:paraId="74D3646A">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法定代表人（签字或盖章）：</w:t>
      </w:r>
    </w:p>
    <w:p w14:paraId="64A4EED8">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职务：</w:t>
      </w:r>
    </w:p>
    <w:p w14:paraId="422113E1">
      <w:pPr>
        <w:pStyle w:val="36"/>
        <w:ind w:firstLine="0" w:firstLineChars="0"/>
        <w:jc w:val="left"/>
        <w:rPr>
          <w:rFonts w:ascii="Times New Roman" w:hAnsi="Times New Roman"/>
          <w:color w:val="000000"/>
          <w:sz w:val="32"/>
          <w:szCs w:val="32"/>
          <w:highlight w:val="none"/>
        </w:rPr>
      </w:pPr>
      <w:r>
        <w:rPr>
          <w:rFonts w:hint="eastAsia" w:ascii="Times New Roman" w:hAnsi="Times New Roman"/>
          <w:color w:val="000000"/>
          <w:sz w:val="32"/>
          <w:szCs w:val="32"/>
          <w:highlight w:val="none"/>
        </w:rPr>
        <w:t>日期：</w:t>
      </w:r>
    </w:p>
    <w:bookmarkEnd w:id="1"/>
    <w:p w14:paraId="0D1C81EA">
      <w:pPr>
        <w:widowControl/>
        <w:jc w:val="left"/>
        <w:rPr>
          <w:rFonts w:hint="eastAsia" w:eastAsia="黑体"/>
          <w:color w:val="000000"/>
          <w:sz w:val="28"/>
          <w:szCs w:val="44"/>
          <w:highlight w:val="none"/>
        </w:rPr>
      </w:pPr>
    </w:p>
    <w:sectPr>
      <w:pgSz w:w="11907" w:h="16840"/>
      <w:pgMar w:top="1531" w:right="1588" w:bottom="1418" w:left="1418" w:header="851" w:footer="1191" w:gutter="0"/>
      <w:pgBorders>
        <w:top w:val="none" w:sz="0" w:space="0"/>
        <w:left w:val="none" w:sz="0" w:space="0"/>
        <w:bottom w:val="none" w:sz="0" w:space="0"/>
        <w:right w:val="none" w:sz="0" w:space="0"/>
      </w:pgBorders>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8D5EC">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172A27"/>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635"/>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41FD"/>
    <w:rsid w:val="00E21013"/>
    <w:rsid w:val="00E21941"/>
    <w:rsid w:val="00E30D18"/>
    <w:rsid w:val="00E37D03"/>
    <w:rsid w:val="00E444B2"/>
    <w:rsid w:val="00E50267"/>
    <w:rsid w:val="00E55C56"/>
    <w:rsid w:val="00E570B0"/>
    <w:rsid w:val="00E604F7"/>
    <w:rsid w:val="00E6312A"/>
    <w:rsid w:val="00E65448"/>
    <w:rsid w:val="00E678F0"/>
    <w:rsid w:val="00E719B3"/>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E5132"/>
    <w:rsid w:val="015679D0"/>
    <w:rsid w:val="01EF572E"/>
    <w:rsid w:val="028F0228"/>
    <w:rsid w:val="035D4211"/>
    <w:rsid w:val="037D5EE3"/>
    <w:rsid w:val="043B603D"/>
    <w:rsid w:val="045B55A9"/>
    <w:rsid w:val="0466617C"/>
    <w:rsid w:val="04CF6E29"/>
    <w:rsid w:val="04DB7DC5"/>
    <w:rsid w:val="05111DAD"/>
    <w:rsid w:val="059366CF"/>
    <w:rsid w:val="05D00163"/>
    <w:rsid w:val="06F15928"/>
    <w:rsid w:val="07141032"/>
    <w:rsid w:val="077C34B8"/>
    <w:rsid w:val="07A209C4"/>
    <w:rsid w:val="080D26DA"/>
    <w:rsid w:val="08284245"/>
    <w:rsid w:val="086F1260"/>
    <w:rsid w:val="0880226D"/>
    <w:rsid w:val="089F2BDE"/>
    <w:rsid w:val="08A736AA"/>
    <w:rsid w:val="08BB2505"/>
    <w:rsid w:val="09087CB8"/>
    <w:rsid w:val="099A07E1"/>
    <w:rsid w:val="0A2C39C3"/>
    <w:rsid w:val="0A9B4FED"/>
    <w:rsid w:val="0AA139A3"/>
    <w:rsid w:val="0AE45F21"/>
    <w:rsid w:val="0B0C0A79"/>
    <w:rsid w:val="0B451F6A"/>
    <w:rsid w:val="0BA14D3A"/>
    <w:rsid w:val="0C03179B"/>
    <w:rsid w:val="0C6F4C8D"/>
    <w:rsid w:val="0CC10939"/>
    <w:rsid w:val="0D0E0EB6"/>
    <w:rsid w:val="0DE142CB"/>
    <w:rsid w:val="0DE831C0"/>
    <w:rsid w:val="0FDC1CDC"/>
    <w:rsid w:val="10223C48"/>
    <w:rsid w:val="102E15E5"/>
    <w:rsid w:val="10B375A7"/>
    <w:rsid w:val="12475EA9"/>
    <w:rsid w:val="125B758A"/>
    <w:rsid w:val="126117A8"/>
    <w:rsid w:val="133360BD"/>
    <w:rsid w:val="137F7471"/>
    <w:rsid w:val="13950AE9"/>
    <w:rsid w:val="146E4633"/>
    <w:rsid w:val="150412EA"/>
    <w:rsid w:val="157124BE"/>
    <w:rsid w:val="16F10B41"/>
    <w:rsid w:val="171438BA"/>
    <w:rsid w:val="17230955"/>
    <w:rsid w:val="17E01706"/>
    <w:rsid w:val="180F5427"/>
    <w:rsid w:val="182770BA"/>
    <w:rsid w:val="18863017"/>
    <w:rsid w:val="18AC6D73"/>
    <w:rsid w:val="1B4716B4"/>
    <w:rsid w:val="1BEE7E74"/>
    <w:rsid w:val="1BF363BA"/>
    <w:rsid w:val="1C08419D"/>
    <w:rsid w:val="1C3861FC"/>
    <w:rsid w:val="1C826BC3"/>
    <w:rsid w:val="1D054FE4"/>
    <w:rsid w:val="1D4D5FFD"/>
    <w:rsid w:val="1D4E5780"/>
    <w:rsid w:val="1DC45C85"/>
    <w:rsid w:val="1E4051F4"/>
    <w:rsid w:val="1EB43554"/>
    <w:rsid w:val="1F7A0970"/>
    <w:rsid w:val="1FD95828"/>
    <w:rsid w:val="202C09AE"/>
    <w:rsid w:val="209E2C67"/>
    <w:rsid w:val="21581D11"/>
    <w:rsid w:val="216F32CA"/>
    <w:rsid w:val="22124112"/>
    <w:rsid w:val="225C19C8"/>
    <w:rsid w:val="23F57352"/>
    <w:rsid w:val="249A7996"/>
    <w:rsid w:val="261C543B"/>
    <w:rsid w:val="267E2359"/>
    <w:rsid w:val="26BC7CBC"/>
    <w:rsid w:val="27280C17"/>
    <w:rsid w:val="274350D6"/>
    <w:rsid w:val="27447ED5"/>
    <w:rsid w:val="27461E71"/>
    <w:rsid w:val="275F3A77"/>
    <w:rsid w:val="27870496"/>
    <w:rsid w:val="27B81A2E"/>
    <w:rsid w:val="283C06AA"/>
    <w:rsid w:val="284F0253"/>
    <w:rsid w:val="28644870"/>
    <w:rsid w:val="28E14F1E"/>
    <w:rsid w:val="299B73FF"/>
    <w:rsid w:val="2A5E6D82"/>
    <w:rsid w:val="2AC5216B"/>
    <w:rsid w:val="2AE949DF"/>
    <w:rsid w:val="2AF92FF6"/>
    <w:rsid w:val="2B2C3F7A"/>
    <w:rsid w:val="2B3B474B"/>
    <w:rsid w:val="2B8D044E"/>
    <w:rsid w:val="2B8E43CA"/>
    <w:rsid w:val="2BA907F5"/>
    <w:rsid w:val="2C016BB8"/>
    <w:rsid w:val="2D77461B"/>
    <w:rsid w:val="2E015014"/>
    <w:rsid w:val="2E082871"/>
    <w:rsid w:val="2E400C5F"/>
    <w:rsid w:val="2E5209E3"/>
    <w:rsid w:val="2EB01AFE"/>
    <w:rsid w:val="2F02606D"/>
    <w:rsid w:val="30270A26"/>
    <w:rsid w:val="30592C7B"/>
    <w:rsid w:val="30D1119A"/>
    <w:rsid w:val="30F12F4C"/>
    <w:rsid w:val="3112402E"/>
    <w:rsid w:val="313D3E38"/>
    <w:rsid w:val="31A83080"/>
    <w:rsid w:val="32611BF0"/>
    <w:rsid w:val="330130BE"/>
    <w:rsid w:val="33A83294"/>
    <w:rsid w:val="34011E26"/>
    <w:rsid w:val="341B4D23"/>
    <w:rsid w:val="345C5D91"/>
    <w:rsid w:val="35613714"/>
    <w:rsid w:val="358C4411"/>
    <w:rsid w:val="369C54A6"/>
    <w:rsid w:val="36A81FB2"/>
    <w:rsid w:val="3722158D"/>
    <w:rsid w:val="375E09FC"/>
    <w:rsid w:val="37FC5355"/>
    <w:rsid w:val="38525FA9"/>
    <w:rsid w:val="39003F1D"/>
    <w:rsid w:val="39276876"/>
    <w:rsid w:val="392B2930"/>
    <w:rsid w:val="39631058"/>
    <w:rsid w:val="3AB56764"/>
    <w:rsid w:val="3AC853CC"/>
    <w:rsid w:val="3B66136D"/>
    <w:rsid w:val="3BC86DA9"/>
    <w:rsid w:val="3C0F50AF"/>
    <w:rsid w:val="3C573A8F"/>
    <w:rsid w:val="3C582CD8"/>
    <w:rsid w:val="3CED228F"/>
    <w:rsid w:val="3E094E14"/>
    <w:rsid w:val="3E2546CD"/>
    <w:rsid w:val="3E5874B7"/>
    <w:rsid w:val="3ECE5031"/>
    <w:rsid w:val="3FF974DA"/>
    <w:rsid w:val="40531C58"/>
    <w:rsid w:val="41192D98"/>
    <w:rsid w:val="413E5CD9"/>
    <w:rsid w:val="419C2FB9"/>
    <w:rsid w:val="41FB02D5"/>
    <w:rsid w:val="43395CEF"/>
    <w:rsid w:val="43425F9D"/>
    <w:rsid w:val="43F465D0"/>
    <w:rsid w:val="442A053D"/>
    <w:rsid w:val="44440739"/>
    <w:rsid w:val="446F65B8"/>
    <w:rsid w:val="44AA717A"/>
    <w:rsid w:val="44F057A6"/>
    <w:rsid w:val="45570F85"/>
    <w:rsid w:val="45A95346"/>
    <w:rsid w:val="46416F41"/>
    <w:rsid w:val="467D6748"/>
    <w:rsid w:val="46C4203A"/>
    <w:rsid w:val="470E29AE"/>
    <w:rsid w:val="49CB0CCD"/>
    <w:rsid w:val="4A9A1CA8"/>
    <w:rsid w:val="4AA610D6"/>
    <w:rsid w:val="4AD618B2"/>
    <w:rsid w:val="4B0C055A"/>
    <w:rsid w:val="4C1B7A56"/>
    <w:rsid w:val="4C610D2E"/>
    <w:rsid w:val="4C8B4A7C"/>
    <w:rsid w:val="4CCD4E46"/>
    <w:rsid w:val="4CFC368B"/>
    <w:rsid w:val="4E7D412D"/>
    <w:rsid w:val="4EBE4481"/>
    <w:rsid w:val="4F086AAF"/>
    <w:rsid w:val="5069668A"/>
    <w:rsid w:val="50A83CB2"/>
    <w:rsid w:val="512B42F2"/>
    <w:rsid w:val="5247520B"/>
    <w:rsid w:val="538E5DEC"/>
    <w:rsid w:val="54A578D4"/>
    <w:rsid w:val="54E96994"/>
    <w:rsid w:val="56510C78"/>
    <w:rsid w:val="568C27D7"/>
    <w:rsid w:val="56D076DF"/>
    <w:rsid w:val="56E34736"/>
    <w:rsid w:val="56FB15A3"/>
    <w:rsid w:val="572C3C94"/>
    <w:rsid w:val="57806BBC"/>
    <w:rsid w:val="58963DA7"/>
    <w:rsid w:val="58D97E3F"/>
    <w:rsid w:val="592C3305"/>
    <w:rsid w:val="594B52C1"/>
    <w:rsid w:val="595D6BCF"/>
    <w:rsid w:val="5A2C7551"/>
    <w:rsid w:val="5A400720"/>
    <w:rsid w:val="5B33669F"/>
    <w:rsid w:val="5C072B21"/>
    <w:rsid w:val="5CF4139A"/>
    <w:rsid w:val="5D43174E"/>
    <w:rsid w:val="5D693C9C"/>
    <w:rsid w:val="5D9D7735"/>
    <w:rsid w:val="5DE973D6"/>
    <w:rsid w:val="5E134EEA"/>
    <w:rsid w:val="5E6D09C7"/>
    <w:rsid w:val="5E8D2D21"/>
    <w:rsid w:val="5EBD1212"/>
    <w:rsid w:val="5F1D6CF6"/>
    <w:rsid w:val="5FAD0DCB"/>
    <w:rsid w:val="60C82A21"/>
    <w:rsid w:val="61234C4F"/>
    <w:rsid w:val="6178780E"/>
    <w:rsid w:val="623F329A"/>
    <w:rsid w:val="62695E27"/>
    <w:rsid w:val="628242DE"/>
    <w:rsid w:val="62BE7007"/>
    <w:rsid w:val="636127C3"/>
    <w:rsid w:val="6381342F"/>
    <w:rsid w:val="64AB7EF0"/>
    <w:rsid w:val="650B601A"/>
    <w:rsid w:val="6541100E"/>
    <w:rsid w:val="654C0BA8"/>
    <w:rsid w:val="664352EB"/>
    <w:rsid w:val="66BB6422"/>
    <w:rsid w:val="672079BD"/>
    <w:rsid w:val="683E7EE4"/>
    <w:rsid w:val="696610E4"/>
    <w:rsid w:val="6982596B"/>
    <w:rsid w:val="6A83721D"/>
    <w:rsid w:val="6ABB2B1B"/>
    <w:rsid w:val="6AE21101"/>
    <w:rsid w:val="6B46058E"/>
    <w:rsid w:val="6B4F3B9E"/>
    <w:rsid w:val="6B59484F"/>
    <w:rsid w:val="6BD63153"/>
    <w:rsid w:val="6BFE0B4D"/>
    <w:rsid w:val="6C5B55DC"/>
    <w:rsid w:val="6CAE03DD"/>
    <w:rsid w:val="6CE56E6B"/>
    <w:rsid w:val="6D032DAA"/>
    <w:rsid w:val="6E005A26"/>
    <w:rsid w:val="6E6329C5"/>
    <w:rsid w:val="6EFF345A"/>
    <w:rsid w:val="6F0E41D6"/>
    <w:rsid w:val="6F165AEC"/>
    <w:rsid w:val="6F4D336D"/>
    <w:rsid w:val="6F4F7C8F"/>
    <w:rsid w:val="6FB4540B"/>
    <w:rsid w:val="70204137"/>
    <w:rsid w:val="70C73255"/>
    <w:rsid w:val="71063E42"/>
    <w:rsid w:val="71126C39"/>
    <w:rsid w:val="713954C7"/>
    <w:rsid w:val="715F328E"/>
    <w:rsid w:val="71610FBE"/>
    <w:rsid w:val="725008FF"/>
    <w:rsid w:val="72502075"/>
    <w:rsid w:val="72760778"/>
    <w:rsid w:val="743104E3"/>
    <w:rsid w:val="74320C3C"/>
    <w:rsid w:val="74513162"/>
    <w:rsid w:val="75431AF8"/>
    <w:rsid w:val="757B75BC"/>
    <w:rsid w:val="76505047"/>
    <w:rsid w:val="76A665D3"/>
    <w:rsid w:val="78BD1F9D"/>
    <w:rsid w:val="79201CE1"/>
    <w:rsid w:val="79B14724"/>
    <w:rsid w:val="7A7E6BD1"/>
    <w:rsid w:val="7A980D74"/>
    <w:rsid w:val="7B3E0A41"/>
    <w:rsid w:val="7C323980"/>
    <w:rsid w:val="7D547913"/>
    <w:rsid w:val="7E615745"/>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2"/>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3"/>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 w:type="table" w:customStyle="1" w:styleId="5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5569</Words>
  <Characters>5720</Characters>
  <Lines>4</Lines>
  <Paragraphs>7</Paragraphs>
  <TotalTime>0</TotalTime>
  <ScaleCrop>false</ScaleCrop>
  <LinksUpToDate>false</LinksUpToDate>
  <CharactersWithSpaces>5724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79466</dc:creator>
  <cp:lastModifiedBy>Wolverine</cp:lastModifiedBy>
  <cp:lastPrinted>2025-07-02T09:17:00Z</cp:lastPrinted>
  <dcterms:modified xsi:type="dcterms:W3CDTF">2026-04-09T08:04:32Z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8B96760FFFEC439B8FD6CC92197E7435_13</vt:lpwstr>
  </property>
  <property fmtid="{D5CDD505-2E9C-101B-9397-08002B2CF9AE}" pid="4" name="KSOTemplateDocerSaveRecord">
    <vt:lpwstr>eyJoZGlkIjoiYWVlN2Q1ZDg2NmRmMzk1M2QwMGY3ZWM2MTZhYzk2YTIiLCJ1c2VySWQiOiIyMzk4MjY1NTIifQ==</vt:lpwstr>
  </property>
</Properties>
</file>