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9288F8">
      <w:pPr>
        <w:adjustRightInd w:val="0"/>
        <w:snapToGrid w:val="0"/>
        <w:spacing w:before="120" w:after="120" w:line="276" w:lineRule="auto"/>
        <w:jc w:val="center"/>
        <w:rPr>
          <w:rFonts w:eastAsia="华文中宋"/>
          <w:color w:val="000000"/>
          <w:sz w:val="44"/>
          <w:szCs w:val="44"/>
        </w:rPr>
      </w:pPr>
      <w:r>
        <w:rPr>
          <w:rFonts w:hint="eastAsia" w:eastAsia="华文中宋"/>
          <w:color w:val="000000"/>
          <w:sz w:val="44"/>
          <w:szCs w:val="44"/>
        </w:rPr>
        <w:t>询价文件</w:t>
      </w:r>
    </w:p>
    <w:p w14:paraId="4B114FD1">
      <w:pPr>
        <w:spacing w:line="600" w:lineRule="exact"/>
        <w:ind w:firstLine="640" w:firstLineChars="200"/>
        <w:jc w:val="left"/>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东莞市能源投资集团有限公司需采购一家智慧运营中心</w:t>
      </w:r>
      <w:r>
        <w:rPr>
          <w:rFonts w:hint="eastAsia" w:ascii="仿宋" w:hAnsi="仿宋" w:eastAsia="仿宋" w:cs="仿宋"/>
          <w:color w:val="auto"/>
          <w:sz w:val="32"/>
          <w:szCs w:val="32"/>
          <w:u w:val="none"/>
          <w:lang w:val="en-US" w:eastAsia="zh-CN"/>
        </w:rPr>
        <w:t>的大屏及扩声系统的供应</w:t>
      </w:r>
      <w:r>
        <w:rPr>
          <w:rFonts w:hint="eastAsia" w:ascii="仿宋" w:hAnsi="仿宋" w:eastAsia="仿宋" w:cs="仿宋"/>
          <w:color w:val="auto"/>
          <w:sz w:val="32"/>
          <w:szCs w:val="32"/>
          <w:u w:val="none"/>
        </w:rPr>
        <w:t>单位，现将相关情况介绍如下：</w:t>
      </w:r>
    </w:p>
    <w:p w14:paraId="27F8BCF3">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一、项目名称及内容</w:t>
      </w:r>
    </w:p>
    <w:p w14:paraId="5C2752CC">
      <w:pPr>
        <w:adjustRightInd w:val="0"/>
        <w:snapToGrid w:val="0"/>
        <w:spacing w:line="600" w:lineRule="exact"/>
        <w:ind w:firstLine="640" w:firstLineChars="200"/>
        <w:rPr>
          <w:rFonts w:hint="eastAsia" w:ascii="仿宋" w:hAnsi="仿宋" w:eastAsia="仿宋" w:cs="仿宋"/>
          <w:color w:val="000000"/>
          <w:sz w:val="32"/>
          <w:szCs w:val="32"/>
          <w:u w:val="none"/>
        </w:rPr>
      </w:pPr>
      <w:r>
        <w:rPr>
          <w:rFonts w:hint="eastAsia" w:ascii="仿宋" w:hAnsi="仿宋" w:eastAsia="仿宋" w:cs="仿宋"/>
          <w:color w:val="000000"/>
          <w:sz w:val="32"/>
          <w:szCs w:val="32"/>
          <w:u w:val="none"/>
        </w:rPr>
        <w:t>1、项目名称：东莞市能源投资集团有限公司智慧运营中心</w:t>
      </w:r>
      <w:r>
        <w:rPr>
          <w:rFonts w:hint="eastAsia" w:ascii="仿宋" w:hAnsi="仿宋" w:eastAsia="仿宋" w:cs="仿宋"/>
          <w:color w:val="000000"/>
          <w:sz w:val="32"/>
          <w:szCs w:val="32"/>
          <w:u w:val="none"/>
          <w:lang w:val="en-US" w:eastAsia="zh-CN"/>
        </w:rPr>
        <w:t>大屏及扩声系统采购</w:t>
      </w:r>
      <w:r>
        <w:rPr>
          <w:rFonts w:hint="eastAsia" w:ascii="仿宋" w:hAnsi="仿宋" w:eastAsia="仿宋" w:cs="仿宋"/>
          <w:color w:val="000000"/>
          <w:sz w:val="32"/>
          <w:szCs w:val="32"/>
          <w:u w:val="none"/>
        </w:rPr>
        <w:t>项目；</w:t>
      </w:r>
    </w:p>
    <w:p w14:paraId="03910376">
      <w:pPr>
        <w:adjustRightInd w:val="0"/>
        <w:snapToGrid w:val="0"/>
        <w:spacing w:line="600" w:lineRule="exact"/>
        <w:ind w:firstLine="640" w:firstLineChars="200"/>
        <w:rPr>
          <w:rFonts w:hint="eastAsia" w:ascii="仿宋" w:hAnsi="仿宋" w:eastAsia="仿宋" w:cs="仿宋"/>
          <w:color w:val="000000"/>
          <w:sz w:val="32"/>
          <w:szCs w:val="32"/>
          <w:u w:val="none"/>
        </w:rPr>
      </w:pPr>
      <w:r>
        <w:rPr>
          <w:rFonts w:hint="eastAsia" w:ascii="仿宋" w:hAnsi="仿宋" w:eastAsia="仿宋" w:cs="仿宋"/>
          <w:color w:val="000000"/>
          <w:sz w:val="32"/>
          <w:szCs w:val="32"/>
          <w:u w:val="none"/>
        </w:rPr>
        <w:t>2、采购范围：</w:t>
      </w:r>
      <w:r>
        <w:rPr>
          <w:rFonts w:hint="eastAsia" w:ascii="仿宋" w:hAnsi="仿宋" w:eastAsia="仿宋" w:cs="仿宋"/>
          <w:color w:val="000000"/>
          <w:sz w:val="32"/>
          <w:szCs w:val="32"/>
          <w:u w:val="none"/>
          <w:lang w:val="en-US" w:eastAsia="zh-CN"/>
        </w:rPr>
        <w:t>LED</w:t>
      </w:r>
      <w:r>
        <w:rPr>
          <w:rFonts w:hint="eastAsia" w:ascii="仿宋" w:hAnsi="仿宋" w:eastAsia="仿宋" w:cs="仿宋"/>
          <w:color w:val="000000"/>
          <w:sz w:val="32"/>
          <w:szCs w:val="32"/>
          <w:u w:val="none"/>
        </w:rPr>
        <w:t>大屏及扩声系统；</w:t>
      </w:r>
    </w:p>
    <w:p w14:paraId="1F180263">
      <w:pPr>
        <w:adjustRightInd w:val="0"/>
        <w:snapToGrid w:val="0"/>
        <w:spacing w:line="600" w:lineRule="exact"/>
        <w:ind w:firstLine="640" w:firstLineChars="200"/>
        <w:rPr>
          <w:rFonts w:hint="eastAsia" w:ascii="仿宋" w:hAnsi="仿宋" w:eastAsia="仿宋" w:cs="仿宋"/>
          <w:color w:val="000000"/>
          <w:sz w:val="32"/>
          <w:szCs w:val="32"/>
          <w:u w:val="none"/>
        </w:rPr>
      </w:pPr>
      <w:r>
        <w:rPr>
          <w:rFonts w:hint="eastAsia" w:ascii="仿宋" w:hAnsi="仿宋" w:eastAsia="仿宋" w:cs="仿宋"/>
          <w:color w:val="000000"/>
          <w:sz w:val="32"/>
          <w:szCs w:val="32"/>
          <w:u w:val="none"/>
        </w:rPr>
        <w:t>3、项目地点：东莞市能源投资集团有限公司一楼；</w:t>
      </w:r>
    </w:p>
    <w:p w14:paraId="69D5E5B0">
      <w:pPr>
        <w:adjustRightInd w:val="0"/>
        <w:snapToGrid w:val="0"/>
        <w:spacing w:line="600" w:lineRule="exact"/>
        <w:ind w:firstLine="640" w:firstLineChars="200"/>
        <w:rPr>
          <w:rFonts w:hint="eastAsia" w:ascii="仿宋" w:hAnsi="仿宋" w:eastAsia="仿宋" w:cs="仿宋"/>
          <w:color w:val="000000"/>
          <w:sz w:val="32"/>
          <w:szCs w:val="32"/>
          <w:u w:val="none"/>
        </w:rPr>
      </w:pPr>
      <w:r>
        <w:rPr>
          <w:rFonts w:hint="eastAsia" w:ascii="仿宋" w:hAnsi="仿宋" w:eastAsia="仿宋" w:cs="仿宋"/>
          <w:color w:val="000000"/>
          <w:sz w:val="32"/>
          <w:szCs w:val="32"/>
          <w:u w:val="none"/>
        </w:rPr>
        <w:t>4、服务时间（供货时间/工期）：自收到甲方通知后</w:t>
      </w:r>
      <w:r>
        <w:rPr>
          <w:rFonts w:hint="eastAsia" w:ascii="仿宋" w:hAnsi="仿宋" w:eastAsia="仿宋" w:cs="仿宋"/>
          <w:color w:val="000000"/>
          <w:sz w:val="32"/>
          <w:szCs w:val="32"/>
          <w:u w:val="none"/>
          <w:lang w:val="en-US" w:eastAsia="zh-CN"/>
        </w:rPr>
        <w:t>15天完成供货，安装工期不超过6天</w:t>
      </w:r>
      <w:r>
        <w:rPr>
          <w:rFonts w:hint="eastAsia" w:ascii="仿宋" w:hAnsi="仿宋" w:eastAsia="仿宋" w:cs="仿宋"/>
          <w:color w:val="000000"/>
          <w:sz w:val="32"/>
          <w:szCs w:val="32"/>
          <w:u w:val="none"/>
        </w:rPr>
        <w:t>；</w:t>
      </w:r>
    </w:p>
    <w:p w14:paraId="01336333">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二、项目发布</w:t>
      </w:r>
    </w:p>
    <w:p w14:paraId="332F51E4">
      <w:pPr>
        <w:adjustRightInd w:val="0"/>
        <w:snapToGrid w:val="0"/>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本采购项目信息在东莞实业投资控股集团有限公司网站（http://www.dgsy.com.cn/）发布（参照《东实集团招标采购管理办法》、《工程招标实施细则》、《采购实施细则》要求执行）。</w:t>
      </w:r>
    </w:p>
    <w:p w14:paraId="294A831D">
      <w:pPr>
        <w:adjustRightInd w:val="0"/>
        <w:snapToGrid w:val="0"/>
        <w:spacing w:line="600" w:lineRule="exact"/>
        <w:ind w:firstLine="640" w:firstLineChars="200"/>
        <w:outlineLvl w:val="1"/>
        <w:rPr>
          <w:rFonts w:eastAsia="黑体"/>
          <w:color w:val="000000"/>
          <w:sz w:val="32"/>
          <w:szCs w:val="32"/>
        </w:rPr>
      </w:pPr>
      <w:r>
        <w:rPr>
          <w:rFonts w:eastAsia="黑体"/>
          <w:color w:val="000000"/>
          <w:sz w:val="32"/>
          <w:szCs w:val="32"/>
        </w:rPr>
        <w:sym w:font="Wingdings" w:char="F0AB"/>
      </w:r>
      <w:r>
        <w:rPr>
          <w:rFonts w:hint="eastAsia" w:eastAsia="黑体"/>
          <w:color w:val="000000"/>
          <w:sz w:val="32"/>
          <w:szCs w:val="32"/>
        </w:rPr>
        <w:t>三、响应人资格要求</w:t>
      </w:r>
    </w:p>
    <w:p w14:paraId="3CB162C3">
      <w:pPr>
        <w:adjustRightInd w:val="0"/>
        <w:snapToGrid w:val="0"/>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27060B04">
      <w:pPr>
        <w:adjustRightInd w:val="0"/>
        <w:snapToGrid w:val="0"/>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2、资质要求：响应人所供应 LED 显示屏的制造商或其母公司须具备电子与智能化工程专业承包二级及以上资质，LED显示屏制造商或其母公司具备钢结构工程专业承包二级及以上资质，LED显示屏制造商或其母公司具备建筑机电安装工程专业承包二级及以上资质。【提供资质证书复印件（加盖公章）】</w:t>
      </w:r>
    </w:p>
    <w:p w14:paraId="36A4D0D3">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3、业绩要求：</w:t>
      </w:r>
      <w:r>
        <w:rPr>
          <w:rFonts w:hint="eastAsia" w:ascii="仿宋" w:hAnsi="仿宋" w:eastAsia="仿宋" w:cs="仿宋"/>
          <w:sz w:val="32"/>
          <w:szCs w:val="32"/>
          <w:u w:val="none"/>
        </w:rPr>
        <w:t xml:space="preserve">具备音视频系统集成项目经验，要求  </w:t>
      </w:r>
      <w:r>
        <w:rPr>
          <w:rFonts w:hint="eastAsia" w:ascii="仿宋" w:hAnsi="仿宋" w:eastAsia="仿宋" w:cs="仿宋"/>
          <w:sz w:val="32"/>
          <w:szCs w:val="32"/>
          <w:u w:val="none"/>
          <w:lang w:val="en-US" w:eastAsia="zh-CN"/>
        </w:rPr>
        <w:t>2025</w:t>
      </w:r>
      <w:r>
        <w:rPr>
          <w:rFonts w:hint="eastAsia" w:ascii="仿宋" w:hAnsi="仿宋" w:eastAsia="仿宋" w:cs="仿宋"/>
          <w:sz w:val="32"/>
          <w:szCs w:val="32"/>
          <w:u w:val="none"/>
        </w:rPr>
        <w:t>年</w:t>
      </w:r>
      <w:r>
        <w:rPr>
          <w:rFonts w:hint="eastAsia" w:ascii="仿宋" w:hAnsi="仿宋" w:eastAsia="仿宋" w:cs="仿宋"/>
          <w:sz w:val="32"/>
          <w:szCs w:val="32"/>
          <w:u w:val="none"/>
          <w:lang w:val="en-US" w:eastAsia="zh-CN"/>
        </w:rPr>
        <w:t>1</w:t>
      </w:r>
      <w:r>
        <w:rPr>
          <w:rFonts w:hint="eastAsia" w:ascii="仿宋" w:hAnsi="仿宋" w:eastAsia="仿宋" w:cs="仿宋"/>
          <w:sz w:val="32"/>
          <w:szCs w:val="32"/>
          <w:u w:val="none"/>
        </w:rPr>
        <w:t>月</w:t>
      </w:r>
      <w:r>
        <w:rPr>
          <w:rFonts w:hint="eastAsia" w:ascii="仿宋" w:hAnsi="仿宋" w:eastAsia="仿宋" w:cs="仿宋"/>
          <w:sz w:val="32"/>
          <w:szCs w:val="32"/>
          <w:u w:val="none"/>
          <w:lang w:val="en-US" w:eastAsia="zh-CN"/>
        </w:rPr>
        <w:t>1</w:t>
      </w:r>
      <w:r>
        <w:rPr>
          <w:rFonts w:hint="eastAsia" w:ascii="仿宋" w:hAnsi="仿宋" w:eastAsia="仿宋" w:cs="仿宋"/>
          <w:sz w:val="32"/>
          <w:szCs w:val="32"/>
          <w:u w:val="none"/>
        </w:rPr>
        <w:t>日起至</w:t>
      </w:r>
      <w:r>
        <w:rPr>
          <w:rFonts w:hint="eastAsia" w:ascii="仿宋" w:hAnsi="仿宋" w:eastAsia="仿宋" w:cs="仿宋"/>
          <w:sz w:val="32"/>
          <w:szCs w:val="32"/>
          <w:u w:val="none"/>
          <w:lang w:val="en-US" w:eastAsia="zh-CN"/>
        </w:rPr>
        <w:t>2025</w:t>
      </w:r>
      <w:r>
        <w:rPr>
          <w:rFonts w:hint="eastAsia" w:ascii="仿宋" w:hAnsi="仿宋" w:eastAsia="仿宋" w:cs="仿宋"/>
          <w:sz w:val="32"/>
          <w:szCs w:val="32"/>
          <w:u w:val="none"/>
        </w:rPr>
        <w:t>年</w:t>
      </w:r>
      <w:r>
        <w:rPr>
          <w:rFonts w:hint="eastAsia" w:ascii="仿宋" w:hAnsi="仿宋" w:eastAsia="仿宋" w:cs="仿宋"/>
          <w:sz w:val="32"/>
          <w:szCs w:val="32"/>
          <w:u w:val="none"/>
          <w:lang w:val="en-US" w:eastAsia="zh-CN"/>
        </w:rPr>
        <w:t>12</w:t>
      </w:r>
      <w:r>
        <w:rPr>
          <w:rFonts w:hint="eastAsia" w:ascii="仿宋" w:hAnsi="仿宋" w:eastAsia="仿宋" w:cs="仿宋"/>
          <w:sz w:val="32"/>
          <w:szCs w:val="32"/>
          <w:u w:val="none"/>
        </w:rPr>
        <w:t>月</w:t>
      </w:r>
      <w:r>
        <w:rPr>
          <w:rFonts w:hint="eastAsia" w:ascii="仿宋" w:hAnsi="仿宋" w:eastAsia="仿宋" w:cs="仿宋"/>
          <w:sz w:val="32"/>
          <w:szCs w:val="32"/>
          <w:u w:val="none"/>
          <w:lang w:val="en-US" w:eastAsia="zh-CN"/>
        </w:rPr>
        <w:t>31</w:t>
      </w:r>
      <w:r>
        <w:rPr>
          <w:rFonts w:hint="eastAsia" w:ascii="仿宋" w:hAnsi="仿宋" w:eastAsia="仿宋" w:cs="仿宋"/>
          <w:sz w:val="32"/>
          <w:szCs w:val="32"/>
          <w:u w:val="none"/>
        </w:rPr>
        <w:t>日，完成至少1个音视频系统集成</w:t>
      </w:r>
      <w:r>
        <w:rPr>
          <w:rFonts w:hint="eastAsia" w:ascii="仿宋" w:hAnsi="仿宋" w:eastAsia="仿宋" w:cs="仿宋"/>
          <w:sz w:val="32"/>
          <w:szCs w:val="32"/>
        </w:rPr>
        <w:t>业绩。【按合同签订时间为准，须提供合同关键页复印件（包含但不限于合同首页、合同金额页、合同签字页等）。】</w:t>
      </w:r>
    </w:p>
    <w:p w14:paraId="3A9A2D60">
      <w:pPr>
        <w:adjustRightInd w:val="0"/>
        <w:snapToGrid w:val="0"/>
        <w:spacing w:line="600" w:lineRule="exact"/>
        <w:ind w:firstLine="640" w:firstLineChars="200"/>
        <w:rPr>
          <w:rFonts w:hint="eastAsia" w:ascii="仿宋" w:hAnsi="仿宋" w:eastAsia="仿宋" w:cs="仿宋"/>
          <w:sz w:val="32"/>
          <w:szCs w:val="32"/>
          <w:u w:val="none"/>
        </w:rPr>
      </w:pPr>
      <w:r>
        <w:rPr>
          <w:rFonts w:hint="eastAsia" w:ascii="仿宋" w:hAnsi="仿宋" w:eastAsia="仿宋" w:cs="仿宋"/>
          <w:sz w:val="32"/>
          <w:szCs w:val="32"/>
          <w:u w:val="none"/>
        </w:rPr>
        <w:t>4、人员要求：响应人拟派负责本项目</w:t>
      </w:r>
      <w:r>
        <w:rPr>
          <w:rFonts w:hint="eastAsia" w:ascii="仿宋" w:hAnsi="仿宋" w:eastAsia="仿宋" w:cs="仿宋"/>
          <w:sz w:val="32"/>
          <w:szCs w:val="32"/>
          <w:u w:val="none"/>
          <w:lang w:val="en-US" w:eastAsia="zh-CN"/>
        </w:rPr>
        <w:t>安装的</w:t>
      </w:r>
      <w:r>
        <w:rPr>
          <w:rFonts w:hint="eastAsia" w:ascii="仿宋" w:hAnsi="仿宋" w:eastAsia="仿宋" w:cs="仿宋"/>
          <w:sz w:val="32"/>
          <w:szCs w:val="32"/>
          <w:u w:val="none"/>
        </w:rPr>
        <w:t>专职人员</w:t>
      </w:r>
      <w:r>
        <w:rPr>
          <w:rFonts w:hint="eastAsia" w:ascii="仿宋" w:hAnsi="仿宋" w:eastAsia="仿宋" w:cs="仿宋"/>
          <w:sz w:val="32"/>
          <w:szCs w:val="32"/>
          <w:u w:val="none"/>
          <w:lang w:val="en-US" w:eastAsia="zh-CN"/>
        </w:rPr>
        <w:t>应具备电工证</w:t>
      </w:r>
      <w:r>
        <w:rPr>
          <w:rFonts w:hint="eastAsia" w:ascii="仿宋" w:hAnsi="仿宋" w:eastAsia="仿宋" w:cs="仿宋"/>
          <w:sz w:val="32"/>
          <w:szCs w:val="32"/>
          <w:u w:val="none"/>
        </w:rPr>
        <w:t>。</w:t>
      </w:r>
      <w:r>
        <w:rPr>
          <w:rFonts w:hint="eastAsia" w:ascii="仿宋" w:hAnsi="仿宋" w:eastAsia="仿宋" w:cs="仿宋"/>
          <w:color w:val="000000"/>
          <w:sz w:val="32"/>
          <w:szCs w:val="32"/>
        </w:rPr>
        <w:t>【提供</w:t>
      </w:r>
      <w:r>
        <w:rPr>
          <w:rFonts w:hint="eastAsia" w:ascii="仿宋" w:hAnsi="仿宋" w:eastAsia="仿宋" w:cs="仿宋"/>
          <w:color w:val="000000"/>
          <w:sz w:val="32"/>
          <w:szCs w:val="32"/>
          <w:lang w:val="en-US" w:eastAsia="zh-CN"/>
        </w:rPr>
        <w:t>电工证</w:t>
      </w:r>
      <w:r>
        <w:rPr>
          <w:rFonts w:hint="eastAsia" w:ascii="仿宋" w:hAnsi="仿宋" w:eastAsia="仿宋" w:cs="仿宋"/>
          <w:color w:val="000000"/>
          <w:sz w:val="32"/>
          <w:szCs w:val="32"/>
        </w:rPr>
        <w:t>复印件（加盖公章）】</w:t>
      </w:r>
    </w:p>
    <w:p w14:paraId="65E225A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5、未被列入东实集团及下属企业</w:t>
      </w:r>
      <w:r>
        <w:rPr>
          <w:rFonts w:hint="eastAsia" w:ascii="仿宋" w:hAnsi="仿宋" w:eastAsia="仿宋" w:cs="仿宋"/>
          <w:color w:val="auto"/>
          <w:sz w:val="32"/>
          <w:szCs w:val="32"/>
          <w:lang w:val="en-US" w:eastAsia="zh-CN"/>
        </w:rPr>
        <w:t>相关</w:t>
      </w:r>
      <w:r>
        <w:rPr>
          <w:rFonts w:hint="eastAsia" w:ascii="仿宋" w:hAnsi="仿宋" w:eastAsia="仿宋" w:cs="仿宋"/>
          <w:color w:val="auto"/>
          <w:sz w:val="32"/>
          <w:szCs w:val="32"/>
        </w:rPr>
        <w:t>领域黑名单。【以东莞实业投资控股集团有限公司发文（东实通〔2021〕44号）、（东实通〔2021〕98号）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（东实通〔2022〕75号）（东实通〔2023〕37号）</w:t>
      </w:r>
      <w:r>
        <w:rPr>
          <w:rFonts w:hint="eastAsia" w:ascii="仿宋" w:hAnsi="仿宋" w:eastAsia="仿宋" w:cs="仿宋"/>
          <w:color w:val="auto"/>
          <w:sz w:val="32"/>
          <w:szCs w:val="32"/>
        </w:rPr>
        <w:t>为准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如有最新发文通知，按最新文件执行。</w:t>
      </w:r>
      <w:r>
        <w:rPr>
          <w:rFonts w:hint="eastAsia" w:ascii="仿宋" w:hAnsi="仿宋" w:eastAsia="仿宋" w:cs="仿宋"/>
          <w:color w:val="auto"/>
          <w:sz w:val="32"/>
          <w:szCs w:val="32"/>
        </w:rPr>
        <w:t>】</w:t>
      </w:r>
    </w:p>
    <w:p w14:paraId="086432C6">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四、采购内容及要求</w:t>
      </w:r>
    </w:p>
    <w:p w14:paraId="4E5B65D3">
      <w:pPr>
        <w:spacing w:line="600" w:lineRule="exact"/>
        <w:ind w:firstLine="640" w:firstLineChars="200"/>
        <w:rPr>
          <w:rFonts w:hint="default" w:ascii="仿宋" w:hAnsi="仿宋" w:eastAsia="仿宋" w:cs="仿宋"/>
          <w:color w:val="000000"/>
          <w:sz w:val="32"/>
          <w:szCs w:val="32"/>
          <w:u w:val="none"/>
          <w:lang w:val="en-US" w:eastAsia="zh-CN"/>
        </w:rPr>
      </w:pPr>
      <w:r>
        <w:rPr>
          <w:rFonts w:hint="eastAsia" w:ascii="仿宋" w:hAnsi="仿宋" w:eastAsia="仿宋" w:cs="仿宋"/>
          <w:color w:val="000000"/>
          <w:sz w:val="32"/>
          <w:szCs w:val="32"/>
          <w:u w:val="none"/>
          <w:lang w:val="en-US" w:eastAsia="zh-CN"/>
        </w:rPr>
        <w:t>本次采购内容为</w:t>
      </w:r>
      <w:r>
        <w:rPr>
          <w:rFonts w:hint="eastAsia" w:ascii="仿宋" w:hAnsi="仿宋" w:eastAsia="仿宋" w:cs="仿宋"/>
          <w:color w:val="000000"/>
          <w:sz w:val="32"/>
          <w:szCs w:val="32"/>
          <w:u w:val="none"/>
        </w:rPr>
        <w:t>东莞市能源投资集团有限公司智慧运营中心</w:t>
      </w:r>
      <w:r>
        <w:rPr>
          <w:rFonts w:hint="eastAsia" w:ascii="仿宋" w:hAnsi="仿宋" w:eastAsia="仿宋" w:cs="仿宋"/>
          <w:color w:val="000000"/>
          <w:sz w:val="32"/>
          <w:szCs w:val="32"/>
          <w:u w:val="none"/>
          <w:lang w:val="en-US" w:eastAsia="zh-CN"/>
        </w:rPr>
        <w:t>大屏及扩声系统采购，运营中心整体空间尺寸为20.25米(长)×10.7米(宽)×5.5米(高)。大屏系统包括LED显示屏、控制主机、配电系统、钢结构支架等，其中LED显示大屏的像素间距：≤1.25mm，像素密度≥640000点/㎡；整屏显示尺寸：宽≥13.2米，高≥3.038米;面积≥40.1㎡（根据项目实际进行调整）。扩声系统包括主音箱、辅助音箱、功放、调音台、音频处理器、无线话筒等。大屏显示系统应高清、流畅、无缝、稳定，扩音系统需确保运营中心内语音清晰、声场均匀、无死角。</w:t>
      </w:r>
    </w:p>
    <w:p w14:paraId="0547FA5B">
      <w:pPr>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u w:val="none"/>
          <w:lang w:val="en-US" w:eastAsia="zh-CN"/>
        </w:rPr>
        <w:t>其他</w:t>
      </w:r>
      <w:r>
        <w:rPr>
          <w:rFonts w:hint="eastAsia" w:ascii="仿宋" w:hAnsi="仿宋" w:eastAsia="仿宋" w:cs="仿宋"/>
          <w:color w:val="000000"/>
          <w:sz w:val="32"/>
          <w:szCs w:val="32"/>
          <w:u w:val="none"/>
        </w:rPr>
        <w:t>具体要求详见本询价文件《技术规范书》。响</w:t>
      </w:r>
      <w:r>
        <w:rPr>
          <w:rFonts w:hint="eastAsia" w:ascii="仿宋" w:hAnsi="仿宋" w:eastAsia="仿宋" w:cs="仿宋"/>
          <w:color w:val="000000"/>
          <w:sz w:val="32"/>
          <w:szCs w:val="32"/>
        </w:rPr>
        <w:t>应人须仔细阅读本技术规范书，因未详细了解本技术规范书造成报价项目遗漏，由响应人自行负责。</w:t>
      </w:r>
    </w:p>
    <w:p w14:paraId="158E8285">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五、完成时间</w:t>
      </w:r>
    </w:p>
    <w:p w14:paraId="2384FE83">
      <w:pPr>
        <w:adjustRightInd w:val="0"/>
        <w:snapToGrid w:val="0"/>
        <w:spacing w:line="600" w:lineRule="exact"/>
        <w:ind w:firstLine="640" w:firstLineChars="200"/>
        <w:outlineLvl w:val="1"/>
        <w:rPr>
          <w:rFonts w:hint="eastAsia" w:ascii="仿宋" w:hAnsi="仿宋" w:eastAsia="仿宋" w:cs="仿宋"/>
          <w:color w:val="000000"/>
          <w:sz w:val="32"/>
          <w:szCs w:val="32"/>
          <w:u w:val="none"/>
        </w:rPr>
      </w:pPr>
      <w:r>
        <w:rPr>
          <w:rFonts w:hint="eastAsia" w:ascii="仿宋" w:hAnsi="仿宋" w:eastAsia="仿宋" w:cs="仿宋"/>
          <w:color w:val="000000"/>
          <w:sz w:val="32"/>
          <w:szCs w:val="32"/>
          <w:u w:val="none"/>
        </w:rPr>
        <w:t>自收到甲方通知后15天内完成</w:t>
      </w:r>
      <w:r>
        <w:rPr>
          <w:rFonts w:hint="eastAsia" w:ascii="仿宋" w:hAnsi="仿宋" w:eastAsia="仿宋" w:cs="仿宋"/>
          <w:color w:val="000000"/>
          <w:sz w:val="32"/>
          <w:szCs w:val="32"/>
          <w:u w:val="none"/>
          <w:lang w:val="en-US" w:eastAsia="zh-CN"/>
        </w:rPr>
        <w:t>设备供货并运达现场，6天内完成设备安装调试</w:t>
      </w:r>
      <w:r>
        <w:rPr>
          <w:rFonts w:hint="eastAsia" w:ascii="仿宋" w:hAnsi="仿宋" w:eastAsia="仿宋" w:cs="仿宋"/>
          <w:color w:val="000000"/>
          <w:sz w:val="32"/>
          <w:szCs w:val="32"/>
          <w:u w:val="none"/>
        </w:rPr>
        <w:t>。</w:t>
      </w:r>
    </w:p>
    <w:p w14:paraId="4628E31C">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六、支付方式</w:t>
      </w:r>
    </w:p>
    <w:p w14:paraId="67C6421E">
      <w:pPr>
        <w:spacing w:line="600" w:lineRule="exact"/>
        <w:ind w:firstLine="640" w:firstLineChars="200"/>
        <w:rPr>
          <w:rFonts w:hint="eastAsia" w:ascii="仿宋" w:hAnsi="仿宋" w:eastAsia="仿宋" w:cs="仿宋"/>
        </w:rPr>
      </w:pPr>
      <w:bookmarkStart w:id="0" w:name="_Hlk38897977"/>
      <w:r>
        <w:rPr>
          <w:rFonts w:hint="eastAsia" w:ascii="仿宋" w:hAnsi="仿宋" w:eastAsia="仿宋" w:cs="仿宋"/>
          <w:color w:val="000000"/>
          <w:sz w:val="32"/>
          <w:szCs w:val="32"/>
          <w:u w:val="none"/>
        </w:rPr>
        <w:t>（一）合同签订并生效后，成交人应向采购人提供合法有效的增值税专用发票，采购人凭发票在10个工作日内向成交人支付合同总金额</w:t>
      </w:r>
      <w:r>
        <w:rPr>
          <w:rFonts w:hint="eastAsia" w:ascii="仿宋" w:hAnsi="仿宋" w:eastAsia="仿宋" w:cs="仿宋"/>
          <w:color w:val="000000"/>
          <w:sz w:val="32"/>
          <w:szCs w:val="32"/>
          <w:u w:val="none"/>
          <w:lang w:val="en-US" w:eastAsia="zh-CN"/>
        </w:rPr>
        <w:t>3</w:t>
      </w:r>
      <w:r>
        <w:rPr>
          <w:rFonts w:hint="eastAsia" w:ascii="仿宋" w:hAnsi="仿宋" w:eastAsia="仿宋" w:cs="仿宋"/>
          <w:color w:val="000000"/>
          <w:sz w:val="32"/>
          <w:szCs w:val="32"/>
          <w:u w:val="none"/>
        </w:rPr>
        <w:t>0%。</w:t>
      </w:r>
    </w:p>
    <w:p w14:paraId="042167FF">
      <w:pPr>
        <w:pStyle w:val="24"/>
        <w:ind w:firstLine="640" w:firstLineChars="200"/>
        <w:rPr>
          <w:rFonts w:hint="eastAsia"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（二）</w:t>
      </w:r>
      <w:r>
        <w:rPr>
          <w:rFonts w:hint="eastAsia" w:ascii="仿宋" w:hAnsi="仿宋" w:eastAsia="仿宋" w:cs="仿宋"/>
          <w:color w:val="000000"/>
          <w:sz w:val="32"/>
          <w:szCs w:val="32"/>
          <w:u w:val="none"/>
          <w:lang w:val="en-US" w:eastAsia="zh-CN"/>
        </w:rPr>
        <w:t>LED显示大屏及扩音系统设备到达项目现场并经采购人签收后</w:t>
      </w:r>
      <w:r>
        <w:rPr>
          <w:rFonts w:hint="eastAsia" w:ascii="仿宋" w:hAnsi="仿宋" w:eastAsia="仿宋" w:cs="仿宋"/>
          <w:i w:val="0"/>
          <w:iCs w:val="0"/>
          <w:caps w:val="0"/>
          <w:color w:val="auto"/>
          <w:spacing w:val="0"/>
          <w:kern w:val="0"/>
          <w:sz w:val="32"/>
          <w:szCs w:val="32"/>
          <w:lang w:val="en-US" w:eastAsia="zh-CN" w:bidi="ar"/>
        </w:rPr>
        <w:t>，成交人应向采购人提交合法有效的增值税专用发票，采购人凭发票在10个工作日内支付合同总金额的40%。</w:t>
      </w:r>
    </w:p>
    <w:p w14:paraId="6909CBE0">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（三）智慧运营中心大屏及扩声系统采购项目完成设备安装调试及验收合格后，成交人应向采购人提交合法有效的增值税专用发票，采购人凭发票在10个工作日内支付合同总金额的27%。</w:t>
      </w:r>
    </w:p>
    <w:p w14:paraId="6DF2E0A8">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right="45" w:firstLine="640" w:firstLineChars="200"/>
        <w:jc w:val="both"/>
        <w:rPr>
          <w:rFonts w:hint="eastAsia"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（四）智慧运营中心大屏及扩声系统采购项目验收合格后3年内无质量问题，成交人应向采购人提交合法有效的增值税专用发票，采购人凭发票在10个工作日内支付合同总金额的3%。</w:t>
      </w:r>
    </w:p>
    <w:bookmarkEnd w:id="0"/>
    <w:p w14:paraId="39A8A281">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七、报价</w:t>
      </w:r>
    </w:p>
    <w:p w14:paraId="797C9E7E">
      <w:pPr>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采购限价：¥</w:t>
      </w:r>
      <w:r>
        <w:rPr>
          <w:rFonts w:hint="eastAsia" w:ascii="仿宋" w:hAnsi="仿宋" w:eastAsia="仿宋" w:cs="仿宋"/>
          <w:color w:val="000000"/>
          <w:sz w:val="32"/>
          <w:szCs w:val="32"/>
          <w:u w:val="single"/>
          <w:lang w:val="en-US" w:eastAsia="zh-CN"/>
        </w:rPr>
        <w:t xml:space="preserve"> 750,000.00 </w:t>
      </w:r>
      <w:r>
        <w:rPr>
          <w:rFonts w:hint="eastAsia" w:ascii="仿宋" w:hAnsi="仿宋" w:eastAsia="仿宋" w:cs="仿宋"/>
          <w:color w:val="000000"/>
          <w:sz w:val="32"/>
          <w:szCs w:val="32"/>
        </w:rPr>
        <w:t>元（含税）。</w:t>
      </w:r>
    </w:p>
    <w:p w14:paraId="07187FAC">
      <w:pPr>
        <w:spacing w:line="600" w:lineRule="exact"/>
        <w:ind w:firstLine="640" w:firstLineChars="200"/>
        <w:rPr>
          <w:rFonts w:hint="eastAsia" w:ascii="仿宋" w:hAnsi="仿宋" w:eastAsia="仿宋" w:cs="仿宋"/>
          <w:color w:val="000000"/>
          <w:sz w:val="32"/>
          <w:szCs w:val="32"/>
          <w:u w:val="none"/>
        </w:rPr>
      </w:pPr>
      <w:r>
        <w:rPr>
          <w:rFonts w:hint="eastAsia" w:ascii="仿宋" w:hAnsi="仿宋" w:eastAsia="仿宋" w:cs="仿宋"/>
          <w:color w:val="000000"/>
          <w:sz w:val="32"/>
          <w:szCs w:val="32"/>
          <w:u w:val="none"/>
        </w:rPr>
        <w:t>本项目发包方式为固定总价包干，实行固定价格报价，包括但不限于：完成本项目的成本、利润、税金等在项目过程中可能产生的一切费用。响应人已充分考虑了本项目服务内容及要求描述工作量可能与最终实际工作量存在差距的风险。</w:t>
      </w:r>
    </w:p>
    <w:p w14:paraId="52C2B19B">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八、定标</w:t>
      </w:r>
    </w:p>
    <w:p w14:paraId="44675DCE">
      <w:pPr>
        <w:spacing w:line="600" w:lineRule="exact"/>
        <w:ind w:firstLine="640" w:firstLineChars="200"/>
        <w:rPr>
          <w:rFonts w:hint="eastAsia" w:ascii="仿宋" w:hAnsi="仿宋" w:eastAsia="仿宋" w:cs="仿宋"/>
          <w:color w:val="000000"/>
          <w:sz w:val="32"/>
          <w:szCs w:val="32"/>
          <w:u w:val="none"/>
        </w:rPr>
      </w:pPr>
      <w:r>
        <w:rPr>
          <w:rFonts w:hint="eastAsia" w:ascii="仿宋" w:hAnsi="仿宋" w:eastAsia="仿宋" w:cs="仿宋"/>
          <w:color w:val="000000"/>
          <w:sz w:val="32"/>
          <w:szCs w:val="32"/>
          <w:u w:val="none"/>
        </w:rPr>
        <w:t>本次项目采用询价方式进行采购，采购人对各供应商响应文件进行审核，并根据质量和服务均能满足采购文件实质性响应要求且报价最低的原则，确定成交供应商。（报价相同的，由采购人对响应人资质、业绩进行评定，并出具询价报告，排在前面的响应人的最低报价为中标供应商。采购人一致认为响应人报价明显不合理或者低于成本，应当要求响应人在规定时间内提供书面文件予以解释说明，并提供相关证明材料。）</w:t>
      </w:r>
    </w:p>
    <w:p w14:paraId="6829F93F">
      <w:pPr>
        <w:spacing w:line="600" w:lineRule="exact"/>
        <w:ind w:firstLine="640" w:firstLineChars="200"/>
        <w:rPr>
          <w:rFonts w:hint="eastAsia" w:ascii="仿宋" w:hAnsi="仿宋" w:eastAsia="仿宋" w:cs="仿宋"/>
          <w:color w:val="000000"/>
          <w:sz w:val="32"/>
          <w:szCs w:val="32"/>
          <w:u w:val="none"/>
        </w:rPr>
      </w:pPr>
      <w:r>
        <w:rPr>
          <w:rFonts w:hint="eastAsia" w:ascii="仿宋" w:hAnsi="仿宋" w:eastAsia="仿宋" w:cs="仿宋"/>
          <w:color w:val="000000"/>
          <w:sz w:val="32"/>
          <w:szCs w:val="32"/>
          <w:u w:val="none"/>
        </w:rPr>
        <w:t>询价结束后，招标采购工作小组将相关询价情况按程序审批并确定成交人。</w:t>
      </w:r>
    </w:p>
    <w:p w14:paraId="6DE173CC">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九、采取的合同文本</w:t>
      </w:r>
    </w:p>
    <w:p w14:paraId="47006390">
      <w:pPr>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合同签订的依据为询价函、响应文件及补充说明等。确定成交单位后，成交单位在</w:t>
      </w:r>
      <w:r>
        <w:rPr>
          <w:rFonts w:hint="eastAsia" w:ascii="仿宋" w:hAnsi="仿宋" w:eastAsia="仿宋" w:cs="仿宋"/>
          <w:color w:val="000000"/>
          <w:sz w:val="32"/>
          <w:szCs w:val="32"/>
          <w:u w:val="single"/>
        </w:rPr>
        <w:t>10</w:t>
      </w:r>
      <w:r>
        <w:rPr>
          <w:rFonts w:hint="eastAsia" w:ascii="仿宋" w:hAnsi="仿宋" w:eastAsia="仿宋" w:cs="仿宋"/>
          <w:color w:val="000000"/>
          <w:sz w:val="32"/>
          <w:szCs w:val="32"/>
        </w:rPr>
        <w:t>天内与采购人签订合同。</w:t>
      </w:r>
    </w:p>
    <w:p w14:paraId="5C8A20B0">
      <w:pPr>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响应人收款前需向采购人提供请款材料和开具合法有效等额的增值税专用发票，否则采购人有权拒绝付款。</w:t>
      </w:r>
    </w:p>
    <w:p w14:paraId="4AEF5A45">
      <w:pPr>
        <w:adjustRightInd w:val="0"/>
        <w:snapToGrid w:val="0"/>
        <w:spacing w:line="600" w:lineRule="exact"/>
        <w:ind w:firstLine="640" w:firstLineChars="200"/>
        <w:outlineLvl w:val="1"/>
        <w:rPr>
          <w:rFonts w:eastAsia="黑体"/>
          <w:color w:val="000000"/>
          <w:sz w:val="32"/>
          <w:szCs w:val="32"/>
        </w:rPr>
      </w:pPr>
      <w:r>
        <w:rPr>
          <w:rFonts w:eastAsia="黑体"/>
          <w:color w:val="000000"/>
          <w:sz w:val="32"/>
          <w:szCs w:val="32"/>
        </w:rPr>
        <w:sym w:font="Wingdings" w:char="F0AB"/>
      </w:r>
      <w:r>
        <w:rPr>
          <w:rFonts w:hint="eastAsia" w:eastAsia="黑体"/>
          <w:color w:val="000000"/>
          <w:sz w:val="32"/>
          <w:szCs w:val="32"/>
        </w:rPr>
        <w:t>十、响应文件的组成部分（响应文件本项资料如有不全，则作无效报价处理）</w:t>
      </w:r>
    </w:p>
    <w:p w14:paraId="6EBE4221">
      <w:pPr>
        <w:numPr>
          <w:ilvl w:val="0"/>
          <w:numId w:val="3"/>
        </w:numPr>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u w:val="none"/>
          <w:lang w:val="en-US" w:eastAsia="zh-CN"/>
        </w:rPr>
        <w:t>报价函（模板）及报价清单；</w:t>
      </w:r>
    </w:p>
    <w:p w14:paraId="050A0EF7">
      <w:pPr>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2、</w:t>
      </w:r>
      <w:r>
        <w:rPr>
          <w:rFonts w:hint="eastAsia" w:ascii="仿宋" w:hAnsi="仿宋" w:eastAsia="仿宋" w:cs="仿宋"/>
          <w:color w:val="auto"/>
          <w:sz w:val="32"/>
          <w:szCs w:val="32"/>
          <w:lang w:val="en-US" w:eastAsia="zh-CN"/>
        </w:rPr>
        <w:t>法定代表人身份</w:t>
      </w:r>
      <w:r>
        <w:rPr>
          <w:rFonts w:hint="eastAsia" w:ascii="仿宋" w:hAnsi="仿宋" w:eastAsia="仿宋" w:cs="仿宋"/>
          <w:color w:val="auto"/>
          <w:sz w:val="32"/>
          <w:szCs w:val="32"/>
        </w:rPr>
        <w:t>证明（模板）以及</w:t>
      </w:r>
      <w:r>
        <w:rPr>
          <w:rFonts w:hint="eastAsia" w:ascii="仿宋" w:hAnsi="仿宋" w:eastAsia="仿宋" w:cs="仿宋"/>
          <w:color w:val="auto"/>
          <w:sz w:val="32"/>
          <w:szCs w:val="32"/>
          <w:lang w:val="en-US" w:eastAsia="zh-CN"/>
        </w:rPr>
        <w:t>法定代表人</w:t>
      </w:r>
      <w:r>
        <w:rPr>
          <w:rFonts w:hint="eastAsia" w:ascii="仿宋" w:hAnsi="仿宋" w:eastAsia="仿宋" w:cs="仿宋"/>
          <w:color w:val="auto"/>
          <w:sz w:val="32"/>
          <w:szCs w:val="32"/>
        </w:rPr>
        <w:t>身份证复印件；</w:t>
      </w:r>
    </w:p>
    <w:p w14:paraId="53E35F2A">
      <w:pPr>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3、法人授权书（模板）及被委托人身份证复印件；</w:t>
      </w:r>
    </w:p>
    <w:p w14:paraId="640B1965">
      <w:pPr>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4、承诺函（模板）；</w:t>
      </w:r>
    </w:p>
    <w:p w14:paraId="0C6BD176">
      <w:pPr>
        <w:spacing w:line="6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5、人员资格证书、资质证明；</w:t>
      </w:r>
    </w:p>
    <w:p w14:paraId="2A1E2FCD">
      <w:pPr>
        <w:spacing w:line="60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符合“响应人资格要求”对应的证明资料；</w:t>
      </w:r>
    </w:p>
    <w:p w14:paraId="7F58DEDC">
      <w:pPr>
        <w:spacing w:line="600" w:lineRule="exact"/>
        <w:ind w:firstLine="640" w:firstLineChars="200"/>
        <w:rPr>
          <w:rFonts w:hint="eastAsia" w:ascii="仿宋" w:hAnsi="仿宋" w:eastAsia="仿宋" w:cs="仿宋"/>
          <w:b/>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响应人认为需要提供的其他资料。</w:t>
      </w:r>
    </w:p>
    <w:p w14:paraId="643280BE">
      <w:pPr>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响应人须严格按照采购人提供的表单格式报价，响应文件必须装订完整，于骑缝处加盖投标单位企业公章。</w:t>
      </w:r>
      <w:r>
        <w:rPr>
          <w:rFonts w:hint="eastAsia" w:ascii="仿宋" w:hAnsi="仿宋" w:eastAsia="仿宋" w:cs="仿宋"/>
          <w:b/>
          <w:bCs/>
          <w:color w:val="000000"/>
          <w:sz w:val="32"/>
          <w:szCs w:val="32"/>
        </w:rPr>
        <w:t>装有响应文件的文件袋须贴有密封条，于骑缝处加盖企业公章</w:t>
      </w:r>
      <w:r>
        <w:rPr>
          <w:rFonts w:hint="eastAsia" w:ascii="仿宋" w:hAnsi="仿宋" w:eastAsia="仿宋" w:cs="仿宋"/>
          <w:color w:val="000000"/>
          <w:sz w:val="32"/>
          <w:szCs w:val="32"/>
        </w:rPr>
        <w:t>。</w:t>
      </w:r>
    </w:p>
    <w:p w14:paraId="11869ABF">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十一、响应文件份数</w:t>
      </w:r>
    </w:p>
    <w:p w14:paraId="6298676E">
      <w:pPr>
        <w:numPr>
          <w:ilvl w:val="0"/>
          <w:numId w:val="0"/>
        </w:numPr>
        <w:adjustRightInd w:val="0"/>
        <w:snapToGrid w:val="0"/>
        <w:spacing w:line="600" w:lineRule="exact"/>
        <w:ind w:firstLine="640" w:firstLineChars="200"/>
        <w:outlineLvl w:val="1"/>
        <w:rPr>
          <w:rFonts w:hint="eastAsia" w:ascii="仿宋" w:hAnsi="仿宋" w:eastAsia="仿宋" w:cs="仿宋"/>
          <w:color w:val="000000"/>
          <w:sz w:val="32"/>
          <w:szCs w:val="32"/>
        </w:rPr>
      </w:pPr>
      <w:r>
        <w:rPr>
          <w:rFonts w:hint="eastAsia" w:ascii="仿宋" w:hAnsi="仿宋" w:eastAsia="仿宋" w:cs="仿宋"/>
          <w:color w:val="000000"/>
          <w:sz w:val="32"/>
          <w:szCs w:val="32"/>
        </w:rPr>
        <w:t>1.正本一份。</w:t>
      </w:r>
    </w:p>
    <w:p w14:paraId="65BCC6F5">
      <w:pPr>
        <w:numPr>
          <w:ilvl w:val="0"/>
          <w:numId w:val="0"/>
        </w:numPr>
        <w:adjustRightInd w:val="0"/>
        <w:snapToGrid w:val="0"/>
        <w:spacing w:line="600" w:lineRule="exact"/>
        <w:ind w:firstLine="640" w:firstLineChars="200"/>
        <w:outlineLvl w:val="1"/>
        <w:rPr>
          <w:rFonts w:hint="eastAsia" w:ascii="仿宋" w:hAnsi="仿宋" w:eastAsia="仿宋" w:cs="仿宋"/>
          <w:color w:val="000000"/>
          <w:sz w:val="32"/>
          <w:szCs w:val="32"/>
        </w:rPr>
      </w:pPr>
      <w:r>
        <w:rPr>
          <w:rFonts w:hint="eastAsia" w:ascii="仿宋" w:hAnsi="仿宋" w:eastAsia="仿宋" w:cs="仿宋"/>
          <w:color w:val="000000"/>
          <w:sz w:val="32"/>
          <w:szCs w:val="32"/>
        </w:rPr>
        <w:t>2.报价人须严格按照采购人提供的表单格式及要求报价，报价文件必须装订或胶装成册，必须每页加盖公章。</w:t>
      </w:r>
    </w:p>
    <w:p w14:paraId="26E20A2C">
      <w:pPr>
        <w:numPr>
          <w:ilvl w:val="0"/>
          <w:numId w:val="0"/>
        </w:numPr>
        <w:adjustRightInd w:val="0"/>
        <w:snapToGrid w:val="0"/>
        <w:spacing w:line="600" w:lineRule="exact"/>
        <w:ind w:firstLine="640" w:firstLineChars="200"/>
        <w:outlineLvl w:val="1"/>
        <w:rPr>
          <w:rFonts w:hint="eastAsia" w:ascii="仿宋" w:hAnsi="仿宋" w:eastAsia="仿宋" w:cs="仿宋"/>
          <w:color w:val="000000"/>
          <w:sz w:val="32"/>
          <w:szCs w:val="32"/>
        </w:rPr>
      </w:pPr>
      <w:r>
        <w:rPr>
          <w:rFonts w:hint="eastAsia" w:ascii="仿宋" w:hAnsi="仿宋" w:eastAsia="仿宋" w:cs="仿宋"/>
          <w:color w:val="000000"/>
          <w:sz w:val="32"/>
          <w:szCs w:val="32"/>
        </w:rPr>
        <w:t>3.报价文件必须密封完好，装有报价文件的文件袋须贴有密封条，于骑缝处加盖报价人公章，因密封不当导致文件破损、缺失，视为无效报价。</w:t>
      </w:r>
    </w:p>
    <w:p w14:paraId="4FA1B452">
      <w:pPr>
        <w:numPr>
          <w:ilvl w:val="0"/>
          <w:numId w:val="0"/>
        </w:numPr>
        <w:adjustRightInd w:val="0"/>
        <w:snapToGrid w:val="0"/>
        <w:spacing w:line="600" w:lineRule="exact"/>
        <w:ind w:firstLine="640" w:firstLineChars="200"/>
        <w:outlineLvl w:val="1"/>
        <w:rPr>
          <w:rFonts w:hint="eastAsia" w:ascii="仿宋" w:hAnsi="仿宋" w:eastAsia="仿宋" w:cs="仿宋"/>
          <w:color w:val="000000"/>
          <w:sz w:val="32"/>
          <w:szCs w:val="32"/>
        </w:rPr>
      </w:pPr>
      <w:r>
        <w:rPr>
          <w:rFonts w:hint="eastAsia" w:ascii="仿宋" w:hAnsi="仿宋" w:eastAsia="仿宋" w:cs="仿宋"/>
          <w:color w:val="000000"/>
          <w:sz w:val="32"/>
          <w:szCs w:val="32"/>
        </w:rPr>
        <w:t>4.报价人所递交的报价文件必须为盖章原件，公章、私章或签字，不得为彩色/黑白的打印件/复印件。</w:t>
      </w:r>
    </w:p>
    <w:p w14:paraId="647FB13A">
      <w:pPr>
        <w:numPr>
          <w:ilvl w:val="0"/>
          <w:numId w:val="0"/>
        </w:numPr>
        <w:adjustRightInd w:val="0"/>
        <w:snapToGrid w:val="0"/>
        <w:spacing w:line="600" w:lineRule="exact"/>
        <w:ind w:firstLine="640" w:firstLineChars="200"/>
        <w:outlineLvl w:val="1"/>
        <w:rPr>
          <w:rFonts w:hint="eastAsia" w:ascii="仿宋" w:hAnsi="仿宋" w:eastAsia="仿宋" w:cs="仿宋"/>
          <w:color w:val="000000"/>
          <w:sz w:val="32"/>
          <w:szCs w:val="32"/>
        </w:rPr>
      </w:pPr>
      <w:r>
        <w:rPr>
          <w:rFonts w:hint="eastAsia" w:ascii="仿宋" w:hAnsi="仿宋" w:eastAsia="仿宋" w:cs="仿宋"/>
          <w:color w:val="000000"/>
          <w:sz w:val="32"/>
          <w:szCs w:val="32"/>
        </w:rPr>
        <w:t>5.报价人需将本项目密封文件袋封面粘贴于报价文件密封袋上。</w:t>
      </w:r>
    </w:p>
    <w:p w14:paraId="60BD5668">
      <w:pPr>
        <w:numPr>
          <w:ilvl w:val="0"/>
          <w:numId w:val="0"/>
        </w:numPr>
        <w:adjustRightInd w:val="0"/>
        <w:snapToGrid w:val="0"/>
        <w:spacing w:line="600" w:lineRule="exact"/>
        <w:ind w:firstLine="640" w:firstLineChars="200"/>
        <w:outlineLvl w:val="1"/>
        <w:rPr>
          <w:rFonts w:hint="eastAsia" w:ascii="仿宋" w:hAnsi="仿宋" w:eastAsia="仿宋" w:cs="仿宋"/>
          <w:color w:val="000000"/>
          <w:sz w:val="32"/>
          <w:szCs w:val="32"/>
        </w:rPr>
      </w:pPr>
      <w:r>
        <w:rPr>
          <w:rFonts w:hint="eastAsia" w:ascii="仿宋" w:hAnsi="仿宋" w:eastAsia="仿宋" w:cs="仿宋"/>
          <w:color w:val="000000"/>
          <w:sz w:val="32"/>
          <w:szCs w:val="32"/>
        </w:rPr>
        <w:t>6.不符合本项要求的报价文件为无效报价。</w:t>
      </w:r>
    </w:p>
    <w:p w14:paraId="34BA584E">
      <w:pPr>
        <w:numPr>
          <w:ilvl w:val="0"/>
          <w:numId w:val="0"/>
        </w:numPr>
        <w:adjustRightInd w:val="0"/>
        <w:snapToGrid w:val="0"/>
        <w:spacing w:line="600" w:lineRule="exact"/>
        <w:ind w:firstLine="640" w:firstLineChars="200"/>
        <w:outlineLvl w:val="1"/>
        <w:rPr>
          <w:rFonts w:hint="eastAsia" w:ascii="Times New Roman" w:hAnsi="Times New Roman" w:eastAsia="方正仿宋_GB2312" w:cs="Times New Roman"/>
          <w:b/>
          <w:bCs/>
          <w:i w:val="0"/>
          <w:iCs w:val="0"/>
          <w:caps w:val="0"/>
          <w:color w:val="auto"/>
          <w:spacing w:val="0"/>
          <w:sz w:val="32"/>
          <w:szCs w:val="32"/>
          <w:u w:val="none"/>
          <w:lang w:val="en-US" w:eastAsia="zh-CN"/>
        </w:rPr>
      </w:pPr>
      <w:r>
        <w:rPr>
          <w:rFonts w:hint="eastAsia" w:ascii="黑体" w:hAnsi="黑体" w:eastAsia="黑体" w:cs="黑体"/>
          <w:i w:val="0"/>
          <w:iCs w:val="0"/>
          <w:caps w:val="0"/>
          <w:color w:val="auto"/>
          <w:spacing w:val="0"/>
          <w:sz w:val="32"/>
          <w:szCs w:val="32"/>
          <w:lang w:val="en-US" w:eastAsia="zh-CN"/>
        </w:rPr>
        <w:t>十二、</w:t>
      </w:r>
      <w:r>
        <w:rPr>
          <w:rFonts w:hint="eastAsia" w:ascii="黑体" w:hAnsi="黑体" w:eastAsia="黑体" w:cs="黑体"/>
          <w:i w:val="0"/>
          <w:iCs w:val="0"/>
          <w:caps w:val="0"/>
          <w:color w:val="auto"/>
          <w:spacing w:val="0"/>
          <w:sz w:val="32"/>
          <w:szCs w:val="32"/>
        </w:rPr>
        <w:t>保证金金额及缴纳方式</w:t>
      </w:r>
    </w:p>
    <w:p w14:paraId="17C461DF">
      <w:pPr>
        <w:numPr>
          <w:ilvl w:val="0"/>
          <w:numId w:val="0"/>
        </w:numPr>
        <w:adjustRightInd w:val="0"/>
        <w:snapToGrid w:val="0"/>
        <w:spacing w:line="600" w:lineRule="exact"/>
        <w:ind w:firstLine="640" w:firstLineChars="200"/>
        <w:outlineLvl w:val="1"/>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无保证金。</w:t>
      </w:r>
    </w:p>
    <w:p w14:paraId="2A2AE6A2">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w:t>
      </w:r>
      <w:r>
        <w:rPr>
          <w:rFonts w:hint="eastAsia" w:eastAsia="黑体"/>
          <w:color w:val="auto"/>
          <w:sz w:val="32"/>
          <w:szCs w:val="32"/>
          <w:lang w:val="en-US" w:eastAsia="zh-CN"/>
        </w:rPr>
        <w:t>三</w:t>
      </w:r>
      <w:r>
        <w:rPr>
          <w:rFonts w:hint="eastAsia" w:eastAsia="黑体"/>
          <w:color w:val="auto"/>
          <w:sz w:val="32"/>
          <w:szCs w:val="32"/>
        </w:rPr>
        <w:t>、开标时间及地址</w:t>
      </w:r>
    </w:p>
    <w:p w14:paraId="0AEFCA2F">
      <w:pPr>
        <w:spacing w:line="600" w:lineRule="exact"/>
        <w:ind w:firstLine="640" w:firstLineChars="200"/>
        <w:rPr>
          <w:rFonts w:hint="eastAsia" w:ascii="仿宋" w:hAnsi="仿宋" w:eastAsia="仿宋" w:cs="仿宋"/>
          <w:b w:val="0"/>
          <w:bCs/>
          <w:color w:val="000000"/>
          <w:sz w:val="32"/>
          <w:szCs w:val="32"/>
          <w:highlight w:val="yellow"/>
        </w:rPr>
      </w:pPr>
      <w:r>
        <w:rPr>
          <w:rFonts w:hint="eastAsia" w:ascii="仿宋" w:hAnsi="仿宋" w:eastAsia="仿宋" w:cs="仿宋"/>
          <w:b w:val="0"/>
          <w:bCs/>
          <w:color w:val="000000"/>
          <w:sz w:val="32"/>
          <w:szCs w:val="32"/>
          <w:highlight w:val="none"/>
        </w:rPr>
        <w:t>1、开标时间：</w:t>
      </w:r>
      <w:r>
        <w:rPr>
          <w:rFonts w:hint="eastAsia" w:ascii="仿宋" w:hAnsi="仿宋" w:eastAsia="仿宋" w:cs="仿宋"/>
          <w:b w:val="0"/>
          <w:bCs/>
          <w:color w:val="000000"/>
          <w:sz w:val="32"/>
          <w:szCs w:val="32"/>
          <w:highlight w:val="none"/>
          <w:u w:val="single"/>
          <w:lang w:val="en-US" w:eastAsia="zh-CN"/>
        </w:rPr>
        <w:t>2026</w:t>
      </w:r>
      <w:r>
        <w:rPr>
          <w:rFonts w:hint="eastAsia" w:ascii="仿宋" w:hAnsi="仿宋" w:eastAsia="仿宋" w:cs="仿宋"/>
          <w:b w:val="0"/>
          <w:bCs/>
          <w:color w:val="000000"/>
          <w:sz w:val="32"/>
          <w:szCs w:val="32"/>
          <w:highlight w:val="none"/>
        </w:rPr>
        <w:t>年</w:t>
      </w:r>
      <w:r>
        <w:rPr>
          <w:rFonts w:hint="eastAsia" w:ascii="仿宋" w:hAnsi="仿宋" w:eastAsia="仿宋" w:cs="仿宋"/>
          <w:b w:val="0"/>
          <w:bCs/>
          <w:color w:val="000000"/>
          <w:sz w:val="32"/>
          <w:szCs w:val="32"/>
          <w:highlight w:val="none"/>
          <w:u w:val="single"/>
          <w:lang w:val="en-US" w:eastAsia="zh-CN"/>
        </w:rPr>
        <w:t>4</w:t>
      </w:r>
      <w:r>
        <w:rPr>
          <w:rFonts w:hint="eastAsia" w:ascii="仿宋" w:hAnsi="仿宋" w:eastAsia="仿宋" w:cs="仿宋"/>
          <w:b w:val="0"/>
          <w:bCs/>
          <w:color w:val="000000"/>
          <w:sz w:val="32"/>
          <w:szCs w:val="32"/>
          <w:highlight w:val="none"/>
        </w:rPr>
        <w:t>月</w:t>
      </w:r>
      <w:r>
        <w:rPr>
          <w:rFonts w:hint="eastAsia" w:ascii="仿宋" w:hAnsi="仿宋" w:eastAsia="仿宋" w:cs="仿宋"/>
          <w:b w:val="0"/>
          <w:bCs/>
          <w:color w:val="000000"/>
          <w:sz w:val="32"/>
          <w:szCs w:val="32"/>
          <w:highlight w:val="none"/>
          <w:u w:val="single"/>
          <w:lang w:val="en-US" w:eastAsia="zh-CN"/>
        </w:rPr>
        <w:t>13</w:t>
      </w:r>
      <w:r>
        <w:rPr>
          <w:rFonts w:hint="eastAsia" w:ascii="仿宋" w:hAnsi="仿宋" w:eastAsia="仿宋" w:cs="仿宋"/>
          <w:b w:val="0"/>
          <w:bCs/>
          <w:color w:val="000000"/>
          <w:sz w:val="32"/>
          <w:szCs w:val="32"/>
          <w:highlight w:val="none"/>
        </w:rPr>
        <w:t>日（星期</w:t>
      </w:r>
      <w:r>
        <w:rPr>
          <w:rFonts w:hint="eastAsia" w:ascii="仿宋" w:hAnsi="仿宋" w:eastAsia="仿宋" w:cs="仿宋"/>
          <w:b w:val="0"/>
          <w:bCs/>
          <w:color w:val="000000"/>
          <w:sz w:val="32"/>
          <w:szCs w:val="32"/>
          <w:highlight w:val="none"/>
          <w:u w:val="single"/>
        </w:rPr>
        <w:t xml:space="preserve"> </w:t>
      </w:r>
      <w:r>
        <w:rPr>
          <w:rFonts w:hint="eastAsia" w:ascii="仿宋" w:hAnsi="仿宋" w:eastAsia="仿宋" w:cs="仿宋"/>
          <w:b w:val="0"/>
          <w:bCs/>
          <w:color w:val="000000"/>
          <w:sz w:val="32"/>
          <w:szCs w:val="32"/>
          <w:highlight w:val="none"/>
          <w:u w:val="single"/>
          <w:lang w:val="en-US" w:eastAsia="zh-CN"/>
        </w:rPr>
        <w:t>一</w:t>
      </w:r>
      <w:r>
        <w:rPr>
          <w:rFonts w:hint="eastAsia" w:ascii="仿宋" w:hAnsi="仿宋" w:eastAsia="仿宋" w:cs="仿宋"/>
          <w:b w:val="0"/>
          <w:bCs/>
          <w:color w:val="000000"/>
          <w:sz w:val="32"/>
          <w:szCs w:val="32"/>
          <w:highlight w:val="none"/>
          <w:u w:val="single"/>
        </w:rPr>
        <w:t xml:space="preserve"> </w:t>
      </w:r>
      <w:r>
        <w:rPr>
          <w:rFonts w:hint="eastAsia" w:ascii="仿宋" w:hAnsi="仿宋" w:eastAsia="仿宋" w:cs="仿宋"/>
          <w:b w:val="0"/>
          <w:bCs/>
          <w:color w:val="000000"/>
          <w:sz w:val="32"/>
          <w:szCs w:val="32"/>
          <w:highlight w:val="none"/>
        </w:rPr>
        <w:t>）</w:t>
      </w:r>
      <w:r>
        <w:rPr>
          <w:rFonts w:hint="eastAsia" w:ascii="仿宋" w:hAnsi="仿宋" w:eastAsia="仿宋" w:cs="仿宋"/>
          <w:b w:val="0"/>
          <w:bCs/>
          <w:color w:val="000000"/>
          <w:sz w:val="32"/>
          <w:szCs w:val="32"/>
          <w:highlight w:val="none"/>
          <w:u w:val="single"/>
        </w:rPr>
        <w:t>上</w:t>
      </w:r>
      <w:r>
        <w:rPr>
          <w:rFonts w:hint="eastAsia" w:ascii="仿宋" w:hAnsi="仿宋" w:eastAsia="仿宋" w:cs="仿宋"/>
          <w:b w:val="0"/>
          <w:bCs/>
          <w:color w:val="000000"/>
          <w:sz w:val="32"/>
          <w:szCs w:val="32"/>
          <w:highlight w:val="none"/>
        </w:rPr>
        <w:t>午</w:t>
      </w:r>
      <w:r>
        <w:rPr>
          <w:rFonts w:hint="eastAsia" w:ascii="仿宋" w:hAnsi="仿宋" w:eastAsia="仿宋" w:cs="仿宋"/>
          <w:b w:val="0"/>
          <w:bCs/>
          <w:color w:val="000000"/>
          <w:sz w:val="32"/>
          <w:szCs w:val="32"/>
          <w:highlight w:val="none"/>
          <w:u w:val="single"/>
        </w:rPr>
        <w:t>9:30</w:t>
      </w:r>
      <w:r>
        <w:rPr>
          <w:rFonts w:hint="eastAsia" w:ascii="仿宋" w:hAnsi="仿宋" w:eastAsia="仿宋" w:cs="仿宋"/>
          <w:b w:val="0"/>
          <w:bCs/>
          <w:color w:val="000000"/>
          <w:sz w:val="32"/>
          <w:szCs w:val="32"/>
          <w:highlight w:val="none"/>
        </w:rPr>
        <w:t>。</w:t>
      </w:r>
    </w:p>
    <w:p w14:paraId="4FB880D4">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3" w:firstLineChars="200"/>
        <w:jc w:val="both"/>
        <w:textAlignment w:val="auto"/>
        <w:rPr>
          <w:rFonts w:hint="eastAsia" w:ascii="仿宋" w:hAnsi="仿宋" w:eastAsia="仿宋" w:cs="仿宋"/>
          <w:i w:val="0"/>
          <w:iCs w:val="0"/>
          <w:caps w:val="0"/>
          <w:color w:val="auto"/>
          <w:spacing w:val="0"/>
          <w:sz w:val="22"/>
          <w:szCs w:val="22"/>
        </w:rPr>
      </w:pPr>
      <w:r>
        <w:rPr>
          <w:rStyle w:val="21"/>
          <w:rFonts w:hint="eastAsia" w:ascii="仿宋" w:hAnsi="仿宋" w:eastAsia="仿宋" w:cs="仿宋"/>
          <w:i w:val="0"/>
          <w:iCs w:val="0"/>
          <w:caps w:val="0"/>
          <w:color w:val="auto"/>
          <w:spacing w:val="0"/>
          <w:sz w:val="32"/>
          <w:szCs w:val="32"/>
        </w:rPr>
        <w:t>2</w:t>
      </w:r>
      <w:r>
        <w:rPr>
          <w:rStyle w:val="21"/>
          <w:rFonts w:hint="eastAsia" w:ascii="仿宋" w:hAnsi="仿宋" w:eastAsia="仿宋" w:cs="仿宋"/>
          <w:i w:val="0"/>
          <w:iCs w:val="0"/>
          <w:caps w:val="0"/>
          <w:color w:val="auto"/>
          <w:spacing w:val="0"/>
          <w:sz w:val="32"/>
          <w:szCs w:val="32"/>
          <w:lang w:val="en-US" w:eastAsia="zh-CN"/>
        </w:rPr>
        <w:t>.</w:t>
      </w:r>
      <w:r>
        <w:rPr>
          <w:rStyle w:val="21"/>
          <w:rFonts w:hint="eastAsia" w:ascii="仿宋" w:hAnsi="仿宋" w:eastAsia="仿宋" w:cs="仿宋"/>
          <w:i w:val="0"/>
          <w:iCs w:val="0"/>
          <w:caps w:val="0"/>
          <w:color w:val="auto"/>
          <w:spacing w:val="0"/>
          <w:sz w:val="32"/>
          <w:szCs w:val="32"/>
        </w:rPr>
        <w:t>报价文件递交</w:t>
      </w:r>
    </w:p>
    <w:p w14:paraId="32DD961B">
      <w:pPr>
        <w:pStyle w:val="1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6"/>
        <w:jc w:val="both"/>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（1）现场递交报价文件</w:t>
      </w:r>
    </w:p>
    <w:p w14:paraId="24DB50AD">
      <w:pPr>
        <w:pStyle w:val="1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rPr>
        <w:t>报价人须委派法定代表人或授权委托人按时到开标地址提交报价文件，开标时间后</w:t>
      </w:r>
      <w:r>
        <w:rPr>
          <w:rFonts w:hint="eastAsia" w:ascii="仿宋" w:hAnsi="仿宋" w:eastAsia="仿宋" w:cs="仿宋"/>
          <w:i w:val="0"/>
          <w:iCs w:val="0"/>
          <w:caps w:val="0"/>
          <w:color w:val="auto"/>
          <w:spacing w:val="0"/>
          <w:sz w:val="32"/>
          <w:szCs w:val="32"/>
          <w:lang w:val="en-US" w:eastAsia="zh-CN"/>
        </w:rPr>
        <w:t>送</w:t>
      </w:r>
      <w:r>
        <w:rPr>
          <w:rFonts w:hint="eastAsia" w:ascii="仿宋" w:hAnsi="仿宋" w:eastAsia="仿宋" w:cs="仿宋"/>
          <w:i w:val="0"/>
          <w:iCs w:val="0"/>
          <w:caps w:val="0"/>
          <w:color w:val="auto"/>
          <w:spacing w:val="0"/>
          <w:sz w:val="32"/>
          <w:szCs w:val="32"/>
        </w:rPr>
        <w:t>达的拒收报价文件。</w:t>
      </w:r>
    </w:p>
    <w:p w14:paraId="4FE45290">
      <w:pPr>
        <w:pStyle w:val="1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6"/>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rPr>
        <w:t>报价人现场递交报价文件地址：</w:t>
      </w:r>
      <w:r>
        <w:rPr>
          <w:rFonts w:hint="eastAsia" w:ascii="仿宋" w:hAnsi="仿宋" w:eastAsia="仿宋" w:cs="仿宋"/>
          <w:sz w:val="30"/>
          <w:szCs w:val="30"/>
          <w:u w:val="single"/>
          <w:lang w:val="en-US" w:eastAsia="zh-CN"/>
        </w:rPr>
        <w:t>东莞市松山湖新城大道5号D栋能源集团三楼能源研究院</w:t>
      </w:r>
      <w:r>
        <w:rPr>
          <w:rFonts w:hint="eastAsia" w:ascii="仿宋" w:hAnsi="仿宋" w:eastAsia="仿宋" w:cs="仿宋"/>
          <w:i w:val="0"/>
          <w:iCs w:val="0"/>
          <w:caps w:val="0"/>
          <w:color w:val="auto"/>
          <w:spacing w:val="0"/>
          <w:sz w:val="32"/>
          <w:szCs w:val="32"/>
        </w:rPr>
        <w:t>，逾期无效。</w:t>
      </w:r>
    </w:p>
    <w:p w14:paraId="2419C39E">
      <w:pPr>
        <w:pStyle w:val="1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5"/>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rPr>
        <w:t>（2）邮寄递交报价文件</w:t>
      </w:r>
      <w:bookmarkStart w:id="7" w:name="_GoBack"/>
      <w:bookmarkEnd w:id="7"/>
    </w:p>
    <w:p w14:paraId="40C73D0C">
      <w:pPr>
        <w:pStyle w:val="1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rPr>
        <w:t>报价人必须确保报价文件密封完好，在开标截止时间</w:t>
      </w:r>
      <w:r>
        <w:rPr>
          <w:rStyle w:val="21"/>
          <w:rFonts w:hint="eastAsia" w:ascii="仿宋" w:hAnsi="仿宋" w:eastAsia="仿宋" w:cs="仿宋"/>
          <w:i w:val="0"/>
          <w:iCs w:val="0"/>
          <w:caps w:val="0"/>
          <w:color w:val="auto"/>
          <w:spacing w:val="0"/>
          <w:sz w:val="32"/>
          <w:szCs w:val="32"/>
        </w:rPr>
        <w:t>前一日送达采购人处</w:t>
      </w:r>
      <w:r>
        <w:rPr>
          <w:rFonts w:hint="eastAsia" w:ascii="仿宋" w:hAnsi="仿宋" w:eastAsia="仿宋" w:cs="仿宋"/>
          <w:i w:val="0"/>
          <w:iCs w:val="0"/>
          <w:caps w:val="0"/>
          <w:color w:val="auto"/>
          <w:spacing w:val="0"/>
          <w:sz w:val="32"/>
          <w:szCs w:val="32"/>
        </w:rPr>
        <w:t>，须使用</w:t>
      </w:r>
      <w:r>
        <w:rPr>
          <w:rFonts w:hint="eastAsia" w:ascii="仿宋" w:hAnsi="仿宋" w:eastAsia="仿宋" w:cs="仿宋"/>
          <w:i w:val="0"/>
          <w:iCs w:val="0"/>
          <w:caps w:val="0"/>
          <w:color w:val="auto"/>
          <w:spacing w:val="0"/>
          <w:sz w:val="32"/>
          <w:szCs w:val="32"/>
          <w:lang w:val="en-US" w:eastAsia="zh-CN"/>
        </w:rPr>
        <w:t>快递</w:t>
      </w:r>
      <w:r>
        <w:rPr>
          <w:rFonts w:hint="eastAsia" w:ascii="仿宋" w:hAnsi="仿宋" w:eastAsia="仿宋" w:cs="仿宋"/>
          <w:i w:val="0"/>
          <w:iCs w:val="0"/>
          <w:caps w:val="0"/>
          <w:color w:val="auto"/>
          <w:spacing w:val="0"/>
          <w:sz w:val="32"/>
          <w:szCs w:val="32"/>
        </w:rPr>
        <w:t>速运提前寄送（运费自理，采购人拒收到付件），因邮寄造成报价文件破损无效或文件丢失的责任由报价人自负，因快递派件人员原因造成快递派件问题的责任由报价人自负，开标时间后送达的报价文件无效。</w:t>
      </w:r>
    </w:p>
    <w:p w14:paraId="234AF9FB">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left="45" w:right="45" w:firstLine="555"/>
        <w:jc w:val="both"/>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rPr>
        <w:t>邮寄递交报价收件信息：</w:t>
      </w:r>
    </w:p>
    <w:p w14:paraId="6EF97C2F">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left="45" w:right="45" w:firstLine="555"/>
        <w:jc w:val="both"/>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收件地址：</w:t>
      </w:r>
      <w:r>
        <w:rPr>
          <w:rFonts w:hint="eastAsia" w:ascii="仿宋" w:hAnsi="仿宋" w:eastAsia="仿宋" w:cs="仿宋"/>
          <w:i w:val="0"/>
          <w:iCs w:val="0"/>
          <w:caps w:val="0"/>
          <w:color w:val="auto"/>
          <w:spacing w:val="0"/>
          <w:sz w:val="32"/>
          <w:szCs w:val="32"/>
          <w:lang w:val="en-US" w:eastAsia="zh-CN"/>
        </w:rPr>
        <w:t>东莞市</w:t>
      </w:r>
      <w:r>
        <w:rPr>
          <w:rFonts w:hint="eastAsia" w:ascii="仿宋" w:hAnsi="仿宋" w:eastAsia="仿宋" w:cs="仿宋"/>
          <w:i w:val="0"/>
          <w:iCs w:val="0"/>
          <w:caps w:val="0"/>
          <w:color w:val="auto"/>
          <w:spacing w:val="0"/>
          <w:sz w:val="32"/>
          <w:szCs w:val="32"/>
        </w:rPr>
        <w:t>松山湖新城大道5号</w:t>
      </w:r>
      <w:r>
        <w:rPr>
          <w:rFonts w:hint="eastAsia" w:ascii="仿宋" w:hAnsi="仿宋" w:eastAsia="仿宋" w:cs="仿宋"/>
          <w:i w:val="0"/>
          <w:iCs w:val="0"/>
          <w:caps w:val="0"/>
          <w:color w:val="auto"/>
          <w:spacing w:val="0"/>
          <w:sz w:val="32"/>
          <w:szCs w:val="32"/>
          <w:lang w:val="en-US" w:eastAsia="zh-CN"/>
        </w:rPr>
        <w:t>D</w:t>
      </w:r>
      <w:r>
        <w:rPr>
          <w:rFonts w:hint="eastAsia" w:ascii="仿宋" w:hAnsi="仿宋" w:eastAsia="仿宋" w:cs="仿宋"/>
          <w:i w:val="0"/>
          <w:iCs w:val="0"/>
          <w:caps w:val="0"/>
          <w:color w:val="auto"/>
          <w:spacing w:val="0"/>
          <w:sz w:val="32"/>
          <w:szCs w:val="32"/>
        </w:rPr>
        <w:t>栋</w:t>
      </w:r>
      <w:r>
        <w:rPr>
          <w:rFonts w:hint="eastAsia" w:ascii="仿宋" w:hAnsi="仿宋" w:eastAsia="仿宋" w:cs="仿宋"/>
          <w:i w:val="0"/>
          <w:iCs w:val="0"/>
          <w:caps w:val="0"/>
          <w:color w:val="auto"/>
          <w:spacing w:val="0"/>
          <w:sz w:val="32"/>
          <w:szCs w:val="32"/>
          <w:lang w:val="en-US" w:eastAsia="zh-CN"/>
        </w:rPr>
        <w:t>一楼</w:t>
      </w:r>
      <w:r>
        <w:rPr>
          <w:rFonts w:hint="eastAsia" w:ascii="仿宋" w:hAnsi="仿宋" w:eastAsia="仿宋" w:cs="仿宋"/>
          <w:i w:val="0"/>
          <w:iCs w:val="0"/>
          <w:caps w:val="0"/>
          <w:color w:val="auto"/>
          <w:spacing w:val="0"/>
          <w:sz w:val="32"/>
          <w:szCs w:val="32"/>
        </w:rPr>
        <w:t>能源投资集团有限公司</w:t>
      </w:r>
    </w:p>
    <w:p w14:paraId="388AF958">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left="45" w:right="45" w:firstLine="555"/>
        <w:jc w:val="both"/>
        <w:rPr>
          <w:rFonts w:hint="default" w:ascii="仿宋" w:hAnsi="仿宋" w:eastAsia="仿宋" w:cs="仿宋"/>
          <w:i w:val="0"/>
          <w:iCs w:val="0"/>
          <w:caps w:val="0"/>
          <w:color w:val="auto"/>
          <w:spacing w:val="0"/>
          <w:sz w:val="22"/>
          <w:szCs w:val="22"/>
          <w:lang w:val="en-US" w:eastAsia="zh-CN"/>
        </w:rPr>
      </w:pPr>
      <w:r>
        <w:rPr>
          <w:rFonts w:hint="eastAsia" w:ascii="仿宋" w:hAnsi="仿宋" w:eastAsia="仿宋" w:cs="仿宋"/>
          <w:i w:val="0"/>
          <w:iCs w:val="0"/>
          <w:caps w:val="0"/>
          <w:color w:val="auto"/>
          <w:spacing w:val="0"/>
          <w:sz w:val="32"/>
          <w:szCs w:val="32"/>
        </w:rPr>
        <w:t>联系人：</w:t>
      </w:r>
      <w:r>
        <w:rPr>
          <w:rFonts w:hint="eastAsia" w:ascii="仿宋" w:hAnsi="仿宋" w:eastAsia="仿宋" w:cs="仿宋"/>
          <w:b w:val="0"/>
          <w:bCs/>
          <w:color w:val="000000"/>
          <w:sz w:val="32"/>
          <w:szCs w:val="32"/>
          <w:u w:val="none"/>
          <w:lang w:val="en-US" w:eastAsia="zh-CN"/>
        </w:rPr>
        <w:t>方先生</w:t>
      </w:r>
    </w:p>
    <w:p w14:paraId="06F747CA">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left="45" w:right="45" w:firstLine="555"/>
        <w:jc w:val="both"/>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rPr>
        <w:t>联系电话：</w:t>
      </w:r>
      <w:r>
        <w:rPr>
          <w:rFonts w:hint="eastAsia" w:ascii="仿宋" w:hAnsi="仿宋" w:eastAsia="仿宋" w:cs="仿宋"/>
          <w:b w:val="0"/>
          <w:bCs/>
          <w:color w:val="000000"/>
          <w:sz w:val="32"/>
          <w:szCs w:val="32"/>
          <w:u w:val="none"/>
          <w:lang w:val="en-US" w:eastAsia="zh-CN"/>
        </w:rPr>
        <w:t>18664106898</w:t>
      </w:r>
    </w:p>
    <w:p w14:paraId="61361F22">
      <w:pPr>
        <w:pStyle w:val="1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开标地址：东莞市松山湖新城大道5号D栋能源集团四楼会议室</w:t>
      </w:r>
    </w:p>
    <w:p w14:paraId="2BD0A7D7">
      <w:pPr>
        <w:adjustRightInd w:val="0"/>
        <w:snapToGrid w:val="0"/>
        <w:spacing w:line="600" w:lineRule="exact"/>
        <w:ind w:firstLine="640" w:firstLineChars="200"/>
        <w:outlineLvl w:val="1"/>
        <w:rPr>
          <w:rFonts w:eastAsia="黑体"/>
          <w:b w:val="0"/>
          <w:bCs w:val="0"/>
          <w:color w:val="auto"/>
          <w:sz w:val="32"/>
          <w:szCs w:val="32"/>
        </w:rPr>
      </w:pPr>
      <w:r>
        <w:rPr>
          <w:rFonts w:hint="eastAsia" w:eastAsia="黑体"/>
          <w:b w:val="0"/>
          <w:bCs w:val="0"/>
          <w:color w:val="auto"/>
          <w:sz w:val="32"/>
          <w:szCs w:val="32"/>
        </w:rPr>
        <w:t>十</w:t>
      </w:r>
      <w:r>
        <w:rPr>
          <w:rFonts w:hint="eastAsia" w:eastAsia="黑体"/>
          <w:b w:val="0"/>
          <w:bCs w:val="0"/>
          <w:color w:val="auto"/>
          <w:sz w:val="32"/>
          <w:szCs w:val="32"/>
          <w:lang w:val="en-US" w:eastAsia="zh-CN"/>
        </w:rPr>
        <w:t>四</w:t>
      </w:r>
      <w:r>
        <w:rPr>
          <w:rFonts w:hint="eastAsia" w:eastAsia="黑体"/>
          <w:b w:val="0"/>
          <w:bCs w:val="0"/>
          <w:color w:val="auto"/>
          <w:sz w:val="32"/>
          <w:szCs w:val="32"/>
        </w:rPr>
        <w:t>、注意事项</w:t>
      </w:r>
    </w:p>
    <w:p w14:paraId="0F0D9F7D">
      <w:pPr>
        <w:spacing w:line="600" w:lineRule="exact"/>
        <w:ind w:firstLine="640" w:firstLineChars="200"/>
        <w:rPr>
          <w:rFonts w:hint="eastAsia" w:ascii="仿宋" w:hAnsi="仿宋" w:eastAsia="仿宋" w:cs="仿宋"/>
          <w:color w:val="000000"/>
          <w:sz w:val="32"/>
          <w:szCs w:val="32"/>
        </w:rPr>
      </w:pPr>
      <w:bookmarkStart w:id="1" w:name="_Hlk517879660"/>
      <w:r>
        <w:rPr>
          <w:rFonts w:hint="eastAsia" w:ascii="仿宋" w:hAnsi="仿宋" w:eastAsia="仿宋" w:cs="仿宋"/>
          <w:color w:val="000000"/>
          <w:sz w:val="32"/>
          <w:szCs w:val="32"/>
        </w:rPr>
        <w:t>1、若响应人未按规定时间将文件送达现场，视为放弃投标资格。</w:t>
      </w:r>
    </w:p>
    <w:p w14:paraId="32584821">
      <w:pPr>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2、采购人向响应人提供的有关资料和数据，是采购人现有的能使响应人利用的资料，采购人对响应人由此而做出的推论、理解和结论概不负责。</w:t>
      </w:r>
    </w:p>
    <w:p w14:paraId="6A77A0F4">
      <w:pPr>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3、本项目执行过程中将遵循国家、省、市有关法律、法规、标准、技术规范和规范性文件的最新规定。</w:t>
      </w:r>
      <w:bookmarkEnd w:id="1"/>
    </w:p>
    <w:p w14:paraId="2DE90447">
      <w:pPr>
        <w:widowControl/>
        <w:spacing w:line="600" w:lineRule="exact"/>
        <w:ind w:firstLine="640" w:firstLineChars="200"/>
        <w:jc w:val="left"/>
        <w:rPr>
          <w:rFonts w:hint="eastAsia" w:ascii="仿宋" w:hAnsi="仿宋" w:eastAsia="仿宋" w:cs="仿宋"/>
          <w:color w:val="000000"/>
          <w:sz w:val="32"/>
          <w:szCs w:val="32"/>
        </w:rPr>
      </w:pPr>
      <w:r>
        <w:rPr>
          <w:rFonts w:hint="eastAsia" w:ascii="仿宋" w:hAnsi="仿宋" w:eastAsia="仿宋" w:cs="仿宋"/>
          <w:color w:val="000000"/>
          <w:sz w:val="32"/>
          <w:szCs w:val="32"/>
        </w:rPr>
        <w:t>4、成交单位对采购文件中技术条款作出的负偏离，采购人如不接受，可要求成交单位以采购文件的要求为准，如成交单位拒绝的，采购人有权取消其成交资格或取消合同。采购人不作任何补偿。</w:t>
      </w:r>
    </w:p>
    <w:p w14:paraId="2501DD77">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rPr>
        <w:t>5、</w:t>
      </w:r>
      <w:r>
        <w:rPr>
          <w:rFonts w:hint="eastAsia" w:ascii="仿宋" w:hAnsi="仿宋" w:eastAsia="仿宋" w:cs="仿宋"/>
          <w:color w:val="auto"/>
          <w:kern w:val="2"/>
          <w:sz w:val="32"/>
          <w:szCs w:val="32"/>
          <w:lang w:val="en-US" w:eastAsia="zh-CN" w:bidi="ar-SA"/>
        </w:rPr>
        <w:t>本项目仅可提交一个报价方案，提交两个或以上报价方案的响应人视为无效报价。</w:t>
      </w:r>
    </w:p>
    <w:p w14:paraId="123E16AC">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6、本项目不接受响应人其他附加条件。</w:t>
      </w:r>
    </w:p>
    <w:p w14:paraId="137951B1">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7、有下列情形之一的，将纳入采购人供应商黑名单：</w:t>
      </w:r>
    </w:p>
    <w:p w14:paraId="16564DA3">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（1）中标后无正当理由放弃中标或不与采购人签订合同。</w:t>
      </w:r>
    </w:p>
    <w:p w14:paraId="564438E6">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（2）成交人将本项目转让给他人，或者在报价文件中未说明，且未经采购人同意，将中标项目分包给他人，采购人可没收其报价保证金。</w:t>
      </w:r>
    </w:p>
    <w:p w14:paraId="1FCA9EB8">
      <w:pPr>
        <w:widowControl/>
        <w:spacing w:line="60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（3）报价人提供虚假报价文件或虚假补充文件。</w:t>
      </w:r>
    </w:p>
    <w:p w14:paraId="38DF7E11">
      <w:pPr>
        <w:widowControl/>
        <w:spacing w:line="60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i w:val="0"/>
          <w:iCs w:val="0"/>
          <w:caps w:val="0"/>
          <w:color w:val="auto"/>
          <w:spacing w:val="0"/>
          <w:sz w:val="32"/>
          <w:szCs w:val="32"/>
          <w:lang w:val="en-US" w:eastAsia="zh-CN"/>
        </w:rPr>
        <w:t>8、</w:t>
      </w:r>
      <w:r>
        <w:rPr>
          <w:rFonts w:hint="eastAsia" w:ascii="仿宋" w:hAnsi="仿宋" w:eastAsia="仿宋" w:cs="仿宋"/>
          <w:i w:val="0"/>
          <w:iCs w:val="0"/>
          <w:caps w:val="0"/>
          <w:color w:val="auto"/>
          <w:spacing w:val="0"/>
          <w:sz w:val="32"/>
          <w:szCs w:val="32"/>
        </w:rPr>
        <w:t>已列入采购人及上级单位黑名单的报价人的报价文件视为无效</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sz w:val="32"/>
          <w:szCs w:val="32"/>
          <w:lang w:val="en-US" w:eastAsia="zh-CN"/>
        </w:rPr>
        <w:t xml:space="preserve"> </w:t>
      </w:r>
    </w:p>
    <w:p w14:paraId="196BB924">
      <w:pPr>
        <w:widowControl/>
        <w:spacing w:line="600" w:lineRule="exact"/>
        <w:ind w:firstLine="640" w:firstLineChars="200"/>
        <w:jc w:val="left"/>
        <w:rPr>
          <w:rFonts w:hint="eastAsia" w:ascii="仿宋" w:hAnsi="仿宋" w:eastAsia="仿宋" w:cs="仿宋"/>
          <w:sz w:val="32"/>
          <w:szCs w:val="32"/>
          <w:lang w:val="en-US" w:eastAsia="zh-CN"/>
        </w:rPr>
      </w:pPr>
    </w:p>
    <w:p w14:paraId="352F9A76">
      <w:pPr>
        <w:widowControl/>
        <w:spacing w:line="600" w:lineRule="exact"/>
        <w:ind w:firstLine="640" w:firstLineChars="200"/>
        <w:jc w:val="left"/>
        <w:rPr>
          <w:rFonts w:hint="eastAsia" w:ascii="仿宋" w:hAnsi="仿宋" w:eastAsia="仿宋" w:cs="仿宋"/>
          <w:sz w:val="32"/>
          <w:szCs w:val="32"/>
          <w:lang w:val="en-US" w:eastAsia="zh-CN"/>
        </w:rPr>
      </w:pPr>
    </w:p>
    <w:p w14:paraId="5353E2ED">
      <w:pPr>
        <w:widowControl/>
        <w:spacing w:line="600" w:lineRule="exact"/>
        <w:ind w:firstLine="640" w:firstLineChars="200"/>
        <w:jc w:val="left"/>
        <w:rPr>
          <w:rFonts w:hint="eastAsia" w:ascii="仿宋" w:hAnsi="仿宋" w:eastAsia="仿宋" w:cs="仿宋"/>
          <w:sz w:val="32"/>
          <w:szCs w:val="32"/>
          <w:lang w:val="en-US" w:eastAsia="zh-CN"/>
        </w:rPr>
      </w:pPr>
    </w:p>
    <w:p w14:paraId="4B759E69">
      <w:pPr>
        <w:widowControl/>
        <w:spacing w:line="600" w:lineRule="exact"/>
        <w:ind w:firstLine="640" w:firstLineChars="200"/>
        <w:jc w:val="left"/>
        <w:rPr>
          <w:rFonts w:hint="eastAsia" w:ascii="仿宋" w:hAnsi="仿宋" w:eastAsia="仿宋" w:cs="仿宋"/>
          <w:sz w:val="32"/>
          <w:szCs w:val="32"/>
          <w:lang w:val="en-US" w:eastAsia="zh-CN"/>
        </w:rPr>
      </w:pPr>
    </w:p>
    <w:p w14:paraId="0A2306C1">
      <w:pPr>
        <w:spacing w:line="600" w:lineRule="exact"/>
        <w:ind w:firstLine="640" w:firstLineChars="200"/>
        <w:jc w:val="right"/>
        <w:rPr>
          <w:rFonts w:hint="eastAsia" w:ascii="仿宋" w:hAnsi="仿宋" w:eastAsia="仿宋" w:cs="仿宋"/>
          <w:sz w:val="32"/>
          <w:szCs w:val="32"/>
        </w:rPr>
      </w:pPr>
      <w:r>
        <w:rPr>
          <w:rFonts w:hint="eastAsia" w:ascii="仿宋" w:hAnsi="仿宋" w:eastAsia="仿宋" w:cs="仿宋"/>
          <w:sz w:val="32"/>
          <w:szCs w:val="32"/>
          <w:lang w:val="en-US" w:eastAsia="zh-CN"/>
        </w:rPr>
        <w:t>东莞市能源投资集团有限公司</w:t>
      </w:r>
      <w:r>
        <w:rPr>
          <w:rFonts w:hint="eastAsia" w:ascii="仿宋" w:hAnsi="仿宋" w:eastAsia="仿宋" w:cs="仿宋"/>
          <w:sz w:val="32"/>
          <w:szCs w:val="32"/>
        </w:rPr>
        <w:t>（采购人）</w:t>
      </w:r>
    </w:p>
    <w:p w14:paraId="67D5FEE5">
      <w:pPr>
        <w:spacing w:line="600" w:lineRule="exact"/>
        <w:ind w:firstLine="640" w:firstLineChars="200"/>
        <w:jc w:val="right"/>
        <w:rPr>
          <w:rFonts w:hint="eastAsia" w:ascii="仿宋" w:hAnsi="仿宋" w:eastAsia="仿宋" w:cs="仿宋"/>
          <w:sz w:val="32"/>
          <w:szCs w:val="32"/>
          <w:highlight w:val="none"/>
        </w:rPr>
      </w:pPr>
      <w:r>
        <w:rPr>
          <w:rFonts w:hint="eastAsia" w:ascii="仿宋" w:hAnsi="仿宋" w:eastAsia="仿宋" w:cs="仿宋"/>
          <w:sz w:val="32"/>
          <w:szCs w:val="32"/>
          <w:highlight w:val="none"/>
        </w:rPr>
        <w:t>20</w:t>
      </w:r>
      <w:r>
        <w:rPr>
          <w:rFonts w:hint="eastAsia" w:ascii="仿宋" w:hAnsi="仿宋" w:eastAsia="仿宋" w:cs="仿宋"/>
          <w:sz w:val="32"/>
          <w:szCs w:val="32"/>
          <w:highlight w:val="none"/>
          <w:u w:val="none"/>
          <w:lang w:val="en-US" w:eastAsia="zh-CN"/>
        </w:rPr>
        <w:t>26</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none"/>
          <w:lang w:val="en-US" w:eastAsia="zh-CN"/>
        </w:rPr>
        <w:t>4</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none"/>
          <w:lang w:val="en-US" w:eastAsia="zh-CN"/>
        </w:rPr>
        <w:t>7</w:t>
      </w:r>
      <w:r>
        <w:rPr>
          <w:rFonts w:hint="eastAsia" w:ascii="仿宋" w:hAnsi="仿宋" w:eastAsia="仿宋" w:cs="仿宋"/>
          <w:sz w:val="32"/>
          <w:szCs w:val="32"/>
          <w:highlight w:val="none"/>
        </w:rPr>
        <w:t>日</w:t>
      </w:r>
    </w:p>
    <w:p w14:paraId="557E8CEB">
      <w:pPr>
        <w:widowControl/>
        <w:spacing w:line="600" w:lineRule="exact"/>
        <w:ind w:firstLine="640" w:firstLineChars="200"/>
        <w:jc w:val="left"/>
        <w:rPr>
          <w:rFonts w:eastAsia="方正仿宋_GB2312"/>
          <w:color w:val="000000"/>
          <w:sz w:val="32"/>
          <w:szCs w:val="32"/>
          <w:highlight w:val="none"/>
        </w:rPr>
        <w:sectPr>
          <w:headerReference r:id="rId3" w:type="default"/>
          <w:pgSz w:w="11906" w:h="16838"/>
          <w:pgMar w:top="1440" w:right="1800" w:bottom="1440" w:left="1800" w:header="851" w:footer="992" w:gutter="0"/>
          <w:cols w:space="720" w:num="1"/>
          <w:docGrid w:type="lines" w:linePitch="312" w:charSpace="0"/>
        </w:sectPr>
      </w:pPr>
    </w:p>
    <w:p w14:paraId="1E7C0DC8">
      <w:pPr>
        <w:pStyle w:val="38"/>
        <w:ind w:firstLine="0" w:firstLineChars="0"/>
        <w:jc w:val="left"/>
        <w:outlineLvl w:val="1"/>
        <w:rPr>
          <w:rFonts w:eastAsia="黑体"/>
          <w:color w:val="000000"/>
          <w:sz w:val="28"/>
          <w:szCs w:val="44"/>
        </w:rPr>
      </w:pPr>
      <w:r>
        <w:rPr>
          <w:rFonts w:hint="eastAsia" w:eastAsia="黑体"/>
          <w:color w:val="000000"/>
          <w:sz w:val="28"/>
          <w:szCs w:val="44"/>
        </w:rPr>
        <w:t>附件一 响应须知</w:t>
      </w:r>
    </w:p>
    <w:p w14:paraId="7152429A">
      <w:pPr>
        <w:jc w:val="center"/>
        <w:rPr>
          <w:rFonts w:eastAsia="华文中宋"/>
          <w:color w:val="000000"/>
          <w:sz w:val="44"/>
          <w:szCs w:val="44"/>
        </w:rPr>
      </w:pPr>
      <w:r>
        <w:rPr>
          <w:rFonts w:hint="eastAsia" w:eastAsia="华文中宋"/>
          <w:color w:val="000000"/>
          <w:sz w:val="44"/>
          <w:szCs w:val="44"/>
        </w:rPr>
        <w:t>响应须知</w:t>
      </w:r>
    </w:p>
    <w:tbl>
      <w:tblPr>
        <w:tblStyle w:val="18"/>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7D1C4F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1330E816">
            <w:pPr>
              <w:pStyle w:val="17"/>
              <w:spacing w:after="0" w:line="360" w:lineRule="auto"/>
              <w:ind w:firstLine="0" w:firstLineChars="0"/>
              <w:jc w:val="center"/>
              <w:rPr>
                <w:rFonts w:hint="eastAsia" w:ascii="仿宋" w:hAnsi="仿宋" w:eastAsia="仿宋" w:cs="仿宋"/>
                <w:color w:val="000000"/>
                <w:sz w:val="32"/>
                <w:szCs w:val="32"/>
              </w:rPr>
            </w:pPr>
            <w:r>
              <w:rPr>
                <w:rFonts w:hint="eastAsia" w:ascii="仿宋" w:hAnsi="仿宋" w:eastAsia="仿宋" w:cs="仿宋"/>
                <w:color w:val="000000"/>
                <w:sz w:val="32"/>
                <w:szCs w:val="32"/>
              </w:rPr>
              <w:t>项号</w:t>
            </w:r>
          </w:p>
        </w:tc>
        <w:tc>
          <w:tcPr>
            <w:tcW w:w="2275" w:type="dxa"/>
            <w:tcBorders>
              <w:top w:val="double" w:color="auto" w:sz="4" w:space="0"/>
            </w:tcBorders>
            <w:vAlign w:val="center"/>
          </w:tcPr>
          <w:p w14:paraId="1D2CB7D8">
            <w:pPr>
              <w:pStyle w:val="17"/>
              <w:spacing w:after="0" w:line="360" w:lineRule="auto"/>
              <w:ind w:firstLine="320"/>
              <w:jc w:val="center"/>
              <w:rPr>
                <w:rFonts w:hint="eastAsia" w:ascii="仿宋" w:hAnsi="仿宋" w:eastAsia="仿宋" w:cs="仿宋"/>
                <w:color w:val="000000"/>
                <w:sz w:val="32"/>
                <w:szCs w:val="32"/>
              </w:rPr>
            </w:pPr>
            <w:r>
              <w:rPr>
                <w:rFonts w:hint="eastAsia" w:ascii="仿宋" w:hAnsi="仿宋" w:eastAsia="仿宋" w:cs="仿宋"/>
                <w:color w:val="000000"/>
                <w:sz w:val="32"/>
                <w:szCs w:val="32"/>
              </w:rPr>
              <w:t>内容</w:t>
            </w:r>
          </w:p>
        </w:tc>
        <w:tc>
          <w:tcPr>
            <w:tcW w:w="5942" w:type="dxa"/>
            <w:tcBorders>
              <w:top w:val="double" w:color="auto" w:sz="4" w:space="0"/>
            </w:tcBorders>
            <w:vAlign w:val="center"/>
          </w:tcPr>
          <w:p w14:paraId="77E3FC78">
            <w:pPr>
              <w:pStyle w:val="17"/>
              <w:spacing w:after="0" w:line="360" w:lineRule="auto"/>
              <w:ind w:firstLine="320"/>
              <w:jc w:val="center"/>
              <w:rPr>
                <w:rFonts w:hint="eastAsia" w:ascii="仿宋" w:hAnsi="仿宋" w:eastAsia="仿宋" w:cs="仿宋"/>
                <w:color w:val="000000"/>
                <w:sz w:val="32"/>
                <w:szCs w:val="32"/>
              </w:rPr>
            </w:pPr>
            <w:r>
              <w:rPr>
                <w:rFonts w:hint="eastAsia" w:ascii="仿宋" w:hAnsi="仿宋" w:eastAsia="仿宋" w:cs="仿宋"/>
                <w:color w:val="000000"/>
                <w:sz w:val="32"/>
                <w:szCs w:val="32"/>
              </w:rPr>
              <w:t>说明与要求</w:t>
            </w:r>
          </w:p>
        </w:tc>
      </w:tr>
      <w:tr w14:paraId="12F59E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C9FCB87">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1</w:t>
            </w:r>
          </w:p>
        </w:tc>
        <w:tc>
          <w:tcPr>
            <w:tcW w:w="2275" w:type="dxa"/>
            <w:vAlign w:val="center"/>
          </w:tcPr>
          <w:p w14:paraId="448ECD46">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项目名称</w:t>
            </w:r>
          </w:p>
        </w:tc>
        <w:tc>
          <w:tcPr>
            <w:tcW w:w="5942" w:type="dxa"/>
            <w:vAlign w:val="center"/>
          </w:tcPr>
          <w:p w14:paraId="73F09A9A">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u w:val="none"/>
              </w:rPr>
              <w:t>东莞市能源投资集团有限公司智慧运营中心</w:t>
            </w:r>
            <w:r>
              <w:rPr>
                <w:rFonts w:hint="eastAsia" w:ascii="仿宋" w:hAnsi="仿宋" w:eastAsia="仿宋" w:cs="仿宋"/>
                <w:color w:val="000000"/>
                <w:sz w:val="32"/>
                <w:szCs w:val="32"/>
                <w:u w:val="none"/>
                <w:lang w:val="en-US" w:eastAsia="zh-CN"/>
              </w:rPr>
              <w:t>大屏及扩声系统采购</w:t>
            </w:r>
            <w:r>
              <w:rPr>
                <w:rFonts w:hint="eastAsia" w:ascii="仿宋" w:hAnsi="仿宋" w:eastAsia="仿宋" w:cs="仿宋"/>
                <w:color w:val="000000"/>
                <w:sz w:val="32"/>
                <w:szCs w:val="32"/>
                <w:u w:val="none"/>
              </w:rPr>
              <w:t>项目</w:t>
            </w:r>
          </w:p>
        </w:tc>
      </w:tr>
      <w:tr w14:paraId="7E1646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CF25707">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2</w:t>
            </w:r>
          </w:p>
        </w:tc>
        <w:tc>
          <w:tcPr>
            <w:tcW w:w="2275" w:type="dxa"/>
            <w:vAlign w:val="center"/>
          </w:tcPr>
          <w:p w14:paraId="32F49CD2">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建设地点</w:t>
            </w:r>
          </w:p>
        </w:tc>
        <w:tc>
          <w:tcPr>
            <w:tcW w:w="5942" w:type="dxa"/>
            <w:vAlign w:val="center"/>
          </w:tcPr>
          <w:p w14:paraId="199430AF">
            <w:pPr>
              <w:spacing w:line="360" w:lineRule="auto"/>
              <w:rPr>
                <w:rFonts w:hint="eastAsia" w:ascii="仿宋" w:hAnsi="仿宋" w:eastAsia="仿宋" w:cs="仿宋"/>
                <w:color w:val="000000"/>
                <w:sz w:val="32"/>
                <w:szCs w:val="32"/>
              </w:rPr>
            </w:pPr>
            <w:r>
              <w:rPr>
                <w:rFonts w:hint="eastAsia" w:ascii="仿宋" w:hAnsi="仿宋" w:eastAsia="仿宋" w:cs="仿宋"/>
                <w:color w:val="000000"/>
                <w:sz w:val="32"/>
                <w:szCs w:val="32"/>
                <w:highlight w:val="none"/>
                <w:lang w:val="en-US" w:eastAsia="zh-CN"/>
              </w:rPr>
              <w:t>采购人指定地点</w:t>
            </w:r>
          </w:p>
        </w:tc>
      </w:tr>
      <w:tr w14:paraId="12A19B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5A17F99">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3</w:t>
            </w:r>
          </w:p>
        </w:tc>
        <w:tc>
          <w:tcPr>
            <w:tcW w:w="2275" w:type="dxa"/>
            <w:vAlign w:val="center"/>
          </w:tcPr>
          <w:p w14:paraId="635C2B32">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项目性质</w:t>
            </w:r>
          </w:p>
        </w:tc>
        <w:tc>
          <w:tcPr>
            <w:tcW w:w="5942" w:type="dxa"/>
            <w:vAlign w:val="center"/>
          </w:tcPr>
          <w:p w14:paraId="15583EB1">
            <w:pPr>
              <w:spacing w:line="360" w:lineRule="auto"/>
              <w:rPr>
                <w:rFonts w:hint="eastAsia" w:ascii="仿宋" w:hAnsi="仿宋" w:eastAsia="仿宋" w:cs="仿宋"/>
                <w:color w:val="000000"/>
                <w:sz w:val="32"/>
                <w:szCs w:val="32"/>
              </w:rPr>
            </w:pPr>
            <w:r>
              <w:rPr>
                <w:rFonts w:hint="eastAsia" w:ascii="仿宋" w:hAnsi="仿宋" w:eastAsia="仿宋" w:cs="仿宋"/>
                <w:color w:val="auto"/>
                <w:sz w:val="32"/>
                <w:szCs w:val="32"/>
                <w:highlight w:val="none"/>
                <w:lang w:val="en-US" w:eastAsia="zh-CN"/>
              </w:rPr>
              <w:t>详见《采购文件》</w:t>
            </w:r>
          </w:p>
        </w:tc>
      </w:tr>
      <w:tr w14:paraId="5A9B5E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DD751A5">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4</w:t>
            </w:r>
          </w:p>
        </w:tc>
        <w:tc>
          <w:tcPr>
            <w:tcW w:w="2275" w:type="dxa"/>
            <w:vAlign w:val="center"/>
          </w:tcPr>
          <w:p w14:paraId="35B80D6A">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发包要求</w:t>
            </w:r>
          </w:p>
        </w:tc>
        <w:tc>
          <w:tcPr>
            <w:tcW w:w="5942" w:type="dxa"/>
            <w:vAlign w:val="center"/>
          </w:tcPr>
          <w:p w14:paraId="0114B171">
            <w:pPr>
              <w:spacing w:line="360" w:lineRule="auto"/>
              <w:rPr>
                <w:rFonts w:hint="eastAsia" w:ascii="仿宋" w:hAnsi="仿宋" w:eastAsia="仿宋" w:cs="仿宋"/>
                <w:color w:val="000000"/>
                <w:sz w:val="32"/>
                <w:szCs w:val="32"/>
              </w:rPr>
            </w:pPr>
            <w:r>
              <w:rPr>
                <w:rFonts w:hint="eastAsia" w:ascii="仿宋" w:hAnsi="仿宋" w:eastAsia="仿宋" w:cs="仿宋"/>
                <w:color w:val="auto"/>
                <w:sz w:val="32"/>
                <w:szCs w:val="32"/>
                <w:highlight w:val="none"/>
                <w:lang w:val="en-US" w:eastAsia="zh-CN"/>
              </w:rPr>
              <w:t>详见《采购文件》</w:t>
            </w:r>
          </w:p>
        </w:tc>
      </w:tr>
      <w:tr w14:paraId="34CD08C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7BECDE9">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5</w:t>
            </w:r>
          </w:p>
        </w:tc>
        <w:tc>
          <w:tcPr>
            <w:tcW w:w="2275" w:type="dxa"/>
            <w:vAlign w:val="center"/>
          </w:tcPr>
          <w:p w14:paraId="67D41C87">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质量标准</w:t>
            </w:r>
          </w:p>
        </w:tc>
        <w:tc>
          <w:tcPr>
            <w:tcW w:w="5942" w:type="dxa"/>
            <w:vAlign w:val="center"/>
          </w:tcPr>
          <w:p w14:paraId="65BFDCF1">
            <w:pPr>
              <w:jc w:val="left"/>
              <w:rPr>
                <w:rFonts w:hint="eastAsia" w:ascii="仿宋" w:hAnsi="仿宋" w:eastAsia="仿宋" w:cs="仿宋"/>
                <w:color w:val="000000"/>
                <w:sz w:val="32"/>
                <w:szCs w:val="32"/>
              </w:rPr>
            </w:pPr>
            <w:r>
              <w:rPr>
                <w:rFonts w:hint="eastAsia" w:ascii="仿宋" w:hAnsi="仿宋" w:eastAsia="仿宋" w:cs="仿宋"/>
                <w:color w:val="auto"/>
                <w:sz w:val="32"/>
                <w:szCs w:val="32"/>
                <w:highlight w:val="none"/>
                <w:lang w:val="en-US" w:eastAsia="zh-CN"/>
              </w:rPr>
              <w:t>详见《采购文件》</w:t>
            </w:r>
          </w:p>
        </w:tc>
      </w:tr>
      <w:tr w14:paraId="1AF5FB1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427128F">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6</w:t>
            </w:r>
          </w:p>
        </w:tc>
        <w:tc>
          <w:tcPr>
            <w:tcW w:w="2275" w:type="dxa"/>
            <w:vAlign w:val="center"/>
          </w:tcPr>
          <w:p w14:paraId="119FDE60">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工期要求</w:t>
            </w:r>
          </w:p>
        </w:tc>
        <w:tc>
          <w:tcPr>
            <w:tcW w:w="5942" w:type="dxa"/>
            <w:vAlign w:val="center"/>
          </w:tcPr>
          <w:p w14:paraId="0731E0F4">
            <w:pPr>
              <w:spacing w:line="500" w:lineRule="exact"/>
              <w:jc w:val="left"/>
              <w:rPr>
                <w:rFonts w:hint="eastAsia" w:ascii="仿宋" w:hAnsi="仿宋" w:eastAsia="仿宋" w:cs="仿宋"/>
                <w:color w:val="000000"/>
                <w:sz w:val="32"/>
                <w:szCs w:val="32"/>
              </w:rPr>
            </w:pPr>
            <w:r>
              <w:rPr>
                <w:rFonts w:hint="eastAsia" w:ascii="仿宋" w:hAnsi="仿宋" w:eastAsia="仿宋" w:cs="仿宋"/>
                <w:color w:val="auto"/>
                <w:sz w:val="32"/>
                <w:szCs w:val="32"/>
                <w:highlight w:val="none"/>
                <w:lang w:val="en-US" w:eastAsia="zh-CN"/>
              </w:rPr>
              <w:t>详见《采购文件》</w:t>
            </w:r>
          </w:p>
        </w:tc>
      </w:tr>
      <w:tr w14:paraId="0F9B3B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9981503">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7</w:t>
            </w:r>
          </w:p>
        </w:tc>
        <w:tc>
          <w:tcPr>
            <w:tcW w:w="2275" w:type="dxa"/>
            <w:vAlign w:val="center"/>
          </w:tcPr>
          <w:p w14:paraId="4BACE5D3">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单位资质要求</w:t>
            </w:r>
          </w:p>
        </w:tc>
        <w:tc>
          <w:tcPr>
            <w:tcW w:w="5942" w:type="dxa"/>
            <w:vAlign w:val="center"/>
          </w:tcPr>
          <w:p w14:paraId="028EE992">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auto"/>
                <w:sz w:val="32"/>
                <w:szCs w:val="32"/>
                <w:highlight w:val="none"/>
                <w:lang w:val="en-US" w:eastAsia="zh-CN"/>
              </w:rPr>
              <w:t>详见《采购文件》</w:t>
            </w:r>
          </w:p>
        </w:tc>
      </w:tr>
      <w:tr w14:paraId="171392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22853BE">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8</w:t>
            </w:r>
          </w:p>
        </w:tc>
        <w:tc>
          <w:tcPr>
            <w:tcW w:w="2275" w:type="dxa"/>
          </w:tcPr>
          <w:p w14:paraId="11370BF9">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询价保证金金额及缴纳方式</w:t>
            </w:r>
          </w:p>
        </w:tc>
        <w:tc>
          <w:tcPr>
            <w:tcW w:w="5942" w:type="dxa"/>
            <w:vAlign w:val="center"/>
          </w:tcPr>
          <w:p w14:paraId="6495398F">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auto"/>
                <w:sz w:val="32"/>
                <w:szCs w:val="32"/>
                <w:highlight w:val="none"/>
                <w:lang w:val="en-US" w:eastAsia="zh-CN"/>
              </w:rPr>
              <w:t>详见《采购文件》</w:t>
            </w:r>
          </w:p>
        </w:tc>
      </w:tr>
      <w:tr w14:paraId="1AB9E9D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5C72242">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9</w:t>
            </w:r>
          </w:p>
        </w:tc>
        <w:tc>
          <w:tcPr>
            <w:tcW w:w="2275" w:type="dxa"/>
          </w:tcPr>
          <w:p w14:paraId="3A48EC8E">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询价有效期</w:t>
            </w:r>
          </w:p>
        </w:tc>
        <w:tc>
          <w:tcPr>
            <w:tcW w:w="5942" w:type="dxa"/>
            <w:vAlign w:val="center"/>
          </w:tcPr>
          <w:p w14:paraId="155B13DF">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90天</w:t>
            </w:r>
          </w:p>
        </w:tc>
      </w:tr>
      <w:tr w14:paraId="5EE2CB1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AA6EFCA">
            <w:pPr>
              <w:spacing w:line="360" w:lineRule="auto"/>
              <w:jc w:val="center"/>
              <w:rPr>
                <w:rFonts w:hint="eastAsia" w:ascii="仿宋" w:hAnsi="仿宋" w:eastAsia="仿宋" w:cs="仿宋"/>
                <w:color w:val="000000"/>
                <w:sz w:val="32"/>
                <w:szCs w:val="32"/>
              </w:rPr>
            </w:pPr>
          </w:p>
        </w:tc>
        <w:tc>
          <w:tcPr>
            <w:tcW w:w="2275" w:type="dxa"/>
            <w:vAlign w:val="center"/>
          </w:tcPr>
          <w:p w14:paraId="68D9896F">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响应人不得存在的情形</w:t>
            </w:r>
          </w:p>
        </w:tc>
        <w:tc>
          <w:tcPr>
            <w:tcW w:w="5942" w:type="dxa"/>
            <w:vAlign w:val="center"/>
          </w:tcPr>
          <w:p w14:paraId="470048FF">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1、响应人不得存在下列情形之一，否则采购人有权取消其参与响应资格或成交资格：</w:t>
            </w:r>
          </w:p>
          <w:p w14:paraId="7BD77322">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（1）为采购人不具有独立法人资格的附属机构（单位）；</w:t>
            </w:r>
          </w:p>
          <w:p w14:paraId="213BF81A">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（2）被责令停业的； </w:t>
            </w:r>
          </w:p>
          <w:p w14:paraId="3C8EA0D5">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（3）被暂停或取消投标资格的； </w:t>
            </w:r>
          </w:p>
          <w:p w14:paraId="40DD1FF6">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（4）财产被接管或冻结的；</w:t>
            </w:r>
          </w:p>
          <w:p w14:paraId="75B55CC2">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（5）在最近三年内有骗取中标、严重违约、重大质量或安全问题的；</w:t>
            </w:r>
          </w:p>
          <w:p w14:paraId="251F08B1">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（6）法律法规规定的其他情形；</w:t>
            </w:r>
          </w:p>
          <w:p w14:paraId="48C466ED">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（7）询价文件规定的其他情形：见询价公告或询价响应须知前附表。</w:t>
            </w:r>
          </w:p>
          <w:p w14:paraId="09D77CE0">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2、响应人在询价活动中有下列行为之一的，应视情节轻重，暂停或取消其参与采购人及东实集团旗下采购项目的资格：</w:t>
            </w:r>
          </w:p>
          <w:p w14:paraId="74CBCEF5">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（1）响应人之间相互串通、或与采购人、代理机构、评审委员会成员串通询价，损害采购人或者其他响应人的合法权益的； </w:t>
            </w:r>
          </w:p>
          <w:p w14:paraId="30890AE4">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（2）向采购人、代理机构、评审委会成员或其他相关工作人员行贿的； </w:t>
            </w:r>
          </w:p>
          <w:p w14:paraId="0935A1B4">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（3）以他人名义询价或以其他方式弄虚作假，骗取成交的； </w:t>
            </w:r>
          </w:p>
          <w:p w14:paraId="29C35E7F">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（4）成交人私自将成交项目转让给他人的，将成交项目肢解后分别转让给他人的； </w:t>
            </w:r>
          </w:p>
          <w:p w14:paraId="01B12B55">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（5）成交人无正当理由不与采购人订立合同，在签订合同时向采购人提出附加条件，或者不按照询价文件要求提交履约担保的；</w:t>
            </w:r>
          </w:p>
          <w:p w14:paraId="7639F3F9">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（6）响应人捏造事实、伪造材料或者以非法手段取得证明材料进行投诉，给他人造成损失的； </w:t>
            </w:r>
          </w:p>
          <w:p w14:paraId="1A1FFA8E">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（7）相关工作人员应当回避而不回避的； </w:t>
            </w:r>
          </w:p>
          <w:p w14:paraId="07241A78">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（8）其他违法违规的行为。</w:t>
            </w:r>
          </w:p>
          <w:p w14:paraId="2E5ED9BD">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3、有下列情形之一的，视为响应人串通询价，其响应无效：</w:t>
            </w:r>
          </w:p>
          <w:p w14:paraId="31D96A44">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（1）不同响应人的响应文件由同一单位或者个人编制；</w:t>
            </w:r>
          </w:p>
          <w:p w14:paraId="3CD3D980">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（2）不同响应人委托同一单位或者个人办理响应事宜；</w:t>
            </w:r>
          </w:p>
          <w:p w14:paraId="5961F1C7">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（3）不同响应人的响应文件载明的项目管理成员或者联系人员为同一人；</w:t>
            </w:r>
          </w:p>
          <w:p w14:paraId="2A28DAB4">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（4）不同响应人的响应文件异常一致或者响应报价呈规律性差异；</w:t>
            </w:r>
          </w:p>
          <w:p w14:paraId="50414BC2">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（5）不同响应人的响应文件相互混装；</w:t>
            </w:r>
          </w:p>
          <w:p w14:paraId="10A63757">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（6）不同响应人的响应保证金从同一单位或者个人的账户转出。</w:t>
            </w:r>
          </w:p>
          <w:p w14:paraId="484042BC">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4、使用通过受让或者租借等方式获取的资格、资质证书响应的，属于以他人名义询价，其响应无效：</w:t>
            </w:r>
          </w:p>
          <w:p w14:paraId="64F9E50F">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5、有下列情形之一的，属于以其他方式弄虚作假的行为，其响应无效：</w:t>
            </w:r>
          </w:p>
          <w:p w14:paraId="0E834348">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（1）使用伪造、变造的许可证件；</w:t>
            </w:r>
          </w:p>
          <w:p w14:paraId="6C4E538E">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（2）提供虚假的财务状况或者业绩； </w:t>
            </w:r>
          </w:p>
          <w:p w14:paraId="702FE7B9">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（3）提供虚假的项目负责人或者主要技术人员简历、劳动关系证明； </w:t>
            </w:r>
          </w:p>
          <w:p w14:paraId="1FB5F941">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（4）提供虚假的信用状况；</w:t>
            </w:r>
          </w:p>
          <w:p w14:paraId="1AFC086F">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（5）其他弄虚作假的行为。</w:t>
            </w:r>
          </w:p>
          <w:p w14:paraId="5A3AC96F">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6、响应人相关工作人员与采购人或采购代理机构有以下利害关系之一的，应当回避： </w:t>
            </w:r>
          </w:p>
          <w:p w14:paraId="538C7AA8">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（一）是其主要负责人的近亲属的；</w:t>
            </w:r>
          </w:p>
          <w:p w14:paraId="4146555E">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（二）询价活动前3年内与其存在劳动关系，担任其董事、监事，是其控股股东或实际控制人，或存在其他经济利益关系，可能影响询价活动公平公正的；</w:t>
            </w:r>
          </w:p>
          <w:p w14:paraId="6F3A0225">
            <w:pPr>
              <w:adjustRightInd w:val="0"/>
              <w:snapToGrid w:val="0"/>
              <w:spacing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（三）其他可能影响询价活动公平、公正进行的关系。</w:t>
            </w:r>
          </w:p>
        </w:tc>
      </w:tr>
      <w:tr w14:paraId="6E0F87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4CB6F5B">
            <w:pPr>
              <w:spacing w:line="360" w:lineRule="auto"/>
              <w:jc w:val="center"/>
              <w:rPr>
                <w:rFonts w:hint="eastAsia" w:ascii="仿宋" w:hAnsi="仿宋" w:eastAsia="仿宋" w:cs="仿宋"/>
                <w:color w:val="000000"/>
                <w:sz w:val="32"/>
                <w:szCs w:val="32"/>
              </w:rPr>
            </w:pPr>
          </w:p>
        </w:tc>
        <w:tc>
          <w:tcPr>
            <w:tcW w:w="2275" w:type="dxa"/>
            <w:vAlign w:val="center"/>
          </w:tcPr>
          <w:p w14:paraId="3AB61EA0">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w:t>
            </w:r>
          </w:p>
        </w:tc>
        <w:tc>
          <w:tcPr>
            <w:tcW w:w="5942" w:type="dxa"/>
            <w:vAlign w:val="center"/>
          </w:tcPr>
          <w:p w14:paraId="352C591E">
            <w:pPr>
              <w:adjustRightInd w:val="0"/>
              <w:snapToGrid w:val="0"/>
              <w:spacing w:line="560" w:lineRule="exact"/>
              <w:rPr>
                <w:rFonts w:hint="eastAsia" w:ascii="仿宋" w:hAnsi="仿宋" w:eastAsia="仿宋" w:cs="仿宋"/>
                <w:color w:val="000000"/>
                <w:sz w:val="32"/>
                <w:szCs w:val="32"/>
              </w:rPr>
            </w:pPr>
          </w:p>
        </w:tc>
      </w:tr>
      <w:tr w14:paraId="4E84C7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bottom w:val="double" w:color="auto" w:sz="4" w:space="0"/>
            </w:tcBorders>
            <w:vAlign w:val="center"/>
          </w:tcPr>
          <w:p w14:paraId="78BE72F3">
            <w:pPr>
              <w:spacing w:line="360" w:lineRule="auto"/>
              <w:jc w:val="center"/>
              <w:rPr>
                <w:rFonts w:hint="eastAsia" w:ascii="仿宋" w:hAnsi="仿宋" w:eastAsia="仿宋" w:cs="仿宋"/>
                <w:color w:val="000000"/>
                <w:sz w:val="32"/>
                <w:szCs w:val="32"/>
              </w:rPr>
            </w:pPr>
          </w:p>
        </w:tc>
        <w:tc>
          <w:tcPr>
            <w:tcW w:w="2275" w:type="dxa"/>
            <w:tcBorders>
              <w:bottom w:val="double" w:color="auto" w:sz="4" w:space="0"/>
            </w:tcBorders>
            <w:vAlign w:val="center"/>
          </w:tcPr>
          <w:p w14:paraId="75F1944F">
            <w:pPr>
              <w:spacing w:line="360" w:lineRule="auto"/>
              <w:jc w:val="center"/>
              <w:rPr>
                <w:rFonts w:hint="eastAsia" w:ascii="仿宋" w:hAnsi="仿宋" w:eastAsia="仿宋" w:cs="仿宋"/>
                <w:color w:val="000000"/>
                <w:sz w:val="32"/>
                <w:szCs w:val="32"/>
              </w:rPr>
            </w:pPr>
          </w:p>
        </w:tc>
        <w:tc>
          <w:tcPr>
            <w:tcW w:w="5942" w:type="dxa"/>
            <w:tcBorders>
              <w:bottom w:val="double" w:color="auto" w:sz="4" w:space="0"/>
            </w:tcBorders>
            <w:vAlign w:val="center"/>
          </w:tcPr>
          <w:p w14:paraId="3CBADEE9">
            <w:pPr>
              <w:adjustRightInd w:val="0"/>
              <w:snapToGrid w:val="0"/>
              <w:spacing w:line="560" w:lineRule="exact"/>
              <w:rPr>
                <w:rFonts w:hint="eastAsia" w:ascii="仿宋" w:hAnsi="仿宋" w:eastAsia="仿宋" w:cs="仿宋"/>
                <w:color w:val="000000"/>
                <w:sz w:val="32"/>
                <w:szCs w:val="32"/>
              </w:rPr>
            </w:pPr>
          </w:p>
        </w:tc>
      </w:tr>
    </w:tbl>
    <w:p w14:paraId="38310813">
      <w:pPr>
        <w:rPr>
          <w:rFonts w:eastAsia="方正仿宋_GB2312"/>
          <w:color w:val="000000"/>
          <w:sz w:val="32"/>
          <w:szCs w:val="32"/>
        </w:rPr>
      </w:pPr>
    </w:p>
    <w:p w14:paraId="05DD98D9">
      <w:pPr>
        <w:rPr>
          <w:rFonts w:eastAsia="方正仿宋_GB2312"/>
          <w:color w:val="000000"/>
          <w:sz w:val="32"/>
          <w:szCs w:val="32"/>
        </w:rPr>
      </w:pPr>
    </w:p>
    <w:p w14:paraId="74799706">
      <w:pPr>
        <w:rPr>
          <w:rFonts w:eastAsia="方正仿宋_GB2312"/>
          <w:color w:val="000000"/>
          <w:sz w:val="32"/>
          <w:szCs w:val="32"/>
        </w:rPr>
      </w:pPr>
    </w:p>
    <w:p w14:paraId="3BD1A1A0">
      <w:pPr>
        <w:rPr>
          <w:rFonts w:eastAsia="方正仿宋_GB2312"/>
          <w:color w:val="000000"/>
          <w:sz w:val="32"/>
          <w:szCs w:val="32"/>
        </w:rPr>
      </w:pPr>
    </w:p>
    <w:p w14:paraId="481BBEAE">
      <w:pPr>
        <w:rPr>
          <w:rFonts w:eastAsia="方正仿宋_GB2312"/>
          <w:color w:val="000000"/>
          <w:sz w:val="32"/>
          <w:szCs w:val="32"/>
        </w:rPr>
      </w:pPr>
    </w:p>
    <w:p w14:paraId="76564C71">
      <w:pPr>
        <w:rPr>
          <w:rFonts w:eastAsia="方正仿宋_GB2312"/>
          <w:color w:val="000000"/>
          <w:sz w:val="32"/>
          <w:szCs w:val="32"/>
        </w:rPr>
      </w:pPr>
    </w:p>
    <w:p w14:paraId="511DC16F">
      <w:pPr>
        <w:rPr>
          <w:rFonts w:eastAsia="方正仿宋_GB2312"/>
          <w:color w:val="000000"/>
          <w:sz w:val="32"/>
          <w:szCs w:val="32"/>
        </w:rPr>
      </w:pPr>
    </w:p>
    <w:p w14:paraId="2C0E655F">
      <w:pPr>
        <w:pStyle w:val="38"/>
        <w:ind w:firstLine="0" w:firstLineChars="0"/>
        <w:jc w:val="left"/>
        <w:outlineLvl w:val="1"/>
        <w:rPr>
          <w:rFonts w:eastAsia="黑体"/>
          <w:color w:val="000000"/>
          <w:sz w:val="28"/>
          <w:szCs w:val="44"/>
        </w:rPr>
      </w:pPr>
      <w:bookmarkStart w:id="2" w:name="_Hlk524442005"/>
      <w:r>
        <w:rPr>
          <w:rFonts w:hint="eastAsia" w:eastAsia="黑体"/>
          <w:color w:val="000000"/>
          <w:sz w:val="28"/>
          <w:szCs w:val="44"/>
        </w:rPr>
        <w:t>附件二报价函</w:t>
      </w:r>
    </w:p>
    <w:p w14:paraId="21BB1663">
      <w:pPr>
        <w:jc w:val="center"/>
        <w:rPr>
          <w:rFonts w:eastAsia="华文中宋"/>
          <w:color w:val="000000"/>
          <w:sz w:val="44"/>
          <w:szCs w:val="44"/>
        </w:rPr>
      </w:pPr>
      <w:r>
        <w:rPr>
          <w:rFonts w:hint="eastAsia" w:eastAsia="华文中宋"/>
          <w:color w:val="000000"/>
          <w:sz w:val="44"/>
          <w:szCs w:val="44"/>
        </w:rPr>
        <w:t>报价函</w:t>
      </w:r>
    </w:p>
    <w:p w14:paraId="5407EE45">
      <w:pPr>
        <w:ind w:firstLine="560"/>
        <w:jc w:val="center"/>
        <w:rPr>
          <w:rFonts w:hint="eastAsia" w:ascii="仿宋" w:hAnsi="仿宋" w:eastAsia="仿宋" w:cs="仿宋"/>
          <w:color w:val="000000"/>
          <w:sz w:val="32"/>
          <w:szCs w:val="32"/>
        </w:rPr>
      </w:pPr>
    </w:p>
    <w:p w14:paraId="441E8B42">
      <w:pPr>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东莞市能源投资集团有限公司：</w:t>
      </w:r>
    </w:p>
    <w:p w14:paraId="0FF20197">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针对贵司</w:t>
      </w:r>
      <w:r>
        <w:rPr>
          <w:rFonts w:hint="eastAsia" w:ascii="仿宋" w:hAnsi="仿宋" w:eastAsia="仿宋" w:cs="仿宋"/>
          <w:color w:val="000000"/>
          <w:sz w:val="32"/>
          <w:szCs w:val="32"/>
          <w:u w:val="none"/>
        </w:rPr>
        <w:t>东莞市能源投资集团有限公司智慧运营中心</w:t>
      </w:r>
      <w:r>
        <w:rPr>
          <w:rFonts w:hint="eastAsia" w:ascii="仿宋" w:hAnsi="仿宋" w:eastAsia="仿宋" w:cs="仿宋"/>
          <w:color w:val="000000"/>
          <w:sz w:val="32"/>
          <w:szCs w:val="32"/>
          <w:u w:val="none"/>
          <w:lang w:val="en-US" w:eastAsia="zh-CN"/>
        </w:rPr>
        <w:t>大屏及扩声系统采购</w:t>
      </w:r>
      <w:r>
        <w:rPr>
          <w:rFonts w:hint="eastAsia" w:ascii="仿宋" w:hAnsi="仿宋" w:eastAsia="仿宋" w:cs="仿宋"/>
          <w:color w:val="000000"/>
          <w:sz w:val="32"/>
          <w:szCs w:val="32"/>
        </w:rPr>
        <w:t>项目，我司愿意以含税价合计人民币</w:t>
      </w:r>
      <w:r>
        <w:rPr>
          <w:rFonts w:hint="eastAsia" w:ascii="仿宋" w:hAnsi="仿宋" w:eastAsia="仿宋" w:cs="仿宋"/>
          <w:color w:val="000000"/>
          <w:sz w:val="32"/>
          <w:szCs w:val="32"/>
          <w:u w:val="single"/>
        </w:rPr>
        <w:t>xxxx元（大写），¥xxx.00（小写）（开具  %专用发票）</w:t>
      </w:r>
      <w:r>
        <w:rPr>
          <w:rFonts w:hint="eastAsia" w:ascii="仿宋" w:hAnsi="仿宋" w:eastAsia="仿宋" w:cs="仿宋"/>
          <w:color w:val="000000"/>
          <w:sz w:val="32"/>
          <w:szCs w:val="32"/>
        </w:rPr>
        <w:t>承接此项目。</w:t>
      </w:r>
    </w:p>
    <w:p w14:paraId="64E89E1A">
      <w:pPr>
        <w:rPr>
          <w:rFonts w:hint="eastAsia" w:ascii="仿宋" w:hAnsi="仿宋" w:eastAsia="仿宋" w:cs="仿宋"/>
          <w:color w:val="000000"/>
          <w:sz w:val="32"/>
          <w:szCs w:val="32"/>
        </w:rPr>
      </w:pPr>
    </w:p>
    <w:p w14:paraId="7B3585EB">
      <w:pPr>
        <w:rPr>
          <w:rFonts w:hint="eastAsia" w:ascii="仿宋" w:hAnsi="仿宋" w:eastAsia="仿宋" w:cs="仿宋"/>
          <w:color w:val="000000"/>
          <w:sz w:val="32"/>
          <w:szCs w:val="32"/>
        </w:rPr>
      </w:pPr>
    </w:p>
    <w:p w14:paraId="10B13975">
      <w:pPr>
        <w:rPr>
          <w:rFonts w:hint="eastAsia" w:ascii="仿宋" w:hAnsi="仿宋" w:eastAsia="仿宋" w:cs="仿宋"/>
          <w:color w:val="000000"/>
          <w:sz w:val="32"/>
          <w:szCs w:val="32"/>
        </w:rPr>
      </w:pPr>
    </w:p>
    <w:p w14:paraId="2E524121">
      <w:pPr>
        <w:jc w:val="left"/>
        <w:rPr>
          <w:rFonts w:hint="eastAsia" w:ascii="仿宋" w:hAnsi="仿宋" w:eastAsia="仿宋" w:cs="仿宋"/>
          <w:color w:val="000000"/>
          <w:sz w:val="32"/>
          <w:szCs w:val="32"/>
        </w:rPr>
      </w:pPr>
      <w:r>
        <w:rPr>
          <w:rFonts w:hint="eastAsia" w:ascii="仿宋" w:hAnsi="仿宋" w:eastAsia="仿宋" w:cs="仿宋"/>
          <w:color w:val="000000"/>
          <w:sz w:val="32"/>
          <w:szCs w:val="32"/>
        </w:rPr>
        <w:t>响应人名称（加盖公章）：</w:t>
      </w:r>
    </w:p>
    <w:p w14:paraId="58FC92F4">
      <w:pPr>
        <w:jc w:val="left"/>
        <w:rPr>
          <w:rFonts w:hint="eastAsia" w:ascii="仿宋" w:hAnsi="仿宋" w:eastAsia="仿宋" w:cs="仿宋"/>
          <w:color w:val="000000"/>
          <w:sz w:val="32"/>
          <w:szCs w:val="32"/>
        </w:rPr>
      </w:pPr>
      <w:r>
        <w:rPr>
          <w:rFonts w:hint="eastAsia" w:ascii="仿宋" w:hAnsi="仿宋" w:eastAsia="仿宋" w:cs="仿宋"/>
          <w:color w:val="000000"/>
          <w:sz w:val="32"/>
          <w:szCs w:val="32"/>
        </w:rPr>
        <w:t>法定代表人（签名或盖章）：</w:t>
      </w:r>
    </w:p>
    <w:p w14:paraId="0339BAB4">
      <w:pPr>
        <w:jc w:val="left"/>
        <w:rPr>
          <w:rFonts w:hint="eastAsia" w:ascii="仿宋" w:hAnsi="仿宋" w:eastAsia="仿宋" w:cs="仿宋"/>
          <w:color w:val="000000"/>
          <w:sz w:val="32"/>
          <w:szCs w:val="32"/>
        </w:rPr>
      </w:pPr>
      <w:r>
        <w:rPr>
          <w:rFonts w:hint="eastAsia" w:ascii="仿宋" w:hAnsi="仿宋" w:eastAsia="仿宋" w:cs="仿宋"/>
          <w:color w:val="000000"/>
          <w:sz w:val="32"/>
          <w:szCs w:val="32"/>
        </w:rPr>
        <w:t>联系人：</w:t>
      </w:r>
    </w:p>
    <w:p w14:paraId="53315BAD">
      <w:pPr>
        <w:jc w:val="left"/>
        <w:rPr>
          <w:rFonts w:hint="eastAsia" w:ascii="仿宋" w:hAnsi="仿宋" w:eastAsia="仿宋" w:cs="仿宋"/>
          <w:color w:val="000000"/>
          <w:sz w:val="32"/>
          <w:szCs w:val="32"/>
        </w:rPr>
      </w:pPr>
      <w:r>
        <w:rPr>
          <w:rFonts w:hint="eastAsia" w:ascii="仿宋" w:hAnsi="仿宋" w:eastAsia="仿宋" w:cs="仿宋"/>
          <w:color w:val="000000"/>
          <w:sz w:val="32"/>
          <w:szCs w:val="32"/>
        </w:rPr>
        <w:t>联系电话：</w:t>
      </w:r>
    </w:p>
    <w:p w14:paraId="519B9DED">
      <w:pPr>
        <w:jc w:val="left"/>
        <w:rPr>
          <w:rFonts w:hint="eastAsia" w:ascii="仿宋" w:hAnsi="仿宋" w:eastAsia="仿宋" w:cs="仿宋"/>
          <w:color w:val="000000"/>
          <w:sz w:val="32"/>
          <w:szCs w:val="32"/>
        </w:rPr>
      </w:pPr>
      <w:r>
        <w:rPr>
          <w:rFonts w:hint="eastAsia" w:ascii="仿宋" w:hAnsi="仿宋" w:eastAsia="仿宋" w:cs="仿宋"/>
          <w:color w:val="000000"/>
          <w:sz w:val="32"/>
          <w:szCs w:val="32"/>
        </w:rPr>
        <w:t>日期：</w:t>
      </w:r>
    </w:p>
    <w:p w14:paraId="2D47247D">
      <w:pPr>
        <w:jc w:val="center"/>
        <w:rPr>
          <w:rFonts w:hint="eastAsia" w:ascii="仿宋" w:hAnsi="仿宋" w:eastAsia="仿宋" w:cs="仿宋"/>
          <w:color w:val="000000"/>
          <w:sz w:val="32"/>
          <w:szCs w:val="32"/>
        </w:rPr>
      </w:pPr>
    </w:p>
    <w:p w14:paraId="327DF2B6">
      <w:pPr>
        <w:jc w:val="center"/>
        <w:rPr>
          <w:rFonts w:hint="eastAsia" w:ascii="仿宋" w:hAnsi="仿宋" w:eastAsia="仿宋" w:cs="仿宋"/>
          <w:color w:val="000000"/>
          <w:sz w:val="32"/>
          <w:szCs w:val="32"/>
        </w:rPr>
      </w:pPr>
    </w:p>
    <w:p w14:paraId="3EC2A407">
      <w:pPr>
        <w:jc w:val="center"/>
        <w:rPr>
          <w:rFonts w:hint="eastAsia" w:ascii="仿宋" w:hAnsi="仿宋" w:eastAsia="仿宋" w:cs="仿宋"/>
          <w:color w:val="000000"/>
          <w:sz w:val="32"/>
          <w:szCs w:val="32"/>
        </w:rPr>
      </w:pPr>
    </w:p>
    <w:p w14:paraId="5C7AEAB2">
      <w:pPr>
        <w:jc w:val="center"/>
        <w:rPr>
          <w:rFonts w:hint="eastAsia" w:ascii="仿宋" w:hAnsi="仿宋" w:eastAsia="仿宋" w:cs="仿宋"/>
          <w:color w:val="000000"/>
          <w:sz w:val="32"/>
          <w:szCs w:val="32"/>
        </w:rPr>
      </w:pPr>
    </w:p>
    <w:p w14:paraId="0DCB434F">
      <w:pPr>
        <w:jc w:val="center"/>
        <w:rPr>
          <w:rFonts w:eastAsia="方正仿宋_GB2312"/>
          <w:color w:val="000000"/>
          <w:sz w:val="32"/>
          <w:szCs w:val="32"/>
        </w:rPr>
      </w:pPr>
    </w:p>
    <w:p w14:paraId="288835D9">
      <w:pPr>
        <w:jc w:val="center"/>
        <w:rPr>
          <w:rFonts w:eastAsia="方正仿宋_GB2312"/>
          <w:color w:val="000000"/>
          <w:sz w:val="32"/>
          <w:szCs w:val="32"/>
        </w:rPr>
      </w:pPr>
    </w:p>
    <w:p w14:paraId="75D7A69B">
      <w:pPr>
        <w:pStyle w:val="38"/>
        <w:ind w:firstLine="0" w:firstLineChars="0"/>
        <w:jc w:val="left"/>
        <w:outlineLvl w:val="1"/>
        <w:rPr>
          <w:rFonts w:eastAsia="黑体"/>
          <w:color w:val="000000"/>
          <w:sz w:val="28"/>
          <w:szCs w:val="44"/>
        </w:rPr>
      </w:pPr>
      <w:r>
        <w:rPr>
          <w:rFonts w:hint="eastAsia" w:eastAsia="黑体"/>
          <w:color w:val="000000"/>
          <w:sz w:val="28"/>
          <w:szCs w:val="44"/>
        </w:rPr>
        <w:t>附件三法人证明</w:t>
      </w:r>
    </w:p>
    <w:p w14:paraId="36C5D9F1">
      <w:pPr>
        <w:pStyle w:val="38"/>
        <w:ind w:firstLine="0" w:firstLineChars="0"/>
        <w:jc w:val="left"/>
        <w:rPr>
          <w:rFonts w:eastAsia="黑体"/>
          <w:color w:val="000000"/>
          <w:sz w:val="28"/>
          <w:szCs w:val="44"/>
        </w:rPr>
      </w:pPr>
    </w:p>
    <w:p w14:paraId="27D694EF">
      <w:pPr>
        <w:jc w:val="center"/>
        <w:rPr>
          <w:rFonts w:hint="eastAsia" w:ascii="仿宋" w:hAnsi="仿宋" w:eastAsia="仿宋" w:cs="仿宋"/>
          <w:b/>
          <w:bCs/>
          <w:color w:val="000000"/>
          <w:sz w:val="32"/>
          <w:szCs w:val="32"/>
        </w:rPr>
      </w:pPr>
      <w:r>
        <w:rPr>
          <w:rFonts w:hint="eastAsia" w:ascii="仿宋" w:hAnsi="仿宋" w:eastAsia="仿宋" w:cs="仿宋"/>
          <w:b/>
          <w:bCs/>
          <w:color w:val="000000"/>
          <w:sz w:val="32"/>
          <w:szCs w:val="32"/>
        </w:rPr>
        <w:t>法定代表人身份证明书及法定代表人身份证复印件</w:t>
      </w:r>
    </w:p>
    <w:p w14:paraId="0918E66F">
      <w:pPr>
        <w:rPr>
          <w:rFonts w:hint="eastAsia" w:ascii="仿宋" w:hAnsi="仿宋" w:eastAsia="仿宋" w:cs="仿宋"/>
          <w:color w:val="000000"/>
          <w:sz w:val="32"/>
          <w:szCs w:val="32"/>
        </w:rPr>
      </w:pPr>
    </w:p>
    <w:p w14:paraId="21CE1892">
      <w:pPr>
        <w:rPr>
          <w:rFonts w:hint="eastAsia" w:ascii="仿宋" w:hAnsi="仿宋" w:eastAsia="仿宋" w:cs="仿宋"/>
          <w:color w:val="auto"/>
          <w:sz w:val="32"/>
          <w:szCs w:val="32"/>
        </w:rPr>
      </w:pPr>
      <w:r>
        <w:rPr>
          <w:rFonts w:hint="eastAsia" w:ascii="仿宋" w:hAnsi="仿宋" w:eastAsia="仿宋" w:cs="仿宋"/>
          <w:color w:val="auto"/>
          <w:sz w:val="32"/>
          <w:szCs w:val="32"/>
          <w:u w:val="none"/>
        </w:rPr>
        <w:t>东莞市能源投资集团有限公司</w:t>
      </w:r>
      <w:r>
        <w:rPr>
          <w:rFonts w:hint="eastAsia" w:ascii="仿宋" w:hAnsi="仿宋" w:eastAsia="仿宋" w:cs="仿宋"/>
          <w:color w:val="auto"/>
          <w:sz w:val="32"/>
          <w:szCs w:val="32"/>
        </w:rPr>
        <w:t>：</w:t>
      </w:r>
    </w:p>
    <w:p w14:paraId="6E295589">
      <w:pPr>
        <w:pStyle w:val="37"/>
        <w:ind w:firstLine="659"/>
        <w:rPr>
          <w:rFonts w:hint="eastAsia" w:ascii="仿宋" w:hAnsi="仿宋" w:eastAsia="仿宋" w:cs="仿宋"/>
          <w:color w:val="000000"/>
          <w:sz w:val="32"/>
          <w:szCs w:val="32"/>
        </w:rPr>
      </w:pPr>
      <w:r>
        <w:rPr>
          <w:rFonts w:hint="eastAsia" w:ascii="仿宋" w:hAnsi="仿宋" w:eastAsia="仿宋" w:cs="仿宋"/>
          <w:color w:val="000000"/>
          <w:sz w:val="32"/>
          <w:szCs w:val="32"/>
        </w:rPr>
        <w:t>本证明书声明：注册于（国家名称）的</w:t>
      </w:r>
      <w:r>
        <w:rPr>
          <w:rFonts w:hint="eastAsia" w:ascii="仿宋" w:hAnsi="仿宋" w:eastAsia="仿宋" w:cs="仿宋"/>
          <w:color w:val="000000"/>
          <w:sz w:val="32"/>
          <w:szCs w:val="32"/>
          <w:u w:val="single"/>
        </w:rPr>
        <w:t>　　</w:t>
      </w:r>
      <w:r>
        <w:rPr>
          <w:rFonts w:hint="eastAsia" w:ascii="仿宋" w:hAnsi="仿宋" w:eastAsia="仿宋" w:cs="仿宋"/>
          <w:color w:val="000000"/>
          <w:sz w:val="32"/>
          <w:szCs w:val="32"/>
        </w:rPr>
        <w:t>（响应人名称）在下面签字的</w:t>
      </w:r>
      <w:r>
        <w:rPr>
          <w:rFonts w:hint="eastAsia" w:ascii="仿宋" w:hAnsi="仿宋" w:eastAsia="仿宋" w:cs="仿宋"/>
          <w:color w:val="000000"/>
          <w:sz w:val="32"/>
          <w:szCs w:val="32"/>
          <w:u w:val="single"/>
        </w:rPr>
        <w:t>　　　　　</w:t>
      </w:r>
      <w:r>
        <w:rPr>
          <w:rFonts w:hint="eastAsia" w:ascii="仿宋" w:hAnsi="仿宋" w:eastAsia="仿宋" w:cs="仿宋"/>
          <w:color w:val="000000"/>
          <w:sz w:val="32"/>
          <w:szCs w:val="32"/>
        </w:rPr>
        <w:t>（法定代表人姓名、职务）为本公司的合法代表人（</w:t>
      </w:r>
      <w:r>
        <w:rPr>
          <w:rFonts w:hint="eastAsia" w:ascii="仿宋" w:hAnsi="仿宋" w:eastAsia="仿宋" w:cs="仿宋"/>
          <w:b/>
          <w:bCs/>
          <w:color w:val="000000"/>
          <w:sz w:val="32"/>
          <w:szCs w:val="32"/>
        </w:rPr>
        <w:t>须附法定代表人身份证复印件</w:t>
      </w:r>
      <w:r>
        <w:rPr>
          <w:rFonts w:hint="eastAsia" w:ascii="仿宋" w:hAnsi="仿宋" w:eastAsia="仿宋" w:cs="仿宋"/>
          <w:color w:val="000000"/>
          <w:sz w:val="32"/>
          <w:szCs w:val="32"/>
        </w:rPr>
        <w:t>）。</w:t>
      </w:r>
    </w:p>
    <w:p w14:paraId="0301E5E6">
      <w:pPr>
        <w:spacing w:line="600" w:lineRule="exact"/>
        <w:ind w:firstLine="480" w:firstLineChars="150"/>
        <w:rPr>
          <w:rFonts w:hint="eastAsia" w:ascii="仿宋" w:hAnsi="仿宋" w:eastAsia="仿宋" w:cs="仿宋"/>
          <w:color w:val="000000"/>
          <w:sz w:val="32"/>
          <w:szCs w:val="32"/>
        </w:rPr>
      </w:pPr>
      <w:r>
        <w:rPr>
          <w:rFonts w:hint="eastAsia" w:ascii="仿宋" w:hAnsi="仿宋" w:eastAsia="仿宋" w:cs="仿宋"/>
          <w:color w:val="000000"/>
          <w:sz w:val="32"/>
          <w:szCs w:val="32"/>
        </w:rPr>
        <w:t>特此证明</w:t>
      </w:r>
    </w:p>
    <w:p w14:paraId="12A91E02">
      <w:pPr>
        <w:spacing w:line="600" w:lineRule="exact"/>
        <w:rPr>
          <w:rFonts w:hint="eastAsia" w:ascii="仿宋" w:hAnsi="仿宋" w:eastAsia="仿宋" w:cs="仿宋"/>
          <w:color w:val="000000"/>
          <w:sz w:val="32"/>
          <w:szCs w:val="32"/>
        </w:rPr>
      </w:pPr>
    </w:p>
    <w:p w14:paraId="5490B1C1">
      <w:pPr>
        <w:spacing w:line="600" w:lineRule="exact"/>
        <w:rPr>
          <w:rFonts w:hint="eastAsia" w:ascii="仿宋" w:hAnsi="仿宋" w:eastAsia="仿宋" w:cs="仿宋"/>
          <w:color w:val="000000"/>
          <w:sz w:val="32"/>
          <w:szCs w:val="32"/>
        </w:rPr>
      </w:pPr>
    </w:p>
    <w:p w14:paraId="27177664">
      <w:pPr>
        <w:spacing w:line="600" w:lineRule="exact"/>
        <w:rPr>
          <w:rFonts w:hint="eastAsia" w:ascii="仿宋" w:hAnsi="仿宋" w:eastAsia="仿宋" w:cs="仿宋"/>
          <w:color w:val="000000"/>
          <w:sz w:val="32"/>
          <w:szCs w:val="32"/>
        </w:rPr>
      </w:pPr>
    </w:p>
    <w:p w14:paraId="61D8F697">
      <w:pPr>
        <w:spacing w:line="600" w:lineRule="exact"/>
        <w:jc w:val="left"/>
        <w:rPr>
          <w:rFonts w:hint="eastAsia" w:ascii="仿宋" w:hAnsi="仿宋" w:eastAsia="仿宋" w:cs="仿宋"/>
          <w:color w:val="000000"/>
          <w:sz w:val="32"/>
          <w:szCs w:val="32"/>
        </w:rPr>
      </w:pPr>
      <w:r>
        <w:rPr>
          <w:rFonts w:hint="eastAsia" w:ascii="仿宋" w:hAnsi="仿宋" w:eastAsia="仿宋" w:cs="仿宋"/>
          <w:color w:val="000000"/>
          <w:sz w:val="32"/>
          <w:szCs w:val="32"/>
        </w:rPr>
        <w:t>响应人名称（加盖公章）：</w:t>
      </w:r>
    </w:p>
    <w:p w14:paraId="2E445CFA">
      <w:pPr>
        <w:spacing w:line="600" w:lineRule="exact"/>
        <w:jc w:val="left"/>
        <w:rPr>
          <w:rFonts w:hint="eastAsia" w:ascii="仿宋" w:hAnsi="仿宋" w:eastAsia="仿宋" w:cs="仿宋"/>
          <w:color w:val="000000"/>
          <w:sz w:val="32"/>
          <w:szCs w:val="32"/>
        </w:rPr>
      </w:pPr>
      <w:r>
        <w:rPr>
          <w:rFonts w:hint="eastAsia" w:ascii="仿宋" w:hAnsi="仿宋" w:eastAsia="仿宋" w:cs="仿宋"/>
          <w:color w:val="000000"/>
          <w:sz w:val="32"/>
          <w:szCs w:val="32"/>
        </w:rPr>
        <w:t>响应人地址：</w:t>
      </w:r>
    </w:p>
    <w:p w14:paraId="60F46E6E">
      <w:pPr>
        <w:spacing w:line="600" w:lineRule="exact"/>
        <w:jc w:val="left"/>
        <w:rPr>
          <w:rFonts w:hint="eastAsia" w:ascii="仿宋" w:hAnsi="仿宋" w:eastAsia="仿宋" w:cs="仿宋"/>
          <w:color w:val="000000"/>
          <w:sz w:val="32"/>
          <w:szCs w:val="32"/>
        </w:rPr>
      </w:pPr>
      <w:r>
        <w:rPr>
          <w:rFonts w:hint="eastAsia" w:ascii="仿宋" w:hAnsi="仿宋" w:eastAsia="仿宋" w:cs="仿宋"/>
          <w:color w:val="000000"/>
          <w:sz w:val="32"/>
          <w:szCs w:val="32"/>
        </w:rPr>
        <w:t>法定代表人（签名或盖私章）：</w:t>
      </w:r>
    </w:p>
    <w:p w14:paraId="45F6EC10">
      <w:pPr>
        <w:spacing w:line="600" w:lineRule="exact"/>
        <w:jc w:val="left"/>
        <w:rPr>
          <w:rFonts w:hint="eastAsia" w:ascii="仿宋" w:hAnsi="仿宋" w:eastAsia="仿宋" w:cs="仿宋"/>
          <w:color w:val="000000"/>
          <w:sz w:val="32"/>
          <w:szCs w:val="32"/>
        </w:rPr>
      </w:pPr>
      <w:r>
        <w:rPr>
          <w:rFonts w:hint="eastAsia" w:ascii="仿宋" w:hAnsi="仿宋" w:eastAsia="仿宋" w:cs="仿宋"/>
          <w:color w:val="000000"/>
          <w:sz w:val="32"/>
          <w:szCs w:val="32"/>
        </w:rPr>
        <w:t>职务：</w:t>
      </w:r>
    </w:p>
    <w:p w14:paraId="3239B943">
      <w:pPr>
        <w:rPr>
          <w:rFonts w:hint="eastAsia" w:ascii="仿宋" w:hAnsi="仿宋" w:eastAsia="仿宋" w:cs="仿宋"/>
          <w:color w:val="000000"/>
          <w:sz w:val="32"/>
          <w:szCs w:val="32"/>
        </w:rPr>
      </w:pPr>
    </w:p>
    <w:p w14:paraId="04FEDC91">
      <w:pPr>
        <w:widowControl/>
        <w:jc w:val="center"/>
        <w:rPr>
          <w:rFonts w:eastAsia="方正仿宋_GB2312"/>
          <w:color w:val="000000"/>
          <w:sz w:val="32"/>
          <w:szCs w:val="32"/>
        </w:rPr>
      </w:pPr>
      <w:r>
        <w:rPr>
          <w:rFonts w:hint="eastAsia" w:ascii="仿宋" w:hAnsi="仿宋" w:eastAsia="仿宋" w:cs="仿宋"/>
          <w:color w:val="000000"/>
          <w:sz w:val="32"/>
          <w:szCs w:val="32"/>
        </w:rPr>
        <w:br w:type="page"/>
      </w:r>
      <w:bookmarkStart w:id="3" w:name="_Toc384752807"/>
    </w:p>
    <w:p w14:paraId="01A9E4EA">
      <w:pPr>
        <w:pStyle w:val="38"/>
        <w:ind w:firstLine="0" w:firstLineChars="0"/>
        <w:jc w:val="left"/>
        <w:outlineLvl w:val="1"/>
        <w:rPr>
          <w:rFonts w:eastAsia="黑体"/>
          <w:color w:val="000000"/>
          <w:sz w:val="28"/>
          <w:szCs w:val="44"/>
        </w:rPr>
      </w:pPr>
      <w:bookmarkStart w:id="4" w:name="_Hlk40704362"/>
      <w:r>
        <w:rPr>
          <w:rFonts w:hint="eastAsia" w:eastAsia="黑体"/>
          <w:color w:val="000000"/>
          <w:sz w:val="28"/>
          <w:szCs w:val="44"/>
        </w:rPr>
        <w:t>附件四法人授权书</w:t>
      </w:r>
    </w:p>
    <w:p w14:paraId="5770B1F1">
      <w:pPr>
        <w:widowControl/>
        <w:jc w:val="center"/>
        <w:rPr>
          <w:rFonts w:hint="eastAsia" w:ascii="仿宋" w:hAnsi="仿宋" w:eastAsia="仿宋" w:cs="仿宋"/>
          <w:b/>
          <w:color w:val="000000"/>
          <w:sz w:val="32"/>
          <w:szCs w:val="32"/>
        </w:rPr>
      </w:pPr>
    </w:p>
    <w:p w14:paraId="60D84A32">
      <w:pPr>
        <w:widowControl/>
        <w:jc w:val="center"/>
        <w:rPr>
          <w:rFonts w:hint="eastAsia" w:ascii="仿宋" w:hAnsi="仿宋" w:eastAsia="仿宋" w:cs="仿宋"/>
          <w:color w:val="000000"/>
          <w:sz w:val="32"/>
          <w:szCs w:val="32"/>
        </w:rPr>
      </w:pPr>
      <w:r>
        <w:rPr>
          <w:rFonts w:hint="eastAsia" w:ascii="仿宋" w:hAnsi="仿宋" w:eastAsia="仿宋" w:cs="仿宋"/>
          <w:b/>
          <w:color w:val="000000"/>
          <w:sz w:val="32"/>
          <w:szCs w:val="32"/>
        </w:rPr>
        <w:t>授权委托书</w:t>
      </w:r>
      <w:bookmarkEnd w:id="3"/>
    </w:p>
    <w:p w14:paraId="67F34CED">
      <w:pPr>
        <w:pStyle w:val="37"/>
        <w:ind w:firstLine="0" w:firstLineChars="0"/>
        <w:rPr>
          <w:rFonts w:hint="eastAsia" w:ascii="仿宋" w:hAnsi="仿宋" w:eastAsia="仿宋" w:cs="仿宋"/>
          <w:color w:val="000000"/>
          <w:sz w:val="32"/>
          <w:szCs w:val="32"/>
        </w:rPr>
      </w:pPr>
    </w:p>
    <w:p w14:paraId="0DC58B34">
      <w:pPr>
        <w:rPr>
          <w:rFonts w:hint="eastAsia" w:ascii="仿宋" w:hAnsi="仿宋" w:eastAsia="仿宋" w:cs="仿宋"/>
          <w:color w:val="000000"/>
          <w:sz w:val="32"/>
          <w:szCs w:val="32"/>
        </w:rPr>
      </w:pPr>
      <w:r>
        <w:rPr>
          <w:rFonts w:hint="eastAsia" w:ascii="仿宋" w:hAnsi="仿宋" w:eastAsia="仿宋" w:cs="仿宋"/>
          <w:color w:val="000000"/>
          <w:sz w:val="32"/>
          <w:szCs w:val="32"/>
          <w:u w:val="none"/>
          <w:lang w:eastAsia="zh-CN"/>
        </w:rPr>
        <w:t>东莞市能源投资集团有限公司</w:t>
      </w:r>
      <w:r>
        <w:rPr>
          <w:rFonts w:hint="eastAsia" w:ascii="仿宋" w:hAnsi="仿宋" w:eastAsia="仿宋" w:cs="仿宋"/>
          <w:color w:val="000000"/>
          <w:sz w:val="32"/>
          <w:szCs w:val="32"/>
        </w:rPr>
        <w:t>：</w:t>
      </w:r>
    </w:p>
    <w:p w14:paraId="02AB66E7">
      <w:pPr>
        <w:pStyle w:val="37"/>
        <w:ind w:firstLine="659"/>
        <w:rPr>
          <w:rFonts w:hint="eastAsia" w:ascii="仿宋" w:hAnsi="仿宋" w:eastAsia="仿宋" w:cs="仿宋"/>
          <w:color w:val="000000"/>
          <w:sz w:val="32"/>
          <w:szCs w:val="32"/>
        </w:rPr>
      </w:pPr>
      <w:r>
        <w:rPr>
          <w:rFonts w:hint="eastAsia" w:ascii="仿宋" w:hAnsi="仿宋" w:eastAsia="仿宋" w:cs="仿宋"/>
          <w:color w:val="000000"/>
          <w:sz w:val="32"/>
          <w:szCs w:val="32"/>
        </w:rPr>
        <w:t>本委托书声明：在下面签字的</w:t>
      </w:r>
      <w:r>
        <w:rPr>
          <w:rFonts w:hint="eastAsia" w:ascii="仿宋" w:hAnsi="仿宋" w:eastAsia="仿宋" w:cs="仿宋"/>
          <w:color w:val="000000"/>
          <w:sz w:val="32"/>
          <w:szCs w:val="32"/>
          <w:u w:val="single"/>
        </w:rPr>
        <w:t>（填写法定代表人姓名、职务）</w:t>
      </w:r>
      <w:r>
        <w:rPr>
          <w:rFonts w:hint="eastAsia" w:ascii="仿宋" w:hAnsi="仿宋" w:eastAsia="仿宋" w:cs="仿宋"/>
          <w:color w:val="000000"/>
          <w:sz w:val="32"/>
          <w:szCs w:val="32"/>
        </w:rPr>
        <w:t>代表</w:t>
      </w:r>
      <w:r>
        <w:rPr>
          <w:rFonts w:hint="eastAsia" w:ascii="仿宋" w:hAnsi="仿宋" w:eastAsia="仿宋" w:cs="仿宋"/>
          <w:color w:val="000000"/>
          <w:sz w:val="32"/>
          <w:szCs w:val="32"/>
          <w:u w:val="single"/>
        </w:rPr>
        <w:t>（填写响应人名称）</w:t>
      </w:r>
      <w:r>
        <w:rPr>
          <w:rFonts w:hint="eastAsia" w:ascii="仿宋" w:hAnsi="仿宋" w:eastAsia="仿宋" w:cs="仿宋"/>
          <w:color w:val="000000"/>
          <w:sz w:val="32"/>
          <w:szCs w:val="32"/>
        </w:rPr>
        <w:t>委托在下面签字的</w:t>
      </w:r>
      <w:r>
        <w:rPr>
          <w:rFonts w:hint="eastAsia" w:ascii="仿宋" w:hAnsi="仿宋" w:eastAsia="仿宋" w:cs="仿宋"/>
          <w:color w:val="000000"/>
          <w:sz w:val="32"/>
          <w:szCs w:val="32"/>
          <w:u w:val="single"/>
        </w:rPr>
        <w:t>（填写受委托人的姓名、职务）</w:t>
      </w:r>
      <w:r>
        <w:rPr>
          <w:rFonts w:hint="eastAsia" w:ascii="仿宋" w:hAnsi="仿宋" w:eastAsia="仿宋" w:cs="仿宋"/>
          <w:color w:val="000000"/>
          <w:sz w:val="32"/>
          <w:szCs w:val="32"/>
        </w:rPr>
        <w:t>为本公司的合法代表人，就</w:t>
      </w:r>
      <w:r>
        <w:rPr>
          <w:rFonts w:hint="eastAsia" w:ascii="仿宋" w:hAnsi="仿宋" w:eastAsia="仿宋" w:cs="仿宋"/>
          <w:color w:val="000000"/>
          <w:sz w:val="32"/>
          <w:szCs w:val="32"/>
          <w:u w:val="single"/>
        </w:rPr>
        <w:t>（填写项目名称）</w:t>
      </w:r>
      <w:r>
        <w:rPr>
          <w:rFonts w:hint="eastAsia" w:ascii="仿宋" w:hAnsi="仿宋" w:eastAsia="仿宋" w:cs="仿宋"/>
          <w:color w:val="000000"/>
          <w:sz w:val="32"/>
          <w:szCs w:val="32"/>
        </w:rPr>
        <w:t>项目等相关服务的谈判和合同的执行，以我方的名义处理一切与之有关的事宜（相关身份证复印件须附后）。</w:t>
      </w:r>
    </w:p>
    <w:p w14:paraId="1C96563D">
      <w:pPr>
        <w:pStyle w:val="37"/>
        <w:ind w:firstLine="659"/>
        <w:rPr>
          <w:rFonts w:hint="eastAsia" w:ascii="仿宋" w:hAnsi="仿宋" w:eastAsia="仿宋" w:cs="仿宋"/>
          <w:color w:val="000000"/>
          <w:sz w:val="32"/>
          <w:szCs w:val="32"/>
        </w:rPr>
      </w:pPr>
    </w:p>
    <w:p w14:paraId="056B5A82">
      <w:pPr>
        <w:pStyle w:val="37"/>
        <w:ind w:firstLine="659"/>
        <w:rPr>
          <w:rFonts w:hint="eastAsia" w:ascii="仿宋" w:hAnsi="仿宋" w:eastAsia="仿宋" w:cs="仿宋"/>
          <w:color w:val="000000"/>
          <w:sz w:val="32"/>
          <w:szCs w:val="32"/>
        </w:rPr>
      </w:pPr>
      <w:r>
        <w:rPr>
          <w:rFonts w:hint="eastAsia" w:ascii="仿宋" w:hAnsi="仿宋" w:eastAsia="仿宋" w:cs="仿宋"/>
          <w:color w:val="000000"/>
          <w:sz w:val="32"/>
          <w:szCs w:val="32"/>
        </w:rPr>
        <w:t>本委托书于年月日至年月日签字生效，有效期与询价有效期一致，特此声明。</w:t>
      </w:r>
    </w:p>
    <w:p w14:paraId="3CDD96AD">
      <w:pPr>
        <w:pStyle w:val="37"/>
        <w:ind w:firstLine="659"/>
        <w:rPr>
          <w:rFonts w:hint="eastAsia" w:ascii="仿宋" w:hAnsi="仿宋" w:eastAsia="仿宋" w:cs="仿宋"/>
          <w:color w:val="000000"/>
          <w:sz w:val="32"/>
          <w:szCs w:val="32"/>
        </w:rPr>
      </w:pPr>
    </w:p>
    <w:p w14:paraId="1CDE23EA">
      <w:pPr>
        <w:pStyle w:val="37"/>
        <w:ind w:right="160" w:firstLine="0" w:firstLineChars="0"/>
        <w:jc w:val="left"/>
        <w:rPr>
          <w:rFonts w:hint="eastAsia" w:ascii="仿宋" w:hAnsi="仿宋" w:eastAsia="仿宋" w:cs="仿宋"/>
          <w:color w:val="000000"/>
          <w:sz w:val="32"/>
          <w:szCs w:val="32"/>
        </w:rPr>
      </w:pPr>
      <w:r>
        <w:rPr>
          <w:rFonts w:hint="eastAsia" w:ascii="仿宋" w:hAnsi="仿宋" w:eastAsia="仿宋" w:cs="仿宋"/>
          <w:color w:val="000000"/>
          <w:sz w:val="32"/>
          <w:szCs w:val="32"/>
        </w:rPr>
        <w:t>响应人名称（加盖公章）：</w:t>
      </w:r>
    </w:p>
    <w:p w14:paraId="25148466">
      <w:pPr>
        <w:pStyle w:val="37"/>
        <w:ind w:firstLine="0" w:firstLineChars="0"/>
        <w:jc w:val="left"/>
        <w:rPr>
          <w:rFonts w:hint="eastAsia" w:ascii="仿宋" w:hAnsi="仿宋" w:eastAsia="仿宋" w:cs="仿宋"/>
          <w:color w:val="000000"/>
          <w:sz w:val="32"/>
          <w:szCs w:val="32"/>
        </w:rPr>
      </w:pPr>
      <w:r>
        <w:rPr>
          <w:rFonts w:hint="eastAsia" w:ascii="仿宋" w:hAnsi="仿宋" w:eastAsia="仿宋" w:cs="仿宋"/>
          <w:color w:val="000000"/>
          <w:sz w:val="32"/>
          <w:szCs w:val="32"/>
        </w:rPr>
        <w:t>响应人地址：</w:t>
      </w:r>
    </w:p>
    <w:p w14:paraId="77884E1C">
      <w:pPr>
        <w:pStyle w:val="37"/>
        <w:ind w:firstLine="0" w:firstLineChars="0"/>
        <w:jc w:val="left"/>
        <w:rPr>
          <w:rFonts w:hint="eastAsia" w:ascii="仿宋" w:hAnsi="仿宋" w:eastAsia="仿宋" w:cs="仿宋"/>
          <w:color w:val="000000"/>
          <w:sz w:val="32"/>
          <w:szCs w:val="32"/>
        </w:rPr>
      </w:pPr>
      <w:r>
        <w:rPr>
          <w:rFonts w:hint="eastAsia" w:ascii="仿宋" w:hAnsi="仿宋" w:eastAsia="仿宋" w:cs="仿宋"/>
          <w:color w:val="000000"/>
          <w:sz w:val="32"/>
          <w:szCs w:val="32"/>
        </w:rPr>
        <w:t>法定代表人（签字或盖章）：</w:t>
      </w:r>
    </w:p>
    <w:p w14:paraId="2ED279E0">
      <w:pPr>
        <w:pStyle w:val="37"/>
        <w:ind w:firstLine="0" w:firstLineChars="0"/>
        <w:jc w:val="left"/>
        <w:rPr>
          <w:rFonts w:hint="eastAsia" w:ascii="仿宋" w:hAnsi="仿宋" w:eastAsia="仿宋" w:cs="仿宋"/>
          <w:color w:val="000000"/>
          <w:sz w:val="32"/>
          <w:szCs w:val="32"/>
        </w:rPr>
      </w:pPr>
      <w:r>
        <w:rPr>
          <w:rFonts w:hint="eastAsia" w:ascii="仿宋" w:hAnsi="仿宋" w:eastAsia="仿宋" w:cs="仿宋"/>
          <w:color w:val="000000"/>
          <w:sz w:val="32"/>
          <w:szCs w:val="32"/>
        </w:rPr>
        <w:t>职务：</w:t>
      </w:r>
    </w:p>
    <w:p w14:paraId="68F457DC">
      <w:pPr>
        <w:pStyle w:val="37"/>
        <w:ind w:firstLine="0" w:firstLineChars="0"/>
        <w:jc w:val="left"/>
        <w:rPr>
          <w:rFonts w:hint="eastAsia" w:ascii="仿宋" w:hAnsi="仿宋" w:eastAsia="仿宋" w:cs="仿宋"/>
          <w:color w:val="000000"/>
          <w:sz w:val="32"/>
          <w:szCs w:val="32"/>
        </w:rPr>
      </w:pPr>
      <w:r>
        <w:rPr>
          <w:rFonts w:hint="eastAsia" w:ascii="仿宋" w:hAnsi="仿宋" w:eastAsia="仿宋" w:cs="仿宋"/>
          <w:color w:val="000000"/>
          <w:sz w:val="32"/>
          <w:szCs w:val="32"/>
        </w:rPr>
        <w:t>受委托人（签字或盖章）：</w:t>
      </w:r>
    </w:p>
    <w:p w14:paraId="4371BB6D">
      <w:pPr>
        <w:pStyle w:val="37"/>
        <w:ind w:firstLine="0" w:firstLineChars="0"/>
        <w:jc w:val="left"/>
        <w:rPr>
          <w:rFonts w:hint="eastAsia" w:ascii="仿宋" w:hAnsi="仿宋" w:eastAsia="仿宋" w:cs="仿宋"/>
          <w:color w:val="000000"/>
          <w:sz w:val="32"/>
          <w:szCs w:val="32"/>
        </w:rPr>
      </w:pPr>
      <w:r>
        <w:rPr>
          <w:rFonts w:hint="eastAsia" w:ascii="仿宋" w:hAnsi="仿宋" w:eastAsia="仿宋" w:cs="仿宋"/>
          <w:color w:val="000000"/>
          <w:sz w:val="32"/>
          <w:szCs w:val="32"/>
        </w:rPr>
        <w:t>职务：</w:t>
      </w:r>
    </w:p>
    <w:p w14:paraId="7DE5B140">
      <w:pPr>
        <w:pStyle w:val="37"/>
        <w:ind w:firstLine="0" w:firstLineChars="0"/>
        <w:jc w:val="left"/>
        <w:rPr>
          <w:rFonts w:hint="eastAsia" w:ascii="仿宋" w:hAnsi="仿宋" w:eastAsia="仿宋" w:cs="仿宋"/>
          <w:color w:val="000000"/>
          <w:sz w:val="32"/>
          <w:szCs w:val="32"/>
        </w:rPr>
      </w:pPr>
      <w:r>
        <w:rPr>
          <w:rFonts w:hint="eastAsia" w:ascii="仿宋" w:hAnsi="仿宋" w:eastAsia="仿宋" w:cs="仿宋"/>
          <w:color w:val="000000"/>
          <w:sz w:val="32"/>
          <w:szCs w:val="32"/>
        </w:rPr>
        <w:t>日期：</w:t>
      </w:r>
    </w:p>
    <w:bookmarkEnd w:id="4"/>
    <w:p w14:paraId="05C26E09">
      <w:pPr>
        <w:pStyle w:val="38"/>
        <w:ind w:firstLine="0" w:firstLineChars="0"/>
        <w:jc w:val="left"/>
        <w:outlineLvl w:val="1"/>
        <w:rPr>
          <w:rFonts w:eastAsia="黑体"/>
          <w:color w:val="000000"/>
          <w:sz w:val="28"/>
          <w:szCs w:val="44"/>
        </w:rPr>
      </w:pPr>
      <w:r>
        <w:rPr>
          <w:rFonts w:hint="eastAsia" w:ascii="仿宋" w:hAnsi="仿宋" w:eastAsia="仿宋" w:cs="仿宋"/>
          <w:color w:val="000000"/>
          <w:sz w:val="32"/>
          <w:szCs w:val="32"/>
        </w:rPr>
        <w:br w:type="page"/>
      </w:r>
      <w:r>
        <w:rPr>
          <w:rFonts w:hint="eastAsia" w:eastAsia="黑体"/>
          <w:color w:val="000000"/>
          <w:sz w:val="28"/>
          <w:szCs w:val="44"/>
        </w:rPr>
        <w:t>附件五承诺函</w:t>
      </w:r>
    </w:p>
    <w:p w14:paraId="2AE2E02E">
      <w:pPr>
        <w:pStyle w:val="38"/>
        <w:ind w:firstLine="0" w:firstLineChars="0"/>
        <w:jc w:val="center"/>
        <w:rPr>
          <w:rFonts w:hint="eastAsia" w:ascii="仿宋" w:hAnsi="仿宋" w:eastAsia="仿宋" w:cs="仿宋"/>
          <w:b/>
          <w:color w:val="000000"/>
          <w:sz w:val="32"/>
          <w:szCs w:val="32"/>
        </w:rPr>
      </w:pPr>
      <w:r>
        <w:rPr>
          <w:rFonts w:hint="eastAsia" w:ascii="仿宋" w:hAnsi="仿宋" w:eastAsia="仿宋" w:cs="仿宋"/>
          <w:b/>
          <w:color w:val="000000"/>
          <w:sz w:val="32"/>
          <w:szCs w:val="32"/>
        </w:rPr>
        <w:t>承诺函</w:t>
      </w:r>
    </w:p>
    <w:p w14:paraId="0078CEE9">
      <w:pPr>
        <w:rPr>
          <w:rFonts w:hint="eastAsia" w:ascii="仿宋" w:hAnsi="仿宋" w:eastAsia="仿宋" w:cs="仿宋"/>
          <w:color w:val="000000"/>
          <w:sz w:val="32"/>
          <w:szCs w:val="32"/>
        </w:rPr>
      </w:pPr>
      <w:r>
        <w:rPr>
          <w:rFonts w:hint="eastAsia" w:ascii="仿宋" w:hAnsi="仿宋" w:eastAsia="仿宋" w:cs="仿宋"/>
          <w:color w:val="000000"/>
          <w:sz w:val="32"/>
          <w:szCs w:val="32"/>
          <w:u w:val="none"/>
          <w:lang w:eastAsia="zh-CN"/>
        </w:rPr>
        <w:t>东莞市能源投资集团有限公司</w:t>
      </w:r>
      <w:r>
        <w:rPr>
          <w:rFonts w:hint="eastAsia" w:ascii="仿宋" w:hAnsi="仿宋" w:eastAsia="仿宋" w:cs="仿宋"/>
          <w:color w:val="000000"/>
          <w:sz w:val="32"/>
          <w:szCs w:val="32"/>
        </w:rPr>
        <w:t>：</w:t>
      </w:r>
    </w:p>
    <w:p w14:paraId="449183D4">
      <w:pPr>
        <w:pStyle w:val="37"/>
        <w:ind w:firstLine="640" w:firstLineChars="0"/>
        <w:rPr>
          <w:rFonts w:hint="eastAsia" w:ascii="仿宋" w:hAnsi="仿宋" w:eastAsia="仿宋" w:cs="仿宋"/>
          <w:color w:val="000000"/>
          <w:sz w:val="32"/>
          <w:szCs w:val="32"/>
        </w:rPr>
      </w:pPr>
      <w:r>
        <w:rPr>
          <w:rFonts w:hint="eastAsia" w:ascii="仿宋" w:hAnsi="仿宋" w:eastAsia="仿宋" w:cs="仿宋"/>
          <w:color w:val="000000"/>
          <w:sz w:val="32"/>
          <w:szCs w:val="32"/>
        </w:rPr>
        <w:t>我司就参加</w:t>
      </w:r>
      <w:r>
        <w:rPr>
          <w:rFonts w:hint="eastAsia" w:ascii="仿宋" w:hAnsi="仿宋" w:eastAsia="仿宋" w:cs="仿宋"/>
          <w:color w:val="000000"/>
          <w:sz w:val="32"/>
          <w:szCs w:val="32"/>
          <w:u w:val="single"/>
        </w:rPr>
        <w:t xml:space="preserve">         （项目名称）</w:t>
      </w:r>
      <w:r>
        <w:rPr>
          <w:rFonts w:hint="eastAsia" w:ascii="仿宋" w:hAnsi="仿宋" w:eastAsia="仿宋" w:cs="仿宋"/>
          <w:color w:val="000000"/>
          <w:sz w:val="32"/>
          <w:szCs w:val="32"/>
        </w:rPr>
        <w:t>项目投标工作，作出以下承诺：</w:t>
      </w:r>
    </w:p>
    <w:p w14:paraId="55DC8B89">
      <w:pPr>
        <w:pStyle w:val="37"/>
        <w:ind w:firstLine="659"/>
        <w:rPr>
          <w:rFonts w:hint="eastAsia" w:ascii="仿宋" w:hAnsi="仿宋" w:eastAsia="仿宋" w:cs="仿宋"/>
          <w:color w:val="000000"/>
          <w:sz w:val="32"/>
          <w:szCs w:val="32"/>
        </w:rPr>
      </w:pPr>
      <w:r>
        <w:rPr>
          <w:rFonts w:hint="eastAsia" w:ascii="仿宋" w:hAnsi="仿宋" w:eastAsia="仿宋" w:cs="仿宋"/>
          <w:color w:val="000000"/>
          <w:sz w:val="32"/>
          <w:szCs w:val="32"/>
        </w:rPr>
        <w:t>我公司已充分了解采购项目情况，本次报价完全响应询价文件的要求，我公司所提供的</w:t>
      </w:r>
      <w:r>
        <w:rPr>
          <w:rFonts w:hint="eastAsia" w:ascii="仿宋" w:hAnsi="仿宋" w:eastAsia="仿宋" w:cs="仿宋"/>
          <w:color w:val="000000"/>
          <w:sz w:val="32"/>
          <w:szCs w:val="32"/>
          <w:u w:val="single"/>
        </w:rPr>
        <w:t xml:space="preserve">      （服务内容）</w:t>
      </w:r>
      <w:r>
        <w:rPr>
          <w:rFonts w:hint="eastAsia" w:ascii="仿宋" w:hAnsi="仿宋" w:eastAsia="仿宋" w:cs="仿宋"/>
          <w:color w:val="000000"/>
          <w:sz w:val="32"/>
          <w:szCs w:val="32"/>
        </w:rPr>
        <w:t>等于或优于采购人需求，并承诺如不满足采购人需求，采购人有权取消合同并进行违约处罚。</w:t>
      </w:r>
    </w:p>
    <w:p w14:paraId="0D60E658">
      <w:pPr>
        <w:pStyle w:val="37"/>
        <w:ind w:firstLine="659"/>
        <w:rPr>
          <w:rFonts w:hint="eastAsia" w:ascii="仿宋" w:hAnsi="仿宋" w:eastAsia="仿宋" w:cs="仿宋"/>
          <w:color w:val="000000"/>
          <w:sz w:val="32"/>
          <w:szCs w:val="32"/>
        </w:rPr>
      </w:pPr>
    </w:p>
    <w:p w14:paraId="2239702C">
      <w:pPr>
        <w:pStyle w:val="37"/>
        <w:ind w:firstLine="0" w:firstLineChars="0"/>
        <w:jc w:val="left"/>
        <w:rPr>
          <w:rFonts w:hint="eastAsia" w:ascii="仿宋" w:hAnsi="仿宋" w:eastAsia="仿宋" w:cs="仿宋"/>
          <w:color w:val="000000"/>
          <w:sz w:val="32"/>
          <w:szCs w:val="32"/>
        </w:rPr>
      </w:pPr>
    </w:p>
    <w:p w14:paraId="289BB05B">
      <w:pPr>
        <w:jc w:val="left"/>
        <w:rPr>
          <w:rFonts w:hint="eastAsia" w:ascii="仿宋" w:hAnsi="仿宋" w:eastAsia="仿宋" w:cs="仿宋"/>
          <w:color w:val="000000"/>
          <w:sz w:val="32"/>
          <w:szCs w:val="32"/>
        </w:rPr>
      </w:pPr>
    </w:p>
    <w:p w14:paraId="7C58418F">
      <w:pPr>
        <w:jc w:val="left"/>
        <w:rPr>
          <w:rFonts w:hint="eastAsia" w:ascii="仿宋" w:hAnsi="仿宋" w:eastAsia="仿宋" w:cs="仿宋"/>
          <w:color w:val="000000"/>
          <w:sz w:val="32"/>
          <w:szCs w:val="32"/>
        </w:rPr>
      </w:pPr>
    </w:p>
    <w:p w14:paraId="12581EB8">
      <w:pPr>
        <w:jc w:val="left"/>
        <w:rPr>
          <w:rFonts w:hint="eastAsia" w:ascii="仿宋" w:hAnsi="仿宋" w:eastAsia="仿宋" w:cs="仿宋"/>
          <w:color w:val="000000"/>
          <w:sz w:val="32"/>
          <w:szCs w:val="32"/>
        </w:rPr>
      </w:pPr>
    </w:p>
    <w:p w14:paraId="39B7B979">
      <w:pPr>
        <w:pStyle w:val="37"/>
        <w:ind w:right="160" w:firstLine="0" w:firstLineChars="0"/>
        <w:jc w:val="left"/>
        <w:rPr>
          <w:rFonts w:hint="eastAsia" w:ascii="仿宋" w:hAnsi="仿宋" w:eastAsia="仿宋" w:cs="仿宋"/>
          <w:color w:val="000000"/>
          <w:sz w:val="32"/>
          <w:szCs w:val="32"/>
        </w:rPr>
      </w:pPr>
      <w:r>
        <w:rPr>
          <w:rFonts w:hint="eastAsia" w:ascii="仿宋" w:hAnsi="仿宋" w:eastAsia="仿宋" w:cs="仿宋"/>
          <w:color w:val="000000"/>
          <w:sz w:val="32"/>
          <w:szCs w:val="32"/>
        </w:rPr>
        <w:t>响应人名称（加盖公章）：</w:t>
      </w:r>
    </w:p>
    <w:p w14:paraId="7A746251">
      <w:pPr>
        <w:pStyle w:val="37"/>
        <w:ind w:firstLine="0" w:firstLineChars="0"/>
        <w:jc w:val="left"/>
        <w:rPr>
          <w:rFonts w:hint="eastAsia" w:ascii="仿宋" w:hAnsi="仿宋" w:eastAsia="仿宋" w:cs="仿宋"/>
          <w:color w:val="000000"/>
          <w:sz w:val="32"/>
          <w:szCs w:val="32"/>
        </w:rPr>
      </w:pPr>
      <w:r>
        <w:rPr>
          <w:rFonts w:hint="eastAsia" w:ascii="仿宋" w:hAnsi="仿宋" w:eastAsia="仿宋" w:cs="仿宋"/>
          <w:color w:val="000000"/>
          <w:sz w:val="32"/>
          <w:szCs w:val="32"/>
        </w:rPr>
        <w:t>响应人地址：</w:t>
      </w:r>
    </w:p>
    <w:p w14:paraId="5B664169">
      <w:pPr>
        <w:pStyle w:val="37"/>
        <w:ind w:firstLine="0" w:firstLineChars="0"/>
        <w:jc w:val="left"/>
        <w:rPr>
          <w:rFonts w:hint="eastAsia" w:ascii="仿宋" w:hAnsi="仿宋" w:eastAsia="仿宋" w:cs="仿宋"/>
          <w:color w:val="000000"/>
          <w:sz w:val="32"/>
          <w:szCs w:val="32"/>
        </w:rPr>
      </w:pPr>
      <w:r>
        <w:rPr>
          <w:rFonts w:hint="eastAsia" w:ascii="仿宋" w:hAnsi="仿宋" w:eastAsia="仿宋" w:cs="仿宋"/>
          <w:color w:val="000000"/>
          <w:sz w:val="32"/>
          <w:szCs w:val="32"/>
        </w:rPr>
        <w:t>法定代表人（签字或盖章）：</w:t>
      </w:r>
    </w:p>
    <w:p w14:paraId="210B559E">
      <w:pPr>
        <w:pStyle w:val="37"/>
        <w:ind w:firstLine="0" w:firstLineChars="0"/>
        <w:jc w:val="left"/>
        <w:rPr>
          <w:rFonts w:hint="eastAsia" w:ascii="仿宋" w:hAnsi="仿宋" w:eastAsia="仿宋" w:cs="仿宋"/>
          <w:color w:val="000000"/>
          <w:sz w:val="32"/>
          <w:szCs w:val="32"/>
        </w:rPr>
      </w:pPr>
      <w:r>
        <w:rPr>
          <w:rFonts w:hint="eastAsia" w:ascii="仿宋" w:hAnsi="仿宋" w:eastAsia="仿宋" w:cs="仿宋"/>
          <w:color w:val="000000"/>
          <w:sz w:val="32"/>
          <w:szCs w:val="32"/>
        </w:rPr>
        <w:t>职务：</w:t>
      </w:r>
    </w:p>
    <w:p w14:paraId="223B3D4A">
      <w:pPr>
        <w:pStyle w:val="37"/>
        <w:ind w:firstLine="0" w:firstLineChars="0"/>
        <w:jc w:val="left"/>
        <w:rPr>
          <w:rFonts w:hint="eastAsia" w:ascii="仿宋" w:hAnsi="仿宋" w:eastAsia="仿宋" w:cs="仿宋"/>
          <w:color w:val="000000"/>
          <w:sz w:val="32"/>
          <w:szCs w:val="32"/>
        </w:rPr>
      </w:pPr>
      <w:r>
        <w:rPr>
          <w:rFonts w:hint="eastAsia" w:ascii="仿宋" w:hAnsi="仿宋" w:eastAsia="仿宋" w:cs="仿宋"/>
          <w:color w:val="000000"/>
          <w:sz w:val="32"/>
          <w:szCs w:val="32"/>
        </w:rPr>
        <w:t>日期：</w:t>
      </w:r>
    </w:p>
    <w:p w14:paraId="5F78D01E">
      <w:pPr>
        <w:pStyle w:val="37"/>
        <w:ind w:firstLine="0" w:firstLineChars="0"/>
        <w:jc w:val="left"/>
        <w:rPr>
          <w:rFonts w:hint="eastAsia" w:ascii="仿宋" w:hAnsi="仿宋" w:eastAsia="仿宋" w:cs="仿宋"/>
          <w:color w:val="000000"/>
          <w:sz w:val="32"/>
          <w:szCs w:val="32"/>
        </w:rPr>
      </w:pPr>
    </w:p>
    <w:p w14:paraId="08E1284A">
      <w:pPr>
        <w:pStyle w:val="37"/>
        <w:ind w:firstLine="0" w:firstLineChars="0"/>
        <w:jc w:val="left"/>
        <w:rPr>
          <w:rFonts w:hint="eastAsia" w:ascii="仿宋" w:hAnsi="仿宋" w:eastAsia="仿宋" w:cs="仿宋"/>
          <w:color w:val="000000"/>
          <w:sz w:val="32"/>
          <w:szCs w:val="32"/>
        </w:rPr>
      </w:pPr>
    </w:p>
    <w:p w14:paraId="48BA226A">
      <w:pPr>
        <w:rPr>
          <w:rFonts w:hint="eastAsia" w:ascii="仿宋" w:hAnsi="仿宋" w:eastAsia="仿宋" w:cs="仿宋"/>
          <w:color w:val="000000"/>
          <w:sz w:val="32"/>
          <w:szCs w:val="32"/>
        </w:rPr>
      </w:pPr>
    </w:p>
    <w:p w14:paraId="6E837115">
      <w:pPr>
        <w:pStyle w:val="38"/>
        <w:ind w:firstLine="0" w:firstLineChars="0"/>
        <w:jc w:val="left"/>
        <w:outlineLvl w:val="1"/>
        <w:rPr>
          <w:rFonts w:eastAsia="黑体"/>
          <w:color w:val="000000"/>
          <w:sz w:val="28"/>
          <w:szCs w:val="44"/>
        </w:rPr>
      </w:pPr>
      <w:bookmarkStart w:id="5" w:name="_Hlk40704598"/>
      <w:r>
        <w:rPr>
          <w:rFonts w:hint="eastAsia" w:eastAsia="黑体"/>
          <w:color w:val="000000"/>
          <w:sz w:val="28"/>
          <w:szCs w:val="44"/>
        </w:rPr>
        <w:t>附件六</w:t>
      </w:r>
      <w:r>
        <w:rPr>
          <w:rFonts w:hint="eastAsia" w:eastAsia="黑体"/>
          <w:color w:val="000000"/>
          <w:sz w:val="28"/>
          <w:szCs w:val="44"/>
          <w:lang w:val="en-US" w:eastAsia="zh-CN"/>
        </w:rPr>
        <w:t xml:space="preserve"> </w:t>
      </w:r>
      <w:r>
        <w:rPr>
          <w:rFonts w:hint="eastAsia" w:eastAsia="黑体"/>
          <w:color w:val="000000"/>
          <w:sz w:val="28"/>
          <w:szCs w:val="44"/>
        </w:rPr>
        <w:t>技术规范书</w:t>
      </w:r>
    </w:p>
    <w:p w14:paraId="0F32B41D">
      <w:pPr>
        <w:pStyle w:val="38"/>
        <w:keepNext w:val="0"/>
        <w:keepLines w:val="0"/>
        <w:pageBreakBefore w:val="0"/>
        <w:widowControl w:val="0"/>
        <w:kinsoku/>
        <w:wordWrap/>
        <w:overflowPunct/>
        <w:topLinePunct w:val="0"/>
        <w:autoSpaceDE/>
        <w:autoSpaceDN/>
        <w:bidi w:val="0"/>
        <w:adjustRightInd/>
        <w:snapToGrid/>
        <w:spacing w:line="720" w:lineRule="auto"/>
        <w:ind w:firstLine="0" w:firstLineChars="0"/>
        <w:jc w:val="center"/>
        <w:textAlignment w:val="auto"/>
        <w:rPr>
          <w:rFonts w:hint="eastAsia" w:ascii="仿宋" w:hAnsi="仿宋" w:eastAsia="仿宋" w:cs="仿宋"/>
          <w:b/>
          <w:color w:val="000000"/>
          <w:sz w:val="32"/>
          <w:szCs w:val="32"/>
        </w:rPr>
      </w:pPr>
      <w:r>
        <w:rPr>
          <w:rFonts w:hint="eastAsia" w:ascii="仿宋" w:hAnsi="仿宋" w:eastAsia="仿宋" w:cs="仿宋"/>
          <w:b/>
          <w:color w:val="000000"/>
          <w:sz w:val="32"/>
          <w:szCs w:val="32"/>
        </w:rPr>
        <w:t>技术规范书</w:t>
      </w:r>
    </w:p>
    <w:p w14:paraId="5DF8CF8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一、</w:t>
      </w:r>
      <w:r>
        <w:rPr>
          <w:rFonts w:hint="eastAsia" w:ascii="仿宋" w:hAnsi="仿宋" w:eastAsia="仿宋" w:cs="仿宋"/>
          <w:b/>
          <w:bCs/>
          <w:color w:val="000000"/>
          <w:sz w:val="28"/>
          <w:szCs w:val="28"/>
        </w:rPr>
        <w:t>LED显示屏技术参数及要求：</w:t>
      </w:r>
    </w:p>
    <w:p w14:paraId="78AF4D8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 像素间距：≤1.25mm，像素密度≥640000点/㎡；整屏显示尺寸：宽≥13.2米，高≥3.038米;面积≥40.1㎡（根据项目实际进行调整）。</w:t>
      </w:r>
    </w:p>
    <w:p w14:paraId="5175FB4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2. 像素构成：1R1G1B全倒装集成三合一COB封装，灯珠芯片采用MicroLED芯片，芯片短边尺寸＜80μm；每颗像素点包含红、绿、蓝三颗发光芯片，不采用虚拟像素或像素复用技术。 </w:t>
      </w:r>
    </w:p>
    <w:p w14:paraId="6C303C8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3. 箱体材质：箱体为压铸铝材质，整体压铸一次成型；箱体比例16:9；不接受显示单元切割、不完整箱体及模组产品。 </w:t>
      </w:r>
    </w:p>
    <w:p w14:paraId="6AF9904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4. 维护方式：电源、模组、接收卡、HUB支持前维护、更换及热插拔；模组、接收卡支持带电维护；HUB板与模组之间采用硬链接方式。 </w:t>
      </w:r>
    </w:p>
    <w:p w14:paraId="7322E8B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5. 亮度均匀性：色度均匀性±0.002Cx、Cy之内，发光点中心距偏差≤1%。 </w:t>
      </w:r>
    </w:p>
    <w:p w14:paraId="68B1215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 灰度等级：≥16bit。</w:t>
      </w:r>
    </w:p>
    <w:p w14:paraId="7B66C0C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7. 模组尺寸：150mm*168.75mm。 </w:t>
      </w:r>
    </w:p>
    <w:p w14:paraId="55A6D2A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8. 亮度：校正后≥600nits，支持配套软件0-100%无级调节；峰值功耗≤350W/㎡，平均功耗≤120W/㎡。 </w:t>
      </w:r>
    </w:p>
    <w:p w14:paraId="2F296C2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9. 平整度：整体平整度≤0.05mm；单元拼接间隙≤0.05mm；相邻像素、相邻模块之间平整度均≤0.05mm；显示单元垂直、水平相对错位≤3%。 </w:t>
      </w:r>
    </w:p>
    <w:p w14:paraId="2F5EF2B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10. 换帧频率：50&amp;60Hz，刷新频率≥3840Hz。 </w:t>
      </w:r>
    </w:p>
    <w:p w14:paraId="3C477C5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11. 色温：2000-10000K可调，调节步长100K；色温6500K时，100%、75%、50%、25%四挡电平白场调节色温误差≤100K。</w:t>
      </w:r>
    </w:p>
    <w:p w14:paraId="749E3F5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12. 像素失控率：LED像素失控率≤0.000001，区域像素失控率≤0.000003，无连续失控点，出厂时为0。</w:t>
      </w:r>
    </w:p>
    <w:p w14:paraId="6646940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13. IP防护等级：IP65；防盐雾10级；表面硬度4H。 </w:t>
      </w:r>
    </w:p>
    <w:p w14:paraId="3B8B8F3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14. 模块级校正：模组自带校正功能，配备大于8M容量flash芯片；支持数据断电保存、存储及回读。 </w:t>
      </w:r>
    </w:p>
    <w:p w14:paraId="03F531E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15. 着火危险试验：符合UL94V-0级着火危险试验标准。 </w:t>
      </w:r>
    </w:p>
    <w:p w14:paraId="32426AA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16. 智能除湿设计：开机自动检测客户端未使用时长，智能匹配除湿模式，屏体亮度10%-100%逐步显示；无需人工定期维护，除湿功能可手动开启/关闭。</w:t>
      </w:r>
    </w:p>
    <w:p w14:paraId="655B7C2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17. 防霉测试：符合GB/T 2423.16-2022标准，防长霉程度为0级。 </w:t>
      </w:r>
    </w:p>
    <w:p w14:paraId="5E5E104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18. 毒气测试：箱体单元烟气毒性测试符合BS6853标准，R(max.)≤0.4。 </w:t>
      </w:r>
    </w:p>
    <w:p w14:paraId="2F239B2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19. 光生物安全：蓝光危害符合RG0无危害标准，满足光生物安全要求。 </w:t>
      </w:r>
    </w:p>
    <w:p w14:paraId="2C8EFF4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20. 一级能效：能源效率值3.1cd/W，符合GB 21520-2023一级能效标准。 </w:t>
      </w:r>
    </w:p>
    <w:p w14:paraId="0207339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21. 防呆设计：模组通过箱体定位柱与模组连接器实现安装防呆。 </w:t>
      </w:r>
    </w:p>
    <w:p w14:paraId="3C6A205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22. 观看舒适度：人眼视觉舒适度(VICO)指数0≤VICO＜1.0；去除100%紫外线，消除80%摩尔纹。 </w:t>
      </w:r>
    </w:p>
    <w:p w14:paraId="283385C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23. 阻燃（防火）：PCB、面板阻燃等级达V-0级；电源、信号连接器塑胶材料达V-0级；符合BS476-7表面燃烧测试1级标准。 </w:t>
      </w:r>
    </w:p>
    <w:p w14:paraId="75207C4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24. 产品资质证书：提供LED高清显示屏CCC、节能证书复印件并加盖制造商公章；产品为自主开发，不接受OEM及代加工企业产品。 </w:t>
      </w:r>
    </w:p>
    <w:p w14:paraId="5AAB406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二、</w:t>
      </w:r>
      <w:r>
        <w:rPr>
          <w:rFonts w:hint="eastAsia" w:ascii="仿宋" w:hAnsi="仿宋" w:eastAsia="仿宋" w:cs="仿宋"/>
          <w:b/>
          <w:bCs/>
          <w:color w:val="000000"/>
          <w:sz w:val="28"/>
          <w:szCs w:val="28"/>
        </w:rPr>
        <w:t>高清视频处理播放平台：</w:t>
      </w:r>
    </w:p>
    <w:p w14:paraId="16620DC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1、纯硬件插卡式架构设计，19英寸标准机架式安装，5U金属结构机箱；</w:t>
      </w:r>
    </w:p>
    <w:p w14:paraId="78A8EA2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2、内置7英寸触摸屏，可通过触摸屏进行监测状态查看、参数设置、固件升级、预监回显等操作；</w:t>
      </w:r>
    </w:p>
    <w:p w14:paraId="6DF15AD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3、单张视频处理器播放平台</w:t>
      </w:r>
    </w:p>
    <w:p w14:paraId="73661A8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持图层在输出接口间漫游且规格不减，可进行图层参数设置；</w:t>
      </w:r>
    </w:p>
    <w:p w14:paraId="280D222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4、支持屏幕背景图显示；支持对输入添加文字或图片台标，文字与图片背景、位置可调；支持对输入添加 OSD 文字或图片，属性可调；</w:t>
      </w:r>
    </w:p>
    <w:p w14:paraId="2D92A05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5、搭配预监卡支持对所有输入源同时预监，对所有输出进行回显（包含IP流回显）；</w:t>
      </w:r>
    </w:p>
    <w:p w14:paraId="26619B6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6、支持实时和预编模式，实时模式可实现画面控制实时上屏显示，预编模式支持在软件端进行显示内容预编辑后，再上屏显示；</w:t>
      </w:r>
    </w:p>
    <w:p w14:paraId="097AC00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7、支持用户权限分级管控，超级管理员可分配用户使用权限，支持多用户同时在线编辑、控制、上屏操作，可预览其他用户操作；</w:t>
      </w:r>
    </w:p>
    <w:p w14:paraId="7D1CAA3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8、支持二合一网口输出，输出无需其它设备可直接连接LED显示屏显示，并支持LED屏亮度调节。</w:t>
      </w:r>
    </w:p>
    <w:p w14:paraId="7797747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三、</w:t>
      </w:r>
      <w:r>
        <w:rPr>
          <w:rFonts w:hint="eastAsia" w:ascii="仿宋" w:hAnsi="仿宋" w:eastAsia="仿宋" w:cs="仿宋"/>
          <w:b/>
          <w:bCs/>
          <w:color w:val="000000"/>
          <w:sz w:val="28"/>
          <w:szCs w:val="28"/>
        </w:rPr>
        <w:t>图形处理服务器：</w:t>
      </w:r>
    </w:p>
    <w:p w14:paraId="27DE652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支持1路MiniDP视频输出接口，最大支持830万（4K@60Hz）像素带载；支持4K屏幕点对点显示，支持八画面播放显示。PCS1010支持1路MiniDP输出，单路最大支持4096×2160@60Hz，支持1路DP1.2或1路HDMI-Monitor，最大支持3840×2160@60Hz；支持1路3.5mm音频输出，1路3.5mm麦克风输入。</w:t>
      </w:r>
    </w:p>
    <w:p w14:paraId="158ED4C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2.硬件配置不低于：工业级主板，CPU：英特尔（Intel）全新第12代酷睿处理器（I5_12400），2×8GB高速内存（DDR4 3200），250G固态。</w:t>
      </w:r>
    </w:p>
    <w:p w14:paraId="50A7DAD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3.标准4U机箱及服务器级电源，包含8个USB接口、1个PS/2 键鼠接口和1个RJ45(1000M)千兆控制网口，输入电源：100-240V AC~50/60Hz 0.6A，工作温度：0-45℃。</w:t>
      </w:r>
    </w:p>
    <w:p w14:paraId="381FCC0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四、</w:t>
      </w:r>
      <w:r>
        <w:rPr>
          <w:rFonts w:hint="eastAsia" w:ascii="仿宋" w:hAnsi="仿宋" w:eastAsia="仿宋" w:cs="仿宋"/>
          <w:b/>
          <w:bCs/>
          <w:color w:val="000000"/>
          <w:sz w:val="28"/>
          <w:szCs w:val="28"/>
        </w:rPr>
        <w:t>可视化平台软件：</w:t>
      </w:r>
    </w:p>
    <w:p w14:paraId="0F8CA0F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软件集成视频拼接器、媒体服务器、音频处理器及智能中控系统，形成一站式应用解决方案。该方案可实现全可视化操作，达成“所见即所得”的操作效果，有效提升现场控制的准确性与针对性，简化操作流程、提高管控效率，满足现场各类展示及控制需求。</w:t>
      </w:r>
    </w:p>
    <w:p w14:paraId="1CE80AF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五、</w:t>
      </w:r>
      <w:r>
        <w:rPr>
          <w:rFonts w:hint="eastAsia" w:ascii="仿宋" w:hAnsi="仿宋" w:eastAsia="仿宋" w:cs="仿宋"/>
          <w:b/>
          <w:bCs/>
          <w:color w:val="000000"/>
          <w:sz w:val="28"/>
          <w:szCs w:val="28"/>
        </w:rPr>
        <w:t>配电柜设备：</w:t>
      </w:r>
    </w:p>
    <w:p w14:paraId="6C2D60B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30KW配电柜</w:t>
      </w:r>
    </w:p>
    <w:p w14:paraId="6DA8F3F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安装方式:明装挂墙</w:t>
      </w:r>
    </w:p>
    <w:p w14:paraId="135D2B0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防护等级:IP30</w:t>
      </w:r>
    </w:p>
    <w:p w14:paraId="313C41D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供电方式:三相五线制</w:t>
      </w:r>
    </w:p>
    <w:p w14:paraId="4D499FD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额定输入电压:380VAC</w:t>
      </w:r>
    </w:p>
    <w:p w14:paraId="5D6071E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额定输出电压:12路 220VAC</w:t>
      </w:r>
    </w:p>
    <w:p w14:paraId="25838E9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主开关:63A/3P</w:t>
      </w:r>
    </w:p>
    <w:p w14:paraId="1335779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工作温度:-20-60°C</w:t>
      </w:r>
    </w:p>
    <w:p w14:paraId="78BBBB3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工作湿度:10-90%RH</w:t>
      </w:r>
    </w:p>
    <w:bookmarkEnd w:id="2"/>
    <w:bookmarkEnd w:id="5"/>
    <w:p w14:paraId="05785C8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color w:val="000000"/>
          <w:sz w:val="28"/>
          <w:szCs w:val="28"/>
        </w:rPr>
      </w:pPr>
      <w:bookmarkStart w:id="6" w:name="_Toc148265712"/>
      <w:bookmarkEnd w:id="6"/>
      <w:r>
        <w:rPr>
          <w:rFonts w:hint="eastAsia" w:ascii="仿宋" w:hAnsi="仿宋" w:eastAsia="仿宋" w:cs="仿宋"/>
          <w:b/>
          <w:bCs/>
          <w:color w:val="000000"/>
          <w:sz w:val="28"/>
          <w:szCs w:val="28"/>
          <w:lang w:val="en-US" w:eastAsia="zh-CN"/>
        </w:rPr>
        <w:t>六、</w:t>
      </w:r>
      <w:r>
        <w:rPr>
          <w:rFonts w:hint="eastAsia" w:ascii="仿宋" w:hAnsi="仿宋" w:eastAsia="仿宋" w:cs="仿宋"/>
          <w:b/>
          <w:bCs/>
          <w:color w:val="000000"/>
          <w:sz w:val="28"/>
          <w:szCs w:val="28"/>
        </w:rPr>
        <w:t>四通道真分集无线麦克风接收机：</w:t>
      </w:r>
    </w:p>
    <w:p w14:paraId="1706E19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1、通道数量: 四通道</w:t>
      </w:r>
    </w:p>
    <w:p w14:paraId="72DF7FC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2、接收方式: 超外差式分集接收</w:t>
      </w:r>
    </w:p>
    <w:p w14:paraId="298C730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3、工作频率: 610~670MHz</w:t>
      </w:r>
    </w:p>
    <w:p w14:paraId="60276F4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4、载波频段: 470MHz~960MHz</w:t>
      </w:r>
    </w:p>
    <w:p w14:paraId="4F76DFF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5、射频稳定度: 0.005%</w:t>
      </w:r>
    </w:p>
    <w:p w14:paraId="3749003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6、工作距离: ≥120米(理想环境内)</w:t>
      </w:r>
    </w:p>
    <w:p w14:paraId="538AEF0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7、叠机套数: ≥8套(同时使用)</w:t>
      </w:r>
    </w:p>
    <w:p w14:paraId="6FA6D3E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8、采样率: 48KHz</w:t>
      </w:r>
    </w:p>
    <w:p w14:paraId="0ACF3E4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9、频率响应: 50Hz~18000Hz(±3dB)</w:t>
      </w:r>
    </w:p>
    <w:p w14:paraId="61B0150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10、动态范围: 95 dB</w:t>
      </w:r>
    </w:p>
    <w:p w14:paraId="3E0989A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11、信噪比(A计权): 105 dB</w:t>
      </w:r>
    </w:p>
    <w:p w14:paraId="6112058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12、总谐波失真: ≤0.8% @1KHz</w:t>
      </w:r>
    </w:p>
    <w:p w14:paraId="17AE252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13、可选频道: 200组</w:t>
      </w:r>
    </w:p>
    <w:p w14:paraId="3F45288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14、频道(每通道): 50组</w:t>
      </w:r>
    </w:p>
    <w:p w14:paraId="5F25C14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15、显示屏: 2.0寸TFT全彩显示屏</w:t>
      </w:r>
    </w:p>
    <w:p w14:paraId="2641322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16、频率同步方式: IR红外</w:t>
      </w:r>
    </w:p>
    <w:p w14:paraId="037C8A4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17、最大输出电平: LINE:0.5Vpp</w:t>
      </w:r>
    </w:p>
    <w:p w14:paraId="5DF423A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18、音频信号输出端子:</w:t>
      </w:r>
    </w:p>
    <w:p w14:paraId="0490F96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≥4组平衡卡依音频输出接口</w:t>
      </w:r>
    </w:p>
    <w:p w14:paraId="39A82F8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≥4组平衡3P凤凰插独立音频输出接口</w:t>
      </w:r>
    </w:p>
    <w:p w14:paraId="0285874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≥1组TRS非平衡混音音频输出接口</w:t>
      </w:r>
    </w:p>
    <w:p w14:paraId="067330F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19、控制端口: ≥1路RS232</w:t>
      </w:r>
    </w:p>
    <w:p w14:paraId="03DE8E1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20、供电方式: DC 12V/1A</w:t>
      </w:r>
    </w:p>
    <w:p w14:paraId="5C92970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七、</w:t>
      </w:r>
      <w:r>
        <w:rPr>
          <w:rFonts w:hint="eastAsia" w:ascii="仿宋" w:hAnsi="仿宋" w:eastAsia="仿宋" w:cs="仿宋"/>
          <w:b/>
          <w:bCs/>
          <w:color w:val="000000"/>
          <w:sz w:val="28"/>
          <w:szCs w:val="28"/>
        </w:rPr>
        <w:t>真分集无线手持麦克风：</w:t>
      </w:r>
    </w:p>
    <w:p w14:paraId="5A78A3B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1、类型: 动圈</w:t>
      </w:r>
    </w:p>
    <w:p w14:paraId="652EF82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2、指向性: 超心型</w:t>
      </w:r>
    </w:p>
    <w:p w14:paraId="3106911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3、频率响应: 100-18000Hz</w:t>
      </w:r>
    </w:p>
    <w:p w14:paraId="120E81D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4、灵敏度: -56dB re 1V/Pa</w:t>
      </w:r>
    </w:p>
    <w:p w14:paraId="27A46AC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5、最大声压级SPL: 125dB@1%</w:t>
      </w:r>
    </w:p>
    <w:p w14:paraId="6E34702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6、工作频率: 610~670MHz</w:t>
      </w:r>
    </w:p>
    <w:p w14:paraId="0AA02DB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7、载波频段: 470MHz~960MHz</w:t>
      </w:r>
    </w:p>
    <w:p w14:paraId="67DD7AB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8、振荡方式: PLL频率合成</w:t>
      </w:r>
    </w:p>
    <w:p w14:paraId="2D032FE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9、显示方式: LCD液晶显示</w:t>
      </w:r>
    </w:p>
    <w:p w14:paraId="418E4DF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10、发射功率: 13.5dBm</w:t>
      </w:r>
    </w:p>
    <w:p w14:paraId="1D1225B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11、载波误差: 0.005%</w:t>
      </w:r>
    </w:p>
    <w:p w14:paraId="73189FB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12、谐波辐射: -32dBm</w:t>
      </w:r>
    </w:p>
    <w:p w14:paraId="1A9F4FB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13、调制方式: FM</w:t>
      </w:r>
    </w:p>
    <w:p w14:paraId="05A1FB1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14、标称/最大频偏: ±65KHz</w:t>
      </w:r>
    </w:p>
    <w:p w14:paraId="5DA4B9E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15、最大输入电平: 250mV</w:t>
      </w:r>
    </w:p>
    <w:p w14:paraId="0378A01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16、输入阻抗: 2.2KΩ</w:t>
      </w:r>
    </w:p>
    <w:p w14:paraId="4830A5E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17、频率设置: 红外线同步对频</w:t>
      </w:r>
    </w:p>
    <w:p w14:paraId="6B2ACC7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18、供电方式: AA 1.5Vx 2</w:t>
      </w:r>
    </w:p>
    <w:p w14:paraId="7635245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19、正常工作电流: 150mA</w:t>
      </w:r>
    </w:p>
    <w:p w14:paraId="7CFDEC9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20、电池使用时间: ≥ 10小时</w:t>
      </w:r>
    </w:p>
    <w:p w14:paraId="70045A8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八、</w:t>
      </w:r>
      <w:r>
        <w:rPr>
          <w:rFonts w:hint="eastAsia" w:ascii="仿宋" w:hAnsi="仿宋" w:eastAsia="仿宋" w:cs="仿宋"/>
          <w:b/>
          <w:bCs/>
          <w:color w:val="000000"/>
          <w:sz w:val="28"/>
          <w:szCs w:val="28"/>
        </w:rPr>
        <w:t>真分集无线腰包发射器+头戴麦克风：</w:t>
      </w:r>
    </w:p>
    <w:p w14:paraId="3F686B7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腰包发射器参数：</w:t>
      </w:r>
    </w:p>
    <w:p w14:paraId="74F6312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1、工作频率: 610~670MHz</w:t>
      </w:r>
    </w:p>
    <w:p w14:paraId="01F1E7D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2、载波频段: 470MHz~960MHz</w:t>
      </w:r>
    </w:p>
    <w:p w14:paraId="3320AC2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3、振荡方式: PLL频率合成</w:t>
      </w:r>
    </w:p>
    <w:p w14:paraId="5932F0B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4、显示方式: LCD液晶显示</w:t>
      </w:r>
    </w:p>
    <w:p w14:paraId="787FBD2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5、发射功率: 13.5dBm</w:t>
      </w:r>
    </w:p>
    <w:p w14:paraId="3678BB6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6、载波误差: 0.005%</w:t>
      </w:r>
    </w:p>
    <w:p w14:paraId="2F99E2E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7、谐波辐射: -32dBm</w:t>
      </w:r>
    </w:p>
    <w:p w14:paraId="6BF1030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8、调制方式: FM</w:t>
      </w:r>
    </w:p>
    <w:p w14:paraId="4764C96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9、标称/最大频偏: ±65KHz</w:t>
      </w:r>
    </w:p>
    <w:p w14:paraId="053610E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10、最大输入电平: 250mV</w:t>
      </w:r>
    </w:p>
    <w:p w14:paraId="6D26EC9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11、输入阻抗: 2.2KΩ</w:t>
      </w:r>
    </w:p>
    <w:p w14:paraId="7ADA0A9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12、频率设置: 红外线同步对频</w:t>
      </w:r>
    </w:p>
    <w:p w14:paraId="7A5CB75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13、供电方式: AA 1.5Vx 2</w:t>
      </w:r>
    </w:p>
    <w:p w14:paraId="1781267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14、正常工作电流: 150mA</w:t>
      </w:r>
    </w:p>
    <w:p w14:paraId="542FB71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15、电池使用时间: ≥10小时</w:t>
      </w:r>
    </w:p>
    <w:p w14:paraId="04CAB4E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九、</w:t>
      </w:r>
      <w:r>
        <w:rPr>
          <w:rFonts w:hint="eastAsia" w:ascii="仿宋" w:hAnsi="仿宋" w:eastAsia="仿宋" w:cs="仿宋"/>
          <w:b/>
          <w:bCs/>
          <w:color w:val="000000"/>
          <w:sz w:val="28"/>
          <w:szCs w:val="28"/>
        </w:rPr>
        <w:t>头戴麦克风参数：</w:t>
      </w:r>
    </w:p>
    <w:p w14:paraId="40D85DA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1、收音头: 固定背板充电型电容式指向</w:t>
      </w:r>
    </w:p>
    <w:p w14:paraId="4754925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2、指向特性: 单方向性</w:t>
      </w:r>
    </w:p>
    <w:p w14:paraId="6D2B4BF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3、频率响应: 70-15,000 Hz</w:t>
      </w:r>
    </w:p>
    <w:p w14:paraId="0FA1332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4、灵敏度: -48dB (1V= 1 Pa)</w:t>
      </w:r>
    </w:p>
    <w:p w14:paraId="79914CE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5、阻抗: 1800 Ω</w:t>
      </w:r>
    </w:p>
    <w:p w14:paraId="67FCEB0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6、工作电压: 2-10V</w:t>
      </w:r>
    </w:p>
    <w:p w14:paraId="7D270CF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7、线长: 1.2 m</w:t>
      </w:r>
    </w:p>
    <w:p w14:paraId="2AF5437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8、插头: 3.5mm TRS接口</w:t>
      </w:r>
    </w:p>
    <w:p w14:paraId="3EAEAD2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9、颜色: 米黄色</w:t>
      </w:r>
    </w:p>
    <w:p w14:paraId="74A7767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十、</w:t>
      </w:r>
      <w:r>
        <w:rPr>
          <w:rFonts w:hint="eastAsia" w:ascii="仿宋" w:hAnsi="仿宋" w:eastAsia="仿宋" w:cs="仿宋"/>
          <w:b/>
          <w:bCs/>
          <w:color w:val="000000"/>
          <w:sz w:val="28"/>
          <w:szCs w:val="28"/>
        </w:rPr>
        <w:t>12路机架式调音台：</w:t>
      </w:r>
    </w:p>
    <w:p w14:paraId="0151070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1、采用3U机架式设计，可固定安装在设备机柜式</w:t>
      </w:r>
    </w:p>
    <w:p w14:paraId="09523CB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2、12路输入，8个单声道 + 2个立体声道</w:t>
      </w:r>
    </w:p>
    <w:p w14:paraId="6EE2C23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3、8路单声道话筒平衡输入，并配置100Hz高通滤波器(LOW CUT)</w:t>
      </w:r>
    </w:p>
    <w:p w14:paraId="1E590B8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4、1路TRS立体声、1路TAPE莲花立体声输入，方便外接其他电子设备</w:t>
      </w:r>
    </w:p>
    <w:p w14:paraId="0A9F963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5、多组辅助输出（主输出/监听/AUX/编助/莲花输出等）</w:t>
      </w:r>
    </w:p>
    <w:p w14:paraId="1E36778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6、PC USB 2.0接口，支持24-bit/192kHz高清录音，兼容PC和MacOS系统</w:t>
      </w:r>
    </w:p>
    <w:p w14:paraId="1B12ED2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7、USB接口，支持24-bit/48kHz录音，与设备连接后播放和保存音频文件</w:t>
      </w:r>
    </w:p>
    <w:p w14:paraId="3A08F7F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8、高中低3段均衡器，信号失真监控灯，60mm高精度电平衰减推子</w:t>
      </w:r>
    </w:p>
    <w:p w14:paraId="4BE2A1C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9、主声道L/R，编组SUB，PFL监听(Pre-Fade-Listen)分配按钮</w:t>
      </w:r>
    </w:p>
    <w:p w14:paraId="1BBE2BA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10、AUX1/FX2控制，PAN声相控制，双5段电平监视，48V幻象供电</w:t>
      </w:r>
    </w:p>
    <w:p w14:paraId="5C97365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11、内置99种24BIT DSP效果器，数码显示屏，蓝牙连接</w:t>
      </w:r>
    </w:p>
    <w:p w14:paraId="6B1F751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12、FBX抗噪声(反馈抑制器)，配有Q值与灵敏度调节</w:t>
      </w:r>
    </w:p>
    <w:p w14:paraId="556B3D7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十一、</w:t>
      </w:r>
      <w:r>
        <w:rPr>
          <w:rFonts w:hint="eastAsia" w:ascii="仿宋" w:hAnsi="仿宋" w:eastAsia="仿宋" w:cs="仿宋"/>
          <w:b/>
          <w:bCs/>
          <w:color w:val="000000"/>
          <w:sz w:val="28"/>
          <w:szCs w:val="28"/>
        </w:rPr>
        <w:t>数字音频处理器：</w:t>
      </w:r>
    </w:p>
    <w:p w14:paraId="0242304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1、模拟输入/输出通道: 8路平衡/线路输入 + 8路平衡/线路输出</w:t>
      </w:r>
    </w:p>
    <w:p w14:paraId="1E2F004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2、串口: RS-232 x1 、 RS-485 x1</w:t>
      </w:r>
    </w:p>
    <w:p w14:paraId="40C0932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3、GPIO接口: 8，可自由配置输入输出</w:t>
      </w:r>
    </w:p>
    <w:p w14:paraId="0EF393D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4、USB接口: 1x USB Type A</w:t>
      </w:r>
    </w:p>
    <w:p w14:paraId="72CA9B9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5、采样率: 48KHz@24bit</w:t>
      </w:r>
    </w:p>
    <w:p w14:paraId="73CA5ED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6、前级放大倍数: 51dB (每档3dB，共17档)</w:t>
      </w:r>
    </w:p>
    <w:p w14:paraId="1835D73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7、幻象供电: 48V</w:t>
      </w:r>
    </w:p>
    <w:p w14:paraId="26BF548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8、频率响应: 20Hz～20KHz，±0.3dB </w:t>
      </w:r>
    </w:p>
    <w:p w14:paraId="0D57477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9、THD+N: ≤0.005%  @1k，4dBu</w:t>
      </w:r>
    </w:p>
    <w:p w14:paraId="1C10253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10、数模动态范围 (A计权): 114dB</w:t>
      </w:r>
    </w:p>
    <w:p w14:paraId="7266D21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11、模数动态范围 (A计权): 120dB</w:t>
      </w:r>
    </w:p>
    <w:p w14:paraId="1C56BA7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12、输入阻抗 (平衡式): 20kΩ</w:t>
      </w:r>
    </w:p>
    <w:p w14:paraId="57DC91A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13、输出阻抗 (平衡式): 100Ω</w:t>
      </w:r>
    </w:p>
    <w:p w14:paraId="707D135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14、EIN (A计权): ≤-125dBu</w:t>
      </w:r>
    </w:p>
    <w:p w14:paraId="31D9F5E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15、通道隔离度: 100dB@1KHz，4dBu</w:t>
      </w:r>
    </w:p>
    <w:p w14:paraId="7225294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16、共模抑制: 70dB@80Hz</w:t>
      </w:r>
    </w:p>
    <w:p w14:paraId="60C7D4B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17、最大输入电平: 18dBu</w:t>
      </w:r>
    </w:p>
    <w:p w14:paraId="6A22A6C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18、最大输出电平: 18dBu</w:t>
      </w:r>
    </w:p>
    <w:p w14:paraId="5545982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19、本底噪声: -90dBu</w:t>
      </w:r>
    </w:p>
    <w:p w14:paraId="343B545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20、系统延时: ≤9ms</w:t>
      </w:r>
    </w:p>
    <w:p w14:paraId="7B0DB4C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21、工作电源: AC 110V-220V，50Hz/60Hz</w:t>
      </w:r>
    </w:p>
    <w:p w14:paraId="625A5FA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22、功耗: &lt;30W</w:t>
      </w:r>
    </w:p>
    <w:p w14:paraId="254B08B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23、工作温度: 0-40℃</w:t>
      </w:r>
    </w:p>
    <w:p w14:paraId="778A934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十二、</w:t>
      </w:r>
      <w:r>
        <w:rPr>
          <w:rFonts w:hint="eastAsia" w:ascii="仿宋" w:hAnsi="仿宋" w:eastAsia="仿宋" w:cs="仿宋"/>
          <w:b/>
          <w:bCs/>
          <w:color w:val="000000"/>
          <w:sz w:val="28"/>
          <w:szCs w:val="28"/>
        </w:rPr>
        <w:t>4单元无源阵列音柱：</w:t>
      </w:r>
    </w:p>
    <w:p w14:paraId="1967614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1、有效频率范围(-10dB): 120Hz-20kHz</w:t>
      </w:r>
    </w:p>
    <w:p w14:paraId="445A686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2、喇叭单元: 4×3" 永磁体full(72mm)/0.75"(19mm) Voice-coil</w:t>
      </w:r>
    </w:p>
    <w:p w14:paraId="6DF3264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3、额定阻抗 (±20%): 8Ω</w:t>
      </w:r>
    </w:p>
    <w:p w14:paraId="20B45A7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4、音箱功率 (节目/峰值): 100W(AES) / 400W(PEAK) </w:t>
      </w:r>
    </w:p>
    <w:p w14:paraId="7253751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5、特性灵敏度级 (±2dB): 93dB/w/m </w:t>
      </w:r>
    </w:p>
    <w:p w14:paraId="5892EEF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6、指定频带内的声压级: ≥113dB</w:t>
      </w:r>
    </w:p>
    <w:p w14:paraId="7D60348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7、总谐波失真: ≤3%</w:t>
      </w:r>
    </w:p>
    <w:p w14:paraId="57D4012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8、覆盖角度 (水平/垂直): 100° x 30°</w:t>
      </w:r>
    </w:p>
    <w:p w14:paraId="37C6A7F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9、插座: 1x 4芯凤凰插 / 1x NL4 speakon</w:t>
      </w:r>
    </w:p>
    <w:p w14:paraId="33415F3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10、安装方式: 墙架</w:t>
      </w:r>
    </w:p>
    <w:p w14:paraId="57AB82D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11、箱体材料: 木质</w:t>
      </w:r>
    </w:p>
    <w:p w14:paraId="1C405D3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十三、</w:t>
      </w:r>
      <w:r>
        <w:rPr>
          <w:rFonts w:hint="eastAsia" w:ascii="仿宋" w:hAnsi="仿宋" w:eastAsia="仿宋" w:cs="仿宋"/>
          <w:b/>
          <w:bCs/>
          <w:color w:val="000000"/>
          <w:sz w:val="28"/>
          <w:szCs w:val="28"/>
        </w:rPr>
        <w:t>音柱墙装</w:t>
      </w:r>
      <w:r>
        <w:rPr>
          <w:rFonts w:hint="eastAsia" w:ascii="仿宋" w:hAnsi="仿宋" w:eastAsia="仿宋" w:cs="仿宋"/>
          <w:b/>
          <w:bCs/>
          <w:color w:val="000000"/>
          <w:sz w:val="28"/>
          <w:szCs w:val="28"/>
          <w:lang w:val="en-US" w:eastAsia="zh-CN"/>
        </w:rPr>
        <w:t>支</w:t>
      </w:r>
      <w:r>
        <w:rPr>
          <w:rFonts w:hint="eastAsia" w:ascii="仿宋" w:hAnsi="仿宋" w:eastAsia="仿宋" w:cs="仿宋"/>
          <w:b/>
          <w:bCs/>
          <w:color w:val="000000"/>
          <w:sz w:val="28"/>
          <w:szCs w:val="28"/>
        </w:rPr>
        <w:t>架：</w:t>
      </w:r>
    </w:p>
    <w:p w14:paraId="0226E89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1、配套音柱墙面安装使用</w:t>
      </w:r>
    </w:p>
    <w:p w14:paraId="421DE0A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2、最大承重40KG</w:t>
      </w:r>
    </w:p>
    <w:p w14:paraId="55C0DF9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3、材质：铁</w:t>
      </w:r>
    </w:p>
    <w:p w14:paraId="4FAFA56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4、颜色：烤漆无光黑色</w:t>
      </w:r>
    </w:p>
    <w:p w14:paraId="25FE6F5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十四、</w:t>
      </w:r>
      <w:r>
        <w:rPr>
          <w:rFonts w:hint="eastAsia" w:ascii="仿宋" w:hAnsi="仿宋" w:eastAsia="仿宋" w:cs="仿宋"/>
          <w:b/>
          <w:bCs/>
          <w:color w:val="000000"/>
          <w:sz w:val="28"/>
          <w:szCs w:val="28"/>
        </w:rPr>
        <w:t>吸顶喇叭：</w:t>
      </w:r>
    </w:p>
    <w:p w14:paraId="375CBAC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1、有效频率范围(-10dB)：70Hz-20kHz</w:t>
      </w:r>
    </w:p>
    <w:p w14:paraId="7260B0A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2、喇叭单元:LF:1x8"(1"voice coil),HF:1x1"(1"钕磁voice coil)  </w:t>
      </w:r>
    </w:p>
    <w:p w14:paraId="47347AE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3、额定阻抗(±20%): 8 Ω</w:t>
      </w:r>
    </w:p>
    <w:p w14:paraId="30CA0CD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4、音箱承受功率：100W AES，推荐功放：200W/8Ω</w:t>
      </w:r>
    </w:p>
    <w:p w14:paraId="1D577DB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5、特性灵敏度级(±2dB): 96dB/w/m </w:t>
      </w:r>
    </w:p>
    <w:p w14:paraId="5B79857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6、指定频带内的声压级(±2dB): ≥116dB </w:t>
      </w:r>
    </w:p>
    <w:p w14:paraId="490757E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7、总谐波失真：≤3%</w:t>
      </w:r>
    </w:p>
    <w:p w14:paraId="5073262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8、覆盖角度（水平/垂直）：90°x90°</w:t>
      </w:r>
    </w:p>
    <w:p w14:paraId="63DF888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9、插座:1×两位弹簧插 </w:t>
      </w:r>
    </w:p>
    <w:p w14:paraId="628257D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10、安装方式：卡扣式 </w:t>
      </w:r>
    </w:p>
    <w:p w14:paraId="69B64F3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11、箱体材料：ABS+铁</w:t>
      </w:r>
    </w:p>
    <w:p w14:paraId="2200C68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十五、</w:t>
      </w:r>
      <w:r>
        <w:rPr>
          <w:rFonts w:hint="eastAsia" w:ascii="仿宋" w:hAnsi="仿宋" w:eastAsia="仿宋" w:cs="仿宋"/>
          <w:b/>
          <w:bCs/>
          <w:color w:val="000000"/>
          <w:sz w:val="28"/>
          <w:szCs w:val="28"/>
        </w:rPr>
        <w:t>数字功放：</w:t>
      </w:r>
    </w:p>
    <w:p w14:paraId="2A11377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1、额定输出功率(8Ω立体声): 300W×2</w:t>
      </w:r>
    </w:p>
    <w:p w14:paraId="28A0F09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2、额定输出功率(4Ω立体声): 500W×2</w:t>
      </w:r>
    </w:p>
    <w:p w14:paraId="5815735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3、额定桥接输出功率(8Ω): 900W </w:t>
      </w:r>
    </w:p>
    <w:p w14:paraId="2E91AAE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4、电源要求: AC220V (最大功耗: 540W)</w:t>
      </w:r>
    </w:p>
    <w:p w14:paraId="3ECEA45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5、结构: 1U金属机箱设计</w:t>
      </w:r>
    </w:p>
    <w:p w14:paraId="6CA7E5F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6、通道数: 2 通道</w:t>
      </w:r>
    </w:p>
    <w:p w14:paraId="3F126A6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7、谐波失真+噪声 (1kHz, -10dB, 4ohms): &lt;0.1% </w:t>
      </w:r>
    </w:p>
    <w:p w14:paraId="23B3FDE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8、频率响应: 20Hz-20kHz ±0.1/0.3dB (1W/8Ω) </w:t>
      </w:r>
    </w:p>
    <w:p w14:paraId="1DD8C9C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9、输入阻抗: 平衡20K Ohm，非平衡 10K Ohm</w:t>
      </w:r>
    </w:p>
    <w:p w14:paraId="289CFE5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10、灵敏度: 0.775V</w:t>
      </w:r>
    </w:p>
    <w:p w14:paraId="4A3CF98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11、信噪比: ≥100dB</w:t>
      </w:r>
    </w:p>
    <w:p w14:paraId="6E2D811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12、阻尼系数: 350:1, 1KHz 8ohm</w:t>
      </w:r>
    </w:p>
    <w:p w14:paraId="7D06D4A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13、转换速率: 28V/US</w:t>
      </w:r>
    </w:p>
    <w:p w14:paraId="24744E8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14、输出级: Class-D</w:t>
      </w:r>
    </w:p>
    <w:p w14:paraId="4D447C2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15、LED指示灯: 电源/信号/失真/削波</w:t>
      </w:r>
    </w:p>
    <w:p w14:paraId="2EDC4CE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16、输入连接器: 平衡卡侬公母座</w:t>
      </w:r>
    </w:p>
    <w:p w14:paraId="339C280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17、输出连接器: SPEAKON</w:t>
      </w:r>
    </w:p>
    <w:p w14:paraId="714F23E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18、散热系统: 双变速风扇，从前到后排风</w:t>
      </w:r>
    </w:p>
    <w:p w14:paraId="70C0C9B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19、保护功能: 过热，短路，直流输出</w:t>
      </w: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1758888-7516-46FA-A4DD-CA38C9F42C94}"/>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E3E4AF1D-1D99-4FD5-A773-4B71A03893A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Until I met you">
    <w:altName w:val="AMGDT"/>
    <w:panose1 w:val="00000500000000000000"/>
    <w:charset w:val="00"/>
    <w:family w:val="auto"/>
    <w:pitch w:val="default"/>
    <w:sig w:usb0="00000000" w:usb1="00000000" w:usb2="00000000" w:usb3="00000000" w:csb0="20000101" w:csb1="00000000"/>
  </w:font>
  <w:font w:name="AMGDT">
    <w:panose1 w:val="02000400000000000000"/>
    <w:charset w:val="00"/>
    <w:family w:val="auto"/>
    <w:pitch w:val="default"/>
    <w:sig w:usb0="80000003" w:usb1="10000000" w:usb2="00000000" w:usb3="00000000" w:csb0="00000001" w:csb1="00000000"/>
  </w:font>
  <w:font w:name="方正仿宋_GB2312">
    <w:panose1 w:val="02000000000000000000"/>
    <w:charset w:val="86"/>
    <w:family w:val="auto"/>
    <w:pitch w:val="default"/>
    <w:sig w:usb0="A00002BF" w:usb1="184F6CFA" w:usb2="00000012" w:usb3="00000000" w:csb0="00040001" w:csb1="00000000"/>
    <w:embedRegular r:id="rId3" w:fontKey="{02D0D51D-5D2A-4885-83EF-2DEA2CD2936C}"/>
  </w:font>
  <w:font w:name="仿宋">
    <w:panose1 w:val="02010609060101010101"/>
    <w:charset w:val="86"/>
    <w:family w:val="modern"/>
    <w:pitch w:val="default"/>
    <w:sig w:usb0="800002BF" w:usb1="38CF7CFA" w:usb2="00000016" w:usb3="00000000" w:csb0="00040001" w:csb1="00000000"/>
    <w:embedRegular r:id="rId4" w:fontKey="{7B53A961-1B14-4481-B58C-4E5F782448E6}"/>
  </w:font>
  <w:font w:name="华文中宋">
    <w:panose1 w:val="02010600040101010101"/>
    <w:charset w:val="86"/>
    <w:family w:val="auto"/>
    <w:pitch w:val="default"/>
    <w:sig w:usb0="00000287" w:usb1="080F0000" w:usb2="00000000" w:usb3="00000000" w:csb0="0004009F" w:csb1="DFD70000"/>
    <w:embedRegular r:id="rId5" w:fontKey="{E5716D35-2D44-48EB-B116-53F66D6FF745}"/>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0BEF7F">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5"/>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46"/>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5ZmE1ZTg2YWQyZjkyNDFjNDRlY2FmM2Y3Yzg0ZDM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4CF6E29"/>
    <w:rsid w:val="05111DAD"/>
    <w:rsid w:val="059366CF"/>
    <w:rsid w:val="05D00163"/>
    <w:rsid w:val="05F477B7"/>
    <w:rsid w:val="06F15928"/>
    <w:rsid w:val="077C34B8"/>
    <w:rsid w:val="07A209C4"/>
    <w:rsid w:val="080D26DA"/>
    <w:rsid w:val="08284245"/>
    <w:rsid w:val="086F1260"/>
    <w:rsid w:val="0880226D"/>
    <w:rsid w:val="089F2BDE"/>
    <w:rsid w:val="08BB2505"/>
    <w:rsid w:val="099A07E1"/>
    <w:rsid w:val="0A9B4FED"/>
    <w:rsid w:val="0B0C0A79"/>
    <w:rsid w:val="0B451F6A"/>
    <w:rsid w:val="0BA14D3A"/>
    <w:rsid w:val="0C6F4C8D"/>
    <w:rsid w:val="0D0E0EB6"/>
    <w:rsid w:val="0DE142CB"/>
    <w:rsid w:val="0FDC1CDC"/>
    <w:rsid w:val="10223C48"/>
    <w:rsid w:val="11EF2574"/>
    <w:rsid w:val="12475EA9"/>
    <w:rsid w:val="133360BD"/>
    <w:rsid w:val="137F7471"/>
    <w:rsid w:val="13FA2FC9"/>
    <w:rsid w:val="146E4633"/>
    <w:rsid w:val="150412EA"/>
    <w:rsid w:val="171438BA"/>
    <w:rsid w:val="17230955"/>
    <w:rsid w:val="180F5427"/>
    <w:rsid w:val="182770BA"/>
    <w:rsid w:val="18863017"/>
    <w:rsid w:val="18AC6D73"/>
    <w:rsid w:val="1B46065D"/>
    <w:rsid w:val="1B4716B4"/>
    <w:rsid w:val="1BEE7E74"/>
    <w:rsid w:val="1C08419D"/>
    <w:rsid w:val="1D4D5FFD"/>
    <w:rsid w:val="1EB43554"/>
    <w:rsid w:val="1F7A0970"/>
    <w:rsid w:val="209E2C67"/>
    <w:rsid w:val="20BE0DDE"/>
    <w:rsid w:val="21581D11"/>
    <w:rsid w:val="216F32CA"/>
    <w:rsid w:val="22124112"/>
    <w:rsid w:val="225C19C8"/>
    <w:rsid w:val="23F57352"/>
    <w:rsid w:val="249A7996"/>
    <w:rsid w:val="261C543B"/>
    <w:rsid w:val="267E2359"/>
    <w:rsid w:val="26BC7CBC"/>
    <w:rsid w:val="27447ED5"/>
    <w:rsid w:val="275F3A77"/>
    <w:rsid w:val="280F57C2"/>
    <w:rsid w:val="284F0253"/>
    <w:rsid w:val="28644870"/>
    <w:rsid w:val="2AC5216B"/>
    <w:rsid w:val="2AE949DF"/>
    <w:rsid w:val="2B2C3F7A"/>
    <w:rsid w:val="2B3B474B"/>
    <w:rsid w:val="2B8D044E"/>
    <w:rsid w:val="2B8E43CA"/>
    <w:rsid w:val="2C016BB8"/>
    <w:rsid w:val="2C9452EB"/>
    <w:rsid w:val="2D77461B"/>
    <w:rsid w:val="2E015014"/>
    <w:rsid w:val="2E400C5F"/>
    <w:rsid w:val="2E5209E3"/>
    <w:rsid w:val="2EB01AFE"/>
    <w:rsid w:val="2F02606D"/>
    <w:rsid w:val="30592C7B"/>
    <w:rsid w:val="30D1119A"/>
    <w:rsid w:val="30F12F4C"/>
    <w:rsid w:val="3112402E"/>
    <w:rsid w:val="313D3E38"/>
    <w:rsid w:val="32611BF0"/>
    <w:rsid w:val="33A83294"/>
    <w:rsid w:val="34011E26"/>
    <w:rsid w:val="341B4D23"/>
    <w:rsid w:val="345C5D91"/>
    <w:rsid w:val="3561359B"/>
    <w:rsid w:val="35613714"/>
    <w:rsid w:val="358C4411"/>
    <w:rsid w:val="36A81FB2"/>
    <w:rsid w:val="371A4340"/>
    <w:rsid w:val="3722158D"/>
    <w:rsid w:val="372770F7"/>
    <w:rsid w:val="375E09FC"/>
    <w:rsid w:val="38525FA9"/>
    <w:rsid w:val="39003F1D"/>
    <w:rsid w:val="39276876"/>
    <w:rsid w:val="392B2930"/>
    <w:rsid w:val="396C52DB"/>
    <w:rsid w:val="3AB56764"/>
    <w:rsid w:val="3AC853CC"/>
    <w:rsid w:val="3B66136D"/>
    <w:rsid w:val="3C582CD8"/>
    <w:rsid w:val="3E094E14"/>
    <w:rsid w:val="3E2546CD"/>
    <w:rsid w:val="3E5874B7"/>
    <w:rsid w:val="40531C58"/>
    <w:rsid w:val="41192D98"/>
    <w:rsid w:val="413E5CD9"/>
    <w:rsid w:val="41570A70"/>
    <w:rsid w:val="43425F9D"/>
    <w:rsid w:val="43F465D0"/>
    <w:rsid w:val="442A053D"/>
    <w:rsid w:val="44440739"/>
    <w:rsid w:val="446F65B8"/>
    <w:rsid w:val="44F057A6"/>
    <w:rsid w:val="45A95346"/>
    <w:rsid w:val="46416F41"/>
    <w:rsid w:val="467D6748"/>
    <w:rsid w:val="46C4203A"/>
    <w:rsid w:val="470E29AE"/>
    <w:rsid w:val="49CB0CCD"/>
    <w:rsid w:val="4AA610D6"/>
    <w:rsid w:val="4AD618B2"/>
    <w:rsid w:val="4B0C055A"/>
    <w:rsid w:val="4C1B7A56"/>
    <w:rsid w:val="4C610D2E"/>
    <w:rsid w:val="4C8B4A7C"/>
    <w:rsid w:val="4CFC368B"/>
    <w:rsid w:val="4E7D412D"/>
    <w:rsid w:val="4EBE4481"/>
    <w:rsid w:val="4F086AAF"/>
    <w:rsid w:val="5069668A"/>
    <w:rsid w:val="50A83CB2"/>
    <w:rsid w:val="512B42F2"/>
    <w:rsid w:val="5247520B"/>
    <w:rsid w:val="52733D7F"/>
    <w:rsid w:val="538E5DEC"/>
    <w:rsid w:val="53E421E6"/>
    <w:rsid w:val="562405CA"/>
    <w:rsid w:val="56D076DF"/>
    <w:rsid w:val="56E34736"/>
    <w:rsid w:val="56FB15A3"/>
    <w:rsid w:val="572C3C94"/>
    <w:rsid w:val="57781210"/>
    <w:rsid w:val="57806BBC"/>
    <w:rsid w:val="58963DA7"/>
    <w:rsid w:val="592C3305"/>
    <w:rsid w:val="5A2C7551"/>
    <w:rsid w:val="5A400720"/>
    <w:rsid w:val="5B33669F"/>
    <w:rsid w:val="5C072B21"/>
    <w:rsid w:val="5CF4139A"/>
    <w:rsid w:val="5D693C9C"/>
    <w:rsid w:val="5D9D7735"/>
    <w:rsid w:val="5DE973D6"/>
    <w:rsid w:val="5E8D2D21"/>
    <w:rsid w:val="5EBD1212"/>
    <w:rsid w:val="5F1D6CF6"/>
    <w:rsid w:val="5FAD0DCB"/>
    <w:rsid w:val="60614B56"/>
    <w:rsid w:val="60C82A21"/>
    <w:rsid w:val="623F329A"/>
    <w:rsid w:val="62695E27"/>
    <w:rsid w:val="628242DE"/>
    <w:rsid w:val="62BE7007"/>
    <w:rsid w:val="636127C3"/>
    <w:rsid w:val="637075F2"/>
    <w:rsid w:val="6381342F"/>
    <w:rsid w:val="64041AE8"/>
    <w:rsid w:val="650B601A"/>
    <w:rsid w:val="6541100E"/>
    <w:rsid w:val="654C0BA8"/>
    <w:rsid w:val="664352EB"/>
    <w:rsid w:val="672079BD"/>
    <w:rsid w:val="683E7EE4"/>
    <w:rsid w:val="696610E4"/>
    <w:rsid w:val="6A83721D"/>
    <w:rsid w:val="6AE21101"/>
    <w:rsid w:val="6B4F3B9E"/>
    <w:rsid w:val="6B59484F"/>
    <w:rsid w:val="6BD63153"/>
    <w:rsid w:val="6BFE0B4D"/>
    <w:rsid w:val="6C5B55DC"/>
    <w:rsid w:val="6CAE03DD"/>
    <w:rsid w:val="6CE56E6B"/>
    <w:rsid w:val="6D032DAA"/>
    <w:rsid w:val="6E005A26"/>
    <w:rsid w:val="6E6329C5"/>
    <w:rsid w:val="6EFF345A"/>
    <w:rsid w:val="6F0E41D6"/>
    <w:rsid w:val="6F4F7C8F"/>
    <w:rsid w:val="6FB4540B"/>
    <w:rsid w:val="70C73255"/>
    <w:rsid w:val="71126C39"/>
    <w:rsid w:val="715F328E"/>
    <w:rsid w:val="71610FBE"/>
    <w:rsid w:val="725008FF"/>
    <w:rsid w:val="72760778"/>
    <w:rsid w:val="743104E3"/>
    <w:rsid w:val="74320C3C"/>
    <w:rsid w:val="74513162"/>
    <w:rsid w:val="75431AF8"/>
    <w:rsid w:val="757B75BC"/>
    <w:rsid w:val="76980067"/>
    <w:rsid w:val="76A665D3"/>
    <w:rsid w:val="78BD1F9D"/>
    <w:rsid w:val="79201CE1"/>
    <w:rsid w:val="79B14724"/>
    <w:rsid w:val="7B3E0A41"/>
    <w:rsid w:val="7C323980"/>
    <w:rsid w:val="7D9005F4"/>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5"/>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6"/>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7"/>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8"/>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5"/>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9"/>
    <w:qFormat/>
    <w:uiPriority w:val="99"/>
    <w:rPr>
      <w:rFonts w:ascii="宋体"/>
      <w:sz w:val="18"/>
      <w:szCs w:val="18"/>
    </w:rPr>
  </w:style>
  <w:style w:type="paragraph" w:styleId="8">
    <w:name w:val="annotation text"/>
    <w:basedOn w:val="1"/>
    <w:link w:val="30"/>
    <w:qFormat/>
    <w:uiPriority w:val="99"/>
    <w:pPr>
      <w:jc w:val="left"/>
    </w:pPr>
  </w:style>
  <w:style w:type="paragraph" w:styleId="9">
    <w:name w:val="Body Text"/>
    <w:basedOn w:val="1"/>
    <w:link w:val="31"/>
    <w:qFormat/>
    <w:uiPriority w:val="99"/>
    <w:pPr>
      <w:spacing w:after="120"/>
    </w:pPr>
  </w:style>
  <w:style w:type="paragraph" w:styleId="10">
    <w:name w:val="Plain Text"/>
    <w:basedOn w:val="1"/>
    <w:link w:val="47"/>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2"/>
    <w:qFormat/>
    <w:uiPriority w:val="99"/>
    <w:rPr>
      <w:sz w:val="18"/>
      <w:szCs w:val="18"/>
    </w:rPr>
  </w:style>
  <w:style w:type="paragraph" w:styleId="12">
    <w:name w:val="footer"/>
    <w:basedOn w:val="1"/>
    <w:link w:val="33"/>
    <w:qFormat/>
    <w:uiPriority w:val="99"/>
    <w:pPr>
      <w:tabs>
        <w:tab w:val="center" w:pos="4153"/>
        <w:tab w:val="right" w:pos="8306"/>
      </w:tabs>
      <w:snapToGrid w:val="0"/>
      <w:jc w:val="left"/>
    </w:pPr>
    <w:rPr>
      <w:sz w:val="18"/>
      <w:szCs w:val="18"/>
    </w:rPr>
  </w:style>
  <w:style w:type="paragraph" w:styleId="13">
    <w:name w:val="header"/>
    <w:basedOn w:val="1"/>
    <w:link w:val="34"/>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8"/>
    <w:next w:val="8"/>
    <w:link w:val="52"/>
    <w:semiHidden/>
    <w:qFormat/>
    <w:uiPriority w:val="99"/>
    <w:rPr>
      <w:b/>
      <w:bCs/>
    </w:rPr>
  </w:style>
  <w:style w:type="paragraph" w:styleId="17">
    <w:name w:val="Body Text First Indent"/>
    <w:basedOn w:val="9"/>
    <w:link w:val="35"/>
    <w:qFormat/>
    <w:uiPriority w:val="99"/>
    <w:pPr>
      <w:widowControl/>
      <w:ind w:firstLine="420" w:firstLineChars="100"/>
    </w:pPr>
    <w:rPr>
      <w:rFonts w:ascii="Calibri" w:hAnsi="Calibri" w:cs="宋体"/>
      <w:szCs w:val="22"/>
    </w:rPr>
  </w:style>
  <w:style w:type="table" w:styleId="19">
    <w:name w:val="Table Grid"/>
    <w:basedOn w:val="18"/>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locked/>
    <w:uiPriority w:val="0"/>
    <w:rPr>
      <w:b/>
    </w:rPr>
  </w:style>
  <w:style w:type="character" w:styleId="22">
    <w:name w:val="Hyperlink"/>
    <w:basedOn w:val="20"/>
    <w:qFormat/>
    <w:uiPriority w:val="99"/>
    <w:rPr>
      <w:rFonts w:cs="Times New Roman"/>
      <w:color w:val="0000FF"/>
      <w:u w:val="single"/>
    </w:rPr>
  </w:style>
  <w:style w:type="character" w:styleId="23">
    <w:name w:val="annotation reference"/>
    <w:basedOn w:val="20"/>
    <w:qFormat/>
    <w:uiPriority w:val="99"/>
    <w:rPr>
      <w:rFonts w:cs="Times New Roman"/>
      <w:sz w:val="21"/>
      <w:szCs w:val="21"/>
    </w:rPr>
  </w:style>
  <w:style w:type="paragraph" w:customStyle="1" w:styleId="24">
    <w:name w:val="Default"/>
    <w:qFormat/>
    <w:uiPriority w:val="0"/>
    <w:pPr>
      <w:widowControl w:val="0"/>
      <w:autoSpaceDE w:val="0"/>
      <w:autoSpaceDN w:val="0"/>
      <w:adjustRightInd w:val="0"/>
    </w:pPr>
    <w:rPr>
      <w:rFonts w:ascii="Until I met you" w:hAnsi="Until I met you" w:eastAsia="宋体" w:cs="Until I met you"/>
      <w:color w:val="000000"/>
      <w:sz w:val="24"/>
      <w:szCs w:val="24"/>
      <w:lang w:val="en-US" w:eastAsia="zh-CN" w:bidi="ar-SA"/>
    </w:rPr>
  </w:style>
  <w:style w:type="character" w:customStyle="1" w:styleId="25">
    <w:name w:val="标题 1 Char"/>
    <w:basedOn w:val="20"/>
    <w:link w:val="2"/>
    <w:qFormat/>
    <w:locked/>
    <w:uiPriority w:val="99"/>
    <w:rPr>
      <w:rFonts w:ascii="Times New Roman" w:hAnsi="Times New Roman" w:eastAsia="宋体" w:cs="Times New Roman"/>
      <w:b/>
      <w:bCs/>
      <w:kern w:val="44"/>
      <w:sz w:val="44"/>
      <w:szCs w:val="44"/>
    </w:rPr>
  </w:style>
  <w:style w:type="character" w:customStyle="1" w:styleId="26">
    <w:name w:val="标题 2 Char"/>
    <w:basedOn w:val="20"/>
    <w:link w:val="3"/>
    <w:qFormat/>
    <w:locked/>
    <w:uiPriority w:val="99"/>
    <w:rPr>
      <w:rFonts w:ascii="Cambria" w:hAnsi="Cambria" w:eastAsia="宋体" w:cs="Times New Roman"/>
      <w:b/>
      <w:bCs/>
      <w:kern w:val="2"/>
      <w:sz w:val="32"/>
      <w:szCs w:val="32"/>
    </w:rPr>
  </w:style>
  <w:style w:type="character" w:customStyle="1" w:styleId="27">
    <w:name w:val="标题 3 Char"/>
    <w:basedOn w:val="20"/>
    <w:link w:val="4"/>
    <w:qFormat/>
    <w:locked/>
    <w:uiPriority w:val="99"/>
    <w:rPr>
      <w:rFonts w:eastAsia="宋体" w:cs="Times New Roman"/>
      <w:b/>
      <w:sz w:val="32"/>
    </w:rPr>
  </w:style>
  <w:style w:type="character" w:customStyle="1" w:styleId="28">
    <w:name w:val="标题 4 Char"/>
    <w:basedOn w:val="20"/>
    <w:link w:val="5"/>
    <w:qFormat/>
    <w:locked/>
    <w:uiPriority w:val="99"/>
    <w:rPr>
      <w:rFonts w:ascii="Arial" w:hAnsi="Arial" w:eastAsia="黑体" w:cs="Times New Roman"/>
      <w:b/>
      <w:bCs/>
      <w:kern w:val="2"/>
      <w:sz w:val="28"/>
      <w:szCs w:val="28"/>
    </w:rPr>
  </w:style>
  <w:style w:type="character" w:customStyle="1" w:styleId="29">
    <w:name w:val="文档结构图 Char"/>
    <w:basedOn w:val="20"/>
    <w:link w:val="7"/>
    <w:qFormat/>
    <w:locked/>
    <w:uiPriority w:val="99"/>
    <w:rPr>
      <w:rFonts w:ascii="宋体" w:hAnsi="Times New Roman" w:eastAsia="宋体" w:cs="Times New Roman"/>
      <w:kern w:val="2"/>
      <w:sz w:val="18"/>
      <w:szCs w:val="18"/>
    </w:rPr>
  </w:style>
  <w:style w:type="character" w:customStyle="1" w:styleId="30">
    <w:name w:val="批注文字 Char"/>
    <w:basedOn w:val="20"/>
    <w:link w:val="8"/>
    <w:qFormat/>
    <w:locked/>
    <w:uiPriority w:val="99"/>
    <w:rPr>
      <w:rFonts w:ascii="Times New Roman" w:hAnsi="Times New Roman" w:cs="Times New Roman"/>
      <w:kern w:val="2"/>
      <w:sz w:val="21"/>
    </w:rPr>
  </w:style>
  <w:style w:type="character" w:customStyle="1" w:styleId="31">
    <w:name w:val="正文文本 Char"/>
    <w:basedOn w:val="20"/>
    <w:link w:val="9"/>
    <w:qFormat/>
    <w:locked/>
    <w:uiPriority w:val="99"/>
    <w:rPr>
      <w:rFonts w:ascii="Times New Roman" w:hAnsi="Times New Roman" w:eastAsia="宋体" w:cs="Times New Roman"/>
      <w:sz w:val="20"/>
      <w:szCs w:val="20"/>
    </w:rPr>
  </w:style>
  <w:style w:type="character" w:customStyle="1" w:styleId="32">
    <w:name w:val="批注框文本 Char"/>
    <w:basedOn w:val="20"/>
    <w:link w:val="11"/>
    <w:qFormat/>
    <w:locked/>
    <w:uiPriority w:val="99"/>
    <w:rPr>
      <w:rFonts w:ascii="Times New Roman" w:hAnsi="Times New Roman" w:eastAsia="宋体" w:cs="Times New Roman"/>
      <w:kern w:val="2"/>
      <w:sz w:val="18"/>
      <w:szCs w:val="18"/>
    </w:rPr>
  </w:style>
  <w:style w:type="character" w:customStyle="1" w:styleId="33">
    <w:name w:val="页脚 Char"/>
    <w:basedOn w:val="20"/>
    <w:link w:val="12"/>
    <w:qFormat/>
    <w:locked/>
    <w:uiPriority w:val="99"/>
    <w:rPr>
      <w:rFonts w:ascii="Times New Roman" w:hAnsi="Times New Roman" w:eastAsia="宋体" w:cs="Times New Roman"/>
      <w:sz w:val="18"/>
      <w:szCs w:val="18"/>
    </w:rPr>
  </w:style>
  <w:style w:type="character" w:customStyle="1" w:styleId="34">
    <w:name w:val="页眉 Char"/>
    <w:basedOn w:val="20"/>
    <w:link w:val="13"/>
    <w:qFormat/>
    <w:locked/>
    <w:uiPriority w:val="99"/>
    <w:rPr>
      <w:rFonts w:ascii="Times New Roman" w:hAnsi="Times New Roman" w:eastAsia="宋体" w:cs="Times New Roman"/>
      <w:sz w:val="18"/>
      <w:szCs w:val="18"/>
    </w:rPr>
  </w:style>
  <w:style w:type="character" w:customStyle="1" w:styleId="35">
    <w:name w:val="正文首行缩进 Char"/>
    <w:basedOn w:val="31"/>
    <w:link w:val="17"/>
    <w:qFormat/>
    <w:locked/>
    <w:uiPriority w:val="99"/>
    <w:rPr>
      <w:rFonts w:ascii="Times New Roman" w:hAnsi="Times New Roman" w:eastAsia="宋体" w:cs="Times New Roman"/>
      <w:sz w:val="20"/>
      <w:szCs w:val="20"/>
    </w:rPr>
  </w:style>
  <w:style w:type="character" w:customStyle="1" w:styleId="36">
    <w:name w:val="正文缩进2格 Char"/>
    <w:link w:val="37"/>
    <w:qFormat/>
    <w:locked/>
    <w:uiPriority w:val="99"/>
    <w:rPr>
      <w:rFonts w:ascii="方正仿宋_GB2312" w:hAnsi="宋体" w:eastAsia="方正仿宋_GB2312"/>
      <w:sz w:val="31"/>
    </w:rPr>
  </w:style>
  <w:style w:type="paragraph" w:customStyle="1" w:styleId="37">
    <w:name w:val="正文缩进2格"/>
    <w:basedOn w:val="1"/>
    <w:link w:val="36"/>
    <w:qFormat/>
    <w:uiPriority w:val="99"/>
    <w:pPr>
      <w:spacing w:line="600" w:lineRule="exact"/>
      <w:ind w:firstLine="639" w:firstLineChars="206"/>
    </w:pPr>
    <w:rPr>
      <w:rFonts w:ascii="方正仿宋_GB2312" w:hAnsi="宋体" w:eastAsia="方正仿宋_GB2312"/>
      <w:kern w:val="0"/>
      <w:sz w:val="31"/>
      <w:szCs w:val="31"/>
    </w:rPr>
  </w:style>
  <w:style w:type="paragraph" w:customStyle="1" w:styleId="38">
    <w:name w:val="列出段落1"/>
    <w:basedOn w:val="1"/>
    <w:qFormat/>
    <w:uiPriority w:val="99"/>
    <w:pPr>
      <w:ind w:firstLine="420" w:firstLineChars="200"/>
    </w:pPr>
  </w:style>
  <w:style w:type="paragraph" w:customStyle="1" w:styleId="39">
    <w:name w:val="列出段落2"/>
    <w:basedOn w:val="1"/>
    <w:qFormat/>
    <w:uiPriority w:val="99"/>
    <w:pPr>
      <w:ind w:firstLine="420" w:firstLineChars="200"/>
    </w:pPr>
  </w:style>
  <w:style w:type="paragraph" w:styleId="40">
    <w:name w:val="List Paragraph"/>
    <w:basedOn w:val="1"/>
    <w:qFormat/>
    <w:uiPriority w:val="99"/>
    <w:pPr>
      <w:ind w:firstLine="420" w:firstLineChars="200"/>
    </w:pPr>
  </w:style>
  <w:style w:type="character" w:customStyle="1" w:styleId="41">
    <w:name w:val="fontstyle01"/>
    <w:basedOn w:val="20"/>
    <w:qFormat/>
    <w:uiPriority w:val="99"/>
    <w:rPr>
      <w:rFonts w:ascii="仿宋" w:hAnsi="仿宋" w:eastAsia="仿宋" w:cs="Times New Roman"/>
      <w:color w:val="000000"/>
      <w:sz w:val="28"/>
      <w:szCs w:val="28"/>
    </w:rPr>
  </w:style>
  <w:style w:type="character" w:customStyle="1" w:styleId="42">
    <w:name w:val="！正文 Char"/>
    <w:link w:val="43"/>
    <w:qFormat/>
    <w:locked/>
    <w:uiPriority w:val="99"/>
    <w:rPr>
      <w:rFonts w:ascii="Arial" w:hAnsi="Arial"/>
      <w:sz w:val="24"/>
    </w:rPr>
  </w:style>
  <w:style w:type="paragraph" w:customStyle="1" w:styleId="43">
    <w:name w:val="！正文"/>
    <w:basedOn w:val="1"/>
    <w:link w:val="42"/>
    <w:qFormat/>
    <w:uiPriority w:val="99"/>
    <w:pPr>
      <w:spacing w:line="360" w:lineRule="auto"/>
      <w:ind w:firstLine="200" w:firstLineChars="200"/>
    </w:pPr>
    <w:rPr>
      <w:rFonts w:ascii="Arial" w:hAnsi="Arial" w:eastAsia="等线"/>
      <w:kern w:val="0"/>
      <w:sz w:val="24"/>
      <w:szCs w:val="24"/>
    </w:rPr>
  </w:style>
  <w:style w:type="paragraph" w:customStyle="1" w:styleId="44">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5">
    <w:name w:val="正文缩进 Char"/>
    <w:link w:val="6"/>
    <w:qFormat/>
    <w:locked/>
    <w:uiPriority w:val="99"/>
    <w:rPr>
      <w:sz w:val="24"/>
    </w:rPr>
  </w:style>
  <w:style w:type="paragraph" w:customStyle="1" w:styleId="46">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7">
    <w:name w:val="纯文本 Char"/>
    <w:basedOn w:val="20"/>
    <w:link w:val="10"/>
    <w:qFormat/>
    <w:locked/>
    <w:uiPriority w:val="99"/>
    <w:rPr>
      <w:rFonts w:ascii="宋体" w:hAnsi="Courier New" w:eastAsia="宋体" w:cs="Times New Roman"/>
      <w:kern w:val="2"/>
      <w:sz w:val="21"/>
      <w:szCs w:val="21"/>
    </w:rPr>
  </w:style>
  <w:style w:type="character" w:customStyle="1" w:styleId="48">
    <w:name w:val="未处理的提及1"/>
    <w:basedOn w:val="20"/>
    <w:semiHidden/>
    <w:qFormat/>
    <w:uiPriority w:val="99"/>
    <w:rPr>
      <w:rFonts w:cs="Times New Roman"/>
      <w:color w:val="605E5C"/>
      <w:shd w:val="clear" w:color="auto" w:fill="E1DFDD"/>
    </w:rPr>
  </w:style>
  <w:style w:type="paragraph" w:customStyle="1" w:styleId="49">
    <w:name w:val="样式"/>
    <w:basedOn w:val="1"/>
    <w:next w:val="40"/>
    <w:qFormat/>
    <w:uiPriority w:val="99"/>
    <w:pPr>
      <w:ind w:firstLine="420" w:firstLineChars="200"/>
    </w:pPr>
    <w:rPr>
      <w:rFonts w:ascii="Calibri" w:hAnsi="Calibri"/>
      <w:szCs w:val="22"/>
    </w:rPr>
  </w:style>
  <w:style w:type="character" w:customStyle="1" w:styleId="50">
    <w:name w:val="Body Text Indent 2 Char Char"/>
    <w:link w:val="51"/>
    <w:qFormat/>
    <w:locked/>
    <w:uiPriority w:val="99"/>
  </w:style>
  <w:style w:type="paragraph" w:customStyle="1" w:styleId="51">
    <w:name w:val="正文文本缩进 21"/>
    <w:basedOn w:val="1"/>
    <w:link w:val="50"/>
    <w:qFormat/>
    <w:uiPriority w:val="99"/>
    <w:pPr>
      <w:adjustRightInd w:val="0"/>
      <w:spacing w:line="480" w:lineRule="auto"/>
      <w:ind w:firstLine="540"/>
    </w:pPr>
    <w:rPr>
      <w:rFonts w:ascii="Calibri" w:hAnsi="Calibri" w:eastAsia="等线"/>
      <w:kern w:val="0"/>
      <w:sz w:val="20"/>
    </w:rPr>
  </w:style>
  <w:style w:type="character" w:customStyle="1" w:styleId="52">
    <w:name w:val="批注主题 Char"/>
    <w:basedOn w:val="30"/>
    <w:link w:val="16"/>
    <w:semiHidden/>
    <w:qFormat/>
    <w:locked/>
    <w:uiPriority w:val="99"/>
    <w:rPr>
      <w:rFonts w:ascii="Times New Roman" w:hAnsi="Times New Roman" w:eastAsia="宋体" w:cs="Times New Roman"/>
      <w:b/>
      <w:bCs/>
      <w:kern w:val="2"/>
      <w:sz w:val="21"/>
    </w:rPr>
  </w:style>
  <w:style w:type="character" w:customStyle="1" w:styleId="53">
    <w:name w:val="标题 4 字符"/>
    <w:basedOn w:val="20"/>
    <w:semiHidden/>
    <w:qFormat/>
    <w:uiPriority w:val="99"/>
    <w:rPr>
      <w:rFonts w:ascii="Cambria" w:hAnsi="Cambria" w:eastAsia="宋体" w:cs="Times New Roman"/>
      <w:b/>
      <w:bCs/>
      <w:kern w:val="2"/>
      <w:sz w:val="28"/>
      <w:szCs w:val="28"/>
    </w:rPr>
  </w:style>
  <w:style w:type="paragraph" w:customStyle="1" w:styleId="54">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5">
    <w:name w:val="致远要点"/>
    <w:basedOn w:val="40"/>
    <w:link w:val="56"/>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6">
    <w:name w:val="致远要点 字符"/>
    <w:basedOn w:val="20"/>
    <w:link w:val="55"/>
    <w:qFormat/>
    <w:locked/>
    <w:uiPriority w:val="99"/>
    <w:rPr>
      <w:rFonts w:ascii="黑体" w:hAnsi="黑体" w:eastAsia="黑体" w:cs="宋体"/>
      <w:kern w:val="2"/>
      <w:sz w:val="22"/>
      <w:szCs w:val="22"/>
    </w:rPr>
  </w:style>
  <w:style w:type="paragraph" w:customStyle="1" w:styleId="57">
    <w:name w:val="SANGFOR_6_正文"/>
    <w:basedOn w:val="1"/>
    <w:qFormat/>
    <w:uiPriority w:val="99"/>
    <w:pPr>
      <w:spacing w:line="360" w:lineRule="auto"/>
    </w:pPr>
    <w:rPr>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kesin.Com</Company>
  <Pages>24</Pages>
  <Words>8685</Words>
  <Characters>10233</Characters>
  <Lines>4</Lines>
  <Paragraphs>7</Paragraphs>
  <TotalTime>144</TotalTime>
  <ScaleCrop>false</ScaleCrop>
  <LinksUpToDate>false</LinksUpToDate>
  <CharactersWithSpaces>10555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49514</dc:creator>
  <cp:lastModifiedBy>LiaoRx</cp:lastModifiedBy>
  <cp:lastPrinted>2020-06-08T08:11:00Z</cp:lastPrinted>
  <dcterms:modified xsi:type="dcterms:W3CDTF">2026-04-07T00:47:21Z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DA92820D34D342BA930A2E9DD4BB0ACF_13</vt:lpwstr>
  </property>
  <property fmtid="{D5CDD505-2E9C-101B-9397-08002B2CF9AE}" pid="4" name="KSOTemplateDocerSaveRecord">
    <vt:lpwstr>eyJoZGlkIjoiNjAwMjQ1NTlmODc0OTRhZTAwYWJlZjEyZjYxNGM1NjMiLCJ1c2VySWQiOiI0MzE5NzMwMDUifQ==</vt:lpwstr>
  </property>
</Properties>
</file>