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E3AE42">
      <w:pPr>
        <w:spacing w:line="360" w:lineRule="auto"/>
        <w:ind w:firstLine="560"/>
        <w:rPr>
          <w:rFonts w:hint="eastAsia" w:ascii="宋体" w:hAnsi="宋体" w:cs="宋体"/>
          <w:color w:val="auto"/>
          <w:sz w:val="28"/>
          <w:szCs w:val="28"/>
          <w:highlight w:val="none"/>
        </w:rPr>
      </w:pPr>
    </w:p>
    <w:p w14:paraId="0E16A42A">
      <w:pPr>
        <w:spacing w:line="360" w:lineRule="auto"/>
        <w:ind w:firstLine="560"/>
        <w:rPr>
          <w:rFonts w:ascii="宋体" w:hAnsi="宋体" w:cs="宋体"/>
          <w:color w:val="auto"/>
          <w:sz w:val="28"/>
          <w:szCs w:val="28"/>
          <w:highlight w:val="none"/>
        </w:rPr>
      </w:pPr>
    </w:p>
    <w:p w14:paraId="50BC6A02">
      <w:pPr>
        <w:spacing w:line="360" w:lineRule="auto"/>
        <w:ind w:firstLine="560"/>
        <w:rPr>
          <w:rFonts w:ascii="宋体" w:hAnsi="宋体" w:cs="宋体"/>
          <w:color w:val="auto"/>
          <w:sz w:val="28"/>
          <w:szCs w:val="28"/>
          <w:highlight w:val="none"/>
        </w:rPr>
      </w:pPr>
    </w:p>
    <w:p w14:paraId="4AF98465">
      <w:pPr>
        <w:spacing w:line="360" w:lineRule="auto"/>
        <w:ind w:firstLine="560"/>
        <w:jc w:val="left"/>
        <w:rPr>
          <w:rFonts w:ascii="宋体" w:hAnsi="宋体" w:cs="宋体"/>
          <w:color w:val="auto"/>
          <w:sz w:val="28"/>
          <w:szCs w:val="28"/>
          <w:highlight w:val="none"/>
        </w:rPr>
      </w:pPr>
    </w:p>
    <w:p w14:paraId="303260FE">
      <w:pPr>
        <w:jc w:val="center"/>
        <w:rPr>
          <w:rFonts w:hint="eastAsia" w:ascii="黑体" w:eastAsia="黑体"/>
          <w:color w:val="auto"/>
          <w:sz w:val="38"/>
          <w:szCs w:val="38"/>
          <w:highlight w:val="none"/>
          <w:u w:val="single"/>
          <w:lang w:eastAsia="zh-CN"/>
        </w:rPr>
      </w:pPr>
      <w:r>
        <w:rPr>
          <w:rFonts w:hint="eastAsia" w:ascii="黑体" w:eastAsia="黑体"/>
          <w:color w:val="auto"/>
          <w:sz w:val="38"/>
          <w:szCs w:val="38"/>
          <w:highlight w:val="none"/>
          <w:u w:val="single"/>
          <w:lang w:eastAsia="zh-CN"/>
        </w:rPr>
        <w:t>东鸿公司塘厦创智园2026年度电梯维保项目</w:t>
      </w:r>
    </w:p>
    <w:p w14:paraId="596733E1">
      <w:pPr>
        <w:jc w:val="center"/>
        <w:rPr>
          <w:rFonts w:hint="eastAsia" w:ascii="黑体" w:eastAsia="黑体"/>
          <w:b w:val="0"/>
          <w:bCs w:val="0"/>
          <w:color w:val="auto"/>
          <w:sz w:val="28"/>
          <w:szCs w:val="28"/>
          <w:highlight w:val="none"/>
          <w:lang w:eastAsia="zh-CN"/>
        </w:rPr>
      </w:pPr>
      <w:r>
        <w:rPr>
          <w:rFonts w:hint="eastAsia" w:ascii="黑体" w:eastAsia="黑体"/>
          <w:b w:val="0"/>
          <w:bCs w:val="0"/>
          <w:color w:val="auto"/>
          <w:sz w:val="28"/>
          <w:szCs w:val="28"/>
          <w:highlight w:val="none"/>
        </w:rPr>
        <w:t>项目编号：</w:t>
      </w:r>
      <w:r>
        <w:rPr>
          <w:rFonts w:hint="eastAsia" w:ascii="黑体" w:eastAsia="黑体"/>
          <w:b w:val="0"/>
          <w:bCs w:val="0"/>
          <w:color w:val="auto"/>
          <w:sz w:val="28"/>
          <w:szCs w:val="28"/>
          <w:highlight w:val="none"/>
          <w:lang w:eastAsia="zh-CN"/>
        </w:rPr>
        <w:t>DHWY-DT-03-01-003(2026)</w:t>
      </w:r>
    </w:p>
    <w:p w14:paraId="357F5D26">
      <w:pPr>
        <w:rPr>
          <w:color w:val="auto"/>
          <w:sz w:val="28"/>
          <w:szCs w:val="28"/>
          <w:highlight w:val="none"/>
        </w:rPr>
      </w:pPr>
    </w:p>
    <w:p w14:paraId="47EA0231">
      <w:pPr>
        <w:rPr>
          <w:color w:val="auto"/>
          <w:sz w:val="28"/>
          <w:szCs w:val="28"/>
          <w:highlight w:val="none"/>
        </w:rPr>
      </w:pPr>
    </w:p>
    <w:p w14:paraId="75BC8DDB">
      <w:pPr>
        <w:jc w:val="center"/>
        <w:rPr>
          <w:rFonts w:ascii="黑体" w:eastAsia="黑体"/>
          <w:color w:val="auto"/>
          <w:sz w:val="44"/>
          <w:szCs w:val="44"/>
          <w:highlight w:val="none"/>
        </w:rPr>
      </w:pPr>
      <w:r>
        <w:rPr>
          <w:rFonts w:hint="eastAsia" w:ascii="黑体" w:eastAsia="黑体"/>
          <w:color w:val="auto"/>
          <w:sz w:val="44"/>
          <w:szCs w:val="44"/>
          <w:highlight w:val="none"/>
        </w:rPr>
        <w:t>竞争性谈判文件</w:t>
      </w:r>
    </w:p>
    <w:p w14:paraId="1CD8CE7B">
      <w:pPr>
        <w:spacing w:line="400" w:lineRule="exact"/>
        <w:rPr>
          <w:color w:val="auto"/>
          <w:highlight w:val="none"/>
        </w:rPr>
      </w:pPr>
    </w:p>
    <w:p w14:paraId="36E4C851">
      <w:pPr>
        <w:spacing w:line="400" w:lineRule="exact"/>
        <w:rPr>
          <w:color w:val="auto"/>
          <w:highlight w:val="none"/>
        </w:rPr>
      </w:pPr>
    </w:p>
    <w:p w14:paraId="200684D0">
      <w:pPr>
        <w:spacing w:line="400" w:lineRule="exact"/>
        <w:rPr>
          <w:color w:val="auto"/>
          <w:highlight w:val="none"/>
        </w:rPr>
      </w:pPr>
    </w:p>
    <w:p w14:paraId="66C82547">
      <w:pPr>
        <w:spacing w:line="400" w:lineRule="exact"/>
        <w:rPr>
          <w:color w:val="auto"/>
          <w:highlight w:val="none"/>
        </w:rPr>
      </w:pPr>
    </w:p>
    <w:p w14:paraId="3783E43B">
      <w:pPr>
        <w:spacing w:line="400" w:lineRule="exact"/>
        <w:rPr>
          <w:color w:val="auto"/>
          <w:highlight w:val="none"/>
        </w:rPr>
      </w:pPr>
    </w:p>
    <w:p w14:paraId="0B1E5F28">
      <w:pPr>
        <w:spacing w:line="400" w:lineRule="exact"/>
        <w:rPr>
          <w:color w:val="auto"/>
          <w:highlight w:val="none"/>
        </w:rPr>
      </w:pPr>
    </w:p>
    <w:p w14:paraId="511817F0">
      <w:pPr>
        <w:spacing w:line="400" w:lineRule="exact"/>
        <w:rPr>
          <w:color w:val="auto"/>
          <w:highlight w:val="none"/>
        </w:rPr>
      </w:pPr>
    </w:p>
    <w:p w14:paraId="4EDD8E53">
      <w:pPr>
        <w:spacing w:line="400" w:lineRule="exact"/>
        <w:rPr>
          <w:color w:val="auto"/>
          <w:highlight w:val="none"/>
        </w:rPr>
      </w:pPr>
    </w:p>
    <w:p w14:paraId="3C262738">
      <w:pPr>
        <w:spacing w:line="400" w:lineRule="exact"/>
        <w:rPr>
          <w:color w:val="auto"/>
          <w:highlight w:val="none"/>
        </w:rPr>
      </w:pPr>
    </w:p>
    <w:p w14:paraId="1ABAE4A0">
      <w:pPr>
        <w:jc w:val="center"/>
        <w:rPr>
          <w:rFonts w:ascii="黑体" w:eastAsia="黑体"/>
          <w:color w:val="auto"/>
          <w:sz w:val="28"/>
          <w:szCs w:val="28"/>
          <w:highlight w:val="none"/>
        </w:rPr>
      </w:pPr>
      <w:r>
        <w:rPr>
          <w:rFonts w:hint="eastAsia" w:ascii="黑体" w:eastAsia="黑体"/>
          <w:color w:val="auto"/>
          <w:sz w:val="28"/>
          <w:szCs w:val="28"/>
          <w:highlight w:val="none"/>
        </w:rPr>
        <w:t>采购人：</w:t>
      </w:r>
      <w:r>
        <w:rPr>
          <w:rFonts w:hint="eastAsia" w:ascii="黑体" w:eastAsia="黑体"/>
          <w:color w:val="auto"/>
          <w:sz w:val="28"/>
          <w:szCs w:val="28"/>
          <w:highlight w:val="none"/>
          <w:u w:val="single"/>
          <w:lang w:eastAsia="zh-CN"/>
        </w:rPr>
        <w:t>广东东鸿物业发展有限公司</w:t>
      </w:r>
      <w:r>
        <w:rPr>
          <w:rFonts w:hint="eastAsia" w:ascii="黑体" w:eastAsia="黑体"/>
          <w:color w:val="auto"/>
          <w:sz w:val="28"/>
          <w:szCs w:val="28"/>
          <w:highlight w:val="none"/>
        </w:rPr>
        <w:t>（盖单位章）</w:t>
      </w:r>
    </w:p>
    <w:p w14:paraId="746BD8AC">
      <w:pPr>
        <w:jc w:val="center"/>
        <w:rPr>
          <w:rFonts w:ascii="黑体" w:eastAsia="黑体"/>
          <w:color w:val="auto"/>
          <w:sz w:val="28"/>
          <w:szCs w:val="28"/>
          <w:highlight w:val="none"/>
        </w:rPr>
      </w:pPr>
    </w:p>
    <w:p w14:paraId="227625EC">
      <w:pPr>
        <w:jc w:val="center"/>
        <w:rPr>
          <w:rFonts w:ascii="黑体" w:eastAsia="黑体"/>
          <w:color w:val="auto"/>
          <w:sz w:val="28"/>
          <w:szCs w:val="28"/>
          <w:highlight w:val="none"/>
        </w:rPr>
      </w:pPr>
      <w:r>
        <w:rPr>
          <w:rFonts w:hint="eastAsia" w:ascii="黑体" w:eastAsia="黑体"/>
          <w:color w:val="auto"/>
          <w:sz w:val="28"/>
          <w:szCs w:val="28"/>
          <w:highlight w:val="none"/>
        </w:rPr>
        <w:t xml:space="preserve"> </w:t>
      </w:r>
      <w:r>
        <w:rPr>
          <w:rFonts w:hint="eastAsia" w:ascii="黑体" w:eastAsia="黑体"/>
          <w:color w:val="auto"/>
          <w:sz w:val="28"/>
          <w:szCs w:val="28"/>
          <w:highlight w:val="none"/>
          <w:u w:val="single"/>
          <w:lang w:val="en-US" w:eastAsia="zh-CN"/>
        </w:rPr>
        <w:t>2026</w:t>
      </w:r>
      <w:r>
        <w:rPr>
          <w:rFonts w:hint="eastAsia" w:ascii="黑体" w:eastAsia="黑体"/>
          <w:color w:val="auto"/>
          <w:sz w:val="28"/>
          <w:szCs w:val="28"/>
          <w:highlight w:val="none"/>
        </w:rPr>
        <w:t>年</w:t>
      </w:r>
      <w:r>
        <w:rPr>
          <w:rFonts w:hint="eastAsia" w:ascii="黑体" w:eastAsia="黑体"/>
          <w:color w:val="auto"/>
          <w:sz w:val="28"/>
          <w:szCs w:val="28"/>
          <w:highlight w:val="none"/>
          <w:u w:val="single"/>
          <w:lang w:val="en-US" w:eastAsia="zh-CN"/>
        </w:rPr>
        <w:t>3</w:t>
      </w:r>
      <w:r>
        <w:rPr>
          <w:rFonts w:hint="eastAsia" w:ascii="黑体" w:eastAsia="黑体"/>
          <w:color w:val="auto"/>
          <w:sz w:val="28"/>
          <w:szCs w:val="28"/>
          <w:highlight w:val="none"/>
        </w:rPr>
        <w:t>月</w:t>
      </w:r>
    </w:p>
    <w:p w14:paraId="1093E896">
      <w:pPr>
        <w:jc w:val="center"/>
        <w:rPr>
          <w:rFonts w:ascii="黑体" w:eastAsia="黑体"/>
          <w:color w:val="auto"/>
          <w:sz w:val="28"/>
          <w:szCs w:val="28"/>
          <w:highlight w:val="none"/>
        </w:rPr>
      </w:pPr>
      <w:r>
        <w:rPr>
          <w:rFonts w:eastAsia="华文隶书"/>
          <w:color w:val="auto"/>
          <w:sz w:val="44"/>
          <w:szCs w:val="44"/>
          <w:highlight w:val="none"/>
        </w:rPr>
        <w:br w:type="page"/>
      </w:r>
      <w:r>
        <w:rPr>
          <w:rFonts w:hint="eastAsia" w:ascii="黑体" w:eastAsia="黑体"/>
          <w:color w:val="auto"/>
          <w:sz w:val="28"/>
          <w:szCs w:val="28"/>
          <w:highlight w:val="none"/>
        </w:rPr>
        <w:t>目 录</w:t>
      </w:r>
    </w:p>
    <w:p w14:paraId="7547989D">
      <w:pPr>
        <w:pStyle w:val="27"/>
        <w:keepNext w:val="0"/>
        <w:keepLines w:val="0"/>
        <w:pageBreakBefore w:val="0"/>
        <w:widowControl w:val="0"/>
        <w:tabs>
          <w:tab w:val="right" w:leader="dot" w:pos="8306"/>
        </w:tabs>
        <w:kinsoku/>
        <w:wordWrap/>
        <w:overflowPunct/>
        <w:topLinePunct w:val="0"/>
        <w:autoSpaceDE/>
        <w:autoSpaceDN/>
        <w:bidi w:val="0"/>
        <w:adjustRightInd/>
        <w:snapToGrid/>
        <w:spacing w:before="0" w:after="0" w:line="360" w:lineRule="auto"/>
        <w:textAlignment w:val="auto"/>
        <w:rPr>
          <w:color w:val="auto"/>
          <w:sz w:val="21"/>
          <w:szCs w:val="21"/>
          <w:highlight w:val="none"/>
        </w:rPr>
      </w:pPr>
      <w:r>
        <w:rPr>
          <w:rFonts w:ascii="黑体" w:eastAsia="黑体"/>
          <w:color w:val="auto"/>
          <w:sz w:val="28"/>
          <w:szCs w:val="28"/>
          <w:highlight w:val="none"/>
        </w:rPr>
        <w:fldChar w:fldCharType="begin"/>
      </w:r>
      <w:r>
        <w:rPr>
          <w:rFonts w:ascii="黑体" w:eastAsia="黑体"/>
          <w:color w:val="auto"/>
          <w:sz w:val="28"/>
          <w:szCs w:val="28"/>
          <w:highlight w:val="none"/>
        </w:rPr>
        <w:instrText xml:space="preserve"> </w:instrText>
      </w:r>
      <w:r>
        <w:rPr>
          <w:rFonts w:hint="eastAsia" w:ascii="黑体" w:eastAsia="黑体"/>
          <w:color w:val="auto"/>
          <w:sz w:val="28"/>
          <w:szCs w:val="28"/>
          <w:highlight w:val="none"/>
        </w:rPr>
        <w:instrText xml:space="preserve">TOC \o "1-3" \h \z \u</w:instrText>
      </w:r>
      <w:r>
        <w:rPr>
          <w:rFonts w:ascii="黑体" w:eastAsia="黑体"/>
          <w:color w:val="auto"/>
          <w:sz w:val="28"/>
          <w:szCs w:val="28"/>
          <w:highlight w:val="none"/>
        </w:rPr>
        <w:instrText xml:space="preserve"> </w:instrText>
      </w:r>
      <w:r>
        <w:rPr>
          <w:rFonts w:ascii="黑体" w:eastAsia="黑体"/>
          <w:color w:val="auto"/>
          <w:sz w:val="28"/>
          <w:szCs w:val="28"/>
          <w:highlight w:val="none"/>
        </w:rPr>
        <w:fldChar w:fldCharType="separate"/>
      </w:r>
      <w:r>
        <w:rPr>
          <w:rFonts w:ascii="黑体" w:eastAsia="黑体"/>
          <w:color w:val="auto"/>
          <w:sz w:val="21"/>
          <w:szCs w:val="21"/>
          <w:highlight w:val="none"/>
        </w:rPr>
        <w:fldChar w:fldCharType="begin"/>
      </w:r>
      <w:r>
        <w:rPr>
          <w:rFonts w:ascii="黑体" w:eastAsia="黑体"/>
          <w:color w:val="auto"/>
          <w:sz w:val="21"/>
          <w:szCs w:val="21"/>
          <w:highlight w:val="none"/>
        </w:rPr>
        <w:instrText xml:space="preserve"> HYPERLINK \l _Toc32647 </w:instrText>
      </w:r>
      <w:r>
        <w:rPr>
          <w:rFonts w:ascii="黑体" w:eastAsia="黑体"/>
          <w:color w:val="auto"/>
          <w:sz w:val="21"/>
          <w:szCs w:val="21"/>
          <w:highlight w:val="none"/>
        </w:rPr>
        <w:fldChar w:fldCharType="separate"/>
      </w:r>
      <w:r>
        <w:rPr>
          <w:rFonts w:hint="eastAsia" w:ascii="宋体" w:hAnsi="宋体" w:eastAsia="宋体" w:cs="宋体"/>
          <w:color w:val="auto"/>
          <w:kern w:val="0"/>
          <w:sz w:val="21"/>
          <w:szCs w:val="21"/>
          <w:highlight w:val="none"/>
        </w:rPr>
        <w:t>第</w:t>
      </w:r>
      <w:r>
        <w:rPr>
          <w:rFonts w:ascii="宋体" w:hAnsi="宋体" w:eastAsia="宋体" w:cs="宋体"/>
          <w:color w:val="auto"/>
          <w:kern w:val="0"/>
          <w:sz w:val="21"/>
          <w:szCs w:val="21"/>
          <w:highlight w:val="none"/>
        </w:rPr>
        <w:t>一章  竞争性谈判公告</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_Toc32647 \h </w:instrText>
      </w:r>
      <w:r>
        <w:rPr>
          <w:color w:val="auto"/>
          <w:sz w:val="21"/>
          <w:szCs w:val="21"/>
          <w:highlight w:val="none"/>
        </w:rPr>
        <w:fldChar w:fldCharType="separate"/>
      </w:r>
      <w:r>
        <w:rPr>
          <w:color w:val="auto"/>
          <w:sz w:val="21"/>
          <w:szCs w:val="21"/>
          <w:highlight w:val="none"/>
        </w:rPr>
        <w:t>4</w:t>
      </w:r>
      <w:r>
        <w:rPr>
          <w:color w:val="auto"/>
          <w:sz w:val="21"/>
          <w:szCs w:val="21"/>
          <w:highlight w:val="none"/>
        </w:rPr>
        <w:fldChar w:fldCharType="end"/>
      </w:r>
      <w:r>
        <w:rPr>
          <w:rFonts w:ascii="黑体" w:eastAsia="黑体"/>
          <w:color w:val="auto"/>
          <w:sz w:val="21"/>
          <w:szCs w:val="21"/>
          <w:highlight w:val="none"/>
        </w:rPr>
        <w:fldChar w:fldCharType="end"/>
      </w:r>
    </w:p>
    <w:p w14:paraId="38A776AD">
      <w:pPr>
        <w:pStyle w:val="27"/>
        <w:keepNext w:val="0"/>
        <w:keepLines w:val="0"/>
        <w:pageBreakBefore w:val="0"/>
        <w:widowControl w:val="0"/>
        <w:tabs>
          <w:tab w:val="right" w:leader="dot" w:pos="8306"/>
        </w:tabs>
        <w:kinsoku/>
        <w:wordWrap/>
        <w:overflowPunct/>
        <w:topLinePunct w:val="0"/>
        <w:autoSpaceDE/>
        <w:autoSpaceDN/>
        <w:bidi w:val="0"/>
        <w:adjustRightInd/>
        <w:snapToGrid/>
        <w:spacing w:before="0" w:after="0" w:line="360" w:lineRule="auto"/>
        <w:textAlignment w:val="auto"/>
        <w:rPr>
          <w:color w:val="auto"/>
          <w:sz w:val="21"/>
          <w:szCs w:val="21"/>
          <w:highlight w:val="none"/>
        </w:rPr>
      </w:pPr>
      <w:r>
        <w:rPr>
          <w:rFonts w:ascii="黑体" w:eastAsia="黑体"/>
          <w:color w:val="auto"/>
          <w:sz w:val="21"/>
          <w:szCs w:val="21"/>
          <w:highlight w:val="none"/>
        </w:rPr>
        <w:fldChar w:fldCharType="begin"/>
      </w:r>
      <w:r>
        <w:rPr>
          <w:rFonts w:ascii="黑体" w:eastAsia="黑体"/>
          <w:color w:val="auto"/>
          <w:sz w:val="21"/>
          <w:szCs w:val="21"/>
          <w:highlight w:val="none"/>
        </w:rPr>
        <w:instrText xml:space="preserve"> HYPERLINK \l _Toc18107 </w:instrText>
      </w:r>
      <w:r>
        <w:rPr>
          <w:rFonts w:ascii="黑体" w:eastAsia="黑体"/>
          <w:color w:val="auto"/>
          <w:sz w:val="21"/>
          <w:szCs w:val="21"/>
          <w:highlight w:val="none"/>
        </w:rPr>
        <w:fldChar w:fldCharType="separate"/>
      </w:r>
      <w:r>
        <w:rPr>
          <w:rFonts w:hint="eastAsia" w:ascii="宋体" w:hAnsi="宋体" w:eastAsia="宋体" w:cs="宋体"/>
          <w:color w:val="auto"/>
          <w:kern w:val="0"/>
          <w:sz w:val="21"/>
          <w:szCs w:val="21"/>
          <w:highlight w:val="none"/>
        </w:rPr>
        <w:t>第二章 竞争性谈判响应须知</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_Toc18107 \h </w:instrText>
      </w:r>
      <w:r>
        <w:rPr>
          <w:color w:val="auto"/>
          <w:sz w:val="21"/>
          <w:szCs w:val="21"/>
          <w:highlight w:val="none"/>
        </w:rPr>
        <w:fldChar w:fldCharType="separate"/>
      </w:r>
      <w:r>
        <w:rPr>
          <w:color w:val="auto"/>
          <w:sz w:val="21"/>
          <w:szCs w:val="21"/>
          <w:highlight w:val="none"/>
        </w:rPr>
        <w:t>7</w:t>
      </w:r>
      <w:r>
        <w:rPr>
          <w:color w:val="auto"/>
          <w:sz w:val="21"/>
          <w:szCs w:val="21"/>
          <w:highlight w:val="none"/>
        </w:rPr>
        <w:fldChar w:fldCharType="end"/>
      </w:r>
      <w:r>
        <w:rPr>
          <w:rFonts w:ascii="黑体" w:eastAsia="黑体"/>
          <w:color w:val="auto"/>
          <w:sz w:val="21"/>
          <w:szCs w:val="21"/>
          <w:highlight w:val="none"/>
        </w:rPr>
        <w:fldChar w:fldCharType="end"/>
      </w:r>
    </w:p>
    <w:p w14:paraId="57F201D7">
      <w:pPr>
        <w:pStyle w:val="27"/>
        <w:keepNext w:val="0"/>
        <w:keepLines w:val="0"/>
        <w:pageBreakBefore w:val="0"/>
        <w:widowControl w:val="0"/>
        <w:tabs>
          <w:tab w:val="right" w:leader="dot" w:pos="8306"/>
        </w:tabs>
        <w:kinsoku/>
        <w:wordWrap/>
        <w:overflowPunct/>
        <w:topLinePunct w:val="0"/>
        <w:autoSpaceDE/>
        <w:autoSpaceDN/>
        <w:bidi w:val="0"/>
        <w:adjustRightInd/>
        <w:snapToGrid/>
        <w:spacing w:before="0" w:after="0" w:line="360" w:lineRule="auto"/>
        <w:textAlignment w:val="auto"/>
        <w:rPr>
          <w:color w:val="auto"/>
          <w:sz w:val="21"/>
          <w:szCs w:val="21"/>
          <w:highlight w:val="none"/>
        </w:rPr>
      </w:pPr>
      <w:r>
        <w:rPr>
          <w:rFonts w:ascii="黑体" w:eastAsia="黑体"/>
          <w:color w:val="auto"/>
          <w:sz w:val="21"/>
          <w:szCs w:val="21"/>
          <w:highlight w:val="none"/>
        </w:rPr>
        <w:fldChar w:fldCharType="begin"/>
      </w:r>
      <w:r>
        <w:rPr>
          <w:rFonts w:ascii="黑体" w:eastAsia="黑体"/>
          <w:color w:val="auto"/>
          <w:sz w:val="21"/>
          <w:szCs w:val="21"/>
          <w:highlight w:val="none"/>
        </w:rPr>
        <w:instrText xml:space="preserve"> HYPERLINK \l _Toc1580 </w:instrText>
      </w:r>
      <w:r>
        <w:rPr>
          <w:rFonts w:ascii="黑体" w:eastAsia="黑体"/>
          <w:color w:val="auto"/>
          <w:sz w:val="21"/>
          <w:szCs w:val="21"/>
          <w:highlight w:val="none"/>
        </w:rPr>
        <w:fldChar w:fldCharType="separate"/>
      </w:r>
      <w:r>
        <w:rPr>
          <w:rFonts w:hint="eastAsia"/>
          <w:color w:val="auto"/>
          <w:sz w:val="21"/>
          <w:szCs w:val="21"/>
          <w:highlight w:val="none"/>
        </w:rPr>
        <w:t>竞争性谈判响应须知前附表</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_Toc1580 \h </w:instrText>
      </w:r>
      <w:r>
        <w:rPr>
          <w:color w:val="auto"/>
          <w:sz w:val="21"/>
          <w:szCs w:val="21"/>
          <w:highlight w:val="none"/>
        </w:rPr>
        <w:fldChar w:fldCharType="separate"/>
      </w:r>
      <w:r>
        <w:rPr>
          <w:color w:val="auto"/>
          <w:sz w:val="21"/>
          <w:szCs w:val="21"/>
          <w:highlight w:val="none"/>
        </w:rPr>
        <w:t>7</w:t>
      </w:r>
      <w:r>
        <w:rPr>
          <w:color w:val="auto"/>
          <w:sz w:val="21"/>
          <w:szCs w:val="21"/>
          <w:highlight w:val="none"/>
        </w:rPr>
        <w:fldChar w:fldCharType="end"/>
      </w:r>
      <w:r>
        <w:rPr>
          <w:rFonts w:ascii="黑体" w:eastAsia="黑体"/>
          <w:color w:val="auto"/>
          <w:sz w:val="21"/>
          <w:szCs w:val="21"/>
          <w:highlight w:val="none"/>
        </w:rPr>
        <w:fldChar w:fldCharType="end"/>
      </w:r>
    </w:p>
    <w:p w14:paraId="1D6C8BF3">
      <w:pPr>
        <w:pStyle w:val="3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color w:val="auto"/>
          <w:sz w:val="21"/>
          <w:szCs w:val="21"/>
          <w:highlight w:val="none"/>
        </w:rPr>
      </w:pPr>
      <w:r>
        <w:rPr>
          <w:rFonts w:ascii="黑体" w:eastAsia="黑体"/>
          <w:color w:val="auto"/>
          <w:sz w:val="21"/>
          <w:szCs w:val="21"/>
          <w:highlight w:val="none"/>
        </w:rPr>
        <w:fldChar w:fldCharType="begin"/>
      </w:r>
      <w:r>
        <w:rPr>
          <w:rFonts w:ascii="黑体" w:eastAsia="黑体"/>
          <w:color w:val="auto"/>
          <w:sz w:val="21"/>
          <w:szCs w:val="21"/>
          <w:highlight w:val="none"/>
        </w:rPr>
        <w:instrText xml:space="preserve"> HYPERLINK \l _Toc17886 </w:instrText>
      </w:r>
      <w:r>
        <w:rPr>
          <w:rFonts w:ascii="黑体" w:eastAsia="黑体"/>
          <w:color w:val="auto"/>
          <w:sz w:val="21"/>
          <w:szCs w:val="21"/>
          <w:highlight w:val="none"/>
        </w:rPr>
        <w:fldChar w:fldCharType="separate"/>
      </w:r>
      <w:r>
        <w:rPr>
          <w:rFonts w:hint="eastAsia" w:ascii="黑体" w:hAnsi="黑体"/>
          <w:color w:val="auto"/>
          <w:sz w:val="21"/>
          <w:szCs w:val="21"/>
          <w:highlight w:val="none"/>
        </w:rPr>
        <w:t>1. 总则</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_Toc17886 \h </w:instrText>
      </w:r>
      <w:r>
        <w:rPr>
          <w:color w:val="auto"/>
          <w:sz w:val="21"/>
          <w:szCs w:val="21"/>
          <w:highlight w:val="none"/>
        </w:rPr>
        <w:fldChar w:fldCharType="separate"/>
      </w:r>
      <w:r>
        <w:rPr>
          <w:color w:val="auto"/>
          <w:sz w:val="21"/>
          <w:szCs w:val="21"/>
          <w:highlight w:val="none"/>
        </w:rPr>
        <w:t>12</w:t>
      </w:r>
      <w:r>
        <w:rPr>
          <w:color w:val="auto"/>
          <w:sz w:val="21"/>
          <w:szCs w:val="21"/>
          <w:highlight w:val="none"/>
        </w:rPr>
        <w:fldChar w:fldCharType="end"/>
      </w:r>
      <w:r>
        <w:rPr>
          <w:rFonts w:ascii="黑体" w:eastAsia="黑体"/>
          <w:color w:val="auto"/>
          <w:sz w:val="21"/>
          <w:szCs w:val="21"/>
          <w:highlight w:val="none"/>
        </w:rPr>
        <w:fldChar w:fldCharType="end"/>
      </w:r>
    </w:p>
    <w:p w14:paraId="59612FE8">
      <w:pPr>
        <w:pStyle w:val="3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color w:val="auto"/>
          <w:sz w:val="21"/>
          <w:szCs w:val="21"/>
          <w:highlight w:val="none"/>
        </w:rPr>
      </w:pPr>
      <w:r>
        <w:rPr>
          <w:rFonts w:ascii="黑体" w:eastAsia="黑体"/>
          <w:color w:val="auto"/>
          <w:sz w:val="21"/>
          <w:szCs w:val="21"/>
          <w:highlight w:val="none"/>
        </w:rPr>
        <w:fldChar w:fldCharType="begin"/>
      </w:r>
      <w:r>
        <w:rPr>
          <w:rFonts w:ascii="黑体" w:eastAsia="黑体"/>
          <w:color w:val="auto"/>
          <w:sz w:val="21"/>
          <w:szCs w:val="21"/>
          <w:highlight w:val="none"/>
        </w:rPr>
        <w:instrText xml:space="preserve"> HYPERLINK \l _Toc5410 </w:instrText>
      </w:r>
      <w:r>
        <w:rPr>
          <w:rFonts w:ascii="黑体" w:eastAsia="黑体"/>
          <w:color w:val="auto"/>
          <w:sz w:val="21"/>
          <w:szCs w:val="21"/>
          <w:highlight w:val="none"/>
        </w:rPr>
        <w:fldChar w:fldCharType="separate"/>
      </w:r>
      <w:r>
        <w:rPr>
          <w:rFonts w:hint="eastAsia" w:ascii="黑体" w:hAnsi="黑体"/>
          <w:color w:val="auto"/>
          <w:sz w:val="21"/>
          <w:szCs w:val="21"/>
          <w:highlight w:val="none"/>
        </w:rPr>
        <w:t>2. 竞争性谈判文件</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_Toc5410 \h </w:instrText>
      </w:r>
      <w:r>
        <w:rPr>
          <w:color w:val="auto"/>
          <w:sz w:val="21"/>
          <w:szCs w:val="21"/>
          <w:highlight w:val="none"/>
        </w:rPr>
        <w:fldChar w:fldCharType="separate"/>
      </w:r>
      <w:r>
        <w:rPr>
          <w:color w:val="auto"/>
          <w:sz w:val="21"/>
          <w:szCs w:val="21"/>
          <w:highlight w:val="none"/>
        </w:rPr>
        <w:t>14</w:t>
      </w:r>
      <w:r>
        <w:rPr>
          <w:color w:val="auto"/>
          <w:sz w:val="21"/>
          <w:szCs w:val="21"/>
          <w:highlight w:val="none"/>
        </w:rPr>
        <w:fldChar w:fldCharType="end"/>
      </w:r>
      <w:r>
        <w:rPr>
          <w:rFonts w:ascii="黑体" w:eastAsia="黑体"/>
          <w:color w:val="auto"/>
          <w:sz w:val="21"/>
          <w:szCs w:val="21"/>
          <w:highlight w:val="none"/>
        </w:rPr>
        <w:fldChar w:fldCharType="end"/>
      </w:r>
    </w:p>
    <w:p w14:paraId="61C5E308">
      <w:pPr>
        <w:pStyle w:val="3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color w:val="auto"/>
          <w:sz w:val="21"/>
          <w:szCs w:val="21"/>
          <w:highlight w:val="none"/>
        </w:rPr>
      </w:pPr>
      <w:r>
        <w:rPr>
          <w:rFonts w:ascii="黑体" w:eastAsia="黑体"/>
          <w:color w:val="auto"/>
          <w:sz w:val="21"/>
          <w:szCs w:val="21"/>
          <w:highlight w:val="none"/>
        </w:rPr>
        <w:fldChar w:fldCharType="begin"/>
      </w:r>
      <w:r>
        <w:rPr>
          <w:rFonts w:ascii="黑体" w:eastAsia="黑体"/>
          <w:color w:val="auto"/>
          <w:sz w:val="21"/>
          <w:szCs w:val="21"/>
          <w:highlight w:val="none"/>
        </w:rPr>
        <w:instrText xml:space="preserve"> HYPERLINK \l _Toc8953 </w:instrText>
      </w:r>
      <w:r>
        <w:rPr>
          <w:rFonts w:ascii="黑体" w:eastAsia="黑体"/>
          <w:color w:val="auto"/>
          <w:sz w:val="21"/>
          <w:szCs w:val="21"/>
          <w:highlight w:val="none"/>
        </w:rPr>
        <w:fldChar w:fldCharType="separate"/>
      </w:r>
      <w:r>
        <w:rPr>
          <w:rFonts w:hint="eastAsia" w:ascii="黑体" w:hAnsi="黑体"/>
          <w:color w:val="auto"/>
          <w:sz w:val="21"/>
          <w:szCs w:val="21"/>
          <w:highlight w:val="none"/>
        </w:rPr>
        <w:t>3. 响应文件</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_Toc8953 \h </w:instrText>
      </w:r>
      <w:r>
        <w:rPr>
          <w:color w:val="auto"/>
          <w:sz w:val="21"/>
          <w:szCs w:val="21"/>
          <w:highlight w:val="none"/>
        </w:rPr>
        <w:fldChar w:fldCharType="separate"/>
      </w:r>
      <w:r>
        <w:rPr>
          <w:color w:val="auto"/>
          <w:sz w:val="21"/>
          <w:szCs w:val="21"/>
          <w:highlight w:val="none"/>
        </w:rPr>
        <w:t>15</w:t>
      </w:r>
      <w:r>
        <w:rPr>
          <w:color w:val="auto"/>
          <w:sz w:val="21"/>
          <w:szCs w:val="21"/>
          <w:highlight w:val="none"/>
        </w:rPr>
        <w:fldChar w:fldCharType="end"/>
      </w:r>
      <w:r>
        <w:rPr>
          <w:rFonts w:ascii="黑体" w:eastAsia="黑体"/>
          <w:color w:val="auto"/>
          <w:sz w:val="21"/>
          <w:szCs w:val="21"/>
          <w:highlight w:val="none"/>
        </w:rPr>
        <w:fldChar w:fldCharType="end"/>
      </w:r>
    </w:p>
    <w:p w14:paraId="522D5777">
      <w:pPr>
        <w:pStyle w:val="3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color w:val="auto"/>
          <w:sz w:val="21"/>
          <w:szCs w:val="21"/>
          <w:highlight w:val="none"/>
        </w:rPr>
      </w:pPr>
      <w:r>
        <w:rPr>
          <w:rFonts w:ascii="黑体" w:eastAsia="黑体"/>
          <w:color w:val="auto"/>
          <w:sz w:val="21"/>
          <w:szCs w:val="21"/>
          <w:highlight w:val="none"/>
        </w:rPr>
        <w:fldChar w:fldCharType="begin"/>
      </w:r>
      <w:r>
        <w:rPr>
          <w:rFonts w:ascii="黑体" w:eastAsia="黑体"/>
          <w:color w:val="auto"/>
          <w:sz w:val="21"/>
          <w:szCs w:val="21"/>
          <w:highlight w:val="none"/>
        </w:rPr>
        <w:instrText xml:space="preserve"> HYPERLINK \l _Toc21117 </w:instrText>
      </w:r>
      <w:r>
        <w:rPr>
          <w:rFonts w:ascii="黑体" w:eastAsia="黑体"/>
          <w:color w:val="auto"/>
          <w:sz w:val="21"/>
          <w:szCs w:val="21"/>
          <w:highlight w:val="none"/>
        </w:rPr>
        <w:fldChar w:fldCharType="separate"/>
      </w:r>
      <w:r>
        <w:rPr>
          <w:rFonts w:hint="eastAsia" w:ascii="黑体" w:hAnsi="黑体"/>
          <w:color w:val="auto"/>
          <w:sz w:val="21"/>
          <w:szCs w:val="21"/>
          <w:highlight w:val="none"/>
        </w:rPr>
        <w:t>4. 竞争性谈判</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_Toc21117 \h </w:instrText>
      </w:r>
      <w:r>
        <w:rPr>
          <w:color w:val="auto"/>
          <w:sz w:val="21"/>
          <w:szCs w:val="21"/>
          <w:highlight w:val="none"/>
        </w:rPr>
        <w:fldChar w:fldCharType="separate"/>
      </w:r>
      <w:r>
        <w:rPr>
          <w:color w:val="auto"/>
          <w:sz w:val="21"/>
          <w:szCs w:val="21"/>
          <w:highlight w:val="none"/>
        </w:rPr>
        <w:t>17</w:t>
      </w:r>
      <w:r>
        <w:rPr>
          <w:color w:val="auto"/>
          <w:sz w:val="21"/>
          <w:szCs w:val="21"/>
          <w:highlight w:val="none"/>
        </w:rPr>
        <w:fldChar w:fldCharType="end"/>
      </w:r>
      <w:r>
        <w:rPr>
          <w:rFonts w:ascii="黑体" w:eastAsia="黑体"/>
          <w:color w:val="auto"/>
          <w:sz w:val="21"/>
          <w:szCs w:val="21"/>
          <w:highlight w:val="none"/>
        </w:rPr>
        <w:fldChar w:fldCharType="end"/>
      </w:r>
    </w:p>
    <w:p w14:paraId="02BEDC0E">
      <w:pPr>
        <w:pStyle w:val="3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color w:val="auto"/>
          <w:sz w:val="21"/>
          <w:szCs w:val="21"/>
          <w:highlight w:val="none"/>
        </w:rPr>
      </w:pPr>
      <w:r>
        <w:rPr>
          <w:rFonts w:ascii="黑体" w:eastAsia="黑体"/>
          <w:color w:val="auto"/>
          <w:sz w:val="21"/>
          <w:szCs w:val="21"/>
          <w:highlight w:val="none"/>
        </w:rPr>
        <w:fldChar w:fldCharType="begin"/>
      </w:r>
      <w:r>
        <w:rPr>
          <w:rFonts w:ascii="黑体" w:eastAsia="黑体"/>
          <w:color w:val="auto"/>
          <w:sz w:val="21"/>
          <w:szCs w:val="21"/>
          <w:highlight w:val="none"/>
        </w:rPr>
        <w:instrText xml:space="preserve"> HYPERLINK \l _Toc5382 </w:instrText>
      </w:r>
      <w:r>
        <w:rPr>
          <w:rFonts w:ascii="黑体" w:eastAsia="黑体"/>
          <w:color w:val="auto"/>
          <w:sz w:val="21"/>
          <w:szCs w:val="21"/>
          <w:highlight w:val="none"/>
        </w:rPr>
        <w:fldChar w:fldCharType="separate"/>
      </w:r>
      <w:r>
        <w:rPr>
          <w:rFonts w:hint="eastAsia"/>
          <w:color w:val="auto"/>
          <w:sz w:val="21"/>
          <w:szCs w:val="21"/>
          <w:highlight w:val="none"/>
        </w:rPr>
        <w:t>5. 公开唱标</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_Toc5382 \h </w:instrText>
      </w:r>
      <w:r>
        <w:rPr>
          <w:color w:val="auto"/>
          <w:sz w:val="21"/>
          <w:szCs w:val="21"/>
          <w:highlight w:val="none"/>
        </w:rPr>
        <w:fldChar w:fldCharType="separate"/>
      </w:r>
      <w:r>
        <w:rPr>
          <w:color w:val="auto"/>
          <w:sz w:val="21"/>
          <w:szCs w:val="21"/>
          <w:highlight w:val="none"/>
        </w:rPr>
        <w:t>18</w:t>
      </w:r>
      <w:r>
        <w:rPr>
          <w:color w:val="auto"/>
          <w:sz w:val="21"/>
          <w:szCs w:val="21"/>
          <w:highlight w:val="none"/>
        </w:rPr>
        <w:fldChar w:fldCharType="end"/>
      </w:r>
      <w:r>
        <w:rPr>
          <w:rFonts w:ascii="黑体" w:eastAsia="黑体"/>
          <w:color w:val="auto"/>
          <w:sz w:val="21"/>
          <w:szCs w:val="21"/>
          <w:highlight w:val="none"/>
        </w:rPr>
        <w:fldChar w:fldCharType="end"/>
      </w:r>
    </w:p>
    <w:p w14:paraId="1423167F">
      <w:pPr>
        <w:pStyle w:val="3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color w:val="auto"/>
          <w:sz w:val="21"/>
          <w:szCs w:val="21"/>
          <w:highlight w:val="none"/>
        </w:rPr>
      </w:pPr>
      <w:r>
        <w:rPr>
          <w:rFonts w:ascii="黑体" w:eastAsia="黑体"/>
          <w:color w:val="auto"/>
          <w:sz w:val="21"/>
          <w:szCs w:val="21"/>
          <w:highlight w:val="none"/>
        </w:rPr>
        <w:fldChar w:fldCharType="begin"/>
      </w:r>
      <w:r>
        <w:rPr>
          <w:rFonts w:ascii="黑体" w:eastAsia="黑体"/>
          <w:color w:val="auto"/>
          <w:sz w:val="21"/>
          <w:szCs w:val="21"/>
          <w:highlight w:val="none"/>
        </w:rPr>
        <w:instrText xml:space="preserve"> HYPERLINK \l _Toc1438 </w:instrText>
      </w:r>
      <w:r>
        <w:rPr>
          <w:rFonts w:ascii="黑体" w:eastAsia="黑体"/>
          <w:color w:val="auto"/>
          <w:sz w:val="21"/>
          <w:szCs w:val="21"/>
          <w:highlight w:val="none"/>
        </w:rPr>
        <w:fldChar w:fldCharType="separate"/>
      </w:r>
      <w:r>
        <w:rPr>
          <w:rFonts w:hint="eastAsia"/>
          <w:color w:val="auto"/>
          <w:sz w:val="21"/>
          <w:szCs w:val="21"/>
          <w:highlight w:val="none"/>
        </w:rPr>
        <w:t>6. 评审</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_Toc1438 \h </w:instrText>
      </w:r>
      <w:r>
        <w:rPr>
          <w:color w:val="auto"/>
          <w:sz w:val="21"/>
          <w:szCs w:val="21"/>
          <w:highlight w:val="none"/>
        </w:rPr>
        <w:fldChar w:fldCharType="separate"/>
      </w:r>
      <w:r>
        <w:rPr>
          <w:color w:val="auto"/>
          <w:sz w:val="21"/>
          <w:szCs w:val="21"/>
          <w:highlight w:val="none"/>
        </w:rPr>
        <w:t>18</w:t>
      </w:r>
      <w:r>
        <w:rPr>
          <w:color w:val="auto"/>
          <w:sz w:val="21"/>
          <w:szCs w:val="21"/>
          <w:highlight w:val="none"/>
        </w:rPr>
        <w:fldChar w:fldCharType="end"/>
      </w:r>
      <w:r>
        <w:rPr>
          <w:rFonts w:ascii="黑体" w:eastAsia="黑体"/>
          <w:color w:val="auto"/>
          <w:sz w:val="21"/>
          <w:szCs w:val="21"/>
          <w:highlight w:val="none"/>
        </w:rPr>
        <w:fldChar w:fldCharType="end"/>
      </w:r>
    </w:p>
    <w:p w14:paraId="35EAB678">
      <w:pPr>
        <w:pStyle w:val="3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color w:val="auto"/>
          <w:sz w:val="21"/>
          <w:szCs w:val="21"/>
          <w:highlight w:val="none"/>
        </w:rPr>
      </w:pPr>
      <w:r>
        <w:rPr>
          <w:rFonts w:ascii="黑体" w:eastAsia="黑体"/>
          <w:color w:val="auto"/>
          <w:sz w:val="21"/>
          <w:szCs w:val="21"/>
          <w:highlight w:val="none"/>
        </w:rPr>
        <w:fldChar w:fldCharType="begin"/>
      </w:r>
      <w:r>
        <w:rPr>
          <w:rFonts w:ascii="黑体" w:eastAsia="黑体"/>
          <w:color w:val="auto"/>
          <w:sz w:val="21"/>
          <w:szCs w:val="21"/>
          <w:highlight w:val="none"/>
        </w:rPr>
        <w:instrText xml:space="preserve"> HYPERLINK \l _Toc18667 </w:instrText>
      </w:r>
      <w:r>
        <w:rPr>
          <w:rFonts w:ascii="黑体" w:eastAsia="黑体"/>
          <w:color w:val="auto"/>
          <w:sz w:val="21"/>
          <w:szCs w:val="21"/>
          <w:highlight w:val="none"/>
        </w:rPr>
        <w:fldChar w:fldCharType="separate"/>
      </w:r>
      <w:r>
        <w:rPr>
          <w:rFonts w:hint="eastAsia"/>
          <w:color w:val="auto"/>
          <w:sz w:val="21"/>
          <w:szCs w:val="21"/>
          <w:highlight w:val="none"/>
        </w:rPr>
        <w:t>7. 成交</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_Toc18667 \h </w:instrText>
      </w:r>
      <w:r>
        <w:rPr>
          <w:color w:val="auto"/>
          <w:sz w:val="21"/>
          <w:szCs w:val="21"/>
          <w:highlight w:val="none"/>
        </w:rPr>
        <w:fldChar w:fldCharType="separate"/>
      </w:r>
      <w:r>
        <w:rPr>
          <w:color w:val="auto"/>
          <w:sz w:val="21"/>
          <w:szCs w:val="21"/>
          <w:highlight w:val="none"/>
        </w:rPr>
        <w:t>19</w:t>
      </w:r>
      <w:r>
        <w:rPr>
          <w:color w:val="auto"/>
          <w:sz w:val="21"/>
          <w:szCs w:val="21"/>
          <w:highlight w:val="none"/>
        </w:rPr>
        <w:fldChar w:fldCharType="end"/>
      </w:r>
      <w:r>
        <w:rPr>
          <w:rFonts w:ascii="黑体" w:eastAsia="黑体"/>
          <w:color w:val="auto"/>
          <w:sz w:val="21"/>
          <w:szCs w:val="21"/>
          <w:highlight w:val="none"/>
        </w:rPr>
        <w:fldChar w:fldCharType="end"/>
      </w:r>
    </w:p>
    <w:p w14:paraId="7C5C7824">
      <w:pPr>
        <w:pStyle w:val="3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color w:val="auto"/>
          <w:sz w:val="21"/>
          <w:szCs w:val="21"/>
          <w:highlight w:val="none"/>
        </w:rPr>
      </w:pPr>
      <w:r>
        <w:rPr>
          <w:rFonts w:ascii="黑体" w:eastAsia="黑体"/>
          <w:color w:val="auto"/>
          <w:sz w:val="21"/>
          <w:szCs w:val="21"/>
          <w:highlight w:val="none"/>
        </w:rPr>
        <w:fldChar w:fldCharType="begin"/>
      </w:r>
      <w:r>
        <w:rPr>
          <w:rFonts w:ascii="黑体" w:eastAsia="黑体"/>
          <w:color w:val="auto"/>
          <w:sz w:val="21"/>
          <w:szCs w:val="21"/>
          <w:highlight w:val="none"/>
        </w:rPr>
        <w:instrText xml:space="preserve"> HYPERLINK \l _Toc18101 </w:instrText>
      </w:r>
      <w:r>
        <w:rPr>
          <w:rFonts w:ascii="黑体" w:eastAsia="黑体"/>
          <w:color w:val="auto"/>
          <w:sz w:val="21"/>
          <w:szCs w:val="21"/>
          <w:highlight w:val="none"/>
        </w:rPr>
        <w:fldChar w:fldCharType="separate"/>
      </w:r>
      <w:r>
        <w:rPr>
          <w:rFonts w:hint="eastAsia"/>
          <w:color w:val="auto"/>
          <w:sz w:val="21"/>
          <w:szCs w:val="21"/>
          <w:highlight w:val="none"/>
        </w:rPr>
        <w:t>8.合同签订</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_Toc18101 \h </w:instrText>
      </w:r>
      <w:r>
        <w:rPr>
          <w:color w:val="auto"/>
          <w:sz w:val="21"/>
          <w:szCs w:val="21"/>
          <w:highlight w:val="none"/>
        </w:rPr>
        <w:fldChar w:fldCharType="separate"/>
      </w:r>
      <w:r>
        <w:rPr>
          <w:color w:val="auto"/>
          <w:sz w:val="21"/>
          <w:szCs w:val="21"/>
          <w:highlight w:val="none"/>
        </w:rPr>
        <w:t>20</w:t>
      </w:r>
      <w:r>
        <w:rPr>
          <w:color w:val="auto"/>
          <w:sz w:val="21"/>
          <w:szCs w:val="21"/>
          <w:highlight w:val="none"/>
        </w:rPr>
        <w:fldChar w:fldCharType="end"/>
      </w:r>
      <w:r>
        <w:rPr>
          <w:rFonts w:ascii="黑体" w:eastAsia="黑体"/>
          <w:color w:val="auto"/>
          <w:sz w:val="21"/>
          <w:szCs w:val="21"/>
          <w:highlight w:val="none"/>
        </w:rPr>
        <w:fldChar w:fldCharType="end"/>
      </w:r>
    </w:p>
    <w:p w14:paraId="02C6FCDE">
      <w:pPr>
        <w:pStyle w:val="3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color w:val="auto"/>
          <w:sz w:val="21"/>
          <w:szCs w:val="21"/>
          <w:highlight w:val="none"/>
        </w:rPr>
      </w:pPr>
      <w:r>
        <w:rPr>
          <w:rFonts w:ascii="黑体" w:eastAsia="黑体"/>
          <w:color w:val="auto"/>
          <w:sz w:val="21"/>
          <w:szCs w:val="21"/>
          <w:highlight w:val="none"/>
        </w:rPr>
        <w:fldChar w:fldCharType="begin"/>
      </w:r>
      <w:r>
        <w:rPr>
          <w:rFonts w:ascii="黑体" w:eastAsia="黑体"/>
          <w:color w:val="auto"/>
          <w:sz w:val="21"/>
          <w:szCs w:val="21"/>
          <w:highlight w:val="none"/>
        </w:rPr>
        <w:instrText xml:space="preserve"> HYPERLINK \l _Toc8566 </w:instrText>
      </w:r>
      <w:r>
        <w:rPr>
          <w:rFonts w:ascii="黑体" w:eastAsia="黑体"/>
          <w:color w:val="auto"/>
          <w:sz w:val="21"/>
          <w:szCs w:val="21"/>
          <w:highlight w:val="none"/>
        </w:rPr>
        <w:fldChar w:fldCharType="separate"/>
      </w:r>
      <w:r>
        <w:rPr>
          <w:rFonts w:hint="eastAsia"/>
          <w:color w:val="auto"/>
          <w:sz w:val="21"/>
          <w:szCs w:val="21"/>
          <w:highlight w:val="none"/>
        </w:rPr>
        <w:t>9.采购代理服务费</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_Toc8566 \h </w:instrText>
      </w:r>
      <w:r>
        <w:rPr>
          <w:color w:val="auto"/>
          <w:sz w:val="21"/>
          <w:szCs w:val="21"/>
          <w:highlight w:val="none"/>
        </w:rPr>
        <w:fldChar w:fldCharType="separate"/>
      </w:r>
      <w:r>
        <w:rPr>
          <w:color w:val="auto"/>
          <w:sz w:val="21"/>
          <w:szCs w:val="21"/>
          <w:highlight w:val="none"/>
        </w:rPr>
        <w:t>21</w:t>
      </w:r>
      <w:r>
        <w:rPr>
          <w:color w:val="auto"/>
          <w:sz w:val="21"/>
          <w:szCs w:val="21"/>
          <w:highlight w:val="none"/>
        </w:rPr>
        <w:fldChar w:fldCharType="end"/>
      </w:r>
      <w:r>
        <w:rPr>
          <w:rFonts w:ascii="黑体" w:eastAsia="黑体"/>
          <w:color w:val="auto"/>
          <w:sz w:val="21"/>
          <w:szCs w:val="21"/>
          <w:highlight w:val="none"/>
        </w:rPr>
        <w:fldChar w:fldCharType="end"/>
      </w:r>
    </w:p>
    <w:p w14:paraId="62C5FEF8">
      <w:pPr>
        <w:pStyle w:val="3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color w:val="auto"/>
          <w:sz w:val="21"/>
          <w:szCs w:val="21"/>
          <w:highlight w:val="none"/>
        </w:rPr>
      </w:pPr>
      <w:r>
        <w:rPr>
          <w:rFonts w:ascii="黑体" w:eastAsia="黑体"/>
          <w:color w:val="auto"/>
          <w:sz w:val="21"/>
          <w:szCs w:val="21"/>
          <w:highlight w:val="none"/>
        </w:rPr>
        <w:fldChar w:fldCharType="begin"/>
      </w:r>
      <w:r>
        <w:rPr>
          <w:rFonts w:ascii="黑体" w:eastAsia="黑体"/>
          <w:color w:val="auto"/>
          <w:sz w:val="21"/>
          <w:szCs w:val="21"/>
          <w:highlight w:val="none"/>
        </w:rPr>
        <w:instrText xml:space="preserve"> HYPERLINK \l _Toc21324 </w:instrText>
      </w:r>
      <w:r>
        <w:rPr>
          <w:rFonts w:ascii="黑体" w:eastAsia="黑体"/>
          <w:color w:val="auto"/>
          <w:sz w:val="21"/>
          <w:szCs w:val="21"/>
          <w:highlight w:val="none"/>
        </w:rPr>
        <w:fldChar w:fldCharType="separate"/>
      </w:r>
      <w:r>
        <w:rPr>
          <w:rFonts w:hint="eastAsia"/>
          <w:color w:val="auto"/>
          <w:sz w:val="21"/>
          <w:szCs w:val="21"/>
          <w:highlight w:val="none"/>
        </w:rPr>
        <w:t>10. 纪律和监督</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_Toc21324 \h </w:instrText>
      </w:r>
      <w:r>
        <w:rPr>
          <w:color w:val="auto"/>
          <w:sz w:val="21"/>
          <w:szCs w:val="21"/>
          <w:highlight w:val="none"/>
        </w:rPr>
        <w:fldChar w:fldCharType="separate"/>
      </w:r>
      <w:r>
        <w:rPr>
          <w:color w:val="auto"/>
          <w:sz w:val="21"/>
          <w:szCs w:val="21"/>
          <w:highlight w:val="none"/>
        </w:rPr>
        <w:t>21</w:t>
      </w:r>
      <w:r>
        <w:rPr>
          <w:color w:val="auto"/>
          <w:sz w:val="21"/>
          <w:szCs w:val="21"/>
          <w:highlight w:val="none"/>
        </w:rPr>
        <w:fldChar w:fldCharType="end"/>
      </w:r>
      <w:r>
        <w:rPr>
          <w:rFonts w:ascii="黑体" w:eastAsia="黑体"/>
          <w:color w:val="auto"/>
          <w:sz w:val="21"/>
          <w:szCs w:val="21"/>
          <w:highlight w:val="none"/>
        </w:rPr>
        <w:fldChar w:fldCharType="end"/>
      </w:r>
    </w:p>
    <w:p w14:paraId="483B458E">
      <w:pPr>
        <w:pStyle w:val="3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color w:val="auto"/>
          <w:sz w:val="21"/>
          <w:szCs w:val="21"/>
          <w:highlight w:val="none"/>
        </w:rPr>
      </w:pPr>
      <w:r>
        <w:rPr>
          <w:rFonts w:ascii="黑体" w:eastAsia="黑体"/>
          <w:color w:val="auto"/>
          <w:sz w:val="21"/>
          <w:szCs w:val="21"/>
          <w:highlight w:val="none"/>
        </w:rPr>
        <w:fldChar w:fldCharType="begin"/>
      </w:r>
      <w:r>
        <w:rPr>
          <w:rFonts w:ascii="黑体" w:eastAsia="黑体"/>
          <w:color w:val="auto"/>
          <w:sz w:val="21"/>
          <w:szCs w:val="21"/>
          <w:highlight w:val="none"/>
        </w:rPr>
        <w:instrText xml:space="preserve"> HYPERLINK \l _Toc31788 </w:instrText>
      </w:r>
      <w:r>
        <w:rPr>
          <w:rFonts w:ascii="黑体" w:eastAsia="黑体"/>
          <w:color w:val="auto"/>
          <w:sz w:val="21"/>
          <w:szCs w:val="21"/>
          <w:highlight w:val="none"/>
        </w:rPr>
        <w:fldChar w:fldCharType="separate"/>
      </w:r>
      <w:r>
        <w:rPr>
          <w:rFonts w:hint="eastAsia"/>
          <w:color w:val="auto"/>
          <w:sz w:val="21"/>
          <w:szCs w:val="21"/>
          <w:highlight w:val="none"/>
        </w:rPr>
        <w:t>1</w:t>
      </w:r>
      <w:r>
        <w:rPr>
          <w:rFonts w:hint="eastAsia"/>
          <w:color w:val="auto"/>
          <w:sz w:val="21"/>
          <w:szCs w:val="21"/>
          <w:highlight w:val="none"/>
          <w:lang w:val="en-US" w:eastAsia="zh-CN"/>
        </w:rPr>
        <w:t>1</w:t>
      </w:r>
      <w:r>
        <w:rPr>
          <w:rFonts w:hint="eastAsia"/>
          <w:color w:val="auto"/>
          <w:sz w:val="21"/>
          <w:szCs w:val="21"/>
          <w:highlight w:val="none"/>
        </w:rPr>
        <w:t>. 需要补充的其他内容</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_Toc31788 \h </w:instrText>
      </w:r>
      <w:r>
        <w:rPr>
          <w:color w:val="auto"/>
          <w:sz w:val="21"/>
          <w:szCs w:val="21"/>
          <w:highlight w:val="none"/>
        </w:rPr>
        <w:fldChar w:fldCharType="separate"/>
      </w:r>
      <w:r>
        <w:rPr>
          <w:color w:val="auto"/>
          <w:sz w:val="21"/>
          <w:szCs w:val="21"/>
          <w:highlight w:val="none"/>
        </w:rPr>
        <w:t>21</w:t>
      </w:r>
      <w:r>
        <w:rPr>
          <w:color w:val="auto"/>
          <w:sz w:val="21"/>
          <w:szCs w:val="21"/>
          <w:highlight w:val="none"/>
        </w:rPr>
        <w:fldChar w:fldCharType="end"/>
      </w:r>
      <w:r>
        <w:rPr>
          <w:rFonts w:ascii="黑体" w:eastAsia="黑体"/>
          <w:color w:val="auto"/>
          <w:sz w:val="21"/>
          <w:szCs w:val="21"/>
          <w:highlight w:val="none"/>
        </w:rPr>
        <w:fldChar w:fldCharType="end"/>
      </w:r>
    </w:p>
    <w:p w14:paraId="2801AB54">
      <w:pPr>
        <w:pStyle w:val="27"/>
        <w:keepNext w:val="0"/>
        <w:keepLines w:val="0"/>
        <w:pageBreakBefore w:val="0"/>
        <w:widowControl w:val="0"/>
        <w:tabs>
          <w:tab w:val="right" w:leader="dot" w:pos="8306"/>
        </w:tabs>
        <w:kinsoku/>
        <w:wordWrap/>
        <w:overflowPunct/>
        <w:topLinePunct w:val="0"/>
        <w:autoSpaceDE/>
        <w:autoSpaceDN/>
        <w:bidi w:val="0"/>
        <w:adjustRightInd/>
        <w:snapToGrid/>
        <w:spacing w:before="0" w:after="0" w:line="360" w:lineRule="auto"/>
        <w:textAlignment w:val="auto"/>
        <w:rPr>
          <w:color w:val="auto"/>
          <w:sz w:val="21"/>
          <w:szCs w:val="21"/>
          <w:highlight w:val="none"/>
        </w:rPr>
      </w:pPr>
      <w:r>
        <w:rPr>
          <w:rFonts w:ascii="黑体" w:eastAsia="黑体"/>
          <w:color w:val="auto"/>
          <w:sz w:val="21"/>
          <w:szCs w:val="21"/>
          <w:highlight w:val="none"/>
        </w:rPr>
        <w:fldChar w:fldCharType="begin"/>
      </w:r>
      <w:r>
        <w:rPr>
          <w:rFonts w:ascii="黑体" w:eastAsia="黑体"/>
          <w:color w:val="auto"/>
          <w:sz w:val="21"/>
          <w:szCs w:val="21"/>
          <w:highlight w:val="none"/>
        </w:rPr>
        <w:instrText xml:space="preserve"> HYPERLINK \l _Toc30800 </w:instrText>
      </w:r>
      <w:r>
        <w:rPr>
          <w:rFonts w:ascii="黑体" w:eastAsia="黑体"/>
          <w:color w:val="auto"/>
          <w:sz w:val="21"/>
          <w:szCs w:val="21"/>
          <w:highlight w:val="none"/>
        </w:rPr>
        <w:fldChar w:fldCharType="separate"/>
      </w:r>
      <w:r>
        <w:rPr>
          <w:rFonts w:hint="eastAsia" w:ascii="宋体" w:hAnsi="宋体"/>
          <w:color w:val="auto"/>
          <w:sz w:val="21"/>
          <w:szCs w:val="21"/>
          <w:highlight w:val="none"/>
        </w:rPr>
        <w:t>第三章 评审办法</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_Toc30800 \h </w:instrText>
      </w:r>
      <w:r>
        <w:rPr>
          <w:color w:val="auto"/>
          <w:sz w:val="21"/>
          <w:szCs w:val="21"/>
          <w:highlight w:val="none"/>
        </w:rPr>
        <w:fldChar w:fldCharType="separate"/>
      </w:r>
      <w:r>
        <w:rPr>
          <w:color w:val="auto"/>
          <w:sz w:val="21"/>
          <w:szCs w:val="21"/>
          <w:highlight w:val="none"/>
        </w:rPr>
        <w:t>22</w:t>
      </w:r>
      <w:r>
        <w:rPr>
          <w:color w:val="auto"/>
          <w:sz w:val="21"/>
          <w:szCs w:val="21"/>
          <w:highlight w:val="none"/>
        </w:rPr>
        <w:fldChar w:fldCharType="end"/>
      </w:r>
      <w:r>
        <w:rPr>
          <w:rFonts w:ascii="黑体" w:eastAsia="黑体"/>
          <w:color w:val="auto"/>
          <w:sz w:val="21"/>
          <w:szCs w:val="21"/>
          <w:highlight w:val="none"/>
        </w:rPr>
        <w:fldChar w:fldCharType="end"/>
      </w:r>
    </w:p>
    <w:p w14:paraId="66477DE6">
      <w:pPr>
        <w:pStyle w:val="3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color w:val="auto"/>
          <w:sz w:val="21"/>
          <w:szCs w:val="21"/>
          <w:highlight w:val="none"/>
        </w:rPr>
      </w:pPr>
      <w:r>
        <w:rPr>
          <w:rFonts w:ascii="黑体" w:eastAsia="黑体"/>
          <w:color w:val="auto"/>
          <w:sz w:val="21"/>
          <w:szCs w:val="21"/>
          <w:highlight w:val="none"/>
        </w:rPr>
        <w:fldChar w:fldCharType="begin"/>
      </w:r>
      <w:r>
        <w:rPr>
          <w:rFonts w:ascii="黑体" w:eastAsia="黑体"/>
          <w:color w:val="auto"/>
          <w:sz w:val="21"/>
          <w:szCs w:val="21"/>
          <w:highlight w:val="none"/>
        </w:rPr>
        <w:instrText xml:space="preserve"> HYPERLINK \l _Toc18887 </w:instrText>
      </w:r>
      <w:r>
        <w:rPr>
          <w:rFonts w:ascii="黑体" w:eastAsia="黑体"/>
          <w:color w:val="auto"/>
          <w:sz w:val="21"/>
          <w:szCs w:val="21"/>
          <w:highlight w:val="none"/>
        </w:rPr>
        <w:fldChar w:fldCharType="separate"/>
      </w:r>
      <w:r>
        <w:rPr>
          <w:rFonts w:hint="eastAsia" w:ascii="黑体" w:hAnsi="黑体" w:eastAsia="黑体"/>
          <w:color w:val="auto"/>
          <w:sz w:val="21"/>
          <w:szCs w:val="21"/>
          <w:highlight w:val="none"/>
        </w:rPr>
        <w:t>一、评审办法前附表</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_Toc18887 \h </w:instrText>
      </w:r>
      <w:r>
        <w:rPr>
          <w:color w:val="auto"/>
          <w:sz w:val="21"/>
          <w:szCs w:val="21"/>
          <w:highlight w:val="none"/>
        </w:rPr>
        <w:fldChar w:fldCharType="separate"/>
      </w:r>
      <w:r>
        <w:rPr>
          <w:color w:val="auto"/>
          <w:sz w:val="21"/>
          <w:szCs w:val="21"/>
          <w:highlight w:val="none"/>
        </w:rPr>
        <w:t>22</w:t>
      </w:r>
      <w:r>
        <w:rPr>
          <w:color w:val="auto"/>
          <w:sz w:val="21"/>
          <w:szCs w:val="21"/>
          <w:highlight w:val="none"/>
        </w:rPr>
        <w:fldChar w:fldCharType="end"/>
      </w:r>
      <w:r>
        <w:rPr>
          <w:rFonts w:ascii="黑体" w:eastAsia="黑体"/>
          <w:color w:val="auto"/>
          <w:sz w:val="21"/>
          <w:szCs w:val="21"/>
          <w:highlight w:val="none"/>
        </w:rPr>
        <w:fldChar w:fldCharType="end"/>
      </w:r>
    </w:p>
    <w:p w14:paraId="23BD7978">
      <w:pPr>
        <w:pStyle w:val="3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color w:val="auto"/>
          <w:sz w:val="21"/>
          <w:szCs w:val="21"/>
          <w:highlight w:val="none"/>
        </w:rPr>
      </w:pPr>
      <w:r>
        <w:rPr>
          <w:rFonts w:ascii="黑体" w:eastAsia="黑体"/>
          <w:color w:val="auto"/>
          <w:sz w:val="21"/>
          <w:szCs w:val="21"/>
          <w:highlight w:val="none"/>
        </w:rPr>
        <w:fldChar w:fldCharType="begin"/>
      </w:r>
      <w:r>
        <w:rPr>
          <w:rFonts w:ascii="黑体" w:eastAsia="黑体"/>
          <w:color w:val="auto"/>
          <w:sz w:val="21"/>
          <w:szCs w:val="21"/>
          <w:highlight w:val="none"/>
        </w:rPr>
        <w:instrText xml:space="preserve"> HYPERLINK \l _Toc17709 </w:instrText>
      </w:r>
      <w:r>
        <w:rPr>
          <w:rFonts w:ascii="黑体" w:eastAsia="黑体"/>
          <w:color w:val="auto"/>
          <w:sz w:val="21"/>
          <w:szCs w:val="21"/>
          <w:highlight w:val="none"/>
        </w:rPr>
        <w:fldChar w:fldCharType="separate"/>
      </w:r>
      <w:r>
        <w:rPr>
          <w:rFonts w:hint="eastAsia" w:ascii="黑体" w:hAnsi="黑体" w:eastAsia="黑体"/>
          <w:color w:val="auto"/>
          <w:sz w:val="21"/>
          <w:szCs w:val="21"/>
          <w:highlight w:val="none"/>
        </w:rPr>
        <w:t>1．评审方法</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_Toc17709 \h </w:instrText>
      </w:r>
      <w:r>
        <w:rPr>
          <w:color w:val="auto"/>
          <w:sz w:val="21"/>
          <w:szCs w:val="21"/>
          <w:highlight w:val="none"/>
        </w:rPr>
        <w:fldChar w:fldCharType="separate"/>
      </w:r>
      <w:r>
        <w:rPr>
          <w:color w:val="auto"/>
          <w:sz w:val="21"/>
          <w:szCs w:val="21"/>
          <w:highlight w:val="none"/>
        </w:rPr>
        <w:t>22</w:t>
      </w:r>
      <w:r>
        <w:rPr>
          <w:color w:val="auto"/>
          <w:sz w:val="21"/>
          <w:szCs w:val="21"/>
          <w:highlight w:val="none"/>
        </w:rPr>
        <w:fldChar w:fldCharType="end"/>
      </w:r>
      <w:r>
        <w:rPr>
          <w:rFonts w:ascii="黑体" w:eastAsia="黑体"/>
          <w:color w:val="auto"/>
          <w:sz w:val="21"/>
          <w:szCs w:val="21"/>
          <w:highlight w:val="none"/>
        </w:rPr>
        <w:fldChar w:fldCharType="end"/>
      </w:r>
    </w:p>
    <w:p w14:paraId="1A42E212">
      <w:pPr>
        <w:pStyle w:val="3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color w:val="auto"/>
          <w:sz w:val="21"/>
          <w:szCs w:val="21"/>
          <w:highlight w:val="none"/>
        </w:rPr>
      </w:pPr>
      <w:r>
        <w:rPr>
          <w:rFonts w:ascii="黑体" w:eastAsia="黑体"/>
          <w:color w:val="auto"/>
          <w:sz w:val="21"/>
          <w:szCs w:val="21"/>
          <w:highlight w:val="none"/>
        </w:rPr>
        <w:fldChar w:fldCharType="begin"/>
      </w:r>
      <w:r>
        <w:rPr>
          <w:rFonts w:ascii="黑体" w:eastAsia="黑体"/>
          <w:color w:val="auto"/>
          <w:sz w:val="21"/>
          <w:szCs w:val="21"/>
          <w:highlight w:val="none"/>
        </w:rPr>
        <w:instrText xml:space="preserve"> HYPERLINK \l _Toc32587 </w:instrText>
      </w:r>
      <w:r>
        <w:rPr>
          <w:rFonts w:ascii="黑体" w:eastAsia="黑体"/>
          <w:color w:val="auto"/>
          <w:sz w:val="21"/>
          <w:szCs w:val="21"/>
          <w:highlight w:val="none"/>
        </w:rPr>
        <w:fldChar w:fldCharType="separate"/>
      </w:r>
      <w:r>
        <w:rPr>
          <w:rFonts w:hint="eastAsia" w:ascii="黑体" w:hAnsi="黑体" w:eastAsia="黑体"/>
          <w:color w:val="auto"/>
          <w:sz w:val="21"/>
          <w:szCs w:val="21"/>
          <w:highlight w:val="none"/>
        </w:rPr>
        <w:t>2．评审标准</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_Toc32587 \h </w:instrText>
      </w:r>
      <w:r>
        <w:rPr>
          <w:color w:val="auto"/>
          <w:sz w:val="21"/>
          <w:szCs w:val="21"/>
          <w:highlight w:val="none"/>
        </w:rPr>
        <w:fldChar w:fldCharType="separate"/>
      </w:r>
      <w:r>
        <w:rPr>
          <w:color w:val="auto"/>
          <w:sz w:val="21"/>
          <w:szCs w:val="21"/>
          <w:highlight w:val="none"/>
        </w:rPr>
        <w:t>22</w:t>
      </w:r>
      <w:r>
        <w:rPr>
          <w:color w:val="auto"/>
          <w:sz w:val="21"/>
          <w:szCs w:val="21"/>
          <w:highlight w:val="none"/>
        </w:rPr>
        <w:fldChar w:fldCharType="end"/>
      </w:r>
      <w:r>
        <w:rPr>
          <w:rFonts w:ascii="黑体" w:eastAsia="黑体"/>
          <w:color w:val="auto"/>
          <w:sz w:val="21"/>
          <w:szCs w:val="21"/>
          <w:highlight w:val="none"/>
        </w:rPr>
        <w:fldChar w:fldCharType="end"/>
      </w:r>
    </w:p>
    <w:p w14:paraId="76973BCE">
      <w:pPr>
        <w:pStyle w:val="3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color w:val="auto"/>
          <w:sz w:val="21"/>
          <w:szCs w:val="21"/>
          <w:highlight w:val="none"/>
        </w:rPr>
      </w:pPr>
      <w:r>
        <w:rPr>
          <w:rFonts w:ascii="黑体" w:eastAsia="黑体"/>
          <w:color w:val="auto"/>
          <w:sz w:val="21"/>
          <w:szCs w:val="21"/>
          <w:highlight w:val="none"/>
        </w:rPr>
        <w:fldChar w:fldCharType="begin"/>
      </w:r>
      <w:r>
        <w:rPr>
          <w:rFonts w:ascii="黑体" w:eastAsia="黑体"/>
          <w:color w:val="auto"/>
          <w:sz w:val="21"/>
          <w:szCs w:val="21"/>
          <w:highlight w:val="none"/>
        </w:rPr>
        <w:instrText xml:space="preserve"> HYPERLINK \l _Toc6389 </w:instrText>
      </w:r>
      <w:r>
        <w:rPr>
          <w:rFonts w:ascii="黑体" w:eastAsia="黑体"/>
          <w:color w:val="auto"/>
          <w:sz w:val="21"/>
          <w:szCs w:val="21"/>
          <w:highlight w:val="none"/>
        </w:rPr>
        <w:fldChar w:fldCharType="separate"/>
      </w:r>
      <w:r>
        <w:rPr>
          <w:rFonts w:hint="eastAsia" w:ascii="黑体" w:hAnsi="黑体" w:eastAsia="黑体"/>
          <w:color w:val="auto"/>
          <w:sz w:val="21"/>
          <w:szCs w:val="21"/>
          <w:highlight w:val="none"/>
        </w:rPr>
        <w:t>3．评审程序</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_Toc6389 \h </w:instrText>
      </w:r>
      <w:r>
        <w:rPr>
          <w:color w:val="auto"/>
          <w:sz w:val="21"/>
          <w:szCs w:val="21"/>
          <w:highlight w:val="none"/>
        </w:rPr>
        <w:fldChar w:fldCharType="separate"/>
      </w:r>
      <w:r>
        <w:rPr>
          <w:color w:val="auto"/>
          <w:sz w:val="21"/>
          <w:szCs w:val="21"/>
          <w:highlight w:val="none"/>
        </w:rPr>
        <w:t>23</w:t>
      </w:r>
      <w:r>
        <w:rPr>
          <w:color w:val="auto"/>
          <w:sz w:val="21"/>
          <w:szCs w:val="21"/>
          <w:highlight w:val="none"/>
        </w:rPr>
        <w:fldChar w:fldCharType="end"/>
      </w:r>
      <w:r>
        <w:rPr>
          <w:rFonts w:ascii="黑体" w:eastAsia="黑体"/>
          <w:color w:val="auto"/>
          <w:sz w:val="21"/>
          <w:szCs w:val="21"/>
          <w:highlight w:val="none"/>
        </w:rPr>
        <w:fldChar w:fldCharType="end"/>
      </w:r>
    </w:p>
    <w:p w14:paraId="3BB6807D">
      <w:pPr>
        <w:pStyle w:val="27"/>
        <w:keepNext w:val="0"/>
        <w:keepLines w:val="0"/>
        <w:pageBreakBefore w:val="0"/>
        <w:widowControl w:val="0"/>
        <w:tabs>
          <w:tab w:val="right" w:leader="dot" w:pos="8306"/>
        </w:tabs>
        <w:kinsoku/>
        <w:wordWrap/>
        <w:overflowPunct/>
        <w:topLinePunct w:val="0"/>
        <w:autoSpaceDE/>
        <w:autoSpaceDN/>
        <w:bidi w:val="0"/>
        <w:adjustRightInd/>
        <w:snapToGrid/>
        <w:spacing w:before="0" w:after="0" w:line="360" w:lineRule="auto"/>
        <w:textAlignment w:val="auto"/>
        <w:rPr>
          <w:color w:val="auto"/>
          <w:sz w:val="21"/>
          <w:szCs w:val="21"/>
          <w:highlight w:val="none"/>
        </w:rPr>
      </w:pPr>
      <w:r>
        <w:rPr>
          <w:rFonts w:ascii="黑体" w:eastAsia="黑体"/>
          <w:color w:val="auto"/>
          <w:sz w:val="21"/>
          <w:szCs w:val="21"/>
          <w:highlight w:val="none"/>
        </w:rPr>
        <w:fldChar w:fldCharType="begin"/>
      </w:r>
      <w:r>
        <w:rPr>
          <w:rFonts w:ascii="黑体" w:eastAsia="黑体"/>
          <w:color w:val="auto"/>
          <w:sz w:val="21"/>
          <w:szCs w:val="21"/>
          <w:highlight w:val="none"/>
        </w:rPr>
        <w:instrText xml:space="preserve"> HYPERLINK \l _Toc19738 </w:instrText>
      </w:r>
      <w:r>
        <w:rPr>
          <w:rFonts w:ascii="黑体" w:eastAsia="黑体"/>
          <w:color w:val="auto"/>
          <w:sz w:val="21"/>
          <w:szCs w:val="21"/>
          <w:highlight w:val="none"/>
        </w:rPr>
        <w:fldChar w:fldCharType="separate"/>
      </w:r>
      <w:r>
        <w:rPr>
          <w:rFonts w:hint="eastAsia" w:ascii="宋体" w:hAnsi="宋体"/>
          <w:color w:val="auto"/>
          <w:sz w:val="21"/>
          <w:szCs w:val="21"/>
          <w:highlight w:val="none"/>
        </w:rPr>
        <w:t>第四章 用户需求书/技术规范书</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_Toc19738 \h </w:instrText>
      </w:r>
      <w:r>
        <w:rPr>
          <w:color w:val="auto"/>
          <w:sz w:val="21"/>
          <w:szCs w:val="21"/>
          <w:highlight w:val="none"/>
        </w:rPr>
        <w:fldChar w:fldCharType="separate"/>
      </w:r>
      <w:r>
        <w:rPr>
          <w:color w:val="auto"/>
          <w:sz w:val="21"/>
          <w:szCs w:val="21"/>
          <w:highlight w:val="none"/>
        </w:rPr>
        <w:t>26</w:t>
      </w:r>
      <w:r>
        <w:rPr>
          <w:color w:val="auto"/>
          <w:sz w:val="21"/>
          <w:szCs w:val="21"/>
          <w:highlight w:val="none"/>
        </w:rPr>
        <w:fldChar w:fldCharType="end"/>
      </w:r>
      <w:r>
        <w:rPr>
          <w:rFonts w:ascii="黑体" w:eastAsia="黑体"/>
          <w:color w:val="auto"/>
          <w:sz w:val="21"/>
          <w:szCs w:val="21"/>
          <w:highlight w:val="none"/>
        </w:rPr>
        <w:fldChar w:fldCharType="end"/>
      </w:r>
    </w:p>
    <w:p w14:paraId="4A30ED0A">
      <w:pPr>
        <w:pStyle w:val="27"/>
        <w:keepNext w:val="0"/>
        <w:keepLines w:val="0"/>
        <w:pageBreakBefore w:val="0"/>
        <w:widowControl w:val="0"/>
        <w:tabs>
          <w:tab w:val="right" w:leader="dot" w:pos="8306"/>
        </w:tabs>
        <w:kinsoku/>
        <w:wordWrap/>
        <w:overflowPunct/>
        <w:topLinePunct w:val="0"/>
        <w:autoSpaceDE/>
        <w:autoSpaceDN/>
        <w:bidi w:val="0"/>
        <w:adjustRightInd/>
        <w:snapToGrid/>
        <w:spacing w:before="0" w:after="0" w:line="360" w:lineRule="auto"/>
        <w:textAlignment w:val="auto"/>
        <w:rPr>
          <w:color w:val="auto"/>
          <w:sz w:val="21"/>
          <w:szCs w:val="21"/>
          <w:highlight w:val="none"/>
        </w:rPr>
      </w:pPr>
      <w:r>
        <w:rPr>
          <w:rFonts w:ascii="黑体" w:eastAsia="黑体"/>
          <w:color w:val="auto"/>
          <w:sz w:val="21"/>
          <w:szCs w:val="21"/>
          <w:highlight w:val="none"/>
        </w:rPr>
        <w:fldChar w:fldCharType="begin"/>
      </w:r>
      <w:r>
        <w:rPr>
          <w:rFonts w:ascii="黑体" w:eastAsia="黑体"/>
          <w:color w:val="auto"/>
          <w:sz w:val="21"/>
          <w:szCs w:val="21"/>
          <w:highlight w:val="none"/>
        </w:rPr>
        <w:instrText xml:space="preserve"> HYPERLINK \l _Toc25012 </w:instrText>
      </w:r>
      <w:r>
        <w:rPr>
          <w:rFonts w:ascii="黑体" w:eastAsia="黑体"/>
          <w:color w:val="auto"/>
          <w:sz w:val="21"/>
          <w:szCs w:val="21"/>
          <w:highlight w:val="none"/>
        </w:rPr>
        <w:fldChar w:fldCharType="separate"/>
      </w:r>
      <w:r>
        <w:rPr>
          <w:rFonts w:hint="eastAsia"/>
          <w:color w:val="auto"/>
          <w:sz w:val="21"/>
          <w:szCs w:val="21"/>
          <w:highlight w:val="none"/>
        </w:rPr>
        <w:t>第五章 合同条款格式</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_Toc25012 \h </w:instrText>
      </w:r>
      <w:r>
        <w:rPr>
          <w:color w:val="auto"/>
          <w:sz w:val="21"/>
          <w:szCs w:val="21"/>
          <w:highlight w:val="none"/>
        </w:rPr>
        <w:fldChar w:fldCharType="separate"/>
      </w:r>
      <w:r>
        <w:rPr>
          <w:color w:val="auto"/>
          <w:sz w:val="21"/>
          <w:szCs w:val="21"/>
          <w:highlight w:val="none"/>
        </w:rPr>
        <w:t>45</w:t>
      </w:r>
      <w:r>
        <w:rPr>
          <w:color w:val="auto"/>
          <w:sz w:val="21"/>
          <w:szCs w:val="21"/>
          <w:highlight w:val="none"/>
        </w:rPr>
        <w:fldChar w:fldCharType="end"/>
      </w:r>
      <w:r>
        <w:rPr>
          <w:rFonts w:ascii="黑体" w:eastAsia="黑体"/>
          <w:color w:val="auto"/>
          <w:sz w:val="21"/>
          <w:szCs w:val="21"/>
          <w:highlight w:val="none"/>
        </w:rPr>
        <w:fldChar w:fldCharType="end"/>
      </w:r>
    </w:p>
    <w:p w14:paraId="3E2D127E">
      <w:pPr>
        <w:pStyle w:val="27"/>
        <w:keepNext w:val="0"/>
        <w:keepLines w:val="0"/>
        <w:pageBreakBefore w:val="0"/>
        <w:widowControl w:val="0"/>
        <w:tabs>
          <w:tab w:val="right" w:leader="dot" w:pos="8306"/>
        </w:tabs>
        <w:kinsoku/>
        <w:wordWrap/>
        <w:overflowPunct/>
        <w:topLinePunct w:val="0"/>
        <w:autoSpaceDE/>
        <w:autoSpaceDN/>
        <w:bidi w:val="0"/>
        <w:adjustRightInd/>
        <w:snapToGrid/>
        <w:spacing w:before="0" w:after="0" w:line="360" w:lineRule="auto"/>
        <w:textAlignment w:val="auto"/>
        <w:rPr>
          <w:color w:val="auto"/>
          <w:sz w:val="21"/>
          <w:szCs w:val="21"/>
          <w:highlight w:val="none"/>
        </w:rPr>
      </w:pPr>
      <w:r>
        <w:rPr>
          <w:rFonts w:ascii="黑体" w:eastAsia="黑体"/>
          <w:color w:val="auto"/>
          <w:sz w:val="21"/>
          <w:szCs w:val="21"/>
          <w:highlight w:val="none"/>
        </w:rPr>
        <w:fldChar w:fldCharType="begin"/>
      </w:r>
      <w:r>
        <w:rPr>
          <w:rFonts w:ascii="黑体" w:eastAsia="黑体"/>
          <w:color w:val="auto"/>
          <w:sz w:val="21"/>
          <w:szCs w:val="21"/>
          <w:highlight w:val="none"/>
        </w:rPr>
        <w:instrText xml:space="preserve"> HYPERLINK \l _Toc13179 </w:instrText>
      </w:r>
      <w:r>
        <w:rPr>
          <w:rFonts w:ascii="黑体" w:eastAsia="黑体"/>
          <w:color w:val="auto"/>
          <w:sz w:val="21"/>
          <w:szCs w:val="21"/>
          <w:highlight w:val="none"/>
        </w:rPr>
        <w:fldChar w:fldCharType="separate"/>
      </w:r>
      <w:r>
        <w:rPr>
          <w:rFonts w:hint="eastAsia" w:ascii="宋体" w:hAnsi="宋体"/>
          <w:color w:val="auto"/>
          <w:sz w:val="21"/>
          <w:szCs w:val="21"/>
          <w:highlight w:val="none"/>
        </w:rPr>
        <w:t>第六章 响应文件格式</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_Toc13179 \h </w:instrText>
      </w:r>
      <w:r>
        <w:rPr>
          <w:color w:val="auto"/>
          <w:sz w:val="21"/>
          <w:szCs w:val="21"/>
          <w:highlight w:val="none"/>
        </w:rPr>
        <w:fldChar w:fldCharType="separate"/>
      </w:r>
      <w:r>
        <w:rPr>
          <w:color w:val="auto"/>
          <w:sz w:val="21"/>
          <w:szCs w:val="21"/>
          <w:highlight w:val="none"/>
        </w:rPr>
        <w:t>73</w:t>
      </w:r>
      <w:r>
        <w:rPr>
          <w:color w:val="auto"/>
          <w:sz w:val="21"/>
          <w:szCs w:val="21"/>
          <w:highlight w:val="none"/>
        </w:rPr>
        <w:fldChar w:fldCharType="end"/>
      </w:r>
      <w:r>
        <w:rPr>
          <w:rFonts w:ascii="黑体" w:eastAsia="黑体"/>
          <w:color w:val="auto"/>
          <w:sz w:val="21"/>
          <w:szCs w:val="21"/>
          <w:highlight w:val="none"/>
        </w:rPr>
        <w:fldChar w:fldCharType="end"/>
      </w:r>
    </w:p>
    <w:p w14:paraId="045EC3D7">
      <w:pPr>
        <w:pStyle w:val="3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color w:val="auto"/>
          <w:sz w:val="21"/>
          <w:szCs w:val="21"/>
          <w:highlight w:val="none"/>
        </w:rPr>
      </w:pPr>
      <w:r>
        <w:rPr>
          <w:rFonts w:ascii="黑体" w:eastAsia="黑体"/>
          <w:color w:val="auto"/>
          <w:sz w:val="21"/>
          <w:szCs w:val="21"/>
          <w:highlight w:val="none"/>
        </w:rPr>
        <w:fldChar w:fldCharType="begin"/>
      </w:r>
      <w:r>
        <w:rPr>
          <w:rFonts w:ascii="黑体" w:eastAsia="黑体"/>
          <w:color w:val="auto"/>
          <w:sz w:val="21"/>
          <w:szCs w:val="21"/>
          <w:highlight w:val="none"/>
        </w:rPr>
        <w:instrText xml:space="preserve"> HYPERLINK \l _Toc26454 </w:instrText>
      </w:r>
      <w:r>
        <w:rPr>
          <w:rFonts w:ascii="黑体" w:eastAsia="黑体"/>
          <w:color w:val="auto"/>
          <w:sz w:val="21"/>
          <w:szCs w:val="21"/>
          <w:highlight w:val="none"/>
        </w:rPr>
        <w:fldChar w:fldCharType="separate"/>
      </w:r>
      <w:r>
        <w:rPr>
          <w:rFonts w:hint="eastAsia" w:ascii="黑体" w:hAnsi="宋体"/>
          <w:color w:val="auto"/>
          <w:sz w:val="21"/>
          <w:szCs w:val="21"/>
          <w:highlight w:val="none"/>
        </w:rPr>
        <w:t>目    录</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_Toc26454 \h </w:instrText>
      </w:r>
      <w:r>
        <w:rPr>
          <w:color w:val="auto"/>
          <w:sz w:val="21"/>
          <w:szCs w:val="21"/>
          <w:highlight w:val="none"/>
        </w:rPr>
        <w:fldChar w:fldCharType="separate"/>
      </w:r>
      <w:r>
        <w:rPr>
          <w:color w:val="auto"/>
          <w:sz w:val="21"/>
          <w:szCs w:val="21"/>
          <w:highlight w:val="none"/>
        </w:rPr>
        <w:t>75</w:t>
      </w:r>
      <w:r>
        <w:rPr>
          <w:color w:val="auto"/>
          <w:sz w:val="21"/>
          <w:szCs w:val="21"/>
          <w:highlight w:val="none"/>
        </w:rPr>
        <w:fldChar w:fldCharType="end"/>
      </w:r>
      <w:r>
        <w:rPr>
          <w:rFonts w:ascii="黑体" w:eastAsia="黑体"/>
          <w:color w:val="auto"/>
          <w:sz w:val="21"/>
          <w:szCs w:val="21"/>
          <w:highlight w:val="none"/>
        </w:rPr>
        <w:fldChar w:fldCharType="end"/>
      </w:r>
    </w:p>
    <w:p w14:paraId="06BDFC88">
      <w:pPr>
        <w:pStyle w:val="3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color w:val="auto"/>
          <w:sz w:val="21"/>
          <w:szCs w:val="21"/>
          <w:highlight w:val="none"/>
        </w:rPr>
      </w:pPr>
      <w:r>
        <w:rPr>
          <w:rFonts w:ascii="黑体" w:eastAsia="黑体"/>
          <w:color w:val="auto"/>
          <w:sz w:val="21"/>
          <w:szCs w:val="21"/>
          <w:highlight w:val="none"/>
        </w:rPr>
        <w:fldChar w:fldCharType="begin"/>
      </w:r>
      <w:r>
        <w:rPr>
          <w:rFonts w:ascii="黑体" w:eastAsia="黑体"/>
          <w:color w:val="auto"/>
          <w:sz w:val="21"/>
          <w:szCs w:val="21"/>
          <w:highlight w:val="none"/>
        </w:rPr>
        <w:instrText xml:space="preserve"> HYPERLINK \l _Toc2148 </w:instrText>
      </w:r>
      <w:r>
        <w:rPr>
          <w:rFonts w:ascii="黑体" w:eastAsia="黑体"/>
          <w:color w:val="auto"/>
          <w:sz w:val="21"/>
          <w:szCs w:val="21"/>
          <w:highlight w:val="none"/>
        </w:rPr>
        <w:fldChar w:fldCharType="separate"/>
      </w:r>
      <w:r>
        <w:rPr>
          <w:rFonts w:hint="eastAsia"/>
          <w:color w:val="auto"/>
          <w:sz w:val="21"/>
          <w:szCs w:val="21"/>
          <w:highlight w:val="none"/>
          <w:lang w:val="en-US" w:eastAsia="zh-CN"/>
        </w:rPr>
        <w:t>一</w:t>
      </w:r>
      <w:r>
        <w:rPr>
          <w:color w:val="auto"/>
          <w:sz w:val="21"/>
          <w:szCs w:val="21"/>
          <w:highlight w:val="none"/>
        </w:rPr>
        <w:t>、竞争性谈判</w:t>
      </w:r>
      <w:r>
        <w:rPr>
          <w:rFonts w:hint="eastAsia"/>
          <w:color w:val="auto"/>
          <w:sz w:val="21"/>
          <w:szCs w:val="21"/>
          <w:highlight w:val="none"/>
        </w:rPr>
        <w:t>响应</w:t>
      </w:r>
      <w:r>
        <w:rPr>
          <w:color w:val="auto"/>
          <w:sz w:val="21"/>
          <w:szCs w:val="21"/>
          <w:highlight w:val="none"/>
        </w:rPr>
        <w:t>函</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_Toc2148 \h </w:instrText>
      </w:r>
      <w:r>
        <w:rPr>
          <w:color w:val="auto"/>
          <w:sz w:val="21"/>
          <w:szCs w:val="21"/>
          <w:highlight w:val="none"/>
        </w:rPr>
        <w:fldChar w:fldCharType="separate"/>
      </w:r>
      <w:r>
        <w:rPr>
          <w:color w:val="auto"/>
          <w:sz w:val="21"/>
          <w:szCs w:val="21"/>
          <w:highlight w:val="none"/>
        </w:rPr>
        <w:t>76</w:t>
      </w:r>
      <w:r>
        <w:rPr>
          <w:color w:val="auto"/>
          <w:sz w:val="21"/>
          <w:szCs w:val="21"/>
          <w:highlight w:val="none"/>
        </w:rPr>
        <w:fldChar w:fldCharType="end"/>
      </w:r>
      <w:r>
        <w:rPr>
          <w:rFonts w:ascii="黑体" w:eastAsia="黑体"/>
          <w:color w:val="auto"/>
          <w:sz w:val="21"/>
          <w:szCs w:val="21"/>
          <w:highlight w:val="none"/>
        </w:rPr>
        <w:fldChar w:fldCharType="end"/>
      </w:r>
    </w:p>
    <w:p w14:paraId="2DC730C3">
      <w:pPr>
        <w:pStyle w:val="3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color w:val="auto"/>
          <w:sz w:val="21"/>
          <w:szCs w:val="21"/>
          <w:highlight w:val="none"/>
        </w:rPr>
      </w:pPr>
      <w:r>
        <w:rPr>
          <w:rFonts w:ascii="黑体" w:eastAsia="黑体"/>
          <w:color w:val="auto"/>
          <w:sz w:val="21"/>
          <w:szCs w:val="21"/>
          <w:highlight w:val="none"/>
        </w:rPr>
        <w:fldChar w:fldCharType="begin"/>
      </w:r>
      <w:r>
        <w:rPr>
          <w:rFonts w:ascii="黑体" w:eastAsia="黑体"/>
          <w:color w:val="auto"/>
          <w:sz w:val="21"/>
          <w:szCs w:val="21"/>
          <w:highlight w:val="none"/>
        </w:rPr>
        <w:instrText xml:space="preserve"> HYPERLINK \l _Toc1740 </w:instrText>
      </w:r>
      <w:r>
        <w:rPr>
          <w:rFonts w:ascii="黑体" w:eastAsia="黑体"/>
          <w:color w:val="auto"/>
          <w:sz w:val="21"/>
          <w:szCs w:val="21"/>
          <w:highlight w:val="none"/>
        </w:rPr>
        <w:fldChar w:fldCharType="separate"/>
      </w:r>
      <w:r>
        <w:rPr>
          <w:rFonts w:hint="eastAsia" w:ascii="黑体"/>
          <w:color w:val="auto"/>
          <w:sz w:val="21"/>
          <w:szCs w:val="21"/>
          <w:highlight w:val="none"/>
          <w:lang w:val="en-US" w:eastAsia="zh-CN"/>
        </w:rPr>
        <w:t>二</w:t>
      </w:r>
      <w:r>
        <w:rPr>
          <w:rFonts w:hint="eastAsia" w:ascii="黑体"/>
          <w:color w:val="auto"/>
          <w:sz w:val="21"/>
          <w:szCs w:val="21"/>
          <w:highlight w:val="none"/>
        </w:rPr>
        <w:t>、联合体协议书（如有）</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_Toc1740 \h </w:instrText>
      </w:r>
      <w:r>
        <w:rPr>
          <w:color w:val="auto"/>
          <w:sz w:val="21"/>
          <w:szCs w:val="21"/>
          <w:highlight w:val="none"/>
        </w:rPr>
        <w:fldChar w:fldCharType="separate"/>
      </w:r>
      <w:r>
        <w:rPr>
          <w:color w:val="auto"/>
          <w:sz w:val="21"/>
          <w:szCs w:val="21"/>
          <w:highlight w:val="none"/>
        </w:rPr>
        <w:t>77</w:t>
      </w:r>
      <w:r>
        <w:rPr>
          <w:color w:val="auto"/>
          <w:sz w:val="21"/>
          <w:szCs w:val="21"/>
          <w:highlight w:val="none"/>
        </w:rPr>
        <w:fldChar w:fldCharType="end"/>
      </w:r>
      <w:r>
        <w:rPr>
          <w:rFonts w:ascii="黑体" w:eastAsia="黑体"/>
          <w:color w:val="auto"/>
          <w:sz w:val="21"/>
          <w:szCs w:val="21"/>
          <w:highlight w:val="none"/>
        </w:rPr>
        <w:fldChar w:fldCharType="end"/>
      </w:r>
    </w:p>
    <w:p w14:paraId="7065E8AD">
      <w:pPr>
        <w:pStyle w:val="3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color w:val="auto"/>
          <w:sz w:val="21"/>
          <w:szCs w:val="21"/>
          <w:highlight w:val="none"/>
        </w:rPr>
      </w:pPr>
      <w:r>
        <w:rPr>
          <w:rFonts w:ascii="黑体" w:eastAsia="黑体"/>
          <w:color w:val="auto"/>
          <w:sz w:val="21"/>
          <w:szCs w:val="21"/>
          <w:highlight w:val="none"/>
        </w:rPr>
        <w:fldChar w:fldCharType="begin"/>
      </w:r>
      <w:r>
        <w:rPr>
          <w:rFonts w:ascii="黑体" w:eastAsia="黑体"/>
          <w:color w:val="auto"/>
          <w:sz w:val="21"/>
          <w:szCs w:val="21"/>
          <w:highlight w:val="none"/>
        </w:rPr>
        <w:instrText xml:space="preserve"> HYPERLINK \l _Toc24715 </w:instrText>
      </w:r>
      <w:r>
        <w:rPr>
          <w:rFonts w:ascii="黑体" w:eastAsia="黑体"/>
          <w:color w:val="auto"/>
          <w:sz w:val="21"/>
          <w:szCs w:val="21"/>
          <w:highlight w:val="none"/>
        </w:rPr>
        <w:fldChar w:fldCharType="separate"/>
      </w:r>
      <w:r>
        <w:rPr>
          <w:rFonts w:hint="eastAsia"/>
          <w:color w:val="auto"/>
          <w:sz w:val="21"/>
          <w:szCs w:val="21"/>
          <w:highlight w:val="none"/>
          <w:lang w:val="en-US" w:eastAsia="zh-CN"/>
        </w:rPr>
        <w:t>三</w:t>
      </w:r>
      <w:r>
        <w:rPr>
          <w:rFonts w:hint="eastAsia"/>
          <w:color w:val="auto"/>
          <w:sz w:val="21"/>
          <w:szCs w:val="21"/>
          <w:highlight w:val="none"/>
        </w:rPr>
        <w:t>、法定代表人身份证明</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_Toc24715 \h </w:instrText>
      </w:r>
      <w:r>
        <w:rPr>
          <w:color w:val="auto"/>
          <w:sz w:val="21"/>
          <w:szCs w:val="21"/>
          <w:highlight w:val="none"/>
        </w:rPr>
        <w:fldChar w:fldCharType="separate"/>
      </w:r>
      <w:r>
        <w:rPr>
          <w:color w:val="auto"/>
          <w:sz w:val="21"/>
          <w:szCs w:val="21"/>
          <w:highlight w:val="none"/>
        </w:rPr>
        <w:t>78</w:t>
      </w:r>
      <w:r>
        <w:rPr>
          <w:color w:val="auto"/>
          <w:sz w:val="21"/>
          <w:szCs w:val="21"/>
          <w:highlight w:val="none"/>
        </w:rPr>
        <w:fldChar w:fldCharType="end"/>
      </w:r>
      <w:r>
        <w:rPr>
          <w:rFonts w:ascii="黑体" w:eastAsia="黑体"/>
          <w:color w:val="auto"/>
          <w:sz w:val="21"/>
          <w:szCs w:val="21"/>
          <w:highlight w:val="none"/>
        </w:rPr>
        <w:fldChar w:fldCharType="end"/>
      </w:r>
    </w:p>
    <w:p w14:paraId="7B8279D5">
      <w:pPr>
        <w:pStyle w:val="3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color w:val="auto"/>
          <w:sz w:val="21"/>
          <w:szCs w:val="21"/>
          <w:highlight w:val="none"/>
        </w:rPr>
      </w:pPr>
      <w:r>
        <w:rPr>
          <w:rFonts w:ascii="黑体" w:eastAsia="黑体"/>
          <w:color w:val="auto"/>
          <w:sz w:val="21"/>
          <w:szCs w:val="21"/>
          <w:highlight w:val="none"/>
        </w:rPr>
        <w:fldChar w:fldCharType="begin"/>
      </w:r>
      <w:r>
        <w:rPr>
          <w:rFonts w:ascii="黑体" w:eastAsia="黑体"/>
          <w:color w:val="auto"/>
          <w:sz w:val="21"/>
          <w:szCs w:val="21"/>
          <w:highlight w:val="none"/>
        </w:rPr>
        <w:instrText xml:space="preserve"> HYPERLINK \l _Toc10072 </w:instrText>
      </w:r>
      <w:r>
        <w:rPr>
          <w:rFonts w:ascii="黑体" w:eastAsia="黑体"/>
          <w:color w:val="auto"/>
          <w:sz w:val="21"/>
          <w:szCs w:val="21"/>
          <w:highlight w:val="none"/>
        </w:rPr>
        <w:fldChar w:fldCharType="separate"/>
      </w:r>
      <w:r>
        <w:rPr>
          <w:rFonts w:hint="eastAsia"/>
          <w:color w:val="auto"/>
          <w:sz w:val="21"/>
          <w:szCs w:val="21"/>
          <w:highlight w:val="none"/>
          <w:lang w:val="en-US" w:eastAsia="zh-CN"/>
        </w:rPr>
        <w:t>四</w:t>
      </w:r>
      <w:r>
        <w:rPr>
          <w:rFonts w:hint="eastAsia"/>
          <w:color w:val="auto"/>
          <w:sz w:val="21"/>
          <w:szCs w:val="21"/>
          <w:highlight w:val="none"/>
        </w:rPr>
        <w:t>、法定代表人</w:t>
      </w:r>
      <w:r>
        <w:rPr>
          <w:color w:val="auto"/>
          <w:sz w:val="21"/>
          <w:szCs w:val="21"/>
          <w:highlight w:val="none"/>
        </w:rPr>
        <w:t>授权委托书</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_Toc10072 \h </w:instrText>
      </w:r>
      <w:r>
        <w:rPr>
          <w:color w:val="auto"/>
          <w:sz w:val="21"/>
          <w:szCs w:val="21"/>
          <w:highlight w:val="none"/>
        </w:rPr>
        <w:fldChar w:fldCharType="separate"/>
      </w:r>
      <w:r>
        <w:rPr>
          <w:color w:val="auto"/>
          <w:sz w:val="21"/>
          <w:szCs w:val="21"/>
          <w:highlight w:val="none"/>
        </w:rPr>
        <w:t>79</w:t>
      </w:r>
      <w:r>
        <w:rPr>
          <w:color w:val="auto"/>
          <w:sz w:val="21"/>
          <w:szCs w:val="21"/>
          <w:highlight w:val="none"/>
        </w:rPr>
        <w:fldChar w:fldCharType="end"/>
      </w:r>
      <w:r>
        <w:rPr>
          <w:rFonts w:ascii="黑体" w:eastAsia="黑体"/>
          <w:color w:val="auto"/>
          <w:sz w:val="21"/>
          <w:szCs w:val="21"/>
          <w:highlight w:val="none"/>
        </w:rPr>
        <w:fldChar w:fldCharType="end"/>
      </w:r>
    </w:p>
    <w:p w14:paraId="178F1215">
      <w:pPr>
        <w:pStyle w:val="3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color w:val="auto"/>
          <w:sz w:val="21"/>
          <w:szCs w:val="21"/>
          <w:highlight w:val="none"/>
        </w:rPr>
      </w:pPr>
      <w:r>
        <w:rPr>
          <w:rFonts w:ascii="黑体" w:eastAsia="黑体"/>
          <w:color w:val="auto"/>
          <w:sz w:val="21"/>
          <w:szCs w:val="21"/>
          <w:highlight w:val="none"/>
        </w:rPr>
        <w:fldChar w:fldCharType="begin"/>
      </w:r>
      <w:r>
        <w:rPr>
          <w:rFonts w:ascii="黑体" w:eastAsia="黑体"/>
          <w:color w:val="auto"/>
          <w:sz w:val="21"/>
          <w:szCs w:val="21"/>
          <w:highlight w:val="none"/>
        </w:rPr>
        <w:instrText xml:space="preserve"> HYPERLINK \l _Toc7689 </w:instrText>
      </w:r>
      <w:r>
        <w:rPr>
          <w:rFonts w:ascii="黑体" w:eastAsia="黑体"/>
          <w:color w:val="auto"/>
          <w:sz w:val="21"/>
          <w:szCs w:val="21"/>
          <w:highlight w:val="none"/>
        </w:rPr>
        <w:fldChar w:fldCharType="separate"/>
      </w:r>
      <w:r>
        <w:rPr>
          <w:rFonts w:hint="eastAsia"/>
          <w:color w:val="auto"/>
          <w:sz w:val="21"/>
          <w:szCs w:val="21"/>
          <w:highlight w:val="none"/>
          <w:lang w:val="en-US" w:eastAsia="zh-CN"/>
        </w:rPr>
        <w:t>五</w:t>
      </w:r>
      <w:r>
        <w:rPr>
          <w:color w:val="auto"/>
          <w:sz w:val="21"/>
          <w:szCs w:val="21"/>
          <w:highlight w:val="none"/>
        </w:rPr>
        <w:t>、</w:t>
      </w:r>
      <w:r>
        <w:rPr>
          <w:rFonts w:hint="eastAsia"/>
          <w:color w:val="auto"/>
          <w:sz w:val="21"/>
          <w:szCs w:val="21"/>
          <w:highlight w:val="none"/>
        </w:rPr>
        <w:t>项目</w:t>
      </w:r>
      <w:r>
        <w:rPr>
          <w:color w:val="auto"/>
          <w:sz w:val="21"/>
          <w:szCs w:val="21"/>
          <w:highlight w:val="none"/>
        </w:rPr>
        <w:t>方案</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_Toc7689 \h </w:instrText>
      </w:r>
      <w:r>
        <w:rPr>
          <w:color w:val="auto"/>
          <w:sz w:val="21"/>
          <w:szCs w:val="21"/>
          <w:highlight w:val="none"/>
        </w:rPr>
        <w:fldChar w:fldCharType="separate"/>
      </w:r>
      <w:r>
        <w:rPr>
          <w:color w:val="auto"/>
          <w:sz w:val="21"/>
          <w:szCs w:val="21"/>
          <w:highlight w:val="none"/>
        </w:rPr>
        <w:t>80</w:t>
      </w:r>
      <w:r>
        <w:rPr>
          <w:color w:val="auto"/>
          <w:sz w:val="21"/>
          <w:szCs w:val="21"/>
          <w:highlight w:val="none"/>
        </w:rPr>
        <w:fldChar w:fldCharType="end"/>
      </w:r>
      <w:r>
        <w:rPr>
          <w:rFonts w:ascii="黑体" w:eastAsia="黑体"/>
          <w:color w:val="auto"/>
          <w:sz w:val="21"/>
          <w:szCs w:val="21"/>
          <w:highlight w:val="none"/>
        </w:rPr>
        <w:fldChar w:fldCharType="end"/>
      </w:r>
    </w:p>
    <w:p w14:paraId="21CB2CED">
      <w:pPr>
        <w:pStyle w:val="3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color w:val="auto"/>
          <w:sz w:val="21"/>
          <w:szCs w:val="21"/>
          <w:highlight w:val="none"/>
        </w:rPr>
      </w:pPr>
      <w:r>
        <w:rPr>
          <w:rFonts w:ascii="黑体" w:eastAsia="黑体"/>
          <w:color w:val="auto"/>
          <w:sz w:val="21"/>
          <w:szCs w:val="21"/>
          <w:highlight w:val="none"/>
        </w:rPr>
        <w:fldChar w:fldCharType="begin"/>
      </w:r>
      <w:r>
        <w:rPr>
          <w:rFonts w:ascii="黑体" w:eastAsia="黑体"/>
          <w:color w:val="auto"/>
          <w:sz w:val="21"/>
          <w:szCs w:val="21"/>
          <w:highlight w:val="none"/>
        </w:rPr>
        <w:instrText xml:space="preserve"> HYPERLINK \l _Toc17181 </w:instrText>
      </w:r>
      <w:r>
        <w:rPr>
          <w:rFonts w:ascii="黑体" w:eastAsia="黑体"/>
          <w:color w:val="auto"/>
          <w:sz w:val="21"/>
          <w:szCs w:val="21"/>
          <w:highlight w:val="none"/>
        </w:rPr>
        <w:fldChar w:fldCharType="separate"/>
      </w:r>
      <w:r>
        <w:rPr>
          <w:rFonts w:hint="eastAsia"/>
          <w:color w:val="auto"/>
          <w:sz w:val="21"/>
          <w:szCs w:val="21"/>
          <w:highlight w:val="none"/>
          <w:lang w:val="en-US" w:eastAsia="zh-CN"/>
        </w:rPr>
        <w:t>六</w:t>
      </w:r>
      <w:r>
        <w:rPr>
          <w:color w:val="auto"/>
          <w:sz w:val="21"/>
          <w:szCs w:val="21"/>
          <w:highlight w:val="none"/>
        </w:rPr>
        <w:t>、项目管理机构</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_Toc17181 \h </w:instrText>
      </w:r>
      <w:r>
        <w:rPr>
          <w:color w:val="auto"/>
          <w:sz w:val="21"/>
          <w:szCs w:val="21"/>
          <w:highlight w:val="none"/>
        </w:rPr>
        <w:fldChar w:fldCharType="separate"/>
      </w:r>
      <w:r>
        <w:rPr>
          <w:color w:val="auto"/>
          <w:sz w:val="21"/>
          <w:szCs w:val="21"/>
          <w:highlight w:val="none"/>
        </w:rPr>
        <w:t>81</w:t>
      </w:r>
      <w:r>
        <w:rPr>
          <w:color w:val="auto"/>
          <w:sz w:val="21"/>
          <w:szCs w:val="21"/>
          <w:highlight w:val="none"/>
        </w:rPr>
        <w:fldChar w:fldCharType="end"/>
      </w:r>
      <w:r>
        <w:rPr>
          <w:rFonts w:ascii="黑体" w:eastAsia="黑体"/>
          <w:color w:val="auto"/>
          <w:sz w:val="21"/>
          <w:szCs w:val="21"/>
          <w:highlight w:val="none"/>
        </w:rPr>
        <w:fldChar w:fldCharType="end"/>
      </w:r>
    </w:p>
    <w:p w14:paraId="560A730F">
      <w:pPr>
        <w:pStyle w:val="3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color w:val="auto"/>
          <w:sz w:val="21"/>
          <w:szCs w:val="21"/>
          <w:highlight w:val="none"/>
        </w:rPr>
      </w:pPr>
      <w:r>
        <w:rPr>
          <w:rFonts w:ascii="黑体" w:eastAsia="黑体"/>
          <w:color w:val="auto"/>
          <w:sz w:val="21"/>
          <w:szCs w:val="21"/>
          <w:highlight w:val="none"/>
        </w:rPr>
        <w:fldChar w:fldCharType="begin"/>
      </w:r>
      <w:r>
        <w:rPr>
          <w:rFonts w:ascii="黑体" w:eastAsia="黑体"/>
          <w:color w:val="auto"/>
          <w:sz w:val="21"/>
          <w:szCs w:val="21"/>
          <w:highlight w:val="none"/>
        </w:rPr>
        <w:instrText xml:space="preserve"> HYPERLINK \l _Toc14616 </w:instrText>
      </w:r>
      <w:r>
        <w:rPr>
          <w:rFonts w:ascii="黑体" w:eastAsia="黑体"/>
          <w:color w:val="auto"/>
          <w:sz w:val="21"/>
          <w:szCs w:val="21"/>
          <w:highlight w:val="none"/>
        </w:rPr>
        <w:fldChar w:fldCharType="separate"/>
      </w:r>
      <w:r>
        <w:rPr>
          <w:rFonts w:hint="eastAsia" w:ascii="黑体"/>
          <w:color w:val="auto"/>
          <w:sz w:val="21"/>
          <w:szCs w:val="21"/>
          <w:highlight w:val="none"/>
          <w:lang w:val="en-US" w:eastAsia="zh-CN"/>
        </w:rPr>
        <w:t>七</w:t>
      </w:r>
      <w:r>
        <w:rPr>
          <w:rFonts w:hint="eastAsia" w:ascii="黑体"/>
          <w:color w:val="auto"/>
          <w:sz w:val="21"/>
          <w:szCs w:val="21"/>
          <w:highlight w:val="none"/>
        </w:rPr>
        <w:t>、实质性条款偏离表</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_Toc14616 \h </w:instrText>
      </w:r>
      <w:r>
        <w:rPr>
          <w:color w:val="auto"/>
          <w:sz w:val="21"/>
          <w:szCs w:val="21"/>
          <w:highlight w:val="none"/>
        </w:rPr>
        <w:fldChar w:fldCharType="separate"/>
      </w:r>
      <w:r>
        <w:rPr>
          <w:color w:val="auto"/>
          <w:sz w:val="21"/>
          <w:szCs w:val="21"/>
          <w:highlight w:val="none"/>
        </w:rPr>
        <w:t>83</w:t>
      </w:r>
      <w:r>
        <w:rPr>
          <w:color w:val="auto"/>
          <w:sz w:val="21"/>
          <w:szCs w:val="21"/>
          <w:highlight w:val="none"/>
        </w:rPr>
        <w:fldChar w:fldCharType="end"/>
      </w:r>
      <w:r>
        <w:rPr>
          <w:rFonts w:ascii="黑体" w:eastAsia="黑体"/>
          <w:color w:val="auto"/>
          <w:sz w:val="21"/>
          <w:szCs w:val="21"/>
          <w:highlight w:val="none"/>
        </w:rPr>
        <w:fldChar w:fldCharType="end"/>
      </w:r>
    </w:p>
    <w:p w14:paraId="4A72DDDF">
      <w:pPr>
        <w:pStyle w:val="3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color w:val="auto"/>
          <w:sz w:val="21"/>
          <w:szCs w:val="21"/>
          <w:highlight w:val="none"/>
        </w:rPr>
      </w:pPr>
      <w:r>
        <w:rPr>
          <w:rFonts w:ascii="黑体" w:eastAsia="黑体"/>
          <w:color w:val="auto"/>
          <w:sz w:val="21"/>
          <w:szCs w:val="21"/>
          <w:highlight w:val="none"/>
        </w:rPr>
        <w:fldChar w:fldCharType="begin"/>
      </w:r>
      <w:r>
        <w:rPr>
          <w:rFonts w:ascii="黑体" w:eastAsia="黑体"/>
          <w:color w:val="auto"/>
          <w:sz w:val="21"/>
          <w:szCs w:val="21"/>
          <w:highlight w:val="none"/>
        </w:rPr>
        <w:instrText xml:space="preserve"> HYPERLINK \l _Toc25972 </w:instrText>
      </w:r>
      <w:r>
        <w:rPr>
          <w:rFonts w:ascii="黑体" w:eastAsia="黑体"/>
          <w:color w:val="auto"/>
          <w:sz w:val="21"/>
          <w:szCs w:val="21"/>
          <w:highlight w:val="none"/>
        </w:rPr>
        <w:fldChar w:fldCharType="separate"/>
      </w:r>
      <w:r>
        <w:rPr>
          <w:rFonts w:hint="eastAsia" w:ascii="黑体"/>
          <w:color w:val="auto"/>
          <w:sz w:val="21"/>
          <w:szCs w:val="21"/>
          <w:highlight w:val="none"/>
          <w:lang w:val="en-US" w:eastAsia="zh-CN"/>
        </w:rPr>
        <w:t>八</w:t>
      </w:r>
      <w:r>
        <w:rPr>
          <w:rFonts w:hint="eastAsia" w:ascii="黑体"/>
          <w:color w:val="auto"/>
          <w:sz w:val="21"/>
          <w:szCs w:val="21"/>
          <w:highlight w:val="none"/>
        </w:rPr>
        <w:t>、</w:t>
      </w:r>
      <w:r>
        <w:rPr>
          <w:rFonts w:hint="eastAsia"/>
          <w:color w:val="auto"/>
          <w:sz w:val="21"/>
          <w:szCs w:val="21"/>
          <w:highlight w:val="none"/>
          <w:lang w:val="en-US" w:eastAsia="zh-CN"/>
        </w:rPr>
        <w:t>商务</w:t>
      </w:r>
      <w:r>
        <w:rPr>
          <w:rFonts w:hint="eastAsia" w:ascii="黑体"/>
          <w:color w:val="auto"/>
          <w:sz w:val="21"/>
          <w:szCs w:val="21"/>
          <w:highlight w:val="none"/>
        </w:rPr>
        <w:t>条款偏离表</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_Toc25972 \h </w:instrText>
      </w:r>
      <w:r>
        <w:rPr>
          <w:color w:val="auto"/>
          <w:sz w:val="21"/>
          <w:szCs w:val="21"/>
          <w:highlight w:val="none"/>
        </w:rPr>
        <w:fldChar w:fldCharType="separate"/>
      </w:r>
      <w:r>
        <w:rPr>
          <w:color w:val="auto"/>
          <w:sz w:val="21"/>
          <w:szCs w:val="21"/>
          <w:highlight w:val="none"/>
        </w:rPr>
        <w:t>84</w:t>
      </w:r>
      <w:r>
        <w:rPr>
          <w:color w:val="auto"/>
          <w:sz w:val="21"/>
          <w:szCs w:val="21"/>
          <w:highlight w:val="none"/>
        </w:rPr>
        <w:fldChar w:fldCharType="end"/>
      </w:r>
      <w:r>
        <w:rPr>
          <w:rFonts w:ascii="黑体" w:eastAsia="黑体"/>
          <w:color w:val="auto"/>
          <w:sz w:val="21"/>
          <w:szCs w:val="21"/>
          <w:highlight w:val="none"/>
        </w:rPr>
        <w:fldChar w:fldCharType="end"/>
      </w:r>
    </w:p>
    <w:p w14:paraId="2EEA5608">
      <w:pPr>
        <w:pStyle w:val="3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color w:val="auto"/>
          <w:sz w:val="21"/>
          <w:szCs w:val="21"/>
          <w:highlight w:val="none"/>
        </w:rPr>
      </w:pPr>
      <w:r>
        <w:rPr>
          <w:rFonts w:ascii="黑体" w:eastAsia="黑体"/>
          <w:color w:val="auto"/>
          <w:sz w:val="21"/>
          <w:szCs w:val="21"/>
          <w:highlight w:val="none"/>
        </w:rPr>
        <w:fldChar w:fldCharType="begin"/>
      </w:r>
      <w:r>
        <w:rPr>
          <w:rFonts w:ascii="黑体" w:eastAsia="黑体"/>
          <w:color w:val="auto"/>
          <w:sz w:val="21"/>
          <w:szCs w:val="21"/>
          <w:highlight w:val="none"/>
        </w:rPr>
        <w:instrText xml:space="preserve"> HYPERLINK \l _Toc15277 </w:instrText>
      </w:r>
      <w:r>
        <w:rPr>
          <w:rFonts w:ascii="黑体" w:eastAsia="黑体"/>
          <w:color w:val="auto"/>
          <w:sz w:val="21"/>
          <w:szCs w:val="21"/>
          <w:highlight w:val="none"/>
        </w:rPr>
        <w:fldChar w:fldCharType="separate"/>
      </w:r>
      <w:r>
        <w:rPr>
          <w:rFonts w:hint="eastAsia" w:ascii="黑体"/>
          <w:color w:val="auto"/>
          <w:sz w:val="21"/>
          <w:szCs w:val="21"/>
          <w:highlight w:val="none"/>
        </w:rPr>
        <w:t>九、技术条款偏离表</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_Toc15277 \h </w:instrText>
      </w:r>
      <w:r>
        <w:rPr>
          <w:color w:val="auto"/>
          <w:sz w:val="21"/>
          <w:szCs w:val="21"/>
          <w:highlight w:val="none"/>
        </w:rPr>
        <w:fldChar w:fldCharType="separate"/>
      </w:r>
      <w:r>
        <w:rPr>
          <w:color w:val="auto"/>
          <w:sz w:val="21"/>
          <w:szCs w:val="21"/>
          <w:highlight w:val="none"/>
        </w:rPr>
        <w:t>85</w:t>
      </w:r>
      <w:r>
        <w:rPr>
          <w:color w:val="auto"/>
          <w:sz w:val="21"/>
          <w:szCs w:val="21"/>
          <w:highlight w:val="none"/>
        </w:rPr>
        <w:fldChar w:fldCharType="end"/>
      </w:r>
      <w:r>
        <w:rPr>
          <w:rFonts w:ascii="黑体" w:eastAsia="黑体"/>
          <w:color w:val="auto"/>
          <w:sz w:val="21"/>
          <w:szCs w:val="21"/>
          <w:highlight w:val="none"/>
        </w:rPr>
        <w:fldChar w:fldCharType="end"/>
      </w:r>
    </w:p>
    <w:p w14:paraId="7B2C7B97">
      <w:pPr>
        <w:pStyle w:val="3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color w:val="auto"/>
          <w:sz w:val="21"/>
          <w:szCs w:val="21"/>
          <w:highlight w:val="none"/>
        </w:rPr>
      </w:pPr>
      <w:r>
        <w:rPr>
          <w:rFonts w:ascii="黑体" w:eastAsia="黑体"/>
          <w:color w:val="auto"/>
          <w:sz w:val="21"/>
          <w:szCs w:val="21"/>
          <w:highlight w:val="none"/>
        </w:rPr>
        <w:fldChar w:fldCharType="begin"/>
      </w:r>
      <w:r>
        <w:rPr>
          <w:rFonts w:ascii="黑体" w:eastAsia="黑体"/>
          <w:color w:val="auto"/>
          <w:sz w:val="21"/>
          <w:szCs w:val="21"/>
          <w:highlight w:val="none"/>
        </w:rPr>
        <w:instrText xml:space="preserve"> HYPERLINK \l _Toc28417 </w:instrText>
      </w:r>
      <w:r>
        <w:rPr>
          <w:rFonts w:ascii="黑体" w:eastAsia="黑体"/>
          <w:color w:val="auto"/>
          <w:sz w:val="21"/>
          <w:szCs w:val="21"/>
          <w:highlight w:val="none"/>
        </w:rPr>
        <w:fldChar w:fldCharType="separate"/>
      </w:r>
      <w:r>
        <w:rPr>
          <w:rFonts w:hint="eastAsia"/>
          <w:color w:val="auto"/>
          <w:sz w:val="21"/>
          <w:szCs w:val="21"/>
          <w:highlight w:val="none"/>
          <w:lang w:val="en-US" w:eastAsia="zh-CN"/>
        </w:rPr>
        <w:t>十、</w:t>
      </w:r>
      <w:r>
        <w:rPr>
          <w:color w:val="auto"/>
          <w:sz w:val="21"/>
          <w:szCs w:val="21"/>
          <w:highlight w:val="none"/>
        </w:rPr>
        <w:t>资格审查资料</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_Toc28417 \h </w:instrText>
      </w:r>
      <w:r>
        <w:rPr>
          <w:color w:val="auto"/>
          <w:sz w:val="21"/>
          <w:szCs w:val="21"/>
          <w:highlight w:val="none"/>
        </w:rPr>
        <w:fldChar w:fldCharType="separate"/>
      </w:r>
      <w:r>
        <w:rPr>
          <w:color w:val="auto"/>
          <w:sz w:val="21"/>
          <w:szCs w:val="21"/>
          <w:highlight w:val="none"/>
        </w:rPr>
        <w:t>86</w:t>
      </w:r>
      <w:r>
        <w:rPr>
          <w:color w:val="auto"/>
          <w:sz w:val="21"/>
          <w:szCs w:val="21"/>
          <w:highlight w:val="none"/>
        </w:rPr>
        <w:fldChar w:fldCharType="end"/>
      </w:r>
      <w:r>
        <w:rPr>
          <w:rFonts w:ascii="黑体" w:eastAsia="黑体"/>
          <w:color w:val="auto"/>
          <w:sz w:val="21"/>
          <w:szCs w:val="21"/>
          <w:highlight w:val="none"/>
        </w:rPr>
        <w:fldChar w:fldCharType="end"/>
      </w:r>
    </w:p>
    <w:p w14:paraId="1A5C3FC7">
      <w:pPr>
        <w:pStyle w:val="3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color w:val="auto"/>
          <w:sz w:val="21"/>
          <w:szCs w:val="21"/>
          <w:highlight w:val="none"/>
        </w:rPr>
      </w:pPr>
      <w:r>
        <w:rPr>
          <w:rFonts w:ascii="黑体" w:eastAsia="黑体"/>
          <w:color w:val="auto"/>
          <w:sz w:val="21"/>
          <w:szCs w:val="21"/>
          <w:highlight w:val="none"/>
        </w:rPr>
        <w:fldChar w:fldCharType="begin"/>
      </w:r>
      <w:r>
        <w:rPr>
          <w:rFonts w:ascii="黑体" w:eastAsia="黑体"/>
          <w:color w:val="auto"/>
          <w:sz w:val="21"/>
          <w:szCs w:val="21"/>
          <w:highlight w:val="none"/>
        </w:rPr>
        <w:instrText xml:space="preserve"> HYPERLINK \l _Toc2396 </w:instrText>
      </w:r>
      <w:r>
        <w:rPr>
          <w:rFonts w:ascii="黑体" w:eastAsia="黑体"/>
          <w:color w:val="auto"/>
          <w:sz w:val="21"/>
          <w:szCs w:val="21"/>
          <w:highlight w:val="none"/>
        </w:rPr>
        <w:fldChar w:fldCharType="separate"/>
      </w:r>
      <w:r>
        <w:rPr>
          <w:rFonts w:hint="eastAsia" w:ascii="Arial" w:hAnsi="Arial" w:eastAsia="黑体" w:cs="Times New Roman"/>
          <w:bCs/>
          <w:color w:val="auto"/>
          <w:kern w:val="2"/>
          <w:sz w:val="21"/>
          <w:szCs w:val="21"/>
          <w:highlight w:val="none"/>
          <w:lang w:val="en-US" w:eastAsia="zh-CN" w:bidi="ar-SA"/>
        </w:rPr>
        <w:t>十一、不可撤销履约保函</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_Toc2396 \h </w:instrText>
      </w:r>
      <w:r>
        <w:rPr>
          <w:color w:val="auto"/>
          <w:sz w:val="21"/>
          <w:szCs w:val="21"/>
          <w:highlight w:val="none"/>
        </w:rPr>
        <w:fldChar w:fldCharType="separate"/>
      </w:r>
      <w:r>
        <w:rPr>
          <w:color w:val="auto"/>
          <w:sz w:val="21"/>
          <w:szCs w:val="21"/>
          <w:highlight w:val="none"/>
        </w:rPr>
        <w:t>87</w:t>
      </w:r>
      <w:r>
        <w:rPr>
          <w:color w:val="auto"/>
          <w:sz w:val="21"/>
          <w:szCs w:val="21"/>
          <w:highlight w:val="none"/>
        </w:rPr>
        <w:fldChar w:fldCharType="end"/>
      </w:r>
      <w:r>
        <w:rPr>
          <w:rFonts w:ascii="黑体" w:eastAsia="黑体"/>
          <w:color w:val="auto"/>
          <w:sz w:val="21"/>
          <w:szCs w:val="21"/>
          <w:highlight w:val="none"/>
        </w:rPr>
        <w:fldChar w:fldCharType="end"/>
      </w:r>
    </w:p>
    <w:p w14:paraId="43E2D21D">
      <w:pPr>
        <w:pStyle w:val="3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color w:val="auto"/>
          <w:sz w:val="21"/>
          <w:szCs w:val="21"/>
          <w:highlight w:val="none"/>
        </w:rPr>
      </w:pPr>
      <w:r>
        <w:rPr>
          <w:rFonts w:ascii="黑体" w:eastAsia="黑体"/>
          <w:color w:val="auto"/>
          <w:sz w:val="21"/>
          <w:szCs w:val="21"/>
          <w:highlight w:val="none"/>
        </w:rPr>
        <w:fldChar w:fldCharType="begin"/>
      </w:r>
      <w:r>
        <w:rPr>
          <w:rFonts w:ascii="黑体" w:eastAsia="黑体"/>
          <w:color w:val="auto"/>
          <w:sz w:val="21"/>
          <w:szCs w:val="21"/>
          <w:highlight w:val="none"/>
        </w:rPr>
        <w:instrText xml:space="preserve"> HYPERLINK \l _Toc29254 </w:instrText>
      </w:r>
      <w:r>
        <w:rPr>
          <w:rFonts w:ascii="黑体" w:eastAsia="黑体"/>
          <w:color w:val="auto"/>
          <w:sz w:val="21"/>
          <w:szCs w:val="21"/>
          <w:highlight w:val="none"/>
        </w:rPr>
        <w:fldChar w:fldCharType="separate"/>
      </w:r>
      <w:r>
        <w:rPr>
          <w:rFonts w:hint="eastAsia"/>
          <w:color w:val="auto"/>
          <w:sz w:val="21"/>
          <w:szCs w:val="21"/>
          <w:highlight w:val="none"/>
        </w:rPr>
        <w:t>十</w:t>
      </w:r>
      <w:r>
        <w:rPr>
          <w:rFonts w:hint="eastAsia"/>
          <w:color w:val="auto"/>
          <w:sz w:val="21"/>
          <w:szCs w:val="21"/>
          <w:highlight w:val="none"/>
          <w:lang w:val="en-US" w:eastAsia="zh-CN"/>
        </w:rPr>
        <w:t>二</w:t>
      </w:r>
      <w:r>
        <w:rPr>
          <w:color w:val="auto"/>
          <w:sz w:val="21"/>
          <w:szCs w:val="21"/>
          <w:highlight w:val="none"/>
        </w:rPr>
        <w:t>、</w:t>
      </w:r>
      <w:r>
        <w:rPr>
          <w:rFonts w:hint="eastAsia"/>
          <w:color w:val="auto"/>
          <w:sz w:val="21"/>
          <w:szCs w:val="21"/>
          <w:highlight w:val="none"/>
        </w:rPr>
        <w:t>其他需要补充的</w:t>
      </w:r>
      <w:r>
        <w:rPr>
          <w:color w:val="auto"/>
          <w:sz w:val="21"/>
          <w:szCs w:val="21"/>
          <w:highlight w:val="none"/>
        </w:rPr>
        <w:t>资料</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_Toc29254 \h </w:instrText>
      </w:r>
      <w:r>
        <w:rPr>
          <w:color w:val="auto"/>
          <w:sz w:val="21"/>
          <w:szCs w:val="21"/>
          <w:highlight w:val="none"/>
        </w:rPr>
        <w:fldChar w:fldCharType="separate"/>
      </w:r>
      <w:r>
        <w:rPr>
          <w:color w:val="auto"/>
          <w:sz w:val="21"/>
          <w:szCs w:val="21"/>
          <w:highlight w:val="none"/>
        </w:rPr>
        <w:t>88</w:t>
      </w:r>
      <w:r>
        <w:rPr>
          <w:color w:val="auto"/>
          <w:sz w:val="21"/>
          <w:szCs w:val="21"/>
          <w:highlight w:val="none"/>
        </w:rPr>
        <w:fldChar w:fldCharType="end"/>
      </w:r>
      <w:r>
        <w:rPr>
          <w:rFonts w:ascii="黑体" w:eastAsia="黑体"/>
          <w:color w:val="auto"/>
          <w:sz w:val="21"/>
          <w:szCs w:val="21"/>
          <w:highlight w:val="none"/>
        </w:rPr>
        <w:fldChar w:fldCharType="end"/>
      </w:r>
    </w:p>
    <w:p w14:paraId="730521DF">
      <w:pPr>
        <w:pStyle w:val="3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color w:val="auto"/>
          <w:sz w:val="21"/>
          <w:szCs w:val="21"/>
          <w:highlight w:val="none"/>
        </w:rPr>
      </w:pPr>
      <w:r>
        <w:rPr>
          <w:rFonts w:ascii="黑体" w:eastAsia="黑体"/>
          <w:color w:val="auto"/>
          <w:sz w:val="21"/>
          <w:szCs w:val="21"/>
          <w:highlight w:val="none"/>
        </w:rPr>
        <w:fldChar w:fldCharType="begin"/>
      </w:r>
      <w:r>
        <w:rPr>
          <w:rFonts w:ascii="黑体" w:eastAsia="黑体"/>
          <w:color w:val="auto"/>
          <w:sz w:val="21"/>
          <w:szCs w:val="21"/>
          <w:highlight w:val="none"/>
        </w:rPr>
        <w:instrText xml:space="preserve"> HYPERLINK \l _Toc28672 </w:instrText>
      </w:r>
      <w:r>
        <w:rPr>
          <w:rFonts w:ascii="黑体" w:eastAsia="黑体"/>
          <w:color w:val="auto"/>
          <w:sz w:val="21"/>
          <w:szCs w:val="21"/>
          <w:highlight w:val="none"/>
        </w:rPr>
        <w:fldChar w:fldCharType="separate"/>
      </w:r>
      <w:r>
        <w:rPr>
          <w:rFonts w:hint="eastAsia" w:ascii="宋体" w:hAnsi="宋体"/>
          <w:color w:val="auto"/>
          <w:sz w:val="21"/>
          <w:szCs w:val="21"/>
          <w:highlight w:val="none"/>
          <w:lang w:val="en-US" w:eastAsia="zh-CN"/>
        </w:rPr>
        <w:t xml:space="preserve">经 济 </w:t>
      </w:r>
      <w:r>
        <w:rPr>
          <w:rFonts w:hint="eastAsia" w:ascii="宋体" w:hAnsi="宋体"/>
          <w:color w:val="auto"/>
          <w:sz w:val="21"/>
          <w:szCs w:val="21"/>
          <w:highlight w:val="none"/>
        </w:rPr>
        <w:t>响</w:t>
      </w:r>
      <w:r>
        <w:rPr>
          <w:rFonts w:ascii="宋体" w:hAnsi="宋体"/>
          <w:color w:val="auto"/>
          <w:sz w:val="21"/>
          <w:szCs w:val="21"/>
          <w:highlight w:val="none"/>
        </w:rPr>
        <w:t xml:space="preserve">  </w:t>
      </w:r>
      <w:r>
        <w:rPr>
          <w:rFonts w:hint="eastAsia" w:ascii="宋体" w:hAnsi="宋体"/>
          <w:color w:val="auto"/>
          <w:sz w:val="21"/>
          <w:szCs w:val="21"/>
          <w:highlight w:val="none"/>
        </w:rPr>
        <w:t>应</w:t>
      </w:r>
      <w:r>
        <w:rPr>
          <w:rFonts w:ascii="宋体" w:hAnsi="宋体"/>
          <w:color w:val="auto"/>
          <w:sz w:val="21"/>
          <w:szCs w:val="21"/>
          <w:highlight w:val="none"/>
        </w:rPr>
        <w:t xml:space="preserve">  文  件</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_Toc28672 \h </w:instrText>
      </w:r>
      <w:r>
        <w:rPr>
          <w:color w:val="auto"/>
          <w:sz w:val="21"/>
          <w:szCs w:val="21"/>
          <w:highlight w:val="none"/>
        </w:rPr>
        <w:fldChar w:fldCharType="separate"/>
      </w:r>
      <w:r>
        <w:rPr>
          <w:color w:val="auto"/>
          <w:sz w:val="21"/>
          <w:szCs w:val="21"/>
          <w:highlight w:val="none"/>
        </w:rPr>
        <w:t>89</w:t>
      </w:r>
      <w:r>
        <w:rPr>
          <w:color w:val="auto"/>
          <w:sz w:val="21"/>
          <w:szCs w:val="21"/>
          <w:highlight w:val="none"/>
        </w:rPr>
        <w:fldChar w:fldCharType="end"/>
      </w:r>
      <w:r>
        <w:rPr>
          <w:rFonts w:ascii="黑体" w:eastAsia="黑体"/>
          <w:color w:val="auto"/>
          <w:sz w:val="21"/>
          <w:szCs w:val="21"/>
          <w:highlight w:val="none"/>
        </w:rPr>
        <w:fldChar w:fldCharType="end"/>
      </w:r>
    </w:p>
    <w:p w14:paraId="64F7D645">
      <w:pPr>
        <w:pStyle w:val="3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color w:val="auto"/>
          <w:sz w:val="21"/>
          <w:szCs w:val="21"/>
          <w:highlight w:val="none"/>
        </w:rPr>
      </w:pPr>
      <w:r>
        <w:rPr>
          <w:rFonts w:ascii="黑体" w:eastAsia="黑体"/>
          <w:color w:val="auto"/>
          <w:sz w:val="21"/>
          <w:szCs w:val="21"/>
          <w:highlight w:val="none"/>
        </w:rPr>
        <w:fldChar w:fldCharType="begin"/>
      </w:r>
      <w:r>
        <w:rPr>
          <w:rFonts w:ascii="黑体" w:eastAsia="黑体"/>
          <w:color w:val="auto"/>
          <w:sz w:val="21"/>
          <w:szCs w:val="21"/>
          <w:highlight w:val="none"/>
        </w:rPr>
        <w:instrText xml:space="preserve"> HYPERLINK \l _Toc27675 </w:instrText>
      </w:r>
      <w:r>
        <w:rPr>
          <w:rFonts w:ascii="黑体" w:eastAsia="黑体"/>
          <w:color w:val="auto"/>
          <w:sz w:val="21"/>
          <w:szCs w:val="21"/>
          <w:highlight w:val="none"/>
        </w:rPr>
        <w:fldChar w:fldCharType="separate"/>
      </w:r>
      <w:r>
        <w:rPr>
          <w:rFonts w:hint="eastAsia" w:ascii="黑体" w:hAnsi="Times New Roman"/>
          <w:bCs w:val="0"/>
          <w:color w:val="auto"/>
          <w:sz w:val="21"/>
          <w:szCs w:val="21"/>
          <w:highlight w:val="none"/>
        </w:rPr>
        <w:t>一、报价一览表</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_Toc27675 \h </w:instrText>
      </w:r>
      <w:r>
        <w:rPr>
          <w:color w:val="auto"/>
          <w:sz w:val="21"/>
          <w:szCs w:val="21"/>
          <w:highlight w:val="none"/>
        </w:rPr>
        <w:fldChar w:fldCharType="separate"/>
      </w:r>
      <w:r>
        <w:rPr>
          <w:color w:val="auto"/>
          <w:sz w:val="21"/>
          <w:szCs w:val="21"/>
          <w:highlight w:val="none"/>
        </w:rPr>
        <w:t>90</w:t>
      </w:r>
      <w:r>
        <w:rPr>
          <w:color w:val="auto"/>
          <w:sz w:val="21"/>
          <w:szCs w:val="21"/>
          <w:highlight w:val="none"/>
        </w:rPr>
        <w:fldChar w:fldCharType="end"/>
      </w:r>
      <w:r>
        <w:rPr>
          <w:rFonts w:ascii="黑体" w:eastAsia="黑体"/>
          <w:color w:val="auto"/>
          <w:sz w:val="21"/>
          <w:szCs w:val="21"/>
          <w:highlight w:val="none"/>
        </w:rPr>
        <w:fldChar w:fldCharType="end"/>
      </w:r>
    </w:p>
    <w:p w14:paraId="3A4AC0BA">
      <w:pPr>
        <w:pStyle w:val="3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color w:val="auto"/>
          <w:sz w:val="21"/>
          <w:szCs w:val="21"/>
          <w:highlight w:val="none"/>
        </w:rPr>
      </w:pPr>
      <w:r>
        <w:rPr>
          <w:rFonts w:ascii="黑体" w:eastAsia="黑体"/>
          <w:color w:val="auto"/>
          <w:sz w:val="21"/>
          <w:szCs w:val="21"/>
          <w:highlight w:val="none"/>
        </w:rPr>
        <w:fldChar w:fldCharType="begin"/>
      </w:r>
      <w:r>
        <w:rPr>
          <w:rFonts w:ascii="黑体" w:eastAsia="黑体"/>
          <w:color w:val="auto"/>
          <w:sz w:val="21"/>
          <w:szCs w:val="21"/>
          <w:highlight w:val="none"/>
        </w:rPr>
        <w:instrText xml:space="preserve"> HYPERLINK \l _Toc31714 </w:instrText>
      </w:r>
      <w:r>
        <w:rPr>
          <w:rFonts w:ascii="黑体" w:eastAsia="黑体"/>
          <w:color w:val="auto"/>
          <w:sz w:val="21"/>
          <w:szCs w:val="21"/>
          <w:highlight w:val="none"/>
        </w:rPr>
        <w:fldChar w:fldCharType="separate"/>
      </w:r>
      <w:r>
        <w:rPr>
          <w:rFonts w:hint="eastAsia" w:ascii="黑体" w:hAnsi="Times New Roman"/>
          <w:bCs w:val="0"/>
          <w:color w:val="auto"/>
          <w:sz w:val="21"/>
          <w:szCs w:val="21"/>
          <w:highlight w:val="none"/>
        </w:rPr>
        <w:t>二、分项报价表</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_Toc31714 \h </w:instrText>
      </w:r>
      <w:r>
        <w:rPr>
          <w:color w:val="auto"/>
          <w:sz w:val="21"/>
          <w:szCs w:val="21"/>
          <w:highlight w:val="none"/>
        </w:rPr>
        <w:fldChar w:fldCharType="separate"/>
      </w:r>
      <w:r>
        <w:rPr>
          <w:color w:val="auto"/>
          <w:sz w:val="21"/>
          <w:szCs w:val="21"/>
          <w:highlight w:val="none"/>
        </w:rPr>
        <w:t>91</w:t>
      </w:r>
      <w:r>
        <w:rPr>
          <w:color w:val="auto"/>
          <w:sz w:val="21"/>
          <w:szCs w:val="21"/>
          <w:highlight w:val="none"/>
        </w:rPr>
        <w:fldChar w:fldCharType="end"/>
      </w:r>
      <w:r>
        <w:rPr>
          <w:rFonts w:ascii="黑体" w:eastAsia="黑体"/>
          <w:color w:val="auto"/>
          <w:sz w:val="21"/>
          <w:szCs w:val="21"/>
          <w:highlight w:val="none"/>
        </w:rPr>
        <w:fldChar w:fldCharType="end"/>
      </w:r>
    </w:p>
    <w:p w14:paraId="01CC3FE9">
      <w:pPr>
        <w:pStyle w:val="3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color w:val="auto"/>
          <w:highlight w:val="none"/>
        </w:rPr>
      </w:pPr>
      <w:r>
        <w:rPr>
          <w:rFonts w:ascii="黑体" w:eastAsia="黑体"/>
          <w:color w:val="auto"/>
          <w:sz w:val="21"/>
          <w:szCs w:val="21"/>
          <w:highlight w:val="none"/>
        </w:rPr>
        <w:fldChar w:fldCharType="begin"/>
      </w:r>
      <w:r>
        <w:rPr>
          <w:rFonts w:ascii="黑体" w:eastAsia="黑体"/>
          <w:color w:val="auto"/>
          <w:sz w:val="21"/>
          <w:szCs w:val="21"/>
          <w:highlight w:val="none"/>
        </w:rPr>
        <w:instrText xml:space="preserve"> HYPERLINK \l _Toc21622 </w:instrText>
      </w:r>
      <w:r>
        <w:rPr>
          <w:rFonts w:ascii="黑体" w:eastAsia="黑体"/>
          <w:color w:val="auto"/>
          <w:sz w:val="21"/>
          <w:szCs w:val="21"/>
          <w:highlight w:val="none"/>
        </w:rPr>
        <w:fldChar w:fldCharType="separate"/>
      </w:r>
      <w:r>
        <w:rPr>
          <w:rFonts w:hint="eastAsia"/>
          <w:color w:val="auto"/>
          <w:sz w:val="21"/>
          <w:szCs w:val="21"/>
          <w:highlight w:val="none"/>
        </w:rPr>
        <w:t>第三部分</w:t>
      </w:r>
      <w:r>
        <w:rPr>
          <w:color w:val="auto"/>
          <w:sz w:val="21"/>
          <w:szCs w:val="21"/>
          <w:highlight w:val="none"/>
        </w:rPr>
        <w:t xml:space="preserve">  </w:t>
      </w:r>
      <w:r>
        <w:rPr>
          <w:rFonts w:hint="eastAsia"/>
          <w:color w:val="auto"/>
          <w:sz w:val="21"/>
          <w:szCs w:val="21"/>
          <w:highlight w:val="none"/>
        </w:rPr>
        <w:t>唱标信封（单独密封）</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_Toc21622 \h </w:instrText>
      </w:r>
      <w:r>
        <w:rPr>
          <w:color w:val="auto"/>
          <w:sz w:val="21"/>
          <w:szCs w:val="21"/>
          <w:highlight w:val="none"/>
        </w:rPr>
        <w:fldChar w:fldCharType="separate"/>
      </w:r>
      <w:r>
        <w:rPr>
          <w:color w:val="auto"/>
          <w:sz w:val="21"/>
          <w:szCs w:val="21"/>
          <w:highlight w:val="none"/>
        </w:rPr>
        <w:t>93</w:t>
      </w:r>
      <w:r>
        <w:rPr>
          <w:color w:val="auto"/>
          <w:sz w:val="21"/>
          <w:szCs w:val="21"/>
          <w:highlight w:val="none"/>
        </w:rPr>
        <w:fldChar w:fldCharType="end"/>
      </w:r>
      <w:r>
        <w:rPr>
          <w:rFonts w:ascii="黑体" w:eastAsia="黑体"/>
          <w:color w:val="auto"/>
          <w:sz w:val="21"/>
          <w:szCs w:val="21"/>
          <w:highlight w:val="none"/>
        </w:rPr>
        <w:fldChar w:fldCharType="end"/>
      </w:r>
    </w:p>
    <w:p w14:paraId="2F5C62AC">
      <w:pPr>
        <w:rPr>
          <w:rFonts w:ascii="黑体" w:eastAsia="黑体"/>
          <w:color w:val="auto"/>
          <w:sz w:val="28"/>
          <w:szCs w:val="28"/>
          <w:highlight w:val="none"/>
        </w:rPr>
      </w:pPr>
      <w:r>
        <w:rPr>
          <w:rFonts w:ascii="黑体" w:eastAsia="黑体"/>
          <w:color w:val="auto"/>
          <w:szCs w:val="28"/>
          <w:highlight w:val="none"/>
        </w:rPr>
        <w:fldChar w:fldCharType="end"/>
      </w:r>
    </w:p>
    <w:p w14:paraId="1187F45C">
      <w:pPr>
        <w:jc w:val="center"/>
        <w:rPr>
          <w:rFonts w:ascii="黑体" w:eastAsia="黑体"/>
          <w:color w:val="auto"/>
          <w:sz w:val="28"/>
          <w:szCs w:val="28"/>
          <w:highlight w:val="none"/>
        </w:rPr>
      </w:pPr>
    </w:p>
    <w:p w14:paraId="50FA4EC1">
      <w:pPr>
        <w:jc w:val="center"/>
        <w:rPr>
          <w:rFonts w:ascii="黑体" w:eastAsia="黑体"/>
          <w:color w:val="auto"/>
          <w:sz w:val="28"/>
          <w:szCs w:val="28"/>
          <w:highlight w:val="none"/>
        </w:rPr>
      </w:pPr>
    </w:p>
    <w:p w14:paraId="40A8A90C">
      <w:pPr>
        <w:rPr>
          <w:rFonts w:ascii="黑体" w:eastAsia="黑体"/>
          <w:color w:val="auto"/>
          <w:sz w:val="28"/>
          <w:szCs w:val="28"/>
          <w:highlight w:val="none"/>
        </w:rPr>
      </w:pPr>
    </w:p>
    <w:p w14:paraId="3FA71DA3">
      <w:pPr>
        <w:pStyle w:val="70"/>
        <w:rPr>
          <w:rFonts w:ascii="宋体" w:hAnsi="宋体" w:eastAsia="宋体" w:cs="宋体"/>
          <w:b/>
          <w:color w:val="auto"/>
          <w:kern w:val="0"/>
          <w:sz w:val="28"/>
          <w:szCs w:val="28"/>
          <w:highlight w:val="none"/>
        </w:rPr>
        <w:sectPr>
          <w:footerReference r:id="rId3" w:type="default"/>
          <w:pgSz w:w="11906" w:h="16838"/>
          <w:pgMar w:top="1240" w:right="1800" w:bottom="1440" w:left="1800" w:header="851" w:footer="992" w:gutter="0"/>
          <w:cols w:space="720" w:num="1"/>
          <w:docGrid w:type="lines" w:linePitch="312" w:charSpace="0"/>
        </w:sectPr>
      </w:pPr>
      <w:bookmarkStart w:id="0" w:name="_Toc227057880"/>
      <w:bookmarkStart w:id="1" w:name="_Toc456551871"/>
    </w:p>
    <w:p w14:paraId="58EE7884">
      <w:pPr>
        <w:pStyle w:val="70"/>
        <w:rPr>
          <w:rFonts w:ascii="宋体" w:hAnsi="宋体" w:eastAsia="宋体" w:cs="宋体"/>
          <w:b/>
          <w:color w:val="auto"/>
          <w:kern w:val="0"/>
          <w:sz w:val="28"/>
          <w:szCs w:val="28"/>
          <w:highlight w:val="none"/>
        </w:rPr>
      </w:pPr>
      <w:bookmarkStart w:id="2" w:name="_Toc32647"/>
      <w:r>
        <w:rPr>
          <w:rFonts w:hint="eastAsia" w:ascii="宋体" w:hAnsi="宋体" w:eastAsia="宋体" w:cs="宋体"/>
          <w:b/>
          <w:color w:val="auto"/>
          <w:kern w:val="0"/>
          <w:sz w:val="28"/>
          <w:szCs w:val="28"/>
          <w:highlight w:val="none"/>
        </w:rPr>
        <w:t>第</w:t>
      </w:r>
      <w:r>
        <w:rPr>
          <w:rFonts w:ascii="宋体" w:hAnsi="宋体" w:eastAsia="宋体" w:cs="宋体"/>
          <w:b/>
          <w:color w:val="auto"/>
          <w:kern w:val="0"/>
          <w:sz w:val="28"/>
          <w:szCs w:val="28"/>
          <w:highlight w:val="none"/>
        </w:rPr>
        <w:t>一章  竞争性谈判公告</w:t>
      </w:r>
      <w:bookmarkEnd w:id="2"/>
    </w:p>
    <w:p w14:paraId="4F4D4B48">
      <w:pPr>
        <w:spacing w:line="440" w:lineRule="exact"/>
        <w:jc w:val="center"/>
        <w:rPr>
          <w:rFonts w:ascii="黑体" w:hAnsi="黑体" w:eastAsia="黑体" w:cs="宋体"/>
          <w:color w:val="auto"/>
          <w:sz w:val="28"/>
          <w:szCs w:val="28"/>
          <w:highlight w:val="none"/>
        </w:rPr>
      </w:pPr>
      <w:r>
        <w:rPr>
          <w:rFonts w:ascii="黑体" w:hAnsi="黑体" w:eastAsia="黑体" w:cs="宋体"/>
          <w:color w:val="auto"/>
          <w:sz w:val="28"/>
          <w:szCs w:val="28"/>
          <w:highlight w:val="none"/>
        </w:rPr>
        <w:t xml:space="preserve"> </w:t>
      </w:r>
      <w:r>
        <w:rPr>
          <w:rFonts w:hint="eastAsia" w:ascii="黑体" w:hAnsi="黑体" w:eastAsia="黑体" w:cs="宋体"/>
          <w:color w:val="auto"/>
          <w:sz w:val="28"/>
          <w:szCs w:val="28"/>
          <w:highlight w:val="none"/>
          <w:lang w:eastAsia="zh-CN"/>
        </w:rPr>
        <w:t>东鸿公司塘厦创智园2026年度电梯维保项目</w:t>
      </w:r>
      <w:r>
        <w:rPr>
          <w:rFonts w:ascii="黑体" w:hAnsi="黑体" w:eastAsia="黑体" w:cs="宋体"/>
          <w:color w:val="auto"/>
          <w:sz w:val="28"/>
          <w:szCs w:val="28"/>
          <w:highlight w:val="none"/>
        </w:rPr>
        <w:t xml:space="preserve">竞争性谈判公告 </w:t>
      </w:r>
    </w:p>
    <w:p w14:paraId="6F28908E">
      <w:pPr>
        <w:spacing w:line="440" w:lineRule="exact"/>
        <w:jc w:val="center"/>
        <w:rPr>
          <w:rFonts w:ascii="黑体" w:hAnsi="黑体" w:eastAsia="黑体" w:cs="宋体"/>
          <w:color w:val="auto"/>
          <w:sz w:val="28"/>
          <w:szCs w:val="28"/>
          <w:highlight w:val="none"/>
        </w:rPr>
      </w:pPr>
    </w:p>
    <w:p w14:paraId="2CF1FD24">
      <w:pPr>
        <w:spacing w:after="1" w:line="322" w:lineRule="auto"/>
        <w:ind w:left="-14" w:right="162" w:firstLine="630"/>
        <w:rPr>
          <w:color w:val="auto"/>
          <w:highlight w:val="none"/>
        </w:rPr>
      </w:pPr>
      <w:r>
        <w:rPr>
          <w:rFonts w:hint="eastAsia"/>
          <w:color w:val="auto"/>
          <w:highlight w:val="none"/>
          <w:u w:val="single"/>
          <w:lang w:eastAsia="zh-CN"/>
        </w:rPr>
        <w:t>东鸿公司塘厦创智园2026年度电梯维保项目</w:t>
      </w:r>
      <w:r>
        <w:rPr>
          <w:color w:val="auto"/>
          <w:highlight w:val="none"/>
        </w:rPr>
        <w:t>采购人为</w:t>
      </w:r>
      <w:r>
        <w:rPr>
          <w:rFonts w:hint="eastAsia"/>
          <w:color w:val="auto"/>
          <w:highlight w:val="none"/>
          <w:u w:val="single"/>
          <w:lang w:eastAsia="zh-CN"/>
        </w:rPr>
        <w:t>广东东鸿物业发展有限公司</w:t>
      </w:r>
      <w:r>
        <w:rPr>
          <w:color w:val="auto"/>
          <w:highlight w:val="none"/>
        </w:rPr>
        <w:t>，已具备竞争性谈判条件，现进行公开竞争性谈判。</w:t>
      </w:r>
    </w:p>
    <w:p w14:paraId="7D3E887C">
      <w:pPr>
        <w:rPr>
          <w:rFonts w:ascii="黑体" w:eastAsia="黑体"/>
          <w:b/>
          <w:color w:val="auto"/>
          <w:sz w:val="28"/>
          <w:szCs w:val="28"/>
          <w:highlight w:val="none"/>
        </w:rPr>
      </w:pPr>
      <w:r>
        <w:rPr>
          <w:rFonts w:ascii="黑体" w:eastAsia="黑体"/>
          <w:b/>
          <w:color w:val="auto"/>
          <w:sz w:val="28"/>
          <w:szCs w:val="28"/>
          <w:highlight w:val="none"/>
        </w:rPr>
        <w:t xml:space="preserve">一、 </w:t>
      </w:r>
      <w:r>
        <w:rPr>
          <w:rFonts w:hint="eastAsia" w:ascii="黑体" w:eastAsia="黑体"/>
          <w:b/>
          <w:color w:val="auto"/>
          <w:sz w:val="28"/>
          <w:szCs w:val="28"/>
          <w:highlight w:val="none"/>
        </w:rPr>
        <w:t>项目名称及</w:t>
      </w:r>
      <w:r>
        <w:rPr>
          <w:rFonts w:ascii="黑体" w:eastAsia="黑体"/>
          <w:b/>
          <w:color w:val="auto"/>
          <w:sz w:val="28"/>
          <w:szCs w:val="28"/>
          <w:highlight w:val="none"/>
        </w:rPr>
        <w:t xml:space="preserve">采购内容 </w:t>
      </w:r>
    </w:p>
    <w:p w14:paraId="3CB2B73D">
      <w:pPr>
        <w:numPr>
          <w:ilvl w:val="1"/>
          <w:numId w:val="0"/>
        </w:numPr>
        <w:spacing w:line="300" w:lineRule="auto"/>
        <w:ind w:left="0" w:leftChars="0" w:firstLine="425" w:firstLineChars="0"/>
        <w:rPr>
          <w:rFonts w:ascii="宋体" w:hAnsi="宋体"/>
          <w:color w:val="auto"/>
          <w:szCs w:val="21"/>
          <w:highlight w:val="none"/>
        </w:rPr>
      </w:pPr>
      <w:r>
        <w:rPr>
          <w:rFonts w:ascii="宋体" w:hAnsi="宋体" w:eastAsia="宋体" w:cs="Times New Roman"/>
          <w:b w:val="0"/>
          <w:color w:val="auto"/>
          <w:kern w:val="2"/>
          <w:sz w:val="21"/>
          <w:szCs w:val="21"/>
          <w:lang w:val="en-US" w:eastAsia="zh-CN" w:bidi="ar-SA"/>
        </w:rPr>
        <w:t>1.1</w:t>
      </w:r>
      <w:r>
        <w:rPr>
          <w:rFonts w:hint="eastAsia" w:ascii="宋体" w:hAnsi="宋体"/>
          <w:color w:val="auto"/>
          <w:szCs w:val="21"/>
          <w:highlight w:val="none"/>
        </w:rPr>
        <w:t>项目名称：</w:t>
      </w:r>
      <w:r>
        <w:rPr>
          <w:rFonts w:hint="eastAsia" w:ascii="宋体" w:hAnsi="宋体"/>
          <w:color w:val="auto"/>
          <w:szCs w:val="21"/>
          <w:highlight w:val="none"/>
          <w:u w:val="single"/>
          <w:lang w:eastAsia="zh-CN"/>
        </w:rPr>
        <w:t>东鸿公司塘厦创智园2026年度电梯维保项目</w:t>
      </w:r>
      <w:r>
        <w:rPr>
          <w:rFonts w:hint="eastAsia" w:ascii="宋体" w:hAnsi="宋体"/>
          <w:color w:val="auto"/>
          <w:szCs w:val="21"/>
          <w:highlight w:val="none"/>
        </w:rPr>
        <w:t>；</w:t>
      </w:r>
    </w:p>
    <w:p w14:paraId="45BAD248">
      <w:pPr>
        <w:numPr>
          <w:ilvl w:val="1"/>
          <w:numId w:val="0"/>
        </w:numPr>
        <w:spacing w:line="300" w:lineRule="auto"/>
        <w:ind w:left="0" w:leftChars="0" w:firstLine="425" w:firstLineChars="0"/>
        <w:rPr>
          <w:rFonts w:ascii="宋体" w:hAnsi="宋体"/>
          <w:color w:val="auto"/>
          <w:szCs w:val="21"/>
          <w:highlight w:val="none"/>
        </w:rPr>
      </w:pPr>
      <w:r>
        <w:rPr>
          <w:rFonts w:ascii="宋体" w:hAnsi="宋体" w:eastAsia="宋体" w:cs="Times New Roman"/>
          <w:b w:val="0"/>
          <w:color w:val="auto"/>
          <w:kern w:val="2"/>
          <w:sz w:val="21"/>
          <w:szCs w:val="21"/>
          <w:lang w:val="en-US" w:eastAsia="zh-CN" w:bidi="ar-SA"/>
        </w:rPr>
        <w:t>1.2</w:t>
      </w:r>
      <w:r>
        <w:rPr>
          <w:rFonts w:hint="eastAsia" w:ascii="宋体" w:hAnsi="宋体"/>
          <w:color w:val="auto"/>
          <w:szCs w:val="21"/>
          <w:highlight w:val="none"/>
        </w:rPr>
        <w:t>采购范围：</w:t>
      </w:r>
      <w:r>
        <w:rPr>
          <w:rFonts w:hint="eastAsia" w:ascii="宋体" w:hAnsi="宋体"/>
          <w:color w:val="auto"/>
          <w:szCs w:val="21"/>
          <w:highlight w:val="none"/>
          <w:u w:val="single"/>
        </w:rPr>
        <w:t>详见谈判文件《用户需求书》</w:t>
      </w:r>
      <w:r>
        <w:rPr>
          <w:rFonts w:hint="eastAsia" w:ascii="宋体" w:hAnsi="宋体"/>
          <w:color w:val="auto"/>
          <w:szCs w:val="21"/>
          <w:highlight w:val="none"/>
        </w:rPr>
        <w:t>；</w:t>
      </w:r>
    </w:p>
    <w:p w14:paraId="1BBE23B8">
      <w:pPr>
        <w:numPr>
          <w:ilvl w:val="1"/>
          <w:numId w:val="0"/>
        </w:numPr>
        <w:spacing w:line="300" w:lineRule="auto"/>
        <w:ind w:left="0" w:leftChars="0" w:firstLine="425" w:firstLineChars="0"/>
        <w:rPr>
          <w:rFonts w:ascii="宋体" w:hAnsi="宋体"/>
          <w:color w:val="auto"/>
          <w:szCs w:val="21"/>
          <w:highlight w:val="none"/>
        </w:rPr>
      </w:pPr>
      <w:r>
        <w:rPr>
          <w:rFonts w:ascii="宋体" w:hAnsi="宋体" w:eastAsia="宋体" w:cs="Times New Roman"/>
          <w:b w:val="0"/>
          <w:color w:val="auto"/>
          <w:kern w:val="2"/>
          <w:sz w:val="21"/>
          <w:szCs w:val="21"/>
          <w:lang w:val="en-US" w:eastAsia="zh-CN" w:bidi="ar-SA"/>
        </w:rPr>
        <w:t>1.3</w:t>
      </w:r>
      <w:r>
        <w:rPr>
          <w:rFonts w:hint="eastAsia" w:ascii="宋体" w:hAnsi="宋体"/>
          <w:color w:val="auto"/>
          <w:szCs w:val="21"/>
          <w:highlight w:val="none"/>
        </w:rPr>
        <w:t>项目地点</w:t>
      </w:r>
      <w:r>
        <w:rPr>
          <w:rFonts w:hint="eastAsia" w:ascii="宋体" w:hAnsi="宋体"/>
          <w:color w:val="auto"/>
          <w:szCs w:val="21"/>
          <w:highlight w:val="none"/>
          <w:lang w:eastAsia="zh-CN"/>
        </w:rPr>
        <w:t>：</w:t>
      </w:r>
      <w:r>
        <w:rPr>
          <w:rFonts w:hint="eastAsia" w:ascii="宋体" w:hAnsi="宋体"/>
          <w:color w:val="auto"/>
          <w:szCs w:val="21"/>
          <w:highlight w:val="none"/>
          <w:u w:val="single"/>
          <w:lang w:val="en-US" w:eastAsia="zh-CN"/>
        </w:rPr>
        <w:t>采购人项目所在地</w:t>
      </w:r>
      <w:r>
        <w:rPr>
          <w:rFonts w:hint="eastAsia" w:ascii="宋体" w:hAnsi="宋体"/>
          <w:color w:val="auto"/>
          <w:szCs w:val="21"/>
          <w:highlight w:val="none"/>
        </w:rPr>
        <w:t>；</w:t>
      </w:r>
    </w:p>
    <w:p w14:paraId="17ABB106">
      <w:pPr>
        <w:numPr>
          <w:ilvl w:val="1"/>
          <w:numId w:val="0"/>
        </w:numPr>
        <w:spacing w:line="300" w:lineRule="auto"/>
        <w:ind w:left="0" w:leftChars="0" w:firstLine="425" w:firstLineChars="0"/>
        <w:rPr>
          <w:rFonts w:ascii="宋体" w:hAnsi="宋体"/>
          <w:color w:val="auto"/>
          <w:szCs w:val="21"/>
          <w:highlight w:val="none"/>
        </w:rPr>
      </w:pPr>
      <w:r>
        <w:rPr>
          <w:rFonts w:ascii="宋体" w:hAnsi="宋体" w:eastAsia="宋体" w:cs="Times New Roman"/>
          <w:b w:val="0"/>
          <w:color w:val="auto"/>
          <w:kern w:val="2"/>
          <w:sz w:val="21"/>
          <w:szCs w:val="21"/>
          <w:lang w:val="en-US" w:eastAsia="zh-CN" w:bidi="ar-SA"/>
        </w:rPr>
        <w:t>1.4</w:t>
      </w:r>
      <w:r>
        <w:rPr>
          <w:rFonts w:hint="eastAsia" w:ascii="宋体" w:hAnsi="宋体"/>
          <w:color w:val="auto"/>
          <w:szCs w:val="21"/>
          <w:highlight w:val="none"/>
          <w:lang w:val="en-US" w:eastAsia="zh-CN"/>
        </w:rPr>
        <w:t>合同期</w:t>
      </w:r>
      <w:r>
        <w:rPr>
          <w:rFonts w:hint="eastAsia" w:ascii="宋体" w:hAnsi="宋体"/>
          <w:color w:val="auto"/>
          <w:szCs w:val="21"/>
          <w:highlight w:val="none"/>
        </w:rPr>
        <w:t>：</w:t>
      </w:r>
      <w:r>
        <w:rPr>
          <w:rFonts w:hint="eastAsia" w:ascii="宋体" w:hAnsi="宋体"/>
          <w:color w:val="auto"/>
          <w:szCs w:val="21"/>
          <w:highlight w:val="none"/>
          <w:u w:val="single"/>
          <w:lang w:val="en-US" w:eastAsia="zh-CN"/>
        </w:rPr>
        <w:t>12个月（按每台电梯实际维保起始日，按考核结果据实结算服务费用。）；</w:t>
      </w:r>
    </w:p>
    <w:p w14:paraId="71C6D26E">
      <w:pPr>
        <w:numPr>
          <w:ilvl w:val="1"/>
          <w:numId w:val="0"/>
        </w:numPr>
        <w:spacing w:line="300" w:lineRule="auto"/>
        <w:ind w:left="0" w:leftChars="0" w:firstLine="425" w:firstLineChars="0"/>
        <w:rPr>
          <w:rFonts w:ascii="宋体" w:hAnsi="宋体"/>
          <w:color w:val="auto"/>
          <w:szCs w:val="21"/>
          <w:highlight w:val="none"/>
        </w:rPr>
      </w:pPr>
      <w:r>
        <w:rPr>
          <w:rFonts w:ascii="宋体" w:hAnsi="宋体" w:eastAsia="宋体" w:cs="Times New Roman"/>
          <w:b w:val="0"/>
          <w:color w:val="auto"/>
          <w:kern w:val="2"/>
          <w:sz w:val="21"/>
          <w:szCs w:val="21"/>
          <w:lang w:val="en-US" w:eastAsia="zh-CN" w:bidi="ar-SA"/>
        </w:rPr>
        <w:t>1.5</w:t>
      </w:r>
      <w:r>
        <w:rPr>
          <w:rFonts w:hint="eastAsia" w:ascii="宋体" w:hAnsi="宋体"/>
          <w:color w:val="auto"/>
          <w:szCs w:val="21"/>
          <w:highlight w:val="none"/>
        </w:rPr>
        <w:t>预算金额：</w:t>
      </w:r>
      <w:r>
        <w:rPr>
          <w:rFonts w:hint="eastAsia" w:ascii="宋体" w:hAnsi="宋体"/>
          <w:color w:val="auto"/>
          <w:szCs w:val="21"/>
          <w:highlight w:val="none"/>
          <w:u w:val="single"/>
          <w:lang w:val="en-US" w:eastAsia="zh-CN"/>
        </w:rPr>
        <w:t>193195.80元(含6%增值税)</w:t>
      </w:r>
      <w:r>
        <w:rPr>
          <w:rFonts w:hint="eastAsia" w:ascii="宋体" w:hAnsi="宋体"/>
          <w:color w:val="auto"/>
          <w:szCs w:val="21"/>
          <w:highlight w:val="none"/>
        </w:rPr>
        <w:t>；</w:t>
      </w:r>
    </w:p>
    <w:p w14:paraId="25E93BA5">
      <w:pPr>
        <w:numPr>
          <w:ilvl w:val="1"/>
          <w:numId w:val="0"/>
        </w:numPr>
        <w:spacing w:line="300" w:lineRule="auto"/>
        <w:ind w:left="0" w:leftChars="0" w:firstLine="425" w:firstLineChars="0"/>
        <w:rPr>
          <w:rFonts w:ascii="宋体" w:hAnsi="宋体"/>
          <w:color w:val="auto"/>
          <w:szCs w:val="21"/>
          <w:highlight w:val="none"/>
        </w:rPr>
      </w:pPr>
      <w:r>
        <w:rPr>
          <w:rFonts w:ascii="宋体" w:hAnsi="宋体" w:eastAsia="宋体" w:cs="Times New Roman"/>
          <w:b w:val="0"/>
          <w:color w:val="auto"/>
          <w:kern w:val="2"/>
          <w:sz w:val="21"/>
          <w:szCs w:val="21"/>
          <w:lang w:val="en-US" w:eastAsia="zh-CN" w:bidi="ar-SA"/>
        </w:rPr>
        <w:t>1.6</w:t>
      </w:r>
      <w:r>
        <w:rPr>
          <w:rFonts w:hint="eastAsia" w:ascii="宋体" w:hAnsi="宋体"/>
          <w:color w:val="auto"/>
          <w:szCs w:val="21"/>
          <w:highlight w:val="none"/>
        </w:rPr>
        <w:t>最高限价：</w:t>
      </w:r>
      <w:r>
        <w:rPr>
          <w:rFonts w:hint="eastAsia" w:ascii="宋体" w:hAnsi="宋体"/>
          <w:color w:val="auto"/>
          <w:szCs w:val="21"/>
          <w:highlight w:val="none"/>
          <w:u w:val="single"/>
          <w:lang w:val="en-US" w:eastAsia="zh-CN"/>
        </w:rPr>
        <w:t>193195.80元(含6%增值税)</w:t>
      </w:r>
      <w:r>
        <w:rPr>
          <w:rFonts w:hint="eastAsia" w:ascii="宋体" w:hAnsi="宋体"/>
          <w:color w:val="auto"/>
          <w:szCs w:val="21"/>
          <w:highlight w:val="none"/>
        </w:rPr>
        <w:t>；</w:t>
      </w:r>
    </w:p>
    <w:p w14:paraId="6687834D">
      <w:pPr>
        <w:numPr>
          <w:ilvl w:val="1"/>
          <w:numId w:val="0"/>
        </w:numPr>
        <w:spacing w:line="300" w:lineRule="auto"/>
        <w:ind w:left="0" w:leftChars="0" w:firstLine="425" w:firstLineChars="0"/>
        <w:rPr>
          <w:rFonts w:ascii="宋体" w:hAnsi="宋体"/>
          <w:color w:val="auto"/>
          <w:szCs w:val="21"/>
          <w:highlight w:val="none"/>
        </w:rPr>
      </w:pPr>
      <w:r>
        <w:rPr>
          <w:rFonts w:ascii="宋体" w:hAnsi="宋体" w:eastAsia="宋体" w:cs="Times New Roman"/>
          <w:b w:val="0"/>
          <w:color w:val="auto"/>
          <w:kern w:val="2"/>
          <w:sz w:val="21"/>
          <w:szCs w:val="21"/>
          <w:lang w:val="en-US" w:eastAsia="zh-CN" w:bidi="ar-SA"/>
        </w:rPr>
        <w:t>1.7</w:t>
      </w:r>
      <w:r>
        <w:rPr>
          <w:rFonts w:hint="eastAsia" w:ascii="宋体" w:hAnsi="宋体"/>
          <w:color w:val="auto"/>
          <w:szCs w:val="21"/>
          <w:highlight w:val="none"/>
        </w:rPr>
        <w:t>标包划分：</w:t>
      </w:r>
      <w:r>
        <w:rPr>
          <w:rStyle w:val="44"/>
          <w:rFonts w:hint="eastAsia"/>
          <w:color w:val="auto"/>
          <w:highlight w:val="none"/>
        </w:rPr>
        <w:t>本项目</w:t>
      </w:r>
      <w:r>
        <w:rPr>
          <w:rStyle w:val="44"/>
          <w:rFonts w:hint="eastAsia"/>
          <w:color w:val="auto"/>
          <w:highlight w:val="none"/>
          <w:u w:val="single"/>
        </w:rPr>
        <w:t>不划分</w:t>
      </w:r>
      <w:r>
        <w:rPr>
          <w:rStyle w:val="44"/>
          <w:rFonts w:hint="eastAsia"/>
          <w:color w:val="auto"/>
          <w:highlight w:val="none"/>
        </w:rPr>
        <w:t>标包</w:t>
      </w:r>
      <w:r>
        <w:rPr>
          <w:rFonts w:hint="eastAsia" w:ascii="宋体" w:hAnsi="宋体"/>
          <w:color w:val="auto"/>
          <w:spacing w:val="2"/>
          <w:szCs w:val="21"/>
          <w:highlight w:val="none"/>
        </w:rPr>
        <w:t>。</w:t>
      </w:r>
    </w:p>
    <w:p w14:paraId="06B0E4F3">
      <w:pPr>
        <w:rPr>
          <w:rFonts w:ascii="黑体" w:eastAsia="黑体"/>
          <w:b/>
          <w:color w:val="auto"/>
          <w:sz w:val="28"/>
          <w:szCs w:val="28"/>
          <w:highlight w:val="none"/>
        </w:rPr>
      </w:pPr>
      <w:r>
        <w:rPr>
          <w:rFonts w:ascii="黑体" w:eastAsia="黑体"/>
          <w:b/>
          <w:color w:val="auto"/>
          <w:sz w:val="28"/>
          <w:szCs w:val="28"/>
          <w:highlight w:val="none"/>
        </w:rPr>
        <w:t xml:space="preserve">二、 </w:t>
      </w:r>
      <w:r>
        <w:rPr>
          <w:rFonts w:hint="eastAsia" w:ascii="黑体" w:eastAsia="黑体"/>
          <w:b/>
          <w:color w:val="auto"/>
          <w:sz w:val="28"/>
          <w:szCs w:val="28"/>
          <w:highlight w:val="none"/>
        </w:rPr>
        <w:t>响应人</w:t>
      </w:r>
      <w:r>
        <w:rPr>
          <w:rFonts w:ascii="黑体" w:eastAsia="黑体"/>
          <w:b/>
          <w:color w:val="auto"/>
          <w:sz w:val="28"/>
          <w:szCs w:val="28"/>
          <w:highlight w:val="none"/>
        </w:rPr>
        <w:t>资格</w:t>
      </w:r>
      <w:r>
        <w:rPr>
          <w:rFonts w:hint="eastAsia" w:ascii="黑体" w:eastAsia="黑体"/>
          <w:b/>
          <w:color w:val="auto"/>
          <w:sz w:val="28"/>
          <w:szCs w:val="28"/>
          <w:highlight w:val="none"/>
        </w:rPr>
        <w:t>要求</w:t>
      </w:r>
    </w:p>
    <w:p w14:paraId="10E808F0">
      <w:pPr>
        <w:numPr>
          <w:ilvl w:val="1"/>
          <w:numId w:val="2"/>
        </w:numPr>
        <w:spacing w:line="400" w:lineRule="exact"/>
        <w:ind w:left="851" w:hanging="425"/>
        <w:rPr>
          <w:rFonts w:ascii="宋体"/>
          <w:color w:val="auto"/>
          <w:szCs w:val="21"/>
          <w:highlight w:val="none"/>
        </w:rPr>
      </w:pPr>
      <w:r>
        <w:rPr>
          <w:rFonts w:hint="eastAsia" w:ascii="宋体" w:hAnsi="宋体"/>
          <w:color w:val="auto"/>
          <w:szCs w:val="21"/>
          <w:highlight w:val="none"/>
        </w:rPr>
        <w:t>响应人须为在中华人民共和国境内登记注册的具有独立承担民事责任能力的法人或其他组织。【提供《营业执照》复印件（加盖公章）或《事业单位法人证书》复印件（加盖公章）或其他主体证书复印件（加盖公章）】</w:t>
      </w:r>
    </w:p>
    <w:p w14:paraId="12264289">
      <w:pPr>
        <w:numPr>
          <w:ilvl w:val="1"/>
          <w:numId w:val="2"/>
        </w:numPr>
        <w:spacing w:line="400" w:lineRule="exact"/>
        <w:ind w:left="851" w:hanging="425"/>
        <w:rPr>
          <w:rFonts w:ascii="宋体"/>
          <w:color w:val="auto"/>
          <w:szCs w:val="21"/>
          <w:highlight w:val="none"/>
        </w:rPr>
      </w:pPr>
      <w:r>
        <w:rPr>
          <w:rFonts w:hint="eastAsia" w:ascii="宋体" w:hAnsi="宋体"/>
          <w:color w:val="auto"/>
          <w:szCs w:val="21"/>
          <w:highlight w:val="none"/>
        </w:rPr>
        <w:t>业绩要求：</w:t>
      </w:r>
      <w:r>
        <w:rPr>
          <w:rFonts w:hint="eastAsia"/>
          <w:color w:val="auto"/>
          <w:szCs w:val="21"/>
          <w:highlight w:val="none"/>
        </w:rPr>
        <w:t>具备</w:t>
      </w:r>
      <w:r>
        <w:rPr>
          <w:rFonts w:hint="eastAsia"/>
          <w:color w:val="auto"/>
          <w:szCs w:val="21"/>
          <w:highlight w:val="none"/>
          <w:u w:val="single"/>
          <w:lang w:val="en-US" w:eastAsia="zh-CN"/>
        </w:rPr>
        <w:t>电梯维护保养服务类</w:t>
      </w:r>
      <w:r>
        <w:rPr>
          <w:rFonts w:hint="eastAsia"/>
          <w:color w:val="auto"/>
          <w:szCs w:val="21"/>
          <w:highlight w:val="none"/>
        </w:rPr>
        <w:t>项目经验，要求</w:t>
      </w:r>
      <w:r>
        <w:rPr>
          <w:rFonts w:hint="eastAsia"/>
          <w:color w:val="auto"/>
          <w:szCs w:val="21"/>
          <w:highlight w:val="none"/>
          <w:u w:val="single"/>
          <w:lang w:val="en-US" w:eastAsia="zh-CN"/>
        </w:rPr>
        <w:t>2024</w:t>
      </w:r>
      <w:r>
        <w:rPr>
          <w:rFonts w:hint="eastAsia"/>
          <w:color w:val="auto"/>
          <w:szCs w:val="21"/>
          <w:highlight w:val="none"/>
        </w:rPr>
        <w:t>年</w:t>
      </w:r>
      <w:r>
        <w:rPr>
          <w:rFonts w:hint="eastAsia"/>
          <w:color w:val="auto"/>
          <w:szCs w:val="21"/>
          <w:highlight w:val="none"/>
          <w:u w:val="single"/>
          <w:lang w:val="en-US" w:eastAsia="zh-CN"/>
        </w:rPr>
        <w:t>1</w:t>
      </w:r>
      <w:r>
        <w:rPr>
          <w:rFonts w:hint="eastAsia"/>
          <w:color w:val="auto"/>
          <w:szCs w:val="21"/>
          <w:highlight w:val="none"/>
        </w:rPr>
        <w:t>月</w:t>
      </w:r>
      <w:r>
        <w:rPr>
          <w:rFonts w:hint="eastAsia"/>
          <w:color w:val="auto"/>
          <w:szCs w:val="21"/>
          <w:highlight w:val="none"/>
          <w:u w:val="single"/>
          <w:lang w:val="en-US" w:eastAsia="zh-CN"/>
        </w:rPr>
        <w:t>1</w:t>
      </w:r>
      <w:r>
        <w:rPr>
          <w:rFonts w:hint="eastAsia"/>
          <w:color w:val="auto"/>
          <w:szCs w:val="21"/>
          <w:highlight w:val="none"/>
        </w:rPr>
        <w:t>日起至</w:t>
      </w:r>
      <w:r>
        <w:rPr>
          <w:rFonts w:hint="eastAsia"/>
          <w:color w:val="auto"/>
          <w:szCs w:val="21"/>
          <w:highlight w:val="none"/>
          <w:u w:val="none"/>
          <w:lang w:val="en-US" w:eastAsia="zh-CN"/>
        </w:rPr>
        <w:t>今</w:t>
      </w:r>
      <w:r>
        <w:rPr>
          <w:rFonts w:hint="eastAsia"/>
          <w:color w:val="auto"/>
          <w:szCs w:val="21"/>
          <w:highlight w:val="none"/>
        </w:rPr>
        <w:t>，具有至少</w:t>
      </w:r>
      <w:r>
        <w:rPr>
          <w:rFonts w:hint="eastAsia"/>
          <w:color w:val="auto"/>
          <w:szCs w:val="21"/>
          <w:highlight w:val="none"/>
          <w:lang w:val="en-US" w:eastAsia="zh-CN"/>
        </w:rPr>
        <w:t>3</w:t>
      </w:r>
      <w:r>
        <w:rPr>
          <w:rFonts w:hint="eastAsia"/>
          <w:color w:val="auto"/>
          <w:szCs w:val="21"/>
          <w:highlight w:val="none"/>
        </w:rPr>
        <w:t>个</w:t>
      </w:r>
      <w:r>
        <w:rPr>
          <w:rFonts w:hint="eastAsia"/>
          <w:color w:val="auto"/>
          <w:szCs w:val="21"/>
          <w:highlight w:val="none"/>
          <w:lang w:val="en-US" w:eastAsia="zh-CN"/>
        </w:rPr>
        <w:t>（即：</w:t>
      </w:r>
      <w:r>
        <w:rPr>
          <w:rFonts w:hint="eastAsia"/>
          <w:color w:val="auto"/>
          <w:szCs w:val="21"/>
          <w:highlight w:val="none"/>
          <w:u w:val="none"/>
        </w:rPr>
        <w:t>同一个合同内电梯数量为</w:t>
      </w:r>
      <w:r>
        <w:rPr>
          <w:rFonts w:hint="eastAsia"/>
          <w:color w:val="auto"/>
          <w:szCs w:val="21"/>
          <w:highlight w:val="none"/>
          <w:u w:val="none"/>
          <w:lang w:val="en-US" w:eastAsia="zh-CN"/>
        </w:rPr>
        <w:t>35</w:t>
      </w:r>
      <w:r>
        <w:rPr>
          <w:rFonts w:hint="eastAsia"/>
          <w:color w:val="auto"/>
          <w:szCs w:val="21"/>
          <w:highlight w:val="none"/>
          <w:u w:val="none"/>
        </w:rPr>
        <w:t>台或以上</w:t>
      </w:r>
      <w:r>
        <w:rPr>
          <w:rFonts w:hint="eastAsia"/>
          <w:color w:val="auto"/>
          <w:szCs w:val="21"/>
          <w:highlight w:val="none"/>
          <w:lang w:val="en-US" w:eastAsia="zh-CN"/>
        </w:rPr>
        <w:t>）的</w:t>
      </w:r>
      <w:r>
        <w:rPr>
          <w:rFonts w:hint="eastAsia"/>
          <w:color w:val="auto"/>
          <w:szCs w:val="21"/>
          <w:highlight w:val="none"/>
          <w:u w:val="none"/>
          <w:lang w:val="en-US" w:eastAsia="zh-CN"/>
        </w:rPr>
        <w:t>电梯保养服务类</w:t>
      </w:r>
      <w:r>
        <w:rPr>
          <w:rFonts w:hint="eastAsia"/>
          <w:color w:val="auto"/>
          <w:szCs w:val="21"/>
          <w:highlight w:val="none"/>
          <w:u w:val="none"/>
        </w:rPr>
        <w:t>项</w:t>
      </w:r>
      <w:r>
        <w:rPr>
          <w:rFonts w:hint="eastAsia"/>
          <w:color w:val="auto"/>
          <w:szCs w:val="21"/>
          <w:highlight w:val="none"/>
        </w:rPr>
        <w:t>目</w:t>
      </w:r>
      <w:r>
        <w:rPr>
          <w:rFonts w:hint="eastAsia"/>
          <w:color w:val="auto"/>
          <w:szCs w:val="21"/>
          <w:highlight w:val="none"/>
          <w:lang w:val="en-US" w:eastAsia="zh-CN"/>
        </w:rPr>
        <w:t>业绩</w:t>
      </w:r>
      <w:r>
        <w:rPr>
          <w:rFonts w:hint="eastAsia"/>
          <w:color w:val="auto"/>
          <w:szCs w:val="21"/>
          <w:highlight w:val="none"/>
        </w:rPr>
        <w:t>。</w:t>
      </w:r>
      <w:r>
        <w:rPr>
          <w:rFonts w:hint="eastAsia" w:ascii="宋体" w:hAnsi="宋体"/>
          <w:color w:val="auto"/>
          <w:szCs w:val="21"/>
          <w:highlight w:val="none"/>
        </w:rPr>
        <w:t>【按合同签订时间为准，须提供合同关键页复印件（包含但不限于合同首页、合同</w:t>
      </w:r>
      <w:r>
        <w:rPr>
          <w:rFonts w:hint="eastAsia" w:ascii="宋体" w:hAnsi="宋体"/>
          <w:color w:val="auto"/>
          <w:szCs w:val="21"/>
          <w:highlight w:val="none"/>
          <w:lang w:val="en-US" w:eastAsia="zh-CN"/>
        </w:rPr>
        <w:t>可体现电梯数量</w:t>
      </w:r>
      <w:r>
        <w:rPr>
          <w:rFonts w:hint="eastAsia" w:ascii="宋体" w:hAnsi="宋体"/>
          <w:color w:val="auto"/>
          <w:szCs w:val="21"/>
          <w:highlight w:val="none"/>
        </w:rPr>
        <w:t>页、合同签字页等）、该合同期内任意一期发票复印件，并加盖公</w:t>
      </w:r>
      <w:r>
        <w:rPr>
          <w:rFonts w:hint="eastAsia" w:ascii="宋体" w:hAnsi="宋体"/>
          <w:b w:val="0"/>
          <w:bCs w:val="0"/>
          <w:color w:val="auto"/>
          <w:szCs w:val="21"/>
          <w:highlight w:val="none"/>
          <w:lang w:val="en-US" w:eastAsia="zh-CN"/>
        </w:rPr>
        <w:t>章</w:t>
      </w:r>
      <w:r>
        <w:rPr>
          <w:rFonts w:hint="eastAsia" w:ascii="宋体" w:hAnsi="宋体"/>
          <w:color w:val="auto"/>
          <w:szCs w:val="21"/>
          <w:highlight w:val="none"/>
        </w:rPr>
        <w:t>】</w:t>
      </w:r>
    </w:p>
    <w:p w14:paraId="3BC7B4FB">
      <w:pPr>
        <w:numPr>
          <w:ilvl w:val="1"/>
          <w:numId w:val="2"/>
        </w:numPr>
        <w:spacing w:line="400" w:lineRule="exact"/>
        <w:ind w:left="851" w:hanging="425"/>
        <w:rPr>
          <w:rFonts w:ascii="宋体" w:hAnsi="宋体"/>
          <w:color w:val="auto"/>
          <w:szCs w:val="21"/>
          <w:highlight w:val="none"/>
        </w:rPr>
      </w:pPr>
      <w:r>
        <w:rPr>
          <w:rFonts w:hint="eastAsia" w:ascii="宋体" w:hAnsi="宋体"/>
          <w:color w:val="auto"/>
          <w:szCs w:val="21"/>
          <w:highlight w:val="none"/>
        </w:rPr>
        <w:t>人员要求：响应人拟派项目专业技术人员中</w:t>
      </w:r>
      <w:r>
        <w:rPr>
          <w:rFonts w:hint="eastAsia" w:ascii="宋体" w:hAnsi="宋体"/>
          <w:color w:val="auto"/>
          <w:szCs w:val="21"/>
          <w:highlight w:val="none"/>
          <w:lang w:val="en-US" w:eastAsia="zh-CN"/>
        </w:rPr>
        <w:t>提供2名</w:t>
      </w:r>
      <w:r>
        <w:rPr>
          <w:rFonts w:hint="eastAsia" w:ascii="宋体" w:hAnsi="宋体"/>
          <w:color w:val="auto"/>
          <w:szCs w:val="21"/>
          <w:highlight w:val="none"/>
        </w:rPr>
        <w:t>具有</w:t>
      </w:r>
      <w:r>
        <w:rPr>
          <w:rFonts w:hint="eastAsia" w:ascii="宋体" w:hAnsi="宋体"/>
          <w:color w:val="auto"/>
          <w:szCs w:val="21"/>
          <w:highlight w:val="none"/>
          <w:lang w:val="en-US" w:eastAsia="zh-CN"/>
        </w:rPr>
        <w:t>种类为</w:t>
      </w:r>
      <w:r>
        <w:rPr>
          <w:rFonts w:hint="eastAsia" w:ascii="宋体" w:hAnsi="宋体"/>
          <w:color w:val="auto"/>
          <w:szCs w:val="21"/>
          <w:highlight w:val="none"/>
        </w:rPr>
        <w:t>电梯作业，项目代号</w:t>
      </w:r>
      <w:r>
        <w:rPr>
          <w:rFonts w:hint="eastAsia" w:ascii="宋体" w:hAnsi="宋体"/>
          <w:color w:val="auto"/>
          <w:szCs w:val="21"/>
          <w:highlight w:val="none"/>
          <w:lang w:val="en-US" w:eastAsia="zh-CN"/>
        </w:rPr>
        <w:t>为</w:t>
      </w:r>
      <w:r>
        <w:rPr>
          <w:rFonts w:hint="eastAsia" w:ascii="宋体" w:hAnsi="宋体"/>
          <w:color w:val="auto"/>
          <w:szCs w:val="21"/>
          <w:highlight w:val="none"/>
        </w:rPr>
        <w:t>T</w:t>
      </w:r>
      <w:r>
        <w:rPr>
          <w:rFonts w:hint="eastAsia" w:ascii="宋体" w:hAnsi="宋体"/>
          <w:color w:val="auto"/>
          <w:szCs w:val="21"/>
          <w:highlight w:val="none"/>
          <w:lang w:val="en-US" w:eastAsia="zh-CN"/>
        </w:rPr>
        <w:t>的</w:t>
      </w:r>
      <w:r>
        <w:rPr>
          <w:rFonts w:hint="eastAsia" w:ascii="宋体" w:hAnsi="宋体"/>
          <w:color w:val="auto"/>
          <w:szCs w:val="21"/>
          <w:highlight w:val="none"/>
        </w:rPr>
        <w:t>《特种设备作业人员证》或《特种设备安全管理和作业人员证》证书） 。【提供以上相关技术人员的证书</w:t>
      </w:r>
      <w:r>
        <w:rPr>
          <w:rFonts w:hint="eastAsia" w:ascii="宋体" w:hAnsi="宋体"/>
          <w:color w:val="auto"/>
          <w:szCs w:val="21"/>
          <w:highlight w:val="none"/>
          <w:lang w:eastAsia="zh-CN"/>
        </w:rPr>
        <w:t>、</w:t>
      </w:r>
      <w:r>
        <w:rPr>
          <w:rFonts w:hint="eastAsia" w:ascii="宋体" w:hAnsi="宋体"/>
          <w:color w:val="auto"/>
          <w:szCs w:val="21"/>
          <w:highlight w:val="none"/>
        </w:rPr>
        <w:t>社会保障部门出具的近半年（不含开标当月）内供应商为其购买的连续不少于3个月购买社保证明</w:t>
      </w:r>
      <w:r>
        <w:rPr>
          <w:rFonts w:hint="eastAsia" w:ascii="宋体" w:hAnsi="宋体"/>
          <w:color w:val="auto"/>
          <w:szCs w:val="21"/>
          <w:highlight w:val="none"/>
          <w:lang w:val="en-US" w:eastAsia="zh-CN"/>
        </w:rPr>
        <w:t>并</w:t>
      </w:r>
      <w:r>
        <w:rPr>
          <w:rFonts w:hint="eastAsia" w:ascii="宋体" w:hAnsi="宋体"/>
          <w:color w:val="auto"/>
          <w:szCs w:val="21"/>
          <w:highlight w:val="none"/>
        </w:rPr>
        <w:t>加盖供应商公章</w:t>
      </w:r>
      <w:r>
        <w:rPr>
          <w:rFonts w:hint="eastAsia" w:ascii="宋体" w:hAnsi="宋体"/>
          <w:color w:val="auto"/>
          <w:szCs w:val="21"/>
          <w:highlight w:val="none"/>
          <w:lang w:eastAsia="zh-CN"/>
        </w:rPr>
        <w:t>】</w:t>
      </w:r>
    </w:p>
    <w:p w14:paraId="13B1C1B6">
      <w:pPr>
        <w:numPr>
          <w:ilvl w:val="1"/>
          <w:numId w:val="2"/>
        </w:numPr>
        <w:spacing w:line="400" w:lineRule="exact"/>
        <w:ind w:left="851" w:hanging="425"/>
        <w:rPr>
          <w:rFonts w:ascii="宋体" w:hAnsi="宋体"/>
          <w:color w:val="auto"/>
          <w:szCs w:val="21"/>
          <w:highlight w:val="none"/>
        </w:rPr>
      </w:pPr>
      <w:r>
        <w:rPr>
          <w:rFonts w:hint="eastAsia" w:ascii="宋体" w:hAnsi="宋体"/>
          <w:color w:val="auto"/>
          <w:szCs w:val="21"/>
          <w:highlight w:val="none"/>
        </w:rPr>
        <w:t>响应人的单位负责人为同一人或者存在直接控股、管理关系的不同响应人，不得参加同一合同项下的采购活动。</w:t>
      </w:r>
    </w:p>
    <w:p w14:paraId="018E1085">
      <w:pPr>
        <w:numPr>
          <w:ilvl w:val="1"/>
          <w:numId w:val="2"/>
        </w:numPr>
        <w:spacing w:line="400" w:lineRule="exact"/>
        <w:ind w:left="851" w:hanging="425"/>
        <w:rPr>
          <w:rFonts w:ascii="宋体" w:hAnsi="宋体"/>
          <w:color w:val="auto"/>
          <w:szCs w:val="21"/>
          <w:highlight w:val="none"/>
        </w:rPr>
      </w:pPr>
      <w:r>
        <w:rPr>
          <w:rFonts w:hint="eastAsia" w:ascii="宋体" w:hAnsi="宋体"/>
          <w:color w:val="auto"/>
          <w:szCs w:val="21"/>
          <w:highlight w:val="none"/>
        </w:rPr>
        <w:t>响应人参加采购活动前三年内，在经营活动中没有重大违法记录。【提供书面声明】</w:t>
      </w:r>
    </w:p>
    <w:p w14:paraId="1552DA72">
      <w:pPr>
        <w:numPr>
          <w:ilvl w:val="1"/>
          <w:numId w:val="2"/>
        </w:numPr>
        <w:spacing w:line="400" w:lineRule="exact"/>
        <w:ind w:left="851" w:hanging="425"/>
        <w:rPr>
          <w:rFonts w:ascii="宋体" w:hAnsi="宋体"/>
          <w:color w:val="auto"/>
          <w:szCs w:val="21"/>
          <w:highlight w:val="none"/>
        </w:rPr>
      </w:pPr>
      <w:r>
        <w:rPr>
          <w:rFonts w:hint="eastAsia" w:ascii="宋体" w:hAnsi="宋体"/>
          <w:color w:val="auto"/>
          <w:szCs w:val="21"/>
          <w:highlight w:val="none"/>
        </w:rPr>
        <w:t>响应人未被列入“信用中国”网站</w:t>
      </w:r>
      <w:r>
        <w:rPr>
          <w:rFonts w:hint="eastAsia" w:ascii="宋体" w:hAnsi="宋体"/>
          <w:color w:val="auto"/>
          <w:szCs w:val="21"/>
          <w:highlight w:val="none"/>
          <w:lang w:eastAsia="zh-CN"/>
        </w:rPr>
        <w:t>（</w:t>
      </w:r>
      <w:r>
        <w:rPr>
          <w:rFonts w:hint="eastAsia" w:ascii="宋体" w:hAnsi="宋体"/>
          <w:color w:val="auto"/>
          <w:szCs w:val="21"/>
          <w:highlight w:val="none"/>
        </w:rPr>
        <w:t>www.creditchina.gov.cn</w:t>
      </w:r>
      <w:r>
        <w:rPr>
          <w:rFonts w:hint="eastAsia" w:ascii="宋体" w:hAnsi="宋体"/>
          <w:color w:val="auto"/>
          <w:szCs w:val="21"/>
          <w:highlight w:val="none"/>
          <w:lang w:eastAsia="zh-CN"/>
        </w:rPr>
        <w:t>）</w:t>
      </w:r>
      <w:r>
        <w:rPr>
          <w:rFonts w:hint="eastAsia" w:ascii="宋体" w:hAnsi="宋体"/>
          <w:color w:val="auto"/>
          <w:szCs w:val="21"/>
          <w:highlight w:val="none"/>
        </w:rPr>
        <w:t>“记录失信被执行人或</w:t>
      </w:r>
      <w:r>
        <w:rPr>
          <w:rFonts w:hint="eastAsia"/>
          <w:color w:val="auto"/>
          <w:highlight w:val="none"/>
        </w:rPr>
        <w:t>重大税收违法失信主体</w:t>
      </w:r>
      <w:r>
        <w:rPr>
          <w:rFonts w:hint="eastAsia" w:ascii="宋体" w:hAnsi="宋体"/>
          <w:color w:val="auto"/>
          <w:szCs w:val="21"/>
          <w:highlight w:val="none"/>
        </w:rPr>
        <w:t>或政府采购严重违法失信行为”记录名单。【以响应截止日当天在“信用中国”网站（www.creditchina.gov.cn）查询结果为准，如相关失信记录已失效，响应人需提供相关证明资料】</w:t>
      </w:r>
    </w:p>
    <w:p w14:paraId="1B1D1F81">
      <w:pPr>
        <w:numPr>
          <w:ilvl w:val="1"/>
          <w:numId w:val="2"/>
        </w:numPr>
        <w:spacing w:line="400" w:lineRule="exact"/>
        <w:ind w:left="851" w:hanging="425"/>
        <w:rPr>
          <w:rFonts w:ascii="宋体" w:hAnsi="宋体"/>
          <w:color w:val="auto"/>
          <w:szCs w:val="21"/>
          <w:highlight w:val="none"/>
        </w:rPr>
      </w:pPr>
      <w:r>
        <w:rPr>
          <w:rFonts w:hint="eastAsia" w:ascii="宋体" w:hAnsi="宋体"/>
          <w:color w:val="auto"/>
          <w:szCs w:val="21"/>
          <w:highlight w:val="none"/>
        </w:rPr>
        <w:t>未被列入东实集团及下属企业</w:t>
      </w:r>
      <w:r>
        <w:rPr>
          <w:rFonts w:hint="eastAsia" w:ascii="宋体" w:hAnsi="宋体"/>
          <w:color w:val="auto"/>
          <w:szCs w:val="21"/>
          <w:highlight w:val="none"/>
          <w:lang w:val="en-US" w:eastAsia="zh-CN"/>
        </w:rPr>
        <w:t>相关</w:t>
      </w:r>
      <w:r>
        <w:rPr>
          <w:rFonts w:hint="eastAsia" w:ascii="宋体" w:hAnsi="宋体"/>
          <w:color w:val="auto"/>
          <w:szCs w:val="21"/>
          <w:highlight w:val="none"/>
        </w:rPr>
        <w:t>领域黑名单。【以东莞实业投资控股集团有限公司发文（东实通〔2021〕44号）、（东实通〔2021〕98号）、（东实通〔2022〕75号）、（东实通〔2023〕37号）、（东实通〔2024〕163号）、（东实通〔2024〕195号）、（东实通〔2025〕157号）</w:t>
      </w:r>
      <w:r>
        <w:rPr>
          <w:rFonts w:hint="eastAsia" w:ascii="宋体" w:hAnsi="宋体"/>
          <w:color w:val="auto"/>
          <w:szCs w:val="21"/>
          <w:highlight w:val="none"/>
          <w:lang w:eastAsia="zh-CN"/>
        </w:rPr>
        <w:t>及下属公司发文</w:t>
      </w:r>
      <w:r>
        <w:rPr>
          <w:rFonts w:hint="eastAsia" w:ascii="宋体" w:hAnsi="宋体"/>
          <w:color w:val="auto"/>
          <w:szCs w:val="21"/>
          <w:highlight w:val="none"/>
        </w:rPr>
        <w:t>为准，如有最新发文通知，按最新文件执行</w:t>
      </w:r>
      <w:r>
        <w:rPr>
          <w:rFonts w:hint="eastAsia" w:ascii="宋体" w:hAnsi="宋体"/>
          <w:color w:val="auto"/>
          <w:szCs w:val="21"/>
          <w:highlight w:val="none"/>
          <w:lang w:eastAsia="zh-CN"/>
        </w:rPr>
        <w:t>】</w:t>
      </w:r>
    </w:p>
    <w:p w14:paraId="0A0258C6">
      <w:pPr>
        <w:numPr>
          <w:ilvl w:val="1"/>
          <w:numId w:val="2"/>
        </w:numPr>
        <w:spacing w:line="400" w:lineRule="exact"/>
        <w:ind w:left="851" w:hanging="425"/>
        <w:rPr>
          <w:rFonts w:ascii="宋体" w:hAnsi="宋体"/>
          <w:color w:val="auto"/>
          <w:szCs w:val="21"/>
          <w:highlight w:val="none"/>
        </w:rPr>
      </w:pPr>
      <w:r>
        <w:rPr>
          <w:rFonts w:hint="eastAsia" w:ascii="宋体" w:hAnsi="宋体"/>
          <w:color w:val="auto"/>
          <w:szCs w:val="21"/>
          <w:highlight w:val="none"/>
        </w:rPr>
        <w:t>特定资格要求：供应商具有有效的《中华人民共和国特种设备生产许可证》许可项目含：电梯安装（含修理）</w:t>
      </w:r>
      <w:r>
        <w:rPr>
          <w:rFonts w:hint="eastAsia" w:ascii="宋体" w:hAnsi="宋体"/>
          <w:color w:val="auto"/>
          <w:szCs w:val="21"/>
          <w:highlight w:val="none"/>
          <w:lang w:eastAsia="zh-CN"/>
        </w:rPr>
        <w:t>；</w:t>
      </w:r>
      <w:r>
        <w:rPr>
          <w:rFonts w:hint="eastAsia" w:ascii="宋体" w:hAnsi="宋体"/>
          <w:color w:val="auto"/>
          <w:szCs w:val="21"/>
          <w:highlight w:val="none"/>
          <w:lang w:val="en-US" w:eastAsia="zh-CN"/>
        </w:rPr>
        <w:t>或</w:t>
      </w:r>
      <w:r>
        <w:rPr>
          <w:rFonts w:hint="eastAsia" w:ascii="宋体" w:hAnsi="宋体"/>
          <w:color w:val="auto"/>
          <w:szCs w:val="21"/>
          <w:highlight w:val="none"/>
        </w:rPr>
        <w:t>有效的《中华人民共和国特种设备生产许可证》许可项目含：电梯制造（含安装、修理、改造）资质证书。</w:t>
      </w:r>
    </w:p>
    <w:p w14:paraId="03A7389C">
      <w:pPr>
        <w:numPr>
          <w:ilvl w:val="1"/>
          <w:numId w:val="2"/>
        </w:numPr>
        <w:spacing w:line="400" w:lineRule="exact"/>
        <w:ind w:left="851" w:hanging="425"/>
        <w:rPr>
          <w:rFonts w:ascii="宋体" w:hAnsi="宋体"/>
          <w:color w:val="auto"/>
          <w:szCs w:val="21"/>
          <w:highlight w:val="none"/>
        </w:rPr>
      </w:pPr>
      <w:r>
        <w:rPr>
          <w:rFonts w:hint="eastAsia" w:ascii="宋体" w:hAnsi="宋体"/>
          <w:color w:val="auto"/>
          <w:szCs w:val="21"/>
          <w:highlight w:val="none"/>
        </w:rPr>
        <w:t>本项目</w:t>
      </w:r>
      <w:r>
        <w:rPr>
          <w:rFonts w:hint="eastAsia" w:ascii="宋体" w:hAnsi="宋体"/>
          <w:color w:val="auto"/>
          <w:szCs w:val="21"/>
          <w:highlight w:val="none"/>
          <w:u w:val="single"/>
        </w:rPr>
        <w:t>（不接受）</w:t>
      </w:r>
      <w:r>
        <w:rPr>
          <w:rFonts w:hint="eastAsia" w:ascii="宋体" w:hAnsi="宋体"/>
          <w:color w:val="auto"/>
          <w:szCs w:val="21"/>
          <w:highlight w:val="none"/>
        </w:rPr>
        <w:t>联合体响应。</w:t>
      </w:r>
    </w:p>
    <w:p w14:paraId="4383DF21">
      <w:pPr>
        <w:rPr>
          <w:rFonts w:ascii="黑体" w:eastAsia="黑体"/>
          <w:b/>
          <w:color w:val="auto"/>
          <w:sz w:val="28"/>
          <w:szCs w:val="28"/>
          <w:highlight w:val="none"/>
        </w:rPr>
      </w:pPr>
      <w:r>
        <w:rPr>
          <w:rFonts w:ascii="黑体" w:eastAsia="黑体"/>
          <w:b/>
          <w:color w:val="auto"/>
          <w:sz w:val="28"/>
          <w:szCs w:val="28"/>
          <w:highlight w:val="none"/>
        </w:rPr>
        <w:t>三、 竞争性谈判文件的获取</w:t>
      </w:r>
    </w:p>
    <w:p w14:paraId="41E642A1">
      <w:pPr>
        <w:pStyle w:val="106"/>
        <w:keepNext w:val="0"/>
        <w:keepLines w:val="0"/>
        <w:pageBreakBefore w:val="0"/>
        <w:widowControl w:val="0"/>
        <w:kinsoku/>
        <w:wordWrap/>
        <w:overflowPunct/>
        <w:topLinePunct w:val="0"/>
        <w:autoSpaceDE/>
        <w:autoSpaceDN/>
        <w:bidi w:val="0"/>
        <w:adjustRightInd/>
        <w:snapToGrid/>
        <w:spacing w:line="400" w:lineRule="exact"/>
        <w:ind w:left="850" w:leftChars="208" w:hanging="413" w:hangingChars="197"/>
        <w:textAlignment w:val="auto"/>
        <w:rPr>
          <w:rFonts w:ascii="宋体" w:hAnsi="宋体"/>
          <w:color w:val="auto"/>
          <w:szCs w:val="21"/>
          <w:highlight w:val="none"/>
        </w:rPr>
      </w:pPr>
      <w:r>
        <w:rPr>
          <w:rFonts w:hint="eastAsia" w:ascii="宋体" w:hAnsi="宋体"/>
          <w:color w:val="auto"/>
          <w:szCs w:val="21"/>
          <w:highlight w:val="none"/>
        </w:rPr>
        <w:t>3.1</w:t>
      </w:r>
      <w:r>
        <w:rPr>
          <w:rFonts w:ascii="宋体" w:hAnsi="宋体"/>
          <w:color w:val="auto"/>
          <w:szCs w:val="21"/>
          <w:highlight w:val="none"/>
        </w:rPr>
        <w:t>竞争性谈判文件获取时间：</w:t>
      </w:r>
      <w:r>
        <w:rPr>
          <w:color w:val="auto"/>
          <w:highlight w:val="none"/>
        </w:rPr>
        <w:t>20</w:t>
      </w:r>
      <w:r>
        <w:rPr>
          <w:rFonts w:hint="eastAsia"/>
          <w:color w:val="auto"/>
          <w:highlight w:val="none"/>
          <w:u w:val="single"/>
          <w:lang w:val="en-US" w:eastAsia="zh-CN"/>
        </w:rPr>
        <w:t>26</w:t>
      </w:r>
      <w:r>
        <w:rPr>
          <w:color w:val="auto"/>
          <w:highlight w:val="none"/>
        </w:rPr>
        <w:t>年</w:t>
      </w:r>
      <w:r>
        <w:rPr>
          <w:rFonts w:hint="eastAsia"/>
          <w:color w:val="auto"/>
          <w:highlight w:val="none"/>
          <w:u w:val="single"/>
          <w:lang w:val="en-US" w:eastAsia="zh-CN"/>
        </w:rPr>
        <w:t>3</w:t>
      </w:r>
      <w:r>
        <w:rPr>
          <w:color w:val="auto"/>
          <w:highlight w:val="none"/>
        </w:rPr>
        <w:t>月</w:t>
      </w:r>
      <w:r>
        <w:rPr>
          <w:rFonts w:hint="eastAsia"/>
          <w:color w:val="auto"/>
          <w:highlight w:val="none"/>
          <w:u w:val="single"/>
          <w:lang w:val="en-US" w:eastAsia="zh-CN"/>
        </w:rPr>
        <w:t>9</w:t>
      </w:r>
      <w:r>
        <w:rPr>
          <w:color w:val="auto"/>
          <w:highlight w:val="none"/>
        </w:rPr>
        <w:t>日至20</w:t>
      </w:r>
      <w:r>
        <w:rPr>
          <w:rFonts w:hint="eastAsia"/>
          <w:color w:val="auto"/>
          <w:highlight w:val="none"/>
          <w:u w:val="single"/>
          <w:lang w:val="en-US" w:eastAsia="zh-CN"/>
        </w:rPr>
        <w:t>26</w:t>
      </w:r>
      <w:r>
        <w:rPr>
          <w:color w:val="auto"/>
          <w:highlight w:val="none"/>
        </w:rPr>
        <w:t>年</w:t>
      </w:r>
      <w:r>
        <w:rPr>
          <w:rFonts w:hint="eastAsia"/>
          <w:color w:val="auto"/>
          <w:highlight w:val="none"/>
          <w:u w:val="single"/>
          <w:lang w:val="en-US" w:eastAsia="zh-CN"/>
        </w:rPr>
        <w:t>3</w:t>
      </w:r>
      <w:r>
        <w:rPr>
          <w:color w:val="auto"/>
          <w:highlight w:val="none"/>
        </w:rPr>
        <w:t>月</w:t>
      </w:r>
      <w:r>
        <w:rPr>
          <w:rFonts w:hint="eastAsia"/>
          <w:color w:val="auto"/>
          <w:highlight w:val="none"/>
          <w:u w:val="single"/>
          <w:lang w:val="en-US" w:eastAsia="zh-CN"/>
        </w:rPr>
        <w:t xml:space="preserve"> 12</w:t>
      </w:r>
      <w:r>
        <w:rPr>
          <w:color w:val="auto"/>
          <w:highlight w:val="none"/>
        </w:rPr>
        <w:t>日。</w:t>
      </w:r>
    </w:p>
    <w:p w14:paraId="31231B33">
      <w:pPr>
        <w:pStyle w:val="106"/>
        <w:keepNext w:val="0"/>
        <w:keepLines w:val="0"/>
        <w:pageBreakBefore w:val="0"/>
        <w:widowControl w:val="0"/>
        <w:kinsoku/>
        <w:wordWrap/>
        <w:overflowPunct/>
        <w:topLinePunct w:val="0"/>
        <w:autoSpaceDE/>
        <w:autoSpaceDN/>
        <w:bidi w:val="0"/>
        <w:adjustRightInd/>
        <w:snapToGrid/>
        <w:spacing w:line="400" w:lineRule="exact"/>
        <w:ind w:left="850" w:leftChars="208" w:hanging="413" w:hangingChars="197"/>
        <w:textAlignment w:val="auto"/>
        <w:rPr>
          <w:color w:val="auto"/>
          <w:highlight w:val="none"/>
        </w:rPr>
      </w:pPr>
      <w:r>
        <w:rPr>
          <w:rFonts w:hint="eastAsia" w:ascii="宋体" w:hAnsi="宋体"/>
          <w:color w:val="auto"/>
          <w:szCs w:val="21"/>
          <w:highlight w:val="none"/>
        </w:rPr>
        <w:t>3.</w:t>
      </w:r>
      <w:r>
        <w:rPr>
          <w:rFonts w:hint="eastAsia" w:ascii="宋体" w:hAnsi="宋体"/>
          <w:color w:val="auto"/>
          <w:szCs w:val="21"/>
          <w:highlight w:val="none"/>
          <w:lang w:val="en-US" w:eastAsia="zh-CN"/>
        </w:rPr>
        <w:t>2</w:t>
      </w:r>
      <w:r>
        <w:rPr>
          <w:rFonts w:ascii="宋体" w:hAnsi="宋体"/>
          <w:color w:val="auto"/>
          <w:szCs w:val="21"/>
          <w:highlight w:val="none"/>
        </w:rPr>
        <w:t>竞争性谈判文件</w:t>
      </w:r>
      <w:r>
        <w:rPr>
          <w:color w:val="auto"/>
          <w:highlight w:val="none"/>
        </w:rPr>
        <w:t>获取方式：</w:t>
      </w:r>
      <w:r>
        <w:rPr>
          <w:rFonts w:hint="eastAsia"/>
          <w:color w:val="auto"/>
          <w:highlight w:val="none"/>
          <w:u w:val="single"/>
        </w:rPr>
        <w:t>东莞实业投资控股集团有限公司网站（http://www.dgsy.com.cn/）—招标采购栏目</w:t>
      </w:r>
      <w:r>
        <w:rPr>
          <w:rFonts w:hint="eastAsia"/>
          <w:color w:val="auto"/>
          <w:highlight w:val="none"/>
        </w:rPr>
        <w:t>不记名免费下载</w:t>
      </w:r>
      <w:r>
        <w:rPr>
          <w:color w:val="auto"/>
          <w:highlight w:val="none"/>
        </w:rPr>
        <w:t>。</w:t>
      </w:r>
    </w:p>
    <w:p w14:paraId="2D9BEAAA">
      <w:pPr>
        <w:rPr>
          <w:rFonts w:ascii="黑体" w:eastAsia="黑体"/>
          <w:b/>
          <w:color w:val="auto"/>
          <w:sz w:val="28"/>
          <w:szCs w:val="28"/>
          <w:highlight w:val="none"/>
        </w:rPr>
      </w:pPr>
      <w:r>
        <w:rPr>
          <w:rFonts w:ascii="黑体" w:eastAsia="黑体"/>
          <w:b/>
          <w:color w:val="auto"/>
          <w:sz w:val="28"/>
          <w:szCs w:val="28"/>
          <w:highlight w:val="none"/>
        </w:rPr>
        <w:t xml:space="preserve">四、 响应文件的递交 </w:t>
      </w:r>
    </w:p>
    <w:p w14:paraId="376511F9">
      <w:pPr>
        <w:pStyle w:val="106"/>
        <w:keepNext w:val="0"/>
        <w:keepLines w:val="0"/>
        <w:pageBreakBefore w:val="0"/>
        <w:widowControl w:val="0"/>
        <w:kinsoku/>
        <w:wordWrap/>
        <w:overflowPunct/>
        <w:topLinePunct w:val="0"/>
        <w:autoSpaceDE/>
        <w:autoSpaceDN/>
        <w:bidi w:val="0"/>
        <w:adjustRightInd/>
        <w:snapToGrid/>
        <w:spacing w:line="400" w:lineRule="exact"/>
        <w:ind w:left="850" w:leftChars="208" w:hanging="413" w:hangingChars="197"/>
        <w:textAlignment w:val="auto"/>
        <w:rPr>
          <w:color w:val="auto"/>
          <w:highlight w:val="none"/>
        </w:rPr>
      </w:pPr>
      <w:r>
        <w:rPr>
          <w:rFonts w:hint="eastAsia" w:ascii="宋体" w:hAnsi="宋体"/>
          <w:color w:val="auto"/>
          <w:szCs w:val="21"/>
          <w:highlight w:val="none"/>
        </w:rPr>
        <w:t>4.1</w:t>
      </w:r>
      <w:r>
        <w:rPr>
          <w:color w:val="auto"/>
          <w:highlight w:val="none"/>
        </w:rPr>
        <w:t>响应文件递交的截止时间为20</w:t>
      </w:r>
      <w:r>
        <w:rPr>
          <w:rFonts w:hint="eastAsia"/>
          <w:color w:val="auto"/>
          <w:highlight w:val="none"/>
          <w:u w:val="single"/>
          <w:lang w:val="en-US" w:eastAsia="zh-CN"/>
        </w:rPr>
        <w:t>26</w:t>
      </w:r>
      <w:r>
        <w:rPr>
          <w:color w:val="auto"/>
          <w:highlight w:val="none"/>
        </w:rPr>
        <w:t>年</w:t>
      </w:r>
      <w:r>
        <w:rPr>
          <w:rFonts w:hint="eastAsia"/>
          <w:color w:val="auto"/>
          <w:highlight w:val="none"/>
          <w:u w:val="single"/>
          <w:lang w:val="en-US" w:eastAsia="zh-CN"/>
        </w:rPr>
        <w:t xml:space="preserve"> 3 </w:t>
      </w:r>
      <w:r>
        <w:rPr>
          <w:color w:val="auto"/>
          <w:highlight w:val="none"/>
        </w:rPr>
        <w:t>月</w:t>
      </w:r>
      <w:r>
        <w:rPr>
          <w:rFonts w:hint="eastAsia"/>
          <w:color w:val="auto"/>
          <w:highlight w:val="none"/>
          <w:u w:val="single"/>
          <w:lang w:val="en-US" w:eastAsia="zh-CN"/>
        </w:rPr>
        <w:t xml:space="preserve"> 13</w:t>
      </w:r>
      <w:r>
        <w:rPr>
          <w:color w:val="auto"/>
          <w:highlight w:val="none"/>
        </w:rPr>
        <w:t>日</w:t>
      </w:r>
      <w:r>
        <w:rPr>
          <w:rFonts w:hint="eastAsia"/>
          <w:color w:val="auto"/>
          <w:highlight w:val="none"/>
          <w:u w:val="single"/>
          <w:lang w:val="en-US" w:eastAsia="zh-CN"/>
        </w:rPr>
        <w:t>09</w:t>
      </w:r>
      <w:r>
        <w:rPr>
          <w:color w:val="auto"/>
          <w:highlight w:val="none"/>
        </w:rPr>
        <w:t>时</w:t>
      </w:r>
      <w:r>
        <w:rPr>
          <w:rFonts w:hint="eastAsia"/>
          <w:color w:val="auto"/>
          <w:highlight w:val="none"/>
          <w:u w:val="single"/>
          <w:lang w:val="en-US" w:eastAsia="zh-CN"/>
        </w:rPr>
        <w:t>30</w:t>
      </w:r>
      <w:r>
        <w:rPr>
          <w:color w:val="auto"/>
          <w:highlight w:val="none"/>
        </w:rPr>
        <w:t>分，递交地点为</w:t>
      </w:r>
      <w:r>
        <w:rPr>
          <w:rFonts w:hint="eastAsia"/>
          <w:color w:val="auto"/>
          <w:highlight w:val="none"/>
          <w:u w:val="single"/>
        </w:rPr>
        <w:t>广东省东莞市南城街道</w:t>
      </w:r>
      <w:r>
        <w:rPr>
          <w:rFonts w:hint="eastAsia"/>
          <w:color w:val="auto"/>
          <w:highlight w:val="none"/>
          <w:u w:val="single"/>
          <w:lang w:eastAsia="zh-CN"/>
        </w:rPr>
        <w:t>西平</w:t>
      </w:r>
      <w:r>
        <w:rPr>
          <w:rFonts w:hint="eastAsia"/>
          <w:color w:val="auto"/>
          <w:highlight w:val="none"/>
          <w:u w:val="single"/>
        </w:rPr>
        <w:t>宏伟五路1号</w:t>
      </w:r>
      <w:r>
        <w:rPr>
          <w:rFonts w:hint="eastAsia"/>
          <w:color w:val="auto"/>
          <w:highlight w:val="none"/>
          <w:u w:val="single"/>
          <w:lang w:eastAsia="zh-CN"/>
        </w:rPr>
        <w:t>东鸿公司会议室</w:t>
      </w:r>
      <w:r>
        <w:rPr>
          <w:color w:val="auto"/>
          <w:highlight w:val="none"/>
        </w:rPr>
        <w:t>。</w:t>
      </w:r>
    </w:p>
    <w:p w14:paraId="0BA76DED">
      <w:pPr>
        <w:pStyle w:val="106"/>
        <w:keepNext w:val="0"/>
        <w:keepLines w:val="0"/>
        <w:pageBreakBefore w:val="0"/>
        <w:widowControl w:val="0"/>
        <w:kinsoku/>
        <w:wordWrap/>
        <w:overflowPunct/>
        <w:topLinePunct w:val="0"/>
        <w:autoSpaceDE/>
        <w:autoSpaceDN/>
        <w:bidi w:val="0"/>
        <w:adjustRightInd/>
        <w:snapToGrid/>
        <w:spacing w:line="400" w:lineRule="exact"/>
        <w:ind w:left="850" w:leftChars="208" w:hanging="413" w:hangingChars="197"/>
        <w:textAlignment w:val="auto"/>
        <w:rPr>
          <w:rFonts w:ascii="宋体" w:hAnsi="宋体"/>
          <w:color w:val="auto"/>
          <w:szCs w:val="21"/>
          <w:highlight w:val="none"/>
        </w:rPr>
      </w:pPr>
      <w:r>
        <w:rPr>
          <w:rFonts w:hint="eastAsia" w:ascii="宋体" w:hAnsi="宋体"/>
          <w:color w:val="auto"/>
          <w:szCs w:val="21"/>
          <w:highlight w:val="none"/>
        </w:rPr>
        <w:t>4.</w:t>
      </w:r>
      <w:r>
        <w:rPr>
          <w:rFonts w:ascii="宋体" w:hAnsi="宋体"/>
          <w:color w:val="auto"/>
          <w:szCs w:val="21"/>
          <w:highlight w:val="none"/>
        </w:rPr>
        <w:t>2</w:t>
      </w:r>
      <w:r>
        <w:rPr>
          <w:rFonts w:hint="eastAsia" w:ascii="宋体" w:hAnsi="宋体"/>
          <w:color w:val="auto"/>
          <w:szCs w:val="21"/>
          <w:highlight w:val="none"/>
        </w:rPr>
        <w:t>出现以下情形时，采购人不予接收响应文件：</w:t>
      </w:r>
    </w:p>
    <w:p w14:paraId="60A16F93">
      <w:pPr>
        <w:pStyle w:val="106"/>
        <w:keepNext w:val="0"/>
        <w:keepLines w:val="0"/>
        <w:pageBreakBefore w:val="0"/>
        <w:widowControl w:val="0"/>
        <w:kinsoku/>
        <w:wordWrap/>
        <w:overflowPunct/>
        <w:topLinePunct w:val="0"/>
        <w:autoSpaceDE/>
        <w:autoSpaceDN/>
        <w:bidi w:val="0"/>
        <w:adjustRightInd/>
        <w:snapToGrid/>
        <w:spacing w:line="400" w:lineRule="exact"/>
        <w:ind w:left="850" w:leftChars="208" w:hanging="413" w:hangingChars="197"/>
        <w:textAlignment w:val="auto"/>
        <w:rPr>
          <w:rFonts w:ascii="宋体" w:hAnsi="宋体"/>
          <w:color w:val="auto"/>
          <w:highlight w:val="none"/>
        </w:rPr>
      </w:pPr>
      <w:r>
        <w:rPr>
          <w:rFonts w:hint="eastAsia" w:ascii="宋体" w:hAnsi="宋体"/>
          <w:color w:val="auto"/>
          <w:highlight w:val="none"/>
        </w:rPr>
        <w:t>4.</w:t>
      </w:r>
      <w:r>
        <w:rPr>
          <w:rFonts w:ascii="宋体" w:hAnsi="宋体"/>
          <w:color w:val="auto"/>
          <w:highlight w:val="none"/>
        </w:rPr>
        <w:t>2</w:t>
      </w:r>
      <w:r>
        <w:rPr>
          <w:rFonts w:hint="eastAsia" w:ascii="宋体" w:hAnsi="宋体"/>
          <w:color w:val="auto"/>
          <w:highlight w:val="none"/>
        </w:rPr>
        <w:t>.1逾期送达或者未送达指定地点的；</w:t>
      </w:r>
    </w:p>
    <w:p w14:paraId="68895027">
      <w:pPr>
        <w:pStyle w:val="106"/>
        <w:keepNext w:val="0"/>
        <w:keepLines w:val="0"/>
        <w:pageBreakBefore w:val="0"/>
        <w:widowControl w:val="0"/>
        <w:kinsoku/>
        <w:wordWrap/>
        <w:overflowPunct/>
        <w:topLinePunct w:val="0"/>
        <w:autoSpaceDE/>
        <w:autoSpaceDN/>
        <w:bidi w:val="0"/>
        <w:adjustRightInd/>
        <w:snapToGrid/>
        <w:spacing w:line="400" w:lineRule="exact"/>
        <w:ind w:left="850" w:leftChars="208" w:hanging="413" w:hangingChars="197"/>
        <w:textAlignment w:val="auto"/>
        <w:rPr>
          <w:rFonts w:ascii="宋体" w:hAnsi="宋体"/>
          <w:color w:val="auto"/>
          <w:highlight w:val="none"/>
        </w:rPr>
      </w:pPr>
      <w:r>
        <w:rPr>
          <w:rFonts w:hint="eastAsia" w:ascii="宋体" w:hAnsi="宋体"/>
          <w:color w:val="auto"/>
          <w:highlight w:val="none"/>
        </w:rPr>
        <w:t>4.</w:t>
      </w:r>
      <w:r>
        <w:rPr>
          <w:rFonts w:ascii="宋体" w:hAnsi="宋体"/>
          <w:color w:val="auto"/>
          <w:highlight w:val="none"/>
        </w:rPr>
        <w:t>2</w:t>
      </w:r>
      <w:r>
        <w:rPr>
          <w:rFonts w:hint="eastAsia" w:ascii="宋体" w:hAnsi="宋体"/>
          <w:color w:val="auto"/>
          <w:highlight w:val="none"/>
        </w:rPr>
        <w:t>.2未按竞争性谈判文件要求密封的。</w:t>
      </w:r>
    </w:p>
    <w:p w14:paraId="0DD004E3">
      <w:pPr>
        <w:rPr>
          <w:rFonts w:ascii="黑体" w:eastAsia="黑体"/>
          <w:b/>
          <w:color w:val="auto"/>
          <w:sz w:val="28"/>
          <w:szCs w:val="28"/>
          <w:highlight w:val="none"/>
        </w:rPr>
      </w:pPr>
      <w:r>
        <w:rPr>
          <w:rFonts w:ascii="黑体" w:eastAsia="黑体"/>
          <w:b/>
          <w:color w:val="auto"/>
          <w:sz w:val="28"/>
          <w:szCs w:val="28"/>
          <w:highlight w:val="none"/>
        </w:rPr>
        <w:t xml:space="preserve">五、 发布公告的媒介 </w:t>
      </w:r>
    </w:p>
    <w:p w14:paraId="23F970B3">
      <w:pPr>
        <w:keepNext w:val="0"/>
        <w:keepLines w:val="0"/>
        <w:pageBreakBefore w:val="0"/>
        <w:widowControl w:val="0"/>
        <w:kinsoku/>
        <w:wordWrap/>
        <w:overflowPunct/>
        <w:topLinePunct w:val="0"/>
        <w:autoSpaceDE/>
        <w:autoSpaceDN/>
        <w:bidi w:val="0"/>
        <w:adjustRightInd/>
        <w:snapToGrid/>
        <w:spacing w:line="400" w:lineRule="exact"/>
        <w:ind w:left="-11" w:firstLine="641"/>
        <w:textAlignment w:val="auto"/>
        <w:rPr>
          <w:rFonts w:hint="eastAsia"/>
          <w:color w:val="auto"/>
          <w:highlight w:val="none"/>
        </w:rPr>
      </w:pPr>
      <w:r>
        <w:rPr>
          <w:rFonts w:hint="eastAsia" w:ascii="宋体" w:hAnsi="宋体" w:eastAsia="宋体" w:cs="Times New Roman"/>
          <w:color w:val="auto"/>
          <w:kern w:val="2"/>
          <w:sz w:val="21"/>
          <w:szCs w:val="21"/>
          <w:highlight w:val="none"/>
          <w:lang w:val="en-US" w:eastAsia="zh-CN" w:bidi="ar-SA"/>
        </w:rPr>
        <w:t>1.1</w:t>
      </w:r>
      <w:r>
        <w:rPr>
          <w:rFonts w:hint="eastAsia"/>
          <w:color w:val="auto"/>
          <w:highlight w:val="none"/>
          <w:lang w:val="en-US" w:eastAsia="zh-CN"/>
        </w:rPr>
        <w:t>竞争性谈判公告发布媒介：</w:t>
      </w:r>
      <w:r>
        <w:rPr>
          <w:color w:val="auto"/>
          <w:highlight w:val="none"/>
        </w:rPr>
        <w:t>本次公告在</w:t>
      </w:r>
      <w:r>
        <w:rPr>
          <w:rFonts w:hint="eastAsia"/>
          <w:color w:val="auto"/>
          <w:highlight w:val="none"/>
        </w:rPr>
        <w:t>东莞实业投资控股集团有限公司网站</w:t>
      </w:r>
      <w:r>
        <w:rPr>
          <w:color w:val="auto"/>
          <w:highlight w:val="none"/>
        </w:rPr>
        <w:t>（</w:t>
      </w:r>
      <w:r>
        <w:rPr>
          <w:rFonts w:hint="eastAsia"/>
          <w:color w:val="auto"/>
          <w:highlight w:val="none"/>
        </w:rPr>
        <w:t>网址：http://www.dgsy.com.cn/</w:t>
      </w:r>
      <w:r>
        <w:rPr>
          <w:color w:val="auto"/>
          <w:highlight w:val="none"/>
        </w:rPr>
        <w:t>）</w:t>
      </w:r>
      <w:r>
        <w:rPr>
          <w:rFonts w:hint="eastAsia"/>
          <w:color w:val="auto"/>
          <w:highlight w:val="none"/>
          <w:u w:val="none"/>
          <w:lang w:eastAsia="zh-CN"/>
        </w:rPr>
        <w:t>网</w:t>
      </w:r>
      <w:r>
        <w:rPr>
          <w:color w:val="auto"/>
          <w:highlight w:val="none"/>
        </w:rPr>
        <w:t>上发布</w:t>
      </w:r>
      <w:r>
        <w:rPr>
          <w:rFonts w:hint="eastAsia"/>
          <w:color w:val="auto"/>
          <w:highlight w:val="none"/>
        </w:rPr>
        <w:t>。</w:t>
      </w:r>
    </w:p>
    <w:p w14:paraId="4D44A1A8">
      <w:pPr>
        <w:keepNext w:val="0"/>
        <w:keepLines w:val="0"/>
        <w:pageBreakBefore w:val="0"/>
        <w:widowControl w:val="0"/>
        <w:kinsoku/>
        <w:wordWrap/>
        <w:overflowPunct/>
        <w:topLinePunct w:val="0"/>
        <w:autoSpaceDE/>
        <w:autoSpaceDN/>
        <w:bidi w:val="0"/>
        <w:adjustRightInd/>
        <w:snapToGrid/>
        <w:spacing w:line="400" w:lineRule="exact"/>
        <w:ind w:left="-11" w:firstLine="641"/>
        <w:textAlignment w:val="auto"/>
        <w:rPr>
          <w:rFonts w:hint="eastAsia" w:eastAsia="宋体"/>
          <w:color w:val="auto"/>
          <w:highlight w:val="none"/>
          <w:lang w:val="en-US" w:eastAsia="zh-CN"/>
        </w:rPr>
      </w:pPr>
      <w:r>
        <w:rPr>
          <w:rFonts w:hint="eastAsia" w:ascii="宋体" w:hAnsi="宋体"/>
          <w:color w:val="auto"/>
          <w:szCs w:val="21"/>
          <w:highlight w:val="none"/>
          <w:lang w:val="en-US" w:eastAsia="zh-CN"/>
        </w:rPr>
        <w:t xml:space="preserve">1.2 </w:t>
      </w:r>
      <w:r>
        <w:rPr>
          <w:rFonts w:hint="eastAsia"/>
          <w:color w:val="auto"/>
          <w:highlight w:val="none"/>
        </w:rPr>
        <w:t>成交候选人公示发布</w:t>
      </w:r>
      <w:r>
        <w:rPr>
          <w:rFonts w:hint="eastAsia"/>
          <w:color w:val="auto"/>
          <w:highlight w:val="none"/>
          <w:lang w:val="en-US" w:eastAsia="zh-CN"/>
        </w:rPr>
        <w:t>媒介：</w:t>
      </w:r>
      <w:r>
        <w:rPr>
          <w:rFonts w:hint="eastAsia"/>
          <w:color w:val="auto"/>
          <w:highlight w:val="none"/>
          <w:u w:val="single"/>
          <w:lang w:val="en-US" w:eastAsia="zh-CN"/>
        </w:rPr>
        <w:t>东莞实业投资控股集团有限公司－招标采购栏目（http://www.dgsy.com.cn/）</w:t>
      </w:r>
      <w:r>
        <w:rPr>
          <w:rFonts w:hint="eastAsia"/>
          <w:color w:val="auto"/>
          <w:highlight w:val="none"/>
          <w:lang w:val="en-US" w:eastAsia="zh-CN"/>
        </w:rPr>
        <w:t>。</w:t>
      </w:r>
    </w:p>
    <w:p w14:paraId="262B7DFE">
      <w:pPr>
        <w:rPr>
          <w:rFonts w:ascii="黑体" w:eastAsia="黑体"/>
          <w:b/>
          <w:color w:val="auto"/>
          <w:sz w:val="28"/>
          <w:szCs w:val="28"/>
          <w:highlight w:val="none"/>
        </w:rPr>
      </w:pPr>
      <w:r>
        <w:rPr>
          <w:rFonts w:ascii="黑体" w:eastAsia="黑体"/>
          <w:b/>
          <w:color w:val="auto"/>
          <w:sz w:val="28"/>
          <w:szCs w:val="28"/>
          <w:highlight w:val="none"/>
        </w:rPr>
        <w:t xml:space="preserve">六、 </w:t>
      </w:r>
      <w:r>
        <w:rPr>
          <w:rFonts w:hint="eastAsia" w:ascii="黑体" w:eastAsia="黑体"/>
          <w:b/>
          <w:color w:val="auto"/>
          <w:sz w:val="28"/>
          <w:szCs w:val="28"/>
          <w:highlight w:val="none"/>
        </w:rPr>
        <w:t>竞争性谈判保证金</w:t>
      </w:r>
      <w:r>
        <w:rPr>
          <w:rFonts w:ascii="黑体" w:eastAsia="黑体"/>
          <w:b/>
          <w:color w:val="auto"/>
          <w:sz w:val="28"/>
          <w:szCs w:val="28"/>
          <w:highlight w:val="none"/>
        </w:rPr>
        <w:t xml:space="preserve"> </w:t>
      </w:r>
    </w:p>
    <w:p w14:paraId="1F9A1FBB">
      <w:pPr>
        <w:pStyle w:val="106"/>
        <w:keepNext w:val="0"/>
        <w:keepLines w:val="0"/>
        <w:pageBreakBefore w:val="0"/>
        <w:widowControl w:val="0"/>
        <w:kinsoku/>
        <w:wordWrap/>
        <w:overflowPunct/>
        <w:topLinePunct w:val="0"/>
        <w:autoSpaceDE/>
        <w:autoSpaceDN/>
        <w:bidi w:val="0"/>
        <w:adjustRightInd/>
        <w:snapToGrid/>
        <w:spacing w:line="400" w:lineRule="exact"/>
        <w:ind w:left="850" w:leftChars="208" w:hanging="413" w:hangingChars="197"/>
        <w:textAlignment w:val="auto"/>
        <w:rPr>
          <w:rFonts w:ascii="宋体" w:hAnsi="宋体"/>
          <w:color w:val="auto"/>
          <w:highlight w:val="none"/>
        </w:rPr>
      </w:pPr>
      <w:r>
        <w:rPr>
          <w:rFonts w:hint="eastAsia" w:ascii="宋体" w:hAnsi="宋体"/>
          <w:color w:val="auto"/>
          <w:highlight w:val="none"/>
        </w:rPr>
        <w:t>6.1.</w:t>
      </w:r>
      <w:r>
        <w:rPr>
          <w:rFonts w:ascii="宋体" w:hAnsi="宋体"/>
          <w:color w:val="auto"/>
          <w:highlight w:val="none"/>
        </w:rPr>
        <w:t>竞争性谈判</w:t>
      </w:r>
      <w:r>
        <w:rPr>
          <w:rFonts w:hint="eastAsia" w:ascii="宋体" w:hAnsi="宋体"/>
          <w:color w:val="auto"/>
          <w:highlight w:val="none"/>
        </w:rPr>
        <w:t>保证金金额：</w:t>
      </w:r>
      <w:r>
        <w:rPr>
          <w:rFonts w:hint="eastAsia" w:ascii="宋体" w:hAnsi="宋体"/>
          <w:color w:val="auto"/>
          <w:highlight w:val="none"/>
          <w:u w:val="single"/>
          <w:lang w:val="en-US" w:eastAsia="zh-CN"/>
        </w:rPr>
        <w:t>/</w:t>
      </w:r>
      <w:r>
        <w:rPr>
          <w:rFonts w:hint="eastAsia" w:ascii="宋体" w:hAnsi="宋体"/>
          <w:color w:val="auto"/>
          <w:highlight w:val="none"/>
        </w:rPr>
        <w:t>元</w:t>
      </w:r>
      <w:r>
        <w:rPr>
          <w:rFonts w:ascii="宋体" w:hAnsi="宋体"/>
          <w:color w:val="auto"/>
          <w:highlight w:val="none"/>
        </w:rPr>
        <w:t>。</w:t>
      </w:r>
    </w:p>
    <w:p w14:paraId="498C5AD2">
      <w:pPr>
        <w:pStyle w:val="106"/>
        <w:keepNext w:val="0"/>
        <w:keepLines w:val="0"/>
        <w:pageBreakBefore w:val="0"/>
        <w:widowControl w:val="0"/>
        <w:kinsoku/>
        <w:wordWrap/>
        <w:overflowPunct/>
        <w:topLinePunct w:val="0"/>
        <w:autoSpaceDE/>
        <w:autoSpaceDN/>
        <w:bidi w:val="0"/>
        <w:adjustRightInd/>
        <w:snapToGrid/>
        <w:spacing w:line="400" w:lineRule="exact"/>
        <w:ind w:left="850" w:leftChars="208" w:hanging="413" w:hangingChars="197"/>
        <w:textAlignment w:val="auto"/>
        <w:rPr>
          <w:rFonts w:ascii="宋体" w:hAnsi="宋体"/>
          <w:color w:val="auto"/>
          <w:highlight w:val="none"/>
        </w:rPr>
      </w:pPr>
      <w:r>
        <w:rPr>
          <w:rFonts w:hint="eastAsia" w:ascii="宋体" w:hAnsi="宋体"/>
          <w:color w:val="auto"/>
          <w:highlight w:val="none"/>
        </w:rPr>
        <w:t>6.2.竞争性谈判保证金缴纳方式：银行转账或电汇。</w:t>
      </w:r>
    </w:p>
    <w:p w14:paraId="509B6AAF">
      <w:pPr>
        <w:rPr>
          <w:rFonts w:ascii="黑体" w:eastAsia="黑体"/>
          <w:b/>
          <w:color w:val="auto"/>
          <w:sz w:val="28"/>
          <w:szCs w:val="28"/>
          <w:highlight w:val="none"/>
        </w:rPr>
      </w:pPr>
      <w:r>
        <w:rPr>
          <w:rFonts w:hint="eastAsia" w:ascii="黑体" w:eastAsia="黑体"/>
          <w:b/>
          <w:color w:val="auto"/>
          <w:sz w:val="28"/>
          <w:szCs w:val="28"/>
          <w:highlight w:val="none"/>
        </w:rPr>
        <w:t>七</w:t>
      </w:r>
      <w:r>
        <w:rPr>
          <w:rFonts w:ascii="黑体" w:eastAsia="黑体"/>
          <w:b/>
          <w:color w:val="auto"/>
          <w:sz w:val="28"/>
          <w:szCs w:val="28"/>
          <w:highlight w:val="none"/>
        </w:rPr>
        <w:t xml:space="preserve">、 联系方式 </w:t>
      </w:r>
    </w:p>
    <w:p w14:paraId="6C06A03D">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bCs/>
          <w:color w:val="auto"/>
          <w:szCs w:val="21"/>
          <w:highlight w:val="none"/>
          <w:lang w:eastAsia="zh-CN"/>
        </w:rPr>
      </w:pPr>
      <w:r>
        <w:rPr>
          <w:rFonts w:hint="eastAsia" w:ascii="宋体" w:hAnsi="宋体" w:eastAsia="宋体" w:cs="宋体"/>
          <w:bCs/>
          <w:color w:val="auto"/>
          <w:szCs w:val="21"/>
          <w:highlight w:val="none"/>
        </w:rPr>
        <w:t>采购人名称：</w:t>
      </w:r>
      <w:r>
        <w:rPr>
          <w:rFonts w:hint="eastAsia" w:ascii="宋体" w:hAnsi="宋体" w:cs="宋体"/>
          <w:bCs/>
          <w:color w:val="auto"/>
          <w:szCs w:val="21"/>
          <w:highlight w:val="none"/>
          <w:lang w:eastAsia="zh-CN"/>
        </w:rPr>
        <w:t>广东东鸿物业发展有限公司</w:t>
      </w:r>
    </w:p>
    <w:p w14:paraId="71F19B70">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default" w:ascii="宋体" w:hAnsi="宋体" w:eastAsia="宋体" w:cs="宋体"/>
          <w:bCs/>
          <w:color w:val="auto"/>
          <w:szCs w:val="21"/>
          <w:highlight w:val="none"/>
          <w:lang w:val="en-US" w:eastAsia="zh-CN"/>
        </w:rPr>
      </w:pPr>
      <w:r>
        <w:rPr>
          <w:rFonts w:hint="eastAsia" w:ascii="宋体" w:hAnsi="宋体" w:eastAsia="宋体" w:cs="宋体"/>
          <w:bCs/>
          <w:color w:val="auto"/>
          <w:szCs w:val="21"/>
          <w:highlight w:val="none"/>
        </w:rPr>
        <w:t>采购人联系人：</w:t>
      </w:r>
      <w:r>
        <w:rPr>
          <w:rFonts w:hint="eastAsia" w:ascii="宋体" w:hAnsi="宋体" w:cs="宋体"/>
          <w:bCs/>
          <w:color w:val="auto"/>
          <w:szCs w:val="21"/>
          <w:highlight w:val="none"/>
          <w:lang w:val="en-US" w:eastAsia="zh-CN"/>
        </w:rPr>
        <w:t>吴先生</w:t>
      </w:r>
      <w:bookmarkStart w:id="229" w:name="_GoBack"/>
      <w:bookmarkEnd w:id="229"/>
    </w:p>
    <w:p w14:paraId="748F1B70">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采购人地址：广东省东莞市南城西平宏伟五路1号</w:t>
      </w:r>
    </w:p>
    <w:p w14:paraId="39F2658A">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ascii="宋体" w:hAnsi="宋体"/>
          <w:color w:val="auto"/>
          <w:szCs w:val="21"/>
          <w:highlight w:val="none"/>
        </w:rPr>
      </w:pPr>
      <w:r>
        <w:rPr>
          <w:rFonts w:hint="eastAsia" w:ascii="宋体" w:hAnsi="宋体" w:eastAsia="宋体" w:cs="宋体"/>
          <w:bCs/>
          <w:color w:val="auto"/>
          <w:szCs w:val="21"/>
          <w:highlight w:val="none"/>
        </w:rPr>
        <w:t>采购人联系电话：（0769）23078130</w:t>
      </w:r>
    </w:p>
    <w:p w14:paraId="0670E3D6">
      <w:pPr>
        <w:tabs>
          <w:tab w:val="left" w:pos="900"/>
          <w:tab w:val="left" w:pos="1262"/>
        </w:tabs>
        <w:wordWrap/>
        <w:spacing w:line="440" w:lineRule="exact"/>
        <w:ind w:left="142" w:firstLine="424" w:firstLineChars="202"/>
        <w:jc w:val="right"/>
        <w:rPr>
          <w:rFonts w:hint="eastAsia" w:ascii="宋体" w:hAnsi="宋体"/>
          <w:color w:val="auto"/>
          <w:szCs w:val="21"/>
          <w:highlight w:val="none"/>
        </w:rPr>
      </w:pPr>
      <w:r>
        <w:rPr>
          <w:rFonts w:hint="eastAsia" w:ascii="宋体" w:hAnsi="宋体" w:cs="宋体"/>
          <w:bCs/>
          <w:color w:val="auto"/>
          <w:szCs w:val="21"/>
          <w:highlight w:val="none"/>
          <w:lang w:eastAsia="zh-CN"/>
        </w:rPr>
        <w:t>广东东鸿物业发展有限公司</w:t>
      </w:r>
    </w:p>
    <w:p w14:paraId="29B420BB">
      <w:pPr>
        <w:tabs>
          <w:tab w:val="left" w:pos="900"/>
          <w:tab w:val="left" w:pos="1262"/>
        </w:tabs>
        <w:wordWrap w:val="0"/>
        <w:spacing w:line="440" w:lineRule="exact"/>
        <w:ind w:left="142" w:firstLine="424" w:firstLineChars="202"/>
        <w:jc w:val="right"/>
        <w:rPr>
          <w:rFonts w:ascii="黑体" w:eastAsia="黑体"/>
          <w:b/>
          <w:color w:val="auto"/>
          <w:sz w:val="28"/>
          <w:szCs w:val="28"/>
          <w:highlight w:val="none"/>
        </w:rPr>
      </w:pPr>
      <w:r>
        <w:rPr>
          <w:rFonts w:ascii="宋体" w:hAnsi="宋体"/>
          <w:color w:val="auto"/>
          <w:szCs w:val="21"/>
          <w:highlight w:val="none"/>
        </w:rPr>
        <w:t>日期：</w:t>
      </w:r>
      <w:r>
        <w:rPr>
          <w:rFonts w:hint="eastAsia" w:ascii="宋体" w:hAnsi="宋体"/>
          <w:color w:val="auto"/>
          <w:szCs w:val="21"/>
          <w:highlight w:val="none"/>
          <w:u w:val="single"/>
          <w:lang w:val="en-US" w:eastAsia="zh-CN"/>
        </w:rPr>
        <w:t>2026</w:t>
      </w:r>
      <w:r>
        <w:rPr>
          <w:rFonts w:ascii="宋体" w:hAnsi="宋体"/>
          <w:color w:val="auto"/>
          <w:szCs w:val="21"/>
          <w:highlight w:val="none"/>
        </w:rPr>
        <w:t>年</w:t>
      </w:r>
      <w:r>
        <w:rPr>
          <w:rFonts w:hint="eastAsia" w:ascii="宋体" w:hAnsi="宋体"/>
          <w:color w:val="auto"/>
          <w:szCs w:val="21"/>
          <w:highlight w:val="none"/>
          <w:u w:val="single"/>
          <w:lang w:val="en-US" w:eastAsia="zh-CN"/>
        </w:rPr>
        <w:t>3</w:t>
      </w:r>
      <w:r>
        <w:rPr>
          <w:rFonts w:ascii="宋体" w:hAnsi="宋体"/>
          <w:color w:val="auto"/>
          <w:szCs w:val="21"/>
          <w:highlight w:val="none"/>
        </w:rPr>
        <w:t>月</w:t>
      </w:r>
      <w:r>
        <w:rPr>
          <w:rFonts w:hint="eastAsia" w:ascii="宋体" w:hAnsi="宋体"/>
          <w:color w:val="auto"/>
          <w:szCs w:val="21"/>
          <w:highlight w:val="none"/>
          <w:u w:val="single"/>
          <w:lang w:val="en-US" w:eastAsia="zh-CN"/>
        </w:rPr>
        <w:t xml:space="preserve"> 9</w:t>
      </w:r>
      <w:r>
        <w:rPr>
          <w:rFonts w:ascii="宋体" w:hAnsi="宋体"/>
          <w:color w:val="auto"/>
          <w:szCs w:val="21"/>
          <w:highlight w:val="none"/>
        </w:rPr>
        <w:t>日</w:t>
      </w:r>
    </w:p>
    <w:p w14:paraId="0AECFCDD">
      <w:pPr>
        <w:ind w:left="-14" w:firstLine="640"/>
        <w:jc w:val="right"/>
        <w:rPr>
          <w:color w:val="auto"/>
          <w:highlight w:val="none"/>
        </w:rPr>
      </w:pPr>
      <w:r>
        <w:rPr>
          <w:rFonts w:hint="eastAsia"/>
          <w:color w:val="auto"/>
          <w:highlight w:val="none"/>
        </w:rPr>
        <w:t xml:space="preserve">                 </w:t>
      </w:r>
    </w:p>
    <w:bookmarkEnd w:id="0"/>
    <w:bookmarkEnd w:id="1"/>
    <w:p w14:paraId="33D95253">
      <w:pPr>
        <w:pStyle w:val="70"/>
        <w:jc w:val="both"/>
        <w:rPr>
          <w:rFonts w:ascii="宋体" w:hAnsi="宋体" w:eastAsia="宋体" w:cs="宋体"/>
          <w:b/>
          <w:color w:val="auto"/>
          <w:kern w:val="0"/>
          <w:sz w:val="28"/>
          <w:szCs w:val="28"/>
          <w:highlight w:val="none"/>
        </w:rPr>
      </w:pPr>
      <w:bookmarkStart w:id="3" w:name="_Toc18107"/>
      <w:bookmarkStart w:id="4" w:name="_Toc456551874"/>
      <w:r>
        <w:rPr>
          <w:rFonts w:hint="eastAsia" w:ascii="宋体" w:hAnsi="宋体" w:eastAsia="宋体" w:cs="宋体"/>
          <w:b/>
          <w:color w:val="auto"/>
          <w:kern w:val="0"/>
          <w:sz w:val="28"/>
          <w:szCs w:val="28"/>
          <w:highlight w:val="none"/>
        </w:rPr>
        <w:t>第二章 竞争性谈判响应须知</w:t>
      </w:r>
      <w:bookmarkEnd w:id="3"/>
      <w:bookmarkEnd w:id="4"/>
    </w:p>
    <w:p w14:paraId="4EC5E4E4">
      <w:pPr>
        <w:pStyle w:val="3"/>
        <w:pageBreakBefore w:val="0"/>
        <w:widowControl w:val="0"/>
        <w:kinsoku/>
        <w:wordWrap/>
        <w:overflowPunct/>
        <w:topLinePunct w:val="0"/>
        <w:autoSpaceDE/>
        <w:autoSpaceDN/>
        <w:bidi w:val="0"/>
        <w:adjustRightInd/>
        <w:snapToGrid/>
        <w:spacing w:line="400" w:lineRule="exact"/>
        <w:jc w:val="center"/>
        <w:textAlignment w:val="auto"/>
        <w:rPr>
          <w:color w:val="auto"/>
          <w:sz w:val="28"/>
          <w:szCs w:val="28"/>
          <w:highlight w:val="none"/>
        </w:rPr>
      </w:pPr>
      <w:bookmarkStart w:id="5" w:name="_Toc1580"/>
      <w:bookmarkStart w:id="6" w:name="_Toc456551875"/>
      <w:r>
        <w:rPr>
          <w:rFonts w:hint="eastAsia"/>
          <w:color w:val="auto"/>
          <w:sz w:val="28"/>
          <w:szCs w:val="28"/>
          <w:highlight w:val="none"/>
        </w:rPr>
        <w:t>竞争性谈判响应须知前附表</w:t>
      </w:r>
      <w:bookmarkEnd w:id="5"/>
      <w:bookmarkEnd w:id="6"/>
    </w:p>
    <w:p w14:paraId="53989093">
      <w:pPr>
        <w:pageBreakBefore w:val="0"/>
        <w:widowControl w:val="0"/>
        <w:kinsoku/>
        <w:wordWrap/>
        <w:overflowPunct/>
        <w:topLinePunct w:val="0"/>
        <w:autoSpaceDE/>
        <w:autoSpaceDN/>
        <w:bidi w:val="0"/>
        <w:adjustRightInd/>
        <w:snapToGrid/>
        <w:spacing w:line="400" w:lineRule="exact"/>
        <w:ind w:right="-340" w:rightChars="-162"/>
        <w:jc w:val="left"/>
        <w:textAlignment w:val="auto"/>
        <w:rPr>
          <w:color w:val="auto"/>
          <w:szCs w:val="21"/>
          <w:highlight w:val="none"/>
        </w:rPr>
      </w:pPr>
      <w:r>
        <w:rPr>
          <w:rFonts w:hint="eastAsia"/>
          <w:color w:val="auto"/>
          <w:szCs w:val="21"/>
          <w:highlight w:val="none"/>
        </w:rPr>
        <w:t>本竞争性谈判响应须知前附表是对竞争性谈判响应须知正文的具体补充和修改，如有矛盾，以本前附表为准。</w:t>
      </w:r>
    </w:p>
    <w:tbl>
      <w:tblPr>
        <w:tblStyle w:val="37"/>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20"/>
        <w:gridCol w:w="2081"/>
        <w:gridCol w:w="6893"/>
      </w:tblGrid>
      <w:tr w14:paraId="725258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5" w:type="pct"/>
            <w:vAlign w:val="center"/>
          </w:tcPr>
          <w:p w14:paraId="627313BC">
            <w:pPr>
              <w:keepNext w:val="0"/>
              <w:keepLines w:val="0"/>
              <w:pageBreakBefore w:val="0"/>
              <w:widowControl w:val="0"/>
              <w:kinsoku/>
              <w:wordWrap/>
              <w:overflowPunct/>
              <w:topLinePunct w:val="0"/>
              <w:bidi w:val="0"/>
              <w:adjustRightInd/>
              <w:snapToGrid/>
              <w:spacing w:line="400" w:lineRule="exact"/>
              <w:jc w:val="center"/>
              <w:textAlignment w:val="auto"/>
              <w:rPr>
                <w:b/>
                <w:color w:val="auto"/>
                <w:szCs w:val="21"/>
                <w:highlight w:val="none"/>
              </w:rPr>
            </w:pPr>
            <w:r>
              <w:rPr>
                <w:b/>
                <w:color w:val="auto"/>
                <w:szCs w:val="21"/>
                <w:highlight w:val="none"/>
              </w:rPr>
              <w:t>条款号</w:t>
            </w:r>
          </w:p>
        </w:tc>
        <w:tc>
          <w:tcPr>
            <w:tcW w:w="1031" w:type="pct"/>
            <w:vAlign w:val="center"/>
          </w:tcPr>
          <w:p w14:paraId="586AB8B5">
            <w:pPr>
              <w:keepNext w:val="0"/>
              <w:keepLines w:val="0"/>
              <w:pageBreakBefore w:val="0"/>
              <w:widowControl w:val="0"/>
              <w:kinsoku/>
              <w:wordWrap/>
              <w:overflowPunct/>
              <w:topLinePunct w:val="0"/>
              <w:bidi w:val="0"/>
              <w:adjustRightInd/>
              <w:snapToGrid/>
              <w:spacing w:line="400" w:lineRule="exact"/>
              <w:jc w:val="center"/>
              <w:textAlignment w:val="auto"/>
              <w:rPr>
                <w:b/>
                <w:color w:val="auto"/>
                <w:szCs w:val="21"/>
                <w:highlight w:val="none"/>
              </w:rPr>
            </w:pPr>
            <w:r>
              <w:rPr>
                <w:b/>
                <w:color w:val="auto"/>
                <w:szCs w:val="21"/>
                <w:highlight w:val="none"/>
              </w:rPr>
              <w:t>条  款  名  称</w:t>
            </w:r>
          </w:p>
        </w:tc>
        <w:tc>
          <w:tcPr>
            <w:tcW w:w="3412" w:type="pct"/>
            <w:vAlign w:val="center"/>
          </w:tcPr>
          <w:p w14:paraId="42AC686B">
            <w:pPr>
              <w:keepNext w:val="0"/>
              <w:keepLines w:val="0"/>
              <w:pageBreakBefore w:val="0"/>
              <w:widowControl w:val="0"/>
              <w:kinsoku/>
              <w:wordWrap/>
              <w:overflowPunct/>
              <w:topLinePunct w:val="0"/>
              <w:bidi w:val="0"/>
              <w:adjustRightInd/>
              <w:snapToGrid/>
              <w:spacing w:line="400" w:lineRule="exact"/>
              <w:jc w:val="center"/>
              <w:textAlignment w:val="auto"/>
              <w:rPr>
                <w:b/>
                <w:color w:val="auto"/>
                <w:szCs w:val="21"/>
                <w:highlight w:val="none"/>
              </w:rPr>
            </w:pPr>
            <w:r>
              <w:rPr>
                <w:b/>
                <w:color w:val="auto"/>
                <w:szCs w:val="21"/>
                <w:highlight w:val="none"/>
              </w:rPr>
              <w:t>编  列  内  容</w:t>
            </w:r>
          </w:p>
        </w:tc>
      </w:tr>
      <w:tr w14:paraId="0BA1F5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5" w:type="pct"/>
            <w:vAlign w:val="center"/>
          </w:tcPr>
          <w:p w14:paraId="7DB2EA16">
            <w:pPr>
              <w:keepNext w:val="0"/>
              <w:keepLines w:val="0"/>
              <w:pageBreakBefore w:val="0"/>
              <w:widowControl w:val="0"/>
              <w:kinsoku/>
              <w:wordWrap/>
              <w:overflowPunct/>
              <w:topLinePunct w:val="0"/>
              <w:bidi w:val="0"/>
              <w:adjustRightInd/>
              <w:snapToGrid/>
              <w:spacing w:line="400" w:lineRule="exact"/>
              <w:jc w:val="center"/>
              <w:textAlignment w:val="auto"/>
              <w:rPr>
                <w:color w:val="auto"/>
                <w:szCs w:val="21"/>
                <w:highlight w:val="none"/>
              </w:rPr>
            </w:pPr>
            <w:r>
              <w:rPr>
                <w:rFonts w:hint="eastAsia"/>
                <w:color w:val="auto"/>
                <w:szCs w:val="21"/>
                <w:highlight w:val="none"/>
              </w:rPr>
              <w:t>1.1.5</w:t>
            </w:r>
          </w:p>
        </w:tc>
        <w:tc>
          <w:tcPr>
            <w:tcW w:w="1031" w:type="pct"/>
            <w:vAlign w:val="center"/>
          </w:tcPr>
          <w:p w14:paraId="5D89053F">
            <w:pPr>
              <w:keepNext w:val="0"/>
              <w:keepLines w:val="0"/>
              <w:pageBreakBefore w:val="0"/>
              <w:widowControl w:val="0"/>
              <w:kinsoku/>
              <w:wordWrap/>
              <w:overflowPunct/>
              <w:topLinePunct w:val="0"/>
              <w:bidi w:val="0"/>
              <w:adjustRightInd/>
              <w:snapToGrid/>
              <w:spacing w:line="400" w:lineRule="exact"/>
              <w:jc w:val="left"/>
              <w:textAlignment w:val="auto"/>
              <w:rPr>
                <w:color w:val="auto"/>
                <w:szCs w:val="21"/>
                <w:highlight w:val="none"/>
              </w:rPr>
            </w:pPr>
            <w:r>
              <w:rPr>
                <w:rFonts w:hint="eastAsia"/>
                <w:color w:val="auto"/>
                <w:highlight w:val="none"/>
              </w:rPr>
              <w:t>项目承包方式</w:t>
            </w:r>
          </w:p>
        </w:tc>
        <w:tc>
          <w:tcPr>
            <w:tcW w:w="3412" w:type="pct"/>
            <w:vAlign w:val="center"/>
          </w:tcPr>
          <w:p w14:paraId="64A5AB01">
            <w:pPr>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ascii="宋体" w:hAnsi="宋体"/>
                <w:color w:val="auto"/>
                <w:szCs w:val="21"/>
                <w:highlight w:val="none"/>
              </w:rPr>
            </w:pPr>
            <w:r>
              <w:rPr>
                <w:rFonts w:hint="eastAsia" w:ascii="宋体" w:hAnsi="宋体"/>
                <w:color w:val="auto"/>
                <w:szCs w:val="21"/>
                <w:highlight w:val="none"/>
                <w:lang w:eastAsia="zh-CN"/>
              </w:rPr>
              <w:t>□</w:t>
            </w:r>
            <w:r>
              <w:rPr>
                <w:rFonts w:hint="eastAsia" w:ascii="宋体" w:hAnsi="宋体"/>
                <w:color w:val="auto"/>
                <w:szCs w:val="21"/>
                <w:highlight w:val="none"/>
              </w:rPr>
              <w:t>固定总价包干</w:t>
            </w:r>
          </w:p>
          <w:p w14:paraId="577E6E89">
            <w:pPr>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ascii="宋体" w:hAnsi="宋体"/>
                <w:color w:val="auto"/>
                <w:szCs w:val="21"/>
                <w:highlight w:val="none"/>
              </w:rPr>
            </w:pPr>
            <w:r>
              <w:rPr>
                <w:rFonts w:hint="eastAsia" w:ascii="宋体" w:hAnsi="宋体"/>
                <w:color w:val="auto"/>
                <w:szCs w:val="21"/>
                <w:highlight w:val="none"/>
              </w:rPr>
              <w:t>□固定单价暂定总价包干</w:t>
            </w:r>
          </w:p>
          <w:p w14:paraId="1BCCF387">
            <w:pPr>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ascii="宋体" w:hAnsi="宋体"/>
                <w:color w:val="auto"/>
                <w:szCs w:val="21"/>
                <w:highlight w:val="none"/>
              </w:rPr>
            </w:pPr>
            <w:r>
              <w:rPr>
                <w:rFonts w:hint="eastAsia" w:ascii="宋体" w:hAnsi="宋体"/>
                <w:color w:val="auto"/>
                <w:szCs w:val="21"/>
                <w:highlight w:val="none"/>
                <w:lang w:eastAsia="zh-CN"/>
              </w:rPr>
              <w:t>☑</w:t>
            </w:r>
            <w:r>
              <w:rPr>
                <w:rFonts w:hint="eastAsia" w:ascii="宋体" w:hAnsi="宋体"/>
                <w:color w:val="auto"/>
                <w:szCs w:val="21"/>
                <w:highlight w:val="none"/>
              </w:rPr>
              <w:t>其他，</w:t>
            </w:r>
            <w:r>
              <w:rPr>
                <w:rFonts w:hint="eastAsia" w:ascii="宋体" w:hAnsi="宋体"/>
                <w:color w:val="auto"/>
                <w:szCs w:val="21"/>
                <w:highlight w:val="none"/>
                <w:u w:val="single"/>
              </w:rPr>
              <w:t>按</w:t>
            </w:r>
            <w:r>
              <w:rPr>
                <w:rFonts w:hint="eastAsia" w:ascii="宋体" w:hAnsi="宋体"/>
                <w:color w:val="auto"/>
                <w:szCs w:val="21"/>
                <w:highlight w:val="none"/>
                <w:u w:val="single"/>
                <w:lang w:eastAsia="zh-CN"/>
              </w:rPr>
              <w:t>服务时长及</w:t>
            </w:r>
            <w:r>
              <w:rPr>
                <w:rFonts w:hint="eastAsia" w:ascii="宋体" w:hAnsi="宋体"/>
                <w:color w:val="auto"/>
                <w:szCs w:val="21"/>
                <w:highlight w:val="none"/>
                <w:u w:val="single"/>
              </w:rPr>
              <w:t>考核结果据实结算服务费用</w:t>
            </w:r>
          </w:p>
        </w:tc>
      </w:tr>
      <w:tr w14:paraId="6DEF51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5" w:type="pct"/>
            <w:vAlign w:val="center"/>
          </w:tcPr>
          <w:p w14:paraId="05725FB1">
            <w:pPr>
              <w:keepNext w:val="0"/>
              <w:keepLines w:val="0"/>
              <w:pageBreakBefore w:val="0"/>
              <w:widowControl w:val="0"/>
              <w:kinsoku/>
              <w:wordWrap/>
              <w:overflowPunct/>
              <w:topLinePunct w:val="0"/>
              <w:bidi w:val="0"/>
              <w:adjustRightInd/>
              <w:snapToGrid/>
              <w:spacing w:line="400" w:lineRule="exact"/>
              <w:jc w:val="center"/>
              <w:textAlignment w:val="auto"/>
              <w:rPr>
                <w:color w:val="auto"/>
                <w:szCs w:val="21"/>
                <w:highlight w:val="none"/>
              </w:rPr>
            </w:pPr>
            <w:r>
              <w:rPr>
                <w:color w:val="auto"/>
                <w:szCs w:val="21"/>
                <w:highlight w:val="none"/>
              </w:rPr>
              <w:t>1.2</w:t>
            </w:r>
          </w:p>
        </w:tc>
        <w:tc>
          <w:tcPr>
            <w:tcW w:w="1031" w:type="pct"/>
            <w:vAlign w:val="center"/>
          </w:tcPr>
          <w:p w14:paraId="56FA3ECC">
            <w:pPr>
              <w:keepNext w:val="0"/>
              <w:keepLines w:val="0"/>
              <w:pageBreakBefore w:val="0"/>
              <w:widowControl w:val="0"/>
              <w:kinsoku/>
              <w:wordWrap/>
              <w:overflowPunct/>
              <w:topLinePunct w:val="0"/>
              <w:bidi w:val="0"/>
              <w:adjustRightInd/>
              <w:snapToGrid/>
              <w:spacing w:line="400" w:lineRule="exact"/>
              <w:jc w:val="left"/>
              <w:textAlignment w:val="auto"/>
              <w:rPr>
                <w:color w:val="auto"/>
                <w:szCs w:val="21"/>
                <w:highlight w:val="none"/>
              </w:rPr>
            </w:pPr>
            <w:r>
              <w:rPr>
                <w:color w:val="auto"/>
                <w:szCs w:val="21"/>
                <w:highlight w:val="none"/>
              </w:rPr>
              <w:t>资金来源</w:t>
            </w:r>
          </w:p>
        </w:tc>
        <w:tc>
          <w:tcPr>
            <w:tcW w:w="3412" w:type="pct"/>
            <w:vAlign w:val="center"/>
          </w:tcPr>
          <w:p w14:paraId="571043C3">
            <w:pPr>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ascii="宋体" w:hAnsi="宋体" w:cs="宋体"/>
                <w:color w:val="auto"/>
                <w:szCs w:val="21"/>
                <w:highlight w:val="none"/>
              </w:rPr>
            </w:pPr>
            <w:r>
              <w:rPr>
                <w:rFonts w:hint="eastAsia" w:ascii="宋体" w:hAnsi="宋体" w:cs="宋体"/>
                <w:color w:val="auto"/>
                <w:szCs w:val="21"/>
                <w:highlight w:val="none"/>
              </w:rPr>
              <w:t>企业自筹</w:t>
            </w:r>
          </w:p>
        </w:tc>
      </w:tr>
      <w:tr w14:paraId="5E675F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5" w:type="pct"/>
            <w:vAlign w:val="center"/>
          </w:tcPr>
          <w:p w14:paraId="140EC6E5">
            <w:pPr>
              <w:keepNext w:val="0"/>
              <w:keepLines w:val="0"/>
              <w:pageBreakBefore w:val="0"/>
              <w:widowControl w:val="0"/>
              <w:kinsoku/>
              <w:wordWrap/>
              <w:overflowPunct/>
              <w:topLinePunct w:val="0"/>
              <w:bidi w:val="0"/>
              <w:adjustRightInd/>
              <w:snapToGrid/>
              <w:spacing w:line="400" w:lineRule="exact"/>
              <w:jc w:val="center"/>
              <w:textAlignment w:val="auto"/>
              <w:rPr>
                <w:color w:val="auto"/>
                <w:szCs w:val="21"/>
                <w:highlight w:val="none"/>
              </w:rPr>
            </w:pPr>
            <w:r>
              <w:rPr>
                <w:rFonts w:hint="eastAsia"/>
                <w:color w:val="auto"/>
                <w:szCs w:val="21"/>
                <w:highlight w:val="none"/>
              </w:rPr>
              <w:t>1.3.5</w:t>
            </w:r>
          </w:p>
        </w:tc>
        <w:tc>
          <w:tcPr>
            <w:tcW w:w="1031" w:type="pct"/>
            <w:vAlign w:val="center"/>
          </w:tcPr>
          <w:p w14:paraId="51D599AC">
            <w:pPr>
              <w:keepNext w:val="0"/>
              <w:keepLines w:val="0"/>
              <w:pageBreakBefore w:val="0"/>
              <w:widowControl w:val="0"/>
              <w:kinsoku/>
              <w:wordWrap/>
              <w:overflowPunct/>
              <w:topLinePunct w:val="0"/>
              <w:bidi w:val="0"/>
              <w:adjustRightInd/>
              <w:snapToGrid/>
              <w:spacing w:line="400" w:lineRule="exact"/>
              <w:jc w:val="left"/>
              <w:textAlignment w:val="auto"/>
              <w:rPr>
                <w:color w:val="auto"/>
                <w:szCs w:val="21"/>
                <w:highlight w:val="none"/>
              </w:rPr>
            </w:pPr>
            <w:r>
              <w:rPr>
                <w:rFonts w:hint="eastAsia"/>
                <w:color w:val="auto"/>
                <w:szCs w:val="21"/>
                <w:highlight w:val="none"/>
              </w:rPr>
              <w:t>质量要求</w:t>
            </w:r>
          </w:p>
        </w:tc>
        <w:tc>
          <w:tcPr>
            <w:tcW w:w="3412" w:type="pct"/>
            <w:vAlign w:val="center"/>
          </w:tcPr>
          <w:p w14:paraId="62DCF996">
            <w:pPr>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ascii="宋体" w:hAnsi="宋体" w:cs="宋体"/>
                <w:color w:val="auto"/>
                <w:szCs w:val="21"/>
                <w:highlight w:val="none"/>
              </w:rPr>
            </w:pPr>
            <w:r>
              <w:rPr>
                <w:rFonts w:hint="eastAsia" w:ascii="宋体" w:hAnsi="宋体" w:cs="宋体"/>
                <w:color w:val="auto"/>
                <w:szCs w:val="21"/>
                <w:highlight w:val="none"/>
              </w:rPr>
              <w:t>达到国家或行业质量检验评定的合格标准</w:t>
            </w:r>
          </w:p>
        </w:tc>
      </w:tr>
      <w:tr w14:paraId="4448BF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5" w:type="pct"/>
            <w:vAlign w:val="center"/>
          </w:tcPr>
          <w:p w14:paraId="5BA4759B">
            <w:pPr>
              <w:keepNext w:val="0"/>
              <w:keepLines w:val="0"/>
              <w:pageBreakBefore w:val="0"/>
              <w:widowControl w:val="0"/>
              <w:kinsoku/>
              <w:wordWrap/>
              <w:overflowPunct/>
              <w:topLinePunct w:val="0"/>
              <w:bidi w:val="0"/>
              <w:adjustRightInd/>
              <w:snapToGrid/>
              <w:spacing w:line="400" w:lineRule="exact"/>
              <w:jc w:val="center"/>
              <w:textAlignment w:val="auto"/>
              <w:rPr>
                <w:color w:val="auto"/>
                <w:szCs w:val="21"/>
                <w:highlight w:val="none"/>
              </w:rPr>
            </w:pPr>
            <w:r>
              <w:rPr>
                <w:rFonts w:hint="eastAsia"/>
                <w:color w:val="auto"/>
                <w:szCs w:val="21"/>
                <w:highlight w:val="none"/>
              </w:rPr>
              <w:t>1.6.3</w:t>
            </w:r>
          </w:p>
        </w:tc>
        <w:tc>
          <w:tcPr>
            <w:tcW w:w="1031" w:type="pct"/>
            <w:vAlign w:val="center"/>
          </w:tcPr>
          <w:p w14:paraId="256608A8">
            <w:pPr>
              <w:keepNext w:val="0"/>
              <w:keepLines w:val="0"/>
              <w:pageBreakBefore w:val="0"/>
              <w:widowControl w:val="0"/>
              <w:kinsoku/>
              <w:wordWrap/>
              <w:overflowPunct/>
              <w:topLinePunct w:val="0"/>
              <w:bidi w:val="0"/>
              <w:adjustRightInd/>
              <w:snapToGrid/>
              <w:spacing w:line="400" w:lineRule="exact"/>
              <w:jc w:val="left"/>
              <w:textAlignment w:val="auto"/>
              <w:rPr>
                <w:color w:val="auto"/>
                <w:szCs w:val="21"/>
                <w:highlight w:val="none"/>
              </w:rPr>
            </w:pPr>
            <w:r>
              <w:rPr>
                <w:rFonts w:hint="eastAsia"/>
                <w:color w:val="auto"/>
                <w:szCs w:val="21"/>
                <w:highlight w:val="none"/>
              </w:rPr>
              <w:t>联合体响应</w:t>
            </w:r>
          </w:p>
        </w:tc>
        <w:tc>
          <w:tcPr>
            <w:tcW w:w="3412" w:type="pct"/>
            <w:vAlign w:val="center"/>
          </w:tcPr>
          <w:p w14:paraId="1EE22E7C">
            <w:pPr>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ascii="宋体" w:hAnsi="宋体" w:cs="宋体"/>
                <w:color w:val="auto"/>
                <w:szCs w:val="21"/>
                <w:highlight w:val="none"/>
              </w:rPr>
            </w:pPr>
            <w:r>
              <w:rPr>
                <w:rFonts w:hint="eastAsia"/>
                <w:color w:val="auto"/>
                <w:szCs w:val="21"/>
                <w:highlight w:val="none"/>
              </w:rPr>
              <w:t>■</w:t>
            </w:r>
            <w:r>
              <w:rPr>
                <w:rFonts w:hint="eastAsia" w:ascii="宋体" w:hAnsi="宋体" w:cs="宋体"/>
                <w:color w:val="auto"/>
                <w:szCs w:val="21"/>
                <w:highlight w:val="none"/>
              </w:rPr>
              <w:t>不接受</w:t>
            </w:r>
          </w:p>
          <w:p w14:paraId="4749752B">
            <w:pPr>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szCs w:val="21"/>
                <w:highlight w:val="none"/>
              </w:rPr>
              <w:t>接受，</w:t>
            </w:r>
            <w:r>
              <w:rPr>
                <w:rFonts w:hint="eastAsia" w:ascii="宋体" w:hAnsi="宋体"/>
                <w:color w:val="auto"/>
                <w:szCs w:val="21"/>
                <w:highlight w:val="none"/>
              </w:rPr>
              <w:t>联合体响应的，应满足下列要求：</w:t>
            </w:r>
            <w:r>
              <w:rPr>
                <w:rFonts w:hint="eastAsia" w:ascii="宋体" w:hAnsi="宋体"/>
                <w:color w:val="auto"/>
                <w:szCs w:val="21"/>
                <w:highlight w:val="none"/>
                <w:u w:val="single"/>
              </w:rPr>
              <w:t xml:space="preserve">         </w:t>
            </w:r>
            <w:r>
              <w:rPr>
                <w:rFonts w:hint="eastAsia" w:ascii="宋体" w:hAnsi="宋体"/>
                <w:color w:val="auto"/>
                <w:szCs w:val="21"/>
                <w:highlight w:val="none"/>
              </w:rPr>
              <w:t>。</w:t>
            </w:r>
          </w:p>
        </w:tc>
      </w:tr>
      <w:tr w14:paraId="5E9979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5" w:type="pct"/>
            <w:vAlign w:val="center"/>
          </w:tcPr>
          <w:p w14:paraId="65E948C0">
            <w:pPr>
              <w:keepNext w:val="0"/>
              <w:keepLines w:val="0"/>
              <w:pageBreakBefore w:val="0"/>
              <w:widowControl w:val="0"/>
              <w:kinsoku/>
              <w:wordWrap/>
              <w:overflowPunct/>
              <w:topLinePunct w:val="0"/>
              <w:bidi w:val="0"/>
              <w:adjustRightInd/>
              <w:snapToGrid/>
              <w:spacing w:line="400" w:lineRule="exact"/>
              <w:jc w:val="center"/>
              <w:textAlignment w:val="auto"/>
              <w:rPr>
                <w:rFonts w:ascii="宋体" w:hAnsi="宋体" w:cs="宋体"/>
                <w:color w:val="auto"/>
                <w:szCs w:val="21"/>
                <w:highlight w:val="none"/>
              </w:rPr>
            </w:pPr>
            <w:r>
              <w:rPr>
                <w:rFonts w:hint="eastAsia" w:ascii="宋体" w:hAnsi="宋体" w:cs="宋体"/>
                <w:color w:val="auto"/>
                <w:szCs w:val="21"/>
                <w:highlight w:val="none"/>
              </w:rPr>
              <w:t>1.12</w:t>
            </w:r>
          </w:p>
        </w:tc>
        <w:tc>
          <w:tcPr>
            <w:tcW w:w="1031" w:type="pct"/>
            <w:vAlign w:val="center"/>
          </w:tcPr>
          <w:p w14:paraId="6AE6EF5B">
            <w:pPr>
              <w:keepNext w:val="0"/>
              <w:keepLines w:val="0"/>
              <w:pageBreakBefore w:val="0"/>
              <w:widowControl w:val="0"/>
              <w:kinsoku/>
              <w:wordWrap/>
              <w:overflowPunct/>
              <w:topLinePunct w:val="0"/>
              <w:bidi w:val="0"/>
              <w:adjustRightInd/>
              <w:snapToGrid/>
              <w:spacing w:line="400" w:lineRule="exact"/>
              <w:jc w:val="left"/>
              <w:textAlignment w:val="auto"/>
              <w:rPr>
                <w:rFonts w:ascii="宋体" w:hAnsi="宋体" w:cs="宋体"/>
                <w:color w:val="auto"/>
                <w:szCs w:val="21"/>
                <w:highlight w:val="none"/>
              </w:rPr>
            </w:pPr>
            <w:r>
              <w:rPr>
                <w:rFonts w:hint="eastAsia" w:ascii="宋体" w:hAnsi="宋体" w:cs="宋体"/>
                <w:color w:val="auto"/>
                <w:szCs w:val="21"/>
                <w:highlight w:val="none"/>
              </w:rPr>
              <w:t>踏勘现场</w:t>
            </w:r>
          </w:p>
        </w:tc>
        <w:tc>
          <w:tcPr>
            <w:tcW w:w="3412" w:type="pct"/>
            <w:vAlign w:val="center"/>
          </w:tcPr>
          <w:p w14:paraId="1C1F2CA8">
            <w:pPr>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ascii="宋体" w:hAnsi="宋体" w:cs="宋体"/>
                <w:color w:val="auto"/>
                <w:szCs w:val="21"/>
                <w:highlight w:val="none"/>
              </w:rPr>
            </w:pPr>
            <w:r>
              <w:rPr>
                <w:rFonts w:hint="eastAsia"/>
                <w:color w:val="auto"/>
                <w:szCs w:val="21"/>
                <w:highlight w:val="none"/>
              </w:rPr>
              <w:t>■</w:t>
            </w:r>
            <w:r>
              <w:rPr>
                <w:rFonts w:hint="eastAsia" w:ascii="宋体" w:hAnsi="宋体" w:cs="宋体"/>
                <w:color w:val="auto"/>
                <w:szCs w:val="21"/>
                <w:highlight w:val="none"/>
              </w:rPr>
              <w:t>不组织</w:t>
            </w:r>
          </w:p>
          <w:p w14:paraId="145A97C2">
            <w:pPr>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szCs w:val="21"/>
                <w:highlight w:val="none"/>
              </w:rPr>
              <w:t>组织，踏勘现场时间、地点：</w:t>
            </w:r>
            <w:r>
              <w:rPr>
                <w:rFonts w:hint="eastAsia" w:ascii="宋体" w:hAnsi="宋体" w:cs="宋体"/>
                <w:color w:val="auto"/>
                <w:szCs w:val="21"/>
                <w:highlight w:val="none"/>
                <w:u w:val="single"/>
              </w:rPr>
              <w:t xml:space="preserve">                         </w:t>
            </w:r>
          </w:p>
        </w:tc>
      </w:tr>
      <w:tr w14:paraId="1D15E7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5" w:type="pct"/>
            <w:vAlign w:val="center"/>
          </w:tcPr>
          <w:p w14:paraId="2A53E4B7">
            <w:pPr>
              <w:keepNext w:val="0"/>
              <w:keepLines w:val="0"/>
              <w:pageBreakBefore w:val="0"/>
              <w:widowControl w:val="0"/>
              <w:kinsoku/>
              <w:wordWrap/>
              <w:overflowPunct/>
              <w:topLinePunct w:val="0"/>
              <w:bidi w:val="0"/>
              <w:adjustRightInd/>
              <w:snapToGrid/>
              <w:spacing w:line="400" w:lineRule="exact"/>
              <w:jc w:val="center"/>
              <w:textAlignment w:val="auto"/>
              <w:rPr>
                <w:rFonts w:ascii="宋体" w:hAnsi="宋体" w:cs="宋体"/>
                <w:color w:val="auto"/>
                <w:szCs w:val="21"/>
                <w:highlight w:val="none"/>
              </w:rPr>
            </w:pPr>
            <w:r>
              <w:rPr>
                <w:rFonts w:hint="eastAsia" w:ascii="宋体" w:hAnsi="宋体" w:cs="宋体"/>
                <w:color w:val="auto"/>
                <w:szCs w:val="21"/>
                <w:highlight w:val="none"/>
              </w:rPr>
              <w:t>2.1.3</w:t>
            </w:r>
          </w:p>
        </w:tc>
        <w:tc>
          <w:tcPr>
            <w:tcW w:w="1031" w:type="pct"/>
            <w:vAlign w:val="center"/>
          </w:tcPr>
          <w:p w14:paraId="2F87DBEF">
            <w:pPr>
              <w:keepNext w:val="0"/>
              <w:keepLines w:val="0"/>
              <w:pageBreakBefore w:val="0"/>
              <w:widowControl w:val="0"/>
              <w:kinsoku/>
              <w:wordWrap/>
              <w:overflowPunct/>
              <w:topLinePunct w:val="0"/>
              <w:bidi w:val="0"/>
              <w:adjustRightInd/>
              <w:snapToGrid/>
              <w:spacing w:line="400" w:lineRule="exact"/>
              <w:jc w:val="left"/>
              <w:textAlignment w:val="auto"/>
              <w:rPr>
                <w:rFonts w:ascii="宋体" w:hAnsi="宋体" w:cs="宋体"/>
                <w:color w:val="auto"/>
                <w:szCs w:val="21"/>
                <w:highlight w:val="none"/>
              </w:rPr>
            </w:pPr>
            <w:r>
              <w:rPr>
                <w:rFonts w:hint="eastAsia" w:ascii="宋体" w:hAnsi="宋体" w:cs="宋体"/>
                <w:color w:val="auto"/>
                <w:szCs w:val="21"/>
                <w:highlight w:val="none"/>
              </w:rPr>
              <w:t>实质性要求</w:t>
            </w:r>
          </w:p>
        </w:tc>
        <w:tc>
          <w:tcPr>
            <w:tcW w:w="3412" w:type="pct"/>
            <w:vAlign w:val="center"/>
          </w:tcPr>
          <w:p w14:paraId="71556F0D">
            <w:pPr>
              <w:keepNext w:val="0"/>
              <w:keepLines w:val="0"/>
              <w:pageBreakBefore w:val="0"/>
              <w:widowControl w:val="0"/>
              <w:kinsoku/>
              <w:wordWrap/>
              <w:overflowPunct/>
              <w:topLinePunct w:val="0"/>
              <w:autoSpaceDE w:val="0"/>
              <w:autoSpaceDN w:val="0"/>
              <w:bidi w:val="0"/>
              <w:adjustRightInd/>
              <w:snapToGrid/>
              <w:spacing w:line="400" w:lineRule="exact"/>
              <w:jc w:val="left"/>
              <w:textAlignment w:val="auto"/>
              <w:rPr>
                <w:rFonts w:ascii="宋体" w:hAnsi="宋体" w:cs="宋体"/>
                <w:color w:val="auto"/>
                <w:szCs w:val="21"/>
                <w:highlight w:val="none"/>
              </w:rPr>
            </w:pPr>
            <w:r>
              <w:rPr>
                <w:rFonts w:hint="eastAsia" w:ascii="宋体" w:hAnsi="宋体" w:cs="宋体"/>
                <w:color w:val="auto"/>
                <w:szCs w:val="21"/>
                <w:highlight w:val="none"/>
              </w:rPr>
              <w:t>竞争性谈判文件中标识“</w:t>
            </w:r>
            <w:r>
              <w:rPr>
                <w:rFonts w:eastAsia="黑体"/>
                <w:color w:val="auto"/>
                <w:sz w:val="32"/>
                <w:szCs w:val="32"/>
                <w:highlight w:val="none"/>
              </w:rPr>
              <w:sym w:font="Wingdings" w:char="00AB"/>
            </w:r>
            <w:r>
              <w:rPr>
                <w:rFonts w:hint="eastAsia" w:ascii="宋体" w:hAnsi="宋体" w:cs="宋体"/>
                <w:color w:val="auto"/>
                <w:szCs w:val="21"/>
                <w:highlight w:val="none"/>
              </w:rPr>
              <w:t>”的条款，均为实质性条款，任何不满足实质性条款的谈判响应将被否决。</w:t>
            </w:r>
          </w:p>
        </w:tc>
      </w:tr>
      <w:tr w14:paraId="06CC3E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5" w:type="pct"/>
            <w:vAlign w:val="center"/>
          </w:tcPr>
          <w:p w14:paraId="6907BAAC">
            <w:pPr>
              <w:keepNext w:val="0"/>
              <w:keepLines w:val="0"/>
              <w:pageBreakBefore w:val="0"/>
              <w:widowControl w:val="0"/>
              <w:kinsoku/>
              <w:wordWrap/>
              <w:overflowPunct/>
              <w:topLinePunct w:val="0"/>
              <w:bidi w:val="0"/>
              <w:adjustRightInd/>
              <w:snapToGrid/>
              <w:spacing w:line="400" w:lineRule="exact"/>
              <w:jc w:val="center"/>
              <w:textAlignment w:val="auto"/>
              <w:rPr>
                <w:rFonts w:ascii="宋体" w:hAnsi="宋体" w:cs="宋体"/>
                <w:color w:val="auto"/>
                <w:szCs w:val="21"/>
                <w:highlight w:val="none"/>
              </w:rPr>
            </w:pPr>
            <w:r>
              <w:rPr>
                <w:rFonts w:hint="eastAsia" w:ascii="宋体" w:hAnsi="宋体" w:cs="宋体"/>
                <w:color w:val="auto"/>
                <w:szCs w:val="21"/>
                <w:highlight w:val="none"/>
              </w:rPr>
              <w:t>2.2.1</w:t>
            </w:r>
          </w:p>
        </w:tc>
        <w:tc>
          <w:tcPr>
            <w:tcW w:w="1031" w:type="pct"/>
            <w:vAlign w:val="center"/>
          </w:tcPr>
          <w:p w14:paraId="002B23E1">
            <w:pPr>
              <w:keepNext w:val="0"/>
              <w:keepLines w:val="0"/>
              <w:pageBreakBefore w:val="0"/>
              <w:widowControl w:val="0"/>
              <w:kinsoku/>
              <w:wordWrap/>
              <w:overflowPunct/>
              <w:topLinePunct w:val="0"/>
              <w:bidi w:val="0"/>
              <w:adjustRightInd/>
              <w:snapToGrid/>
              <w:spacing w:line="400" w:lineRule="exact"/>
              <w:jc w:val="left"/>
              <w:textAlignment w:val="auto"/>
              <w:rPr>
                <w:rFonts w:ascii="宋体" w:hAnsi="宋体" w:cs="宋体"/>
                <w:color w:val="auto"/>
                <w:szCs w:val="21"/>
                <w:highlight w:val="none"/>
              </w:rPr>
            </w:pPr>
            <w:r>
              <w:rPr>
                <w:rFonts w:hint="eastAsia" w:ascii="宋体" w:hAnsi="宋体" w:cs="宋体"/>
                <w:color w:val="auto"/>
                <w:szCs w:val="21"/>
                <w:highlight w:val="none"/>
              </w:rPr>
              <w:t>响应人提出澄清要求的截止时间和方式</w:t>
            </w:r>
          </w:p>
        </w:tc>
        <w:tc>
          <w:tcPr>
            <w:tcW w:w="3412" w:type="pct"/>
            <w:vAlign w:val="center"/>
          </w:tcPr>
          <w:p w14:paraId="108D5135">
            <w:pPr>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ascii="宋体" w:hAnsi="宋体" w:cs="宋体"/>
                <w:color w:val="auto"/>
                <w:szCs w:val="21"/>
                <w:highlight w:val="none"/>
              </w:rPr>
            </w:pPr>
            <w:r>
              <w:rPr>
                <w:rFonts w:hint="eastAsia" w:ascii="宋体" w:hAnsi="宋体" w:cs="宋体"/>
                <w:color w:val="auto"/>
                <w:szCs w:val="21"/>
                <w:highlight w:val="none"/>
              </w:rPr>
              <w:t>响应人应当在提交响应文件截止时间至少2日前提出澄清要求。</w:t>
            </w:r>
          </w:p>
          <w:p w14:paraId="6B3D5B01">
            <w:pPr>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ascii="宋体" w:hAnsi="宋体" w:cs="宋体"/>
                <w:color w:val="auto"/>
                <w:szCs w:val="21"/>
                <w:highlight w:val="none"/>
              </w:rPr>
            </w:pPr>
            <w:r>
              <w:rPr>
                <w:rFonts w:hint="eastAsia" w:ascii="宋体" w:hAnsi="宋体" w:cs="宋体"/>
                <w:color w:val="auto"/>
                <w:szCs w:val="21"/>
                <w:highlight w:val="none"/>
              </w:rPr>
              <w:t>提出澄清要求的方式：书面方式</w:t>
            </w:r>
          </w:p>
        </w:tc>
      </w:tr>
      <w:tr w14:paraId="3C8738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5" w:type="pct"/>
            <w:vAlign w:val="center"/>
          </w:tcPr>
          <w:p w14:paraId="119CB7D0">
            <w:pPr>
              <w:keepNext w:val="0"/>
              <w:keepLines w:val="0"/>
              <w:pageBreakBefore w:val="0"/>
              <w:widowControl w:val="0"/>
              <w:kinsoku/>
              <w:wordWrap/>
              <w:overflowPunct/>
              <w:topLinePunct w:val="0"/>
              <w:bidi w:val="0"/>
              <w:adjustRightInd/>
              <w:snapToGrid/>
              <w:spacing w:line="400" w:lineRule="exact"/>
              <w:jc w:val="center"/>
              <w:textAlignment w:val="auto"/>
              <w:rPr>
                <w:rFonts w:ascii="宋体" w:hAnsi="宋体" w:cs="宋体"/>
                <w:color w:val="auto"/>
                <w:szCs w:val="21"/>
                <w:highlight w:val="none"/>
              </w:rPr>
            </w:pPr>
            <w:r>
              <w:rPr>
                <w:rFonts w:hint="eastAsia" w:ascii="宋体" w:hAnsi="宋体" w:cs="宋体"/>
                <w:color w:val="auto"/>
                <w:szCs w:val="21"/>
                <w:highlight w:val="none"/>
              </w:rPr>
              <w:t>2.2.2</w:t>
            </w:r>
          </w:p>
        </w:tc>
        <w:tc>
          <w:tcPr>
            <w:tcW w:w="1031" w:type="pct"/>
            <w:vAlign w:val="center"/>
          </w:tcPr>
          <w:p w14:paraId="3DE399E9">
            <w:pPr>
              <w:keepNext w:val="0"/>
              <w:keepLines w:val="0"/>
              <w:pageBreakBefore w:val="0"/>
              <w:widowControl w:val="0"/>
              <w:kinsoku/>
              <w:wordWrap/>
              <w:overflowPunct/>
              <w:topLinePunct w:val="0"/>
              <w:bidi w:val="0"/>
              <w:adjustRightInd/>
              <w:snapToGrid/>
              <w:spacing w:line="400" w:lineRule="exact"/>
              <w:jc w:val="left"/>
              <w:textAlignment w:val="auto"/>
              <w:rPr>
                <w:rFonts w:ascii="宋体" w:hAnsi="宋体" w:cs="宋体"/>
                <w:color w:val="auto"/>
                <w:szCs w:val="21"/>
                <w:highlight w:val="none"/>
              </w:rPr>
            </w:pPr>
            <w:r>
              <w:rPr>
                <w:rFonts w:hint="eastAsia" w:ascii="宋体" w:hAnsi="宋体" w:cs="宋体"/>
                <w:color w:val="auto"/>
                <w:szCs w:val="21"/>
                <w:highlight w:val="none"/>
              </w:rPr>
              <w:t>采购人澄清或修改发布方式</w:t>
            </w:r>
          </w:p>
        </w:tc>
        <w:tc>
          <w:tcPr>
            <w:tcW w:w="3412" w:type="pct"/>
            <w:vAlign w:val="center"/>
          </w:tcPr>
          <w:p w14:paraId="60831258">
            <w:pPr>
              <w:keepNext w:val="0"/>
              <w:keepLines w:val="0"/>
              <w:pageBreakBefore w:val="0"/>
              <w:widowControl w:val="0"/>
              <w:kinsoku/>
              <w:wordWrap/>
              <w:overflowPunct/>
              <w:topLinePunct w:val="0"/>
              <w:autoSpaceDE w:val="0"/>
              <w:autoSpaceDN w:val="0"/>
              <w:bidi w:val="0"/>
              <w:adjustRightInd/>
              <w:snapToGrid/>
              <w:spacing w:line="400" w:lineRule="exact"/>
              <w:textAlignment w:val="auto"/>
              <w:rPr>
                <w:color w:val="auto"/>
                <w:highlight w:val="none"/>
              </w:rPr>
            </w:pPr>
            <w:r>
              <w:rPr>
                <w:rFonts w:hint="eastAsia" w:ascii="宋体" w:hAnsi="宋体" w:cs="宋体"/>
                <w:color w:val="auto"/>
                <w:szCs w:val="21"/>
                <w:highlight w:val="none"/>
              </w:rPr>
              <w:t>采购人发出的澄清或修改内容统一以补充通知文件形式发布在</w:t>
            </w:r>
            <w:r>
              <w:rPr>
                <w:rFonts w:hint="eastAsia"/>
                <w:color w:val="auto"/>
                <w:highlight w:val="none"/>
                <w:u w:val="single"/>
              </w:rPr>
              <w:t>东莞实业投资控股集团有限公司网站（网址：http://www.dgsy.com.cn/）</w:t>
            </w:r>
            <w:r>
              <w:rPr>
                <w:rFonts w:hint="eastAsia"/>
                <w:color w:val="auto"/>
                <w:highlight w:val="none"/>
              </w:rPr>
              <w:t>，视为潜在竞争性谈判响应人已获取相关文件。</w:t>
            </w:r>
          </w:p>
          <w:p w14:paraId="3B92D85B">
            <w:pPr>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ascii="宋体" w:hAnsi="宋体" w:cs="宋体"/>
                <w:color w:val="auto"/>
                <w:szCs w:val="21"/>
                <w:highlight w:val="none"/>
              </w:rPr>
            </w:pPr>
            <w:r>
              <w:rPr>
                <w:rFonts w:hint="eastAsia"/>
                <w:color w:val="auto"/>
                <w:highlight w:val="none"/>
              </w:rPr>
              <w:t>若潜在竞争性谈判响应人未留意或未及时获取</w:t>
            </w:r>
            <w:r>
              <w:rPr>
                <w:rFonts w:hint="eastAsia" w:ascii="宋体" w:hAnsi="宋体" w:cs="宋体"/>
                <w:color w:val="auto"/>
                <w:szCs w:val="21"/>
                <w:highlight w:val="none"/>
              </w:rPr>
              <w:t>补充通知文件</w:t>
            </w:r>
            <w:r>
              <w:rPr>
                <w:rFonts w:hint="eastAsia"/>
                <w:color w:val="auto"/>
                <w:highlight w:val="none"/>
              </w:rPr>
              <w:t>，一切后果由竞争性谈判响应人自行承担。</w:t>
            </w:r>
          </w:p>
        </w:tc>
      </w:tr>
      <w:tr w14:paraId="767948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5" w:type="pct"/>
            <w:vAlign w:val="center"/>
          </w:tcPr>
          <w:p w14:paraId="40FC1A00">
            <w:pPr>
              <w:keepNext w:val="0"/>
              <w:keepLines w:val="0"/>
              <w:pageBreakBefore w:val="0"/>
              <w:widowControl w:val="0"/>
              <w:kinsoku/>
              <w:wordWrap/>
              <w:overflowPunct/>
              <w:topLinePunct w:val="0"/>
              <w:bidi w:val="0"/>
              <w:adjustRightInd/>
              <w:snapToGrid/>
              <w:spacing w:line="400" w:lineRule="exact"/>
              <w:jc w:val="center"/>
              <w:textAlignment w:val="auto"/>
              <w:rPr>
                <w:color w:val="auto"/>
                <w:szCs w:val="21"/>
                <w:highlight w:val="none"/>
              </w:rPr>
            </w:pPr>
            <w:r>
              <w:rPr>
                <w:rFonts w:hint="eastAsia"/>
                <w:color w:val="auto"/>
                <w:szCs w:val="21"/>
                <w:highlight w:val="none"/>
              </w:rPr>
              <w:t>3.2.2</w:t>
            </w:r>
          </w:p>
        </w:tc>
        <w:tc>
          <w:tcPr>
            <w:tcW w:w="1031" w:type="pct"/>
            <w:vAlign w:val="center"/>
          </w:tcPr>
          <w:p w14:paraId="4771A545">
            <w:pPr>
              <w:keepNext w:val="0"/>
              <w:keepLines w:val="0"/>
              <w:pageBreakBefore w:val="0"/>
              <w:widowControl w:val="0"/>
              <w:kinsoku/>
              <w:wordWrap/>
              <w:overflowPunct/>
              <w:topLinePunct w:val="0"/>
              <w:bidi w:val="0"/>
              <w:adjustRightInd/>
              <w:snapToGrid/>
              <w:spacing w:line="400" w:lineRule="exact"/>
              <w:jc w:val="left"/>
              <w:textAlignment w:val="auto"/>
              <w:rPr>
                <w:color w:val="auto"/>
                <w:szCs w:val="21"/>
                <w:highlight w:val="none"/>
              </w:rPr>
            </w:pPr>
            <w:r>
              <w:rPr>
                <w:rFonts w:hint="eastAsia" w:ascii="宋体" w:hAnsi="宋体" w:cs="宋体"/>
                <w:color w:val="auto"/>
                <w:szCs w:val="21"/>
                <w:highlight w:val="none"/>
              </w:rPr>
              <w:t>响应文件响应和编写</w:t>
            </w:r>
          </w:p>
        </w:tc>
        <w:tc>
          <w:tcPr>
            <w:tcW w:w="3412" w:type="pct"/>
            <w:vAlign w:val="center"/>
          </w:tcPr>
          <w:p w14:paraId="1F050291">
            <w:pPr>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ascii="宋体" w:hAnsi="宋体" w:cs="宋体"/>
                <w:color w:val="auto"/>
                <w:szCs w:val="21"/>
                <w:highlight w:val="none"/>
              </w:rPr>
            </w:pPr>
            <w:r>
              <w:rPr>
                <w:rFonts w:hint="eastAsia" w:ascii="宋体" w:hAnsi="宋体" w:cs="宋体"/>
                <w:color w:val="auto"/>
                <w:szCs w:val="21"/>
                <w:highlight w:val="none"/>
              </w:rPr>
              <w:t>本条款增加规定：</w:t>
            </w:r>
          </w:p>
          <w:p w14:paraId="3B0A6D17">
            <w:pPr>
              <w:keepNext w:val="0"/>
              <w:keepLines w:val="0"/>
              <w:pageBreakBefore w:val="0"/>
              <w:widowControl w:val="0"/>
              <w:numPr>
                <w:ilvl w:val="0"/>
                <w:numId w:val="0"/>
              </w:numPr>
              <w:tabs>
                <w:tab w:val="left" w:pos="318"/>
              </w:tabs>
              <w:kinsoku/>
              <w:wordWrap/>
              <w:overflowPunct/>
              <w:topLinePunct w:val="0"/>
              <w:bidi w:val="0"/>
              <w:adjustRightInd/>
              <w:snapToGrid/>
              <w:spacing w:line="400" w:lineRule="exact"/>
              <w:ind w:left="360" w:leftChars="0" w:hanging="360" w:firstLineChars="0"/>
              <w:textAlignment w:val="auto"/>
              <w:rPr>
                <w:rFonts w:ascii="宋体" w:hAnsi="宋体"/>
                <w:color w:val="auto"/>
                <w:szCs w:val="21"/>
                <w:highlight w:val="none"/>
              </w:rPr>
            </w:pPr>
            <w:r>
              <w:rPr>
                <w:rFonts w:hint="default" w:ascii="宋体" w:hAnsi="宋体" w:eastAsia="宋体" w:cs="Times New Roman"/>
                <w:color w:val="auto"/>
                <w:kern w:val="2"/>
                <w:sz w:val="21"/>
                <w:szCs w:val="21"/>
                <w:highlight w:val="none"/>
                <w:lang w:val="en-US" w:eastAsia="zh-CN" w:bidi="ar-SA"/>
              </w:rPr>
              <w:t>1.</w:t>
            </w:r>
            <w:r>
              <w:rPr>
                <w:rFonts w:hint="eastAsia" w:ascii="宋体" w:hAnsi="宋体"/>
                <w:color w:val="auto"/>
                <w:szCs w:val="21"/>
                <w:highlight w:val="none"/>
              </w:rPr>
              <w:t>响应人应</w:t>
            </w:r>
            <w:r>
              <w:rPr>
                <w:rFonts w:ascii="宋体" w:hAnsi="宋体"/>
                <w:color w:val="auto"/>
                <w:szCs w:val="21"/>
                <w:highlight w:val="none"/>
              </w:rPr>
              <w:t>对竞争性谈判文件中的</w:t>
            </w:r>
            <w:r>
              <w:rPr>
                <w:rFonts w:hint="eastAsia" w:ascii="宋体" w:hAnsi="宋体"/>
                <w:color w:val="auto"/>
                <w:szCs w:val="21"/>
                <w:highlight w:val="none"/>
              </w:rPr>
              <w:t>《</w:t>
            </w:r>
            <w:r>
              <w:rPr>
                <w:rFonts w:hint="eastAsia" w:ascii="宋体" w:hAnsi="宋体" w:cs="宋体"/>
                <w:color w:val="auto"/>
                <w:szCs w:val="21"/>
                <w:highlight w:val="none"/>
              </w:rPr>
              <w:t>“</w:t>
            </w:r>
            <w:r>
              <w:rPr>
                <w:rFonts w:eastAsia="黑体"/>
                <w:b/>
                <w:color w:val="auto"/>
                <w:sz w:val="32"/>
                <w:szCs w:val="32"/>
                <w:highlight w:val="none"/>
              </w:rPr>
              <w:sym w:font="Wingdings" w:char="00AB"/>
            </w:r>
            <w:r>
              <w:rPr>
                <w:rFonts w:hint="eastAsia" w:ascii="宋体" w:hAnsi="宋体" w:cs="宋体"/>
                <w:color w:val="auto"/>
                <w:szCs w:val="21"/>
                <w:highlight w:val="none"/>
              </w:rPr>
              <w:t>”</w:t>
            </w:r>
            <w:r>
              <w:rPr>
                <w:rFonts w:hint="eastAsia" w:ascii="宋体" w:hAnsi="宋体"/>
                <w:color w:val="auto"/>
                <w:szCs w:val="21"/>
                <w:highlight w:val="none"/>
              </w:rPr>
              <w:t>号条款响应表》填写实质性条款响应情况。</w:t>
            </w:r>
            <w:r>
              <w:rPr>
                <w:rFonts w:hint="eastAsia" w:hAnsi="宋体"/>
                <w:b/>
                <w:color w:val="auto"/>
                <w:szCs w:val="21"/>
                <w:highlight w:val="none"/>
              </w:rPr>
              <w:t>响应人若有一项带“★”的条款未响应或不满足，将按无效响应处理。</w:t>
            </w:r>
          </w:p>
          <w:p w14:paraId="6C12105C">
            <w:pPr>
              <w:keepNext w:val="0"/>
              <w:keepLines w:val="0"/>
              <w:pageBreakBefore w:val="0"/>
              <w:widowControl w:val="0"/>
              <w:numPr>
                <w:ilvl w:val="0"/>
                <w:numId w:val="0"/>
              </w:numPr>
              <w:tabs>
                <w:tab w:val="left" w:pos="318"/>
              </w:tabs>
              <w:kinsoku/>
              <w:wordWrap/>
              <w:overflowPunct/>
              <w:topLinePunct w:val="0"/>
              <w:bidi w:val="0"/>
              <w:adjustRightInd/>
              <w:snapToGrid/>
              <w:spacing w:line="400" w:lineRule="exact"/>
              <w:ind w:left="360" w:leftChars="0" w:hanging="360" w:firstLineChars="0"/>
              <w:textAlignment w:val="auto"/>
              <w:rPr>
                <w:color w:val="auto"/>
                <w:szCs w:val="21"/>
                <w:highlight w:val="none"/>
              </w:rPr>
            </w:pPr>
            <w:r>
              <w:rPr>
                <w:rFonts w:hint="default" w:ascii="Times New Roman" w:hAnsi="Times New Roman" w:eastAsia="宋体" w:cs="Times New Roman"/>
                <w:color w:val="auto"/>
                <w:kern w:val="2"/>
                <w:sz w:val="21"/>
                <w:szCs w:val="21"/>
                <w:highlight w:val="none"/>
                <w:lang w:val="en-US" w:eastAsia="zh-CN" w:bidi="ar-SA"/>
              </w:rPr>
              <w:t>2.</w:t>
            </w:r>
            <w:r>
              <w:rPr>
                <w:rFonts w:hint="eastAsia" w:ascii="宋体" w:hAnsi="宋体" w:cs="宋体"/>
                <w:bCs/>
                <w:color w:val="auto"/>
                <w:szCs w:val="21"/>
                <w:highlight w:val="none"/>
              </w:rPr>
              <w:t>响应人对竞争性谈判文件中</w:t>
            </w:r>
            <w:r>
              <w:rPr>
                <w:rFonts w:ascii="宋体" w:hAnsi="宋体"/>
                <w:color w:val="auto"/>
                <w:szCs w:val="21"/>
                <w:highlight w:val="none"/>
              </w:rPr>
              <w:t>“合同条款</w:t>
            </w:r>
            <w:r>
              <w:rPr>
                <w:rFonts w:hint="eastAsia" w:ascii="宋体" w:hAnsi="宋体"/>
                <w:color w:val="auto"/>
                <w:szCs w:val="21"/>
                <w:highlight w:val="none"/>
                <w:lang w:eastAsia="zh-CN"/>
              </w:rPr>
              <w:t>”“</w:t>
            </w:r>
            <w:r>
              <w:rPr>
                <w:rFonts w:hint="eastAsia" w:ascii="宋体" w:hAnsi="宋体"/>
                <w:color w:val="auto"/>
                <w:szCs w:val="21"/>
                <w:highlight w:val="none"/>
              </w:rPr>
              <w:t>用户需求书/技术规范书”</w:t>
            </w:r>
            <w:r>
              <w:rPr>
                <w:rFonts w:hint="eastAsia" w:ascii="宋体" w:hAnsi="宋体" w:cs="宋体"/>
                <w:bCs/>
                <w:color w:val="auto"/>
                <w:szCs w:val="21"/>
                <w:highlight w:val="none"/>
              </w:rPr>
              <w:t>作出的负偏离，采购人如不接受，可要求响应人以竞争性谈判文件中的要求为准，如响应人拒绝的，采购人有权取消其成交资格或取消合同，采购人不作任何补偿。</w:t>
            </w:r>
          </w:p>
        </w:tc>
      </w:tr>
      <w:tr w14:paraId="0467C3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5" w:type="pct"/>
            <w:vAlign w:val="center"/>
          </w:tcPr>
          <w:p w14:paraId="252EE9EF">
            <w:pPr>
              <w:keepNext w:val="0"/>
              <w:keepLines w:val="0"/>
              <w:pageBreakBefore w:val="0"/>
              <w:widowControl w:val="0"/>
              <w:kinsoku/>
              <w:wordWrap/>
              <w:overflowPunct/>
              <w:topLinePunct w:val="0"/>
              <w:bidi w:val="0"/>
              <w:adjustRightInd/>
              <w:snapToGrid/>
              <w:spacing w:line="400" w:lineRule="exact"/>
              <w:jc w:val="center"/>
              <w:textAlignment w:val="auto"/>
              <w:rPr>
                <w:color w:val="auto"/>
                <w:szCs w:val="21"/>
                <w:highlight w:val="none"/>
              </w:rPr>
            </w:pPr>
            <w:r>
              <w:rPr>
                <w:rFonts w:hint="eastAsia"/>
                <w:color w:val="auto"/>
                <w:szCs w:val="21"/>
                <w:highlight w:val="none"/>
              </w:rPr>
              <w:t>3.2.4</w:t>
            </w:r>
          </w:p>
        </w:tc>
        <w:tc>
          <w:tcPr>
            <w:tcW w:w="1031" w:type="pct"/>
            <w:vAlign w:val="center"/>
          </w:tcPr>
          <w:p w14:paraId="56F3314E">
            <w:pPr>
              <w:keepNext w:val="0"/>
              <w:keepLines w:val="0"/>
              <w:pageBreakBefore w:val="0"/>
              <w:widowControl w:val="0"/>
              <w:kinsoku/>
              <w:wordWrap/>
              <w:overflowPunct/>
              <w:topLinePunct w:val="0"/>
              <w:bidi w:val="0"/>
              <w:adjustRightInd/>
              <w:snapToGrid/>
              <w:spacing w:line="400" w:lineRule="exact"/>
              <w:jc w:val="left"/>
              <w:textAlignment w:val="auto"/>
              <w:rPr>
                <w:color w:val="auto"/>
                <w:szCs w:val="21"/>
                <w:highlight w:val="none"/>
              </w:rPr>
            </w:pPr>
            <w:r>
              <w:rPr>
                <w:rFonts w:hint="eastAsia" w:ascii="宋体" w:hAnsi="宋体" w:cs="宋体"/>
                <w:color w:val="auto"/>
                <w:szCs w:val="21"/>
                <w:highlight w:val="none"/>
              </w:rPr>
              <w:t>响应文件的盖章</w:t>
            </w:r>
          </w:p>
        </w:tc>
        <w:tc>
          <w:tcPr>
            <w:tcW w:w="3412" w:type="pct"/>
            <w:vAlign w:val="center"/>
          </w:tcPr>
          <w:p w14:paraId="3981BEA0">
            <w:pPr>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ascii="宋体" w:hAnsi="宋体" w:cs="宋体"/>
                <w:color w:val="auto"/>
                <w:szCs w:val="21"/>
                <w:highlight w:val="none"/>
              </w:rPr>
            </w:pPr>
            <w:r>
              <w:rPr>
                <w:rFonts w:hint="eastAsia" w:ascii="宋体" w:hAnsi="宋体" w:cs="宋体"/>
                <w:color w:val="auto"/>
                <w:szCs w:val="21"/>
                <w:highlight w:val="none"/>
              </w:rPr>
              <w:t>本条款增加规定：</w:t>
            </w:r>
          </w:p>
          <w:p w14:paraId="0BCCBB18">
            <w:pPr>
              <w:keepNext w:val="0"/>
              <w:keepLines w:val="0"/>
              <w:pageBreakBefore w:val="0"/>
              <w:widowControl w:val="0"/>
              <w:numPr>
                <w:ilvl w:val="0"/>
                <w:numId w:val="0"/>
              </w:numPr>
              <w:kinsoku/>
              <w:wordWrap/>
              <w:overflowPunct/>
              <w:topLinePunct w:val="0"/>
              <w:bidi w:val="0"/>
              <w:adjustRightInd/>
              <w:snapToGrid/>
              <w:spacing w:line="400" w:lineRule="exact"/>
              <w:ind w:left="360" w:leftChars="0" w:hanging="360" w:firstLineChars="0"/>
              <w:textAlignment w:val="auto"/>
              <w:rPr>
                <w:rFonts w:ascii="宋体" w:hAnsi="宋体"/>
                <w:b/>
                <w:color w:val="auto"/>
                <w:szCs w:val="21"/>
                <w:highlight w:val="none"/>
              </w:rPr>
            </w:pPr>
            <w:r>
              <w:rPr>
                <w:rFonts w:hint="default" w:ascii="宋体" w:hAnsi="宋体" w:eastAsia="宋体" w:cs="Times New Roman"/>
                <w:b/>
                <w:color w:val="auto"/>
                <w:kern w:val="2"/>
                <w:sz w:val="21"/>
                <w:szCs w:val="21"/>
                <w:highlight w:val="none"/>
                <w:lang w:val="en-US" w:eastAsia="zh-CN" w:bidi="ar-SA"/>
              </w:rPr>
              <w:t>1.</w:t>
            </w:r>
            <w:r>
              <w:rPr>
                <w:rFonts w:hint="eastAsia" w:ascii="宋体" w:hAnsi="宋体"/>
                <w:b/>
                <w:color w:val="auto"/>
                <w:szCs w:val="21"/>
                <w:highlight w:val="none"/>
              </w:rPr>
              <w:t>响应文件中凡出现响应人单位落款的地方</w:t>
            </w:r>
            <w:r>
              <w:rPr>
                <w:rFonts w:hint="eastAsia" w:ascii="宋体" w:hAnsi="宋体"/>
                <w:b/>
                <w:color w:val="auto"/>
                <w:szCs w:val="21"/>
                <w:highlight w:val="none"/>
                <w:lang w:eastAsia="zh-CN"/>
              </w:rPr>
              <w:t>应加</w:t>
            </w:r>
            <w:r>
              <w:rPr>
                <w:rFonts w:hint="eastAsia" w:ascii="宋体" w:hAnsi="宋体"/>
                <w:b/>
                <w:color w:val="auto"/>
                <w:szCs w:val="21"/>
                <w:highlight w:val="none"/>
              </w:rPr>
              <w:t>盖单位公章，如使用依照国家行政部门要求已备案的投标专用章、业务专用章的，应提供所使用印章的合法备案证明（复印件需加盖公章）。</w:t>
            </w:r>
          </w:p>
          <w:p w14:paraId="1BEFACBB">
            <w:pPr>
              <w:keepNext w:val="0"/>
              <w:keepLines w:val="0"/>
              <w:pageBreakBefore w:val="0"/>
              <w:widowControl w:val="0"/>
              <w:numPr>
                <w:ilvl w:val="0"/>
                <w:numId w:val="0"/>
              </w:numPr>
              <w:kinsoku/>
              <w:wordWrap/>
              <w:overflowPunct/>
              <w:topLinePunct w:val="0"/>
              <w:bidi w:val="0"/>
              <w:adjustRightInd/>
              <w:snapToGrid/>
              <w:spacing w:line="400" w:lineRule="exact"/>
              <w:ind w:left="360" w:leftChars="0" w:hanging="360" w:firstLineChars="0"/>
              <w:textAlignment w:val="auto"/>
              <w:rPr>
                <w:rFonts w:ascii="宋体" w:hAnsi="宋体"/>
                <w:color w:val="auto"/>
                <w:szCs w:val="21"/>
                <w:highlight w:val="none"/>
              </w:rPr>
            </w:pPr>
            <w:r>
              <w:rPr>
                <w:rFonts w:hint="default" w:ascii="宋体" w:hAnsi="宋体" w:eastAsia="宋体" w:cs="Times New Roman"/>
                <w:color w:val="auto"/>
                <w:kern w:val="2"/>
                <w:sz w:val="21"/>
                <w:szCs w:val="21"/>
                <w:highlight w:val="none"/>
                <w:lang w:val="en-US" w:eastAsia="zh-CN" w:bidi="ar-SA"/>
              </w:rPr>
              <w:t>2.</w:t>
            </w:r>
            <w:r>
              <w:rPr>
                <w:rFonts w:hint="eastAsia" w:ascii="宋体" w:hAnsi="宋体"/>
                <w:color w:val="auto"/>
                <w:szCs w:val="21"/>
                <w:highlight w:val="none"/>
              </w:rPr>
              <w:t>同时响应文件盖章必须符合以下其中一种：</w:t>
            </w:r>
          </w:p>
          <w:p w14:paraId="46F4FA0F">
            <w:pPr>
              <w:keepNext w:val="0"/>
              <w:keepLines w:val="0"/>
              <w:pageBreakBefore w:val="0"/>
              <w:widowControl w:val="0"/>
              <w:numPr>
                <w:ilvl w:val="0"/>
                <w:numId w:val="0"/>
              </w:numPr>
              <w:kinsoku/>
              <w:wordWrap/>
              <w:overflowPunct/>
              <w:topLinePunct w:val="0"/>
              <w:bidi w:val="0"/>
              <w:adjustRightInd/>
              <w:snapToGrid/>
              <w:spacing w:line="400" w:lineRule="exact"/>
              <w:ind w:left="381" w:leftChars="0" w:hanging="381" w:firstLineChars="0"/>
              <w:textAlignment w:val="auto"/>
              <w:rPr>
                <w:rFonts w:ascii="宋体" w:hAnsi="宋体"/>
                <w:color w:val="auto"/>
                <w:szCs w:val="21"/>
                <w:highlight w:val="none"/>
              </w:rPr>
            </w:pPr>
            <w:r>
              <w:rPr>
                <w:rFonts w:hint="eastAsia" w:ascii="宋体" w:hAnsi="宋体" w:cs="Times New Roman"/>
                <w:color w:val="auto"/>
                <w:kern w:val="2"/>
                <w:sz w:val="21"/>
                <w:szCs w:val="21"/>
                <w:highlight w:val="none"/>
                <w:lang w:val="en-US" w:eastAsia="zh-CN" w:bidi="ar-SA"/>
              </w:rPr>
              <w:t>1）</w:t>
            </w:r>
            <w:r>
              <w:rPr>
                <w:rFonts w:hint="eastAsia" w:ascii="宋体" w:hAnsi="宋体"/>
                <w:color w:val="auto"/>
                <w:szCs w:val="21"/>
                <w:highlight w:val="none"/>
              </w:rPr>
              <w:t>加盖响应人单位骑缝章；</w:t>
            </w:r>
          </w:p>
          <w:p w14:paraId="4A5F2778">
            <w:pPr>
              <w:keepNext w:val="0"/>
              <w:keepLines w:val="0"/>
              <w:pageBreakBefore w:val="0"/>
              <w:widowControl w:val="0"/>
              <w:numPr>
                <w:ilvl w:val="0"/>
                <w:numId w:val="0"/>
              </w:numPr>
              <w:kinsoku/>
              <w:wordWrap/>
              <w:overflowPunct/>
              <w:topLinePunct w:val="0"/>
              <w:bidi w:val="0"/>
              <w:adjustRightInd/>
              <w:snapToGrid/>
              <w:spacing w:line="400" w:lineRule="exact"/>
              <w:ind w:left="381" w:leftChars="0" w:hanging="381" w:firstLineChars="0"/>
              <w:textAlignment w:val="auto"/>
              <w:rPr>
                <w:rFonts w:ascii="宋体" w:hAnsi="宋体"/>
                <w:color w:val="auto"/>
                <w:szCs w:val="21"/>
                <w:highlight w:val="none"/>
              </w:rPr>
            </w:pPr>
            <w:r>
              <w:rPr>
                <w:rFonts w:hint="eastAsia" w:ascii="宋体" w:hAnsi="宋体" w:cs="Times New Roman"/>
                <w:color w:val="auto"/>
                <w:kern w:val="2"/>
                <w:sz w:val="21"/>
                <w:szCs w:val="21"/>
                <w:highlight w:val="none"/>
                <w:lang w:val="en-US" w:eastAsia="zh-CN" w:bidi="ar-SA"/>
              </w:rPr>
              <w:t>2）</w:t>
            </w:r>
            <w:r>
              <w:rPr>
                <w:rFonts w:hint="eastAsia" w:ascii="宋体" w:hAnsi="宋体"/>
                <w:color w:val="auto"/>
                <w:szCs w:val="21"/>
                <w:highlight w:val="none"/>
              </w:rPr>
              <w:t xml:space="preserve">逐页加盖响应人单位印章。 </w:t>
            </w:r>
          </w:p>
          <w:p w14:paraId="34C9DED9">
            <w:pPr>
              <w:pStyle w:val="69"/>
              <w:keepNext w:val="0"/>
              <w:keepLines w:val="0"/>
              <w:pageBreakBefore w:val="0"/>
              <w:widowControl w:val="0"/>
              <w:kinsoku/>
              <w:wordWrap/>
              <w:overflowPunct/>
              <w:topLinePunct w:val="0"/>
              <w:bidi w:val="0"/>
              <w:adjustRightInd/>
              <w:snapToGrid/>
              <w:spacing w:line="400" w:lineRule="exact"/>
              <w:ind w:firstLine="0" w:firstLineChars="0"/>
              <w:textAlignment w:val="auto"/>
              <w:rPr>
                <w:color w:val="auto"/>
                <w:szCs w:val="21"/>
                <w:highlight w:val="none"/>
              </w:rPr>
            </w:pPr>
            <w:r>
              <w:rPr>
                <w:rFonts w:hint="eastAsia" w:ascii="宋体" w:hAnsi="宋体"/>
                <w:b/>
                <w:color w:val="auto"/>
                <w:szCs w:val="21"/>
                <w:highlight w:val="none"/>
              </w:rPr>
              <w:t>请按上述要求制作响应文件，否则其谈判响应将被否决。</w:t>
            </w:r>
          </w:p>
        </w:tc>
      </w:tr>
      <w:tr w14:paraId="7D1C50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5" w:type="pct"/>
            <w:vAlign w:val="center"/>
          </w:tcPr>
          <w:p w14:paraId="03AF711B">
            <w:pPr>
              <w:keepNext w:val="0"/>
              <w:keepLines w:val="0"/>
              <w:pageBreakBefore w:val="0"/>
              <w:widowControl w:val="0"/>
              <w:kinsoku/>
              <w:wordWrap/>
              <w:overflowPunct/>
              <w:topLinePunct w:val="0"/>
              <w:bidi w:val="0"/>
              <w:adjustRightInd/>
              <w:snapToGrid/>
              <w:spacing w:line="400" w:lineRule="exact"/>
              <w:jc w:val="center"/>
              <w:textAlignment w:val="auto"/>
              <w:rPr>
                <w:color w:val="auto"/>
                <w:szCs w:val="21"/>
                <w:highlight w:val="none"/>
              </w:rPr>
            </w:pPr>
            <w:r>
              <w:rPr>
                <w:rFonts w:hint="eastAsia"/>
                <w:color w:val="auto"/>
                <w:szCs w:val="21"/>
                <w:highlight w:val="none"/>
              </w:rPr>
              <w:t>3.3</w:t>
            </w:r>
          </w:p>
        </w:tc>
        <w:tc>
          <w:tcPr>
            <w:tcW w:w="1031" w:type="pct"/>
            <w:vAlign w:val="center"/>
          </w:tcPr>
          <w:p w14:paraId="609DA8F5">
            <w:pPr>
              <w:keepNext w:val="0"/>
              <w:keepLines w:val="0"/>
              <w:pageBreakBefore w:val="0"/>
              <w:widowControl w:val="0"/>
              <w:kinsoku/>
              <w:wordWrap/>
              <w:overflowPunct/>
              <w:topLinePunct w:val="0"/>
              <w:bidi w:val="0"/>
              <w:adjustRightInd/>
              <w:snapToGrid/>
              <w:spacing w:line="400" w:lineRule="exact"/>
              <w:jc w:val="center"/>
              <w:textAlignment w:val="auto"/>
              <w:rPr>
                <w:rFonts w:ascii="宋体" w:hAnsi="宋体"/>
                <w:color w:val="auto"/>
                <w:szCs w:val="21"/>
                <w:highlight w:val="none"/>
              </w:rPr>
            </w:pPr>
            <w:r>
              <w:rPr>
                <w:rFonts w:hint="eastAsia" w:ascii="宋体" w:hAnsi="宋体"/>
                <w:color w:val="auto"/>
                <w:szCs w:val="21"/>
                <w:highlight w:val="none"/>
              </w:rPr>
              <w:t>报价方式及具体要求</w:t>
            </w:r>
          </w:p>
        </w:tc>
        <w:tc>
          <w:tcPr>
            <w:tcW w:w="3412" w:type="pct"/>
            <w:vAlign w:val="center"/>
          </w:tcPr>
          <w:p w14:paraId="13C9E5B5">
            <w:pPr>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ascii="宋体" w:hAnsi="宋体" w:cs="宋体"/>
                <w:color w:val="auto"/>
                <w:szCs w:val="21"/>
                <w:highlight w:val="none"/>
              </w:rPr>
            </w:pPr>
            <w:r>
              <w:rPr>
                <w:rFonts w:hint="eastAsia" w:ascii="宋体" w:hAnsi="宋体" w:cs="宋体"/>
                <w:color w:val="auto"/>
                <w:szCs w:val="21"/>
                <w:highlight w:val="none"/>
              </w:rPr>
              <w:t>本条款增加规定：</w:t>
            </w:r>
          </w:p>
          <w:p w14:paraId="36E0F326">
            <w:pPr>
              <w:keepNext w:val="0"/>
              <w:keepLines w:val="0"/>
              <w:pageBreakBefore w:val="0"/>
              <w:widowControl w:val="0"/>
              <w:numPr>
                <w:ilvl w:val="0"/>
                <w:numId w:val="0"/>
              </w:numPr>
              <w:kinsoku/>
              <w:wordWrap/>
              <w:overflowPunct/>
              <w:topLinePunct w:val="0"/>
              <w:bidi w:val="0"/>
              <w:adjustRightInd/>
              <w:snapToGrid/>
              <w:spacing w:line="400" w:lineRule="exact"/>
              <w:ind w:left="420" w:leftChars="0" w:hanging="420" w:firstLineChars="0"/>
              <w:textAlignment w:val="auto"/>
              <w:rPr>
                <w:rFonts w:ascii="宋体" w:hAnsi="宋体"/>
                <w:color w:val="auto"/>
                <w:szCs w:val="21"/>
                <w:highlight w:val="none"/>
              </w:rPr>
            </w:pPr>
            <w:r>
              <w:rPr>
                <w:rFonts w:ascii="宋体" w:hAnsi="宋体" w:eastAsia="宋体" w:cs="Times New Roman"/>
                <w:color w:val="auto"/>
                <w:kern w:val="2"/>
                <w:sz w:val="21"/>
                <w:szCs w:val="21"/>
                <w:highlight w:val="none"/>
                <w:lang w:val="en-US" w:eastAsia="zh-CN" w:bidi="ar-SA"/>
              </w:rPr>
              <w:t>1.</w:t>
            </w:r>
            <w:r>
              <w:rPr>
                <w:rFonts w:hint="eastAsia" w:ascii="宋体" w:hAnsi="宋体"/>
                <w:color w:val="auto"/>
                <w:szCs w:val="21"/>
                <w:highlight w:val="none"/>
              </w:rPr>
              <w:t>本项目采用价税分离的报价方式。</w:t>
            </w:r>
          </w:p>
          <w:p w14:paraId="2203D55F">
            <w:pPr>
              <w:keepNext w:val="0"/>
              <w:keepLines w:val="0"/>
              <w:pageBreakBefore w:val="0"/>
              <w:widowControl w:val="0"/>
              <w:numPr>
                <w:ilvl w:val="0"/>
                <w:numId w:val="0"/>
              </w:numPr>
              <w:kinsoku/>
              <w:wordWrap/>
              <w:overflowPunct/>
              <w:topLinePunct w:val="0"/>
              <w:bidi w:val="0"/>
              <w:adjustRightInd/>
              <w:snapToGrid/>
              <w:spacing w:line="400" w:lineRule="exact"/>
              <w:ind w:left="420" w:leftChars="0" w:hanging="420" w:firstLineChars="0"/>
              <w:textAlignment w:val="auto"/>
              <w:rPr>
                <w:rFonts w:ascii="宋体" w:hAnsi="宋体"/>
                <w:color w:val="auto"/>
                <w:szCs w:val="21"/>
                <w:highlight w:val="none"/>
              </w:rPr>
            </w:pPr>
            <w:r>
              <w:rPr>
                <w:rFonts w:ascii="宋体" w:hAnsi="宋体" w:eastAsia="宋体" w:cs="Times New Roman"/>
                <w:color w:val="auto"/>
                <w:kern w:val="2"/>
                <w:sz w:val="21"/>
                <w:szCs w:val="21"/>
                <w:highlight w:val="none"/>
                <w:lang w:val="en-US" w:eastAsia="zh-CN" w:bidi="ar-SA"/>
              </w:rPr>
              <w:t>2.</w:t>
            </w:r>
            <w:r>
              <w:rPr>
                <w:rFonts w:hint="eastAsia" w:ascii="宋体" w:hAnsi="宋体"/>
                <w:b/>
                <w:color w:val="auto"/>
                <w:szCs w:val="21"/>
                <w:highlight w:val="none"/>
              </w:rPr>
              <w:t>本项目谈判报价</w:t>
            </w:r>
            <w:r>
              <w:rPr>
                <w:rFonts w:hint="eastAsia" w:ascii="宋体" w:hAnsi="宋体"/>
                <w:b/>
                <w:color w:val="auto"/>
                <w:szCs w:val="21"/>
                <w:highlight w:val="none"/>
                <w:lang w:eastAsia="zh-CN"/>
              </w:rPr>
              <w:t>（</w:t>
            </w:r>
            <w:r>
              <w:rPr>
                <w:rFonts w:hint="eastAsia" w:ascii="宋体" w:hAnsi="宋体"/>
                <w:b/>
                <w:color w:val="auto"/>
                <w:szCs w:val="21"/>
                <w:highlight w:val="none"/>
              </w:rPr>
              <w:t>含税）不得超过最高限价。</w:t>
            </w:r>
            <w:r>
              <w:rPr>
                <w:rFonts w:hint="eastAsia" w:ascii="宋体" w:hAnsi="宋体"/>
                <w:color w:val="auto"/>
                <w:szCs w:val="21"/>
                <w:highlight w:val="none"/>
              </w:rPr>
              <w:t>若谈判报价</w:t>
            </w:r>
            <w:r>
              <w:rPr>
                <w:rFonts w:hint="eastAsia" w:ascii="宋体" w:hAnsi="宋体"/>
                <w:color w:val="auto"/>
                <w:szCs w:val="21"/>
                <w:highlight w:val="none"/>
                <w:lang w:eastAsia="zh-CN"/>
              </w:rPr>
              <w:t>（</w:t>
            </w:r>
            <w:r>
              <w:rPr>
                <w:rFonts w:hint="eastAsia" w:ascii="宋体" w:hAnsi="宋体"/>
                <w:color w:val="auto"/>
                <w:szCs w:val="21"/>
                <w:highlight w:val="none"/>
              </w:rPr>
              <w:t>含税）超过谈判最高限价的，或谈判小组按竞争性谈判文件的要求对谈判报价</w:t>
            </w:r>
            <w:r>
              <w:rPr>
                <w:rFonts w:hint="eastAsia" w:ascii="宋体" w:hAnsi="宋体"/>
                <w:color w:val="auto"/>
                <w:szCs w:val="21"/>
                <w:highlight w:val="none"/>
                <w:lang w:eastAsia="zh-CN"/>
              </w:rPr>
              <w:t>（</w:t>
            </w:r>
            <w:r>
              <w:rPr>
                <w:rFonts w:hint="eastAsia" w:ascii="宋体" w:hAnsi="宋体"/>
                <w:color w:val="auto"/>
                <w:szCs w:val="21"/>
                <w:highlight w:val="none"/>
              </w:rPr>
              <w:t>含税）进行修正后的修正价格超过谈判最高限价的，将作否决谈判处理。</w:t>
            </w:r>
          </w:p>
          <w:p w14:paraId="34133638">
            <w:pPr>
              <w:keepNext w:val="0"/>
              <w:keepLines w:val="0"/>
              <w:pageBreakBefore w:val="0"/>
              <w:widowControl w:val="0"/>
              <w:numPr>
                <w:ilvl w:val="0"/>
                <w:numId w:val="0"/>
              </w:numPr>
              <w:kinsoku/>
              <w:wordWrap/>
              <w:overflowPunct/>
              <w:topLinePunct w:val="0"/>
              <w:bidi w:val="0"/>
              <w:adjustRightInd/>
              <w:snapToGrid/>
              <w:spacing w:line="400" w:lineRule="exact"/>
              <w:ind w:left="420" w:leftChars="0" w:hanging="420" w:firstLineChars="0"/>
              <w:textAlignment w:val="auto"/>
              <w:rPr>
                <w:rFonts w:ascii="宋体" w:hAnsi="宋体"/>
                <w:color w:val="auto"/>
                <w:szCs w:val="21"/>
                <w:highlight w:val="none"/>
              </w:rPr>
            </w:pPr>
            <w:r>
              <w:rPr>
                <w:rFonts w:ascii="宋体" w:hAnsi="宋体" w:eastAsia="宋体" w:cs="Times New Roman"/>
                <w:color w:val="auto"/>
                <w:kern w:val="2"/>
                <w:sz w:val="21"/>
                <w:szCs w:val="21"/>
                <w:highlight w:val="none"/>
                <w:lang w:val="en-US" w:eastAsia="zh-CN" w:bidi="ar-SA"/>
              </w:rPr>
              <w:t>3.</w:t>
            </w:r>
            <w:r>
              <w:rPr>
                <w:rFonts w:hint="eastAsia" w:ascii="宋体" w:hAnsi="宋体"/>
                <w:color w:val="auto"/>
                <w:szCs w:val="21"/>
                <w:highlight w:val="none"/>
              </w:rPr>
              <w:t>谈判报价应包括所有材料、人工、利润及相关税费等合同实施过程中的应预见和不可预见</w:t>
            </w:r>
            <w:r>
              <w:rPr>
                <w:rFonts w:hint="eastAsia" w:ascii="宋体" w:hAnsi="宋体"/>
                <w:color w:val="auto"/>
                <w:szCs w:val="21"/>
                <w:highlight w:val="none"/>
                <w:lang w:eastAsia="zh-CN"/>
              </w:rPr>
              <w:t>的</w:t>
            </w:r>
            <w:r>
              <w:rPr>
                <w:rFonts w:hint="eastAsia" w:ascii="宋体" w:hAnsi="宋体"/>
                <w:color w:val="auto"/>
                <w:szCs w:val="21"/>
                <w:highlight w:val="none"/>
              </w:rPr>
              <w:t>所有费用。</w:t>
            </w:r>
          </w:p>
        </w:tc>
      </w:tr>
      <w:tr w14:paraId="4359E7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5" w:type="pct"/>
            <w:vAlign w:val="center"/>
          </w:tcPr>
          <w:p w14:paraId="53930B37">
            <w:pPr>
              <w:keepNext w:val="0"/>
              <w:keepLines w:val="0"/>
              <w:pageBreakBefore w:val="0"/>
              <w:widowControl w:val="0"/>
              <w:kinsoku/>
              <w:wordWrap/>
              <w:overflowPunct/>
              <w:topLinePunct w:val="0"/>
              <w:bidi w:val="0"/>
              <w:adjustRightInd/>
              <w:snapToGrid/>
              <w:spacing w:line="400" w:lineRule="exact"/>
              <w:jc w:val="center"/>
              <w:textAlignment w:val="auto"/>
              <w:rPr>
                <w:color w:val="auto"/>
                <w:szCs w:val="21"/>
                <w:highlight w:val="none"/>
              </w:rPr>
            </w:pPr>
            <w:r>
              <w:rPr>
                <w:color w:val="auto"/>
                <w:szCs w:val="21"/>
                <w:highlight w:val="none"/>
              </w:rPr>
              <w:t>3.</w:t>
            </w:r>
            <w:r>
              <w:rPr>
                <w:rFonts w:hint="eastAsia"/>
                <w:color w:val="auto"/>
                <w:szCs w:val="21"/>
                <w:highlight w:val="none"/>
              </w:rPr>
              <w:t>4.1</w:t>
            </w:r>
          </w:p>
        </w:tc>
        <w:tc>
          <w:tcPr>
            <w:tcW w:w="1031" w:type="pct"/>
            <w:vAlign w:val="center"/>
          </w:tcPr>
          <w:p w14:paraId="071C5916">
            <w:pPr>
              <w:keepNext w:val="0"/>
              <w:keepLines w:val="0"/>
              <w:pageBreakBefore w:val="0"/>
              <w:widowControl w:val="0"/>
              <w:kinsoku/>
              <w:wordWrap/>
              <w:overflowPunct/>
              <w:topLinePunct w:val="0"/>
              <w:bidi w:val="0"/>
              <w:adjustRightInd/>
              <w:snapToGrid/>
              <w:spacing w:line="400" w:lineRule="exact"/>
              <w:jc w:val="left"/>
              <w:textAlignment w:val="auto"/>
              <w:rPr>
                <w:color w:val="auto"/>
                <w:szCs w:val="21"/>
                <w:highlight w:val="none"/>
              </w:rPr>
            </w:pPr>
            <w:r>
              <w:rPr>
                <w:rFonts w:hint="eastAsia" w:ascii="宋体" w:hAnsi="宋体" w:cs="宋体"/>
                <w:color w:val="auto"/>
                <w:szCs w:val="21"/>
                <w:highlight w:val="none"/>
              </w:rPr>
              <w:t>谈判</w:t>
            </w:r>
            <w:r>
              <w:rPr>
                <w:color w:val="auto"/>
                <w:szCs w:val="21"/>
                <w:highlight w:val="none"/>
              </w:rPr>
              <w:t>有效期</w:t>
            </w:r>
          </w:p>
        </w:tc>
        <w:tc>
          <w:tcPr>
            <w:tcW w:w="3412" w:type="pct"/>
            <w:vAlign w:val="center"/>
          </w:tcPr>
          <w:p w14:paraId="7776606C">
            <w:pPr>
              <w:keepNext w:val="0"/>
              <w:keepLines w:val="0"/>
              <w:pageBreakBefore w:val="0"/>
              <w:widowControl w:val="0"/>
              <w:kinsoku/>
              <w:wordWrap/>
              <w:overflowPunct/>
              <w:topLinePunct w:val="0"/>
              <w:bidi w:val="0"/>
              <w:adjustRightInd/>
              <w:snapToGrid/>
              <w:spacing w:line="400" w:lineRule="exact"/>
              <w:textAlignment w:val="auto"/>
              <w:rPr>
                <w:color w:val="auto"/>
                <w:szCs w:val="21"/>
                <w:highlight w:val="none"/>
              </w:rPr>
            </w:pPr>
            <w:r>
              <w:rPr>
                <w:rFonts w:hint="eastAsia" w:ascii="宋体" w:hAnsi="宋体" w:cs="宋体"/>
                <w:color w:val="auto"/>
                <w:szCs w:val="21"/>
                <w:highlight w:val="none"/>
              </w:rPr>
              <w:t>谈判有效期：</w:t>
            </w:r>
            <w:r>
              <w:rPr>
                <w:rFonts w:hint="eastAsia" w:ascii="宋体" w:hAnsi="宋体" w:cs="宋体"/>
                <w:color w:val="auto"/>
                <w:szCs w:val="21"/>
                <w:highlight w:val="none"/>
                <w:u w:val="single"/>
                <w:lang w:val="en-US" w:eastAsia="zh-CN"/>
              </w:rPr>
              <w:t>90</w:t>
            </w:r>
            <w:r>
              <w:rPr>
                <w:rFonts w:hint="eastAsia" w:ascii="宋体" w:hAnsi="宋体" w:cs="宋体"/>
                <w:color w:val="auto"/>
                <w:szCs w:val="21"/>
                <w:highlight w:val="none"/>
              </w:rPr>
              <w:t>天。</w:t>
            </w:r>
          </w:p>
        </w:tc>
      </w:tr>
      <w:tr w14:paraId="33ED35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5" w:type="pct"/>
            <w:vAlign w:val="center"/>
          </w:tcPr>
          <w:p w14:paraId="17AEE211">
            <w:pPr>
              <w:keepNext w:val="0"/>
              <w:keepLines w:val="0"/>
              <w:pageBreakBefore w:val="0"/>
              <w:widowControl w:val="0"/>
              <w:kinsoku/>
              <w:wordWrap/>
              <w:overflowPunct/>
              <w:topLinePunct w:val="0"/>
              <w:bidi w:val="0"/>
              <w:adjustRightInd/>
              <w:snapToGrid/>
              <w:spacing w:line="400" w:lineRule="exact"/>
              <w:jc w:val="center"/>
              <w:textAlignment w:val="auto"/>
              <w:rPr>
                <w:color w:val="auto"/>
                <w:szCs w:val="21"/>
                <w:highlight w:val="none"/>
              </w:rPr>
            </w:pPr>
            <w:r>
              <w:rPr>
                <w:color w:val="auto"/>
                <w:szCs w:val="21"/>
                <w:highlight w:val="none"/>
              </w:rPr>
              <w:t>3.</w:t>
            </w:r>
            <w:r>
              <w:rPr>
                <w:rFonts w:hint="eastAsia"/>
                <w:color w:val="auto"/>
                <w:szCs w:val="21"/>
                <w:highlight w:val="none"/>
              </w:rPr>
              <w:t>5</w:t>
            </w:r>
            <w:r>
              <w:rPr>
                <w:color w:val="auto"/>
                <w:szCs w:val="21"/>
                <w:highlight w:val="none"/>
              </w:rPr>
              <w:t>.1</w:t>
            </w:r>
          </w:p>
        </w:tc>
        <w:tc>
          <w:tcPr>
            <w:tcW w:w="1031" w:type="pct"/>
            <w:vAlign w:val="center"/>
          </w:tcPr>
          <w:p w14:paraId="31C4E42D">
            <w:pPr>
              <w:keepNext w:val="0"/>
              <w:keepLines w:val="0"/>
              <w:pageBreakBefore w:val="0"/>
              <w:widowControl w:val="0"/>
              <w:kinsoku/>
              <w:wordWrap/>
              <w:overflowPunct/>
              <w:topLinePunct w:val="0"/>
              <w:bidi w:val="0"/>
              <w:adjustRightInd/>
              <w:snapToGrid/>
              <w:spacing w:line="400" w:lineRule="exact"/>
              <w:jc w:val="left"/>
              <w:textAlignment w:val="auto"/>
              <w:rPr>
                <w:color w:val="auto"/>
                <w:szCs w:val="21"/>
                <w:highlight w:val="none"/>
              </w:rPr>
            </w:pPr>
            <w:r>
              <w:rPr>
                <w:color w:val="auto"/>
                <w:szCs w:val="21"/>
                <w:highlight w:val="none"/>
              </w:rPr>
              <w:t>谈判保证金</w:t>
            </w:r>
            <w:r>
              <w:rPr>
                <w:rFonts w:hint="eastAsia"/>
                <w:color w:val="auto"/>
                <w:szCs w:val="21"/>
                <w:highlight w:val="none"/>
              </w:rPr>
              <w:t>金额</w:t>
            </w:r>
          </w:p>
        </w:tc>
        <w:tc>
          <w:tcPr>
            <w:tcW w:w="3412" w:type="pct"/>
            <w:vAlign w:val="center"/>
          </w:tcPr>
          <w:p w14:paraId="67063EF4">
            <w:pPr>
              <w:keepNext w:val="0"/>
              <w:keepLines w:val="0"/>
              <w:pageBreakBefore w:val="0"/>
              <w:widowControl w:val="0"/>
              <w:kinsoku/>
              <w:wordWrap/>
              <w:overflowPunct/>
              <w:topLinePunct w:val="0"/>
              <w:bidi w:val="0"/>
              <w:adjustRightInd/>
              <w:snapToGrid/>
              <w:spacing w:line="400" w:lineRule="exact"/>
              <w:textAlignment w:val="auto"/>
              <w:rPr>
                <w:rFonts w:hint="default"/>
                <w:color w:val="auto"/>
                <w:szCs w:val="21"/>
                <w:highlight w:val="none"/>
                <w:lang w:val="en-US"/>
              </w:rPr>
            </w:pPr>
            <w:r>
              <w:rPr>
                <w:rFonts w:hint="eastAsia" w:ascii="宋体" w:hAnsi="宋体" w:cs="宋体"/>
                <w:color w:val="auto"/>
                <w:szCs w:val="21"/>
                <w:highlight w:val="none"/>
              </w:rPr>
              <w:t>谈判保证金金额：</w:t>
            </w:r>
            <w:r>
              <w:rPr>
                <w:rFonts w:hint="eastAsia" w:ascii="宋体" w:hAnsi="宋体"/>
                <w:color w:val="auto"/>
                <w:highlight w:val="none"/>
                <w:u w:val="single"/>
                <w:lang w:val="en-US" w:eastAsia="zh-CN"/>
              </w:rPr>
              <w:t>/元</w:t>
            </w:r>
          </w:p>
        </w:tc>
      </w:tr>
      <w:tr w14:paraId="3E7976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555" w:type="pct"/>
            <w:vAlign w:val="center"/>
          </w:tcPr>
          <w:p w14:paraId="77B94732">
            <w:pPr>
              <w:keepNext w:val="0"/>
              <w:keepLines w:val="0"/>
              <w:pageBreakBefore w:val="0"/>
              <w:widowControl w:val="0"/>
              <w:kinsoku/>
              <w:wordWrap/>
              <w:overflowPunct/>
              <w:topLinePunct w:val="0"/>
              <w:bidi w:val="0"/>
              <w:adjustRightInd/>
              <w:snapToGrid/>
              <w:spacing w:line="400" w:lineRule="exact"/>
              <w:jc w:val="center"/>
              <w:textAlignment w:val="auto"/>
              <w:rPr>
                <w:color w:val="auto"/>
                <w:szCs w:val="21"/>
                <w:highlight w:val="none"/>
              </w:rPr>
            </w:pPr>
            <w:r>
              <w:rPr>
                <w:rFonts w:hint="eastAsia"/>
                <w:color w:val="auto"/>
                <w:szCs w:val="21"/>
                <w:highlight w:val="none"/>
              </w:rPr>
              <w:t>3.5.2</w:t>
            </w:r>
          </w:p>
        </w:tc>
        <w:tc>
          <w:tcPr>
            <w:tcW w:w="1031" w:type="pct"/>
            <w:vAlign w:val="center"/>
          </w:tcPr>
          <w:p w14:paraId="6E29A6E7">
            <w:pPr>
              <w:keepNext w:val="0"/>
              <w:keepLines w:val="0"/>
              <w:pageBreakBefore w:val="0"/>
              <w:widowControl w:val="0"/>
              <w:kinsoku/>
              <w:wordWrap/>
              <w:overflowPunct/>
              <w:topLinePunct w:val="0"/>
              <w:bidi w:val="0"/>
              <w:adjustRightInd/>
              <w:snapToGrid/>
              <w:spacing w:line="400" w:lineRule="exact"/>
              <w:jc w:val="left"/>
              <w:textAlignment w:val="auto"/>
              <w:rPr>
                <w:color w:val="auto"/>
                <w:szCs w:val="21"/>
                <w:highlight w:val="none"/>
              </w:rPr>
            </w:pPr>
            <w:r>
              <w:rPr>
                <w:rFonts w:hint="eastAsia"/>
                <w:color w:val="auto"/>
                <w:szCs w:val="21"/>
                <w:highlight w:val="none"/>
              </w:rPr>
              <w:t>谈判保证金形式</w:t>
            </w:r>
          </w:p>
        </w:tc>
        <w:tc>
          <w:tcPr>
            <w:tcW w:w="3412" w:type="pct"/>
            <w:vAlign w:val="center"/>
          </w:tcPr>
          <w:p w14:paraId="2A933C76">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eastAsia="宋体"/>
                <w:color w:val="auto"/>
                <w:szCs w:val="21"/>
                <w:highlight w:val="none"/>
                <w:lang w:eastAsia="zh-CN"/>
              </w:rPr>
            </w:pPr>
            <w:r>
              <w:rPr>
                <w:rFonts w:hint="eastAsia"/>
                <w:color w:val="auto"/>
                <w:szCs w:val="21"/>
                <w:highlight w:val="none"/>
                <w:lang w:val="en-US" w:eastAsia="zh-CN"/>
              </w:rPr>
              <w:t>/</w:t>
            </w:r>
          </w:p>
        </w:tc>
      </w:tr>
      <w:tr w14:paraId="5B9A27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5" w:type="pct"/>
            <w:vAlign w:val="center"/>
          </w:tcPr>
          <w:p w14:paraId="7041C753">
            <w:pPr>
              <w:keepNext w:val="0"/>
              <w:keepLines w:val="0"/>
              <w:pageBreakBefore w:val="0"/>
              <w:widowControl w:val="0"/>
              <w:kinsoku/>
              <w:wordWrap/>
              <w:overflowPunct/>
              <w:topLinePunct w:val="0"/>
              <w:bidi w:val="0"/>
              <w:adjustRightInd/>
              <w:snapToGrid/>
              <w:spacing w:line="400" w:lineRule="exact"/>
              <w:jc w:val="center"/>
              <w:textAlignment w:val="auto"/>
              <w:rPr>
                <w:color w:val="auto"/>
                <w:szCs w:val="21"/>
                <w:highlight w:val="none"/>
              </w:rPr>
            </w:pPr>
            <w:r>
              <w:rPr>
                <w:color w:val="auto"/>
                <w:szCs w:val="21"/>
                <w:highlight w:val="none"/>
              </w:rPr>
              <w:t>3.</w:t>
            </w:r>
            <w:r>
              <w:rPr>
                <w:rFonts w:hint="eastAsia"/>
                <w:color w:val="auto"/>
                <w:szCs w:val="21"/>
                <w:highlight w:val="none"/>
              </w:rPr>
              <w:t>6</w:t>
            </w:r>
            <w:r>
              <w:rPr>
                <w:color w:val="auto"/>
                <w:szCs w:val="21"/>
                <w:highlight w:val="none"/>
              </w:rPr>
              <w:t>.</w:t>
            </w:r>
            <w:r>
              <w:rPr>
                <w:rFonts w:hint="eastAsia"/>
                <w:color w:val="auto"/>
                <w:szCs w:val="21"/>
                <w:highlight w:val="none"/>
              </w:rPr>
              <w:t>1</w:t>
            </w:r>
          </w:p>
        </w:tc>
        <w:tc>
          <w:tcPr>
            <w:tcW w:w="1031" w:type="pct"/>
            <w:vAlign w:val="center"/>
          </w:tcPr>
          <w:p w14:paraId="6B6F8AA8">
            <w:pPr>
              <w:keepNext w:val="0"/>
              <w:keepLines w:val="0"/>
              <w:pageBreakBefore w:val="0"/>
              <w:widowControl w:val="0"/>
              <w:kinsoku/>
              <w:wordWrap/>
              <w:overflowPunct/>
              <w:topLinePunct w:val="0"/>
              <w:bidi w:val="0"/>
              <w:adjustRightInd/>
              <w:snapToGrid/>
              <w:spacing w:line="400" w:lineRule="exact"/>
              <w:jc w:val="left"/>
              <w:textAlignment w:val="auto"/>
              <w:rPr>
                <w:color w:val="auto"/>
                <w:szCs w:val="21"/>
                <w:highlight w:val="none"/>
              </w:rPr>
            </w:pPr>
            <w:r>
              <w:rPr>
                <w:color w:val="auto"/>
                <w:szCs w:val="21"/>
                <w:highlight w:val="none"/>
              </w:rPr>
              <w:t>响应文件份数</w:t>
            </w:r>
          </w:p>
        </w:tc>
        <w:tc>
          <w:tcPr>
            <w:tcW w:w="3412" w:type="pct"/>
            <w:vAlign w:val="center"/>
          </w:tcPr>
          <w:p w14:paraId="55366025">
            <w:pPr>
              <w:keepNext w:val="0"/>
              <w:keepLines w:val="0"/>
              <w:pageBreakBefore w:val="0"/>
              <w:widowControl w:val="0"/>
              <w:kinsoku/>
              <w:wordWrap/>
              <w:overflowPunct/>
              <w:topLinePunct w:val="0"/>
              <w:bidi w:val="0"/>
              <w:adjustRightInd/>
              <w:snapToGrid/>
              <w:spacing w:line="400" w:lineRule="exact"/>
              <w:textAlignment w:val="auto"/>
              <w:rPr>
                <w:rFonts w:hAnsi="宋体" w:cs="宋体"/>
                <w:b/>
                <w:color w:val="auto"/>
                <w:szCs w:val="21"/>
                <w:highlight w:val="none"/>
              </w:rPr>
            </w:pPr>
            <w:r>
              <w:rPr>
                <w:rFonts w:hint="eastAsia" w:hAnsi="宋体" w:cs="宋体"/>
                <w:b/>
                <w:color w:val="auto"/>
                <w:szCs w:val="21"/>
                <w:highlight w:val="none"/>
              </w:rPr>
              <w:t>正本</w:t>
            </w:r>
            <w:r>
              <w:rPr>
                <w:rFonts w:hint="eastAsia" w:hAnsi="宋体" w:cs="宋体"/>
                <w:b/>
                <w:color w:val="auto"/>
                <w:szCs w:val="21"/>
                <w:highlight w:val="none"/>
                <w:u w:val="single"/>
              </w:rPr>
              <w:t>1</w:t>
            </w:r>
            <w:r>
              <w:rPr>
                <w:rFonts w:hint="eastAsia" w:hAnsi="宋体" w:cs="宋体"/>
                <w:b/>
                <w:color w:val="auto"/>
                <w:szCs w:val="21"/>
                <w:highlight w:val="none"/>
              </w:rPr>
              <w:t>份、副本</w:t>
            </w:r>
            <w:r>
              <w:rPr>
                <w:rFonts w:hint="eastAsia" w:hAnsi="宋体" w:cs="宋体"/>
                <w:b/>
                <w:color w:val="auto"/>
                <w:szCs w:val="21"/>
                <w:highlight w:val="none"/>
                <w:u w:val="single"/>
              </w:rPr>
              <w:t>2</w:t>
            </w:r>
            <w:r>
              <w:rPr>
                <w:rFonts w:hint="eastAsia" w:hAnsi="宋体" w:cs="宋体"/>
                <w:b/>
                <w:color w:val="auto"/>
                <w:szCs w:val="21"/>
                <w:highlight w:val="none"/>
              </w:rPr>
              <w:t>份，唱标信封</w:t>
            </w:r>
            <w:r>
              <w:rPr>
                <w:rFonts w:hint="eastAsia" w:hAnsi="宋体" w:cs="宋体"/>
                <w:b/>
                <w:color w:val="auto"/>
                <w:szCs w:val="21"/>
                <w:highlight w:val="none"/>
                <w:u w:val="single"/>
              </w:rPr>
              <w:t>1</w:t>
            </w:r>
            <w:r>
              <w:rPr>
                <w:rFonts w:hint="eastAsia" w:hAnsi="宋体" w:cs="宋体"/>
                <w:b/>
                <w:color w:val="auto"/>
                <w:szCs w:val="21"/>
                <w:highlight w:val="none"/>
              </w:rPr>
              <w:t>份。</w:t>
            </w:r>
          </w:p>
        </w:tc>
      </w:tr>
      <w:tr w14:paraId="4DB5EB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5" w:type="pct"/>
            <w:vAlign w:val="center"/>
          </w:tcPr>
          <w:p w14:paraId="5A87089F">
            <w:pPr>
              <w:keepNext w:val="0"/>
              <w:keepLines w:val="0"/>
              <w:pageBreakBefore w:val="0"/>
              <w:widowControl w:val="0"/>
              <w:kinsoku/>
              <w:wordWrap/>
              <w:overflowPunct/>
              <w:topLinePunct w:val="0"/>
              <w:bidi w:val="0"/>
              <w:adjustRightInd/>
              <w:snapToGrid/>
              <w:spacing w:line="400" w:lineRule="exact"/>
              <w:jc w:val="center"/>
              <w:textAlignment w:val="auto"/>
              <w:rPr>
                <w:color w:val="auto"/>
                <w:szCs w:val="21"/>
                <w:highlight w:val="none"/>
              </w:rPr>
            </w:pPr>
            <w:r>
              <w:rPr>
                <w:color w:val="auto"/>
                <w:szCs w:val="21"/>
                <w:highlight w:val="none"/>
              </w:rPr>
              <w:t>3.</w:t>
            </w:r>
            <w:r>
              <w:rPr>
                <w:rFonts w:hint="eastAsia"/>
                <w:color w:val="auto"/>
                <w:szCs w:val="21"/>
                <w:highlight w:val="none"/>
              </w:rPr>
              <w:t>6</w:t>
            </w:r>
            <w:r>
              <w:rPr>
                <w:color w:val="auto"/>
                <w:szCs w:val="21"/>
                <w:highlight w:val="none"/>
              </w:rPr>
              <w:t>.</w:t>
            </w:r>
            <w:r>
              <w:rPr>
                <w:rFonts w:hint="eastAsia"/>
                <w:color w:val="auto"/>
                <w:szCs w:val="21"/>
                <w:highlight w:val="none"/>
              </w:rPr>
              <w:t>6</w:t>
            </w:r>
          </w:p>
        </w:tc>
        <w:tc>
          <w:tcPr>
            <w:tcW w:w="1031" w:type="pct"/>
            <w:vAlign w:val="center"/>
          </w:tcPr>
          <w:p w14:paraId="26CF7C26">
            <w:pPr>
              <w:keepNext w:val="0"/>
              <w:keepLines w:val="0"/>
              <w:pageBreakBefore w:val="0"/>
              <w:widowControl w:val="0"/>
              <w:kinsoku/>
              <w:wordWrap/>
              <w:overflowPunct/>
              <w:topLinePunct w:val="0"/>
              <w:bidi w:val="0"/>
              <w:adjustRightInd/>
              <w:snapToGrid/>
              <w:spacing w:line="400" w:lineRule="exact"/>
              <w:jc w:val="left"/>
              <w:textAlignment w:val="auto"/>
              <w:rPr>
                <w:rFonts w:ascii="宋体" w:hAnsi="宋体" w:cs="宋体"/>
                <w:color w:val="auto"/>
                <w:szCs w:val="21"/>
                <w:highlight w:val="none"/>
              </w:rPr>
            </w:pPr>
            <w:r>
              <w:rPr>
                <w:rFonts w:hint="eastAsia" w:ascii="宋体" w:hAnsi="宋体" w:cs="宋体"/>
                <w:color w:val="auto"/>
                <w:szCs w:val="21"/>
                <w:highlight w:val="none"/>
              </w:rPr>
              <w:t>响应文件的密封和标记要求</w:t>
            </w:r>
          </w:p>
        </w:tc>
        <w:tc>
          <w:tcPr>
            <w:tcW w:w="3412" w:type="pct"/>
            <w:vAlign w:val="center"/>
          </w:tcPr>
          <w:p w14:paraId="4341D2D0">
            <w:pPr>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ascii="宋体" w:hAnsi="宋体" w:cs="宋体"/>
                <w:color w:val="auto"/>
                <w:szCs w:val="21"/>
                <w:highlight w:val="none"/>
              </w:rPr>
            </w:pPr>
            <w:r>
              <w:rPr>
                <w:rFonts w:hint="eastAsia" w:ascii="宋体" w:hAnsi="宋体" w:cs="宋体"/>
                <w:color w:val="auto"/>
                <w:szCs w:val="21"/>
                <w:highlight w:val="none"/>
              </w:rPr>
              <w:t>本条款增加规定：</w:t>
            </w:r>
          </w:p>
          <w:p w14:paraId="65EB4C14">
            <w:pPr>
              <w:keepNext w:val="0"/>
              <w:keepLines w:val="0"/>
              <w:pageBreakBefore w:val="0"/>
              <w:widowControl w:val="0"/>
              <w:kinsoku/>
              <w:wordWrap/>
              <w:overflowPunct/>
              <w:topLinePunct w:val="0"/>
              <w:bidi w:val="0"/>
              <w:adjustRightInd/>
              <w:snapToGrid/>
              <w:spacing w:line="400" w:lineRule="exact"/>
              <w:textAlignment w:val="auto"/>
              <w:rPr>
                <w:rFonts w:ascii="宋体" w:hAnsi="宋体" w:cs="宋体"/>
                <w:color w:val="auto"/>
                <w:szCs w:val="21"/>
                <w:highlight w:val="none"/>
              </w:rPr>
            </w:pPr>
            <w:r>
              <w:rPr>
                <w:rFonts w:hint="eastAsia" w:ascii="宋体" w:hAnsi="宋体" w:cs="宋体"/>
                <w:color w:val="auto"/>
                <w:szCs w:val="21"/>
                <w:highlight w:val="none"/>
              </w:rPr>
              <w:t>1）商务技术响应文件、经济响应文件应分别装订，密封后，加贴封条，在封口处加盖骑缝章</w:t>
            </w:r>
            <w:r>
              <w:rPr>
                <w:rFonts w:hint="eastAsia"/>
                <w:color w:val="auto"/>
                <w:szCs w:val="21"/>
                <w:highlight w:val="none"/>
              </w:rPr>
              <w:t>或者由响应人的法定代表人或其委托代理人签字</w:t>
            </w:r>
            <w:r>
              <w:rPr>
                <w:rFonts w:hint="eastAsia" w:ascii="宋体" w:hAnsi="宋体" w:cs="宋体"/>
                <w:color w:val="auto"/>
                <w:szCs w:val="21"/>
                <w:highlight w:val="none"/>
              </w:rPr>
              <w:t>。</w:t>
            </w:r>
          </w:p>
          <w:p w14:paraId="2D9D1A7C">
            <w:pPr>
              <w:keepNext w:val="0"/>
              <w:keepLines w:val="0"/>
              <w:pageBreakBefore w:val="0"/>
              <w:widowControl w:val="0"/>
              <w:kinsoku/>
              <w:wordWrap/>
              <w:overflowPunct/>
              <w:topLinePunct w:val="0"/>
              <w:bidi w:val="0"/>
              <w:adjustRightInd/>
              <w:snapToGrid/>
              <w:spacing w:line="400" w:lineRule="exact"/>
              <w:textAlignment w:val="auto"/>
              <w:rPr>
                <w:rFonts w:ascii="宋体" w:hAnsi="宋体" w:cs="宋体"/>
                <w:color w:val="auto"/>
                <w:szCs w:val="21"/>
                <w:highlight w:val="none"/>
              </w:rPr>
            </w:pPr>
            <w:r>
              <w:rPr>
                <w:rFonts w:hint="eastAsia" w:ascii="宋体" w:hAnsi="宋体" w:cs="宋体"/>
                <w:color w:val="auto"/>
                <w:szCs w:val="21"/>
                <w:highlight w:val="none"/>
              </w:rPr>
              <w:t>2）商务技术竞争性谈判响应文件里不能含有任何有关谈判报价信息。</w:t>
            </w:r>
          </w:p>
          <w:p w14:paraId="5ADE2BF8">
            <w:pPr>
              <w:keepNext w:val="0"/>
              <w:keepLines w:val="0"/>
              <w:pageBreakBefore w:val="0"/>
              <w:widowControl w:val="0"/>
              <w:kinsoku/>
              <w:wordWrap/>
              <w:overflowPunct/>
              <w:topLinePunct w:val="0"/>
              <w:bidi w:val="0"/>
              <w:adjustRightInd/>
              <w:snapToGrid/>
              <w:spacing w:line="400" w:lineRule="exact"/>
              <w:textAlignment w:val="auto"/>
              <w:rPr>
                <w:rFonts w:ascii="宋体" w:hAnsi="宋体" w:cs="宋体"/>
                <w:color w:val="auto"/>
                <w:szCs w:val="21"/>
                <w:highlight w:val="none"/>
              </w:rPr>
            </w:pPr>
            <w:r>
              <w:rPr>
                <w:rFonts w:hint="eastAsia" w:ascii="宋体" w:hAnsi="宋体" w:cs="宋体"/>
                <w:color w:val="auto"/>
                <w:szCs w:val="21"/>
                <w:highlight w:val="none"/>
              </w:rPr>
              <w:t>3）响应文件</w:t>
            </w:r>
            <w:r>
              <w:rPr>
                <w:rFonts w:hint="eastAsia"/>
                <w:color w:val="auto"/>
                <w:szCs w:val="21"/>
                <w:highlight w:val="none"/>
              </w:rPr>
              <w:t>外层包封</w:t>
            </w:r>
            <w:r>
              <w:rPr>
                <w:rFonts w:hint="eastAsia" w:ascii="宋体" w:hAnsi="宋体" w:cs="宋体"/>
                <w:color w:val="auto"/>
                <w:szCs w:val="21"/>
                <w:highlight w:val="none"/>
              </w:rPr>
              <w:t>上应写明的内容如下：</w:t>
            </w:r>
          </w:p>
          <w:p w14:paraId="4A1EF1CA">
            <w:pPr>
              <w:keepNext w:val="0"/>
              <w:keepLines w:val="0"/>
              <w:pageBreakBefore w:val="0"/>
              <w:widowControl w:val="0"/>
              <w:kinsoku/>
              <w:wordWrap/>
              <w:overflowPunct/>
              <w:topLinePunct w:val="0"/>
              <w:bidi w:val="0"/>
              <w:adjustRightInd/>
              <w:snapToGrid/>
              <w:spacing w:line="400" w:lineRule="exact"/>
              <w:textAlignment w:val="auto"/>
              <w:rPr>
                <w:rFonts w:ascii="宋体" w:hAnsi="宋体"/>
                <w:b/>
                <w:color w:val="auto"/>
                <w:szCs w:val="21"/>
                <w:highlight w:val="none"/>
              </w:rPr>
            </w:pPr>
            <w:r>
              <w:rPr>
                <w:rFonts w:hint="eastAsia" w:ascii="宋体" w:hAnsi="宋体"/>
                <w:b/>
                <w:color w:val="auto"/>
                <w:szCs w:val="21"/>
                <w:highlight w:val="none"/>
              </w:rPr>
              <w:t>采购人名称：</w:t>
            </w:r>
            <w:r>
              <w:rPr>
                <w:rFonts w:hint="eastAsia" w:ascii="宋体" w:hAnsi="宋体"/>
                <w:b w:val="0"/>
                <w:bCs/>
                <w:color w:val="auto"/>
                <w:szCs w:val="21"/>
                <w:highlight w:val="none"/>
                <w:lang w:eastAsia="zh-CN"/>
              </w:rPr>
              <w:t>广东东鸿物业发展有限公司</w:t>
            </w:r>
            <w:r>
              <w:rPr>
                <w:rFonts w:hint="eastAsia" w:ascii="宋体" w:hAnsi="宋体"/>
                <w:b/>
                <w:color w:val="auto"/>
                <w:szCs w:val="21"/>
                <w:highlight w:val="none"/>
              </w:rPr>
              <w:t xml:space="preserve"> </w:t>
            </w:r>
          </w:p>
          <w:p w14:paraId="0D23EA53">
            <w:pPr>
              <w:keepNext w:val="0"/>
              <w:keepLines w:val="0"/>
              <w:pageBreakBefore w:val="0"/>
              <w:widowControl w:val="0"/>
              <w:kinsoku/>
              <w:wordWrap/>
              <w:overflowPunct/>
              <w:topLinePunct w:val="0"/>
              <w:bidi w:val="0"/>
              <w:adjustRightInd/>
              <w:snapToGrid/>
              <w:spacing w:line="400" w:lineRule="exact"/>
              <w:textAlignment w:val="auto"/>
              <w:rPr>
                <w:rFonts w:hint="eastAsia" w:ascii="宋体" w:hAnsi="宋体"/>
                <w:b w:val="0"/>
                <w:bCs/>
                <w:color w:val="auto"/>
                <w:szCs w:val="21"/>
                <w:highlight w:val="none"/>
              </w:rPr>
            </w:pPr>
            <w:r>
              <w:rPr>
                <w:rFonts w:hint="eastAsia" w:ascii="宋体" w:hAnsi="宋体"/>
                <w:b/>
                <w:color w:val="auto"/>
                <w:szCs w:val="21"/>
                <w:highlight w:val="none"/>
              </w:rPr>
              <w:t>递交响应文件地址：</w:t>
            </w:r>
            <w:r>
              <w:rPr>
                <w:rFonts w:hint="eastAsia" w:ascii="宋体" w:hAnsi="宋体"/>
                <w:b w:val="0"/>
                <w:bCs/>
                <w:color w:val="auto"/>
                <w:szCs w:val="21"/>
                <w:highlight w:val="none"/>
              </w:rPr>
              <w:t>广东省东莞市南城街道西平宏伟五路1号东鸿公司会议室</w:t>
            </w:r>
          </w:p>
          <w:p w14:paraId="711C7A7B">
            <w:pPr>
              <w:keepNext w:val="0"/>
              <w:keepLines w:val="0"/>
              <w:pageBreakBefore w:val="0"/>
              <w:widowControl w:val="0"/>
              <w:kinsoku/>
              <w:wordWrap/>
              <w:overflowPunct/>
              <w:topLinePunct w:val="0"/>
              <w:bidi w:val="0"/>
              <w:adjustRightInd/>
              <w:snapToGrid/>
              <w:spacing w:line="400" w:lineRule="exact"/>
              <w:textAlignment w:val="auto"/>
              <w:rPr>
                <w:rFonts w:ascii="宋体" w:hAnsi="宋体"/>
                <w:b/>
                <w:color w:val="auto"/>
                <w:szCs w:val="21"/>
                <w:highlight w:val="none"/>
              </w:rPr>
            </w:pPr>
            <w:r>
              <w:rPr>
                <w:rFonts w:hint="eastAsia" w:ascii="宋体" w:hAnsi="宋体"/>
                <w:b/>
                <w:color w:val="auto"/>
                <w:szCs w:val="21"/>
                <w:highlight w:val="none"/>
                <w:u w:val="single"/>
                <w:lang w:eastAsia="zh-CN"/>
              </w:rPr>
              <w:t>东鸿公司塘厦创智园2026年度电梯维保项目</w:t>
            </w:r>
            <w:r>
              <w:rPr>
                <w:rFonts w:hint="eastAsia" w:ascii="宋体" w:hAnsi="宋体"/>
                <w:b/>
                <w:color w:val="auto"/>
                <w:szCs w:val="21"/>
                <w:highlight w:val="none"/>
              </w:rPr>
              <w:t>响应文件</w:t>
            </w:r>
          </w:p>
          <w:p w14:paraId="5648F669">
            <w:pPr>
              <w:keepNext w:val="0"/>
              <w:keepLines w:val="0"/>
              <w:pageBreakBefore w:val="0"/>
              <w:widowControl w:val="0"/>
              <w:kinsoku/>
              <w:wordWrap/>
              <w:overflowPunct/>
              <w:topLinePunct w:val="0"/>
              <w:bidi w:val="0"/>
              <w:adjustRightInd/>
              <w:snapToGrid/>
              <w:spacing w:line="400" w:lineRule="exact"/>
              <w:textAlignment w:val="auto"/>
              <w:rPr>
                <w:rFonts w:ascii="宋体" w:hAnsi="宋体"/>
                <w:b/>
                <w:color w:val="auto"/>
                <w:szCs w:val="21"/>
                <w:highlight w:val="none"/>
              </w:rPr>
            </w:pPr>
            <w:r>
              <w:rPr>
                <w:rFonts w:hint="eastAsia" w:ascii="宋体" w:hAnsi="宋体"/>
                <w:b/>
                <w:color w:val="auto"/>
                <w:szCs w:val="21"/>
                <w:highlight w:val="none"/>
              </w:rPr>
              <w:t>响应人名称：</w:t>
            </w:r>
          </w:p>
          <w:p w14:paraId="5DE4D783">
            <w:pPr>
              <w:keepNext w:val="0"/>
              <w:keepLines w:val="0"/>
              <w:pageBreakBefore w:val="0"/>
              <w:widowControl w:val="0"/>
              <w:kinsoku/>
              <w:wordWrap/>
              <w:overflowPunct/>
              <w:topLinePunct w:val="0"/>
              <w:bidi w:val="0"/>
              <w:adjustRightInd/>
              <w:snapToGrid/>
              <w:spacing w:line="400" w:lineRule="exact"/>
              <w:textAlignment w:val="auto"/>
              <w:rPr>
                <w:rFonts w:ascii="宋体" w:hAnsi="宋体"/>
                <w:b/>
                <w:color w:val="auto"/>
                <w:szCs w:val="21"/>
                <w:highlight w:val="none"/>
              </w:rPr>
            </w:pPr>
            <w:r>
              <w:rPr>
                <w:rFonts w:hint="eastAsia" w:ascii="宋体" w:hAnsi="宋体"/>
                <w:b/>
                <w:color w:val="auto"/>
                <w:szCs w:val="21"/>
                <w:highlight w:val="none"/>
              </w:rPr>
              <w:t>联系人：</w:t>
            </w:r>
          </w:p>
          <w:p w14:paraId="577C2339">
            <w:pPr>
              <w:keepNext w:val="0"/>
              <w:keepLines w:val="0"/>
              <w:pageBreakBefore w:val="0"/>
              <w:widowControl w:val="0"/>
              <w:kinsoku/>
              <w:wordWrap/>
              <w:overflowPunct/>
              <w:topLinePunct w:val="0"/>
              <w:bidi w:val="0"/>
              <w:adjustRightInd/>
              <w:snapToGrid/>
              <w:spacing w:line="400" w:lineRule="exact"/>
              <w:textAlignment w:val="auto"/>
              <w:rPr>
                <w:rFonts w:ascii="宋体" w:hAnsi="宋体"/>
                <w:b/>
                <w:color w:val="auto"/>
                <w:szCs w:val="21"/>
                <w:highlight w:val="none"/>
              </w:rPr>
            </w:pPr>
            <w:r>
              <w:rPr>
                <w:rFonts w:hint="eastAsia" w:ascii="宋体" w:hAnsi="宋体"/>
                <w:b/>
                <w:color w:val="auto"/>
                <w:szCs w:val="21"/>
                <w:highlight w:val="none"/>
              </w:rPr>
              <w:t>联系方式：</w:t>
            </w:r>
          </w:p>
          <w:p w14:paraId="599D1D33">
            <w:pPr>
              <w:keepNext w:val="0"/>
              <w:keepLines w:val="0"/>
              <w:pageBreakBefore w:val="0"/>
              <w:widowControl w:val="0"/>
              <w:kinsoku/>
              <w:wordWrap/>
              <w:overflowPunct/>
              <w:topLinePunct w:val="0"/>
              <w:bidi w:val="0"/>
              <w:adjustRightInd/>
              <w:snapToGrid/>
              <w:spacing w:line="400" w:lineRule="exact"/>
              <w:textAlignment w:val="auto"/>
              <w:rPr>
                <w:color w:val="auto"/>
                <w:szCs w:val="21"/>
                <w:highlight w:val="none"/>
              </w:rPr>
            </w:pPr>
            <w:r>
              <w:rPr>
                <w:rFonts w:hint="eastAsia" w:ascii="宋体" w:hAnsi="宋体"/>
                <w:b/>
                <w:color w:val="auto"/>
                <w:szCs w:val="21"/>
                <w:highlight w:val="none"/>
              </w:rPr>
              <w:t>在</w:t>
            </w:r>
            <w:r>
              <w:rPr>
                <w:rFonts w:hint="eastAsia" w:ascii="宋体" w:hAnsi="宋体"/>
                <w:b/>
                <w:color w:val="auto"/>
                <w:szCs w:val="21"/>
                <w:highlight w:val="none"/>
                <w:u w:val="single"/>
              </w:rPr>
              <w:t xml:space="preserve">  </w:t>
            </w:r>
            <w:r>
              <w:rPr>
                <w:rFonts w:hint="eastAsia" w:ascii="宋体" w:hAnsi="宋体"/>
                <w:b/>
                <w:color w:val="auto"/>
                <w:szCs w:val="21"/>
                <w:highlight w:val="none"/>
              </w:rPr>
              <w:t>年</w:t>
            </w:r>
            <w:r>
              <w:rPr>
                <w:rFonts w:hint="eastAsia" w:ascii="宋体" w:hAnsi="宋体"/>
                <w:b/>
                <w:color w:val="auto"/>
                <w:szCs w:val="21"/>
                <w:highlight w:val="none"/>
                <w:u w:val="single"/>
              </w:rPr>
              <w:t xml:space="preserve">  </w:t>
            </w:r>
            <w:r>
              <w:rPr>
                <w:rFonts w:hint="eastAsia" w:ascii="宋体" w:hAnsi="宋体"/>
                <w:b/>
                <w:color w:val="auto"/>
                <w:szCs w:val="21"/>
                <w:highlight w:val="none"/>
              </w:rPr>
              <w:t>月</w:t>
            </w:r>
            <w:r>
              <w:rPr>
                <w:rFonts w:hint="eastAsia" w:ascii="宋体" w:hAnsi="宋体"/>
                <w:b/>
                <w:color w:val="auto"/>
                <w:szCs w:val="21"/>
                <w:highlight w:val="none"/>
                <w:u w:val="single"/>
              </w:rPr>
              <w:t xml:space="preserve">  </w:t>
            </w:r>
            <w:r>
              <w:rPr>
                <w:rFonts w:hint="eastAsia" w:ascii="宋体" w:hAnsi="宋体"/>
                <w:b/>
                <w:color w:val="auto"/>
                <w:szCs w:val="21"/>
                <w:highlight w:val="none"/>
              </w:rPr>
              <w:t>日</w:t>
            </w:r>
            <w:r>
              <w:rPr>
                <w:rFonts w:hint="eastAsia" w:ascii="宋体" w:hAnsi="宋体"/>
                <w:b/>
                <w:color w:val="auto"/>
                <w:szCs w:val="21"/>
                <w:highlight w:val="none"/>
                <w:u w:val="single"/>
              </w:rPr>
              <w:t xml:space="preserve">  </w:t>
            </w:r>
            <w:r>
              <w:rPr>
                <w:rFonts w:hint="eastAsia" w:ascii="宋体" w:hAnsi="宋体"/>
                <w:b/>
                <w:color w:val="auto"/>
                <w:szCs w:val="21"/>
                <w:highlight w:val="none"/>
              </w:rPr>
              <w:t>时</w:t>
            </w:r>
            <w:r>
              <w:rPr>
                <w:rFonts w:hint="eastAsia" w:ascii="宋体" w:hAnsi="宋体"/>
                <w:b/>
                <w:color w:val="auto"/>
                <w:szCs w:val="21"/>
                <w:highlight w:val="none"/>
                <w:u w:val="single"/>
              </w:rPr>
              <w:t xml:space="preserve">  </w:t>
            </w:r>
            <w:r>
              <w:rPr>
                <w:rFonts w:hint="eastAsia" w:ascii="宋体" w:hAnsi="宋体"/>
                <w:b/>
                <w:color w:val="auto"/>
                <w:szCs w:val="21"/>
                <w:highlight w:val="none"/>
              </w:rPr>
              <w:t>分前不得开启</w:t>
            </w:r>
          </w:p>
        </w:tc>
      </w:tr>
      <w:tr w14:paraId="4F617E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5" w:type="pct"/>
            <w:vAlign w:val="center"/>
          </w:tcPr>
          <w:p w14:paraId="7DEF296E">
            <w:pPr>
              <w:keepNext w:val="0"/>
              <w:keepLines w:val="0"/>
              <w:pageBreakBefore w:val="0"/>
              <w:widowControl w:val="0"/>
              <w:kinsoku/>
              <w:wordWrap/>
              <w:overflowPunct/>
              <w:topLinePunct w:val="0"/>
              <w:bidi w:val="0"/>
              <w:adjustRightInd/>
              <w:snapToGrid/>
              <w:spacing w:line="400" w:lineRule="exact"/>
              <w:jc w:val="center"/>
              <w:textAlignment w:val="auto"/>
              <w:rPr>
                <w:color w:val="auto"/>
                <w:szCs w:val="21"/>
                <w:highlight w:val="none"/>
              </w:rPr>
            </w:pPr>
            <w:r>
              <w:rPr>
                <w:rFonts w:hint="eastAsia"/>
                <w:color w:val="auto"/>
                <w:szCs w:val="21"/>
                <w:highlight w:val="none"/>
              </w:rPr>
              <w:t>4.1.1</w:t>
            </w:r>
          </w:p>
        </w:tc>
        <w:tc>
          <w:tcPr>
            <w:tcW w:w="1031" w:type="pct"/>
            <w:vAlign w:val="center"/>
          </w:tcPr>
          <w:p w14:paraId="46E866C9">
            <w:pPr>
              <w:keepNext w:val="0"/>
              <w:keepLines w:val="0"/>
              <w:pageBreakBefore w:val="0"/>
              <w:widowControl w:val="0"/>
              <w:kinsoku/>
              <w:wordWrap/>
              <w:overflowPunct/>
              <w:topLinePunct w:val="0"/>
              <w:bidi w:val="0"/>
              <w:adjustRightInd/>
              <w:snapToGrid/>
              <w:spacing w:line="400" w:lineRule="exact"/>
              <w:jc w:val="left"/>
              <w:textAlignment w:val="auto"/>
              <w:rPr>
                <w:color w:val="auto"/>
                <w:szCs w:val="21"/>
                <w:highlight w:val="none"/>
              </w:rPr>
            </w:pPr>
            <w:r>
              <w:rPr>
                <w:rFonts w:hint="eastAsia" w:hAnsi="宋体"/>
                <w:color w:val="auto"/>
                <w:szCs w:val="21"/>
                <w:highlight w:val="none"/>
              </w:rPr>
              <w:t>响应文件递交截止时间</w:t>
            </w:r>
          </w:p>
        </w:tc>
        <w:tc>
          <w:tcPr>
            <w:tcW w:w="3412" w:type="pct"/>
            <w:vAlign w:val="center"/>
          </w:tcPr>
          <w:p w14:paraId="1C2F1239">
            <w:pPr>
              <w:pStyle w:val="69"/>
              <w:keepNext w:val="0"/>
              <w:keepLines w:val="0"/>
              <w:pageBreakBefore w:val="0"/>
              <w:widowControl w:val="0"/>
              <w:kinsoku/>
              <w:wordWrap/>
              <w:overflowPunct/>
              <w:topLinePunct w:val="0"/>
              <w:bidi w:val="0"/>
              <w:adjustRightInd/>
              <w:snapToGrid/>
              <w:spacing w:line="400" w:lineRule="exact"/>
              <w:ind w:firstLine="0" w:firstLineChars="0"/>
              <w:textAlignment w:val="auto"/>
              <w:rPr>
                <w:rFonts w:hAnsi="宋体"/>
                <w:color w:val="auto"/>
                <w:szCs w:val="21"/>
                <w:highlight w:val="none"/>
              </w:rPr>
            </w:pPr>
            <w:r>
              <w:rPr>
                <w:rFonts w:hint="eastAsia" w:ascii="宋体" w:hAnsi="宋体" w:cs="宋体"/>
                <w:color w:val="auto"/>
                <w:szCs w:val="21"/>
                <w:highlight w:val="none"/>
              </w:rPr>
              <w:t>详见竞争性谈判公告</w:t>
            </w:r>
          </w:p>
        </w:tc>
      </w:tr>
      <w:tr w14:paraId="06ED23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5" w:type="pct"/>
            <w:vAlign w:val="center"/>
          </w:tcPr>
          <w:p w14:paraId="2745E188">
            <w:pPr>
              <w:keepNext w:val="0"/>
              <w:keepLines w:val="0"/>
              <w:pageBreakBefore w:val="0"/>
              <w:widowControl w:val="0"/>
              <w:kinsoku/>
              <w:wordWrap/>
              <w:overflowPunct/>
              <w:topLinePunct w:val="0"/>
              <w:bidi w:val="0"/>
              <w:adjustRightInd/>
              <w:snapToGrid/>
              <w:spacing w:line="400" w:lineRule="exact"/>
              <w:jc w:val="center"/>
              <w:textAlignment w:val="auto"/>
              <w:rPr>
                <w:color w:val="auto"/>
                <w:szCs w:val="21"/>
                <w:highlight w:val="none"/>
              </w:rPr>
            </w:pPr>
            <w:r>
              <w:rPr>
                <w:rFonts w:hint="eastAsia"/>
                <w:color w:val="auto"/>
                <w:szCs w:val="21"/>
                <w:highlight w:val="none"/>
              </w:rPr>
              <w:t>4.1.2</w:t>
            </w:r>
          </w:p>
        </w:tc>
        <w:tc>
          <w:tcPr>
            <w:tcW w:w="1031" w:type="pct"/>
            <w:vAlign w:val="center"/>
          </w:tcPr>
          <w:p w14:paraId="4F2144C8">
            <w:pPr>
              <w:keepNext w:val="0"/>
              <w:keepLines w:val="0"/>
              <w:pageBreakBefore w:val="0"/>
              <w:widowControl w:val="0"/>
              <w:kinsoku/>
              <w:wordWrap/>
              <w:overflowPunct/>
              <w:topLinePunct w:val="0"/>
              <w:bidi w:val="0"/>
              <w:adjustRightInd/>
              <w:snapToGrid/>
              <w:spacing w:line="400" w:lineRule="exact"/>
              <w:jc w:val="left"/>
              <w:textAlignment w:val="auto"/>
              <w:rPr>
                <w:rFonts w:hAnsi="宋体"/>
                <w:color w:val="auto"/>
                <w:szCs w:val="21"/>
                <w:highlight w:val="none"/>
              </w:rPr>
            </w:pPr>
            <w:r>
              <w:rPr>
                <w:rFonts w:hint="eastAsia" w:hAnsi="宋体"/>
                <w:color w:val="auto"/>
                <w:szCs w:val="21"/>
                <w:highlight w:val="none"/>
              </w:rPr>
              <w:t>响应文件递交地点</w:t>
            </w:r>
          </w:p>
        </w:tc>
        <w:tc>
          <w:tcPr>
            <w:tcW w:w="3412" w:type="pct"/>
            <w:vAlign w:val="center"/>
          </w:tcPr>
          <w:p w14:paraId="641AB70D">
            <w:pPr>
              <w:pStyle w:val="69"/>
              <w:keepNext w:val="0"/>
              <w:keepLines w:val="0"/>
              <w:pageBreakBefore w:val="0"/>
              <w:widowControl w:val="0"/>
              <w:kinsoku/>
              <w:wordWrap/>
              <w:overflowPunct/>
              <w:topLinePunct w:val="0"/>
              <w:bidi w:val="0"/>
              <w:adjustRightInd/>
              <w:snapToGrid/>
              <w:spacing w:line="400" w:lineRule="exact"/>
              <w:ind w:firstLine="0" w:firstLineChars="0"/>
              <w:textAlignment w:val="auto"/>
              <w:rPr>
                <w:rFonts w:ascii="宋体" w:hAnsi="宋体" w:cs="宋体"/>
                <w:color w:val="auto"/>
                <w:szCs w:val="21"/>
                <w:highlight w:val="none"/>
                <w:u w:val="single"/>
              </w:rPr>
            </w:pPr>
            <w:r>
              <w:rPr>
                <w:rFonts w:hint="eastAsia" w:ascii="宋体" w:hAnsi="宋体" w:cs="宋体"/>
                <w:color w:val="auto"/>
                <w:szCs w:val="21"/>
                <w:highlight w:val="none"/>
              </w:rPr>
              <w:t>详见竞争性谈判公告</w:t>
            </w:r>
          </w:p>
        </w:tc>
      </w:tr>
      <w:tr w14:paraId="0A3F04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5" w:type="pct"/>
            <w:vAlign w:val="center"/>
          </w:tcPr>
          <w:p w14:paraId="70DB03E3">
            <w:pPr>
              <w:keepNext w:val="0"/>
              <w:keepLines w:val="0"/>
              <w:pageBreakBefore w:val="0"/>
              <w:widowControl w:val="0"/>
              <w:kinsoku/>
              <w:wordWrap/>
              <w:overflowPunct/>
              <w:topLinePunct w:val="0"/>
              <w:bidi w:val="0"/>
              <w:adjustRightInd/>
              <w:snapToGrid/>
              <w:spacing w:line="400" w:lineRule="exact"/>
              <w:jc w:val="center"/>
              <w:textAlignment w:val="auto"/>
              <w:rPr>
                <w:color w:val="auto"/>
                <w:szCs w:val="21"/>
                <w:highlight w:val="none"/>
              </w:rPr>
            </w:pPr>
            <w:r>
              <w:rPr>
                <w:rFonts w:hint="eastAsia"/>
                <w:color w:val="auto"/>
                <w:szCs w:val="21"/>
                <w:highlight w:val="none"/>
              </w:rPr>
              <w:t>4.1.4</w:t>
            </w:r>
          </w:p>
        </w:tc>
        <w:tc>
          <w:tcPr>
            <w:tcW w:w="1031" w:type="pct"/>
            <w:vAlign w:val="center"/>
          </w:tcPr>
          <w:p w14:paraId="0763D9CB">
            <w:pPr>
              <w:keepNext w:val="0"/>
              <w:keepLines w:val="0"/>
              <w:pageBreakBefore w:val="0"/>
              <w:widowControl w:val="0"/>
              <w:kinsoku/>
              <w:wordWrap/>
              <w:overflowPunct/>
              <w:topLinePunct w:val="0"/>
              <w:bidi w:val="0"/>
              <w:adjustRightInd/>
              <w:snapToGrid/>
              <w:spacing w:line="400" w:lineRule="exact"/>
              <w:jc w:val="left"/>
              <w:textAlignment w:val="auto"/>
              <w:rPr>
                <w:rFonts w:hAnsi="宋体"/>
                <w:color w:val="auto"/>
                <w:szCs w:val="21"/>
                <w:highlight w:val="none"/>
              </w:rPr>
            </w:pPr>
            <w:r>
              <w:rPr>
                <w:rFonts w:hint="eastAsia" w:hAnsi="宋体"/>
                <w:color w:val="auto"/>
                <w:szCs w:val="21"/>
                <w:highlight w:val="none"/>
              </w:rPr>
              <w:t>响应文件退还</w:t>
            </w:r>
          </w:p>
        </w:tc>
        <w:tc>
          <w:tcPr>
            <w:tcW w:w="3412" w:type="pct"/>
            <w:vAlign w:val="center"/>
          </w:tcPr>
          <w:p w14:paraId="2BFF102D">
            <w:pPr>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ascii="宋体" w:hAnsi="宋体" w:cs="宋体"/>
                <w:color w:val="auto"/>
                <w:szCs w:val="21"/>
                <w:highlight w:val="none"/>
                <w:u w:val="single"/>
              </w:rPr>
            </w:pPr>
            <w:r>
              <w:rPr>
                <w:rFonts w:hint="eastAsia" w:ascii="宋体" w:hAnsi="宋体" w:cs="宋体"/>
                <w:color w:val="auto"/>
                <w:szCs w:val="21"/>
                <w:highlight w:val="none"/>
              </w:rPr>
              <w:t>不退还</w:t>
            </w:r>
          </w:p>
        </w:tc>
      </w:tr>
      <w:tr w14:paraId="6EB7A3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trPr>
        <w:tc>
          <w:tcPr>
            <w:tcW w:w="555" w:type="pct"/>
            <w:vAlign w:val="center"/>
          </w:tcPr>
          <w:p w14:paraId="73809DD5">
            <w:pPr>
              <w:keepNext w:val="0"/>
              <w:keepLines w:val="0"/>
              <w:pageBreakBefore w:val="0"/>
              <w:widowControl w:val="0"/>
              <w:kinsoku/>
              <w:wordWrap/>
              <w:overflowPunct/>
              <w:topLinePunct w:val="0"/>
              <w:bidi w:val="0"/>
              <w:adjustRightInd/>
              <w:snapToGrid/>
              <w:spacing w:line="400" w:lineRule="exact"/>
              <w:jc w:val="center"/>
              <w:textAlignment w:val="auto"/>
              <w:rPr>
                <w:color w:val="auto"/>
                <w:szCs w:val="21"/>
                <w:highlight w:val="none"/>
              </w:rPr>
            </w:pPr>
            <w:r>
              <w:rPr>
                <w:color w:val="auto"/>
                <w:szCs w:val="21"/>
                <w:highlight w:val="none"/>
              </w:rPr>
              <w:t>5.1</w:t>
            </w:r>
          </w:p>
        </w:tc>
        <w:tc>
          <w:tcPr>
            <w:tcW w:w="1031" w:type="pct"/>
            <w:vAlign w:val="center"/>
          </w:tcPr>
          <w:p w14:paraId="712364A1">
            <w:pPr>
              <w:keepNext w:val="0"/>
              <w:keepLines w:val="0"/>
              <w:pageBreakBefore w:val="0"/>
              <w:widowControl w:val="0"/>
              <w:kinsoku/>
              <w:wordWrap/>
              <w:overflowPunct/>
              <w:topLinePunct w:val="0"/>
              <w:bidi w:val="0"/>
              <w:adjustRightInd/>
              <w:snapToGrid/>
              <w:spacing w:line="400" w:lineRule="exact"/>
              <w:jc w:val="left"/>
              <w:textAlignment w:val="auto"/>
              <w:rPr>
                <w:color w:val="auto"/>
                <w:szCs w:val="21"/>
                <w:highlight w:val="none"/>
              </w:rPr>
            </w:pPr>
            <w:r>
              <w:rPr>
                <w:rFonts w:hint="eastAsia"/>
                <w:color w:val="auto"/>
                <w:szCs w:val="21"/>
                <w:highlight w:val="none"/>
              </w:rPr>
              <w:t>唱标时间和地点</w:t>
            </w:r>
          </w:p>
        </w:tc>
        <w:tc>
          <w:tcPr>
            <w:tcW w:w="3412" w:type="pct"/>
            <w:vAlign w:val="center"/>
          </w:tcPr>
          <w:p w14:paraId="5A62FF27">
            <w:pPr>
              <w:keepNext w:val="0"/>
              <w:keepLines w:val="0"/>
              <w:pageBreakBefore w:val="0"/>
              <w:widowControl w:val="0"/>
              <w:kinsoku/>
              <w:wordWrap/>
              <w:overflowPunct/>
              <w:topLinePunct w:val="0"/>
              <w:bidi w:val="0"/>
              <w:adjustRightInd/>
              <w:snapToGrid/>
              <w:spacing w:line="400" w:lineRule="exact"/>
              <w:textAlignment w:val="auto"/>
              <w:rPr>
                <w:color w:val="auto"/>
                <w:szCs w:val="21"/>
                <w:highlight w:val="none"/>
              </w:rPr>
            </w:pPr>
            <w:r>
              <w:rPr>
                <w:rFonts w:hint="eastAsia" w:ascii="宋体" w:hAnsi="宋体" w:cs="宋体"/>
                <w:color w:val="auto"/>
                <w:szCs w:val="21"/>
                <w:highlight w:val="none"/>
              </w:rPr>
              <w:t>同响应文件递交截止时间和地点</w:t>
            </w:r>
          </w:p>
        </w:tc>
      </w:tr>
      <w:tr w14:paraId="62115F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trPr>
        <w:tc>
          <w:tcPr>
            <w:tcW w:w="555" w:type="pct"/>
            <w:vAlign w:val="center"/>
          </w:tcPr>
          <w:p w14:paraId="3B55AF4F">
            <w:pPr>
              <w:keepNext w:val="0"/>
              <w:keepLines w:val="0"/>
              <w:pageBreakBefore w:val="0"/>
              <w:widowControl w:val="0"/>
              <w:kinsoku/>
              <w:wordWrap/>
              <w:overflowPunct/>
              <w:topLinePunct w:val="0"/>
              <w:bidi w:val="0"/>
              <w:adjustRightInd/>
              <w:snapToGrid/>
              <w:spacing w:line="400" w:lineRule="exact"/>
              <w:jc w:val="center"/>
              <w:textAlignment w:val="auto"/>
              <w:rPr>
                <w:color w:val="auto"/>
                <w:szCs w:val="21"/>
                <w:highlight w:val="none"/>
              </w:rPr>
            </w:pPr>
            <w:r>
              <w:rPr>
                <w:rFonts w:hint="eastAsia"/>
                <w:color w:val="auto"/>
                <w:szCs w:val="21"/>
                <w:highlight w:val="none"/>
              </w:rPr>
              <w:t>6.1.1</w:t>
            </w:r>
          </w:p>
        </w:tc>
        <w:tc>
          <w:tcPr>
            <w:tcW w:w="1031" w:type="pct"/>
            <w:vAlign w:val="center"/>
          </w:tcPr>
          <w:p w14:paraId="6350AEA1">
            <w:pPr>
              <w:keepNext w:val="0"/>
              <w:keepLines w:val="0"/>
              <w:pageBreakBefore w:val="0"/>
              <w:widowControl w:val="0"/>
              <w:kinsoku/>
              <w:wordWrap/>
              <w:overflowPunct/>
              <w:topLinePunct w:val="0"/>
              <w:bidi w:val="0"/>
              <w:adjustRightInd/>
              <w:snapToGrid/>
              <w:spacing w:line="400" w:lineRule="exact"/>
              <w:jc w:val="left"/>
              <w:textAlignment w:val="auto"/>
              <w:rPr>
                <w:color w:val="auto"/>
                <w:szCs w:val="21"/>
                <w:highlight w:val="none"/>
              </w:rPr>
            </w:pPr>
            <w:r>
              <w:rPr>
                <w:rFonts w:hint="eastAsia"/>
                <w:color w:val="auto"/>
                <w:szCs w:val="21"/>
                <w:highlight w:val="none"/>
              </w:rPr>
              <w:t>谈判小组组成人数</w:t>
            </w:r>
          </w:p>
        </w:tc>
        <w:tc>
          <w:tcPr>
            <w:tcW w:w="3412" w:type="pct"/>
            <w:vAlign w:val="center"/>
          </w:tcPr>
          <w:p w14:paraId="35092DCC">
            <w:pPr>
              <w:keepNext w:val="0"/>
              <w:keepLines w:val="0"/>
              <w:pageBreakBefore w:val="0"/>
              <w:widowControl w:val="0"/>
              <w:kinsoku/>
              <w:wordWrap/>
              <w:overflowPunct/>
              <w:topLinePunct w:val="0"/>
              <w:bidi w:val="0"/>
              <w:adjustRightInd/>
              <w:snapToGrid/>
              <w:spacing w:line="400" w:lineRule="exact"/>
              <w:textAlignment w:val="auto"/>
              <w:rPr>
                <w:color w:val="auto"/>
                <w:szCs w:val="21"/>
                <w:highlight w:val="none"/>
              </w:rPr>
            </w:pPr>
            <w:r>
              <w:rPr>
                <w:rFonts w:hint="eastAsia" w:ascii="宋体" w:hAnsi="宋体" w:cs="宋体"/>
                <w:color w:val="auto"/>
                <w:szCs w:val="21"/>
                <w:highlight w:val="none"/>
              </w:rPr>
              <w:t>3人以上单数</w:t>
            </w:r>
          </w:p>
        </w:tc>
      </w:tr>
      <w:tr w14:paraId="681F49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trPr>
        <w:tc>
          <w:tcPr>
            <w:tcW w:w="555" w:type="pct"/>
            <w:vAlign w:val="center"/>
          </w:tcPr>
          <w:p w14:paraId="0033C77D">
            <w:pPr>
              <w:keepNext w:val="0"/>
              <w:keepLines w:val="0"/>
              <w:pageBreakBefore w:val="0"/>
              <w:widowControl w:val="0"/>
              <w:kinsoku/>
              <w:wordWrap/>
              <w:overflowPunct/>
              <w:topLinePunct w:val="0"/>
              <w:bidi w:val="0"/>
              <w:adjustRightInd/>
              <w:snapToGrid/>
              <w:spacing w:line="400" w:lineRule="exact"/>
              <w:jc w:val="center"/>
              <w:textAlignment w:val="auto"/>
              <w:rPr>
                <w:color w:val="auto"/>
                <w:szCs w:val="21"/>
                <w:highlight w:val="none"/>
              </w:rPr>
            </w:pPr>
            <w:r>
              <w:rPr>
                <w:rFonts w:hint="eastAsia"/>
                <w:color w:val="auto"/>
                <w:szCs w:val="21"/>
                <w:highlight w:val="none"/>
              </w:rPr>
              <w:t>6.3</w:t>
            </w:r>
          </w:p>
        </w:tc>
        <w:tc>
          <w:tcPr>
            <w:tcW w:w="1031" w:type="pct"/>
            <w:vAlign w:val="center"/>
          </w:tcPr>
          <w:p w14:paraId="0C55D92A">
            <w:pPr>
              <w:keepNext w:val="0"/>
              <w:keepLines w:val="0"/>
              <w:pageBreakBefore w:val="0"/>
              <w:widowControl w:val="0"/>
              <w:kinsoku/>
              <w:wordWrap/>
              <w:overflowPunct/>
              <w:topLinePunct w:val="0"/>
              <w:bidi w:val="0"/>
              <w:adjustRightInd/>
              <w:snapToGrid/>
              <w:spacing w:line="400" w:lineRule="exact"/>
              <w:jc w:val="left"/>
              <w:textAlignment w:val="auto"/>
              <w:rPr>
                <w:color w:val="auto"/>
                <w:szCs w:val="21"/>
                <w:highlight w:val="none"/>
              </w:rPr>
            </w:pPr>
            <w:r>
              <w:rPr>
                <w:rFonts w:hint="eastAsia"/>
                <w:color w:val="auto"/>
                <w:szCs w:val="21"/>
                <w:highlight w:val="none"/>
              </w:rPr>
              <w:t>评审方法</w:t>
            </w:r>
          </w:p>
        </w:tc>
        <w:tc>
          <w:tcPr>
            <w:tcW w:w="3412" w:type="pct"/>
            <w:vAlign w:val="center"/>
          </w:tcPr>
          <w:p w14:paraId="4117A6E1">
            <w:pPr>
              <w:keepNext w:val="0"/>
              <w:keepLines w:val="0"/>
              <w:pageBreakBefore w:val="0"/>
              <w:widowControl w:val="0"/>
              <w:kinsoku/>
              <w:wordWrap/>
              <w:overflowPunct/>
              <w:topLinePunct w:val="0"/>
              <w:bidi w:val="0"/>
              <w:adjustRightInd/>
              <w:snapToGrid/>
              <w:spacing w:line="400" w:lineRule="exact"/>
              <w:textAlignment w:val="auto"/>
              <w:rPr>
                <w:rFonts w:ascii="宋体" w:hAnsi="宋体" w:cs="宋体"/>
                <w:color w:val="auto"/>
                <w:szCs w:val="21"/>
                <w:highlight w:val="none"/>
              </w:rPr>
            </w:pPr>
            <w:r>
              <w:rPr>
                <w:rFonts w:hint="eastAsia" w:ascii="宋体" w:hAnsi="宋体"/>
                <w:color w:val="auto"/>
                <w:szCs w:val="21"/>
                <w:highlight w:val="none"/>
              </w:rPr>
              <w:t>最低评标价法</w:t>
            </w:r>
          </w:p>
        </w:tc>
      </w:tr>
      <w:tr w14:paraId="169770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trPr>
        <w:tc>
          <w:tcPr>
            <w:tcW w:w="555" w:type="pct"/>
            <w:vAlign w:val="center"/>
          </w:tcPr>
          <w:p w14:paraId="470B92E0">
            <w:pPr>
              <w:keepNext w:val="0"/>
              <w:keepLines w:val="0"/>
              <w:pageBreakBefore w:val="0"/>
              <w:widowControl w:val="0"/>
              <w:kinsoku/>
              <w:wordWrap/>
              <w:overflowPunct/>
              <w:topLinePunct w:val="0"/>
              <w:bidi w:val="0"/>
              <w:adjustRightInd/>
              <w:snapToGrid/>
              <w:spacing w:line="400" w:lineRule="exact"/>
              <w:jc w:val="center"/>
              <w:textAlignment w:val="auto"/>
              <w:rPr>
                <w:color w:val="auto"/>
                <w:szCs w:val="21"/>
                <w:highlight w:val="none"/>
              </w:rPr>
            </w:pPr>
            <w:r>
              <w:rPr>
                <w:rFonts w:hint="eastAsia"/>
                <w:color w:val="auto"/>
                <w:szCs w:val="21"/>
                <w:highlight w:val="none"/>
              </w:rPr>
              <w:t>6.4</w:t>
            </w:r>
          </w:p>
        </w:tc>
        <w:tc>
          <w:tcPr>
            <w:tcW w:w="1031" w:type="pct"/>
            <w:vAlign w:val="center"/>
          </w:tcPr>
          <w:p w14:paraId="5A6B97E3">
            <w:pPr>
              <w:keepNext w:val="0"/>
              <w:keepLines w:val="0"/>
              <w:pageBreakBefore w:val="0"/>
              <w:widowControl w:val="0"/>
              <w:kinsoku/>
              <w:wordWrap/>
              <w:overflowPunct/>
              <w:topLinePunct w:val="0"/>
              <w:bidi w:val="0"/>
              <w:adjustRightInd/>
              <w:snapToGrid/>
              <w:spacing w:line="400" w:lineRule="exact"/>
              <w:jc w:val="left"/>
              <w:textAlignment w:val="auto"/>
              <w:rPr>
                <w:rFonts w:ascii="宋体" w:hAnsi="宋体" w:cs="宋体"/>
                <w:color w:val="auto"/>
                <w:szCs w:val="21"/>
                <w:highlight w:val="none"/>
              </w:rPr>
            </w:pPr>
            <w:r>
              <w:rPr>
                <w:rFonts w:hint="eastAsia" w:ascii="宋体" w:hAnsi="宋体" w:cs="宋体"/>
                <w:color w:val="auto"/>
                <w:szCs w:val="21"/>
                <w:highlight w:val="none"/>
              </w:rPr>
              <w:t>推荐成交候选人原则</w:t>
            </w:r>
          </w:p>
        </w:tc>
        <w:tc>
          <w:tcPr>
            <w:tcW w:w="3412" w:type="pct"/>
            <w:vAlign w:val="center"/>
          </w:tcPr>
          <w:p w14:paraId="0EE821EC">
            <w:pPr>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ascii="宋体" w:hAnsi="宋体" w:cs="宋体"/>
                <w:color w:val="auto"/>
                <w:szCs w:val="21"/>
                <w:highlight w:val="none"/>
              </w:rPr>
            </w:pPr>
            <w:r>
              <w:rPr>
                <w:rFonts w:hint="eastAsia" w:ascii="宋体" w:hAnsi="宋体" w:cs="宋体"/>
                <w:color w:val="auto"/>
                <w:kern w:val="0"/>
                <w:highlight w:val="none"/>
              </w:rPr>
              <w:t>本项目推荐</w:t>
            </w:r>
            <w:r>
              <w:rPr>
                <w:rFonts w:hint="eastAsia" w:ascii="宋体" w:hAnsi="宋体" w:cs="宋体"/>
                <w:color w:val="auto"/>
                <w:kern w:val="0"/>
                <w:highlight w:val="none"/>
                <w:lang w:val="en-US" w:eastAsia="zh-CN"/>
              </w:rPr>
              <w:t>3</w:t>
            </w:r>
            <w:r>
              <w:rPr>
                <w:rFonts w:hint="eastAsia" w:ascii="宋体" w:hAnsi="宋体" w:cs="宋体"/>
                <w:color w:val="auto"/>
                <w:kern w:val="0"/>
                <w:highlight w:val="none"/>
              </w:rPr>
              <w:t>名成交候选单位。竞争性谈判以响应人最后一轮谈判的报价及承诺作为谈判小组向采购人推荐成交候选人的依据，谈判小组应当</w:t>
            </w:r>
            <w:r>
              <w:rPr>
                <w:rFonts w:hint="eastAsia"/>
                <w:color w:val="auto"/>
                <w:szCs w:val="21"/>
                <w:highlight w:val="none"/>
              </w:rPr>
              <w:t>根据符合采购需求、质量和服务且</w:t>
            </w:r>
            <w:r>
              <w:rPr>
                <w:rFonts w:hint="eastAsia"/>
                <w:b/>
                <w:bCs/>
                <w:color w:val="auto"/>
                <w:szCs w:val="21"/>
                <w:highlight w:val="none"/>
                <w:lang w:eastAsia="zh-CN"/>
              </w:rPr>
              <w:t>不含税</w:t>
            </w:r>
            <w:r>
              <w:rPr>
                <w:rFonts w:hint="eastAsia"/>
                <w:color w:val="auto"/>
                <w:szCs w:val="21"/>
                <w:highlight w:val="none"/>
              </w:rPr>
              <w:t>报价最低的原则按顺序排列推荐成交</w:t>
            </w:r>
            <w:r>
              <w:rPr>
                <w:rFonts w:hint="eastAsia"/>
                <w:color w:val="auto"/>
                <w:szCs w:val="21"/>
                <w:highlight w:val="none"/>
                <w:lang w:eastAsia="zh-CN"/>
              </w:rPr>
              <w:t>候选人</w:t>
            </w:r>
            <w:r>
              <w:rPr>
                <w:rFonts w:hint="eastAsia" w:ascii="宋体" w:hAnsi="宋体" w:cs="宋体"/>
                <w:color w:val="auto"/>
                <w:kern w:val="0"/>
                <w:highlight w:val="none"/>
              </w:rPr>
              <w:t>。如最低投标报价相同，由谈判小组按技术指标优劣顺序排列。如果无法进行合理排序，则采用现场随机抽签方式确定。</w:t>
            </w:r>
          </w:p>
        </w:tc>
      </w:tr>
      <w:tr w14:paraId="17EDE3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trPr>
        <w:tc>
          <w:tcPr>
            <w:tcW w:w="555" w:type="pct"/>
            <w:vAlign w:val="center"/>
          </w:tcPr>
          <w:p w14:paraId="483A8641">
            <w:pPr>
              <w:keepNext w:val="0"/>
              <w:keepLines w:val="0"/>
              <w:pageBreakBefore w:val="0"/>
              <w:widowControl w:val="0"/>
              <w:kinsoku/>
              <w:wordWrap/>
              <w:overflowPunct/>
              <w:topLinePunct w:val="0"/>
              <w:bidi w:val="0"/>
              <w:adjustRightInd/>
              <w:snapToGrid/>
              <w:spacing w:line="400" w:lineRule="exact"/>
              <w:jc w:val="center"/>
              <w:textAlignment w:val="auto"/>
              <w:rPr>
                <w:color w:val="auto"/>
                <w:szCs w:val="21"/>
                <w:highlight w:val="none"/>
              </w:rPr>
            </w:pPr>
            <w:r>
              <w:rPr>
                <w:rFonts w:hint="eastAsia"/>
                <w:color w:val="auto"/>
                <w:szCs w:val="21"/>
                <w:highlight w:val="none"/>
              </w:rPr>
              <w:t>7.1</w:t>
            </w:r>
          </w:p>
        </w:tc>
        <w:tc>
          <w:tcPr>
            <w:tcW w:w="1031" w:type="pct"/>
            <w:vAlign w:val="center"/>
          </w:tcPr>
          <w:p w14:paraId="5FBB1656">
            <w:pPr>
              <w:keepNext w:val="0"/>
              <w:keepLines w:val="0"/>
              <w:pageBreakBefore w:val="0"/>
              <w:widowControl w:val="0"/>
              <w:kinsoku/>
              <w:wordWrap/>
              <w:overflowPunct/>
              <w:topLinePunct w:val="0"/>
              <w:bidi w:val="0"/>
              <w:adjustRightInd/>
              <w:snapToGrid/>
              <w:spacing w:line="400" w:lineRule="exact"/>
              <w:jc w:val="left"/>
              <w:textAlignment w:val="auto"/>
              <w:rPr>
                <w:rFonts w:ascii="宋体" w:hAnsi="宋体" w:cs="宋体"/>
                <w:color w:val="auto"/>
                <w:szCs w:val="21"/>
                <w:highlight w:val="none"/>
              </w:rPr>
            </w:pPr>
            <w:r>
              <w:rPr>
                <w:rStyle w:val="82"/>
                <w:rFonts w:hint="eastAsia"/>
                <w:color w:val="auto"/>
                <w:szCs w:val="21"/>
                <w:highlight w:val="none"/>
              </w:rPr>
              <w:t>成交候选人公示媒介</w:t>
            </w:r>
          </w:p>
        </w:tc>
        <w:tc>
          <w:tcPr>
            <w:tcW w:w="3412" w:type="pct"/>
            <w:vAlign w:val="center"/>
          </w:tcPr>
          <w:p w14:paraId="12020077">
            <w:pPr>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ascii="宋体" w:hAnsi="宋体" w:cs="宋体"/>
                <w:color w:val="auto"/>
                <w:kern w:val="0"/>
                <w:highlight w:val="none"/>
              </w:rPr>
            </w:pPr>
            <w:r>
              <w:rPr>
                <w:rFonts w:hint="eastAsia"/>
                <w:color w:val="auto"/>
                <w:highlight w:val="none"/>
                <w:u w:val="single"/>
              </w:rPr>
              <w:t>东莞实业投资控股集团有限公司网站</w:t>
            </w:r>
            <w:r>
              <w:rPr>
                <w:color w:val="auto"/>
                <w:highlight w:val="none"/>
                <w:u w:val="single"/>
              </w:rPr>
              <w:t>（</w:t>
            </w:r>
            <w:r>
              <w:rPr>
                <w:rFonts w:hint="eastAsia"/>
                <w:color w:val="auto"/>
                <w:highlight w:val="none"/>
                <w:u w:val="single"/>
              </w:rPr>
              <w:t>网址：http://www.dgsy.com.cn/</w:t>
            </w:r>
            <w:r>
              <w:rPr>
                <w:color w:val="auto"/>
                <w:highlight w:val="none"/>
                <w:u w:val="single"/>
              </w:rPr>
              <w:t>）</w:t>
            </w:r>
          </w:p>
        </w:tc>
      </w:tr>
      <w:tr w14:paraId="4F3B99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trPr>
        <w:tc>
          <w:tcPr>
            <w:tcW w:w="555" w:type="pct"/>
            <w:vAlign w:val="center"/>
          </w:tcPr>
          <w:p w14:paraId="25619AC9">
            <w:pPr>
              <w:keepNext w:val="0"/>
              <w:keepLines w:val="0"/>
              <w:pageBreakBefore w:val="0"/>
              <w:widowControl w:val="0"/>
              <w:kinsoku/>
              <w:wordWrap/>
              <w:overflowPunct/>
              <w:topLinePunct w:val="0"/>
              <w:bidi w:val="0"/>
              <w:adjustRightInd/>
              <w:snapToGrid/>
              <w:spacing w:line="400" w:lineRule="exact"/>
              <w:jc w:val="center"/>
              <w:textAlignment w:val="auto"/>
              <w:rPr>
                <w:color w:val="auto"/>
                <w:szCs w:val="21"/>
                <w:highlight w:val="none"/>
              </w:rPr>
            </w:pPr>
            <w:r>
              <w:rPr>
                <w:rFonts w:hint="eastAsia"/>
                <w:color w:val="auto"/>
                <w:szCs w:val="21"/>
                <w:highlight w:val="none"/>
              </w:rPr>
              <w:t>7.3.1</w:t>
            </w:r>
          </w:p>
        </w:tc>
        <w:tc>
          <w:tcPr>
            <w:tcW w:w="1031" w:type="pct"/>
            <w:vAlign w:val="center"/>
          </w:tcPr>
          <w:p w14:paraId="0825084F">
            <w:pPr>
              <w:keepNext w:val="0"/>
              <w:keepLines w:val="0"/>
              <w:pageBreakBefore w:val="0"/>
              <w:widowControl w:val="0"/>
              <w:kinsoku/>
              <w:wordWrap/>
              <w:overflowPunct/>
              <w:topLinePunct w:val="0"/>
              <w:bidi w:val="0"/>
              <w:adjustRightInd/>
              <w:snapToGrid/>
              <w:spacing w:line="400" w:lineRule="exact"/>
              <w:jc w:val="left"/>
              <w:textAlignment w:val="auto"/>
              <w:rPr>
                <w:rFonts w:ascii="宋体" w:hAnsi="宋体" w:cs="宋体"/>
                <w:color w:val="auto"/>
                <w:szCs w:val="21"/>
                <w:highlight w:val="none"/>
              </w:rPr>
            </w:pPr>
            <w:r>
              <w:rPr>
                <w:rFonts w:hint="eastAsia" w:ascii="宋体" w:hAnsi="宋体" w:cs="宋体"/>
                <w:color w:val="auto"/>
                <w:szCs w:val="21"/>
                <w:highlight w:val="none"/>
              </w:rPr>
              <w:t>成交人确定</w:t>
            </w:r>
          </w:p>
        </w:tc>
        <w:tc>
          <w:tcPr>
            <w:tcW w:w="3412" w:type="pct"/>
            <w:vAlign w:val="center"/>
          </w:tcPr>
          <w:p w14:paraId="1D54DF61">
            <w:pPr>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ascii="宋体" w:hAnsi="宋体" w:cs="宋体"/>
                <w:color w:val="auto"/>
                <w:szCs w:val="21"/>
                <w:highlight w:val="none"/>
              </w:rPr>
            </w:pPr>
            <w:r>
              <w:rPr>
                <w:rFonts w:hint="eastAsia" w:ascii="宋体" w:hAnsi="宋体"/>
                <w:color w:val="auto"/>
                <w:szCs w:val="21"/>
                <w:highlight w:val="none"/>
              </w:rPr>
              <w:t>□</w:t>
            </w:r>
            <w:r>
              <w:rPr>
                <w:rFonts w:hint="eastAsia" w:hAnsi="宋体"/>
                <w:color w:val="auto"/>
                <w:szCs w:val="21"/>
                <w:highlight w:val="none"/>
              </w:rPr>
              <w:t>谈判小组直接确定成交人</w:t>
            </w:r>
            <w:r>
              <w:rPr>
                <w:rFonts w:hint="eastAsia" w:ascii="宋体" w:hAnsi="宋体" w:cs="宋体"/>
                <w:color w:val="auto"/>
                <w:szCs w:val="21"/>
                <w:highlight w:val="none"/>
              </w:rPr>
              <w:t>，</w:t>
            </w:r>
            <w:r>
              <w:rPr>
                <w:rFonts w:hint="eastAsia" w:hAnsi="宋体"/>
                <w:color w:val="auto"/>
                <w:szCs w:val="21"/>
                <w:highlight w:val="none"/>
              </w:rPr>
              <w:t>成交人数量：</w:t>
            </w:r>
            <w:r>
              <w:rPr>
                <w:rFonts w:ascii="宋体" w:hAnsi="宋体" w:cs="宋体"/>
                <w:color w:val="auto"/>
                <w:szCs w:val="21"/>
                <w:highlight w:val="none"/>
                <w:u w:val="single"/>
              </w:rPr>
              <w:t xml:space="preserve">    </w:t>
            </w:r>
            <w:r>
              <w:rPr>
                <w:rFonts w:hint="eastAsia" w:ascii="宋体" w:hAnsi="宋体" w:cs="宋体"/>
                <w:color w:val="auto"/>
                <w:szCs w:val="21"/>
                <w:highlight w:val="none"/>
              </w:rPr>
              <w:t>人</w:t>
            </w:r>
          </w:p>
          <w:p w14:paraId="0BEA30DC">
            <w:pPr>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ascii="宋体" w:hAnsi="宋体" w:cs="宋体"/>
                <w:color w:val="auto"/>
                <w:szCs w:val="21"/>
                <w:highlight w:val="none"/>
              </w:rPr>
            </w:pPr>
            <w:r>
              <w:rPr>
                <w:rFonts w:hint="eastAsia"/>
                <w:color w:val="auto"/>
                <w:szCs w:val="21"/>
                <w:highlight w:val="none"/>
              </w:rPr>
              <w:t>■</w:t>
            </w:r>
            <w:r>
              <w:rPr>
                <w:rFonts w:hint="eastAsia" w:ascii="宋体" w:hAnsi="宋体" w:cs="宋体"/>
                <w:color w:val="auto"/>
                <w:szCs w:val="21"/>
                <w:highlight w:val="none"/>
              </w:rPr>
              <w:t>采购人确定成交人，</w:t>
            </w:r>
            <w:r>
              <w:rPr>
                <w:rFonts w:hint="eastAsia" w:hAnsi="宋体"/>
                <w:color w:val="auto"/>
                <w:szCs w:val="21"/>
                <w:highlight w:val="none"/>
              </w:rPr>
              <w:t>成交人数量：</w:t>
            </w:r>
            <w:r>
              <w:rPr>
                <w:rFonts w:hint="eastAsia" w:ascii="宋体" w:hAnsi="宋体" w:cs="宋体"/>
                <w:color w:val="auto"/>
                <w:szCs w:val="21"/>
                <w:highlight w:val="none"/>
                <w:u w:val="single"/>
                <w:lang w:val="en-US" w:eastAsia="zh-CN"/>
              </w:rPr>
              <w:t>1</w:t>
            </w:r>
            <w:r>
              <w:rPr>
                <w:rFonts w:hint="eastAsia" w:ascii="宋体" w:hAnsi="宋体" w:cs="宋体"/>
                <w:color w:val="auto"/>
                <w:szCs w:val="21"/>
                <w:highlight w:val="none"/>
              </w:rPr>
              <w:t>人</w:t>
            </w:r>
          </w:p>
        </w:tc>
      </w:tr>
      <w:tr w14:paraId="78CE2B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trPr>
        <w:tc>
          <w:tcPr>
            <w:tcW w:w="555" w:type="pct"/>
            <w:vAlign w:val="center"/>
          </w:tcPr>
          <w:p w14:paraId="20F201AF">
            <w:pPr>
              <w:keepNext w:val="0"/>
              <w:keepLines w:val="0"/>
              <w:pageBreakBefore w:val="0"/>
              <w:widowControl w:val="0"/>
              <w:kinsoku/>
              <w:wordWrap/>
              <w:overflowPunct/>
              <w:topLinePunct w:val="0"/>
              <w:bidi w:val="0"/>
              <w:adjustRightInd/>
              <w:snapToGrid/>
              <w:spacing w:line="400" w:lineRule="exact"/>
              <w:jc w:val="center"/>
              <w:textAlignment w:val="auto"/>
              <w:rPr>
                <w:color w:val="auto"/>
                <w:szCs w:val="21"/>
                <w:highlight w:val="none"/>
              </w:rPr>
            </w:pPr>
            <w:r>
              <w:rPr>
                <w:rFonts w:hint="eastAsia"/>
                <w:color w:val="auto"/>
                <w:szCs w:val="21"/>
                <w:highlight w:val="none"/>
              </w:rPr>
              <w:t>7.3.2</w:t>
            </w:r>
          </w:p>
        </w:tc>
        <w:tc>
          <w:tcPr>
            <w:tcW w:w="1031" w:type="pct"/>
            <w:vAlign w:val="center"/>
          </w:tcPr>
          <w:p w14:paraId="2FFDE376">
            <w:pPr>
              <w:keepNext w:val="0"/>
              <w:keepLines w:val="0"/>
              <w:pageBreakBefore w:val="0"/>
              <w:widowControl w:val="0"/>
              <w:kinsoku/>
              <w:wordWrap/>
              <w:overflowPunct/>
              <w:topLinePunct w:val="0"/>
              <w:bidi w:val="0"/>
              <w:adjustRightInd/>
              <w:snapToGrid/>
              <w:spacing w:line="400" w:lineRule="exact"/>
              <w:jc w:val="left"/>
              <w:textAlignment w:val="auto"/>
              <w:rPr>
                <w:rFonts w:ascii="宋体" w:hAnsi="宋体" w:cs="宋体"/>
                <w:color w:val="auto"/>
                <w:szCs w:val="21"/>
                <w:highlight w:val="none"/>
              </w:rPr>
            </w:pPr>
            <w:r>
              <w:rPr>
                <w:rFonts w:hint="eastAsia" w:ascii="宋体" w:hAnsi="宋体" w:cs="宋体"/>
                <w:color w:val="auto"/>
                <w:szCs w:val="21"/>
                <w:highlight w:val="none"/>
              </w:rPr>
              <w:t>成交原则</w:t>
            </w:r>
          </w:p>
        </w:tc>
        <w:tc>
          <w:tcPr>
            <w:tcW w:w="3412" w:type="pct"/>
            <w:vAlign w:val="center"/>
          </w:tcPr>
          <w:p w14:paraId="53CC7E14">
            <w:pPr>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ascii="宋体" w:hAnsi="宋体" w:cs="宋体"/>
                <w:color w:val="auto"/>
                <w:szCs w:val="21"/>
                <w:highlight w:val="none"/>
              </w:rPr>
            </w:pPr>
            <w:r>
              <w:rPr>
                <w:color w:val="auto"/>
                <w:szCs w:val="21"/>
                <w:highlight w:val="none"/>
              </w:rPr>
              <w:t>采购人</w:t>
            </w:r>
            <w:r>
              <w:rPr>
                <w:rFonts w:hint="eastAsia"/>
                <w:color w:val="auto"/>
                <w:szCs w:val="21"/>
                <w:highlight w:val="none"/>
              </w:rPr>
              <w:t>根据谈判小组推荐的</w:t>
            </w:r>
            <w:r>
              <w:rPr>
                <w:color w:val="auto"/>
                <w:szCs w:val="21"/>
                <w:highlight w:val="none"/>
              </w:rPr>
              <w:t>成交候选人</w:t>
            </w:r>
            <w:r>
              <w:rPr>
                <w:rFonts w:hint="eastAsia"/>
                <w:color w:val="auto"/>
                <w:szCs w:val="21"/>
                <w:highlight w:val="none"/>
              </w:rPr>
              <w:t>名单排序</w:t>
            </w:r>
            <w:r>
              <w:rPr>
                <w:color w:val="auto"/>
                <w:szCs w:val="21"/>
                <w:highlight w:val="none"/>
              </w:rPr>
              <w:t>依次确定成交人</w:t>
            </w:r>
            <w:r>
              <w:rPr>
                <w:rFonts w:hint="eastAsia"/>
                <w:color w:val="auto"/>
                <w:szCs w:val="21"/>
                <w:highlight w:val="none"/>
              </w:rPr>
              <w:t>。</w:t>
            </w:r>
          </w:p>
        </w:tc>
      </w:tr>
      <w:tr w14:paraId="53AB93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5" w:type="pct"/>
            <w:vAlign w:val="center"/>
          </w:tcPr>
          <w:p w14:paraId="6668D2E1">
            <w:pPr>
              <w:keepNext w:val="0"/>
              <w:keepLines w:val="0"/>
              <w:pageBreakBefore w:val="0"/>
              <w:widowControl w:val="0"/>
              <w:kinsoku/>
              <w:wordWrap/>
              <w:overflowPunct/>
              <w:topLinePunct w:val="0"/>
              <w:bidi w:val="0"/>
              <w:adjustRightInd/>
              <w:snapToGrid/>
              <w:spacing w:line="400" w:lineRule="exact"/>
              <w:jc w:val="center"/>
              <w:textAlignment w:val="auto"/>
              <w:rPr>
                <w:color w:val="auto"/>
                <w:szCs w:val="21"/>
                <w:highlight w:val="none"/>
              </w:rPr>
            </w:pPr>
            <w:r>
              <w:rPr>
                <w:rFonts w:hint="eastAsia"/>
                <w:color w:val="auto"/>
                <w:szCs w:val="21"/>
                <w:highlight w:val="none"/>
              </w:rPr>
              <w:t>8.1.1</w:t>
            </w:r>
          </w:p>
        </w:tc>
        <w:tc>
          <w:tcPr>
            <w:tcW w:w="1031" w:type="pct"/>
            <w:vAlign w:val="center"/>
          </w:tcPr>
          <w:p w14:paraId="586B3AB2">
            <w:pPr>
              <w:keepNext w:val="0"/>
              <w:keepLines w:val="0"/>
              <w:pageBreakBefore w:val="0"/>
              <w:widowControl w:val="0"/>
              <w:kinsoku/>
              <w:wordWrap/>
              <w:overflowPunct/>
              <w:topLinePunct w:val="0"/>
              <w:bidi w:val="0"/>
              <w:adjustRightInd/>
              <w:snapToGrid/>
              <w:spacing w:line="400" w:lineRule="exact"/>
              <w:jc w:val="left"/>
              <w:textAlignment w:val="auto"/>
              <w:rPr>
                <w:color w:val="auto"/>
                <w:szCs w:val="21"/>
                <w:highlight w:val="none"/>
              </w:rPr>
            </w:pPr>
            <w:r>
              <w:rPr>
                <w:rFonts w:hint="eastAsia" w:ascii="宋体" w:hAnsi="宋体" w:cs="宋体"/>
                <w:color w:val="auto"/>
                <w:szCs w:val="21"/>
                <w:highlight w:val="none"/>
              </w:rPr>
              <w:t>履约担保金额、缴纳方式及要求</w:t>
            </w:r>
          </w:p>
        </w:tc>
        <w:tc>
          <w:tcPr>
            <w:tcW w:w="3412" w:type="pct"/>
            <w:vAlign w:val="center"/>
          </w:tcPr>
          <w:p w14:paraId="47DA21B3">
            <w:pPr>
              <w:keepNext w:val="0"/>
              <w:keepLines w:val="0"/>
              <w:pageBreakBefore w:val="0"/>
              <w:widowControl w:val="0"/>
              <w:kinsoku/>
              <w:wordWrap/>
              <w:overflowPunct/>
              <w:topLinePunct w:val="0"/>
              <w:autoSpaceDE w:val="0"/>
              <w:autoSpaceDN w:val="0"/>
              <w:bidi w:val="0"/>
              <w:adjustRightInd/>
              <w:snapToGrid/>
              <w:spacing w:line="400" w:lineRule="exact"/>
              <w:jc w:val="left"/>
              <w:textAlignment w:val="auto"/>
              <w:rPr>
                <w:rFonts w:ascii="宋体" w:hAnsi="宋体" w:cs="宋体"/>
                <w:color w:val="auto"/>
                <w:szCs w:val="21"/>
                <w:highlight w:val="none"/>
              </w:rPr>
            </w:pPr>
            <w:r>
              <w:rPr>
                <w:rFonts w:hint="eastAsia" w:ascii="宋体" w:hAnsi="宋体" w:cs="宋体"/>
                <w:color w:val="auto"/>
                <w:szCs w:val="21"/>
                <w:highlight w:val="none"/>
              </w:rPr>
              <w:t>1.履约担保金额：合同金额的</w:t>
            </w:r>
            <w:r>
              <w:rPr>
                <w:rFonts w:hint="eastAsia" w:ascii="宋体" w:hAnsi="宋体" w:cs="宋体"/>
                <w:color w:val="auto"/>
                <w:szCs w:val="21"/>
                <w:highlight w:val="none"/>
                <w:u w:val="single"/>
                <w:lang w:val="en-US" w:eastAsia="zh-CN"/>
              </w:rPr>
              <w:t>10</w:t>
            </w:r>
            <w:r>
              <w:rPr>
                <w:rFonts w:ascii="宋体" w:hAnsi="宋体" w:cs="宋体"/>
                <w:color w:val="auto"/>
                <w:szCs w:val="21"/>
                <w:highlight w:val="none"/>
              </w:rPr>
              <w:t>%</w:t>
            </w:r>
          </w:p>
          <w:p w14:paraId="18D45D35">
            <w:pPr>
              <w:keepNext w:val="0"/>
              <w:keepLines w:val="0"/>
              <w:pageBreakBefore w:val="0"/>
              <w:widowControl w:val="0"/>
              <w:kinsoku/>
              <w:wordWrap/>
              <w:overflowPunct/>
              <w:topLinePunct w:val="0"/>
              <w:bidi w:val="0"/>
              <w:adjustRightInd/>
              <w:snapToGrid/>
              <w:spacing w:line="400" w:lineRule="exact"/>
              <w:textAlignment w:val="auto"/>
              <w:rPr>
                <w:rFonts w:ascii="宋体" w:hAnsi="宋体" w:cs="宋体"/>
                <w:color w:val="auto"/>
                <w:szCs w:val="21"/>
                <w:highlight w:val="none"/>
                <w:u w:val="single"/>
              </w:rPr>
            </w:pPr>
            <w:r>
              <w:rPr>
                <w:rFonts w:hint="eastAsia" w:ascii="宋体" w:hAnsi="宋体" w:cs="宋体"/>
                <w:color w:val="auto"/>
                <w:szCs w:val="21"/>
                <w:highlight w:val="none"/>
              </w:rPr>
              <w:t>2.履约担保方式：</w:t>
            </w:r>
            <w:r>
              <w:rPr>
                <w:rFonts w:hint="eastAsia" w:ascii="宋体" w:hAnsi="宋体" w:cs="宋体"/>
                <w:color w:val="auto"/>
                <w:szCs w:val="21"/>
                <w:highlight w:val="none"/>
                <w:u w:val="single"/>
              </w:rPr>
              <w:t>（银行</w:t>
            </w:r>
            <w:r>
              <w:rPr>
                <w:rFonts w:hint="eastAsia" w:ascii="宋体" w:hAnsi="宋体" w:cs="宋体"/>
                <w:color w:val="auto"/>
                <w:szCs w:val="21"/>
                <w:highlight w:val="none"/>
                <w:u w:val="single"/>
                <w:lang w:val="en-US" w:eastAsia="zh-CN"/>
              </w:rPr>
              <w:t>转账</w:t>
            </w:r>
            <w:r>
              <w:rPr>
                <w:rFonts w:hint="eastAsia" w:ascii="宋体" w:hAnsi="宋体" w:cs="宋体"/>
                <w:color w:val="auto"/>
                <w:szCs w:val="21"/>
                <w:highlight w:val="none"/>
                <w:u w:val="single"/>
              </w:rPr>
              <w:t>/银行保函）</w:t>
            </w:r>
          </w:p>
          <w:p w14:paraId="3D6EAED8">
            <w:pPr>
              <w:keepNext w:val="0"/>
              <w:keepLines w:val="0"/>
              <w:pageBreakBefore w:val="0"/>
              <w:widowControl w:val="0"/>
              <w:kinsoku/>
              <w:wordWrap/>
              <w:overflowPunct/>
              <w:topLinePunct w:val="0"/>
              <w:bidi w:val="0"/>
              <w:adjustRightInd/>
              <w:snapToGrid/>
              <w:spacing w:line="400" w:lineRule="exact"/>
              <w:textAlignment w:val="auto"/>
              <w:rPr>
                <w:rFonts w:hAnsi="宋体"/>
                <w:color w:val="auto"/>
                <w:szCs w:val="21"/>
                <w:highlight w:val="none"/>
                <w:lang w:val="zh-CN"/>
              </w:rPr>
            </w:pPr>
            <w:r>
              <w:rPr>
                <w:rFonts w:hint="eastAsia" w:hAnsi="宋体"/>
                <w:color w:val="auto"/>
                <w:szCs w:val="21"/>
                <w:highlight w:val="none"/>
                <w:lang w:val="zh-CN"/>
              </w:rPr>
              <w:t>3.响应人在合同签订前提交履约担保，履约担保金额不超过成交合同金额的10%，如果成交人提交的履约保函的有效期先于合同要求的履约保函有效期到达，成交人应在原提交的履约保函有效期满前15天，无条件办理保函延期手续。否则，视为成交人违约，采购人可在保函到期前将保函金额转为现金存入履约保证金账户。</w:t>
            </w:r>
          </w:p>
          <w:p w14:paraId="2181F068">
            <w:pPr>
              <w:keepNext w:val="0"/>
              <w:keepLines w:val="0"/>
              <w:pageBreakBefore w:val="0"/>
              <w:widowControl w:val="0"/>
              <w:kinsoku/>
              <w:wordWrap/>
              <w:overflowPunct/>
              <w:topLinePunct w:val="0"/>
              <w:bidi w:val="0"/>
              <w:adjustRightInd/>
              <w:snapToGrid/>
              <w:spacing w:line="400" w:lineRule="exact"/>
              <w:textAlignment w:val="auto"/>
              <w:rPr>
                <w:rFonts w:hAnsi="宋体"/>
                <w:color w:val="auto"/>
                <w:szCs w:val="21"/>
                <w:highlight w:val="none"/>
                <w:lang w:val="zh-CN"/>
              </w:rPr>
            </w:pPr>
            <w:r>
              <w:rPr>
                <w:rFonts w:hint="eastAsia" w:hAnsi="宋体"/>
                <w:color w:val="auto"/>
                <w:szCs w:val="21"/>
                <w:highlight w:val="none"/>
                <w:lang w:val="zh-CN"/>
              </w:rPr>
              <w:t>4.履约担保期限</w:t>
            </w:r>
            <w:r>
              <w:rPr>
                <w:rFonts w:hint="eastAsia" w:hAnsi="宋体"/>
                <w:color w:val="auto"/>
                <w:szCs w:val="21"/>
                <w:highlight w:val="none"/>
                <w:u w:val="single"/>
                <w:lang w:val="zh-CN"/>
              </w:rPr>
              <w:t>从合同签订之日起至项目完工验收合格并结算完毕后，经双方签字</w:t>
            </w:r>
            <w:r>
              <w:rPr>
                <w:rFonts w:hint="eastAsia" w:hAnsi="宋体"/>
                <w:color w:val="auto"/>
                <w:szCs w:val="21"/>
                <w:highlight w:val="none"/>
                <w:u w:val="single"/>
                <w:lang w:val="en-US" w:eastAsia="zh-CN"/>
              </w:rPr>
              <w:t>30</w:t>
            </w:r>
            <w:r>
              <w:rPr>
                <w:rFonts w:hint="eastAsia" w:hAnsi="宋体"/>
                <w:color w:val="auto"/>
                <w:szCs w:val="21"/>
                <w:highlight w:val="none"/>
                <w:u w:val="single"/>
                <w:lang w:val="zh-CN"/>
              </w:rPr>
              <w:t>天内保持有效</w:t>
            </w:r>
            <w:r>
              <w:rPr>
                <w:rFonts w:hint="eastAsia" w:hAnsi="宋体"/>
                <w:color w:val="auto"/>
                <w:szCs w:val="21"/>
                <w:highlight w:val="none"/>
                <w:lang w:val="zh-CN"/>
              </w:rPr>
              <w:t>。</w:t>
            </w:r>
          </w:p>
          <w:p w14:paraId="55C9299E">
            <w:pPr>
              <w:keepNext w:val="0"/>
              <w:keepLines w:val="0"/>
              <w:pageBreakBefore w:val="0"/>
              <w:widowControl w:val="0"/>
              <w:kinsoku/>
              <w:wordWrap/>
              <w:overflowPunct/>
              <w:topLinePunct w:val="0"/>
              <w:bidi w:val="0"/>
              <w:adjustRightInd/>
              <w:snapToGrid/>
              <w:spacing w:line="400" w:lineRule="exact"/>
              <w:textAlignment w:val="auto"/>
              <w:rPr>
                <w:rFonts w:hAnsi="宋体"/>
                <w:color w:val="auto"/>
                <w:szCs w:val="21"/>
                <w:highlight w:val="none"/>
                <w:lang w:val="zh-CN"/>
              </w:rPr>
            </w:pPr>
            <w:r>
              <w:rPr>
                <w:rFonts w:hint="eastAsia" w:hAnsi="宋体"/>
                <w:color w:val="auto"/>
                <w:szCs w:val="21"/>
                <w:highlight w:val="none"/>
                <w:lang w:val="zh-CN"/>
              </w:rPr>
              <w:t>5.履约担保要求：</w:t>
            </w:r>
          </w:p>
          <w:p w14:paraId="379278D4">
            <w:pPr>
              <w:keepNext w:val="0"/>
              <w:keepLines w:val="0"/>
              <w:pageBreakBefore w:val="0"/>
              <w:widowControl w:val="0"/>
              <w:kinsoku/>
              <w:wordWrap/>
              <w:overflowPunct/>
              <w:topLinePunct w:val="0"/>
              <w:bidi w:val="0"/>
              <w:adjustRightInd/>
              <w:snapToGrid/>
              <w:spacing w:line="400" w:lineRule="exact"/>
              <w:textAlignment w:val="auto"/>
              <w:rPr>
                <w:rFonts w:hAnsi="宋体"/>
                <w:color w:val="auto"/>
                <w:szCs w:val="21"/>
                <w:highlight w:val="none"/>
                <w:lang w:val="zh-CN"/>
              </w:rPr>
            </w:pPr>
            <w:r>
              <w:rPr>
                <w:rFonts w:hint="eastAsia" w:hAnsi="宋体"/>
                <w:color w:val="auto"/>
                <w:szCs w:val="21"/>
                <w:highlight w:val="none"/>
                <w:lang w:val="zh-CN"/>
              </w:rPr>
              <w:t>（1）履约保函。如果响应人的履约担保是以银行保函形式提供的，则该银行保函应：</w:t>
            </w:r>
          </w:p>
          <w:p w14:paraId="5B0C1F0F">
            <w:pPr>
              <w:keepNext w:val="0"/>
              <w:keepLines w:val="0"/>
              <w:pageBreakBefore w:val="0"/>
              <w:widowControl w:val="0"/>
              <w:kinsoku/>
              <w:wordWrap/>
              <w:overflowPunct/>
              <w:topLinePunct w:val="0"/>
              <w:bidi w:val="0"/>
              <w:adjustRightInd/>
              <w:snapToGrid/>
              <w:spacing w:line="400" w:lineRule="exact"/>
              <w:textAlignment w:val="auto"/>
              <w:rPr>
                <w:rFonts w:hAnsi="宋体"/>
                <w:color w:val="auto"/>
                <w:szCs w:val="21"/>
                <w:highlight w:val="none"/>
                <w:lang w:val="zh-CN"/>
              </w:rPr>
            </w:pPr>
            <w:r>
              <w:rPr>
                <w:rFonts w:hint="eastAsia" w:hAnsi="宋体"/>
                <w:color w:val="auto"/>
                <w:szCs w:val="21"/>
                <w:highlight w:val="none"/>
                <w:lang w:val="zh-CN"/>
              </w:rPr>
              <w:t>①保函应由银行支行或以上银行机构开具。</w:t>
            </w:r>
          </w:p>
          <w:p w14:paraId="337CE8B8">
            <w:pPr>
              <w:keepNext w:val="0"/>
              <w:keepLines w:val="0"/>
              <w:pageBreakBefore w:val="0"/>
              <w:widowControl w:val="0"/>
              <w:kinsoku/>
              <w:wordWrap/>
              <w:overflowPunct/>
              <w:topLinePunct w:val="0"/>
              <w:bidi w:val="0"/>
              <w:adjustRightInd/>
              <w:snapToGrid/>
              <w:spacing w:line="400" w:lineRule="exact"/>
              <w:textAlignment w:val="auto"/>
              <w:rPr>
                <w:rFonts w:hAnsi="宋体"/>
                <w:color w:val="auto"/>
                <w:szCs w:val="21"/>
                <w:highlight w:val="none"/>
                <w:lang w:val="zh-CN"/>
              </w:rPr>
            </w:pPr>
            <w:r>
              <w:rPr>
                <w:rFonts w:hint="eastAsia" w:hAnsi="宋体"/>
                <w:color w:val="auto"/>
                <w:szCs w:val="21"/>
                <w:highlight w:val="none"/>
                <w:lang w:val="zh-CN"/>
              </w:rPr>
              <w:t>②保函的格式参考竞争性谈判文件中提供的无条件不可撤销履约保函格式，保函担保期内若项目未能按期竣工，保函必须延期，办理延期手续时在银行方面所产生费用由报价人负责。</w:t>
            </w:r>
          </w:p>
          <w:p w14:paraId="2C8F434C">
            <w:pPr>
              <w:keepNext w:val="0"/>
              <w:keepLines w:val="0"/>
              <w:pageBreakBefore w:val="0"/>
              <w:widowControl w:val="0"/>
              <w:kinsoku/>
              <w:wordWrap/>
              <w:overflowPunct/>
              <w:topLinePunct w:val="0"/>
              <w:bidi w:val="0"/>
              <w:adjustRightInd/>
              <w:snapToGrid/>
              <w:spacing w:line="400" w:lineRule="exact"/>
              <w:textAlignment w:val="auto"/>
              <w:rPr>
                <w:rFonts w:hAnsi="宋体"/>
                <w:color w:val="auto"/>
                <w:szCs w:val="21"/>
                <w:highlight w:val="none"/>
                <w:lang w:val="zh-CN"/>
              </w:rPr>
            </w:pPr>
            <w:r>
              <w:rPr>
                <w:rFonts w:hint="eastAsia" w:hAnsi="宋体"/>
                <w:color w:val="auto"/>
                <w:szCs w:val="21"/>
                <w:highlight w:val="none"/>
                <w:lang w:val="zh-CN"/>
              </w:rPr>
              <w:t>③履约保函必须打印，手写、涂改无效。</w:t>
            </w:r>
          </w:p>
          <w:p w14:paraId="16A3F9FD">
            <w:pPr>
              <w:keepNext w:val="0"/>
              <w:keepLines w:val="0"/>
              <w:pageBreakBefore w:val="0"/>
              <w:widowControl w:val="0"/>
              <w:kinsoku/>
              <w:wordWrap/>
              <w:overflowPunct/>
              <w:topLinePunct w:val="0"/>
              <w:bidi w:val="0"/>
              <w:adjustRightInd/>
              <w:snapToGrid/>
              <w:spacing w:line="400" w:lineRule="exact"/>
              <w:textAlignment w:val="auto"/>
              <w:rPr>
                <w:rFonts w:hAnsi="宋体"/>
                <w:color w:val="auto"/>
                <w:szCs w:val="21"/>
                <w:highlight w:val="none"/>
                <w:lang w:val="zh-CN"/>
              </w:rPr>
            </w:pPr>
            <w:r>
              <w:rPr>
                <w:rFonts w:hint="eastAsia" w:hAnsi="宋体"/>
                <w:color w:val="auto"/>
                <w:szCs w:val="21"/>
                <w:highlight w:val="none"/>
                <w:lang w:val="zh-CN"/>
              </w:rPr>
              <w:t>（2）履约保证金。可以采用银行转</w:t>
            </w:r>
            <w:r>
              <w:rPr>
                <w:rFonts w:hint="eastAsia" w:hAnsi="宋体"/>
                <w:color w:val="auto"/>
                <w:szCs w:val="21"/>
                <w:highlight w:val="none"/>
                <w:lang w:val="en-US" w:eastAsia="zh-CN"/>
              </w:rPr>
              <w:t>账</w:t>
            </w:r>
            <w:r>
              <w:rPr>
                <w:rFonts w:hint="eastAsia" w:hAnsi="宋体"/>
                <w:color w:val="auto"/>
                <w:szCs w:val="21"/>
                <w:highlight w:val="none"/>
                <w:lang w:val="zh-CN"/>
              </w:rPr>
              <w:t>方式提交，但不可以采用现金方式提交。响应人必须保证履约保证金以响应人名称在</w:t>
            </w:r>
            <w:r>
              <w:rPr>
                <w:rFonts w:hint="eastAsia" w:hAnsi="宋体"/>
                <w:color w:val="auto"/>
                <w:szCs w:val="21"/>
                <w:highlight w:val="none"/>
                <w:u w:val="single"/>
                <w:lang w:val="zh-CN"/>
              </w:rPr>
              <w:t>签订合同</w:t>
            </w:r>
            <w:r>
              <w:rPr>
                <w:rFonts w:hint="eastAsia" w:hAnsi="宋体"/>
                <w:color w:val="auto"/>
                <w:szCs w:val="21"/>
                <w:highlight w:val="none"/>
                <w:lang w:val="zh-CN"/>
              </w:rPr>
              <w:t>前提交至采购人指定账户。</w:t>
            </w:r>
          </w:p>
          <w:p w14:paraId="309D0182">
            <w:pPr>
              <w:keepNext w:val="0"/>
              <w:keepLines w:val="0"/>
              <w:pageBreakBefore w:val="0"/>
              <w:widowControl w:val="0"/>
              <w:kinsoku/>
              <w:wordWrap/>
              <w:overflowPunct/>
              <w:topLinePunct w:val="0"/>
              <w:bidi w:val="0"/>
              <w:adjustRightInd/>
              <w:snapToGrid/>
              <w:spacing w:line="400" w:lineRule="exact"/>
              <w:textAlignment w:val="auto"/>
              <w:rPr>
                <w:rFonts w:hAnsi="宋体"/>
                <w:color w:val="auto"/>
                <w:szCs w:val="21"/>
                <w:highlight w:val="none"/>
                <w:lang w:val="zh-CN"/>
              </w:rPr>
            </w:pPr>
            <w:r>
              <w:rPr>
                <w:rFonts w:hint="eastAsia" w:hAnsi="宋体"/>
                <w:color w:val="auto"/>
                <w:szCs w:val="21"/>
                <w:highlight w:val="none"/>
                <w:lang w:val="zh-CN"/>
              </w:rPr>
              <w:t>（3）若成交人不能按本竞争性谈判文件的规定提交履约保证金的，采购人将有权取消成交人的成交资格（采购人可以按照谈判小组提出的成交候选人名单排序依次确定其他成交候选人为成交人，也可以重新采购），谈判保证金不予退还，给采购人造成的损失如果超过谈判保证金数额的，还应当对超过部分予以赔偿。</w:t>
            </w:r>
          </w:p>
          <w:p w14:paraId="1A09D46F">
            <w:pPr>
              <w:keepNext w:val="0"/>
              <w:keepLines w:val="0"/>
              <w:pageBreakBefore w:val="0"/>
              <w:widowControl w:val="0"/>
              <w:kinsoku/>
              <w:wordWrap/>
              <w:overflowPunct/>
              <w:topLinePunct w:val="0"/>
              <w:bidi w:val="0"/>
              <w:adjustRightInd/>
              <w:snapToGrid/>
              <w:spacing w:line="400" w:lineRule="exact"/>
              <w:textAlignment w:val="auto"/>
              <w:rPr>
                <w:rFonts w:hAnsi="宋体"/>
                <w:color w:val="auto"/>
                <w:szCs w:val="21"/>
                <w:highlight w:val="none"/>
                <w:lang w:val="zh-CN"/>
              </w:rPr>
            </w:pPr>
            <w:r>
              <w:rPr>
                <w:rFonts w:hint="eastAsia" w:hAnsi="宋体"/>
                <w:color w:val="auto"/>
                <w:szCs w:val="21"/>
                <w:highlight w:val="none"/>
                <w:lang w:val="zh-CN"/>
              </w:rPr>
              <w:t>（4）为取得履约担保所需的费用，由成交人承担；若工期延误，履约担保时间延长，延长费用由成交人承担。</w:t>
            </w:r>
          </w:p>
          <w:p w14:paraId="77F1699C">
            <w:pPr>
              <w:keepNext w:val="0"/>
              <w:keepLines w:val="0"/>
              <w:pageBreakBefore w:val="0"/>
              <w:widowControl w:val="0"/>
              <w:kinsoku/>
              <w:wordWrap/>
              <w:overflowPunct/>
              <w:topLinePunct w:val="0"/>
              <w:bidi w:val="0"/>
              <w:adjustRightInd/>
              <w:snapToGrid/>
              <w:spacing w:line="400" w:lineRule="exact"/>
              <w:textAlignment w:val="auto"/>
              <w:rPr>
                <w:rFonts w:hAnsi="宋体"/>
                <w:color w:val="auto"/>
                <w:szCs w:val="21"/>
                <w:highlight w:val="none"/>
                <w:lang w:val="zh-CN"/>
              </w:rPr>
            </w:pPr>
            <w:r>
              <w:rPr>
                <w:rFonts w:hint="eastAsia" w:hAnsi="宋体"/>
                <w:color w:val="auto"/>
                <w:szCs w:val="21"/>
                <w:highlight w:val="none"/>
                <w:lang w:val="zh-CN"/>
              </w:rPr>
              <w:t>（5）若成交人在合同履行过程中出现项目质量事故、工期拖延、欠付工人工资、欠付材料款等情况，采购人在经核查属实后，有权将履约保函金额转为现金存入履约保证金账户；成交人造成采购人损失的，采购人有权立即没收其履约担保，若造成损失超过履约担保的，还应当对超过部分予以赔偿。</w:t>
            </w:r>
          </w:p>
          <w:p w14:paraId="2B460A0D">
            <w:pPr>
              <w:keepNext w:val="0"/>
              <w:keepLines w:val="0"/>
              <w:pageBreakBefore w:val="0"/>
              <w:widowControl w:val="0"/>
              <w:kinsoku/>
              <w:wordWrap/>
              <w:overflowPunct/>
              <w:topLinePunct w:val="0"/>
              <w:bidi w:val="0"/>
              <w:adjustRightInd/>
              <w:snapToGrid/>
              <w:spacing w:line="400" w:lineRule="exact"/>
              <w:textAlignment w:val="auto"/>
              <w:rPr>
                <w:rFonts w:hAnsi="宋体"/>
                <w:color w:val="auto"/>
                <w:szCs w:val="21"/>
                <w:highlight w:val="none"/>
                <w:lang w:val="zh-CN"/>
              </w:rPr>
            </w:pPr>
            <w:r>
              <w:rPr>
                <w:rFonts w:hint="eastAsia" w:hAnsi="宋体"/>
                <w:color w:val="auto"/>
                <w:szCs w:val="21"/>
                <w:highlight w:val="none"/>
                <w:lang w:val="zh-CN"/>
              </w:rPr>
              <w:t>（6）下列任何情况发生时，采购人有权行使享有的担保权利：</w:t>
            </w:r>
          </w:p>
          <w:p w14:paraId="29AFCFAC">
            <w:pPr>
              <w:keepNext w:val="0"/>
              <w:keepLines w:val="0"/>
              <w:pageBreakBefore w:val="0"/>
              <w:widowControl w:val="0"/>
              <w:kinsoku/>
              <w:wordWrap/>
              <w:overflowPunct/>
              <w:topLinePunct w:val="0"/>
              <w:bidi w:val="0"/>
              <w:adjustRightInd/>
              <w:snapToGrid/>
              <w:spacing w:line="400" w:lineRule="exact"/>
              <w:textAlignment w:val="auto"/>
              <w:rPr>
                <w:rFonts w:hAnsi="宋体"/>
                <w:color w:val="auto"/>
                <w:szCs w:val="21"/>
                <w:highlight w:val="none"/>
                <w:lang w:val="zh-CN"/>
              </w:rPr>
            </w:pPr>
            <w:r>
              <w:rPr>
                <w:rFonts w:hint="eastAsia" w:hAnsi="宋体"/>
                <w:color w:val="auto"/>
                <w:szCs w:val="21"/>
                <w:highlight w:val="none"/>
                <w:lang w:val="zh-CN"/>
              </w:rPr>
              <w:t>①成交人将本项目转让给他人，或者在报价文件中未说明，且未经采购人同意，将成交项目分包给他人的；</w:t>
            </w:r>
          </w:p>
          <w:p w14:paraId="2500FF26">
            <w:pPr>
              <w:keepNext w:val="0"/>
              <w:keepLines w:val="0"/>
              <w:pageBreakBefore w:val="0"/>
              <w:widowControl w:val="0"/>
              <w:kinsoku/>
              <w:wordWrap/>
              <w:overflowPunct/>
              <w:topLinePunct w:val="0"/>
              <w:bidi w:val="0"/>
              <w:adjustRightInd/>
              <w:snapToGrid/>
              <w:spacing w:line="400" w:lineRule="exact"/>
              <w:textAlignment w:val="auto"/>
              <w:rPr>
                <w:rFonts w:hAnsi="宋体"/>
                <w:color w:val="auto"/>
                <w:szCs w:val="21"/>
                <w:highlight w:val="none"/>
                <w:lang w:val="zh-CN"/>
              </w:rPr>
            </w:pPr>
            <w:r>
              <w:rPr>
                <w:rFonts w:hint="eastAsia" w:hAnsi="宋体"/>
                <w:color w:val="auto"/>
                <w:szCs w:val="21"/>
                <w:highlight w:val="none"/>
                <w:lang w:val="zh-CN"/>
              </w:rPr>
              <w:t>②成交人在履行采购合同期间，违反有关法律法规的规定及合同约定的条款，损害了采购人的利益。</w:t>
            </w:r>
          </w:p>
          <w:p w14:paraId="0A01B2B3">
            <w:pPr>
              <w:keepNext w:val="0"/>
              <w:keepLines w:val="0"/>
              <w:pageBreakBefore w:val="0"/>
              <w:widowControl w:val="0"/>
              <w:kinsoku/>
              <w:wordWrap/>
              <w:overflowPunct/>
              <w:topLinePunct w:val="0"/>
              <w:bidi w:val="0"/>
              <w:adjustRightInd/>
              <w:snapToGrid/>
              <w:spacing w:line="400" w:lineRule="exact"/>
              <w:textAlignment w:val="auto"/>
              <w:rPr>
                <w:color w:val="auto"/>
                <w:szCs w:val="21"/>
                <w:highlight w:val="none"/>
              </w:rPr>
            </w:pPr>
            <w:r>
              <w:rPr>
                <w:rFonts w:hint="eastAsia" w:hAnsi="宋体"/>
                <w:color w:val="auto"/>
                <w:szCs w:val="21"/>
                <w:highlight w:val="none"/>
                <w:lang w:val="zh-CN"/>
              </w:rPr>
              <w:t>（7）在整个项目验收合格后，成交人向采购人提交退回履约担保的申请，采购人办理履约担保退还手续。</w:t>
            </w:r>
          </w:p>
        </w:tc>
      </w:tr>
      <w:tr w14:paraId="47308D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5" w:type="pct"/>
            <w:vAlign w:val="center"/>
          </w:tcPr>
          <w:p w14:paraId="53EDE4B5">
            <w:pPr>
              <w:keepNext w:val="0"/>
              <w:keepLines w:val="0"/>
              <w:pageBreakBefore w:val="0"/>
              <w:widowControl w:val="0"/>
              <w:kinsoku/>
              <w:wordWrap/>
              <w:overflowPunct/>
              <w:topLinePunct w:val="0"/>
              <w:bidi w:val="0"/>
              <w:adjustRightInd/>
              <w:snapToGrid/>
              <w:spacing w:line="400" w:lineRule="exact"/>
              <w:jc w:val="center"/>
              <w:textAlignment w:val="auto"/>
              <w:rPr>
                <w:color w:val="auto"/>
                <w:szCs w:val="21"/>
                <w:highlight w:val="none"/>
              </w:rPr>
            </w:pPr>
          </w:p>
        </w:tc>
        <w:tc>
          <w:tcPr>
            <w:tcW w:w="1031" w:type="pct"/>
            <w:vAlign w:val="center"/>
          </w:tcPr>
          <w:p w14:paraId="107A0E32">
            <w:pPr>
              <w:keepNext w:val="0"/>
              <w:keepLines w:val="0"/>
              <w:pageBreakBefore w:val="0"/>
              <w:widowControl w:val="0"/>
              <w:kinsoku/>
              <w:wordWrap/>
              <w:overflowPunct/>
              <w:topLinePunct w:val="0"/>
              <w:bidi w:val="0"/>
              <w:adjustRightInd/>
              <w:snapToGrid/>
              <w:spacing w:line="400" w:lineRule="exact"/>
              <w:jc w:val="left"/>
              <w:textAlignment w:val="auto"/>
              <w:rPr>
                <w:color w:val="auto"/>
                <w:szCs w:val="21"/>
                <w:highlight w:val="none"/>
              </w:rPr>
            </w:pPr>
          </w:p>
        </w:tc>
        <w:tc>
          <w:tcPr>
            <w:tcW w:w="3412" w:type="pct"/>
            <w:vAlign w:val="center"/>
          </w:tcPr>
          <w:p w14:paraId="5C90233C">
            <w:pPr>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hint="eastAsia" w:ascii="宋体" w:hAnsi="宋体" w:eastAsia="宋体"/>
                <w:color w:val="auto"/>
                <w:szCs w:val="21"/>
                <w:highlight w:val="none"/>
                <w:lang w:eastAsia="zh-CN"/>
              </w:rPr>
            </w:pPr>
          </w:p>
        </w:tc>
      </w:tr>
      <w:tr w14:paraId="3A27F9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5000" w:type="pct"/>
            <w:gridSpan w:val="3"/>
            <w:vAlign w:val="center"/>
          </w:tcPr>
          <w:p w14:paraId="6C319556">
            <w:pPr>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hint="eastAsia" w:ascii="宋体" w:hAnsi="宋体"/>
                <w:b w:val="0"/>
                <w:bCs/>
                <w:color w:val="auto"/>
                <w:szCs w:val="21"/>
                <w:highlight w:val="none"/>
                <w:lang w:val="en-US" w:eastAsia="zh-CN"/>
              </w:rPr>
            </w:pPr>
            <w:r>
              <w:rPr>
                <w:rFonts w:hint="eastAsia" w:ascii="宋体" w:hAnsi="宋体"/>
                <w:b w:val="0"/>
                <w:bCs/>
                <w:color w:val="auto"/>
                <w:szCs w:val="21"/>
                <w:highlight w:val="none"/>
                <w:lang w:val="en-US" w:eastAsia="zh-CN"/>
              </w:rPr>
              <w:t>注：本表关于采购项目的具体资料，是对响应人须知的具体补充和修改，如有矛盾，应以本资料表为准。不满足谈判文件中 “★”条款的响应文件将作无效响应处理。</w:t>
            </w:r>
          </w:p>
        </w:tc>
      </w:tr>
    </w:tbl>
    <w:p w14:paraId="3FC57B80">
      <w:pPr>
        <w:widowControl/>
        <w:jc w:val="left"/>
        <w:rPr>
          <w:b/>
          <w:color w:val="auto"/>
          <w:highlight w:val="none"/>
        </w:rPr>
      </w:pPr>
    </w:p>
    <w:p w14:paraId="2D0E4E11">
      <w:pPr>
        <w:widowControl/>
        <w:jc w:val="left"/>
        <w:rPr>
          <w:b/>
          <w:color w:val="auto"/>
          <w:highlight w:val="none"/>
        </w:rPr>
      </w:pPr>
      <w:r>
        <w:rPr>
          <w:b/>
          <w:color w:val="auto"/>
          <w:highlight w:val="none"/>
        </w:rPr>
        <w:br w:type="page"/>
      </w:r>
    </w:p>
    <w:p w14:paraId="20CAACBE">
      <w:pPr>
        <w:pStyle w:val="2"/>
        <w:pageBreakBefore w:val="0"/>
        <w:widowControl w:val="0"/>
        <w:kinsoku/>
        <w:wordWrap/>
        <w:overflowPunct/>
        <w:topLinePunct w:val="0"/>
        <w:autoSpaceDE/>
        <w:autoSpaceDN/>
        <w:bidi w:val="0"/>
        <w:spacing w:before="0" w:after="0" w:line="400" w:lineRule="exact"/>
        <w:textAlignment w:val="auto"/>
        <w:rPr>
          <w:rFonts w:ascii="黑体" w:hAnsi="黑体"/>
          <w:color w:val="auto"/>
          <w:highlight w:val="none"/>
        </w:rPr>
      </w:pPr>
      <w:bookmarkStart w:id="7" w:name="_Toc456551876"/>
      <w:bookmarkStart w:id="8" w:name="_Toc17886"/>
      <w:r>
        <w:rPr>
          <w:rFonts w:hint="eastAsia" w:ascii="黑体" w:hAnsi="黑体"/>
          <w:color w:val="auto"/>
          <w:highlight w:val="none"/>
        </w:rPr>
        <w:t>1. 总则</w:t>
      </w:r>
      <w:bookmarkEnd w:id="7"/>
      <w:bookmarkEnd w:id="8"/>
    </w:p>
    <w:p w14:paraId="46DB3E45">
      <w:pPr>
        <w:pageBreakBefore w:val="0"/>
        <w:widowControl w:val="0"/>
        <w:kinsoku/>
        <w:wordWrap/>
        <w:overflowPunct/>
        <w:topLinePunct w:val="0"/>
        <w:autoSpaceDE/>
        <w:autoSpaceDN/>
        <w:bidi w:val="0"/>
        <w:spacing w:line="400" w:lineRule="exact"/>
        <w:textAlignment w:val="auto"/>
        <w:rPr>
          <w:rFonts w:ascii="宋体" w:hAnsi="宋体"/>
          <w:b/>
          <w:color w:val="auto"/>
          <w:sz w:val="32"/>
          <w:szCs w:val="32"/>
          <w:highlight w:val="none"/>
        </w:rPr>
      </w:pPr>
      <w:bookmarkStart w:id="9" w:name="_Toc475552123"/>
      <w:bookmarkStart w:id="10" w:name="_Toc456551877"/>
      <w:r>
        <w:rPr>
          <w:rFonts w:hint="eastAsia" w:ascii="宋体" w:hAnsi="宋体"/>
          <w:b/>
          <w:color w:val="auto"/>
          <w:sz w:val="32"/>
          <w:szCs w:val="32"/>
          <w:highlight w:val="none"/>
        </w:rPr>
        <w:t>1.1 项目概况</w:t>
      </w:r>
      <w:bookmarkEnd w:id="9"/>
      <w:bookmarkEnd w:id="10"/>
    </w:p>
    <w:p w14:paraId="684C03EC">
      <w:pPr>
        <w:pageBreakBefore w:val="0"/>
        <w:widowControl w:val="0"/>
        <w:kinsoku/>
        <w:wordWrap/>
        <w:overflowPunct/>
        <w:topLinePunct w:val="0"/>
        <w:autoSpaceDE/>
        <w:autoSpaceDN/>
        <w:bidi w:val="0"/>
        <w:spacing w:line="400" w:lineRule="exact"/>
        <w:ind w:firstLine="420" w:firstLineChars="200"/>
        <w:textAlignment w:val="auto"/>
        <w:rPr>
          <w:color w:val="auto"/>
          <w:highlight w:val="none"/>
        </w:rPr>
      </w:pPr>
      <w:r>
        <w:rPr>
          <w:rFonts w:hint="eastAsia"/>
          <w:color w:val="auto"/>
          <w:highlight w:val="none"/>
        </w:rPr>
        <w:t>1.1.1本项目根据东实集团及采购人相关招标采购管理规定执行，本项目已具备竞争性谈判条件，现对本项目进行竞争性谈判。</w:t>
      </w:r>
    </w:p>
    <w:p w14:paraId="1CA2B99C">
      <w:pPr>
        <w:pageBreakBefore w:val="0"/>
        <w:widowControl w:val="0"/>
        <w:kinsoku/>
        <w:wordWrap/>
        <w:overflowPunct/>
        <w:topLinePunct w:val="0"/>
        <w:autoSpaceDE/>
        <w:autoSpaceDN/>
        <w:bidi w:val="0"/>
        <w:spacing w:line="400" w:lineRule="exact"/>
        <w:ind w:firstLine="420" w:firstLineChars="200"/>
        <w:textAlignment w:val="auto"/>
        <w:rPr>
          <w:color w:val="auto"/>
          <w:highlight w:val="none"/>
        </w:rPr>
      </w:pPr>
      <w:r>
        <w:rPr>
          <w:rFonts w:hint="eastAsia"/>
          <w:color w:val="auto"/>
          <w:highlight w:val="none"/>
        </w:rPr>
        <w:t>1.1.2 本项目采购人：见竞争性谈判公告或竞争性谈判响应须知前附表。</w:t>
      </w:r>
    </w:p>
    <w:p w14:paraId="37E08C99">
      <w:pPr>
        <w:pageBreakBefore w:val="0"/>
        <w:widowControl w:val="0"/>
        <w:kinsoku/>
        <w:wordWrap/>
        <w:overflowPunct/>
        <w:topLinePunct w:val="0"/>
        <w:autoSpaceDE/>
        <w:autoSpaceDN/>
        <w:bidi w:val="0"/>
        <w:spacing w:line="400" w:lineRule="exact"/>
        <w:ind w:firstLine="420" w:firstLineChars="200"/>
        <w:textAlignment w:val="auto"/>
        <w:rPr>
          <w:color w:val="auto"/>
          <w:highlight w:val="none"/>
        </w:rPr>
      </w:pPr>
      <w:r>
        <w:rPr>
          <w:rFonts w:hint="eastAsia"/>
          <w:color w:val="auto"/>
          <w:highlight w:val="none"/>
        </w:rPr>
        <w:t>1.1.3 本项目名称：见竞争性谈判公告或竞争性谈判响应须知前附表。</w:t>
      </w:r>
    </w:p>
    <w:p w14:paraId="425C819E">
      <w:pPr>
        <w:pageBreakBefore w:val="0"/>
        <w:widowControl w:val="0"/>
        <w:kinsoku/>
        <w:wordWrap/>
        <w:overflowPunct/>
        <w:topLinePunct w:val="0"/>
        <w:autoSpaceDE/>
        <w:autoSpaceDN/>
        <w:bidi w:val="0"/>
        <w:spacing w:line="400" w:lineRule="exact"/>
        <w:ind w:firstLine="420" w:firstLineChars="200"/>
        <w:textAlignment w:val="auto"/>
        <w:rPr>
          <w:color w:val="auto"/>
          <w:highlight w:val="none"/>
        </w:rPr>
      </w:pPr>
      <w:r>
        <w:rPr>
          <w:rFonts w:hint="eastAsia"/>
          <w:color w:val="auto"/>
          <w:highlight w:val="none"/>
        </w:rPr>
        <w:t>1.1.4 本项目地点：见竞争性谈判公告或竞争性谈判响应须知前附表。</w:t>
      </w:r>
    </w:p>
    <w:p w14:paraId="79603F71">
      <w:pPr>
        <w:pageBreakBefore w:val="0"/>
        <w:widowControl w:val="0"/>
        <w:kinsoku/>
        <w:wordWrap/>
        <w:overflowPunct/>
        <w:topLinePunct w:val="0"/>
        <w:autoSpaceDE/>
        <w:autoSpaceDN/>
        <w:bidi w:val="0"/>
        <w:spacing w:line="400" w:lineRule="exact"/>
        <w:ind w:firstLine="420" w:firstLineChars="200"/>
        <w:textAlignment w:val="auto"/>
        <w:rPr>
          <w:color w:val="auto"/>
          <w:highlight w:val="none"/>
        </w:rPr>
      </w:pPr>
      <w:r>
        <w:rPr>
          <w:rFonts w:hint="eastAsia"/>
          <w:color w:val="auto"/>
          <w:highlight w:val="none"/>
        </w:rPr>
        <w:t>1.1.5本项目承包方式：见竞争性谈判公告或竞争性谈判响应须知前附表。</w:t>
      </w:r>
    </w:p>
    <w:p w14:paraId="6336134F">
      <w:pPr>
        <w:pageBreakBefore w:val="0"/>
        <w:widowControl w:val="0"/>
        <w:kinsoku/>
        <w:wordWrap/>
        <w:overflowPunct/>
        <w:topLinePunct w:val="0"/>
        <w:autoSpaceDE/>
        <w:autoSpaceDN/>
        <w:bidi w:val="0"/>
        <w:spacing w:line="400" w:lineRule="exact"/>
        <w:textAlignment w:val="auto"/>
        <w:rPr>
          <w:rFonts w:ascii="宋体" w:hAnsi="宋体"/>
          <w:b/>
          <w:color w:val="auto"/>
          <w:sz w:val="32"/>
          <w:szCs w:val="32"/>
          <w:highlight w:val="none"/>
        </w:rPr>
      </w:pPr>
      <w:bookmarkStart w:id="11" w:name="_Toc475552124"/>
      <w:bookmarkStart w:id="12" w:name="_Toc456551878"/>
      <w:r>
        <w:rPr>
          <w:rFonts w:hint="eastAsia" w:ascii="宋体" w:hAnsi="宋体"/>
          <w:b/>
          <w:color w:val="auto"/>
          <w:sz w:val="32"/>
          <w:szCs w:val="32"/>
          <w:highlight w:val="none"/>
        </w:rPr>
        <w:t>1.2 资金来源和落实情况</w:t>
      </w:r>
      <w:bookmarkEnd w:id="11"/>
      <w:bookmarkEnd w:id="12"/>
    </w:p>
    <w:p w14:paraId="2619F37D">
      <w:pPr>
        <w:pageBreakBefore w:val="0"/>
        <w:widowControl w:val="0"/>
        <w:kinsoku/>
        <w:wordWrap/>
        <w:overflowPunct/>
        <w:topLinePunct w:val="0"/>
        <w:autoSpaceDE/>
        <w:autoSpaceDN/>
        <w:bidi w:val="0"/>
        <w:spacing w:line="400" w:lineRule="exact"/>
        <w:ind w:firstLine="420" w:firstLineChars="200"/>
        <w:textAlignment w:val="auto"/>
        <w:rPr>
          <w:color w:val="auto"/>
          <w:highlight w:val="none"/>
        </w:rPr>
      </w:pPr>
      <w:r>
        <w:rPr>
          <w:rFonts w:hint="eastAsia"/>
          <w:color w:val="auto"/>
          <w:highlight w:val="none"/>
        </w:rPr>
        <w:t>本项目资金已落实，资金来源见竞争性谈判公告或竞争性谈判响应须知前附表。</w:t>
      </w:r>
    </w:p>
    <w:p w14:paraId="52300DA1">
      <w:pPr>
        <w:pageBreakBefore w:val="0"/>
        <w:widowControl w:val="0"/>
        <w:kinsoku/>
        <w:wordWrap/>
        <w:overflowPunct/>
        <w:topLinePunct w:val="0"/>
        <w:autoSpaceDE/>
        <w:autoSpaceDN/>
        <w:bidi w:val="0"/>
        <w:spacing w:line="400" w:lineRule="exact"/>
        <w:textAlignment w:val="auto"/>
        <w:rPr>
          <w:rFonts w:ascii="宋体" w:hAnsi="宋体"/>
          <w:b/>
          <w:color w:val="auto"/>
          <w:sz w:val="32"/>
          <w:szCs w:val="32"/>
          <w:highlight w:val="none"/>
        </w:rPr>
      </w:pPr>
      <w:bookmarkStart w:id="13" w:name="_Toc456551879"/>
      <w:bookmarkStart w:id="14" w:name="_Toc475552125"/>
      <w:r>
        <w:rPr>
          <w:rFonts w:hint="eastAsia" w:ascii="宋体" w:hAnsi="宋体"/>
          <w:b/>
          <w:color w:val="auto"/>
          <w:sz w:val="32"/>
          <w:szCs w:val="32"/>
          <w:highlight w:val="none"/>
        </w:rPr>
        <w:t>1.3 竞争性谈判范围、服务时间和质量要求</w:t>
      </w:r>
      <w:bookmarkEnd w:id="13"/>
      <w:bookmarkEnd w:id="14"/>
    </w:p>
    <w:p w14:paraId="41AAB187">
      <w:pPr>
        <w:pageBreakBefore w:val="0"/>
        <w:widowControl w:val="0"/>
        <w:kinsoku/>
        <w:wordWrap/>
        <w:overflowPunct/>
        <w:topLinePunct w:val="0"/>
        <w:autoSpaceDE/>
        <w:autoSpaceDN/>
        <w:bidi w:val="0"/>
        <w:spacing w:line="400" w:lineRule="exact"/>
        <w:ind w:firstLine="420" w:firstLineChars="200"/>
        <w:textAlignment w:val="auto"/>
        <w:rPr>
          <w:color w:val="auto"/>
          <w:highlight w:val="none"/>
        </w:rPr>
      </w:pPr>
      <w:r>
        <w:rPr>
          <w:rFonts w:hint="eastAsia"/>
          <w:color w:val="auto"/>
          <w:highlight w:val="none"/>
        </w:rPr>
        <w:t>1.3.1 本次竞争性谈判范围：见竞争性谈判公告或竞争性谈判响应须知前附表。</w:t>
      </w:r>
    </w:p>
    <w:p w14:paraId="19871BCC">
      <w:pPr>
        <w:pageBreakBefore w:val="0"/>
        <w:widowControl w:val="0"/>
        <w:kinsoku/>
        <w:wordWrap/>
        <w:overflowPunct/>
        <w:topLinePunct w:val="0"/>
        <w:autoSpaceDE/>
        <w:autoSpaceDN/>
        <w:bidi w:val="0"/>
        <w:spacing w:line="400" w:lineRule="exact"/>
        <w:ind w:firstLine="420" w:firstLineChars="200"/>
        <w:textAlignment w:val="auto"/>
        <w:rPr>
          <w:color w:val="auto"/>
          <w:highlight w:val="none"/>
        </w:rPr>
      </w:pPr>
      <w:r>
        <w:rPr>
          <w:rFonts w:hint="eastAsia"/>
          <w:color w:val="auto"/>
          <w:highlight w:val="none"/>
        </w:rPr>
        <w:t>1.3.2 本项目的服务时间：见竞争性谈判公告或竞争性谈判响应须知前附表。</w:t>
      </w:r>
    </w:p>
    <w:p w14:paraId="3DA4B57F">
      <w:pPr>
        <w:pageBreakBefore w:val="0"/>
        <w:widowControl w:val="0"/>
        <w:kinsoku/>
        <w:wordWrap/>
        <w:overflowPunct/>
        <w:topLinePunct w:val="0"/>
        <w:autoSpaceDE/>
        <w:autoSpaceDN/>
        <w:bidi w:val="0"/>
        <w:spacing w:line="400" w:lineRule="exact"/>
        <w:ind w:firstLine="420" w:firstLineChars="200"/>
        <w:textAlignment w:val="auto"/>
        <w:rPr>
          <w:color w:val="auto"/>
          <w:highlight w:val="none"/>
        </w:rPr>
      </w:pPr>
      <w:r>
        <w:rPr>
          <w:rFonts w:hint="eastAsia"/>
          <w:color w:val="auto"/>
          <w:highlight w:val="none"/>
        </w:rPr>
        <w:t>1.3.4 本项目的标包划分情况：见竞争性谈判公告或竞争性谈判响应须知前附表。</w:t>
      </w:r>
    </w:p>
    <w:p w14:paraId="7327EB88">
      <w:pPr>
        <w:pageBreakBefore w:val="0"/>
        <w:widowControl w:val="0"/>
        <w:kinsoku/>
        <w:wordWrap/>
        <w:overflowPunct/>
        <w:topLinePunct w:val="0"/>
        <w:autoSpaceDE/>
        <w:autoSpaceDN/>
        <w:bidi w:val="0"/>
        <w:spacing w:line="400" w:lineRule="exact"/>
        <w:ind w:firstLine="420" w:firstLineChars="200"/>
        <w:textAlignment w:val="auto"/>
        <w:rPr>
          <w:color w:val="auto"/>
          <w:highlight w:val="none"/>
        </w:rPr>
      </w:pPr>
      <w:r>
        <w:rPr>
          <w:rFonts w:hint="eastAsia"/>
          <w:color w:val="auto"/>
          <w:highlight w:val="none"/>
        </w:rPr>
        <w:t>1.3.5本项目的质量要求：见竞争性谈判公告或竞争性谈判响应须知前附表。</w:t>
      </w:r>
    </w:p>
    <w:p w14:paraId="3709B8C1">
      <w:pPr>
        <w:pageBreakBefore w:val="0"/>
        <w:widowControl w:val="0"/>
        <w:kinsoku/>
        <w:wordWrap/>
        <w:overflowPunct/>
        <w:topLinePunct w:val="0"/>
        <w:autoSpaceDE/>
        <w:autoSpaceDN/>
        <w:bidi w:val="0"/>
        <w:spacing w:line="400" w:lineRule="exact"/>
        <w:textAlignment w:val="auto"/>
        <w:rPr>
          <w:rFonts w:ascii="宋体" w:hAnsi="宋体"/>
          <w:b/>
          <w:color w:val="auto"/>
          <w:sz w:val="32"/>
          <w:szCs w:val="32"/>
          <w:highlight w:val="none"/>
        </w:rPr>
      </w:pPr>
      <w:bookmarkStart w:id="15" w:name="_Toc456551880"/>
      <w:bookmarkStart w:id="16" w:name="_Toc475552126"/>
      <w:r>
        <w:rPr>
          <w:rFonts w:hint="eastAsia" w:ascii="宋体" w:hAnsi="宋体"/>
          <w:b/>
          <w:color w:val="auto"/>
          <w:sz w:val="32"/>
          <w:szCs w:val="32"/>
          <w:highlight w:val="none"/>
        </w:rPr>
        <w:t>1.4 竞争性谈判方式</w:t>
      </w:r>
      <w:bookmarkEnd w:id="15"/>
      <w:bookmarkEnd w:id="16"/>
    </w:p>
    <w:p w14:paraId="224DAF55">
      <w:pPr>
        <w:pageBreakBefore w:val="0"/>
        <w:widowControl w:val="0"/>
        <w:kinsoku/>
        <w:wordWrap/>
        <w:overflowPunct/>
        <w:topLinePunct w:val="0"/>
        <w:autoSpaceDE/>
        <w:autoSpaceDN/>
        <w:bidi w:val="0"/>
        <w:adjustRightInd w:val="0"/>
        <w:snapToGrid w:val="0"/>
        <w:spacing w:line="400" w:lineRule="exact"/>
        <w:ind w:firstLine="420" w:firstLineChars="200"/>
        <w:textAlignment w:val="auto"/>
        <w:rPr>
          <w:color w:val="auto"/>
          <w:highlight w:val="none"/>
        </w:rPr>
      </w:pPr>
      <w:r>
        <w:rPr>
          <w:rFonts w:hint="eastAsia"/>
          <w:color w:val="auto"/>
          <w:highlight w:val="none"/>
        </w:rPr>
        <w:t>公开竞争性谈判：</w:t>
      </w:r>
      <w:r>
        <w:rPr>
          <w:rFonts w:ascii="Arial" w:hAnsi="Arial" w:cs="Arial"/>
          <w:color w:val="auto"/>
          <w:szCs w:val="21"/>
          <w:highlight w:val="none"/>
        </w:rPr>
        <w:t>是指采购人以竞争性谈判公告的方式邀请不特定的法人或者其他组织竞争性谈判。</w:t>
      </w:r>
    </w:p>
    <w:p w14:paraId="6ED9B0C5">
      <w:pPr>
        <w:pageBreakBefore w:val="0"/>
        <w:widowControl w:val="0"/>
        <w:kinsoku/>
        <w:wordWrap/>
        <w:overflowPunct/>
        <w:topLinePunct w:val="0"/>
        <w:autoSpaceDE/>
        <w:autoSpaceDN/>
        <w:bidi w:val="0"/>
        <w:spacing w:line="400" w:lineRule="exact"/>
        <w:textAlignment w:val="auto"/>
        <w:rPr>
          <w:rFonts w:ascii="宋体" w:hAnsi="宋体"/>
          <w:b/>
          <w:color w:val="auto"/>
          <w:sz w:val="32"/>
          <w:szCs w:val="32"/>
          <w:highlight w:val="none"/>
        </w:rPr>
      </w:pPr>
      <w:bookmarkStart w:id="17" w:name="_Toc456551881"/>
      <w:bookmarkStart w:id="18" w:name="_Toc475552127"/>
      <w:r>
        <w:rPr>
          <w:rFonts w:hint="eastAsia" w:ascii="宋体" w:hAnsi="宋体"/>
          <w:b/>
          <w:color w:val="auto"/>
          <w:sz w:val="32"/>
          <w:szCs w:val="32"/>
          <w:highlight w:val="none"/>
        </w:rPr>
        <w:t>1.5 竞争性谈判组织形式</w:t>
      </w:r>
      <w:bookmarkEnd w:id="17"/>
      <w:bookmarkEnd w:id="18"/>
    </w:p>
    <w:p w14:paraId="3D9F5AE1">
      <w:pPr>
        <w:pageBreakBefore w:val="0"/>
        <w:widowControl w:val="0"/>
        <w:kinsoku/>
        <w:wordWrap/>
        <w:overflowPunct/>
        <w:topLinePunct w:val="0"/>
        <w:autoSpaceDE/>
        <w:autoSpaceDN/>
        <w:bidi w:val="0"/>
        <w:adjustRightInd w:val="0"/>
        <w:snapToGrid w:val="0"/>
        <w:spacing w:line="400" w:lineRule="exact"/>
        <w:ind w:firstLine="420" w:firstLineChars="200"/>
        <w:textAlignment w:val="auto"/>
        <w:rPr>
          <w:color w:val="auto"/>
          <w:highlight w:val="none"/>
        </w:rPr>
      </w:pPr>
      <w:r>
        <w:rPr>
          <w:rFonts w:hint="eastAsia"/>
          <w:color w:val="auto"/>
          <w:highlight w:val="none"/>
        </w:rPr>
        <w:t>本次竞争性谈判由采购人自行组织或委托采购代理机构的方式进行，竞争性谈判组织形式、代理机构名称及联系方式见</w:t>
      </w:r>
      <w:r>
        <w:rPr>
          <w:rFonts w:hint="eastAsia"/>
          <w:bCs/>
          <w:color w:val="auto"/>
          <w:highlight w:val="none"/>
        </w:rPr>
        <w:t>第一章 “竞争性谈判公告”</w:t>
      </w:r>
      <w:r>
        <w:rPr>
          <w:rFonts w:hint="eastAsia"/>
          <w:color w:val="auto"/>
          <w:highlight w:val="none"/>
        </w:rPr>
        <w:t>。</w:t>
      </w:r>
    </w:p>
    <w:p w14:paraId="36FF511E">
      <w:pPr>
        <w:pageBreakBefore w:val="0"/>
        <w:widowControl w:val="0"/>
        <w:kinsoku/>
        <w:wordWrap/>
        <w:overflowPunct/>
        <w:topLinePunct w:val="0"/>
        <w:autoSpaceDE/>
        <w:autoSpaceDN/>
        <w:bidi w:val="0"/>
        <w:spacing w:line="400" w:lineRule="exact"/>
        <w:textAlignment w:val="auto"/>
        <w:rPr>
          <w:rFonts w:ascii="宋体" w:hAnsi="宋体"/>
          <w:b/>
          <w:color w:val="auto"/>
          <w:sz w:val="32"/>
          <w:szCs w:val="32"/>
          <w:highlight w:val="none"/>
        </w:rPr>
      </w:pPr>
      <w:bookmarkStart w:id="19" w:name="_Toc456551882"/>
      <w:bookmarkStart w:id="20" w:name="_Toc475552128"/>
      <w:r>
        <w:rPr>
          <w:rFonts w:hint="eastAsia" w:ascii="宋体" w:hAnsi="宋体"/>
          <w:b/>
          <w:color w:val="auto"/>
          <w:sz w:val="32"/>
          <w:szCs w:val="32"/>
          <w:highlight w:val="none"/>
        </w:rPr>
        <w:t>1.6</w:t>
      </w:r>
      <w:bookmarkEnd w:id="19"/>
      <w:bookmarkEnd w:id="20"/>
      <w:r>
        <w:rPr>
          <w:rFonts w:hint="eastAsia" w:ascii="宋体" w:hAnsi="宋体"/>
          <w:b/>
          <w:color w:val="auto"/>
          <w:sz w:val="32"/>
          <w:szCs w:val="32"/>
          <w:highlight w:val="none"/>
        </w:rPr>
        <w:t>响应人资格要求</w:t>
      </w:r>
    </w:p>
    <w:p w14:paraId="63B6BE4B">
      <w:pPr>
        <w:pageBreakBefore w:val="0"/>
        <w:widowControl w:val="0"/>
        <w:kinsoku/>
        <w:wordWrap/>
        <w:overflowPunct/>
        <w:topLinePunct w:val="0"/>
        <w:autoSpaceDE/>
        <w:autoSpaceDN/>
        <w:bidi w:val="0"/>
        <w:spacing w:line="400" w:lineRule="exact"/>
        <w:ind w:firstLine="359" w:firstLineChars="171"/>
        <w:textAlignment w:val="auto"/>
        <w:rPr>
          <w:color w:val="auto"/>
          <w:highlight w:val="none"/>
        </w:rPr>
      </w:pPr>
      <w:r>
        <w:rPr>
          <w:rFonts w:hint="eastAsia"/>
          <w:color w:val="auto"/>
          <w:highlight w:val="none"/>
        </w:rPr>
        <w:t>1.6.1</w:t>
      </w:r>
      <w:r>
        <w:rPr>
          <w:rFonts w:hint="eastAsia" w:ascii="宋体" w:hAnsi="宋体" w:cs="宋体"/>
          <w:color w:val="auto"/>
          <w:szCs w:val="21"/>
          <w:highlight w:val="none"/>
        </w:rPr>
        <w:t>响应人应具备承担本项目服务的资格要求：</w:t>
      </w:r>
      <w:r>
        <w:rPr>
          <w:rFonts w:hint="eastAsia"/>
          <w:color w:val="auto"/>
          <w:highlight w:val="none"/>
        </w:rPr>
        <w:t>见竞争性谈判公告或竞争性谈判响应须知前附表。</w:t>
      </w:r>
    </w:p>
    <w:p w14:paraId="4C0A91DD">
      <w:pPr>
        <w:pageBreakBefore w:val="0"/>
        <w:widowControl w:val="0"/>
        <w:kinsoku/>
        <w:wordWrap/>
        <w:overflowPunct/>
        <w:topLinePunct w:val="0"/>
        <w:autoSpaceDE/>
        <w:autoSpaceDN/>
        <w:bidi w:val="0"/>
        <w:spacing w:line="400" w:lineRule="exact"/>
        <w:ind w:firstLine="359" w:firstLineChars="171"/>
        <w:textAlignment w:val="auto"/>
        <w:rPr>
          <w:color w:val="auto"/>
          <w:highlight w:val="none"/>
        </w:rPr>
      </w:pPr>
      <w:r>
        <w:rPr>
          <w:rFonts w:hint="eastAsia"/>
          <w:color w:val="auto"/>
          <w:highlight w:val="none"/>
        </w:rPr>
        <w:t>1.6.2</w:t>
      </w:r>
      <w:r>
        <w:rPr>
          <w:rFonts w:hint="eastAsia" w:ascii="宋体" w:hAnsi="宋体" w:cs="宋体"/>
          <w:color w:val="auto"/>
          <w:szCs w:val="21"/>
          <w:highlight w:val="none"/>
        </w:rPr>
        <w:t>本项目采用资格后审的审查方式</w:t>
      </w:r>
      <w:r>
        <w:rPr>
          <w:rFonts w:hint="eastAsia"/>
          <w:color w:val="auto"/>
          <w:highlight w:val="none"/>
        </w:rPr>
        <w:t>。</w:t>
      </w:r>
    </w:p>
    <w:p w14:paraId="4F4373C0">
      <w:pPr>
        <w:pageBreakBefore w:val="0"/>
        <w:widowControl w:val="0"/>
        <w:kinsoku/>
        <w:wordWrap/>
        <w:overflowPunct/>
        <w:topLinePunct w:val="0"/>
        <w:autoSpaceDE/>
        <w:autoSpaceDN/>
        <w:bidi w:val="0"/>
        <w:spacing w:line="400" w:lineRule="exact"/>
        <w:ind w:firstLine="359" w:firstLineChars="171"/>
        <w:textAlignment w:val="auto"/>
        <w:rPr>
          <w:color w:val="auto"/>
          <w:highlight w:val="none"/>
        </w:rPr>
      </w:pPr>
      <w:r>
        <w:rPr>
          <w:rFonts w:hint="eastAsia"/>
          <w:color w:val="auto"/>
          <w:highlight w:val="none"/>
        </w:rPr>
        <w:t>1.6.3本须知前附表规定接受联合体响应的，除本须知前附表的要求外，还应遵守以下规定：</w:t>
      </w:r>
    </w:p>
    <w:p w14:paraId="0DA1C767">
      <w:pPr>
        <w:pageBreakBefore w:val="0"/>
        <w:widowControl w:val="0"/>
        <w:kinsoku/>
        <w:wordWrap/>
        <w:overflowPunct/>
        <w:topLinePunct w:val="0"/>
        <w:autoSpaceDE/>
        <w:autoSpaceDN/>
        <w:bidi w:val="0"/>
        <w:spacing w:line="400" w:lineRule="exact"/>
        <w:ind w:firstLine="359" w:firstLineChars="171"/>
        <w:textAlignment w:val="auto"/>
        <w:rPr>
          <w:color w:val="auto"/>
          <w:highlight w:val="none"/>
        </w:rPr>
      </w:pPr>
      <w:r>
        <w:rPr>
          <w:rFonts w:hint="eastAsia"/>
          <w:color w:val="auto"/>
          <w:highlight w:val="none"/>
        </w:rPr>
        <w:t>（1）联合体各方应按竞争性谈判文件提供的格式签订联合体协议书，明确联合体牵头人和各方权利义务；</w:t>
      </w:r>
    </w:p>
    <w:p w14:paraId="745222A4">
      <w:pPr>
        <w:pageBreakBefore w:val="0"/>
        <w:widowControl w:val="0"/>
        <w:kinsoku/>
        <w:wordWrap/>
        <w:overflowPunct/>
        <w:topLinePunct w:val="0"/>
        <w:autoSpaceDE/>
        <w:autoSpaceDN/>
        <w:bidi w:val="0"/>
        <w:spacing w:line="400" w:lineRule="exact"/>
        <w:ind w:firstLine="359" w:firstLineChars="171"/>
        <w:textAlignment w:val="auto"/>
        <w:rPr>
          <w:color w:val="auto"/>
          <w:highlight w:val="none"/>
        </w:rPr>
      </w:pPr>
      <w:r>
        <w:rPr>
          <w:rFonts w:hint="eastAsia"/>
          <w:color w:val="auto"/>
          <w:highlight w:val="none"/>
        </w:rPr>
        <w:t>（2）联合体各方不得再以自己名义单独或参加其他联合体在同一标包中响应；</w:t>
      </w:r>
    </w:p>
    <w:p w14:paraId="40795A4A">
      <w:pPr>
        <w:pageBreakBefore w:val="0"/>
        <w:widowControl w:val="0"/>
        <w:kinsoku/>
        <w:wordWrap/>
        <w:overflowPunct/>
        <w:topLinePunct w:val="0"/>
        <w:autoSpaceDE/>
        <w:autoSpaceDN/>
        <w:bidi w:val="0"/>
        <w:spacing w:line="400" w:lineRule="exact"/>
        <w:ind w:firstLine="359" w:firstLineChars="171"/>
        <w:textAlignment w:val="auto"/>
        <w:rPr>
          <w:color w:val="auto"/>
          <w:highlight w:val="none"/>
        </w:rPr>
      </w:pPr>
      <w:r>
        <w:rPr>
          <w:rFonts w:hint="eastAsia"/>
          <w:color w:val="auto"/>
          <w:highlight w:val="none"/>
        </w:rPr>
        <w:t>（3）联合体牵头人须在响应文件上按要求加盖公司法人公章及法定代表人签名（或盖私章），无需联合体共同加盖公司法人公章及法定代表人签名（或盖私章）；</w:t>
      </w:r>
    </w:p>
    <w:p w14:paraId="7F938F2F">
      <w:pPr>
        <w:pageBreakBefore w:val="0"/>
        <w:widowControl w:val="0"/>
        <w:kinsoku/>
        <w:wordWrap/>
        <w:overflowPunct/>
        <w:topLinePunct w:val="0"/>
        <w:autoSpaceDE/>
        <w:autoSpaceDN/>
        <w:bidi w:val="0"/>
        <w:spacing w:line="400" w:lineRule="exact"/>
        <w:ind w:firstLine="359" w:firstLineChars="171"/>
        <w:textAlignment w:val="auto"/>
        <w:rPr>
          <w:rFonts w:hAnsi="宋体"/>
          <w:color w:val="auto"/>
          <w:highlight w:val="none"/>
        </w:rPr>
      </w:pPr>
      <w:r>
        <w:rPr>
          <w:rFonts w:hint="eastAsia"/>
          <w:color w:val="auto"/>
          <w:highlight w:val="none"/>
        </w:rPr>
        <w:t>（4）本须知前附表规定的其他要求。</w:t>
      </w:r>
    </w:p>
    <w:p w14:paraId="5A37510D">
      <w:pPr>
        <w:pageBreakBefore w:val="0"/>
        <w:widowControl w:val="0"/>
        <w:kinsoku/>
        <w:wordWrap/>
        <w:overflowPunct/>
        <w:topLinePunct w:val="0"/>
        <w:autoSpaceDE/>
        <w:autoSpaceDN/>
        <w:bidi w:val="0"/>
        <w:spacing w:line="400" w:lineRule="exact"/>
        <w:textAlignment w:val="auto"/>
        <w:rPr>
          <w:rFonts w:ascii="宋体" w:hAnsi="宋体"/>
          <w:b/>
          <w:color w:val="auto"/>
          <w:sz w:val="32"/>
          <w:szCs w:val="32"/>
          <w:highlight w:val="none"/>
        </w:rPr>
      </w:pPr>
      <w:bookmarkStart w:id="21" w:name="_Toc475552129"/>
      <w:bookmarkStart w:id="22" w:name="_Toc456551883"/>
      <w:r>
        <w:rPr>
          <w:rFonts w:hint="eastAsia" w:ascii="宋体" w:hAnsi="宋体"/>
          <w:b/>
          <w:color w:val="auto"/>
          <w:sz w:val="32"/>
          <w:szCs w:val="32"/>
          <w:highlight w:val="none"/>
        </w:rPr>
        <w:t>1.</w:t>
      </w:r>
      <w:r>
        <w:rPr>
          <w:rFonts w:ascii="宋体" w:hAnsi="宋体"/>
          <w:b/>
          <w:color w:val="auto"/>
          <w:sz w:val="32"/>
          <w:szCs w:val="32"/>
          <w:highlight w:val="none"/>
        </w:rPr>
        <w:t>7</w:t>
      </w:r>
      <w:r>
        <w:rPr>
          <w:rFonts w:hint="eastAsia" w:ascii="宋体" w:hAnsi="宋体"/>
          <w:b/>
          <w:color w:val="auto"/>
          <w:sz w:val="32"/>
          <w:szCs w:val="32"/>
          <w:highlight w:val="none"/>
        </w:rPr>
        <w:t xml:space="preserve"> 响应人不得存在的情形</w:t>
      </w:r>
      <w:bookmarkEnd w:id="21"/>
      <w:bookmarkEnd w:id="22"/>
    </w:p>
    <w:p w14:paraId="013EF338">
      <w:pPr>
        <w:pageBreakBefore w:val="0"/>
        <w:widowControl w:val="0"/>
        <w:kinsoku/>
        <w:wordWrap/>
        <w:overflowPunct/>
        <w:topLinePunct w:val="0"/>
        <w:autoSpaceDE/>
        <w:autoSpaceDN/>
        <w:bidi w:val="0"/>
        <w:spacing w:line="400" w:lineRule="exact"/>
        <w:ind w:firstLine="359" w:firstLineChars="171"/>
        <w:textAlignment w:val="auto"/>
        <w:rPr>
          <w:color w:val="auto"/>
          <w:highlight w:val="none"/>
        </w:rPr>
      </w:pPr>
      <w:r>
        <w:rPr>
          <w:rFonts w:hint="eastAsia"/>
          <w:color w:val="auto"/>
          <w:highlight w:val="none"/>
        </w:rPr>
        <w:t>1.</w:t>
      </w:r>
      <w:r>
        <w:rPr>
          <w:color w:val="auto"/>
          <w:highlight w:val="none"/>
        </w:rPr>
        <w:t>7</w:t>
      </w:r>
      <w:r>
        <w:rPr>
          <w:rFonts w:hint="eastAsia"/>
          <w:color w:val="auto"/>
          <w:highlight w:val="none"/>
        </w:rPr>
        <w:t>.1 响应人不得存在下列情形之一，否则采购人有权取消其参与响应资格或成交资格：</w:t>
      </w:r>
    </w:p>
    <w:p w14:paraId="13395B34">
      <w:pPr>
        <w:pageBreakBefore w:val="0"/>
        <w:widowControl w:val="0"/>
        <w:kinsoku/>
        <w:wordWrap/>
        <w:overflowPunct/>
        <w:topLinePunct w:val="0"/>
        <w:autoSpaceDE/>
        <w:autoSpaceDN/>
        <w:bidi w:val="0"/>
        <w:spacing w:line="400" w:lineRule="exact"/>
        <w:ind w:firstLine="359" w:firstLineChars="171"/>
        <w:textAlignment w:val="auto"/>
        <w:rPr>
          <w:color w:val="auto"/>
          <w:highlight w:val="none"/>
        </w:rPr>
      </w:pPr>
      <w:r>
        <w:rPr>
          <w:rFonts w:hint="eastAsia"/>
          <w:color w:val="auto"/>
          <w:highlight w:val="none"/>
        </w:rPr>
        <w:t>（1）为采购人不具有独立法人资格的附属机构（单位）；</w:t>
      </w:r>
    </w:p>
    <w:p w14:paraId="400C32CC">
      <w:pPr>
        <w:pageBreakBefore w:val="0"/>
        <w:widowControl w:val="0"/>
        <w:kinsoku/>
        <w:wordWrap/>
        <w:overflowPunct/>
        <w:topLinePunct w:val="0"/>
        <w:autoSpaceDE/>
        <w:autoSpaceDN/>
        <w:bidi w:val="0"/>
        <w:spacing w:line="400" w:lineRule="exact"/>
        <w:ind w:firstLine="359" w:firstLineChars="171"/>
        <w:textAlignment w:val="auto"/>
        <w:rPr>
          <w:color w:val="auto"/>
          <w:highlight w:val="none"/>
        </w:rPr>
      </w:pPr>
      <w:r>
        <w:rPr>
          <w:rFonts w:hint="eastAsia"/>
          <w:color w:val="auto"/>
          <w:highlight w:val="none"/>
        </w:rPr>
        <w:t>（</w:t>
      </w:r>
      <w:r>
        <w:rPr>
          <w:color w:val="auto"/>
          <w:highlight w:val="none"/>
        </w:rPr>
        <w:t>2</w:t>
      </w:r>
      <w:r>
        <w:rPr>
          <w:rFonts w:hint="eastAsia"/>
          <w:color w:val="auto"/>
          <w:highlight w:val="none"/>
        </w:rPr>
        <w:t xml:space="preserve">）被责令停业的； </w:t>
      </w:r>
    </w:p>
    <w:p w14:paraId="29428500">
      <w:pPr>
        <w:pageBreakBefore w:val="0"/>
        <w:widowControl w:val="0"/>
        <w:kinsoku/>
        <w:wordWrap/>
        <w:overflowPunct/>
        <w:topLinePunct w:val="0"/>
        <w:autoSpaceDE/>
        <w:autoSpaceDN/>
        <w:bidi w:val="0"/>
        <w:spacing w:line="400" w:lineRule="exact"/>
        <w:ind w:firstLine="359" w:firstLineChars="171"/>
        <w:textAlignment w:val="auto"/>
        <w:rPr>
          <w:color w:val="auto"/>
          <w:highlight w:val="none"/>
        </w:rPr>
      </w:pPr>
      <w:r>
        <w:rPr>
          <w:rFonts w:hint="eastAsia"/>
          <w:color w:val="auto"/>
          <w:highlight w:val="none"/>
        </w:rPr>
        <w:t>（</w:t>
      </w:r>
      <w:r>
        <w:rPr>
          <w:color w:val="auto"/>
          <w:highlight w:val="none"/>
        </w:rPr>
        <w:t>3</w:t>
      </w:r>
      <w:r>
        <w:rPr>
          <w:rFonts w:hint="eastAsia"/>
          <w:color w:val="auto"/>
          <w:highlight w:val="none"/>
        </w:rPr>
        <w:t xml:space="preserve">）被暂停或取消投标资格的； </w:t>
      </w:r>
    </w:p>
    <w:p w14:paraId="07F4A702">
      <w:pPr>
        <w:pageBreakBefore w:val="0"/>
        <w:widowControl w:val="0"/>
        <w:kinsoku/>
        <w:wordWrap/>
        <w:overflowPunct/>
        <w:topLinePunct w:val="0"/>
        <w:autoSpaceDE/>
        <w:autoSpaceDN/>
        <w:bidi w:val="0"/>
        <w:spacing w:line="400" w:lineRule="exact"/>
        <w:ind w:firstLine="359" w:firstLineChars="171"/>
        <w:textAlignment w:val="auto"/>
        <w:rPr>
          <w:color w:val="auto"/>
          <w:highlight w:val="none"/>
        </w:rPr>
      </w:pPr>
      <w:r>
        <w:rPr>
          <w:rFonts w:hint="eastAsia"/>
          <w:color w:val="auto"/>
          <w:highlight w:val="none"/>
        </w:rPr>
        <w:t>（</w:t>
      </w:r>
      <w:r>
        <w:rPr>
          <w:color w:val="auto"/>
          <w:highlight w:val="none"/>
        </w:rPr>
        <w:t>4</w:t>
      </w:r>
      <w:r>
        <w:rPr>
          <w:rFonts w:hint="eastAsia"/>
          <w:color w:val="auto"/>
          <w:highlight w:val="none"/>
        </w:rPr>
        <w:t>）财产被接管或冻结的；</w:t>
      </w:r>
    </w:p>
    <w:p w14:paraId="2484C374">
      <w:pPr>
        <w:pageBreakBefore w:val="0"/>
        <w:widowControl w:val="0"/>
        <w:kinsoku/>
        <w:wordWrap/>
        <w:overflowPunct/>
        <w:topLinePunct w:val="0"/>
        <w:autoSpaceDE/>
        <w:autoSpaceDN/>
        <w:bidi w:val="0"/>
        <w:spacing w:line="400" w:lineRule="exact"/>
        <w:ind w:firstLine="359" w:firstLineChars="171"/>
        <w:textAlignment w:val="auto"/>
        <w:rPr>
          <w:color w:val="auto"/>
          <w:highlight w:val="none"/>
        </w:rPr>
      </w:pPr>
      <w:r>
        <w:rPr>
          <w:rFonts w:hint="eastAsia"/>
          <w:color w:val="auto"/>
          <w:highlight w:val="none"/>
        </w:rPr>
        <w:t>（</w:t>
      </w:r>
      <w:r>
        <w:rPr>
          <w:color w:val="auto"/>
          <w:highlight w:val="none"/>
        </w:rPr>
        <w:t>5</w:t>
      </w:r>
      <w:r>
        <w:rPr>
          <w:rFonts w:hint="eastAsia"/>
          <w:color w:val="auto"/>
          <w:highlight w:val="none"/>
        </w:rPr>
        <w:t>）在最近三年内有骗取中标、严重违约、重大质量或安全问题的；</w:t>
      </w:r>
    </w:p>
    <w:p w14:paraId="319A8A40">
      <w:pPr>
        <w:pageBreakBefore w:val="0"/>
        <w:widowControl w:val="0"/>
        <w:kinsoku/>
        <w:wordWrap/>
        <w:overflowPunct/>
        <w:topLinePunct w:val="0"/>
        <w:autoSpaceDE/>
        <w:autoSpaceDN/>
        <w:bidi w:val="0"/>
        <w:spacing w:line="400" w:lineRule="exact"/>
        <w:ind w:firstLine="359" w:firstLineChars="171"/>
        <w:textAlignment w:val="auto"/>
        <w:rPr>
          <w:color w:val="auto"/>
          <w:highlight w:val="none"/>
        </w:rPr>
      </w:pPr>
      <w:r>
        <w:rPr>
          <w:rFonts w:hint="eastAsia"/>
          <w:color w:val="auto"/>
          <w:highlight w:val="none"/>
        </w:rPr>
        <w:t>（</w:t>
      </w:r>
      <w:r>
        <w:rPr>
          <w:color w:val="auto"/>
          <w:highlight w:val="none"/>
        </w:rPr>
        <w:t>6</w:t>
      </w:r>
      <w:r>
        <w:rPr>
          <w:rFonts w:hint="eastAsia"/>
          <w:color w:val="auto"/>
          <w:highlight w:val="none"/>
        </w:rPr>
        <w:t>）法律法规规定的其他情形；</w:t>
      </w:r>
    </w:p>
    <w:p w14:paraId="6B83EF3D">
      <w:pPr>
        <w:pageBreakBefore w:val="0"/>
        <w:widowControl w:val="0"/>
        <w:kinsoku/>
        <w:wordWrap/>
        <w:overflowPunct/>
        <w:topLinePunct w:val="0"/>
        <w:autoSpaceDE/>
        <w:autoSpaceDN/>
        <w:bidi w:val="0"/>
        <w:spacing w:line="400" w:lineRule="exact"/>
        <w:ind w:firstLine="359" w:firstLineChars="171"/>
        <w:textAlignment w:val="auto"/>
        <w:rPr>
          <w:color w:val="auto"/>
          <w:highlight w:val="none"/>
        </w:rPr>
      </w:pPr>
      <w:r>
        <w:rPr>
          <w:rFonts w:hint="eastAsia"/>
          <w:color w:val="auto"/>
          <w:highlight w:val="none"/>
        </w:rPr>
        <w:t>（</w:t>
      </w:r>
      <w:r>
        <w:rPr>
          <w:color w:val="auto"/>
          <w:highlight w:val="none"/>
        </w:rPr>
        <w:t>7</w:t>
      </w:r>
      <w:r>
        <w:rPr>
          <w:rFonts w:hint="eastAsia"/>
          <w:color w:val="auto"/>
          <w:highlight w:val="none"/>
        </w:rPr>
        <w:t>）竞争性谈判文件规定的其他情形：见竞争性谈判公告或竞争性谈判响应须知前附表。</w:t>
      </w:r>
    </w:p>
    <w:p w14:paraId="44E625C7">
      <w:pPr>
        <w:pageBreakBefore w:val="0"/>
        <w:widowControl w:val="0"/>
        <w:kinsoku/>
        <w:wordWrap/>
        <w:overflowPunct/>
        <w:topLinePunct w:val="0"/>
        <w:autoSpaceDE/>
        <w:autoSpaceDN/>
        <w:bidi w:val="0"/>
        <w:spacing w:line="400" w:lineRule="exact"/>
        <w:ind w:firstLine="359" w:firstLineChars="171"/>
        <w:textAlignment w:val="auto"/>
        <w:rPr>
          <w:rFonts w:hAnsi="宋体"/>
          <w:color w:val="auto"/>
          <w:szCs w:val="21"/>
          <w:highlight w:val="none"/>
        </w:rPr>
      </w:pPr>
      <w:r>
        <w:rPr>
          <w:rFonts w:hint="eastAsia"/>
          <w:color w:val="auto"/>
          <w:highlight w:val="none"/>
        </w:rPr>
        <w:t>1.</w:t>
      </w:r>
      <w:r>
        <w:rPr>
          <w:color w:val="auto"/>
          <w:highlight w:val="none"/>
        </w:rPr>
        <w:t>7</w:t>
      </w:r>
      <w:r>
        <w:rPr>
          <w:rFonts w:hint="eastAsia"/>
          <w:color w:val="auto"/>
          <w:highlight w:val="none"/>
        </w:rPr>
        <w:t>.</w:t>
      </w:r>
      <w:r>
        <w:rPr>
          <w:color w:val="auto"/>
          <w:highlight w:val="none"/>
        </w:rPr>
        <w:t>2</w:t>
      </w:r>
      <w:r>
        <w:rPr>
          <w:rFonts w:hint="eastAsia"/>
          <w:color w:val="auto"/>
          <w:highlight w:val="none"/>
        </w:rPr>
        <w:t xml:space="preserve"> </w:t>
      </w:r>
      <w:r>
        <w:rPr>
          <w:rFonts w:hint="eastAsia" w:hAnsi="宋体"/>
          <w:color w:val="auto"/>
          <w:szCs w:val="21"/>
          <w:highlight w:val="none"/>
        </w:rPr>
        <w:t>响应人在竞争性谈判活动中有下列行为之一的，应视情节轻重，暂停或取消其参与采购人及东实集团旗下采购项目的资格：</w:t>
      </w:r>
    </w:p>
    <w:p w14:paraId="68706E13">
      <w:pPr>
        <w:pageBreakBefore w:val="0"/>
        <w:widowControl w:val="0"/>
        <w:kinsoku/>
        <w:wordWrap/>
        <w:overflowPunct/>
        <w:topLinePunct w:val="0"/>
        <w:autoSpaceDE/>
        <w:autoSpaceDN/>
        <w:bidi w:val="0"/>
        <w:spacing w:line="400" w:lineRule="exact"/>
        <w:ind w:left="426"/>
        <w:textAlignment w:val="auto"/>
        <w:rPr>
          <w:rFonts w:ascii="宋体" w:hAnsi="宋体"/>
          <w:color w:val="auto"/>
          <w:szCs w:val="21"/>
          <w:highlight w:val="none"/>
        </w:rPr>
      </w:pPr>
      <w:r>
        <w:rPr>
          <w:rFonts w:hint="eastAsia" w:ascii="宋体" w:hAnsi="宋体"/>
          <w:color w:val="auto"/>
          <w:szCs w:val="21"/>
          <w:highlight w:val="none"/>
        </w:rPr>
        <w:t xml:space="preserve">（1）响应人之间相互串通、或与采购人、代理机构、谈判小组成员串通谈判，损害采购人或者其他响应人的合法权益的； </w:t>
      </w:r>
    </w:p>
    <w:p w14:paraId="7FB7C083">
      <w:pPr>
        <w:pageBreakBefore w:val="0"/>
        <w:widowControl w:val="0"/>
        <w:kinsoku/>
        <w:wordWrap/>
        <w:overflowPunct/>
        <w:topLinePunct w:val="0"/>
        <w:autoSpaceDE/>
        <w:autoSpaceDN/>
        <w:bidi w:val="0"/>
        <w:spacing w:line="400" w:lineRule="exact"/>
        <w:ind w:left="426"/>
        <w:textAlignment w:val="auto"/>
        <w:rPr>
          <w:rFonts w:ascii="宋体" w:hAnsi="宋体"/>
          <w:color w:val="auto"/>
          <w:szCs w:val="21"/>
          <w:highlight w:val="none"/>
        </w:rPr>
      </w:pPr>
      <w:r>
        <w:rPr>
          <w:rFonts w:hint="eastAsia" w:ascii="宋体" w:hAnsi="宋体"/>
          <w:color w:val="auto"/>
          <w:szCs w:val="21"/>
          <w:highlight w:val="none"/>
        </w:rPr>
        <w:t>（2）向采购人、代理机构、评审</w:t>
      </w:r>
      <w:r>
        <w:rPr>
          <w:rFonts w:hint="eastAsia" w:ascii="宋体" w:hAnsi="宋体"/>
          <w:color w:val="auto"/>
          <w:szCs w:val="21"/>
          <w:highlight w:val="none"/>
          <w:lang w:eastAsia="zh-CN"/>
        </w:rPr>
        <w:t>委员</w:t>
      </w:r>
      <w:r>
        <w:rPr>
          <w:rFonts w:hint="eastAsia" w:ascii="宋体" w:hAnsi="宋体"/>
          <w:color w:val="auto"/>
          <w:szCs w:val="21"/>
          <w:highlight w:val="none"/>
        </w:rPr>
        <w:t xml:space="preserve">会成员或其他相关工作人员行贿的； </w:t>
      </w:r>
    </w:p>
    <w:p w14:paraId="231A0403">
      <w:pPr>
        <w:pageBreakBefore w:val="0"/>
        <w:widowControl w:val="0"/>
        <w:kinsoku/>
        <w:wordWrap/>
        <w:overflowPunct/>
        <w:topLinePunct w:val="0"/>
        <w:autoSpaceDE/>
        <w:autoSpaceDN/>
        <w:bidi w:val="0"/>
        <w:spacing w:line="400" w:lineRule="exact"/>
        <w:ind w:left="426"/>
        <w:textAlignment w:val="auto"/>
        <w:rPr>
          <w:rFonts w:ascii="宋体" w:hAnsi="宋体"/>
          <w:color w:val="auto"/>
          <w:szCs w:val="21"/>
          <w:highlight w:val="none"/>
        </w:rPr>
      </w:pPr>
      <w:r>
        <w:rPr>
          <w:rFonts w:hint="eastAsia" w:ascii="宋体" w:hAnsi="宋体"/>
          <w:color w:val="auto"/>
          <w:szCs w:val="21"/>
          <w:highlight w:val="none"/>
        </w:rPr>
        <w:t xml:space="preserve">（3）以他人名义谈判或以其他方式弄虚作假，骗取成交的； </w:t>
      </w:r>
    </w:p>
    <w:p w14:paraId="740007EA">
      <w:pPr>
        <w:pageBreakBefore w:val="0"/>
        <w:widowControl w:val="0"/>
        <w:kinsoku/>
        <w:wordWrap/>
        <w:overflowPunct/>
        <w:topLinePunct w:val="0"/>
        <w:autoSpaceDE/>
        <w:autoSpaceDN/>
        <w:bidi w:val="0"/>
        <w:spacing w:line="400" w:lineRule="exact"/>
        <w:ind w:left="426"/>
        <w:textAlignment w:val="auto"/>
        <w:rPr>
          <w:rFonts w:ascii="宋体" w:hAnsi="宋体"/>
          <w:color w:val="auto"/>
          <w:szCs w:val="21"/>
          <w:highlight w:val="none"/>
        </w:rPr>
      </w:pPr>
      <w:r>
        <w:rPr>
          <w:rFonts w:hint="eastAsia" w:ascii="宋体" w:hAnsi="宋体"/>
          <w:color w:val="auto"/>
          <w:szCs w:val="21"/>
          <w:highlight w:val="none"/>
        </w:rPr>
        <w:t xml:space="preserve">（4）成交人私自将成交项目转让给他人的，将成交项目肢解后分别转让给他人的； </w:t>
      </w:r>
    </w:p>
    <w:p w14:paraId="74739F24">
      <w:pPr>
        <w:pageBreakBefore w:val="0"/>
        <w:widowControl w:val="0"/>
        <w:kinsoku/>
        <w:wordWrap/>
        <w:overflowPunct/>
        <w:topLinePunct w:val="0"/>
        <w:autoSpaceDE/>
        <w:autoSpaceDN/>
        <w:bidi w:val="0"/>
        <w:spacing w:line="400" w:lineRule="exact"/>
        <w:ind w:left="426"/>
        <w:textAlignment w:val="auto"/>
        <w:rPr>
          <w:rFonts w:ascii="宋体" w:hAnsi="宋体"/>
          <w:color w:val="auto"/>
          <w:szCs w:val="21"/>
          <w:highlight w:val="none"/>
        </w:rPr>
      </w:pPr>
      <w:r>
        <w:rPr>
          <w:rFonts w:hint="eastAsia" w:ascii="宋体" w:hAnsi="宋体"/>
          <w:color w:val="auto"/>
          <w:szCs w:val="21"/>
          <w:highlight w:val="none"/>
        </w:rPr>
        <w:t>（5）成交人无正当理由不与采购人订立合同，在签订合同时向采购人提出附加条件，或者不按照竞争性谈判文件要求提交履约担保的；</w:t>
      </w:r>
    </w:p>
    <w:p w14:paraId="1917A562">
      <w:pPr>
        <w:pageBreakBefore w:val="0"/>
        <w:widowControl w:val="0"/>
        <w:kinsoku/>
        <w:wordWrap/>
        <w:overflowPunct/>
        <w:topLinePunct w:val="0"/>
        <w:autoSpaceDE/>
        <w:autoSpaceDN/>
        <w:bidi w:val="0"/>
        <w:spacing w:line="400" w:lineRule="exact"/>
        <w:ind w:left="426"/>
        <w:textAlignment w:val="auto"/>
        <w:rPr>
          <w:rFonts w:ascii="宋体" w:hAnsi="宋体"/>
          <w:color w:val="auto"/>
          <w:szCs w:val="21"/>
          <w:highlight w:val="none"/>
        </w:rPr>
      </w:pPr>
      <w:r>
        <w:rPr>
          <w:rFonts w:hint="eastAsia" w:ascii="宋体" w:hAnsi="宋体"/>
          <w:color w:val="auto"/>
          <w:szCs w:val="21"/>
          <w:highlight w:val="none"/>
        </w:rPr>
        <w:t xml:space="preserve">（6）响应人捏造事实、伪造材料或者以非法手段取得证明材料进行投诉，给他人造成损失的； </w:t>
      </w:r>
    </w:p>
    <w:p w14:paraId="109118F7">
      <w:pPr>
        <w:pageBreakBefore w:val="0"/>
        <w:widowControl w:val="0"/>
        <w:kinsoku/>
        <w:wordWrap/>
        <w:overflowPunct/>
        <w:topLinePunct w:val="0"/>
        <w:autoSpaceDE/>
        <w:autoSpaceDN/>
        <w:bidi w:val="0"/>
        <w:spacing w:line="400" w:lineRule="exact"/>
        <w:ind w:left="426"/>
        <w:textAlignment w:val="auto"/>
        <w:rPr>
          <w:rFonts w:ascii="宋体" w:hAnsi="宋体"/>
          <w:color w:val="auto"/>
          <w:szCs w:val="21"/>
          <w:highlight w:val="none"/>
        </w:rPr>
      </w:pPr>
      <w:r>
        <w:rPr>
          <w:rFonts w:hint="eastAsia" w:ascii="宋体" w:hAnsi="宋体"/>
          <w:color w:val="auto"/>
          <w:szCs w:val="21"/>
          <w:highlight w:val="none"/>
        </w:rPr>
        <w:t xml:space="preserve">（7）相关工作人员应当回避而不回避的； </w:t>
      </w:r>
    </w:p>
    <w:p w14:paraId="27065DCB">
      <w:pPr>
        <w:pageBreakBefore w:val="0"/>
        <w:widowControl w:val="0"/>
        <w:kinsoku/>
        <w:wordWrap/>
        <w:overflowPunct/>
        <w:topLinePunct w:val="0"/>
        <w:autoSpaceDE/>
        <w:autoSpaceDN/>
        <w:bidi w:val="0"/>
        <w:spacing w:line="400" w:lineRule="exact"/>
        <w:ind w:left="426"/>
        <w:textAlignment w:val="auto"/>
        <w:rPr>
          <w:rFonts w:ascii="宋体" w:hAnsi="宋体"/>
          <w:color w:val="auto"/>
          <w:szCs w:val="21"/>
          <w:highlight w:val="none"/>
        </w:rPr>
      </w:pPr>
      <w:r>
        <w:rPr>
          <w:rFonts w:hint="eastAsia" w:ascii="宋体" w:hAnsi="宋体"/>
          <w:color w:val="auto"/>
          <w:szCs w:val="21"/>
          <w:highlight w:val="none"/>
        </w:rPr>
        <w:t>（8）其他违法违规的行为。</w:t>
      </w:r>
    </w:p>
    <w:p w14:paraId="45BDF108">
      <w:pPr>
        <w:pageBreakBefore w:val="0"/>
        <w:widowControl w:val="0"/>
        <w:kinsoku/>
        <w:wordWrap/>
        <w:overflowPunct/>
        <w:topLinePunct w:val="0"/>
        <w:autoSpaceDE/>
        <w:autoSpaceDN/>
        <w:bidi w:val="0"/>
        <w:spacing w:line="400" w:lineRule="exact"/>
        <w:ind w:left="426"/>
        <w:textAlignment w:val="auto"/>
        <w:rPr>
          <w:rFonts w:ascii="宋体" w:hAnsi="宋体"/>
          <w:color w:val="auto"/>
          <w:szCs w:val="21"/>
          <w:highlight w:val="none"/>
        </w:rPr>
      </w:pPr>
      <w:r>
        <w:rPr>
          <w:bCs/>
          <w:color w:val="auto"/>
          <w:highlight w:val="none"/>
        </w:rPr>
        <w:t>1.7.</w:t>
      </w:r>
      <w:r>
        <w:rPr>
          <w:rFonts w:hint="eastAsia"/>
          <w:bCs/>
          <w:color w:val="auto"/>
          <w:highlight w:val="none"/>
        </w:rPr>
        <w:t>3</w:t>
      </w:r>
      <w:r>
        <w:rPr>
          <w:rFonts w:hint="eastAsia" w:ascii="宋体" w:hAnsi="宋体"/>
          <w:color w:val="auto"/>
          <w:szCs w:val="21"/>
          <w:highlight w:val="none"/>
        </w:rPr>
        <w:t>有下列情形之一的，视为响应人串通谈判，其响应无效：</w:t>
      </w:r>
    </w:p>
    <w:p w14:paraId="15FDD150">
      <w:pPr>
        <w:pageBreakBefore w:val="0"/>
        <w:widowControl w:val="0"/>
        <w:kinsoku/>
        <w:wordWrap/>
        <w:overflowPunct/>
        <w:topLinePunct w:val="0"/>
        <w:autoSpaceDE/>
        <w:autoSpaceDN/>
        <w:bidi w:val="0"/>
        <w:spacing w:line="400" w:lineRule="exact"/>
        <w:ind w:left="426"/>
        <w:textAlignment w:val="auto"/>
        <w:rPr>
          <w:rFonts w:ascii="宋体" w:hAnsi="宋体"/>
          <w:color w:val="auto"/>
          <w:szCs w:val="21"/>
          <w:highlight w:val="none"/>
        </w:rPr>
      </w:pPr>
      <w:r>
        <w:rPr>
          <w:rFonts w:hint="eastAsia" w:ascii="宋体" w:hAnsi="宋体"/>
          <w:color w:val="auto"/>
          <w:szCs w:val="21"/>
          <w:highlight w:val="none"/>
        </w:rPr>
        <w:t>（1）不同响应人的响应文件由同一单位或者个人编制；</w:t>
      </w:r>
    </w:p>
    <w:p w14:paraId="3408244C">
      <w:pPr>
        <w:pageBreakBefore w:val="0"/>
        <w:widowControl w:val="0"/>
        <w:kinsoku/>
        <w:wordWrap/>
        <w:overflowPunct/>
        <w:topLinePunct w:val="0"/>
        <w:autoSpaceDE/>
        <w:autoSpaceDN/>
        <w:bidi w:val="0"/>
        <w:spacing w:line="400" w:lineRule="exact"/>
        <w:ind w:left="426"/>
        <w:textAlignment w:val="auto"/>
        <w:rPr>
          <w:rFonts w:ascii="宋体" w:hAnsi="宋体"/>
          <w:color w:val="auto"/>
          <w:szCs w:val="21"/>
          <w:highlight w:val="none"/>
        </w:rPr>
      </w:pPr>
      <w:r>
        <w:rPr>
          <w:rFonts w:hint="eastAsia" w:ascii="宋体" w:hAnsi="宋体"/>
          <w:color w:val="auto"/>
          <w:szCs w:val="21"/>
          <w:highlight w:val="none"/>
        </w:rPr>
        <w:t>（2）不同响应人委托同一单位或者个人办理响应事宜；</w:t>
      </w:r>
    </w:p>
    <w:p w14:paraId="4B5A2899">
      <w:pPr>
        <w:pageBreakBefore w:val="0"/>
        <w:widowControl w:val="0"/>
        <w:kinsoku/>
        <w:wordWrap/>
        <w:overflowPunct/>
        <w:topLinePunct w:val="0"/>
        <w:autoSpaceDE/>
        <w:autoSpaceDN/>
        <w:bidi w:val="0"/>
        <w:spacing w:line="400" w:lineRule="exact"/>
        <w:ind w:left="426"/>
        <w:textAlignment w:val="auto"/>
        <w:rPr>
          <w:rFonts w:ascii="宋体" w:hAnsi="宋体"/>
          <w:color w:val="auto"/>
          <w:szCs w:val="21"/>
          <w:highlight w:val="none"/>
        </w:rPr>
      </w:pPr>
      <w:r>
        <w:rPr>
          <w:rFonts w:hint="eastAsia" w:ascii="宋体" w:hAnsi="宋体"/>
          <w:color w:val="auto"/>
          <w:szCs w:val="21"/>
          <w:highlight w:val="none"/>
        </w:rPr>
        <w:t>（3）不同响应人的响应文件载明的项目管理成员或者联系人员为同一人；</w:t>
      </w:r>
    </w:p>
    <w:p w14:paraId="16F53A1F">
      <w:pPr>
        <w:pageBreakBefore w:val="0"/>
        <w:widowControl w:val="0"/>
        <w:kinsoku/>
        <w:wordWrap/>
        <w:overflowPunct/>
        <w:topLinePunct w:val="0"/>
        <w:autoSpaceDE/>
        <w:autoSpaceDN/>
        <w:bidi w:val="0"/>
        <w:spacing w:line="400" w:lineRule="exact"/>
        <w:ind w:left="426"/>
        <w:textAlignment w:val="auto"/>
        <w:rPr>
          <w:rFonts w:ascii="宋体" w:hAnsi="宋体"/>
          <w:color w:val="auto"/>
          <w:szCs w:val="21"/>
          <w:highlight w:val="none"/>
        </w:rPr>
      </w:pPr>
      <w:r>
        <w:rPr>
          <w:rFonts w:hint="eastAsia" w:ascii="宋体" w:hAnsi="宋体"/>
          <w:color w:val="auto"/>
          <w:szCs w:val="21"/>
          <w:highlight w:val="none"/>
        </w:rPr>
        <w:t>（4）不同响应人的响应文件异常一致或者响应报价呈规律性差异；</w:t>
      </w:r>
    </w:p>
    <w:p w14:paraId="390FD0BB">
      <w:pPr>
        <w:pageBreakBefore w:val="0"/>
        <w:widowControl w:val="0"/>
        <w:kinsoku/>
        <w:wordWrap/>
        <w:overflowPunct/>
        <w:topLinePunct w:val="0"/>
        <w:autoSpaceDE/>
        <w:autoSpaceDN/>
        <w:bidi w:val="0"/>
        <w:spacing w:line="400" w:lineRule="exact"/>
        <w:ind w:left="426"/>
        <w:textAlignment w:val="auto"/>
        <w:rPr>
          <w:rFonts w:ascii="宋体" w:hAnsi="宋体"/>
          <w:color w:val="auto"/>
          <w:szCs w:val="21"/>
          <w:highlight w:val="none"/>
        </w:rPr>
      </w:pPr>
      <w:r>
        <w:rPr>
          <w:rFonts w:hint="eastAsia" w:ascii="宋体" w:hAnsi="宋体"/>
          <w:color w:val="auto"/>
          <w:szCs w:val="21"/>
          <w:highlight w:val="none"/>
        </w:rPr>
        <w:t>（5）不同响应人的响应文件相互混装；</w:t>
      </w:r>
    </w:p>
    <w:p w14:paraId="2DD109C5">
      <w:pPr>
        <w:pageBreakBefore w:val="0"/>
        <w:widowControl w:val="0"/>
        <w:kinsoku/>
        <w:wordWrap/>
        <w:overflowPunct/>
        <w:topLinePunct w:val="0"/>
        <w:autoSpaceDE/>
        <w:autoSpaceDN/>
        <w:bidi w:val="0"/>
        <w:spacing w:line="400" w:lineRule="exact"/>
        <w:ind w:left="426"/>
        <w:textAlignment w:val="auto"/>
        <w:rPr>
          <w:rFonts w:ascii="宋体" w:hAnsi="宋体"/>
          <w:color w:val="auto"/>
          <w:szCs w:val="21"/>
          <w:highlight w:val="none"/>
        </w:rPr>
      </w:pPr>
      <w:r>
        <w:rPr>
          <w:rFonts w:hint="eastAsia" w:ascii="宋体" w:hAnsi="宋体"/>
          <w:color w:val="auto"/>
          <w:szCs w:val="21"/>
          <w:highlight w:val="none"/>
        </w:rPr>
        <w:t>（6）不同响应人的响应保证金从同一单位或者个人的账户转出。</w:t>
      </w:r>
    </w:p>
    <w:p w14:paraId="77ED41FE">
      <w:pPr>
        <w:pageBreakBefore w:val="0"/>
        <w:widowControl w:val="0"/>
        <w:kinsoku/>
        <w:wordWrap/>
        <w:overflowPunct/>
        <w:topLinePunct w:val="0"/>
        <w:autoSpaceDE/>
        <w:autoSpaceDN/>
        <w:bidi w:val="0"/>
        <w:spacing w:line="400" w:lineRule="exact"/>
        <w:ind w:left="426"/>
        <w:textAlignment w:val="auto"/>
        <w:rPr>
          <w:rFonts w:ascii="宋体" w:hAnsi="宋体"/>
          <w:color w:val="auto"/>
          <w:szCs w:val="21"/>
          <w:highlight w:val="none"/>
        </w:rPr>
      </w:pPr>
      <w:r>
        <w:rPr>
          <w:bCs/>
          <w:color w:val="auto"/>
          <w:highlight w:val="none"/>
        </w:rPr>
        <w:t>1.7.</w:t>
      </w:r>
      <w:r>
        <w:rPr>
          <w:rFonts w:hint="eastAsia"/>
          <w:bCs/>
          <w:color w:val="auto"/>
          <w:highlight w:val="none"/>
        </w:rPr>
        <w:t>4</w:t>
      </w:r>
      <w:r>
        <w:rPr>
          <w:rFonts w:hint="eastAsia" w:ascii="宋体" w:hAnsi="宋体"/>
          <w:color w:val="auto"/>
          <w:szCs w:val="21"/>
          <w:highlight w:val="none"/>
        </w:rPr>
        <w:t>使用通过受让或者租借等方式获取的资格、资质证书响应的，属于以他人名义谈判，其响应无效：</w:t>
      </w:r>
    </w:p>
    <w:p w14:paraId="5348A420">
      <w:pPr>
        <w:pageBreakBefore w:val="0"/>
        <w:widowControl w:val="0"/>
        <w:kinsoku/>
        <w:wordWrap/>
        <w:overflowPunct/>
        <w:topLinePunct w:val="0"/>
        <w:autoSpaceDE/>
        <w:autoSpaceDN/>
        <w:bidi w:val="0"/>
        <w:spacing w:line="400" w:lineRule="exact"/>
        <w:ind w:left="426"/>
        <w:textAlignment w:val="auto"/>
        <w:rPr>
          <w:rFonts w:ascii="宋体" w:hAnsi="宋体"/>
          <w:color w:val="auto"/>
          <w:szCs w:val="21"/>
          <w:highlight w:val="none"/>
        </w:rPr>
      </w:pPr>
      <w:r>
        <w:rPr>
          <w:bCs/>
          <w:color w:val="auto"/>
          <w:highlight w:val="none"/>
        </w:rPr>
        <w:t>1.7.</w:t>
      </w:r>
      <w:r>
        <w:rPr>
          <w:rFonts w:hint="eastAsia"/>
          <w:bCs/>
          <w:color w:val="auto"/>
          <w:highlight w:val="none"/>
        </w:rPr>
        <w:t>5</w:t>
      </w:r>
      <w:r>
        <w:rPr>
          <w:rFonts w:hint="eastAsia" w:ascii="宋体" w:hAnsi="宋体"/>
          <w:color w:val="auto"/>
          <w:szCs w:val="21"/>
          <w:highlight w:val="none"/>
        </w:rPr>
        <w:t>有下列情形之一的，属于以其他方式弄虚作假的行为，其响应无效：</w:t>
      </w:r>
    </w:p>
    <w:p w14:paraId="04574020">
      <w:pPr>
        <w:pageBreakBefore w:val="0"/>
        <w:widowControl w:val="0"/>
        <w:kinsoku/>
        <w:wordWrap/>
        <w:overflowPunct/>
        <w:topLinePunct w:val="0"/>
        <w:autoSpaceDE/>
        <w:autoSpaceDN/>
        <w:bidi w:val="0"/>
        <w:spacing w:line="400" w:lineRule="exact"/>
        <w:ind w:left="426"/>
        <w:textAlignment w:val="auto"/>
        <w:rPr>
          <w:rFonts w:ascii="宋体" w:hAnsi="宋体"/>
          <w:color w:val="auto"/>
          <w:szCs w:val="21"/>
          <w:highlight w:val="none"/>
        </w:rPr>
      </w:pPr>
      <w:r>
        <w:rPr>
          <w:rFonts w:hint="eastAsia" w:ascii="宋体" w:hAnsi="宋体"/>
          <w:color w:val="auto"/>
          <w:szCs w:val="21"/>
          <w:highlight w:val="none"/>
        </w:rPr>
        <w:t>（1）使用伪造、变造的许可证件；</w:t>
      </w:r>
    </w:p>
    <w:p w14:paraId="43AECE84">
      <w:pPr>
        <w:pageBreakBefore w:val="0"/>
        <w:widowControl w:val="0"/>
        <w:kinsoku/>
        <w:wordWrap/>
        <w:overflowPunct/>
        <w:topLinePunct w:val="0"/>
        <w:autoSpaceDE/>
        <w:autoSpaceDN/>
        <w:bidi w:val="0"/>
        <w:spacing w:line="400" w:lineRule="exact"/>
        <w:ind w:left="426"/>
        <w:textAlignment w:val="auto"/>
        <w:rPr>
          <w:rFonts w:ascii="宋体" w:hAnsi="宋体"/>
          <w:color w:val="auto"/>
          <w:szCs w:val="21"/>
          <w:highlight w:val="none"/>
        </w:rPr>
      </w:pPr>
      <w:r>
        <w:rPr>
          <w:rFonts w:hint="eastAsia" w:ascii="宋体" w:hAnsi="宋体"/>
          <w:color w:val="auto"/>
          <w:szCs w:val="21"/>
          <w:highlight w:val="none"/>
        </w:rPr>
        <w:t xml:space="preserve">（2）提供虚假的财务状况或者业绩； </w:t>
      </w:r>
    </w:p>
    <w:p w14:paraId="0637E46D">
      <w:pPr>
        <w:pageBreakBefore w:val="0"/>
        <w:widowControl w:val="0"/>
        <w:kinsoku/>
        <w:wordWrap/>
        <w:overflowPunct/>
        <w:topLinePunct w:val="0"/>
        <w:autoSpaceDE/>
        <w:autoSpaceDN/>
        <w:bidi w:val="0"/>
        <w:spacing w:line="400" w:lineRule="exact"/>
        <w:ind w:left="426"/>
        <w:textAlignment w:val="auto"/>
        <w:rPr>
          <w:rFonts w:ascii="宋体" w:hAnsi="宋体"/>
          <w:color w:val="auto"/>
          <w:szCs w:val="21"/>
          <w:highlight w:val="none"/>
        </w:rPr>
      </w:pPr>
      <w:r>
        <w:rPr>
          <w:rFonts w:hint="eastAsia" w:ascii="宋体" w:hAnsi="宋体"/>
          <w:color w:val="auto"/>
          <w:szCs w:val="21"/>
          <w:highlight w:val="none"/>
        </w:rPr>
        <w:t xml:space="preserve">（3）提供虚假的项目负责人或者主要技术人员简历、劳动关系证明； </w:t>
      </w:r>
    </w:p>
    <w:p w14:paraId="50435F1F">
      <w:pPr>
        <w:pageBreakBefore w:val="0"/>
        <w:widowControl w:val="0"/>
        <w:kinsoku/>
        <w:wordWrap/>
        <w:overflowPunct/>
        <w:topLinePunct w:val="0"/>
        <w:autoSpaceDE/>
        <w:autoSpaceDN/>
        <w:bidi w:val="0"/>
        <w:spacing w:line="400" w:lineRule="exact"/>
        <w:ind w:left="426"/>
        <w:textAlignment w:val="auto"/>
        <w:rPr>
          <w:rFonts w:ascii="宋体" w:hAnsi="宋体"/>
          <w:color w:val="auto"/>
          <w:szCs w:val="21"/>
          <w:highlight w:val="none"/>
        </w:rPr>
      </w:pPr>
      <w:r>
        <w:rPr>
          <w:rFonts w:hint="eastAsia" w:ascii="宋体" w:hAnsi="宋体"/>
          <w:color w:val="auto"/>
          <w:szCs w:val="21"/>
          <w:highlight w:val="none"/>
        </w:rPr>
        <w:t>（4）提供虚假的信用状况；</w:t>
      </w:r>
    </w:p>
    <w:p w14:paraId="232590CF">
      <w:pPr>
        <w:pageBreakBefore w:val="0"/>
        <w:widowControl w:val="0"/>
        <w:kinsoku/>
        <w:wordWrap/>
        <w:overflowPunct/>
        <w:topLinePunct w:val="0"/>
        <w:autoSpaceDE/>
        <w:autoSpaceDN/>
        <w:bidi w:val="0"/>
        <w:spacing w:line="400" w:lineRule="exact"/>
        <w:ind w:left="426"/>
        <w:textAlignment w:val="auto"/>
        <w:rPr>
          <w:rFonts w:ascii="宋体" w:hAnsi="宋体"/>
          <w:color w:val="auto"/>
          <w:szCs w:val="21"/>
          <w:highlight w:val="none"/>
        </w:rPr>
      </w:pPr>
      <w:r>
        <w:rPr>
          <w:rFonts w:hint="eastAsia" w:ascii="宋体" w:hAnsi="宋体"/>
          <w:color w:val="auto"/>
          <w:szCs w:val="21"/>
          <w:highlight w:val="none"/>
        </w:rPr>
        <w:t>（5）其他弄虚作假的行为。</w:t>
      </w:r>
    </w:p>
    <w:p w14:paraId="413F3753">
      <w:pPr>
        <w:pageBreakBefore w:val="0"/>
        <w:widowControl w:val="0"/>
        <w:kinsoku/>
        <w:wordWrap/>
        <w:overflowPunct/>
        <w:topLinePunct w:val="0"/>
        <w:autoSpaceDE/>
        <w:autoSpaceDN/>
        <w:bidi w:val="0"/>
        <w:spacing w:line="400" w:lineRule="exact"/>
        <w:ind w:firstLine="359" w:firstLineChars="171"/>
        <w:textAlignment w:val="auto"/>
        <w:rPr>
          <w:bCs/>
          <w:color w:val="auto"/>
          <w:highlight w:val="none"/>
        </w:rPr>
      </w:pPr>
      <w:r>
        <w:rPr>
          <w:bCs/>
          <w:color w:val="auto"/>
          <w:highlight w:val="none"/>
        </w:rPr>
        <w:t>1.7.</w:t>
      </w:r>
      <w:r>
        <w:rPr>
          <w:rFonts w:hint="eastAsia"/>
          <w:bCs/>
          <w:color w:val="auto"/>
          <w:highlight w:val="none"/>
        </w:rPr>
        <w:t xml:space="preserve">6响应人相关工作人员与采购人有以下利害关系之一的，应当回避： </w:t>
      </w:r>
    </w:p>
    <w:p w14:paraId="4BBB92E9">
      <w:pPr>
        <w:pageBreakBefore w:val="0"/>
        <w:widowControl w:val="0"/>
        <w:kinsoku/>
        <w:wordWrap/>
        <w:overflowPunct/>
        <w:topLinePunct w:val="0"/>
        <w:autoSpaceDE/>
        <w:autoSpaceDN/>
        <w:bidi w:val="0"/>
        <w:spacing w:line="400" w:lineRule="exact"/>
        <w:ind w:firstLine="359" w:firstLineChars="171"/>
        <w:textAlignment w:val="auto"/>
        <w:rPr>
          <w:bCs/>
          <w:color w:val="auto"/>
          <w:highlight w:val="none"/>
        </w:rPr>
      </w:pPr>
      <w:r>
        <w:rPr>
          <w:rFonts w:hint="eastAsia"/>
          <w:bCs/>
          <w:color w:val="auto"/>
          <w:highlight w:val="none"/>
        </w:rPr>
        <w:t>（一）是其主要负责人的近亲属的；</w:t>
      </w:r>
    </w:p>
    <w:p w14:paraId="3530CFFF">
      <w:pPr>
        <w:pageBreakBefore w:val="0"/>
        <w:widowControl w:val="0"/>
        <w:kinsoku/>
        <w:wordWrap/>
        <w:overflowPunct/>
        <w:topLinePunct w:val="0"/>
        <w:autoSpaceDE/>
        <w:autoSpaceDN/>
        <w:bidi w:val="0"/>
        <w:spacing w:line="400" w:lineRule="exact"/>
        <w:ind w:firstLine="359" w:firstLineChars="171"/>
        <w:textAlignment w:val="auto"/>
        <w:rPr>
          <w:bCs/>
          <w:color w:val="auto"/>
          <w:highlight w:val="none"/>
        </w:rPr>
      </w:pPr>
      <w:r>
        <w:rPr>
          <w:rFonts w:hint="eastAsia"/>
          <w:bCs/>
          <w:color w:val="auto"/>
          <w:highlight w:val="none"/>
        </w:rPr>
        <w:t>（二）竞争性谈判活动前3年内与其存在劳动关系，担任其董事、监事，是其控股股东或实际控制人，或存在其他经济利益关系，可能影响竞争性谈判活动公平公正的；</w:t>
      </w:r>
    </w:p>
    <w:p w14:paraId="282456C3">
      <w:pPr>
        <w:pageBreakBefore w:val="0"/>
        <w:widowControl w:val="0"/>
        <w:kinsoku/>
        <w:wordWrap/>
        <w:overflowPunct/>
        <w:topLinePunct w:val="0"/>
        <w:autoSpaceDE/>
        <w:autoSpaceDN/>
        <w:bidi w:val="0"/>
        <w:spacing w:line="400" w:lineRule="exact"/>
        <w:ind w:firstLine="359" w:firstLineChars="171"/>
        <w:textAlignment w:val="auto"/>
        <w:rPr>
          <w:bCs/>
          <w:color w:val="auto"/>
          <w:highlight w:val="none"/>
        </w:rPr>
      </w:pPr>
      <w:r>
        <w:rPr>
          <w:rFonts w:hint="eastAsia"/>
          <w:bCs/>
          <w:color w:val="auto"/>
          <w:highlight w:val="none"/>
        </w:rPr>
        <w:t>（三）其他可能影响竞争性谈判活动公平、公正进行的关系。</w:t>
      </w:r>
    </w:p>
    <w:p w14:paraId="038D5EBE">
      <w:pPr>
        <w:pageBreakBefore w:val="0"/>
        <w:widowControl w:val="0"/>
        <w:kinsoku/>
        <w:wordWrap/>
        <w:overflowPunct/>
        <w:topLinePunct w:val="0"/>
        <w:autoSpaceDE/>
        <w:autoSpaceDN/>
        <w:bidi w:val="0"/>
        <w:spacing w:line="400" w:lineRule="exact"/>
        <w:textAlignment w:val="auto"/>
        <w:rPr>
          <w:rFonts w:ascii="宋体" w:hAnsi="宋体"/>
          <w:b/>
          <w:color w:val="auto"/>
          <w:sz w:val="32"/>
          <w:szCs w:val="32"/>
          <w:highlight w:val="none"/>
        </w:rPr>
      </w:pPr>
      <w:bookmarkStart w:id="23" w:name="_Toc456551884"/>
      <w:bookmarkStart w:id="24" w:name="_Toc475552130"/>
      <w:r>
        <w:rPr>
          <w:rFonts w:hint="eastAsia" w:ascii="宋体" w:hAnsi="宋体"/>
          <w:b/>
          <w:color w:val="auto"/>
          <w:sz w:val="32"/>
          <w:szCs w:val="32"/>
          <w:highlight w:val="none"/>
        </w:rPr>
        <w:t>1.</w:t>
      </w:r>
      <w:r>
        <w:rPr>
          <w:rFonts w:ascii="宋体" w:hAnsi="宋体"/>
          <w:b/>
          <w:color w:val="auto"/>
          <w:sz w:val="32"/>
          <w:szCs w:val="32"/>
          <w:highlight w:val="none"/>
        </w:rPr>
        <w:t>8</w:t>
      </w:r>
      <w:r>
        <w:rPr>
          <w:rFonts w:hint="eastAsia" w:ascii="宋体" w:hAnsi="宋体"/>
          <w:b/>
          <w:color w:val="auto"/>
          <w:sz w:val="32"/>
          <w:szCs w:val="32"/>
          <w:highlight w:val="none"/>
        </w:rPr>
        <w:t xml:space="preserve"> 费用承担</w:t>
      </w:r>
      <w:bookmarkEnd w:id="23"/>
      <w:bookmarkEnd w:id="24"/>
    </w:p>
    <w:p w14:paraId="7CA75D05">
      <w:pPr>
        <w:pageBreakBefore w:val="0"/>
        <w:widowControl w:val="0"/>
        <w:kinsoku/>
        <w:wordWrap/>
        <w:overflowPunct/>
        <w:topLinePunct w:val="0"/>
        <w:autoSpaceDE/>
        <w:autoSpaceDN/>
        <w:bidi w:val="0"/>
        <w:spacing w:line="400" w:lineRule="exact"/>
        <w:ind w:firstLine="420" w:firstLineChars="200"/>
        <w:textAlignment w:val="auto"/>
        <w:rPr>
          <w:color w:val="auto"/>
          <w:highlight w:val="none"/>
        </w:rPr>
      </w:pPr>
      <w:r>
        <w:rPr>
          <w:rFonts w:hint="eastAsia" w:ascii="宋体" w:hAnsi="宋体" w:cs="宋体"/>
          <w:color w:val="auto"/>
          <w:szCs w:val="21"/>
          <w:highlight w:val="none"/>
        </w:rPr>
        <w:t>响应人准备和参加竞争性谈判活动发生的费用自理</w:t>
      </w:r>
      <w:r>
        <w:rPr>
          <w:rFonts w:hint="eastAsia"/>
          <w:color w:val="auto"/>
          <w:highlight w:val="none"/>
        </w:rPr>
        <w:t>。</w:t>
      </w:r>
    </w:p>
    <w:p w14:paraId="56F43D8A">
      <w:pPr>
        <w:pageBreakBefore w:val="0"/>
        <w:widowControl w:val="0"/>
        <w:kinsoku/>
        <w:wordWrap/>
        <w:overflowPunct/>
        <w:topLinePunct w:val="0"/>
        <w:autoSpaceDE/>
        <w:autoSpaceDN/>
        <w:bidi w:val="0"/>
        <w:spacing w:line="400" w:lineRule="exact"/>
        <w:textAlignment w:val="auto"/>
        <w:rPr>
          <w:rFonts w:ascii="宋体" w:hAnsi="宋体"/>
          <w:b/>
          <w:color w:val="auto"/>
          <w:sz w:val="32"/>
          <w:szCs w:val="32"/>
          <w:highlight w:val="none"/>
        </w:rPr>
      </w:pPr>
      <w:bookmarkStart w:id="25" w:name="_Toc475552131"/>
      <w:bookmarkStart w:id="26" w:name="_Toc456551885"/>
      <w:r>
        <w:rPr>
          <w:rFonts w:hint="eastAsia" w:ascii="宋体" w:hAnsi="宋体"/>
          <w:b/>
          <w:color w:val="auto"/>
          <w:sz w:val="32"/>
          <w:szCs w:val="32"/>
          <w:highlight w:val="none"/>
        </w:rPr>
        <w:t>1.</w:t>
      </w:r>
      <w:r>
        <w:rPr>
          <w:rFonts w:ascii="宋体" w:hAnsi="宋体"/>
          <w:b/>
          <w:color w:val="auto"/>
          <w:sz w:val="32"/>
          <w:szCs w:val="32"/>
          <w:highlight w:val="none"/>
        </w:rPr>
        <w:t>9</w:t>
      </w:r>
      <w:r>
        <w:rPr>
          <w:rFonts w:hint="eastAsia" w:ascii="宋体" w:hAnsi="宋体"/>
          <w:b/>
          <w:color w:val="auto"/>
          <w:sz w:val="32"/>
          <w:szCs w:val="32"/>
          <w:highlight w:val="none"/>
        </w:rPr>
        <w:t xml:space="preserve"> 保密</w:t>
      </w:r>
      <w:bookmarkEnd w:id="25"/>
      <w:bookmarkEnd w:id="26"/>
    </w:p>
    <w:p w14:paraId="2DB59FA0">
      <w:pPr>
        <w:pageBreakBefore w:val="0"/>
        <w:widowControl w:val="0"/>
        <w:kinsoku/>
        <w:wordWrap/>
        <w:overflowPunct/>
        <w:topLinePunct w:val="0"/>
        <w:autoSpaceDE/>
        <w:autoSpaceDN/>
        <w:bidi w:val="0"/>
        <w:spacing w:line="400" w:lineRule="exact"/>
        <w:ind w:firstLine="420" w:firstLineChars="200"/>
        <w:textAlignment w:val="auto"/>
        <w:rPr>
          <w:color w:val="auto"/>
          <w:highlight w:val="none"/>
        </w:rPr>
      </w:pPr>
      <w:r>
        <w:rPr>
          <w:rFonts w:hint="eastAsia"/>
          <w:color w:val="auto"/>
          <w:highlight w:val="none"/>
        </w:rPr>
        <w:t xml:space="preserve">参与竞争性谈判活动的各方应对竞争性谈判文件和响应文件中的商业和技术等秘密保密，违者应对由此造成的后果承担法律责任。 </w:t>
      </w:r>
    </w:p>
    <w:p w14:paraId="330EBDE4">
      <w:pPr>
        <w:pageBreakBefore w:val="0"/>
        <w:widowControl w:val="0"/>
        <w:kinsoku/>
        <w:wordWrap/>
        <w:overflowPunct/>
        <w:topLinePunct w:val="0"/>
        <w:autoSpaceDE/>
        <w:autoSpaceDN/>
        <w:bidi w:val="0"/>
        <w:spacing w:line="400" w:lineRule="exact"/>
        <w:textAlignment w:val="auto"/>
        <w:rPr>
          <w:rFonts w:ascii="宋体" w:hAnsi="宋体"/>
          <w:b/>
          <w:color w:val="auto"/>
          <w:sz w:val="32"/>
          <w:szCs w:val="32"/>
          <w:highlight w:val="none"/>
        </w:rPr>
      </w:pPr>
      <w:bookmarkStart w:id="27" w:name="_Toc475552133"/>
      <w:bookmarkStart w:id="28" w:name="_Toc456551887"/>
      <w:bookmarkStart w:id="29" w:name="_Toc456551886"/>
      <w:bookmarkStart w:id="30" w:name="_Toc475552132"/>
      <w:r>
        <w:rPr>
          <w:rFonts w:hint="eastAsia" w:ascii="宋体" w:hAnsi="宋体"/>
          <w:b/>
          <w:color w:val="auto"/>
          <w:sz w:val="32"/>
          <w:szCs w:val="32"/>
          <w:highlight w:val="none"/>
        </w:rPr>
        <w:t>1.10 语言文字</w:t>
      </w:r>
      <w:bookmarkEnd w:id="27"/>
      <w:bookmarkEnd w:id="28"/>
    </w:p>
    <w:p w14:paraId="5632DE7A">
      <w:pPr>
        <w:pageBreakBefore w:val="0"/>
        <w:widowControl w:val="0"/>
        <w:kinsoku/>
        <w:wordWrap/>
        <w:overflowPunct/>
        <w:topLinePunct w:val="0"/>
        <w:autoSpaceDE/>
        <w:autoSpaceDN/>
        <w:bidi w:val="0"/>
        <w:spacing w:line="400" w:lineRule="exact"/>
        <w:ind w:firstLine="420" w:firstLineChars="200"/>
        <w:textAlignment w:val="auto"/>
        <w:rPr>
          <w:color w:val="auto"/>
          <w:highlight w:val="none"/>
        </w:rPr>
      </w:pPr>
      <w:r>
        <w:rPr>
          <w:rFonts w:hint="eastAsia" w:ascii="宋体" w:hAnsi="宋体" w:cs="宋体"/>
          <w:color w:val="auto"/>
          <w:szCs w:val="21"/>
          <w:highlight w:val="none"/>
        </w:rPr>
        <w:t>除专用术语外，与竞争性谈判有关的语言均使用简体中文。必要时专用术语应附有中文注释。</w:t>
      </w:r>
    </w:p>
    <w:p w14:paraId="35F18CC8">
      <w:pPr>
        <w:pageBreakBefore w:val="0"/>
        <w:widowControl w:val="0"/>
        <w:kinsoku/>
        <w:wordWrap/>
        <w:overflowPunct/>
        <w:topLinePunct w:val="0"/>
        <w:autoSpaceDE/>
        <w:autoSpaceDN/>
        <w:bidi w:val="0"/>
        <w:spacing w:line="400" w:lineRule="exact"/>
        <w:textAlignment w:val="auto"/>
        <w:rPr>
          <w:rFonts w:ascii="宋体" w:hAnsi="宋体"/>
          <w:b/>
          <w:color w:val="auto"/>
          <w:sz w:val="32"/>
          <w:szCs w:val="32"/>
          <w:highlight w:val="none"/>
        </w:rPr>
      </w:pPr>
      <w:r>
        <w:rPr>
          <w:rFonts w:hint="eastAsia" w:ascii="宋体" w:hAnsi="宋体"/>
          <w:b/>
          <w:color w:val="auto"/>
          <w:sz w:val="32"/>
          <w:szCs w:val="32"/>
          <w:highlight w:val="none"/>
        </w:rPr>
        <w:t>1.11 计量单位</w:t>
      </w:r>
      <w:bookmarkEnd w:id="29"/>
      <w:bookmarkEnd w:id="30"/>
    </w:p>
    <w:p w14:paraId="080057AF">
      <w:pPr>
        <w:pageBreakBefore w:val="0"/>
        <w:widowControl w:val="0"/>
        <w:kinsoku/>
        <w:wordWrap/>
        <w:overflowPunct/>
        <w:topLinePunct w:val="0"/>
        <w:autoSpaceDE/>
        <w:autoSpaceDN/>
        <w:bidi w:val="0"/>
        <w:spacing w:line="400" w:lineRule="exact"/>
        <w:ind w:firstLine="420" w:firstLineChars="200"/>
        <w:textAlignment w:val="auto"/>
        <w:rPr>
          <w:color w:val="auto"/>
          <w:highlight w:val="none"/>
        </w:rPr>
      </w:pPr>
      <w:r>
        <w:rPr>
          <w:rFonts w:hint="eastAsia"/>
          <w:color w:val="auto"/>
          <w:highlight w:val="none"/>
        </w:rPr>
        <w:t>所有计量均采用中华人民共和国法定计量单位。</w:t>
      </w:r>
    </w:p>
    <w:p w14:paraId="644EDD69">
      <w:pPr>
        <w:pageBreakBefore w:val="0"/>
        <w:widowControl w:val="0"/>
        <w:kinsoku/>
        <w:wordWrap/>
        <w:overflowPunct/>
        <w:topLinePunct w:val="0"/>
        <w:autoSpaceDE/>
        <w:autoSpaceDN/>
        <w:bidi w:val="0"/>
        <w:spacing w:line="400" w:lineRule="exact"/>
        <w:textAlignment w:val="auto"/>
        <w:rPr>
          <w:rFonts w:ascii="宋体" w:hAnsi="宋体"/>
          <w:b/>
          <w:color w:val="auto"/>
          <w:sz w:val="32"/>
          <w:szCs w:val="32"/>
          <w:highlight w:val="none"/>
        </w:rPr>
      </w:pPr>
      <w:bookmarkStart w:id="31" w:name="_Toc456551892"/>
      <w:bookmarkStart w:id="32" w:name="_Toc475552136"/>
      <w:r>
        <w:rPr>
          <w:rFonts w:hint="eastAsia" w:ascii="宋体" w:hAnsi="宋体"/>
          <w:b/>
          <w:color w:val="auto"/>
          <w:sz w:val="32"/>
          <w:szCs w:val="32"/>
          <w:highlight w:val="none"/>
        </w:rPr>
        <w:t>1.12 踏勘现场</w:t>
      </w:r>
      <w:bookmarkEnd w:id="31"/>
      <w:bookmarkEnd w:id="32"/>
    </w:p>
    <w:p w14:paraId="39CE2C52">
      <w:pPr>
        <w:pageBreakBefore w:val="0"/>
        <w:widowControl w:val="0"/>
        <w:kinsoku/>
        <w:wordWrap/>
        <w:overflowPunct/>
        <w:topLinePunct w:val="0"/>
        <w:autoSpaceDE/>
        <w:autoSpaceDN/>
        <w:bidi w:val="0"/>
        <w:spacing w:line="400" w:lineRule="exact"/>
        <w:ind w:firstLine="420" w:firstLineChars="200"/>
        <w:textAlignment w:val="auto"/>
        <w:rPr>
          <w:color w:val="auto"/>
          <w:highlight w:val="none"/>
        </w:rPr>
      </w:pPr>
      <w:r>
        <w:rPr>
          <w:rFonts w:hint="eastAsia"/>
          <w:color w:val="auto"/>
          <w:highlight w:val="none"/>
        </w:rPr>
        <w:t>1.12.1 竞争性谈判响应须知前附表规定组织踏勘现场的，采购人按竞争性谈判响应须知前附表规定的时间、地点组织响应人踏勘项目现场。</w:t>
      </w:r>
    </w:p>
    <w:p w14:paraId="1CEDB1A0">
      <w:pPr>
        <w:pageBreakBefore w:val="0"/>
        <w:widowControl w:val="0"/>
        <w:kinsoku/>
        <w:wordWrap/>
        <w:overflowPunct/>
        <w:topLinePunct w:val="0"/>
        <w:autoSpaceDE/>
        <w:autoSpaceDN/>
        <w:bidi w:val="0"/>
        <w:spacing w:line="400" w:lineRule="exact"/>
        <w:ind w:firstLine="420" w:firstLineChars="200"/>
        <w:textAlignment w:val="auto"/>
        <w:rPr>
          <w:color w:val="auto"/>
          <w:highlight w:val="none"/>
        </w:rPr>
      </w:pPr>
      <w:r>
        <w:rPr>
          <w:rFonts w:hint="eastAsia"/>
          <w:color w:val="auto"/>
          <w:highlight w:val="none"/>
        </w:rPr>
        <w:t>1.12.2 响应人踏勘现场发生的费用自理。</w:t>
      </w:r>
    </w:p>
    <w:p w14:paraId="755A5783">
      <w:pPr>
        <w:pageBreakBefore w:val="0"/>
        <w:widowControl w:val="0"/>
        <w:kinsoku/>
        <w:wordWrap/>
        <w:overflowPunct/>
        <w:topLinePunct w:val="0"/>
        <w:autoSpaceDE/>
        <w:autoSpaceDN/>
        <w:bidi w:val="0"/>
        <w:spacing w:line="400" w:lineRule="exact"/>
        <w:ind w:firstLine="420" w:firstLineChars="200"/>
        <w:textAlignment w:val="auto"/>
        <w:rPr>
          <w:color w:val="auto"/>
          <w:highlight w:val="none"/>
        </w:rPr>
      </w:pPr>
      <w:r>
        <w:rPr>
          <w:rFonts w:hint="eastAsia"/>
          <w:color w:val="auto"/>
          <w:highlight w:val="none"/>
        </w:rPr>
        <w:t>1.12.3 除采购人的原因外，响应人自行负责在踏勘现场中所发生的人员伤亡和财产损失。</w:t>
      </w:r>
    </w:p>
    <w:p w14:paraId="18BF1C76">
      <w:pPr>
        <w:pageBreakBefore w:val="0"/>
        <w:widowControl w:val="0"/>
        <w:kinsoku/>
        <w:wordWrap/>
        <w:overflowPunct/>
        <w:topLinePunct w:val="0"/>
        <w:autoSpaceDE/>
        <w:autoSpaceDN/>
        <w:bidi w:val="0"/>
        <w:spacing w:line="400" w:lineRule="exact"/>
        <w:ind w:firstLine="420" w:firstLineChars="200"/>
        <w:textAlignment w:val="auto"/>
        <w:rPr>
          <w:color w:val="auto"/>
          <w:highlight w:val="none"/>
        </w:rPr>
      </w:pPr>
      <w:r>
        <w:rPr>
          <w:rFonts w:hint="eastAsia"/>
          <w:color w:val="auto"/>
          <w:highlight w:val="none"/>
        </w:rPr>
        <w:t>1.12.4 采购人在踏勘现场中介绍的实施地点和相关的周边环境情况，供响应人在编制响应文件时参考，采购人不对响应人据此作出的判断和决策负责。</w:t>
      </w:r>
    </w:p>
    <w:p w14:paraId="6DA4CBF4">
      <w:pPr>
        <w:pageBreakBefore w:val="0"/>
        <w:widowControl w:val="0"/>
        <w:kinsoku/>
        <w:wordWrap/>
        <w:overflowPunct/>
        <w:topLinePunct w:val="0"/>
        <w:autoSpaceDE/>
        <w:autoSpaceDN/>
        <w:bidi w:val="0"/>
        <w:spacing w:line="400" w:lineRule="exact"/>
        <w:textAlignment w:val="auto"/>
        <w:rPr>
          <w:color w:val="auto"/>
          <w:highlight w:val="none"/>
        </w:rPr>
      </w:pPr>
    </w:p>
    <w:p w14:paraId="185E4D7D">
      <w:pPr>
        <w:pStyle w:val="2"/>
        <w:pageBreakBefore w:val="0"/>
        <w:widowControl w:val="0"/>
        <w:kinsoku/>
        <w:wordWrap/>
        <w:overflowPunct/>
        <w:topLinePunct w:val="0"/>
        <w:autoSpaceDE/>
        <w:autoSpaceDN/>
        <w:bidi w:val="0"/>
        <w:adjustRightInd/>
        <w:snapToGrid/>
        <w:spacing w:line="400" w:lineRule="exact"/>
        <w:textAlignment w:val="auto"/>
        <w:rPr>
          <w:rFonts w:ascii="黑体" w:hAnsi="黑体"/>
          <w:color w:val="auto"/>
          <w:highlight w:val="none"/>
        </w:rPr>
      </w:pPr>
      <w:bookmarkStart w:id="33" w:name="_Toc5410"/>
      <w:bookmarkStart w:id="34" w:name="_Toc456551890"/>
      <w:r>
        <w:rPr>
          <w:rFonts w:hint="eastAsia" w:ascii="黑体" w:hAnsi="黑体"/>
          <w:color w:val="auto"/>
          <w:highlight w:val="none"/>
        </w:rPr>
        <w:t>2. 竞争性谈判文件</w:t>
      </w:r>
      <w:bookmarkEnd w:id="33"/>
      <w:bookmarkEnd w:id="34"/>
    </w:p>
    <w:p w14:paraId="14DC15B1">
      <w:pPr>
        <w:pageBreakBefore w:val="0"/>
        <w:widowControl w:val="0"/>
        <w:kinsoku/>
        <w:wordWrap/>
        <w:overflowPunct/>
        <w:topLinePunct w:val="0"/>
        <w:autoSpaceDE/>
        <w:autoSpaceDN/>
        <w:bidi w:val="0"/>
        <w:adjustRightInd/>
        <w:snapToGrid/>
        <w:spacing w:line="400" w:lineRule="exact"/>
        <w:textAlignment w:val="auto"/>
        <w:rPr>
          <w:rFonts w:ascii="宋体" w:hAnsi="宋体"/>
          <w:b/>
          <w:color w:val="auto"/>
          <w:sz w:val="32"/>
          <w:szCs w:val="32"/>
          <w:highlight w:val="none"/>
        </w:rPr>
      </w:pPr>
      <w:bookmarkStart w:id="35" w:name="_Toc475552135"/>
      <w:bookmarkStart w:id="36" w:name="_Toc456551891"/>
      <w:r>
        <w:rPr>
          <w:rFonts w:hint="eastAsia" w:ascii="宋体" w:hAnsi="宋体"/>
          <w:b/>
          <w:color w:val="auto"/>
          <w:sz w:val="32"/>
          <w:szCs w:val="32"/>
          <w:highlight w:val="none"/>
        </w:rPr>
        <w:t>2.1 竞争性谈判文件的组成</w:t>
      </w:r>
      <w:bookmarkEnd w:id="35"/>
      <w:bookmarkEnd w:id="36"/>
    </w:p>
    <w:p w14:paraId="5CE7F603">
      <w:pPr>
        <w:pageBreakBefore w:val="0"/>
        <w:widowControl w:val="0"/>
        <w:kinsoku/>
        <w:wordWrap/>
        <w:overflowPunct/>
        <w:topLinePunct w:val="0"/>
        <w:autoSpaceDE/>
        <w:autoSpaceDN/>
        <w:bidi w:val="0"/>
        <w:adjustRightInd/>
        <w:snapToGrid/>
        <w:spacing w:line="400" w:lineRule="exact"/>
        <w:textAlignment w:val="auto"/>
        <w:rPr>
          <w:color w:val="auto"/>
          <w:highlight w:val="none"/>
        </w:rPr>
      </w:pPr>
      <w:r>
        <w:rPr>
          <w:rFonts w:hint="eastAsia"/>
          <w:color w:val="auto"/>
          <w:highlight w:val="none"/>
        </w:rPr>
        <w:t>　　2.1.1 本竞争性谈判文件一般由以下部分组成：</w:t>
      </w:r>
    </w:p>
    <w:p w14:paraId="4AA9A5D0">
      <w:pPr>
        <w:pageBreakBefore w:val="0"/>
        <w:widowControl w:val="0"/>
        <w:kinsoku/>
        <w:wordWrap/>
        <w:overflowPunct/>
        <w:topLinePunct w:val="0"/>
        <w:autoSpaceDE/>
        <w:autoSpaceDN/>
        <w:bidi w:val="0"/>
        <w:adjustRightInd/>
        <w:snapToGrid/>
        <w:spacing w:line="400" w:lineRule="exact"/>
        <w:ind w:firstLine="567" w:firstLineChars="270"/>
        <w:textAlignment w:val="auto"/>
        <w:rPr>
          <w:color w:val="auto"/>
          <w:highlight w:val="none"/>
        </w:rPr>
      </w:pPr>
      <w:r>
        <w:rPr>
          <w:rFonts w:hint="eastAsia"/>
          <w:color w:val="auto"/>
          <w:highlight w:val="none"/>
        </w:rPr>
        <w:t>第一章 竞争性谈判公告</w:t>
      </w:r>
    </w:p>
    <w:p w14:paraId="73D2CD74">
      <w:pPr>
        <w:pageBreakBefore w:val="0"/>
        <w:widowControl w:val="0"/>
        <w:kinsoku/>
        <w:wordWrap/>
        <w:overflowPunct/>
        <w:topLinePunct w:val="0"/>
        <w:autoSpaceDE/>
        <w:autoSpaceDN/>
        <w:bidi w:val="0"/>
        <w:adjustRightInd/>
        <w:snapToGrid/>
        <w:spacing w:line="400" w:lineRule="exact"/>
        <w:ind w:firstLine="567" w:firstLineChars="270"/>
        <w:textAlignment w:val="auto"/>
        <w:rPr>
          <w:color w:val="auto"/>
          <w:highlight w:val="none"/>
        </w:rPr>
      </w:pPr>
      <w:r>
        <w:rPr>
          <w:rFonts w:hint="eastAsia"/>
          <w:color w:val="auto"/>
          <w:highlight w:val="none"/>
        </w:rPr>
        <w:t>第二章 竞争性谈判响应须知</w:t>
      </w:r>
    </w:p>
    <w:p w14:paraId="58C88972">
      <w:pPr>
        <w:pageBreakBefore w:val="0"/>
        <w:widowControl w:val="0"/>
        <w:kinsoku/>
        <w:wordWrap/>
        <w:overflowPunct/>
        <w:topLinePunct w:val="0"/>
        <w:autoSpaceDE/>
        <w:autoSpaceDN/>
        <w:bidi w:val="0"/>
        <w:adjustRightInd/>
        <w:snapToGrid/>
        <w:spacing w:line="400" w:lineRule="exact"/>
        <w:ind w:firstLine="567" w:firstLineChars="270"/>
        <w:textAlignment w:val="auto"/>
        <w:rPr>
          <w:color w:val="auto"/>
          <w:highlight w:val="none"/>
        </w:rPr>
      </w:pPr>
      <w:r>
        <w:rPr>
          <w:rFonts w:hint="eastAsia"/>
          <w:color w:val="auto"/>
          <w:highlight w:val="none"/>
        </w:rPr>
        <w:t>第三章 评审办法</w:t>
      </w:r>
    </w:p>
    <w:p w14:paraId="2C47998C">
      <w:pPr>
        <w:pageBreakBefore w:val="0"/>
        <w:widowControl w:val="0"/>
        <w:kinsoku/>
        <w:wordWrap/>
        <w:overflowPunct/>
        <w:topLinePunct w:val="0"/>
        <w:autoSpaceDE/>
        <w:autoSpaceDN/>
        <w:bidi w:val="0"/>
        <w:adjustRightInd/>
        <w:snapToGrid/>
        <w:spacing w:line="400" w:lineRule="exact"/>
        <w:ind w:firstLine="567" w:firstLineChars="270"/>
        <w:textAlignment w:val="auto"/>
        <w:rPr>
          <w:color w:val="auto"/>
          <w:highlight w:val="none"/>
        </w:rPr>
      </w:pPr>
      <w:r>
        <w:rPr>
          <w:rFonts w:hint="eastAsia"/>
          <w:color w:val="auto"/>
          <w:highlight w:val="none"/>
        </w:rPr>
        <w:t>第四章 用户需求书</w:t>
      </w:r>
      <w:r>
        <w:rPr>
          <w:rFonts w:hint="eastAsia"/>
          <w:color w:val="auto"/>
          <w:highlight w:val="none"/>
          <w:lang w:eastAsia="zh-CN"/>
        </w:rPr>
        <w:t>（</w:t>
      </w:r>
      <w:r>
        <w:rPr>
          <w:rFonts w:hint="eastAsia"/>
          <w:color w:val="auto"/>
          <w:highlight w:val="none"/>
        </w:rPr>
        <w:t>服务类/货物类</w:t>
      </w:r>
      <w:r>
        <w:rPr>
          <w:rFonts w:hint="eastAsia"/>
          <w:color w:val="auto"/>
          <w:highlight w:val="none"/>
          <w:lang w:eastAsia="zh-CN"/>
        </w:rPr>
        <w:t>）</w:t>
      </w:r>
      <w:r>
        <w:rPr>
          <w:rFonts w:hint="eastAsia"/>
          <w:color w:val="auto"/>
          <w:highlight w:val="none"/>
        </w:rPr>
        <w:t>；技术规范书、工程量清单、图纸（施工类）；</w:t>
      </w:r>
    </w:p>
    <w:p w14:paraId="59F65CE0">
      <w:pPr>
        <w:pageBreakBefore w:val="0"/>
        <w:widowControl w:val="0"/>
        <w:kinsoku/>
        <w:wordWrap/>
        <w:overflowPunct/>
        <w:topLinePunct w:val="0"/>
        <w:autoSpaceDE/>
        <w:autoSpaceDN/>
        <w:bidi w:val="0"/>
        <w:adjustRightInd/>
        <w:snapToGrid/>
        <w:spacing w:line="400" w:lineRule="exact"/>
        <w:ind w:firstLine="567" w:firstLineChars="270"/>
        <w:textAlignment w:val="auto"/>
        <w:rPr>
          <w:color w:val="auto"/>
          <w:highlight w:val="none"/>
        </w:rPr>
      </w:pPr>
      <w:r>
        <w:rPr>
          <w:rFonts w:hint="eastAsia"/>
          <w:color w:val="auto"/>
          <w:highlight w:val="none"/>
        </w:rPr>
        <w:t>第五章 合同模板</w:t>
      </w:r>
    </w:p>
    <w:p w14:paraId="09403485">
      <w:pPr>
        <w:pageBreakBefore w:val="0"/>
        <w:widowControl w:val="0"/>
        <w:kinsoku/>
        <w:wordWrap/>
        <w:overflowPunct/>
        <w:topLinePunct w:val="0"/>
        <w:autoSpaceDE/>
        <w:autoSpaceDN/>
        <w:bidi w:val="0"/>
        <w:adjustRightInd/>
        <w:snapToGrid/>
        <w:spacing w:line="400" w:lineRule="exact"/>
        <w:ind w:firstLine="567" w:firstLineChars="270"/>
        <w:textAlignment w:val="auto"/>
        <w:rPr>
          <w:color w:val="auto"/>
          <w:highlight w:val="none"/>
        </w:rPr>
      </w:pPr>
      <w:r>
        <w:rPr>
          <w:rFonts w:hint="eastAsia"/>
          <w:color w:val="auto"/>
          <w:highlight w:val="none"/>
        </w:rPr>
        <w:t>第六章 响应文件格式</w:t>
      </w:r>
    </w:p>
    <w:p w14:paraId="40B54076">
      <w:pPr>
        <w:pageBreakBefore w:val="0"/>
        <w:widowControl w:val="0"/>
        <w:kinsoku/>
        <w:wordWrap/>
        <w:overflowPunct/>
        <w:topLinePunct w:val="0"/>
        <w:autoSpaceDE/>
        <w:autoSpaceDN/>
        <w:bidi w:val="0"/>
        <w:adjustRightInd/>
        <w:snapToGrid/>
        <w:spacing w:line="400" w:lineRule="exact"/>
        <w:ind w:firstLine="567" w:firstLineChars="270"/>
        <w:textAlignment w:val="auto"/>
        <w:rPr>
          <w:color w:val="auto"/>
          <w:highlight w:val="none"/>
        </w:rPr>
      </w:pPr>
      <w:r>
        <w:rPr>
          <w:rFonts w:hint="eastAsia"/>
          <w:color w:val="auto"/>
          <w:highlight w:val="none"/>
        </w:rPr>
        <w:t>采购人另有要求的，见竞争性谈判响应须知前附表。</w:t>
      </w:r>
    </w:p>
    <w:p w14:paraId="2F3D27D3">
      <w:pPr>
        <w:pageBreakBefore w:val="0"/>
        <w:widowControl w:val="0"/>
        <w:kinsoku/>
        <w:wordWrap/>
        <w:overflowPunct/>
        <w:topLinePunct w:val="0"/>
        <w:autoSpaceDE/>
        <w:autoSpaceDN/>
        <w:bidi w:val="0"/>
        <w:adjustRightInd/>
        <w:snapToGrid/>
        <w:spacing w:line="400" w:lineRule="exact"/>
        <w:ind w:firstLine="567" w:firstLineChars="270"/>
        <w:textAlignment w:val="auto"/>
        <w:rPr>
          <w:color w:val="auto"/>
          <w:highlight w:val="none"/>
        </w:rPr>
      </w:pPr>
      <w:r>
        <w:rPr>
          <w:rFonts w:hint="eastAsia" w:ascii="宋体" w:hAnsi="宋体" w:cs="宋体"/>
          <w:color w:val="auto"/>
          <w:szCs w:val="21"/>
          <w:highlight w:val="none"/>
        </w:rPr>
        <w:t>根据本章第2.2款对竞争性谈判文件所作的澄清、修改，构成竞争性谈判文件的组成部分。</w:t>
      </w:r>
    </w:p>
    <w:p w14:paraId="3CB0A4A0">
      <w:pPr>
        <w:pageBreakBefore w:val="0"/>
        <w:widowControl w:val="0"/>
        <w:kinsoku/>
        <w:wordWrap/>
        <w:overflowPunct/>
        <w:topLinePunct w:val="0"/>
        <w:autoSpaceDE/>
        <w:autoSpaceDN/>
        <w:bidi w:val="0"/>
        <w:adjustRightInd/>
        <w:snapToGrid/>
        <w:spacing w:line="400" w:lineRule="exact"/>
        <w:ind w:firstLine="420" w:firstLineChars="200"/>
        <w:textAlignment w:val="auto"/>
        <w:rPr>
          <w:color w:val="auto"/>
          <w:highlight w:val="none"/>
        </w:rPr>
      </w:pPr>
      <w:r>
        <w:rPr>
          <w:rFonts w:hint="eastAsia"/>
          <w:color w:val="auto"/>
          <w:highlight w:val="none"/>
        </w:rPr>
        <w:t>2.1.2竞争性谈判文件对同一内容的表述应当一致。第一章 “竞争性谈判公告”与竞争性谈判文件在同一内容的表述上有矛盾或冲突时，以第一章 “竞争性谈判公告”为准；竞争性谈判响应须知前附表与正文在同一内容的表述上有矛盾或冲突时，以竞争性谈判响应须知前附表为准。</w:t>
      </w:r>
    </w:p>
    <w:p w14:paraId="1FA4C2E2">
      <w:pPr>
        <w:pageBreakBefore w:val="0"/>
        <w:widowControl w:val="0"/>
        <w:kinsoku/>
        <w:wordWrap/>
        <w:overflowPunct/>
        <w:topLinePunct w:val="0"/>
        <w:autoSpaceDE/>
        <w:autoSpaceDN/>
        <w:bidi w:val="0"/>
        <w:adjustRightInd/>
        <w:snapToGrid/>
        <w:spacing w:line="400" w:lineRule="exact"/>
        <w:ind w:firstLine="420" w:firstLineChars="200"/>
        <w:textAlignment w:val="auto"/>
        <w:rPr>
          <w:color w:val="auto"/>
          <w:highlight w:val="none"/>
        </w:rPr>
      </w:pPr>
      <w:r>
        <w:rPr>
          <w:rFonts w:hint="eastAsia"/>
          <w:color w:val="auto"/>
          <w:highlight w:val="none"/>
        </w:rPr>
        <w:t>2.1.3</w:t>
      </w:r>
      <w:r>
        <w:rPr>
          <w:rFonts w:hint="eastAsia" w:ascii="宋体" w:hAnsi="宋体" w:cs="宋体"/>
          <w:b/>
          <w:color w:val="auto"/>
          <w:szCs w:val="21"/>
          <w:highlight w:val="none"/>
        </w:rPr>
        <w:t>竞争性谈判文件中标识“</w:t>
      </w:r>
      <w:r>
        <w:rPr>
          <w:rFonts w:eastAsia="黑体"/>
          <w:b/>
          <w:color w:val="auto"/>
          <w:sz w:val="32"/>
          <w:szCs w:val="32"/>
          <w:highlight w:val="none"/>
        </w:rPr>
        <w:sym w:font="Wingdings" w:char="00AB"/>
      </w:r>
      <w:r>
        <w:rPr>
          <w:rFonts w:hint="eastAsia" w:ascii="宋体" w:hAnsi="宋体" w:cs="宋体"/>
          <w:b/>
          <w:color w:val="auto"/>
          <w:szCs w:val="21"/>
          <w:highlight w:val="none"/>
        </w:rPr>
        <w:t>”的条款，均为实质性条款，任何不满足实质性条款的谈判将被否决</w:t>
      </w:r>
      <w:r>
        <w:rPr>
          <w:rFonts w:hint="eastAsia"/>
          <w:b/>
          <w:color w:val="auto"/>
          <w:highlight w:val="none"/>
        </w:rPr>
        <w:t>；</w:t>
      </w:r>
      <w:r>
        <w:rPr>
          <w:rFonts w:hint="eastAsia"/>
          <w:color w:val="auto"/>
          <w:highlight w:val="none"/>
        </w:rPr>
        <w:t>对于非实质性要求和条件，</w:t>
      </w:r>
      <w:r>
        <w:rPr>
          <w:rFonts w:hint="eastAsia" w:ascii="宋体" w:hAnsi="宋体" w:cs="宋体"/>
          <w:color w:val="auto"/>
          <w:szCs w:val="21"/>
          <w:highlight w:val="none"/>
        </w:rPr>
        <w:t>偏离应当符合</w:t>
      </w:r>
      <w:r>
        <w:rPr>
          <w:rFonts w:hint="eastAsia" w:hAnsi="宋体" w:cs="宋体"/>
          <w:bCs/>
          <w:color w:val="auto"/>
          <w:sz w:val="21"/>
          <w:szCs w:val="21"/>
          <w:highlight w:val="none"/>
        </w:rPr>
        <w:t>竞争性谈判</w:t>
      </w:r>
      <w:r>
        <w:rPr>
          <w:rFonts w:hint="eastAsia" w:ascii="宋体" w:hAnsi="宋体" w:cs="宋体"/>
          <w:color w:val="auto"/>
          <w:szCs w:val="21"/>
          <w:highlight w:val="none"/>
        </w:rPr>
        <w:t>文件规定的偏离范围和幅度</w:t>
      </w:r>
      <w:r>
        <w:rPr>
          <w:rFonts w:hint="eastAsia"/>
          <w:color w:val="auto"/>
          <w:highlight w:val="none"/>
        </w:rPr>
        <w:t>。</w:t>
      </w:r>
    </w:p>
    <w:p w14:paraId="34D9E771">
      <w:pPr>
        <w:pageBreakBefore w:val="0"/>
        <w:widowControl w:val="0"/>
        <w:kinsoku/>
        <w:wordWrap/>
        <w:overflowPunct/>
        <w:topLinePunct w:val="0"/>
        <w:autoSpaceDE/>
        <w:autoSpaceDN/>
        <w:bidi w:val="0"/>
        <w:adjustRightInd/>
        <w:snapToGrid/>
        <w:spacing w:line="400" w:lineRule="exact"/>
        <w:textAlignment w:val="auto"/>
        <w:rPr>
          <w:rFonts w:ascii="宋体" w:hAnsi="宋体"/>
          <w:b/>
          <w:color w:val="auto"/>
          <w:sz w:val="32"/>
          <w:szCs w:val="32"/>
          <w:highlight w:val="none"/>
        </w:rPr>
      </w:pPr>
      <w:bookmarkStart w:id="37" w:name="_Toc475552138"/>
      <w:bookmarkStart w:id="38" w:name="_Toc456551894"/>
      <w:r>
        <w:rPr>
          <w:rFonts w:hint="eastAsia" w:ascii="宋体" w:hAnsi="宋体"/>
          <w:b/>
          <w:color w:val="auto"/>
          <w:sz w:val="32"/>
          <w:szCs w:val="32"/>
          <w:highlight w:val="none"/>
        </w:rPr>
        <w:t>2.2 竞争性谈判文件的澄清和修改</w:t>
      </w:r>
      <w:bookmarkEnd w:id="37"/>
      <w:bookmarkEnd w:id="38"/>
    </w:p>
    <w:p w14:paraId="62B12D40">
      <w:pPr>
        <w:pageBreakBefore w:val="0"/>
        <w:widowControl w:val="0"/>
        <w:kinsoku/>
        <w:wordWrap/>
        <w:overflowPunct/>
        <w:topLinePunct w:val="0"/>
        <w:autoSpaceDE/>
        <w:autoSpaceDN/>
        <w:bidi w:val="0"/>
        <w:adjustRightInd/>
        <w:snapToGrid/>
        <w:spacing w:line="400" w:lineRule="exact"/>
        <w:ind w:firstLine="420" w:firstLineChars="200"/>
        <w:textAlignment w:val="auto"/>
        <w:rPr>
          <w:color w:val="auto"/>
          <w:highlight w:val="none"/>
        </w:rPr>
      </w:pPr>
      <w:r>
        <w:rPr>
          <w:rFonts w:hint="eastAsia"/>
          <w:color w:val="auto"/>
          <w:highlight w:val="none"/>
        </w:rPr>
        <w:t>2.2.1响应人对竞争性谈判文件有任何疑问的，应当按照竞争性谈判响应须知前附表规定的时间和方式，向采购人提出澄清要求。</w:t>
      </w:r>
    </w:p>
    <w:p w14:paraId="062D36B9">
      <w:pPr>
        <w:pageBreakBefore w:val="0"/>
        <w:widowControl w:val="0"/>
        <w:kinsoku/>
        <w:wordWrap/>
        <w:overflowPunct/>
        <w:topLinePunct w:val="0"/>
        <w:autoSpaceDE/>
        <w:autoSpaceDN/>
        <w:bidi w:val="0"/>
        <w:adjustRightInd/>
        <w:snapToGrid/>
        <w:spacing w:line="400" w:lineRule="exact"/>
        <w:ind w:firstLine="420" w:firstLineChars="200"/>
        <w:textAlignment w:val="auto"/>
        <w:rPr>
          <w:color w:val="auto"/>
          <w:highlight w:val="none"/>
        </w:rPr>
      </w:pPr>
      <w:r>
        <w:rPr>
          <w:rFonts w:hint="eastAsia"/>
          <w:color w:val="auto"/>
          <w:highlight w:val="none"/>
        </w:rPr>
        <w:t>2.2.2</w:t>
      </w:r>
      <w:r>
        <w:rPr>
          <w:rFonts w:hint="eastAsia" w:ascii="宋体" w:hAnsi="宋体" w:cs="宋体"/>
          <w:color w:val="auto"/>
          <w:szCs w:val="21"/>
          <w:highlight w:val="none"/>
        </w:rPr>
        <w:t>无论是采购人根据需要主动对竞争性谈判文件进行必要的澄清，或是根据响应人的要求对竞争性谈判文件做出澄清，</w:t>
      </w:r>
      <w:r>
        <w:rPr>
          <w:rFonts w:hint="eastAsia"/>
          <w:color w:val="auto"/>
          <w:highlight w:val="none"/>
        </w:rPr>
        <w:t>采购人都应当按照竞争性谈判响应须知前附表规定的时间和方式，将澄清或修改内容发给所有潜在竞争性谈判响应人，但不指明问题的来源。</w:t>
      </w:r>
    </w:p>
    <w:p w14:paraId="4D6E49A8">
      <w:pPr>
        <w:pageBreakBefore w:val="0"/>
        <w:widowControl w:val="0"/>
        <w:kinsoku/>
        <w:wordWrap/>
        <w:overflowPunct/>
        <w:topLinePunct w:val="0"/>
        <w:autoSpaceDE/>
        <w:autoSpaceDN/>
        <w:bidi w:val="0"/>
        <w:adjustRightInd/>
        <w:snapToGrid/>
        <w:spacing w:line="400" w:lineRule="exact"/>
        <w:ind w:firstLine="420" w:firstLineChars="200"/>
        <w:textAlignment w:val="auto"/>
        <w:rPr>
          <w:color w:val="auto"/>
          <w:highlight w:val="none"/>
        </w:rPr>
      </w:pPr>
      <w:r>
        <w:rPr>
          <w:rFonts w:hint="eastAsia"/>
          <w:color w:val="auto"/>
          <w:highlight w:val="none"/>
        </w:rPr>
        <w:t>2.2.3如澄清或修改的内容可能影响响应文件编制的，应当在递交响应文件截止时间至少3日前发出，不足3日的，采购人应相应顺延递交响应文件的截止时间。</w:t>
      </w:r>
    </w:p>
    <w:p w14:paraId="21F94669">
      <w:pPr>
        <w:pageBreakBefore w:val="0"/>
        <w:widowControl w:val="0"/>
        <w:kinsoku/>
        <w:wordWrap/>
        <w:overflowPunct/>
        <w:topLinePunct w:val="0"/>
        <w:autoSpaceDE/>
        <w:autoSpaceDN/>
        <w:bidi w:val="0"/>
        <w:adjustRightInd/>
        <w:snapToGrid/>
        <w:spacing w:line="400" w:lineRule="exact"/>
        <w:ind w:firstLine="420" w:firstLineChars="200"/>
        <w:textAlignment w:val="auto"/>
        <w:rPr>
          <w:color w:val="auto"/>
          <w:highlight w:val="none"/>
        </w:rPr>
      </w:pPr>
      <w:r>
        <w:rPr>
          <w:rFonts w:hint="eastAsia"/>
          <w:color w:val="auto"/>
          <w:highlight w:val="none"/>
        </w:rPr>
        <w:t>2.2.4所有关于竞争性谈判文件的澄清和修改均作为竞争性谈判文件的补充部分。当竞争性谈判文件、竞争性谈判文件的澄清或修改等在同一内容的表述上不一致时，以最后发出的书面文件为准。</w:t>
      </w:r>
    </w:p>
    <w:p w14:paraId="07B0948D">
      <w:pPr>
        <w:pageBreakBefore w:val="0"/>
        <w:widowControl w:val="0"/>
        <w:kinsoku/>
        <w:wordWrap/>
        <w:overflowPunct/>
        <w:topLinePunct w:val="0"/>
        <w:autoSpaceDE/>
        <w:autoSpaceDN/>
        <w:bidi w:val="0"/>
        <w:adjustRightInd/>
        <w:snapToGrid/>
        <w:spacing w:line="400" w:lineRule="exact"/>
        <w:ind w:firstLine="420" w:firstLineChars="200"/>
        <w:textAlignment w:val="auto"/>
        <w:rPr>
          <w:color w:val="auto"/>
          <w:highlight w:val="none"/>
        </w:rPr>
      </w:pPr>
      <w:r>
        <w:rPr>
          <w:rFonts w:hint="eastAsia"/>
          <w:color w:val="auto"/>
          <w:highlight w:val="none"/>
        </w:rPr>
        <w:t>2.2.5</w:t>
      </w:r>
      <w:r>
        <w:rPr>
          <w:rFonts w:hint="eastAsia" w:ascii="宋体" w:hAnsi="宋体" w:cs="宋体"/>
          <w:color w:val="auto"/>
          <w:szCs w:val="21"/>
          <w:highlight w:val="none"/>
        </w:rPr>
        <w:t>响应人对采购人提供的竞争性谈判文件所作出的推论、解释和结论，采购人概不负责；响应人由于对竞争性谈判文件的任何推论和误解以及采购人对有关问题的口头解释所造成的后果，均由响应人自行负责。</w:t>
      </w:r>
    </w:p>
    <w:p w14:paraId="7A82BDEC">
      <w:pPr>
        <w:spacing w:line="400" w:lineRule="exact"/>
        <w:ind w:firstLine="420" w:firstLineChars="200"/>
        <w:rPr>
          <w:color w:val="auto"/>
          <w:highlight w:val="none"/>
        </w:rPr>
      </w:pPr>
    </w:p>
    <w:p w14:paraId="4E77A2EC">
      <w:pPr>
        <w:pStyle w:val="2"/>
        <w:rPr>
          <w:rFonts w:ascii="黑体" w:hAnsi="黑体"/>
          <w:color w:val="auto"/>
          <w:highlight w:val="none"/>
        </w:rPr>
      </w:pPr>
      <w:bookmarkStart w:id="39" w:name="_Toc8953"/>
      <w:bookmarkStart w:id="40" w:name="_Toc456551895"/>
      <w:r>
        <w:rPr>
          <w:rFonts w:hint="eastAsia" w:ascii="黑体" w:hAnsi="黑体"/>
          <w:color w:val="auto"/>
          <w:highlight w:val="none"/>
        </w:rPr>
        <w:t>3. 响应文件</w:t>
      </w:r>
      <w:bookmarkEnd w:id="39"/>
      <w:bookmarkEnd w:id="40"/>
    </w:p>
    <w:p w14:paraId="059CAF3C">
      <w:pPr>
        <w:spacing w:line="400" w:lineRule="exact"/>
        <w:rPr>
          <w:rFonts w:ascii="宋体" w:hAnsi="宋体"/>
          <w:b/>
          <w:color w:val="auto"/>
          <w:sz w:val="32"/>
          <w:szCs w:val="32"/>
          <w:highlight w:val="none"/>
        </w:rPr>
      </w:pPr>
      <w:bookmarkStart w:id="41" w:name="_Toc456551896"/>
      <w:bookmarkStart w:id="42" w:name="_Toc475552140"/>
      <w:r>
        <w:rPr>
          <w:rFonts w:hint="eastAsia" w:ascii="宋体" w:hAnsi="宋体"/>
          <w:b/>
          <w:color w:val="auto"/>
          <w:sz w:val="32"/>
          <w:szCs w:val="32"/>
          <w:highlight w:val="none"/>
        </w:rPr>
        <w:t>3.1 响应文件的组成</w:t>
      </w:r>
      <w:bookmarkEnd w:id="41"/>
      <w:bookmarkEnd w:id="42"/>
    </w:p>
    <w:p w14:paraId="7077C429">
      <w:pPr>
        <w:spacing w:line="400" w:lineRule="exact"/>
        <w:ind w:firstLine="359" w:firstLineChars="171"/>
        <w:rPr>
          <w:rFonts w:ascii="宋体" w:hAnsi="宋体" w:cs="宋体"/>
          <w:color w:val="auto"/>
          <w:szCs w:val="21"/>
          <w:highlight w:val="none"/>
        </w:rPr>
      </w:pPr>
      <w:r>
        <w:rPr>
          <w:rFonts w:hint="eastAsia" w:ascii="宋体" w:hAnsi="宋体" w:cs="宋体"/>
          <w:color w:val="auto"/>
          <w:szCs w:val="21"/>
          <w:highlight w:val="none"/>
        </w:rPr>
        <w:t>响应人应当按照竞争性谈判文件的要求编制并提交响应文件。</w:t>
      </w:r>
    </w:p>
    <w:p w14:paraId="33D35AF3">
      <w:pPr>
        <w:spacing w:line="400" w:lineRule="exact"/>
        <w:rPr>
          <w:rFonts w:ascii="宋体" w:hAnsi="宋体"/>
          <w:b/>
          <w:color w:val="auto"/>
          <w:sz w:val="32"/>
          <w:szCs w:val="32"/>
          <w:highlight w:val="none"/>
        </w:rPr>
      </w:pPr>
      <w:bookmarkStart w:id="43" w:name="_Toc475552141"/>
      <w:bookmarkStart w:id="44" w:name="_Toc456551897"/>
      <w:r>
        <w:rPr>
          <w:rFonts w:hint="eastAsia" w:ascii="宋体" w:hAnsi="宋体"/>
          <w:b/>
          <w:color w:val="auto"/>
          <w:sz w:val="32"/>
          <w:szCs w:val="32"/>
          <w:highlight w:val="none"/>
        </w:rPr>
        <w:t>3.2响应文件的编制</w:t>
      </w:r>
      <w:bookmarkEnd w:id="43"/>
      <w:bookmarkEnd w:id="44"/>
    </w:p>
    <w:p w14:paraId="4D9E2BF4">
      <w:pPr>
        <w:spacing w:line="400" w:lineRule="exact"/>
        <w:ind w:firstLine="420" w:firstLineChars="200"/>
        <w:rPr>
          <w:color w:val="auto"/>
          <w:szCs w:val="21"/>
          <w:highlight w:val="none"/>
        </w:rPr>
      </w:pPr>
      <w:r>
        <w:rPr>
          <w:rFonts w:hint="eastAsia"/>
          <w:color w:val="auto"/>
          <w:szCs w:val="21"/>
          <w:highlight w:val="none"/>
        </w:rPr>
        <w:t>3.2.1响应人应当按照竞争性谈判文件的要求编制响应文件，响应文件应当对竞争性谈判文件提出的实质性要求和条件作出响应。</w:t>
      </w:r>
      <w:r>
        <w:rPr>
          <w:color w:val="auto"/>
          <w:szCs w:val="21"/>
          <w:highlight w:val="none"/>
        </w:rPr>
        <w:t xml:space="preserve"> </w:t>
      </w:r>
    </w:p>
    <w:p w14:paraId="2F0440E3">
      <w:pPr>
        <w:spacing w:line="400" w:lineRule="exact"/>
        <w:ind w:firstLine="420" w:firstLineChars="200"/>
        <w:rPr>
          <w:color w:val="auto"/>
          <w:szCs w:val="21"/>
          <w:highlight w:val="none"/>
        </w:rPr>
      </w:pPr>
      <w:r>
        <w:rPr>
          <w:rFonts w:hint="eastAsia"/>
          <w:color w:val="auto"/>
          <w:szCs w:val="21"/>
          <w:highlight w:val="none"/>
        </w:rPr>
        <w:t>3.2.2</w:t>
      </w:r>
      <w:r>
        <w:rPr>
          <w:rFonts w:hint="eastAsia" w:ascii="宋体" w:hAnsi="宋体" w:cs="宋体"/>
          <w:color w:val="auto"/>
          <w:szCs w:val="21"/>
          <w:highlight w:val="none"/>
        </w:rPr>
        <w:t>响应人应认真阅读竞争性谈判文件中所有的事项、格式、条款和技术规范等。响应人没有按照竞争性谈判文件要求递交全部资料，或者响应人没有对竞争性谈判文件的所有实质性要求作出全面响应是采购人的风险，并可能导致其竞争性谈判被否决。响应文件响应和编写的具体要求见竞争性谈判响应须知前附表。</w:t>
      </w:r>
    </w:p>
    <w:p w14:paraId="6F889428">
      <w:pPr>
        <w:spacing w:line="400" w:lineRule="exact"/>
        <w:ind w:firstLine="420" w:firstLineChars="200"/>
        <w:rPr>
          <w:color w:val="auto"/>
          <w:szCs w:val="21"/>
          <w:highlight w:val="none"/>
        </w:rPr>
      </w:pPr>
      <w:r>
        <w:rPr>
          <w:rFonts w:hint="eastAsia"/>
          <w:color w:val="auto"/>
          <w:szCs w:val="21"/>
          <w:highlight w:val="none"/>
        </w:rPr>
        <w:t>3.2.3响应人提交的响应文件以及响应人与采购人就有关竞争性谈判的所有往来函电均应使用中文。响应人提交的证明文件和印刷的文献如使用其他语言的，相应内容应译成中文，在解释响应文件时以中文译本为准。</w:t>
      </w:r>
    </w:p>
    <w:p w14:paraId="199EFE93">
      <w:pPr>
        <w:spacing w:line="400" w:lineRule="exact"/>
        <w:ind w:firstLine="420" w:firstLineChars="200"/>
        <w:rPr>
          <w:color w:val="auto"/>
          <w:szCs w:val="21"/>
          <w:highlight w:val="none"/>
        </w:rPr>
      </w:pPr>
      <w:r>
        <w:rPr>
          <w:rFonts w:hint="eastAsia"/>
          <w:color w:val="auto"/>
          <w:szCs w:val="21"/>
          <w:highlight w:val="none"/>
        </w:rPr>
        <w:t>3.2.4响应文件应当使用不褪色的材料书写或打印，</w:t>
      </w:r>
      <w:r>
        <w:rPr>
          <w:rFonts w:hint="eastAsia"/>
          <w:color w:val="auto"/>
          <w:szCs w:val="21"/>
          <w:highlight w:val="none"/>
          <w:lang w:eastAsia="zh-CN"/>
        </w:rPr>
        <w:t>并加</w:t>
      </w:r>
      <w:r>
        <w:rPr>
          <w:rFonts w:hint="eastAsia"/>
          <w:color w:val="auto"/>
          <w:szCs w:val="21"/>
          <w:highlight w:val="none"/>
        </w:rPr>
        <w:t>盖单位公章。委托代理人签字的，响应文件应附法定代表人签署的授权委托书。响应文件应尽量避免涂改、行间插字或删除。如果出现上述情况，改动之处应加盖单位公章或由响应人的法定代表人或其委托代理人签字确认。响应文件盖章或者签字另有要求的，见竞争性谈判响应须知前附表。</w:t>
      </w:r>
    </w:p>
    <w:p w14:paraId="3066E392">
      <w:pPr>
        <w:spacing w:line="400" w:lineRule="exact"/>
        <w:rPr>
          <w:rFonts w:ascii="宋体" w:hAnsi="宋体"/>
          <w:b/>
          <w:color w:val="auto"/>
          <w:sz w:val="32"/>
          <w:szCs w:val="32"/>
          <w:highlight w:val="none"/>
        </w:rPr>
      </w:pPr>
      <w:bookmarkStart w:id="45" w:name="_Toc475552142"/>
      <w:bookmarkStart w:id="46" w:name="_Toc456551898"/>
      <w:r>
        <w:rPr>
          <w:rFonts w:hint="eastAsia" w:ascii="宋体" w:hAnsi="宋体"/>
          <w:b/>
          <w:color w:val="auto"/>
          <w:sz w:val="32"/>
          <w:szCs w:val="32"/>
          <w:highlight w:val="none"/>
        </w:rPr>
        <w:t>3.3 竞争性谈判报价</w:t>
      </w:r>
      <w:bookmarkEnd w:id="45"/>
      <w:bookmarkEnd w:id="46"/>
    </w:p>
    <w:p w14:paraId="74AF4D67">
      <w:pPr>
        <w:spacing w:line="400" w:lineRule="exact"/>
        <w:ind w:firstLine="420" w:firstLineChars="200"/>
        <w:rPr>
          <w:color w:val="auto"/>
          <w:highlight w:val="none"/>
        </w:rPr>
      </w:pPr>
      <w:r>
        <w:rPr>
          <w:rFonts w:hint="eastAsia"/>
          <w:color w:val="auto"/>
          <w:highlight w:val="none"/>
        </w:rPr>
        <w:t>3.3.1</w:t>
      </w:r>
      <w:r>
        <w:rPr>
          <w:rFonts w:hint="eastAsia"/>
          <w:bCs/>
          <w:color w:val="auto"/>
          <w:highlight w:val="none"/>
        </w:rPr>
        <w:t>竞争性谈判报价的具体要求见竞争性谈判响应须知前附表</w:t>
      </w:r>
      <w:r>
        <w:rPr>
          <w:rFonts w:hint="eastAsia" w:ascii="宋体" w:hAnsi="宋体"/>
          <w:color w:val="auto"/>
          <w:szCs w:val="21"/>
          <w:highlight w:val="none"/>
        </w:rPr>
        <w:t>。</w:t>
      </w:r>
    </w:p>
    <w:p w14:paraId="01FB04F4">
      <w:pPr>
        <w:spacing w:line="400" w:lineRule="exact"/>
        <w:ind w:firstLine="420" w:firstLineChars="200"/>
        <w:rPr>
          <w:color w:val="auto"/>
          <w:highlight w:val="none"/>
        </w:rPr>
      </w:pPr>
      <w:r>
        <w:rPr>
          <w:rFonts w:hint="eastAsia"/>
          <w:color w:val="auto"/>
          <w:highlight w:val="none"/>
        </w:rPr>
        <w:t>3.3.2竞争性谈判货币：人民币</w:t>
      </w:r>
      <w:r>
        <w:rPr>
          <w:rFonts w:hint="eastAsia" w:ascii="宋体" w:hAnsi="宋体"/>
          <w:color w:val="auto"/>
          <w:szCs w:val="21"/>
          <w:highlight w:val="none"/>
        </w:rPr>
        <w:t>。响应文件中如出现其他币种，一律以唱标当天中国人民银行公布的汇率折算为人民币。</w:t>
      </w:r>
    </w:p>
    <w:p w14:paraId="296F3248">
      <w:pPr>
        <w:spacing w:line="400" w:lineRule="exact"/>
        <w:ind w:firstLine="420" w:firstLineChars="200"/>
        <w:rPr>
          <w:color w:val="auto"/>
          <w:highlight w:val="none"/>
        </w:rPr>
      </w:pPr>
      <w:r>
        <w:rPr>
          <w:rFonts w:hint="eastAsia"/>
          <w:color w:val="auto"/>
          <w:highlight w:val="none"/>
        </w:rPr>
        <w:t xml:space="preserve">3.3.3 </w:t>
      </w:r>
      <w:r>
        <w:rPr>
          <w:rFonts w:hint="eastAsia"/>
          <w:b/>
          <w:color w:val="auto"/>
          <w:highlight w:val="none"/>
        </w:rPr>
        <w:t>采购人设有最高谈判限价的，响应人的竞争性谈判报价不得超过最高限价，否则其谈判将被否决。</w:t>
      </w:r>
      <w:r>
        <w:rPr>
          <w:rFonts w:hint="eastAsia"/>
          <w:color w:val="auto"/>
          <w:highlight w:val="none"/>
        </w:rPr>
        <w:t>最高竞争性谈判限价或其计算方法见竞争性谈判响应须知前附表。</w:t>
      </w:r>
    </w:p>
    <w:p w14:paraId="02B6EC5E">
      <w:pPr>
        <w:spacing w:line="400" w:lineRule="exact"/>
        <w:ind w:firstLine="420" w:firstLineChars="200"/>
        <w:rPr>
          <w:color w:val="auto"/>
          <w:highlight w:val="none"/>
        </w:rPr>
      </w:pPr>
      <w:r>
        <w:rPr>
          <w:rFonts w:hint="eastAsia"/>
          <w:color w:val="auto"/>
          <w:highlight w:val="none"/>
        </w:rPr>
        <w:t>3.3.4 采购人不接受响应人的任何低于成本报价的不正当竞争方式。</w:t>
      </w:r>
    </w:p>
    <w:p w14:paraId="30EEF422">
      <w:pPr>
        <w:spacing w:line="400" w:lineRule="exact"/>
        <w:rPr>
          <w:rFonts w:ascii="宋体" w:hAnsi="宋体"/>
          <w:b/>
          <w:color w:val="auto"/>
          <w:sz w:val="32"/>
          <w:szCs w:val="32"/>
          <w:highlight w:val="none"/>
        </w:rPr>
      </w:pPr>
      <w:bookmarkStart w:id="47" w:name="_Toc456551899"/>
      <w:bookmarkStart w:id="48" w:name="_Toc475552143"/>
      <w:r>
        <w:rPr>
          <w:rFonts w:hint="eastAsia" w:ascii="宋体" w:hAnsi="宋体"/>
          <w:b/>
          <w:color w:val="auto"/>
          <w:sz w:val="32"/>
          <w:szCs w:val="32"/>
          <w:highlight w:val="none"/>
        </w:rPr>
        <w:t>3.4 竞争性谈判有效期</w:t>
      </w:r>
      <w:bookmarkEnd w:id="47"/>
      <w:bookmarkEnd w:id="48"/>
    </w:p>
    <w:p w14:paraId="79584C7A">
      <w:pPr>
        <w:spacing w:line="400" w:lineRule="exact"/>
        <w:ind w:firstLine="420" w:firstLineChars="200"/>
        <w:rPr>
          <w:color w:val="auto"/>
          <w:highlight w:val="none"/>
        </w:rPr>
      </w:pPr>
      <w:r>
        <w:rPr>
          <w:rFonts w:hint="eastAsia"/>
          <w:color w:val="auto"/>
          <w:highlight w:val="none"/>
        </w:rPr>
        <w:t>3.4.1谈判有效期从递交响应文件截止日起计算，竞争性谈判有效期的具体时间见竞争性谈判响应须知前附表，在此期间，响应人不得要求撤销或修改其响应文件。</w:t>
      </w:r>
      <w:r>
        <w:rPr>
          <w:rFonts w:hint="eastAsia"/>
          <w:b/>
          <w:color w:val="auto"/>
          <w:highlight w:val="none"/>
        </w:rPr>
        <w:t>谈判有效期不满足竞争性谈判文件要求的谈判将被否决。</w:t>
      </w:r>
    </w:p>
    <w:p w14:paraId="6111D837">
      <w:pPr>
        <w:spacing w:line="400" w:lineRule="exact"/>
        <w:ind w:firstLine="420" w:firstLineChars="200"/>
        <w:rPr>
          <w:color w:val="auto"/>
          <w:highlight w:val="none"/>
        </w:rPr>
      </w:pPr>
      <w:r>
        <w:rPr>
          <w:rFonts w:hint="eastAsia"/>
          <w:color w:val="auto"/>
          <w:highlight w:val="none"/>
        </w:rPr>
        <w:t>3.4.2</w:t>
      </w:r>
      <w:r>
        <w:rPr>
          <w:rFonts w:hint="eastAsia" w:ascii="宋体" w:hAnsi="宋体" w:cs="宋体"/>
          <w:color w:val="auto"/>
          <w:szCs w:val="21"/>
          <w:highlight w:val="none"/>
        </w:rPr>
        <w:t>出现特殊情况需要延长谈判有效期的，采购人以书面形式通知所有响应人延长竞争性谈判有效期。响应人同意延长的，应相应延长其竞争性谈判保证金的有效期，但不得要求或被允许修改或撤销其响应文件；响应人拒绝延长的，其响应失效，但响应人有权收回其响应保证金。</w:t>
      </w:r>
    </w:p>
    <w:p w14:paraId="10D83546">
      <w:pPr>
        <w:spacing w:line="400" w:lineRule="exact"/>
        <w:rPr>
          <w:rFonts w:ascii="宋体" w:hAnsi="宋体"/>
          <w:b/>
          <w:color w:val="auto"/>
          <w:sz w:val="32"/>
          <w:szCs w:val="32"/>
          <w:highlight w:val="none"/>
        </w:rPr>
      </w:pPr>
      <w:bookmarkStart w:id="49" w:name="_Toc456551900"/>
      <w:bookmarkStart w:id="50" w:name="_Toc475552144"/>
      <w:r>
        <w:rPr>
          <w:rFonts w:hint="eastAsia" w:ascii="宋体" w:hAnsi="宋体"/>
          <w:b/>
          <w:color w:val="auto"/>
          <w:sz w:val="32"/>
          <w:szCs w:val="32"/>
          <w:highlight w:val="none"/>
        </w:rPr>
        <w:t>3.5 竞争性谈判保证金</w:t>
      </w:r>
      <w:bookmarkEnd w:id="49"/>
      <w:bookmarkEnd w:id="50"/>
    </w:p>
    <w:p w14:paraId="2911FDAA">
      <w:pPr>
        <w:spacing w:line="400" w:lineRule="exact"/>
        <w:ind w:firstLine="420" w:firstLineChars="200"/>
        <w:rPr>
          <w:color w:val="auto"/>
          <w:highlight w:val="none"/>
        </w:rPr>
      </w:pPr>
      <w:r>
        <w:rPr>
          <w:rFonts w:hint="eastAsia"/>
          <w:color w:val="auto"/>
          <w:highlight w:val="none"/>
        </w:rPr>
        <w:t>3.5.1 采购人要求响应人提交竞争性谈判保证金的，响应人必须在提交响应文件的同时，按照竞争性谈判响应须知前附表的规定提交竞争性谈判保证金。</w:t>
      </w:r>
    </w:p>
    <w:p w14:paraId="26387EA7">
      <w:pPr>
        <w:spacing w:line="400" w:lineRule="exact"/>
        <w:ind w:firstLine="420" w:firstLineChars="200"/>
        <w:rPr>
          <w:color w:val="auto"/>
          <w:highlight w:val="none"/>
        </w:rPr>
      </w:pPr>
      <w:r>
        <w:rPr>
          <w:rFonts w:hint="eastAsia"/>
          <w:color w:val="auto"/>
          <w:highlight w:val="none"/>
        </w:rPr>
        <w:t>3.5.2 采购人可以规定竞争性谈判保证金是以现金、支票、银行汇票、中国注册的银行出具的银行保函等方式递交。竞争性谈判保证金的形式见竞争性谈判响应须知前附表。</w:t>
      </w:r>
    </w:p>
    <w:p w14:paraId="012638A2">
      <w:pPr>
        <w:spacing w:line="400" w:lineRule="exact"/>
        <w:ind w:firstLine="420" w:firstLineChars="200"/>
        <w:rPr>
          <w:color w:val="auto"/>
          <w:highlight w:val="none"/>
        </w:rPr>
      </w:pPr>
      <w:r>
        <w:rPr>
          <w:rFonts w:hint="eastAsia"/>
          <w:color w:val="auto"/>
          <w:highlight w:val="none"/>
        </w:rPr>
        <w:t>3.5.3 采购人应当在项目书面合同签订后5日内向成交人和未成交的响应人无息退还竞争性谈判保证金，退还至响应人原转出账户。</w:t>
      </w:r>
    </w:p>
    <w:p w14:paraId="6C9283CE">
      <w:pPr>
        <w:spacing w:line="400" w:lineRule="exact"/>
        <w:ind w:firstLine="420" w:firstLineChars="200"/>
        <w:rPr>
          <w:color w:val="auto"/>
          <w:highlight w:val="none"/>
        </w:rPr>
      </w:pPr>
      <w:r>
        <w:rPr>
          <w:rFonts w:hint="eastAsia"/>
          <w:color w:val="auto"/>
          <w:highlight w:val="none"/>
        </w:rPr>
        <w:t xml:space="preserve">3.5.4 有下列情形之一的，竞争性谈判保证金可不予退还： </w:t>
      </w:r>
    </w:p>
    <w:p w14:paraId="2B8C94FE">
      <w:pPr>
        <w:spacing w:line="400" w:lineRule="exact"/>
        <w:ind w:firstLine="718" w:firstLineChars="342"/>
        <w:rPr>
          <w:color w:val="auto"/>
          <w:highlight w:val="none"/>
        </w:rPr>
      </w:pPr>
      <w:r>
        <w:rPr>
          <w:rFonts w:hint="eastAsia"/>
          <w:color w:val="auto"/>
          <w:highlight w:val="none"/>
        </w:rPr>
        <w:t>（1）</w:t>
      </w:r>
      <w:r>
        <w:rPr>
          <w:rFonts w:hint="eastAsia"/>
          <w:color w:val="auto"/>
          <w:szCs w:val="18"/>
          <w:highlight w:val="none"/>
        </w:rPr>
        <w:t>响应人在规定的竞争性谈判有效期内撤销或修改其响应文件的；</w:t>
      </w:r>
    </w:p>
    <w:p w14:paraId="6F3D0019">
      <w:pPr>
        <w:spacing w:line="400" w:lineRule="exact"/>
        <w:ind w:firstLine="718" w:firstLineChars="342"/>
        <w:rPr>
          <w:color w:val="auto"/>
          <w:szCs w:val="18"/>
          <w:highlight w:val="none"/>
        </w:rPr>
      </w:pPr>
      <w:r>
        <w:rPr>
          <w:rFonts w:hint="eastAsia"/>
          <w:color w:val="auto"/>
          <w:szCs w:val="18"/>
          <w:highlight w:val="none"/>
        </w:rPr>
        <w:t>（2）成交人未能在规定期限内提交履约担保或签订合同协议的；</w:t>
      </w:r>
    </w:p>
    <w:p w14:paraId="68A29648">
      <w:pPr>
        <w:spacing w:line="400" w:lineRule="exact"/>
        <w:ind w:firstLine="718" w:firstLineChars="342"/>
        <w:rPr>
          <w:color w:val="auto"/>
          <w:szCs w:val="18"/>
          <w:highlight w:val="none"/>
        </w:rPr>
      </w:pPr>
      <w:r>
        <w:rPr>
          <w:rFonts w:hint="eastAsia"/>
          <w:color w:val="auto"/>
          <w:szCs w:val="18"/>
          <w:highlight w:val="none"/>
        </w:rPr>
        <w:t>（3）响应人有串通竞争性谈判、弄虚作假等行为的；</w:t>
      </w:r>
    </w:p>
    <w:p w14:paraId="375EF179">
      <w:pPr>
        <w:spacing w:line="400" w:lineRule="exact"/>
        <w:ind w:firstLine="718" w:firstLineChars="342"/>
        <w:rPr>
          <w:color w:val="auto"/>
          <w:szCs w:val="18"/>
          <w:highlight w:val="none"/>
        </w:rPr>
      </w:pPr>
      <w:r>
        <w:rPr>
          <w:rFonts w:hint="eastAsia"/>
          <w:color w:val="auto"/>
          <w:szCs w:val="18"/>
          <w:highlight w:val="none"/>
        </w:rPr>
        <w:t>（4）响应人以他人名义响应、与他人串通响应、以行贿手段谋取成交、弄虚作假等行为。</w:t>
      </w:r>
    </w:p>
    <w:p w14:paraId="01171409">
      <w:pPr>
        <w:spacing w:line="400" w:lineRule="exact"/>
        <w:ind w:firstLine="718" w:firstLineChars="342"/>
        <w:rPr>
          <w:color w:val="auto"/>
          <w:szCs w:val="18"/>
          <w:highlight w:val="none"/>
        </w:rPr>
      </w:pPr>
      <w:r>
        <w:rPr>
          <w:rFonts w:hint="eastAsia"/>
          <w:color w:val="auto"/>
          <w:szCs w:val="18"/>
          <w:highlight w:val="none"/>
        </w:rPr>
        <w:t>（5）成交人提交虚假资料或无效资料成交，影响成交结果的。</w:t>
      </w:r>
    </w:p>
    <w:p w14:paraId="1140DE2F">
      <w:pPr>
        <w:spacing w:line="400" w:lineRule="exact"/>
        <w:ind w:firstLine="718" w:firstLineChars="342"/>
        <w:rPr>
          <w:color w:val="auto"/>
          <w:szCs w:val="18"/>
          <w:highlight w:val="none"/>
        </w:rPr>
      </w:pPr>
      <w:r>
        <w:rPr>
          <w:rFonts w:hint="eastAsia"/>
          <w:color w:val="auto"/>
          <w:szCs w:val="18"/>
          <w:highlight w:val="none"/>
        </w:rPr>
        <w:t>（7）成交人无正当理由拒绝提交相关证件原件核对的。</w:t>
      </w:r>
    </w:p>
    <w:p w14:paraId="578B0A6D">
      <w:pPr>
        <w:spacing w:line="400" w:lineRule="exact"/>
        <w:ind w:firstLine="718" w:firstLineChars="342"/>
        <w:rPr>
          <w:color w:val="auto"/>
          <w:szCs w:val="18"/>
          <w:highlight w:val="none"/>
        </w:rPr>
      </w:pPr>
      <w:r>
        <w:rPr>
          <w:rFonts w:hint="eastAsia"/>
          <w:color w:val="auto"/>
          <w:szCs w:val="18"/>
          <w:highlight w:val="none"/>
        </w:rPr>
        <w:t>（8）成交人将本项目转让给他人，或者在响应文件中未说明，且未经采购人同意，将成交项目分包给他人的；</w:t>
      </w:r>
    </w:p>
    <w:p w14:paraId="3953463C">
      <w:pPr>
        <w:spacing w:line="400" w:lineRule="exact"/>
        <w:ind w:firstLine="718" w:firstLineChars="342"/>
        <w:rPr>
          <w:color w:val="auto"/>
          <w:szCs w:val="18"/>
          <w:highlight w:val="none"/>
        </w:rPr>
      </w:pPr>
      <w:r>
        <w:rPr>
          <w:rFonts w:hint="eastAsia"/>
          <w:color w:val="auto"/>
          <w:szCs w:val="18"/>
          <w:highlight w:val="none"/>
        </w:rPr>
        <w:t>（9）其他规定见竞争性谈判响应须知前附表。</w:t>
      </w:r>
    </w:p>
    <w:p w14:paraId="42984273">
      <w:pPr>
        <w:spacing w:line="400" w:lineRule="exact"/>
        <w:ind w:firstLine="422" w:firstLineChars="200"/>
        <w:rPr>
          <w:b/>
          <w:color w:val="auto"/>
          <w:highlight w:val="none"/>
        </w:rPr>
      </w:pPr>
      <w:r>
        <w:rPr>
          <w:rFonts w:hint="eastAsia"/>
          <w:b/>
          <w:color w:val="auto"/>
          <w:highlight w:val="none"/>
        </w:rPr>
        <w:t>3.5.5 未按要求提交竞争性谈判保证金或提交的竞争性谈判保证金不足的竞争性谈判将被否决。</w:t>
      </w:r>
    </w:p>
    <w:p w14:paraId="6D4B77AE">
      <w:pPr>
        <w:spacing w:line="400" w:lineRule="exact"/>
        <w:rPr>
          <w:rFonts w:ascii="宋体" w:hAnsi="宋体"/>
          <w:b/>
          <w:color w:val="auto"/>
          <w:sz w:val="32"/>
          <w:szCs w:val="32"/>
          <w:highlight w:val="none"/>
        </w:rPr>
      </w:pPr>
      <w:bookmarkStart w:id="51" w:name="_Toc226969298"/>
      <w:bookmarkStart w:id="52" w:name="_Toc227057904"/>
      <w:bookmarkStart w:id="53" w:name="_Toc475552146"/>
      <w:bookmarkStart w:id="54" w:name="_Toc456551902"/>
      <w:r>
        <w:rPr>
          <w:rFonts w:hint="eastAsia" w:ascii="宋体" w:hAnsi="宋体"/>
          <w:b/>
          <w:color w:val="auto"/>
          <w:sz w:val="32"/>
          <w:szCs w:val="32"/>
          <w:highlight w:val="none"/>
        </w:rPr>
        <w:t>3.6 响应文件的式样</w:t>
      </w:r>
      <w:bookmarkEnd w:id="51"/>
      <w:bookmarkEnd w:id="52"/>
      <w:r>
        <w:rPr>
          <w:rFonts w:hint="eastAsia" w:ascii="宋体" w:hAnsi="宋体"/>
          <w:b/>
          <w:color w:val="auto"/>
          <w:sz w:val="32"/>
          <w:szCs w:val="32"/>
          <w:highlight w:val="none"/>
        </w:rPr>
        <w:t>、密封和标记</w:t>
      </w:r>
      <w:bookmarkEnd w:id="53"/>
      <w:bookmarkEnd w:id="54"/>
    </w:p>
    <w:p w14:paraId="189427FA">
      <w:pPr>
        <w:spacing w:line="400" w:lineRule="exact"/>
        <w:ind w:firstLine="420" w:firstLineChars="200"/>
        <w:rPr>
          <w:color w:val="auto"/>
          <w:szCs w:val="21"/>
          <w:highlight w:val="none"/>
        </w:rPr>
      </w:pPr>
      <w:r>
        <w:rPr>
          <w:rFonts w:hint="eastAsia"/>
          <w:color w:val="auto"/>
          <w:szCs w:val="21"/>
          <w:highlight w:val="none"/>
        </w:rPr>
        <w:t>3.6.1响应人应当编制一份响应文件“正本”和竞争性谈判响应须知前附表所述份数的“副本”，副本为正本复印件。响应文件正本和副本如有不一致之处，以正本为准。</w:t>
      </w:r>
    </w:p>
    <w:p w14:paraId="26BA60AF">
      <w:pPr>
        <w:spacing w:line="400" w:lineRule="exact"/>
        <w:ind w:firstLine="420" w:firstLineChars="200"/>
        <w:rPr>
          <w:color w:val="auto"/>
          <w:szCs w:val="21"/>
          <w:highlight w:val="none"/>
        </w:rPr>
      </w:pPr>
      <w:r>
        <w:rPr>
          <w:rFonts w:hint="eastAsia"/>
          <w:color w:val="auto"/>
          <w:szCs w:val="21"/>
          <w:highlight w:val="none"/>
        </w:rPr>
        <w:t>3.6.2每份响应文件的正本、副本及唱标信封应当分别装订，并于封面上明确标明“正本</w:t>
      </w:r>
      <w:r>
        <w:rPr>
          <w:rFonts w:hint="eastAsia"/>
          <w:color w:val="auto"/>
          <w:szCs w:val="21"/>
          <w:highlight w:val="none"/>
          <w:lang w:eastAsia="zh-CN"/>
        </w:rPr>
        <w:t>”“</w:t>
      </w:r>
      <w:r>
        <w:rPr>
          <w:rFonts w:hint="eastAsia"/>
          <w:color w:val="auto"/>
          <w:szCs w:val="21"/>
          <w:highlight w:val="none"/>
        </w:rPr>
        <w:t>副本”和“唱标信封”字样。</w:t>
      </w:r>
      <w:r>
        <w:rPr>
          <w:rFonts w:hint="eastAsia" w:ascii="宋体" w:hAnsi="宋体"/>
          <w:color w:val="auto"/>
          <w:szCs w:val="21"/>
          <w:highlight w:val="none"/>
        </w:rPr>
        <w:t>正本或副本应按目录顺序要求排列并牢固装订成册。不能有脱页，不能使用活页夹装订。</w:t>
      </w:r>
    </w:p>
    <w:p w14:paraId="480059D0">
      <w:pPr>
        <w:spacing w:line="400" w:lineRule="exact"/>
        <w:ind w:firstLine="420" w:firstLineChars="200"/>
        <w:rPr>
          <w:color w:val="auto"/>
          <w:szCs w:val="21"/>
          <w:highlight w:val="none"/>
        </w:rPr>
      </w:pPr>
      <w:r>
        <w:rPr>
          <w:rFonts w:hint="eastAsia"/>
          <w:color w:val="auto"/>
          <w:szCs w:val="21"/>
          <w:highlight w:val="none"/>
        </w:rPr>
        <w:t>3.6.3响应文件应当按照竞争性谈判文件规定密封包装，并于封装封面上明确标明“正本</w:t>
      </w:r>
      <w:r>
        <w:rPr>
          <w:rFonts w:hint="eastAsia"/>
          <w:color w:val="auto"/>
          <w:szCs w:val="21"/>
          <w:highlight w:val="none"/>
          <w:lang w:eastAsia="zh-CN"/>
        </w:rPr>
        <w:t>”“</w:t>
      </w:r>
      <w:r>
        <w:rPr>
          <w:rFonts w:hint="eastAsia"/>
          <w:color w:val="auto"/>
          <w:szCs w:val="21"/>
          <w:highlight w:val="none"/>
        </w:rPr>
        <w:t>副本”和“唱标信封”字样。密封的所有粘接缝隙必须加盖单</w:t>
      </w:r>
      <w:r>
        <w:rPr>
          <w:rFonts w:hint="eastAsia"/>
          <w:color w:val="auto"/>
          <w:szCs w:val="21"/>
          <w:highlight w:val="none"/>
          <w:lang w:eastAsia="zh-CN"/>
        </w:rPr>
        <w:t>位公</w:t>
      </w:r>
      <w:r>
        <w:rPr>
          <w:rFonts w:hint="eastAsia"/>
          <w:color w:val="auto"/>
          <w:szCs w:val="21"/>
          <w:highlight w:val="none"/>
        </w:rPr>
        <w:t>章或者由响应人的法定代表人或其委托代理人签字。</w:t>
      </w:r>
    </w:p>
    <w:p w14:paraId="723ECA5D">
      <w:pPr>
        <w:spacing w:line="400" w:lineRule="exact"/>
        <w:ind w:firstLine="420" w:firstLineChars="200"/>
        <w:rPr>
          <w:color w:val="auto"/>
          <w:szCs w:val="21"/>
          <w:highlight w:val="none"/>
        </w:rPr>
      </w:pPr>
      <w:r>
        <w:rPr>
          <w:rFonts w:hint="eastAsia"/>
          <w:color w:val="auto"/>
          <w:szCs w:val="21"/>
          <w:highlight w:val="none"/>
        </w:rPr>
        <w:t>3.6.4外层包封应当写明采购人名称和地址、项目名称、采购代理机构编号、并注明唱标时间以前不得开封。还应当写明响应人的名称与地址、联系方式，以便竞争性谈判出现逾期送达时能原封退回。</w:t>
      </w:r>
    </w:p>
    <w:p w14:paraId="33C020BB">
      <w:pPr>
        <w:spacing w:line="400" w:lineRule="exact"/>
        <w:ind w:firstLine="420" w:firstLineChars="200"/>
        <w:rPr>
          <w:color w:val="auto"/>
          <w:szCs w:val="21"/>
          <w:highlight w:val="none"/>
        </w:rPr>
      </w:pPr>
      <w:r>
        <w:rPr>
          <w:rFonts w:hint="eastAsia"/>
          <w:color w:val="auto"/>
          <w:szCs w:val="21"/>
          <w:highlight w:val="none"/>
        </w:rPr>
        <w:t>3.6.5提交响应文件时，采购人应当对符合竞争性谈判文件规定密封和标记的响应文件进行签收。</w:t>
      </w:r>
    </w:p>
    <w:p w14:paraId="288F02F3">
      <w:pPr>
        <w:spacing w:line="400" w:lineRule="exact"/>
        <w:ind w:firstLine="420" w:firstLineChars="200"/>
        <w:rPr>
          <w:color w:val="auto"/>
          <w:szCs w:val="21"/>
          <w:highlight w:val="none"/>
        </w:rPr>
      </w:pPr>
      <w:r>
        <w:rPr>
          <w:rFonts w:hint="eastAsia"/>
          <w:color w:val="auto"/>
          <w:szCs w:val="21"/>
          <w:highlight w:val="none"/>
        </w:rPr>
        <w:t>3.6.6采购人对于响应文件密封、标记另有要求的，见竞争性谈判响应须知前附表。</w:t>
      </w:r>
    </w:p>
    <w:p w14:paraId="2F4943D6">
      <w:pPr>
        <w:pStyle w:val="2"/>
        <w:rPr>
          <w:rFonts w:ascii="黑体" w:hAnsi="黑体"/>
          <w:color w:val="auto"/>
          <w:highlight w:val="none"/>
        </w:rPr>
      </w:pPr>
      <w:bookmarkStart w:id="55" w:name="_Toc456551904"/>
      <w:bookmarkStart w:id="56" w:name="_Toc21117"/>
      <w:r>
        <w:rPr>
          <w:rFonts w:hint="eastAsia" w:ascii="黑体" w:hAnsi="黑体"/>
          <w:color w:val="auto"/>
          <w:highlight w:val="none"/>
        </w:rPr>
        <w:t xml:space="preserve">4. </w:t>
      </w:r>
      <w:bookmarkEnd w:id="55"/>
      <w:r>
        <w:rPr>
          <w:rFonts w:hint="eastAsia" w:ascii="黑体" w:hAnsi="黑体"/>
          <w:color w:val="auto"/>
          <w:highlight w:val="none"/>
        </w:rPr>
        <w:t>竞争性谈判</w:t>
      </w:r>
      <w:bookmarkEnd w:id="56"/>
    </w:p>
    <w:p w14:paraId="5C7ADAF8">
      <w:pPr>
        <w:spacing w:line="400" w:lineRule="exact"/>
        <w:rPr>
          <w:rFonts w:ascii="宋体" w:hAnsi="宋体"/>
          <w:b/>
          <w:color w:val="auto"/>
          <w:sz w:val="32"/>
          <w:szCs w:val="32"/>
          <w:highlight w:val="none"/>
        </w:rPr>
      </w:pPr>
      <w:bookmarkStart w:id="57" w:name="_Toc475552148"/>
      <w:bookmarkStart w:id="58" w:name="_Toc456551905"/>
      <w:r>
        <w:rPr>
          <w:rFonts w:hint="eastAsia" w:ascii="宋体" w:hAnsi="宋体"/>
          <w:b/>
          <w:color w:val="auto"/>
          <w:sz w:val="32"/>
          <w:szCs w:val="32"/>
          <w:highlight w:val="none"/>
        </w:rPr>
        <w:t>4.1 响应文件的递交</w:t>
      </w:r>
      <w:bookmarkEnd w:id="57"/>
      <w:bookmarkEnd w:id="58"/>
    </w:p>
    <w:p w14:paraId="31675B66">
      <w:pPr>
        <w:spacing w:line="400" w:lineRule="exact"/>
        <w:ind w:firstLine="420" w:firstLineChars="200"/>
        <w:rPr>
          <w:color w:val="auto"/>
          <w:highlight w:val="none"/>
        </w:rPr>
      </w:pPr>
      <w:r>
        <w:rPr>
          <w:rFonts w:hint="eastAsia"/>
          <w:color w:val="auto"/>
          <w:highlight w:val="none"/>
        </w:rPr>
        <w:t>4.1.1响应文件递交截止时间：见竞争性谈判响应须知前附表。</w:t>
      </w:r>
    </w:p>
    <w:p w14:paraId="42DE623B">
      <w:pPr>
        <w:spacing w:line="400" w:lineRule="exact"/>
        <w:ind w:firstLine="420" w:firstLineChars="200"/>
        <w:rPr>
          <w:color w:val="auto"/>
          <w:highlight w:val="none"/>
        </w:rPr>
      </w:pPr>
      <w:r>
        <w:rPr>
          <w:rFonts w:hint="eastAsia"/>
          <w:color w:val="auto"/>
          <w:highlight w:val="none"/>
        </w:rPr>
        <w:t>4.1.2 响应人递交响应文件的地点：见竞争性谈判响应须知前附表。</w:t>
      </w:r>
    </w:p>
    <w:p w14:paraId="39EE9B24">
      <w:pPr>
        <w:spacing w:line="400" w:lineRule="exact"/>
        <w:ind w:firstLine="420" w:firstLineChars="200"/>
        <w:rPr>
          <w:color w:val="auto"/>
          <w:highlight w:val="none"/>
        </w:rPr>
      </w:pPr>
      <w:r>
        <w:rPr>
          <w:rFonts w:hint="eastAsia"/>
          <w:color w:val="auto"/>
          <w:highlight w:val="none"/>
        </w:rPr>
        <w:t>4.1.3采购人/采购代理机构收到响应文件后，向响应人分别进行签收（唱标前不得提前公开已签收的响应人信息）。</w:t>
      </w:r>
    </w:p>
    <w:p w14:paraId="6846CFA4">
      <w:pPr>
        <w:spacing w:line="400" w:lineRule="exact"/>
        <w:ind w:firstLine="420" w:firstLineChars="200"/>
        <w:rPr>
          <w:color w:val="auto"/>
          <w:highlight w:val="none"/>
        </w:rPr>
      </w:pPr>
      <w:r>
        <w:rPr>
          <w:rFonts w:hint="eastAsia"/>
          <w:color w:val="auto"/>
          <w:highlight w:val="none"/>
        </w:rPr>
        <w:t>4.1.4除竞争性谈判响应须知前附表另有规定外，响应人所递交的响应文件不予退还。</w:t>
      </w:r>
    </w:p>
    <w:p w14:paraId="4B64A7C4">
      <w:pPr>
        <w:spacing w:line="400" w:lineRule="exact"/>
        <w:ind w:firstLine="420" w:firstLineChars="200"/>
        <w:rPr>
          <w:color w:val="auto"/>
          <w:highlight w:val="none"/>
        </w:rPr>
      </w:pPr>
      <w:r>
        <w:rPr>
          <w:rFonts w:hint="eastAsia"/>
          <w:color w:val="auto"/>
          <w:highlight w:val="none"/>
        </w:rPr>
        <w:t>4.1.5出现以下情形时，采购人不予接收响应文件：</w:t>
      </w:r>
    </w:p>
    <w:p w14:paraId="05A300F7">
      <w:pPr>
        <w:spacing w:line="400" w:lineRule="exact"/>
        <w:ind w:firstLine="420" w:firstLineChars="200"/>
        <w:rPr>
          <w:color w:val="auto"/>
          <w:highlight w:val="none"/>
        </w:rPr>
      </w:pPr>
      <w:r>
        <w:rPr>
          <w:rFonts w:hint="eastAsia"/>
          <w:color w:val="auto"/>
          <w:highlight w:val="none"/>
        </w:rPr>
        <w:t>（1）逾期送达或者未送达指定地点的；</w:t>
      </w:r>
    </w:p>
    <w:p w14:paraId="1B1F5D2A">
      <w:pPr>
        <w:spacing w:line="400" w:lineRule="exact"/>
        <w:ind w:firstLine="420" w:firstLineChars="200"/>
        <w:rPr>
          <w:color w:val="auto"/>
          <w:highlight w:val="none"/>
        </w:rPr>
      </w:pPr>
      <w:r>
        <w:rPr>
          <w:rFonts w:hint="eastAsia"/>
          <w:color w:val="auto"/>
          <w:highlight w:val="none"/>
        </w:rPr>
        <w:t>（2）未按竞争性谈判文件要求密封的。</w:t>
      </w:r>
    </w:p>
    <w:p w14:paraId="0DB449FB">
      <w:pPr>
        <w:spacing w:line="400" w:lineRule="exact"/>
        <w:rPr>
          <w:rFonts w:ascii="宋体" w:hAnsi="宋体"/>
          <w:b/>
          <w:color w:val="auto"/>
          <w:sz w:val="32"/>
          <w:szCs w:val="32"/>
          <w:highlight w:val="none"/>
        </w:rPr>
      </w:pPr>
      <w:bookmarkStart w:id="59" w:name="_Toc456551906"/>
      <w:bookmarkStart w:id="60" w:name="_Toc475552149"/>
      <w:r>
        <w:rPr>
          <w:rFonts w:hint="eastAsia" w:ascii="宋体" w:hAnsi="宋体"/>
          <w:b/>
          <w:color w:val="auto"/>
          <w:sz w:val="32"/>
          <w:szCs w:val="32"/>
          <w:highlight w:val="none"/>
        </w:rPr>
        <w:t>4.2 响应文件的修改、撤回和撤销</w:t>
      </w:r>
      <w:bookmarkEnd w:id="59"/>
      <w:bookmarkEnd w:id="60"/>
    </w:p>
    <w:p w14:paraId="6ABC2BFF">
      <w:pPr>
        <w:spacing w:line="400" w:lineRule="exact"/>
        <w:ind w:firstLine="420" w:firstLineChars="200"/>
        <w:rPr>
          <w:color w:val="auto"/>
          <w:highlight w:val="none"/>
        </w:rPr>
      </w:pPr>
      <w:r>
        <w:rPr>
          <w:rFonts w:hint="eastAsia"/>
          <w:color w:val="auto"/>
          <w:highlight w:val="none"/>
        </w:rPr>
        <w:t>4.2.1 在规定的竞争性谈判截止时间前，响应人可以修改或撤回已递交的响应文件。</w:t>
      </w:r>
    </w:p>
    <w:p w14:paraId="4F3D0D1A">
      <w:pPr>
        <w:spacing w:line="400" w:lineRule="exact"/>
        <w:ind w:firstLine="420" w:firstLineChars="200"/>
        <w:rPr>
          <w:color w:val="auto"/>
          <w:highlight w:val="none"/>
        </w:rPr>
      </w:pPr>
      <w:r>
        <w:rPr>
          <w:rFonts w:hint="eastAsia"/>
          <w:color w:val="auto"/>
          <w:highlight w:val="none"/>
        </w:rPr>
        <w:t>4.2.2响应人修改后的响应文件，应当在规定的竞争性谈判截止时间前按竞争性谈判文件的规定编制、密封、标记、提交和送达。</w:t>
      </w:r>
    </w:p>
    <w:p w14:paraId="7B68BECF">
      <w:pPr>
        <w:spacing w:line="400" w:lineRule="exact"/>
        <w:ind w:firstLine="420" w:firstLineChars="200"/>
        <w:rPr>
          <w:color w:val="auto"/>
          <w:highlight w:val="none"/>
        </w:rPr>
      </w:pPr>
      <w:r>
        <w:rPr>
          <w:rFonts w:hint="eastAsia"/>
          <w:color w:val="auto"/>
          <w:highlight w:val="none"/>
        </w:rPr>
        <w:t>4.2.3 响应人撤回已递交的响应文件，应当书面通知采购人。采购人已收取竞争性谈判保证金的，应当自收到响应人书面撤回通知之日起5日内退还。</w:t>
      </w:r>
    </w:p>
    <w:p w14:paraId="40D09B46">
      <w:pPr>
        <w:spacing w:line="400" w:lineRule="exact"/>
        <w:ind w:firstLine="420" w:firstLineChars="200"/>
        <w:rPr>
          <w:color w:val="auto"/>
          <w:highlight w:val="none"/>
        </w:rPr>
      </w:pPr>
      <w:r>
        <w:rPr>
          <w:rFonts w:hint="eastAsia"/>
          <w:color w:val="auto"/>
          <w:highlight w:val="none"/>
        </w:rPr>
        <w:t>4.2.4 响应人在规定的竞争性谈判截止时间后，不得在竞争性谈判有效期内撤销其竞争性谈判，否则采购人有权不退还其竞争性谈判保证金。</w:t>
      </w:r>
    </w:p>
    <w:p w14:paraId="7F91A59C">
      <w:pPr>
        <w:pStyle w:val="2"/>
        <w:rPr>
          <w:color w:val="auto"/>
          <w:highlight w:val="none"/>
        </w:rPr>
      </w:pPr>
      <w:bookmarkStart w:id="61" w:name="_Toc456551907"/>
      <w:bookmarkStart w:id="62" w:name="_Toc5382"/>
      <w:r>
        <w:rPr>
          <w:rFonts w:hint="eastAsia"/>
          <w:color w:val="auto"/>
          <w:highlight w:val="none"/>
        </w:rPr>
        <w:t xml:space="preserve">5. </w:t>
      </w:r>
      <w:bookmarkEnd w:id="61"/>
      <w:r>
        <w:rPr>
          <w:rFonts w:hint="eastAsia"/>
          <w:color w:val="auto"/>
          <w:highlight w:val="none"/>
        </w:rPr>
        <w:t>公开唱标</w:t>
      </w:r>
      <w:bookmarkEnd w:id="62"/>
    </w:p>
    <w:p w14:paraId="5C0FFDB1">
      <w:pPr>
        <w:spacing w:line="400" w:lineRule="exact"/>
        <w:rPr>
          <w:rFonts w:ascii="宋体" w:hAnsi="宋体"/>
          <w:b/>
          <w:color w:val="auto"/>
          <w:sz w:val="32"/>
          <w:szCs w:val="32"/>
          <w:highlight w:val="none"/>
        </w:rPr>
      </w:pPr>
      <w:bookmarkStart w:id="63" w:name="_Toc475552151"/>
      <w:bookmarkStart w:id="64" w:name="_Toc456551908"/>
      <w:r>
        <w:rPr>
          <w:rFonts w:hint="eastAsia" w:ascii="宋体" w:hAnsi="宋体"/>
          <w:b/>
          <w:color w:val="auto"/>
          <w:sz w:val="32"/>
          <w:szCs w:val="32"/>
          <w:highlight w:val="none"/>
        </w:rPr>
        <w:t>5.1 唱标时间和地点</w:t>
      </w:r>
      <w:bookmarkEnd w:id="63"/>
      <w:bookmarkEnd w:id="64"/>
    </w:p>
    <w:p w14:paraId="20B4B999">
      <w:pPr>
        <w:spacing w:line="400" w:lineRule="exact"/>
        <w:ind w:firstLine="420" w:firstLineChars="200"/>
        <w:rPr>
          <w:color w:val="auto"/>
          <w:highlight w:val="none"/>
        </w:rPr>
      </w:pPr>
      <w:r>
        <w:rPr>
          <w:rFonts w:hint="eastAsia"/>
          <w:color w:val="auto"/>
          <w:highlight w:val="none"/>
        </w:rPr>
        <w:t>采购人将按照竞争性谈判响应须知前附表规定的时间和地点公开唱标，参加唱标的响应人代表应当签名报到，以证明其出席唱标。</w:t>
      </w:r>
    </w:p>
    <w:p w14:paraId="4A8E6561">
      <w:pPr>
        <w:spacing w:line="400" w:lineRule="exact"/>
        <w:rPr>
          <w:rFonts w:ascii="宋体" w:hAnsi="宋体"/>
          <w:b/>
          <w:color w:val="auto"/>
          <w:sz w:val="32"/>
          <w:szCs w:val="32"/>
          <w:highlight w:val="none"/>
        </w:rPr>
      </w:pPr>
      <w:bookmarkStart w:id="65" w:name="_Toc475552152"/>
      <w:bookmarkStart w:id="66" w:name="_Toc456551909"/>
      <w:r>
        <w:rPr>
          <w:rFonts w:hint="eastAsia" w:ascii="宋体" w:hAnsi="宋体"/>
          <w:b/>
          <w:color w:val="auto"/>
          <w:sz w:val="32"/>
          <w:szCs w:val="32"/>
          <w:highlight w:val="none"/>
        </w:rPr>
        <w:t>5.2 唱标程序</w:t>
      </w:r>
      <w:bookmarkEnd w:id="65"/>
      <w:bookmarkEnd w:id="66"/>
    </w:p>
    <w:p w14:paraId="6127BA79">
      <w:pPr>
        <w:spacing w:line="400" w:lineRule="exact"/>
        <w:ind w:firstLine="359" w:firstLineChars="171"/>
        <w:rPr>
          <w:color w:val="auto"/>
          <w:highlight w:val="none"/>
        </w:rPr>
      </w:pPr>
      <w:r>
        <w:rPr>
          <w:rFonts w:hint="eastAsia"/>
          <w:color w:val="auto"/>
          <w:highlight w:val="none"/>
        </w:rPr>
        <w:t>5.2.1唱标会议由采购人组织并主持，响应人代表对响应文件密封性进行检查。</w:t>
      </w:r>
    </w:p>
    <w:p w14:paraId="2CC7434B">
      <w:pPr>
        <w:spacing w:line="400" w:lineRule="exact"/>
        <w:ind w:firstLine="359" w:firstLineChars="171"/>
        <w:rPr>
          <w:color w:val="auto"/>
          <w:highlight w:val="none"/>
        </w:rPr>
      </w:pPr>
      <w:r>
        <w:rPr>
          <w:rFonts w:hint="eastAsia"/>
          <w:color w:val="auto"/>
          <w:highlight w:val="none"/>
        </w:rPr>
        <w:t>5.2.2 采购人在递交响应文件截止时间前收到的所有响应文件在唱标时都应当当众予以拆封宣读。</w:t>
      </w:r>
    </w:p>
    <w:p w14:paraId="534534F7">
      <w:pPr>
        <w:spacing w:line="400" w:lineRule="exact"/>
        <w:ind w:firstLine="359" w:firstLineChars="171"/>
        <w:rPr>
          <w:color w:val="auto"/>
          <w:highlight w:val="none"/>
        </w:rPr>
      </w:pPr>
      <w:r>
        <w:rPr>
          <w:rFonts w:hint="eastAsia"/>
          <w:color w:val="auto"/>
          <w:highlight w:val="none"/>
        </w:rPr>
        <w:t>5.2.3 唱标时，采购人应当当众宣布参加本次竞争性谈判的响应人个数及响应文件的密封情况，并宣读有效竞争性谈判的“报价一览表”中的内容，“报价一览表”一般包括：唱标时间和地点、响应人名称、价格等唱标内容、唱标过程监督记录、响应人提出的异议以及竞争性谈判文件中规定的其他内容。</w:t>
      </w:r>
    </w:p>
    <w:p w14:paraId="4C13B39E">
      <w:pPr>
        <w:spacing w:line="400" w:lineRule="exact"/>
        <w:ind w:firstLine="359" w:firstLineChars="171"/>
        <w:rPr>
          <w:color w:val="auto"/>
          <w:highlight w:val="none"/>
        </w:rPr>
      </w:pPr>
      <w:r>
        <w:rPr>
          <w:rFonts w:hint="eastAsia"/>
          <w:color w:val="auto"/>
          <w:highlight w:val="none"/>
        </w:rPr>
        <w:t>5.2.4唱标内容填写在“唱标记录表”中，由唱标人、记录人、采购人代表、监督人、响应人代表签字确认，存档备查。</w:t>
      </w:r>
    </w:p>
    <w:p w14:paraId="6438236F">
      <w:pPr>
        <w:spacing w:line="400" w:lineRule="exact"/>
        <w:rPr>
          <w:rFonts w:ascii="宋体" w:hAnsi="宋体"/>
          <w:b/>
          <w:color w:val="auto"/>
          <w:sz w:val="32"/>
          <w:szCs w:val="32"/>
          <w:highlight w:val="none"/>
        </w:rPr>
      </w:pPr>
      <w:bookmarkStart w:id="67" w:name="_Toc475552153"/>
      <w:bookmarkStart w:id="68" w:name="_Toc456551910"/>
      <w:r>
        <w:rPr>
          <w:rFonts w:hint="eastAsia" w:ascii="宋体" w:hAnsi="宋体"/>
          <w:b/>
          <w:color w:val="auto"/>
          <w:sz w:val="32"/>
          <w:szCs w:val="32"/>
          <w:highlight w:val="none"/>
        </w:rPr>
        <w:t>5.3 唱标异议</w:t>
      </w:r>
      <w:bookmarkEnd w:id="67"/>
      <w:bookmarkEnd w:id="68"/>
    </w:p>
    <w:p w14:paraId="1DB3D4CA">
      <w:pPr>
        <w:spacing w:line="400" w:lineRule="exact"/>
        <w:ind w:firstLine="359" w:firstLineChars="171"/>
        <w:rPr>
          <w:color w:val="auto"/>
          <w:highlight w:val="none"/>
        </w:rPr>
      </w:pPr>
      <w:r>
        <w:rPr>
          <w:rFonts w:hint="eastAsia"/>
          <w:color w:val="auto"/>
          <w:highlight w:val="none"/>
        </w:rPr>
        <w:t>响应人对唱标有异议的，应当在唱标现场提出，采购人应当当场作出答复，并制作记录。</w:t>
      </w:r>
    </w:p>
    <w:p w14:paraId="6FE12E24">
      <w:pPr>
        <w:pStyle w:val="2"/>
        <w:rPr>
          <w:color w:val="auto"/>
          <w:highlight w:val="none"/>
        </w:rPr>
      </w:pPr>
      <w:bookmarkStart w:id="69" w:name="_Toc456551912"/>
      <w:bookmarkStart w:id="70" w:name="_Toc1438"/>
      <w:r>
        <w:rPr>
          <w:rFonts w:hint="eastAsia"/>
          <w:color w:val="auto"/>
          <w:highlight w:val="none"/>
        </w:rPr>
        <w:t xml:space="preserve">6. </w:t>
      </w:r>
      <w:bookmarkEnd w:id="69"/>
      <w:r>
        <w:rPr>
          <w:rFonts w:hint="eastAsia"/>
          <w:color w:val="auto"/>
          <w:highlight w:val="none"/>
        </w:rPr>
        <w:t>评审</w:t>
      </w:r>
      <w:bookmarkEnd w:id="70"/>
    </w:p>
    <w:p w14:paraId="188B5011">
      <w:pPr>
        <w:spacing w:line="400" w:lineRule="exact"/>
        <w:rPr>
          <w:rFonts w:ascii="宋体" w:hAnsi="宋体"/>
          <w:b/>
          <w:color w:val="auto"/>
          <w:sz w:val="32"/>
          <w:szCs w:val="32"/>
          <w:highlight w:val="none"/>
        </w:rPr>
      </w:pPr>
      <w:bookmarkStart w:id="71" w:name="_Toc475552155"/>
      <w:bookmarkStart w:id="72" w:name="_Toc456551913"/>
      <w:r>
        <w:rPr>
          <w:rFonts w:hint="eastAsia" w:ascii="宋体" w:hAnsi="宋体"/>
          <w:b/>
          <w:color w:val="auto"/>
          <w:sz w:val="32"/>
          <w:szCs w:val="32"/>
          <w:highlight w:val="none"/>
        </w:rPr>
        <w:t xml:space="preserve">6.1 </w:t>
      </w:r>
      <w:bookmarkEnd w:id="71"/>
      <w:bookmarkEnd w:id="72"/>
      <w:r>
        <w:rPr>
          <w:rFonts w:hint="eastAsia" w:ascii="宋体" w:hAnsi="宋体"/>
          <w:b/>
          <w:color w:val="auto"/>
          <w:sz w:val="32"/>
          <w:szCs w:val="32"/>
          <w:highlight w:val="none"/>
        </w:rPr>
        <w:t>谈判小组</w:t>
      </w:r>
    </w:p>
    <w:p w14:paraId="73C7A4A6">
      <w:pPr>
        <w:spacing w:line="400" w:lineRule="exact"/>
        <w:ind w:firstLine="420" w:firstLineChars="200"/>
        <w:rPr>
          <w:color w:val="auto"/>
          <w:szCs w:val="21"/>
          <w:highlight w:val="none"/>
        </w:rPr>
      </w:pPr>
      <w:r>
        <w:rPr>
          <w:rFonts w:hint="eastAsia"/>
          <w:color w:val="auto"/>
          <w:szCs w:val="21"/>
          <w:highlight w:val="none"/>
        </w:rPr>
        <w:t>6.1.1评审由依法组建的谈判小组负责，具体人数见竞争性谈判响应须知前附表。</w:t>
      </w:r>
    </w:p>
    <w:p w14:paraId="608226F6">
      <w:pPr>
        <w:spacing w:line="400" w:lineRule="exact"/>
        <w:ind w:firstLine="420" w:firstLineChars="200"/>
        <w:rPr>
          <w:color w:val="auto"/>
          <w:szCs w:val="21"/>
          <w:highlight w:val="none"/>
        </w:rPr>
      </w:pPr>
      <w:r>
        <w:rPr>
          <w:rFonts w:hint="eastAsia"/>
          <w:color w:val="auto"/>
          <w:szCs w:val="21"/>
          <w:highlight w:val="none"/>
        </w:rPr>
        <w:t>6.1.2评审期间，任何单位和个人不得非法干预或者影响评审的过程和结果。</w:t>
      </w:r>
    </w:p>
    <w:p w14:paraId="56DBA692">
      <w:pPr>
        <w:spacing w:line="400" w:lineRule="exact"/>
        <w:ind w:firstLine="420" w:firstLineChars="200"/>
        <w:rPr>
          <w:color w:val="auto"/>
          <w:szCs w:val="21"/>
          <w:highlight w:val="none"/>
        </w:rPr>
      </w:pPr>
      <w:r>
        <w:rPr>
          <w:rFonts w:hint="eastAsia"/>
          <w:color w:val="auto"/>
          <w:szCs w:val="21"/>
          <w:highlight w:val="none"/>
        </w:rPr>
        <w:t>6.1.3谈判小组成员名单在成交结果确定前保密。</w:t>
      </w:r>
    </w:p>
    <w:p w14:paraId="0ADF62F0">
      <w:pPr>
        <w:spacing w:line="400" w:lineRule="exact"/>
        <w:rPr>
          <w:rFonts w:ascii="宋体" w:hAnsi="宋体"/>
          <w:b/>
          <w:color w:val="auto"/>
          <w:sz w:val="32"/>
          <w:szCs w:val="32"/>
          <w:highlight w:val="none"/>
        </w:rPr>
      </w:pPr>
      <w:bookmarkStart w:id="73" w:name="_Toc475552156"/>
      <w:bookmarkStart w:id="74" w:name="_Toc456551914"/>
      <w:r>
        <w:rPr>
          <w:rFonts w:hint="eastAsia" w:ascii="宋体" w:hAnsi="宋体"/>
          <w:b/>
          <w:color w:val="auto"/>
          <w:sz w:val="32"/>
          <w:szCs w:val="32"/>
          <w:highlight w:val="none"/>
        </w:rPr>
        <w:t>6.2 评审原则</w:t>
      </w:r>
      <w:bookmarkEnd w:id="73"/>
      <w:bookmarkEnd w:id="74"/>
    </w:p>
    <w:p w14:paraId="4374DCDD">
      <w:pPr>
        <w:spacing w:line="400" w:lineRule="exact"/>
        <w:ind w:firstLine="420" w:firstLineChars="200"/>
        <w:rPr>
          <w:color w:val="auto"/>
          <w:highlight w:val="none"/>
        </w:rPr>
      </w:pPr>
      <w:r>
        <w:rPr>
          <w:rFonts w:hint="eastAsia"/>
          <w:color w:val="auto"/>
          <w:highlight w:val="none"/>
        </w:rPr>
        <w:t>6.2.1评审活动遵循公平、公正、科学和择优的原则。</w:t>
      </w:r>
    </w:p>
    <w:p w14:paraId="0D6FA8AA">
      <w:pPr>
        <w:spacing w:line="400" w:lineRule="exact"/>
        <w:ind w:firstLine="420" w:firstLineChars="200"/>
        <w:rPr>
          <w:color w:val="auto"/>
          <w:highlight w:val="none"/>
        </w:rPr>
      </w:pPr>
      <w:r>
        <w:rPr>
          <w:rFonts w:hint="eastAsia"/>
          <w:color w:val="auto"/>
          <w:highlight w:val="none"/>
        </w:rPr>
        <w:t>6.2.2谈判小组按照第三章“评审办法”规定的方法、评审因素、标准和程序对响应文件进行评审。第三章“评审办法”没有规定的方法、评审因素和标准，不作为评审依据。</w:t>
      </w:r>
    </w:p>
    <w:p w14:paraId="3E1EB113">
      <w:pPr>
        <w:spacing w:line="400" w:lineRule="exact"/>
        <w:rPr>
          <w:rFonts w:ascii="宋体" w:hAnsi="宋体"/>
          <w:b/>
          <w:color w:val="auto"/>
          <w:sz w:val="32"/>
          <w:szCs w:val="32"/>
          <w:highlight w:val="none"/>
        </w:rPr>
      </w:pPr>
      <w:bookmarkStart w:id="75" w:name="_Toc475552157"/>
      <w:bookmarkStart w:id="76" w:name="_Toc456551915"/>
      <w:r>
        <w:rPr>
          <w:rFonts w:hint="eastAsia" w:ascii="宋体" w:hAnsi="宋体"/>
          <w:b/>
          <w:color w:val="auto"/>
          <w:sz w:val="32"/>
          <w:szCs w:val="32"/>
          <w:highlight w:val="none"/>
        </w:rPr>
        <w:t>6.3 评审方法</w:t>
      </w:r>
      <w:bookmarkEnd w:id="75"/>
      <w:bookmarkEnd w:id="76"/>
    </w:p>
    <w:p w14:paraId="6EC6F98B">
      <w:pPr>
        <w:spacing w:line="400" w:lineRule="exact"/>
        <w:ind w:firstLine="420" w:firstLineChars="200"/>
        <w:rPr>
          <w:color w:val="auto"/>
          <w:szCs w:val="21"/>
          <w:highlight w:val="none"/>
        </w:rPr>
      </w:pPr>
      <w:r>
        <w:rPr>
          <w:rFonts w:hint="eastAsia"/>
          <w:color w:val="auto"/>
          <w:szCs w:val="21"/>
          <w:highlight w:val="none"/>
        </w:rPr>
        <w:t>6.3.1 竞争性谈判文件中详细载明评审方法作为本次评审所采用的评审方法。评审方法见竞争性谈判响应须知前附表。</w:t>
      </w:r>
    </w:p>
    <w:p w14:paraId="7B245852">
      <w:pPr>
        <w:spacing w:line="400" w:lineRule="exact"/>
        <w:ind w:firstLine="420" w:firstLineChars="200"/>
        <w:rPr>
          <w:color w:val="auto"/>
          <w:szCs w:val="21"/>
          <w:highlight w:val="none"/>
        </w:rPr>
      </w:pPr>
      <w:r>
        <w:rPr>
          <w:rFonts w:hint="eastAsia"/>
          <w:color w:val="auto"/>
          <w:szCs w:val="21"/>
          <w:highlight w:val="none"/>
        </w:rPr>
        <w:t xml:space="preserve">6.3.2 </w:t>
      </w:r>
      <w:r>
        <w:rPr>
          <w:rFonts w:hint="eastAsia"/>
          <w:color w:val="auto"/>
          <w:szCs w:val="21"/>
          <w:highlight w:val="none"/>
          <w:lang w:eastAsia="zh-CN"/>
        </w:rPr>
        <w:t>法律法规</w:t>
      </w:r>
      <w:r>
        <w:rPr>
          <w:rFonts w:hint="eastAsia"/>
          <w:color w:val="auto"/>
          <w:szCs w:val="21"/>
          <w:highlight w:val="none"/>
        </w:rPr>
        <w:t>允许的其他评审方法。</w:t>
      </w:r>
    </w:p>
    <w:p w14:paraId="3683DD2B">
      <w:pPr>
        <w:spacing w:line="400" w:lineRule="exact"/>
        <w:rPr>
          <w:rFonts w:ascii="宋体" w:hAnsi="宋体"/>
          <w:b/>
          <w:color w:val="auto"/>
          <w:sz w:val="32"/>
          <w:szCs w:val="32"/>
          <w:highlight w:val="none"/>
        </w:rPr>
      </w:pPr>
      <w:bookmarkStart w:id="77" w:name="_Toc475552158"/>
      <w:bookmarkStart w:id="78" w:name="_Toc456551916"/>
      <w:r>
        <w:rPr>
          <w:rFonts w:hint="eastAsia" w:ascii="宋体" w:hAnsi="宋体"/>
          <w:b/>
          <w:color w:val="auto"/>
          <w:sz w:val="32"/>
          <w:szCs w:val="32"/>
          <w:highlight w:val="none"/>
        </w:rPr>
        <w:t>6.4 推荐成交候选人原则</w:t>
      </w:r>
      <w:bookmarkEnd w:id="77"/>
      <w:bookmarkEnd w:id="78"/>
    </w:p>
    <w:p w14:paraId="2AE9C06E">
      <w:pPr>
        <w:spacing w:line="400" w:lineRule="exact"/>
        <w:ind w:firstLine="420" w:firstLineChars="200"/>
        <w:rPr>
          <w:color w:val="auto"/>
          <w:szCs w:val="21"/>
          <w:highlight w:val="none"/>
        </w:rPr>
      </w:pPr>
      <w:r>
        <w:rPr>
          <w:rFonts w:hint="eastAsia"/>
          <w:color w:val="auto"/>
          <w:szCs w:val="21"/>
          <w:highlight w:val="none"/>
        </w:rPr>
        <w:t>谈判小组应当根据竞争性谈判文件的规定推荐成交候选人，具体推荐原则见竞争性谈判响应须知前附表。</w:t>
      </w:r>
    </w:p>
    <w:p w14:paraId="470D7C95">
      <w:pPr>
        <w:spacing w:line="400" w:lineRule="exact"/>
        <w:rPr>
          <w:rFonts w:ascii="宋体" w:hAnsi="宋体"/>
          <w:b/>
          <w:color w:val="auto"/>
          <w:sz w:val="32"/>
          <w:szCs w:val="32"/>
          <w:highlight w:val="none"/>
        </w:rPr>
      </w:pPr>
      <w:bookmarkStart w:id="79" w:name="_Toc475552159"/>
      <w:bookmarkStart w:id="80" w:name="_Toc456551917"/>
      <w:r>
        <w:rPr>
          <w:rFonts w:hint="eastAsia" w:ascii="宋体" w:hAnsi="宋体"/>
          <w:b/>
          <w:color w:val="auto"/>
          <w:sz w:val="32"/>
          <w:szCs w:val="32"/>
          <w:highlight w:val="none"/>
        </w:rPr>
        <w:t>6.5 评审报告</w:t>
      </w:r>
      <w:bookmarkEnd w:id="79"/>
      <w:bookmarkEnd w:id="80"/>
    </w:p>
    <w:p w14:paraId="57A599EE">
      <w:pPr>
        <w:ind w:firstLine="420" w:firstLineChars="200"/>
        <w:rPr>
          <w:color w:val="auto"/>
          <w:highlight w:val="none"/>
        </w:rPr>
      </w:pPr>
      <w:r>
        <w:rPr>
          <w:rFonts w:hint="eastAsia"/>
          <w:bCs/>
          <w:color w:val="auto"/>
          <w:highlight w:val="none"/>
        </w:rPr>
        <w:t>评审完成后，谈判小组应当及时向采购人提交评审报告和成交候选人名单。</w:t>
      </w:r>
    </w:p>
    <w:p w14:paraId="3AC2B7AF">
      <w:pPr>
        <w:pStyle w:val="2"/>
        <w:rPr>
          <w:color w:val="auto"/>
          <w:highlight w:val="none"/>
        </w:rPr>
      </w:pPr>
      <w:bookmarkStart w:id="81" w:name="_Toc456551918"/>
      <w:bookmarkStart w:id="82" w:name="_Toc18667"/>
      <w:r>
        <w:rPr>
          <w:rFonts w:hint="eastAsia"/>
          <w:color w:val="auto"/>
          <w:highlight w:val="none"/>
        </w:rPr>
        <w:t xml:space="preserve">7. </w:t>
      </w:r>
      <w:bookmarkEnd w:id="81"/>
      <w:r>
        <w:rPr>
          <w:rFonts w:hint="eastAsia"/>
          <w:color w:val="auto"/>
          <w:highlight w:val="none"/>
        </w:rPr>
        <w:t>成交</w:t>
      </w:r>
      <w:bookmarkEnd w:id="82"/>
    </w:p>
    <w:p w14:paraId="6180BDE7">
      <w:pPr>
        <w:spacing w:line="400" w:lineRule="exact"/>
        <w:rPr>
          <w:rFonts w:ascii="宋体" w:hAnsi="宋体"/>
          <w:b/>
          <w:color w:val="auto"/>
          <w:sz w:val="32"/>
          <w:szCs w:val="32"/>
          <w:highlight w:val="none"/>
        </w:rPr>
      </w:pPr>
      <w:bookmarkStart w:id="83" w:name="_Toc475552161"/>
      <w:bookmarkStart w:id="84" w:name="_Toc456551919"/>
      <w:r>
        <w:rPr>
          <w:rFonts w:hint="eastAsia" w:ascii="宋体" w:hAnsi="宋体"/>
          <w:b/>
          <w:color w:val="auto"/>
          <w:sz w:val="32"/>
          <w:szCs w:val="32"/>
          <w:highlight w:val="none"/>
        </w:rPr>
        <w:t>7.1 成交候选人公示</w:t>
      </w:r>
      <w:bookmarkEnd w:id="83"/>
      <w:bookmarkEnd w:id="84"/>
    </w:p>
    <w:p w14:paraId="7ABC2BA3">
      <w:pPr>
        <w:spacing w:line="400" w:lineRule="exact"/>
        <w:ind w:firstLine="420" w:firstLineChars="200"/>
        <w:rPr>
          <w:color w:val="auto"/>
          <w:szCs w:val="21"/>
          <w:highlight w:val="none"/>
        </w:rPr>
      </w:pPr>
      <w:bookmarkStart w:id="85" w:name="_Toc475552162"/>
      <w:bookmarkStart w:id="86" w:name="_Toc456551920"/>
      <w:r>
        <w:rPr>
          <w:color w:val="auto"/>
          <w:szCs w:val="21"/>
          <w:highlight w:val="none"/>
        </w:rPr>
        <w:t>7.1.1</w:t>
      </w:r>
      <w:r>
        <w:rPr>
          <w:rFonts w:hint="eastAsia"/>
          <w:color w:val="auto"/>
          <w:szCs w:val="21"/>
          <w:highlight w:val="none"/>
        </w:rPr>
        <w:t>进行公开竞争性谈判的项目，评审结果按照采购人内控管理规定确认后，在成交候选人公示发布的媒介公示成交候选人，公示期不少于</w:t>
      </w:r>
      <w:r>
        <w:rPr>
          <w:rFonts w:hint="eastAsia"/>
          <w:color w:val="auto"/>
          <w:szCs w:val="21"/>
          <w:highlight w:val="none"/>
          <w:lang w:val="en-US" w:eastAsia="zh-CN"/>
        </w:rPr>
        <w:t>1个工作</w:t>
      </w:r>
      <w:r>
        <w:rPr>
          <w:rFonts w:hint="eastAsia"/>
          <w:color w:val="auto"/>
          <w:szCs w:val="21"/>
          <w:highlight w:val="none"/>
        </w:rPr>
        <w:t>日。</w:t>
      </w:r>
    </w:p>
    <w:p w14:paraId="63040F40">
      <w:pPr>
        <w:spacing w:line="400" w:lineRule="exact"/>
        <w:ind w:firstLine="420" w:firstLineChars="200"/>
        <w:rPr>
          <w:color w:val="auto"/>
          <w:szCs w:val="21"/>
          <w:highlight w:val="none"/>
        </w:rPr>
      </w:pPr>
      <w:r>
        <w:rPr>
          <w:color w:val="auto"/>
          <w:szCs w:val="21"/>
          <w:highlight w:val="none"/>
        </w:rPr>
        <w:t>7.1.2</w:t>
      </w:r>
      <w:r>
        <w:rPr>
          <w:rFonts w:hint="eastAsia"/>
          <w:color w:val="auto"/>
          <w:szCs w:val="21"/>
          <w:highlight w:val="none"/>
        </w:rPr>
        <w:t>响应人或者其他利害关系人对项目的评审结果有异议的，应在成交候选人公示期间提出。</w:t>
      </w:r>
    </w:p>
    <w:p w14:paraId="0FEDBB24">
      <w:pPr>
        <w:spacing w:line="400" w:lineRule="exact"/>
        <w:rPr>
          <w:rFonts w:ascii="宋体" w:hAnsi="宋体"/>
          <w:b/>
          <w:color w:val="auto"/>
          <w:sz w:val="32"/>
          <w:szCs w:val="32"/>
          <w:highlight w:val="none"/>
        </w:rPr>
      </w:pPr>
      <w:r>
        <w:rPr>
          <w:rFonts w:hint="eastAsia" w:ascii="宋体" w:hAnsi="宋体"/>
          <w:b/>
          <w:color w:val="auto"/>
          <w:sz w:val="32"/>
          <w:szCs w:val="32"/>
          <w:highlight w:val="none"/>
        </w:rPr>
        <w:t>7.2资格后审（履约能力审查）</w:t>
      </w:r>
    </w:p>
    <w:p w14:paraId="595079C6">
      <w:pPr>
        <w:spacing w:line="400" w:lineRule="exact"/>
        <w:ind w:firstLine="420" w:firstLineChars="200"/>
        <w:rPr>
          <w:color w:val="auto"/>
          <w:szCs w:val="21"/>
          <w:highlight w:val="none"/>
        </w:rPr>
      </w:pPr>
      <w:r>
        <w:rPr>
          <w:color w:val="auto"/>
          <w:szCs w:val="21"/>
          <w:highlight w:val="none"/>
        </w:rPr>
        <w:t>7.2</w:t>
      </w:r>
      <w:r>
        <w:rPr>
          <w:rFonts w:hint="eastAsia"/>
          <w:color w:val="auto"/>
          <w:szCs w:val="21"/>
          <w:highlight w:val="none"/>
        </w:rPr>
        <w:t>.1采购人</w:t>
      </w:r>
      <w:r>
        <w:rPr>
          <w:rFonts w:hint="eastAsia"/>
          <w:color w:val="auto"/>
          <w:szCs w:val="21"/>
          <w:highlight w:val="none"/>
          <w:lang w:val="en-US" w:eastAsia="zh-CN"/>
        </w:rPr>
        <w:t>有权</w:t>
      </w:r>
      <w:r>
        <w:rPr>
          <w:rFonts w:hint="eastAsia"/>
          <w:color w:val="auto"/>
          <w:szCs w:val="21"/>
          <w:highlight w:val="none"/>
        </w:rPr>
        <w:t>根据竞争性谈判文件中的要求，对评委会推荐的成交候选人进行资格后审。</w:t>
      </w:r>
    </w:p>
    <w:p w14:paraId="39B3F39D">
      <w:pPr>
        <w:spacing w:line="400" w:lineRule="exact"/>
        <w:ind w:firstLine="420" w:firstLineChars="200"/>
        <w:rPr>
          <w:color w:val="auto"/>
          <w:szCs w:val="21"/>
          <w:highlight w:val="none"/>
        </w:rPr>
      </w:pPr>
      <w:r>
        <w:rPr>
          <w:color w:val="auto"/>
          <w:szCs w:val="21"/>
          <w:highlight w:val="none"/>
        </w:rPr>
        <w:t>7.2</w:t>
      </w:r>
      <w:r>
        <w:rPr>
          <w:rFonts w:hint="eastAsia"/>
          <w:color w:val="auto"/>
          <w:szCs w:val="21"/>
          <w:highlight w:val="none"/>
        </w:rPr>
        <w:t>.2成交候选人须无条件配合资格后审，否则采购人有权取消中标资格，且谈判保证金可不予退还。</w:t>
      </w:r>
    </w:p>
    <w:p w14:paraId="52695311">
      <w:pPr>
        <w:spacing w:line="400" w:lineRule="exact"/>
        <w:ind w:firstLine="420" w:firstLineChars="200"/>
        <w:rPr>
          <w:color w:val="auto"/>
          <w:szCs w:val="21"/>
          <w:highlight w:val="none"/>
        </w:rPr>
      </w:pPr>
      <w:r>
        <w:rPr>
          <w:color w:val="auto"/>
          <w:szCs w:val="21"/>
          <w:highlight w:val="none"/>
        </w:rPr>
        <w:t>7.2</w:t>
      </w:r>
      <w:r>
        <w:rPr>
          <w:rFonts w:hint="eastAsia"/>
          <w:color w:val="auto"/>
          <w:szCs w:val="21"/>
          <w:highlight w:val="none"/>
        </w:rPr>
        <w:t>.3资格后审须提供包括但不限于营业执照、税务登记证和在响应文件中提供的资质证明文件、合同等重要证明文件的原件进行核对，综合考察成交人的履约能力。如采购人要求还须提供业绩证明的其他材料</w:t>
      </w:r>
      <w:r>
        <w:rPr>
          <w:rFonts w:hint="eastAsia"/>
          <w:color w:val="auto"/>
          <w:szCs w:val="21"/>
          <w:highlight w:val="none"/>
          <w:lang w:eastAsia="zh-CN"/>
        </w:rPr>
        <w:t>，</w:t>
      </w:r>
      <w:r>
        <w:rPr>
          <w:rFonts w:hint="eastAsia"/>
          <w:color w:val="auto"/>
          <w:szCs w:val="21"/>
          <w:highlight w:val="none"/>
        </w:rPr>
        <w:t>成交候选人须配合提供。如授权其分支机构进行项目实施或提供售后服务的，亦应提供其与分支机构关系的法律证明材料。</w:t>
      </w:r>
    </w:p>
    <w:p w14:paraId="113B3E1B">
      <w:pPr>
        <w:spacing w:line="400" w:lineRule="exact"/>
        <w:ind w:firstLine="420" w:firstLineChars="200"/>
        <w:rPr>
          <w:color w:val="auto"/>
          <w:szCs w:val="21"/>
          <w:highlight w:val="none"/>
        </w:rPr>
      </w:pPr>
      <w:r>
        <w:rPr>
          <w:color w:val="auto"/>
          <w:szCs w:val="21"/>
          <w:highlight w:val="none"/>
        </w:rPr>
        <w:t>7.2</w:t>
      </w:r>
      <w:r>
        <w:rPr>
          <w:rFonts w:hint="eastAsia"/>
          <w:color w:val="auto"/>
          <w:szCs w:val="21"/>
          <w:highlight w:val="none"/>
        </w:rPr>
        <w:t>.4如发现响应人以他人名义谈判或者以其他方式弄虚作假，骗取成交的，采购人有权取消其成交资格，且谈判保证金可不予退还；给采购人造成损失的，应依法承担赔偿责任。</w:t>
      </w:r>
    </w:p>
    <w:p w14:paraId="4F30A9CA">
      <w:pPr>
        <w:spacing w:line="400" w:lineRule="exact"/>
        <w:ind w:firstLine="420" w:firstLineChars="200"/>
        <w:rPr>
          <w:color w:val="auto"/>
          <w:szCs w:val="21"/>
          <w:highlight w:val="none"/>
        </w:rPr>
      </w:pPr>
      <w:r>
        <w:rPr>
          <w:color w:val="auto"/>
          <w:szCs w:val="21"/>
          <w:highlight w:val="none"/>
        </w:rPr>
        <w:t>7.2</w:t>
      </w:r>
      <w:r>
        <w:rPr>
          <w:rFonts w:hint="eastAsia"/>
          <w:color w:val="auto"/>
          <w:szCs w:val="21"/>
          <w:highlight w:val="none"/>
        </w:rPr>
        <w:t>.5如果审查通过，采购人将把合同授予该成交人；如果审查没有通过，采购人有权取消其成交资格，且谈判保证金可不予退还，并依次审查下一名成交候选人是否具备履行合同的能力或重新采购。</w:t>
      </w:r>
    </w:p>
    <w:p w14:paraId="7548633A">
      <w:pPr>
        <w:spacing w:line="400" w:lineRule="exact"/>
        <w:rPr>
          <w:rFonts w:ascii="宋体" w:hAnsi="宋体"/>
          <w:b/>
          <w:color w:val="auto"/>
          <w:sz w:val="32"/>
          <w:szCs w:val="32"/>
          <w:highlight w:val="none"/>
        </w:rPr>
      </w:pPr>
      <w:r>
        <w:rPr>
          <w:rFonts w:hint="eastAsia" w:ascii="宋体" w:hAnsi="宋体"/>
          <w:b/>
          <w:color w:val="auto"/>
          <w:sz w:val="32"/>
          <w:szCs w:val="32"/>
          <w:highlight w:val="none"/>
        </w:rPr>
        <w:t>7.3确定成交人</w:t>
      </w:r>
      <w:bookmarkEnd w:id="85"/>
      <w:bookmarkEnd w:id="86"/>
    </w:p>
    <w:p w14:paraId="75FFDC44">
      <w:pPr>
        <w:spacing w:line="400" w:lineRule="exact"/>
        <w:ind w:firstLine="420" w:firstLineChars="200"/>
        <w:rPr>
          <w:color w:val="auto"/>
          <w:szCs w:val="21"/>
          <w:highlight w:val="none"/>
        </w:rPr>
      </w:pPr>
      <w:r>
        <w:rPr>
          <w:rFonts w:hint="eastAsia"/>
          <w:color w:val="auto"/>
          <w:szCs w:val="21"/>
          <w:highlight w:val="none"/>
        </w:rPr>
        <w:t>7.3.1除竞争性谈判响应须知前附表规定谈判小组直接确定成交人外，采购人依据谈判小组推荐的成交候选人确定成交人，成交人数量见竞争性谈判响应须知前附表。</w:t>
      </w:r>
    </w:p>
    <w:p w14:paraId="27CCC89A">
      <w:pPr>
        <w:spacing w:line="400" w:lineRule="exact"/>
        <w:ind w:firstLine="420" w:firstLineChars="200"/>
        <w:rPr>
          <w:color w:val="auto"/>
          <w:szCs w:val="21"/>
          <w:highlight w:val="none"/>
        </w:rPr>
      </w:pPr>
      <w:r>
        <w:rPr>
          <w:rFonts w:hint="eastAsia"/>
          <w:color w:val="auto"/>
          <w:szCs w:val="21"/>
          <w:highlight w:val="none"/>
        </w:rPr>
        <w:t>7.3.2</w:t>
      </w:r>
      <w:r>
        <w:rPr>
          <w:color w:val="auto"/>
          <w:szCs w:val="21"/>
          <w:highlight w:val="none"/>
        </w:rPr>
        <w:t>采购人</w:t>
      </w:r>
      <w:r>
        <w:rPr>
          <w:rFonts w:hint="eastAsia"/>
          <w:color w:val="auto"/>
          <w:szCs w:val="21"/>
          <w:highlight w:val="none"/>
        </w:rPr>
        <w:t>根据谈判小组推荐的</w:t>
      </w:r>
      <w:r>
        <w:rPr>
          <w:color w:val="auto"/>
          <w:szCs w:val="21"/>
          <w:highlight w:val="none"/>
        </w:rPr>
        <w:t>成交候选人</w:t>
      </w:r>
      <w:r>
        <w:rPr>
          <w:rFonts w:hint="eastAsia"/>
          <w:color w:val="auto"/>
          <w:szCs w:val="21"/>
          <w:highlight w:val="none"/>
        </w:rPr>
        <w:t>名单排序</w:t>
      </w:r>
      <w:r>
        <w:rPr>
          <w:color w:val="auto"/>
          <w:szCs w:val="21"/>
          <w:highlight w:val="none"/>
        </w:rPr>
        <w:t>依次确定成交人，</w:t>
      </w:r>
      <w:r>
        <w:rPr>
          <w:rFonts w:hint="eastAsia"/>
          <w:color w:val="auto"/>
          <w:szCs w:val="21"/>
          <w:highlight w:val="none"/>
        </w:rPr>
        <w:t>具体成交原则见竞争性谈判响应须知前附表。</w:t>
      </w:r>
    </w:p>
    <w:p w14:paraId="5C2165DB">
      <w:pPr>
        <w:spacing w:line="400" w:lineRule="exact"/>
        <w:ind w:firstLine="420" w:firstLineChars="200"/>
        <w:rPr>
          <w:color w:val="auto"/>
          <w:szCs w:val="21"/>
          <w:highlight w:val="none"/>
        </w:rPr>
      </w:pPr>
      <w:r>
        <w:rPr>
          <w:rFonts w:hint="eastAsia"/>
          <w:color w:val="auto"/>
          <w:szCs w:val="21"/>
          <w:highlight w:val="none"/>
        </w:rPr>
        <w:t>7.3.3在签订合同之前，</w:t>
      </w:r>
      <w:r>
        <w:rPr>
          <w:color w:val="auto"/>
          <w:szCs w:val="21"/>
          <w:highlight w:val="none"/>
        </w:rPr>
        <w:t>成交人</w:t>
      </w:r>
      <w:r>
        <w:rPr>
          <w:rFonts w:hint="eastAsia"/>
          <w:color w:val="auto"/>
          <w:szCs w:val="21"/>
          <w:highlight w:val="none"/>
        </w:rPr>
        <w:t>放弃成交或者</w:t>
      </w:r>
      <w:r>
        <w:rPr>
          <w:color w:val="auto"/>
          <w:szCs w:val="21"/>
          <w:highlight w:val="none"/>
        </w:rPr>
        <w:t>不能履行合同的，采购人可以按照谈判小组提出的成交候选人名单排序依次确定其他成交候选人为成交人，也可以</w:t>
      </w:r>
      <w:r>
        <w:rPr>
          <w:rFonts w:hint="eastAsia"/>
          <w:color w:val="auto"/>
          <w:szCs w:val="21"/>
          <w:highlight w:val="none"/>
        </w:rPr>
        <w:t>重新竞争性谈判。</w:t>
      </w:r>
    </w:p>
    <w:p w14:paraId="35DD8E6A">
      <w:pPr>
        <w:spacing w:line="400" w:lineRule="exact"/>
        <w:rPr>
          <w:rFonts w:ascii="宋体" w:hAnsi="宋体"/>
          <w:b/>
          <w:color w:val="auto"/>
          <w:sz w:val="32"/>
          <w:szCs w:val="32"/>
          <w:highlight w:val="none"/>
        </w:rPr>
      </w:pPr>
      <w:bookmarkStart w:id="87" w:name="_Toc456551921"/>
      <w:bookmarkStart w:id="88" w:name="_Toc475552163"/>
      <w:r>
        <w:rPr>
          <w:rFonts w:hint="eastAsia" w:ascii="宋体" w:hAnsi="宋体"/>
          <w:b/>
          <w:color w:val="auto"/>
          <w:sz w:val="32"/>
          <w:szCs w:val="32"/>
          <w:highlight w:val="none"/>
        </w:rPr>
        <w:t>7.4 成交通知</w:t>
      </w:r>
      <w:bookmarkEnd w:id="87"/>
      <w:bookmarkEnd w:id="88"/>
    </w:p>
    <w:p w14:paraId="37345D4D">
      <w:pPr>
        <w:spacing w:line="400" w:lineRule="exact"/>
        <w:ind w:firstLine="420" w:firstLineChars="200"/>
        <w:rPr>
          <w:color w:val="auto"/>
          <w:szCs w:val="21"/>
          <w:highlight w:val="none"/>
        </w:rPr>
      </w:pPr>
      <w:r>
        <w:rPr>
          <w:rFonts w:hint="eastAsia"/>
          <w:color w:val="auto"/>
          <w:szCs w:val="21"/>
          <w:highlight w:val="none"/>
        </w:rPr>
        <w:t>7.4.1</w:t>
      </w:r>
      <w:r>
        <w:rPr>
          <w:color w:val="auto"/>
          <w:szCs w:val="21"/>
          <w:highlight w:val="none"/>
        </w:rPr>
        <w:t>在成交通知书发出前</w:t>
      </w:r>
      <w:r>
        <w:rPr>
          <w:rFonts w:hint="eastAsia"/>
          <w:color w:val="auto"/>
          <w:szCs w:val="21"/>
          <w:highlight w:val="none"/>
        </w:rPr>
        <w:t>，</w:t>
      </w:r>
      <w:r>
        <w:rPr>
          <w:color w:val="auto"/>
          <w:szCs w:val="21"/>
          <w:highlight w:val="none"/>
        </w:rPr>
        <w:t>成交候选人的经营、财务状况发生较大变化或者存在违法行为，可能影响其履约能力的，成交候选人应</w:t>
      </w:r>
      <w:r>
        <w:rPr>
          <w:rFonts w:hint="eastAsia"/>
          <w:color w:val="auto"/>
          <w:szCs w:val="21"/>
          <w:highlight w:val="none"/>
        </w:rPr>
        <w:t>当主动告知采购人</w:t>
      </w:r>
      <w:r>
        <w:rPr>
          <w:color w:val="auto"/>
          <w:szCs w:val="21"/>
          <w:highlight w:val="none"/>
        </w:rPr>
        <w:t>。</w:t>
      </w:r>
    </w:p>
    <w:p w14:paraId="4B307C1E">
      <w:pPr>
        <w:spacing w:line="400" w:lineRule="exact"/>
        <w:ind w:firstLine="420" w:firstLineChars="200"/>
        <w:rPr>
          <w:color w:val="auto"/>
          <w:szCs w:val="21"/>
          <w:highlight w:val="none"/>
        </w:rPr>
      </w:pPr>
      <w:r>
        <w:rPr>
          <w:rFonts w:hint="eastAsia"/>
          <w:color w:val="auto"/>
          <w:szCs w:val="21"/>
          <w:highlight w:val="none"/>
        </w:rPr>
        <w:t>7.4.2成交人确定后，采购人应当自行或委托采购代理机构向成交人发出成交通知书，同时通知未成交人。</w:t>
      </w:r>
    </w:p>
    <w:p w14:paraId="10E95D37">
      <w:pPr>
        <w:spacing w:line="400" w:lineRule="exact"/>
        <w:ind w:firstLine="420" w:firstLineChars="200"/>
        <w:rPr>
          <w:color w:val="auto"/>
          <w:szCs w:val="21"/>
          <w:highlight w:val="none"/>
        </w:rPr>
      </w:pPr>
      <w:r>
        <w:rPr>
          <w:rFonts w:hint="eastAsia"/>
          <w:color w:val="auto"/>
          <w:szCs w:val="21"/>
          <w:highlight w:val="none"/>
        </w:rPr>
        <w:t>7.4.3成交通知书是竞争性谈判档案和合同的组成部分。</w:t>
      </w:r>
    </w:p>
    <w:p w14:paraId="74A2BE37">
      <w:pPr>
        <w:spacing w:line="400" w:lineRule="exact"/>
        <w:ind w:firstLine="420" w:firstLineChars="200"/>
        <w:rPr>
          <w:color w:val="auto"/>
          <w:szCs w:val="21"/>
          <w:highlight w:val="none"/>
        </w:rPr>
      </w:pPr>
      <w:r>
        <w:rPr>
          <w:rFonts w:hint="eastAsia"/>
          <w:color w:val="auto"/>
          <w:szCs w:val="21"/>
          <w:highlight w:val="none"/>
        </w:rPr>
        <w:t>7.4.4成交通知书对采购人和成交人具有法律约束力。成交通知书发出后，采购人改变成交结果或者成交人放弃成交的，应当承担法律责任。</w:t>
      </w:r>
    </w:p>
    <w:p w14:paraId="02DEC6ED">
      <w:pPr>
        <w:pStyle w:val="2"/>
        <w:rPr>
          <w:color w:val="auto"/>
          <w:highlight w:val="none"/>
        </w:rPr>
      </w:pPr>
      <w:bookmarkStart w:id="89" w:name="_Toc18101"/>
      <w:bookmarkStart w:id="90" w:name="_Toc456551922"/>
      <w:r>
        <w:rPr>
          <w:rFonts w:hint="eastAsia"/>
          <w:color w:val="auto"/>
          <w:highlight w:val="none"/>
        </w:rPr>
        <w:t>8.合同签订</w:t>
      </w:r>
      <w:bookmarkEnd w:id="89"/>
      <w:bookmarkEnd w:id="90"/>
    </w:p>
    <w:p w14:paraId="3CB4409A">
      <w:pPr>
        <w:spacing w:line="400" w:lineRule="exact"/>
        <w:rPr>
          <w:rFonts w:ascii="宋体" w:hAnsi="宋体"/>
          <w:b/>
          <w:color w:val="auto"/>
          <w:sz w:val="32"/>
          <w:szCs w:val="32"/>
          <w:highlight w:val="none"/>
        </w:rPr>
      </w:pPr>
      <w:bookmarkStart w:id="91" w:name="_Toc456551923"/>
      <w:bookmarkStart w:id="92" w:name="_Toc475552165"/>
      <w:r>
        <w:rPr>
          <w:rFonts w:hint="eastAsia" w:ascii="宋体" w:hAnsi="宋体"/>
          <w:b/>
          <w:color w:val="auto"/>
          <w:sz w:val="32"/>
          <w:szCs w:val="32"/>
          <w:highlight w:val="none"/>
        </w:rPr>
        <w:t>8.1 履约担保</w:t>
      </w:r>
      <w:bookmarkEnd w:id="91"/>
      <w:bookmarkEnd w:id="92"/>
    </w:p>
    <w:p w14:paraId="145DFC25">
      <w:pPr>
        <w:spacing w:line="400" w:lineRule="exact"/>
        <w:ind w:firstLine="420" w:firstLineChars="200"/>
        <w:rPr>
          <w:color w:val="auto"/>
          <w:szCs w:val="21"/>
          <w:highlight w:val="none"/>
        </w:rPr>
      </w:pPr>
      <w:r>
        <w:rPr>
          <w:rFonts w:hint="eastAsia"/>
          <w:color w:val="auto"/>
          <w:szCs w:val="21"/>
          <w:highlight w:val="none"/>
        </w:rPr>
        <w:t>8.1.1在签订合同前，成交人应当按照“竞争性谈判响应须知前附表”中规定的履约担保金额和方式向采购人提交履约担保。</w:t>
      </w:r>
    </w:p>
    <w:p w14:paraId="4DA8711C">
      <w:pPr>
        <w:spacing w:line="400" w:lineRule="exact"/>
        <w:ind w:firstLine="420" w:firstLineChars="200"/>
        <w:rPr>
          <w:color w:val="auto"/>
          <w:szCs w:val="21"/>
          <w:highlight w:val="none"/>
        </w:rPr>
      </w:pPr>
      <w:r>
        <w:rPr>
          <w:rFonts w:hint="eastAsia"/>
          <w:color w:val="auto"/>
          <w:szCs w:val="21"/>
          <w:highlight w:val="none"/>
        </w:rPr>
        <w:t>8.1.2 成交人不能按照竞争性谈判文件要求提交履约担保的，视为放弃成交，其竞争性谈判保证金不予退还，给采购人造成的损失超过竞争性谈判保证金数额的，成交人还应当对超过部分予以赔偿。</w:t>
      </w:r>
    </w:p>
    <w:p w14:paraId="62652FB6">
      <w:pPr>
        <w:spacing w:line="400" w:lineRule="exact"/>
        <w:rPr>
          <w:rFonts w:ascii="宋体" w:hAnsi="宋体"/>
          <w:b/>
          <w:color w:val="auto"/>
          <w:sz w:val="32"/>
          <w:szCs w:val="32"/>
          <w:highlight w:val="none"/>
        </w:rPr>
      </w:pPr>
      <w:bookmarkStart w:id="93" w:name="_Toc456551924"/>
      <w:bookmarkStart w:id="94" w:name="_Toc475552166"/>
      <w:r>
        <w:rPr>
          <w:rFonts w:hint="eastAsia" w:ascii="宋体" w:hAnsi="宋体"/>
          <w:b/>
          <w:color w:val="auto"/>
          <w:sz w:val="32"/>
          <w:szCs w:val="32"/>
          <w:highlight w:val="none"/>
        </w:rPr>
        <w:t>8.2合同签订</w:t>
      </w:r>
      <w:bookmarkEnd w:id="93"/>
      <w:bookmarkEnd w:id="94"/>
    </w:p>
    <w:p w14:paraId="08D60F8C">
      <w:pPr>
        <w:spacing w:line="400" w:lineRule="exact"/>
        <w:ind w:firstLine="420" w:firstLineChars="200"/>
        <w:rPr>
          <w:color w:val="auto"/>
          <w:szCs w:val="21"/>
          <w:highlight w:val="none"/>
        </w:rPr>
      </w:pPr>
      <w:r>
        <w:rPr>
          <w:rFonts w:hint="eastAsia"/>
          <w:color w:val="auto"/>
          <w:szCs w:val="21"/>
          <w:highlight w:val="none"/>
        </w:rPr>
        <w:t>8.2.1采购人和成交人应当自成交通知书发出之日起30日内，根据竞争性谈判文件和成交人的响应文件订立书面合同。</w:t>
      </w:r>
      <w:r>
        <w:rPr>
          <w:color w:val="auto"/>
          <w:szCs w:val="21"/>
          <w:highlight w:val="none"/>
        </w:rPr>
        <w:t>采购人和成交人不得再行订立背离合同实质性内容的其他协议。</w:t>
      </w:r>
    </w:p>
    <w:p w14:paraId="0C5D0907">
      <w:pPr>
        <w:spacing w:line="400" w:lineRule="exact"/>
        <w:ind w:firstLine="420" w:firstLineChars="200"/>
        <w:rPr>
          <w:color w:val="auto"/>
          <w:szCs w:val="21"/>
          <w:highlight w:val="none"/>
        </w:rPr>
      </w:pPr>
      <w:r>
        <w:rPr>
          <w:rFonts w:hint="eastAsia"/>
          <w:color w:val="auto"/>
          <w:szCs w:val="21"/>
          <w:highlight w:val="none"/>
        </w:rPr>
        <w:t>8.2.2成交人无正当理由拒签合同的，采购人取消其成交资格，其竞争性谈判保证金不予退还；给采购人造成的损失超过竞争性谈判保证金数额的，成交人还应当对超过部分予以赔偿。</w:t>
      </w:r>
    </w:p>
    <w:p w14:paraId="745F78FF">
      <w:pPr>
        <w:spacing w:line="400" w:lineRule="exact"/>
        <w:ind w:firstLine="420" w:firstLineChars="200"/>
        <w:rPr>
          <w:color w:val="auto"/>
          <w:szCs w:val="21"/>
          <w:highlight w:val="none"/>
        </w:rPr>
      </w:pPr>
    </w:p>
    <w:p w14:paraId="21425A94">
      <w:pPr>
        <w:pStyle w:val="2"/>
        <w:spacing w:before="240" w:after="120"/>
        <w:rPr>
          <w:color w:val="auto"/>
          <w:highlight w:val="none"/>
        </w:rPr>
      </w:pPr>
      <w:bookmarkStart w:id="95" w:name="_Toc8566"/>
      <w:bookmarkStart w:id="96" w:name="_Toc456551926"/>
      <w:r>
        <w:rPr>
          <w:rFonts w:hint="eastAsia"/>
          <w:color w:val="auto"/>
          <w:highlight w:val="none"/>
        </w:rPr>
        <w:t>9.采购代理服务费</w:t>
      </w:r>
      <w:bookmarkEnd w:id="95"/>
      <w:bookmarkEnd w:id="96"/>
    </w:p>
    <w:p w14:paraId="17B70C36">
      <w:pPr>
        <w:spacing w:line="400" w:lineRule="exact"/>
        <w:ind w:firstLine="420" w:firstLineChars="200"/>
        <w:rPr>
          <w:color w:val="auto"/>
          <w:szCs w:val="21"/>
          <w:highlight w:val="none"/>
        </w:rPr>
      </w:pPr>
      <w:r>
        <w:rPr>
          <w:rFonts w:hint="eastAsia"/>
          <w:color w:val="auto"/>
          <w:szCs w:val="21"/>
          <w:highlight w:val="none"/>
        </w:rPr>
        <w:t>采购代理服务费限见竞争性谈判响应须知前附表。</w:t>
      </w:r>
    </w:p>
    <w:p w14:paraId="1D6D3DDB">
      <w:pPr>
        <w:pStyle w:val="2"/>
        <w:rPr>
          <w:color w:val="auto"/>
          <w:highlight w:val="none"/>
        </w:rPr>
      </w:pPr>
      <w:bookmarkStart w:id="97" w:name="_Toc456551927"/>
      <w:bookmarkStart w:id="98" w:name="_Toc21324"/>
      <w:r>
        <w:rPr>
          <w:rFonts w:hint="eastAsia"/>
          <w:color w:val="auto"/>
          <w:highlight w:val="none"/>
        </w:rPr>
        <w:t>10. 纪律和监督</w:t>
      </w:r>
      <w:bookmarkEnd w:id="97"/>
      <w:bookmarkEnd w:id="98"/>
    </w:p>
    <w:p w14:paraId="76404256">
      <w:pPr>
        <w:spacing w:line="400" w:lineRule="exact"/>
        <w:rPr>
          <w:rFonts w:ascii="宋体" w:hAnsi="宋体"/>
          <w:b/>
          <w:color w:val="auto"/>
          <w:sz w:val="32"/>
          <w:szCs w:val="32"/>
          <w:highlight w:val="none"/>
        </w:rPr>
      </w:pPr>
      <w:bookmarkStart w:id="99" w:name="_Toc456551928"/>
      <w:bookmarkStart w:id="100" w:name="_Toc475552169"/>
      <w:r>
        <w:rPr>
          <w:rFonts w:hint="eastAsia" w:ascii="宋体" w:hAnsi="宋体"/>
          <w:b/>
          <w:color w:val="auto"/>
          <w:sz w:val="32"/>
          <w:szCs w:val="32"/>
          <w:highlight w:val="none"/>
        </w:rPr>
        <w:t>10.1 对采购人的纪律要求</w:t>
      </w:r>
      <w:bookmarkEnd w:id="99"/>
      <w:bookmarkEnd w:id="100"/>
    </w:p>
    <w:p w14:paraId="6D28DD06">
      <w:pPr>
        <w:spacing w:line="400" w:lineRule="exact"/>
        <w:ind w:firstLine="420" w:firstLineChars="200"/>
        <w:rPr>
          <w:color w:val="auto"/>
          <w:szCs w:val="21"/>
          <w:highlight w:val="none"/>
        </w:rPr>
      </w:pPr>
      <w:r>
        <w:rPr>
          <w:rFonts w:hint="eastAsia"/>
          <w:color w:val="auto"/>
          <w:szCs w:val="21"/>
          <w:highlight w:val="none"/>
        </w:rPr>
        <w:t>采购人</w:t>
      </w:r>
      <w:r>
        <w:rPr>
          <w:rFonts w:hint="eastAsia"/>
          <w:color w:val="auto"/>
          <w:szCs w:val="21"/>
          <w:highlight w:val="none"/>
          <w:lang w:eastAsia="zh-CN"/>
        </w:rPr>
        <w:t>不得泄露</w:t>
      </w:r>
      <w:r>
        <w:rPr>
          <w:rFonts w:hint="eastAsia"/>
          <w:color w:val="auto"/>
          <w:szCs w:val="21"/>
          <w:highlight w:val="none"/>
        </w:rPr>
        <w:t>竞争性谈判活动中应当保密的情况和资料，不得与响应人串通损害国家利益、社会公共利益或者他人合法权益。</w:t>
      </w:r>
    </w:p>
    <w:p w14:paraId="1269F891">
      <w:pPr>
        <w:spacing w:line="400" w:lineRule="exact"/>
        <w:rPr>
          <w:rFonts w:ascii="宋体" w:hAnsi="宋体"/>
          <w:b/>
          <w:color w:val="auto"/>
          <w:sz w:val="32"/>
          <w:szCs w:val="32"/>
          <w:highlight w:val="none"/>
        </w:rPr>
      </w:pPr>
      <w:bookmarkStart w:id="101" w:name="_Toc456551929"/>
      <w:bookmarkStart w:id="102" w:name="_Toc475552170"/>
      <w:r>
        <w:rPr>
          <w:rFonts w:hint="eastAsia" w:ascii="宋体" w:hAnsi="宋体"/>
          <w:b/>
          <w:color w:val="auto"/>
          <w:sz w:val="32"/>
          <w:szCs w:val="32"/>
          <w:highlight w:val="none"/>
        </w:rPr>
        <w:t>10.2 对响应人的纪律要求</w:t>
      </w:r>
      <w:bookmarkEnd w:id="101"/>
      <w:bookmarkEnd w:id="102"/>
    </w:p>
    <w:p w14:paraId="28466BD6">
      <w:pPr>
        <w:spacing w:line="400" w:lineRule="exact"/>
        <w:ind w:firstLine="420" w:firstLineChars="200"/>
        <w:rPr>
          <w:color w:val="auto"/>
          <w:szCs w:val="21"/>
          <w:highlight w:val="none"/>
        </w:rPr>
      </w:pPr>
      <w:r>
        <w:rPr>
          <w:rFonts w:hint="eastAsia"/>
          <w:color w:val="auto"/>
          <w:szCs w:val="21"/>
          <w:highlight w:val="none"/>
        </w:rPr>
        <w:t>响应人不得相互串通竞争性谈判或者与采购人串通竞争性谈判，不得向采购人或者谈判小组成员行贿谋取成交，不得以他人名义竞争性谈判或者以其他方式弄虚作假骗取成交；响应人不得以任何方式干扰、影响评审工作。</w:t>
      </w:r>
    </w:p>
    <w:p w14:paraId="522CDC68">
      <w:pPr>
        <w:spacing w:line="400" w:lineRule="exact"/>
        <w:rPr>
          <w:rFonts w:ascii="宋体" w:hAnsi="宋体"/>
          <w:b/>
          <w:color w:val="auto"/>
          <w:sz w:val="32"/>
          <w:szCs w:val="32"/>
          <w:highlight w:val="none"/>
        </w:rPr>
      </w:pPr>
      <w:bookmarkStart w:id="103" w:name="_Toc456551930"/>
      <w:bookmarkStart w:id="104" w:name="_Toc475552171"/>
      <w:r>
        <w:rPr>
          <w:rFonts w:hint="eastAsia" w:ascii="宋体" w:hAnsi="宋体"/>
          <w:b/>
          <w:color w:val="auto"/>
          <w:sz w:val="32"/>
          <w:szCs w:val="32"/>
          <w:highlight w:val="none"/>
        </w:rPr>
        <w:t>10.3 对谈判小组成员的纪律要求</w:t>
      </w:r>
      <w:bookmarkEnd w:id="103"/>
      <w:bookmarkEnd w:id="104"/>
    </w:p>
    <w:p w14:paraId="026C1080">
      <w:pPr>
        <w:spacing w:line="400" w:lineRule="exact"/>
        <w:ind w:firstLine="420" w:firstLineChars="200"/>
        <w:rPr>
          <w:color w:val="auto"/>
          <w:szCs w:val="21"/>
          <w:highlight w:val="none"/>
        </w:rPr>
      </w:pPr>
      <w:r>
        <w:rPr>
          <w:rFonts w:hint="eastAsia"/>
          <w:color w:val="auto"/>
          <w:szCs w:val="21"/>
          <w:highlight w:val="none"/>
        </w:rPr>
        <w:t>谈判小组成员不得收受他人的财物或者其他好处，不得向他人</w:t>
      </w:r>
      <w:r>
        <w:rPr>
          <w:rFonts w:hint="eastAsia"/>
          <w:color w:val="auto"/>
          <w:szCs w:val="21"/>
          <w:highlight w:val="none"/>
          <w:lang w:eastAsia="zh-CN"/>
        </w:rPr>
        <w:t>透露</w:t>
      </w:r>
      <w:r>
        <w:rPr>
          <w:rFonts w:hint="eastAsia"/>
          <w:color w:val="auto"/>
          <w:szCs w:val="21"/>
          <w:highlight w:val="none"/>
        </w:rPr>
        <w:t>对响应文件的评审和比较、成交候选人的推荐情况以及评审有关的其他情况。在评审活动中，谈判小组成员应当客观、公正地履行职责，遵守职业道德，不得擅离职守，影响评审程序正常进行，不得使用第三章“评审办法”没有规定的评审因素和标准进行评审。</w:t>
      </w:r>
    </w:p>
    <w:p w14:paraId="1C82CFA5">
      <w:pPr>
        <w:spacing w:line="400" w:lineRule="exact"/>
        <w:rPr>
          <w:rFonts w:ascii="宋体" w:hAnsi="宋体"/>
          <w:b/>
          <w:color w:val="auto"/>
          <w:sz w:val="32"/>
          <w:szCs w:val="32"/>
          <w:highlight w:val="none"/>
        </w:rPr>
      </w:pPr>
      <w:bookmarkStart w:id="105" w:name="_Toc475552172"/>
      <w:bookmarkStart w:id="106" w:name="_Toc456551931"/>
      <w:r>
        <w:rPr>
          <w:rFonts w:hint="eastAsia" w:ascii="宋体" w:hAnsi="宋体"/>
          <w:b/>
          <w:color w:val="auto"/>
          <w:sz w:val="32"/>
          <w:szCs w:val="32"/>
          <w:highlight w:val="none"/>
        </w:rPr>
        <w:t>10.4 对与评审活动有关的工作人员的纪律要求</w:t>
      </w:r>
      <w:bookmarkEnd w:id="105"/>
      <w:bookmarkEnd w:id="106"/>
    </w:p>
    <w:p w14:paraId="18E0ECF4">
      <w:pPr>
        <w:spacing w:line="400" w:lineRule="exact"/>
        <w:ind w:firstLine="420" w:firstLineChars="200"/>
        <w:rPr>
          <w:color w:val="auto"/>
          <w:szCs w:val="21"/>
          <w:highlight w:val="none"/>
        </w:rPr>
      </w:pPr>
      <w:r>
        <w:rPr>
          <w:rFonts w:hint="eastAsia"/>
          <w:color w:val="auto"/>
          <w:szCs w:val="21"/>
          <w:highlight w:val="none"/>
        </w:rPr>
        <w:t>与评审活动有关的工作人员不得收受他人的财物或者其他好处，不得向他人</w:t>
      </w:r>
      <w:r>
        <w:rPr>
          <w:rFonts w:hint="eastAsia"/>
          <w:color w:val="auto"/>
          <w:szCs w:val="21"/>
          <w:highlight w:val="none"/>
          <w:lang w:eastAsia="zh-CN"/>
        </w:rPr>
        <w:t>透露</w:t>
      </w:r>
      <w:r>
        <w:rPr>
          <w:rFonts w:hint="eastAsia"/>
          <w:color w:val="auto"/>
          <w:szCs w:val="21"/>
          <w:highlight w:val="none"/>
        </w:rPr>
        <w:t>对响应文件的评审和比较、成交候选人的推荐情况以及评审有关的其他情况。在评审活动中，与评审活动有关的工作人员不得擅离职守，影响评审程序正常进行。</w:t>
      </w:r>
    </w:p>
    <w:p w14:paraId="6D7B823F">
      <w:pPr>
        <w:spacing w:line="400" w:lineRule="exact"/>
        <w:rPr>
          <w:rFonts w:ascii="宋体" w:hAnsi="宋体"/>
          <w:b/>
          <w:color w:val="auto"/>
          <w:sz w:val="32"/>
          <w:szCs w:val="32"/>
          <w:highlight w:val="none"/>
        </w:rPr>
      </w:pPr>
      <w:r>
        <w:rPr>
          <w:rFonts w:hint="eastAsia" w:ascii="宋体" w:hAnsi="宋体"/>
          <w:b/>
          <w:color w:val="auto"/>
          <w:sz w:val="32"/>
          <w:szCs w:val="32"/>
          <w:highlight w:val="none"/>
        </w:rPr>
        <w:t>10.5 采购监督小组</w:t>
      </w:r>
    </w:p>
    <w:p w14:paraId="72EC7473">
      <w:pPr>
        <w:spacing w:line="400" w:lineRule="exact"/>
        <w:ind w:firstLine="420" w:firstLineChars="200"/>
        <w:rPr>
          <w:color w:val="auto"/>
          <w:szCs w:val="21"/>
          <w:highlight w:val="none"/>
        </w:rPr>
      </w:pPr>
      <w:r>
        <w:rPr>
          <w:color w:val="auto"/>
          <w:szCs w:val="21"/>
          <w:highlight w:val="none"/>
        </w:rPr>
        <w:t>10.5.</w:t>
      </w:r>
      <w:r>
        <w:rPr>
          <w:rFonts w:hint="eastAsia"/>
          <w:color w:val="auto"/>
          <w:szCs w:val="21"/>
          <w:highlight w:val="none"/>
        </w:rPr>
        <w:t>1采购人应当组建采购监督小组对竞争性谈判过程进行监督，及时指出、制止违反程序及纪律的行为，但不得就资格审查或者评标涉及的实质内容发表意见或者参与资格审查委员会、谈判小组的讨论。</w:t>
      </w:r>
    </w:p>
    <w:p w14:paraId="6014B266">
      <w:pPr>
        <w:spacing w:line="400" w:lineRule="exact"/>
        <w:ind w:firstLine="420" w:firstLineChars="200"/>
        <w:rPr>
          <w:color w:val="auto"/>
          <w:szCs w:val="21"/>
          <w:highlight w:val="none"/>
        </w:rPr>
      </w:pPr>
      <w:r>
        <w:rPr>
          <w:color w:val="auto"/>
          <w:szCs w:val="21"/>
          <w:highlight w:val="none"/>
        </w:rPr>
        <w:t>10.5.</w:t>
      </w:r>
      <w:r>
        <w:rPr>
          <w:rFonts w:hint="eastAsia"/>
          <w:color w:val="auto"/>
          <w:szCs w:val="21"/>
          <w:highlight w:val="none"/>
        </w:rPr>
        <w:t>2特殊情况导致开标、评标无法继续进行的、相关人员存在违反程序及纪律的行为被指出后仍拒绝纠正的、发现竞争性谈判活动存在其他违反相关规定行为的，采购监督小组应当及时报告监督部门。</w:t>
      </w:r>
    </w:p>
    <w:p w14:paraId="4DB32748">
      <w:pPr>
        <w:spacing w:line="400" w:lineRule="exact"/>
        <w:ind w:firstLine="420" w:firstLineChars="200"/>
        <w:rPr>
          <w:color w:val="auto"/>
          <w:szCs w:val="21"/>
          <w:highlight w:val="none"/>
        </w:rPr>
      </w:pPr>
      <w:r>
        <w:rPr>
          <w:color w:val="auto"/>
          <w:szCs w:val="21"/>
          <w:highlight w:val="none"/>
        </w:rPr>
        <w:t>10.5.</w:t>
      </w:r>
      <w:r>
        <w:rPr>
          <w:rFonts w:hint="eastAsia"/>
          <w:color w:val="auto"/>
          <w:szCs w:val="21"/>
          <w:highlight w:val="none"/>
        </w:rPr>
        <w:t>3采购监督小组可以通过检查、随机抽查、现场监督、网络在线监督等方式对竞争性谈判活动进行监督，竞争性谈判活动各方应当自觉接受监督检查。</w:t>
      </w:r>
    </w:p>
    <w:p w14:paraId="57ACEC42">
      <w:pPr>
        <w:pStyle w:val="2"/>
        <w:rPr>
          <w:color w:val="auto"/>
          <w:highlight w:val="none"/>
        </w:rPr>
      </w:pPr>
      <w:bookmarkStart w:id="107" w:name="_Toc456551933"/>
      <w:bookmarkStart w:id="108" w:name="_Toc31788"/>
      <w:bookmarkStart w:id="109" w:name="_Toc247085689"/>
      <w:bookmarkStart w:id="110" w:name="_Toc246996175"/>
      <w:bookmarkStart w:id="111" w:name="_Toc144974497"/>
      <w:bookmarkStart w:id="112" w:name="_Toc179632546"/>
      <w:bookmarkStart w:id="113" w:name="_Toc152042305"/>
      <w:bookmarkStart w:id="114" w:name="_Toc296602420"/>
      <w:bookmarkStart w:id="115" w:name="_Toc246996918"/>
      <w:bookmarkStart w:id="116" w:name="_Toc152045529"/>
      <w:r>
        <w:rPr>
          <w:rFonts w:hint="eastAsia"/>
          <w:color w:val="auto"/>
          <w:highlight w:val="none"/>
        </w:rPr>
        <w:t>1</w:t>
      </w:r>
      <w:r>
        <w:rPr>
          <w:rFonts w:hint="eastAsia"/>
          <w:color w:val="auto"/>
          <w:highlight w:val="none"/>
          <w:lang w:val="en-US" w:eastAsia="zh-CN"/>
        </w:rPr>
        <w:t>1</w:t>
      </w:r>
      <w:r>
        <w:rPr>
          <w:rFonts w:hint="eastAsia"/>
          <w:color w:val="auto"/>
          <w:highlight w:val="none"/>
        </w:rPr>
        <w:t>. 需要补充的其他内容</w:t>
      </w:r>
      <w:bookmarkEnd w:id="107"/>
      <w:bookmarkEnd w:id="108"/>
    </w:p>
    <w:p w14:paraId="21F93521">
      <w:pPr>
        <w:spacing w:line="400" w:lineRule="exact"/>
        <w:ind w:firstLine="420" w:firstLineChars="200"/>
        <w:rPr>
          <w:color w:val="auto"/>
          <w:szCs w:val="21"/>
          <w:highlight w:val="none"/>
        </w:rPr>
      </w:pPr>
      <w:r>
        <w:rPr>
          <w:rFonts w:hint="eastAsia"/>
          <w:color w:val="auto"/>
          <w:szCs w:val="21"/>
          <w:highlight w:val="none"/>
        </w:rPr>
        <w:t>需要补充的其他内容：见竞争性谈判响应须知前附表。</w:t>
      </w:r>
    </w:p>
    <w:p w14:paraId="5BB5DC80">
      <w:pPr>
        <w:pStyle w:val="3"/>
        <w:spacing w:before="0"/>
        <w:jc w:val="center"/>
        <w:rPr>
          <w:rFonts w:ascii="宋体" w:hAnsi="宋体"/>
          <w:color w:val="auto"/>
          <w:sz w:val="28"/>
          <w:szCs w:val="28"/>
          <w:highlight w:val="none"/>
        </w:rPr>
      </w:pPr>
      <w:bookmarkStart w:id="117" w:name="_Toc456551939"/>
      <w:bookmarkStart w:id="118" w:name="_Toc30800"/>
      <w:r>
        <w:rPr>
          <w:rFonts w:hint="eastAsia" w:ascii="宋体" w:hAnsi="宋体"/>
          <w:color w:val="auto"/>
          <w:sz w:val="28"/>
          <w:szCs w:val="28"/>
          <w:highlight w:val="none"/>
        </w:rPr>
        <w:t>第三章 评审办法</w:t>
      </w:r>
      <w:bookmarkEnd w:id="117"/>
      <w:bookmarkEnd w:id="118"/>
    </w:p>
    <w:p w14:paraId="573495AA">
      <w:pPr>
        <w:pStyle w:val="2"/>
        <w:spacing w:before="0" w:after="120" w:line="415" w:lineRule="auto"/>
        <w:jc w:val="left"/>
        <w:outlineLvl w:val="1"/>
        <w:rPr>
          <w:rFonts w:ascii="黑体" w:hAnsi="黑体" w:eastAsia="黑体"/>
          <w:color w:val="auto"/>
          <w:sz w:val="28"/>
          <w:szCs w:val="28"/>
          <w:highlight w:val="none"/>
        </w:rPr>
      </w:pPr>
      <w:bookmarkStart w:id="119" w:name="_Toc18887"/>
      <w:bookmarkStart w:id="120" w:name="_Toc456551940"/>
      <w:r>
        <w:rPr>
          <w:rFonts w:hint="eastAsia" w:ascii="黑体" w:hAnsi="黑体" w:eastAsia="黑体"/>
          <w:color w:val="auto"/>
          <w:sz w:val="28"/>
          <w:szCs w:val="28"/>
          <w:highlight w:val="none"/>
        </w:rPr>
        <w:t>一、评审办法前附表</w:t>
      </w:r>
      <w:bookmarkEnd w:id="119"/>
    </w:p>
    <w:tbl>
      <w:tblPr>
        <w:tblStyle w:val="37"/>
        <w:tblW w:w="878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3"/>
        <w:gridCol w:w="1973"/>
        <w:gridCol w:w="4689"/>
        <w:gridCol w:w="1134"/>
      </w:tblGrid>
      <w:tr w14:paraId="621C73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993" w:type="dxa"/>
            <w:tcBorders>
              <w:top w:val="single" w:color="auto" w:sz="4" w:space="0"/>
              <w:left w:val="single" w:color="auto" w:sz="4" w:space="0"/>
              <w:bottom w:val="single" w:color="auto" w:sz="4" w:space="0"/>
              <w:right w:val="single" w:color="auto" w:sz="4" w:space="0"/>
            </w:tcBorders>
            <w:vAlign w:val="center"/>
          </w:tcPr>
          <w:p w14:paraId="13DD8964">
            <w:pPr>
              <w:snapToGrid w:val="0"/>
              <w:jc w:val="center"/>
              <w:rPr>
                <w:rFonts w:ascii="宋体" w:hAnsi="宋体" w:cs="宋体"/>
                <w:color w:val="auto"/>
                <w:kern w:val="0"/>
                <w:sz w:val="21"/>
                <w:szCs w:val="21"/>
                <w:highlight w:val="none"/>
              </w:rPr>
            </w:pPr>
            <w:r>
              <w:rPr>
                <w:rFonts w:hint="eastAsia" w:ascii="宋体" w:hAnsi="宋体" w:cs="宋体"/>
                <w:color w:val="auto"/>
                <w:sz w:val="21"/>
                <w:szCs w:val="21"/>
                <w:highlight w:val="none"/>
              </w:rPr>
              <w:t>序号</w:t>
            </w:r>
          </w:p>
        </w:tc>
        <w:tc>
          <w:tcPr>
            <w:tcW w:w="1973" w:type="dxa"/>
            <w:tcBorders>
              <w:top w:val="single" w:color="auto" w:sz="4" w:space="0"/>
              <w:left w:val="single" w:color="auto" w:sz="4" w:space="0"/>
              <w:bottom w:val="single" w:color="auto" w:sz="4" w:space="0"/>
              <w:right w:val="single" w:color="auto" w:sz="4" w:space="0"/>
            </w:tcBorders>
            <w:vAlign w:val="center"/>
          </w:tcPr>
          <w:p w14:paraId="1D0F3872">
            <w:pPr>
              <w:snapToGrid w:val="0"/>
              <w:jc w:val="center"/>
              <w:rPr>
                <w:rFonts w:ascii="宋体" w:hAnsi="宋体" w:cs="宋体"/>
                <w:color w:val="auto"/>
                <w:sz w:val="21"/>
                <w:szCs w:val="21"/>
                <w:highlight w:val="none"/>
              </w:rPr>
            </w:pPr>
            <w:r>
              <w:rPr>
                <w:rFonts w:hint="eastAsia" w:ascii="宋体" w:hAnsi="宋体" w:cs="宋体"/>
                <w:color w:val="auto"/>
                <w:kern w:val="0"/>
                <w:sz w:val="21"/>
                <w:szCs w:val="21"/>
                <w:highlight w:val="none"/>
              </w:rPr>
              <w:t>评审内容</w:t>
            </w:r>
          </w:p>
        </w:tc>
        <w:tc>
          <w:tcPr>
            <w:tcW w:w="4689" w:type="dxa"/>
            <w:tcBorders>
              <w:top w:val="single" w:color="auto" w:sz="4" w:space="0"/>
              <w:left w:val="single" w:color="auto" w:sz="4" w:space="0"/>
              <w:bottom w:val="single" w:color="auto" w:sz="4" w:space="0"/>
              <w:right w:val="single" w:color="auto" w:sz="4" w:space="0"/>
            </w:tcBorders>
            <w:vAlign w:val="center"/>
          </w:tcPr>
          <w:p w14:paraId="15FB09ED">
            <w:pPr>
              <w:snapToGrid w:val="0"/>
              <w:jc w:val="center"/>
              <w:rPr>
                <w:rFonts w:ascii="宋体" w:hAnsi="宋体" w:cs="宋体"/>
                <w:color w:val="auto"/>
                <w:sz w:val="21"/>
                <w:szCs w:val="21"/>
                <w:highlight w:val="none"/>
              </w:rPr>
            </w:pPr>
            <w:r>
              <w:rPr>
                <w:rFonts w:hint="eastAsia" w:ascii="宋体" w:hAnsi="宋体" w:cs="宋体"/>
                <w:color w:val="auto"/>
                <w:kern w:val="0"/>
                <w:sz w:val="21"/>
                <w:szCs w:val="21"/>
                <w:highlight w:val="none"/>
              </w:rPr>
              <w:t>评审标准</w:t>
            </w:r>
          </w:p>
        </w:tc>
        <w:tc>
          <w:tcPr>
            <w:tcW w:w="1134" w:type="dxa"/>
            <w:tcBorders>
              <w:top w:val="single" w:color="auto" w:sz="4" w:space="0"/>
              <w:left w:val="single" w:color="auto" w:sz="4" w:space="0"/>
              <w:bottom w:val="single" w:color="auto" w:sz="4" w:space="0"/>
              <w:right w:val="single" w:color="auto" w:sz="4" w:space="0"/>
            </w:tcBorders>
            <w:vAlign w:val="center"/>
          </w:tcPr>
          <w:p w14:paraId="3839A986">
            <w:pPr>
              <w:snapToGrid w:val="0"/>
              <w:jc w:val="center"/>
              <w:rPr>
                <w:rFonts w:ascii="宋体" w:hAnsi="宋体" w:cs="宋体"/>
                <w:color w:val="auto"/>
                <w:sz w:val="21"/>
                <w:szCs w:val="21"/>
                <w:highlight w:val="none"/>
              </w:rPr>
            </w:pPr>
            <w:r>
              <w:rPr>
                <w:rFonts w:hint="eastAsia" w:ascii="宋体" w:hAnsi="宋体" w:cs="宋体"/>
                <w:color w:val="auto"/>
                <w:sz w:val="21"/>
                <w:szCs w:val="21"/>
                <w:highlight w:val="none"/>
              </w:rPr>
              <w:t>竞争性谈判文件索引页码</w:t>
            </w:r>
          </w:p>
        </w:tc>
      </w:tr>
      <w:tr w14:paraId="6AD34E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993" w:type="dxa"/>
            <w:tcBorders>
              <w:top w:val="single" w:color="auto" w:sz="4" w:space="0"/>
              <w:left w:val="single" w:color="auto" w:sz="4" w:space="0"/>
              <w:bottom w:val="single" w:color="auto" w:sz="4" w:space="0"/>
              <w:right w:val="single" w:color="auto" w:sz="4" w:space="0"/>
            </w:tcBorders>
            <w:vAlign w:val="center"/>
          </w:tcPr>
          <w:p w14:paraId="330A2849">
            <w:pPr>
              <w:snapToGrid w:val="0"/>
              <w:jc w:val="center"/>
              <w:rPr>
                <w:rFonts w:ascii="宋体" w:hAnsi="宋体" w:cs="宋体"/>
                <w:color w:val="auto"/>
                <w:sz w:val="21"/>
                <w:szCs w:val="21"/>
                <w:highlight w:val="none"/>
              </w:rPr>
            </w:pPr>
            <w:r>
              <w:rPr>
                <w:rFonts w:hint="eastAsia" w:ascii="宋体" w:hAnsi="宋体" w:cs="宋体"/>
                <w:color w:val="auto"/>
                <w:sz w:val="21"/>
                <w:szCs w:val="21"/>
                <w:highlight w:val="none"/>
              </w:rPr>
              <w:t>1</w:t>
            </w:r>
          </w:p>
        </w:tc>
        <w:tc>
          <w:tcPr>
            <w:tcW w:w="1973" w:type="dxa"/>
            <w:tcBorders>
              <w:top w:val="single" w:color="auto" w:sz="4" w:space="0"/>
              <w:left w:val="single" w:color="auto" w:sz="4" w:space="0"/>
              <w:bottom w:val="single" w:color="auto" w:sz="4" w:space="0"/>
              <w:right w:val="single" w:color="auto" w:sz="4" w:space="0"/>
            </w:tcBorders>
            <w:vAlign w:val="center"/>
          </w:tcPr>
          <w:p w14:paraId="4755E214">
            <w:pPr>
              <w:snapToGrid w:val="0"/>
              <w:jc w:val="center"/>
              <w:rPr>
                <w:rFonts w:ascii="宋体" w:hAnsi="宋体" w:cs="宋体"/>
                <w:color w:val="auto"/>
                <w:kern w:val="0"/>
                <w:sz w:val="21"/>
                <w:szCs w:val="21"/>
                <w:highlight w:val="none"/>
              </w:rPr>
            </w:pPr>
            <w:r>
              <w:rPr>
                <w:rFonts w:hint="eastAsia" w:ascii="宋体" w:hAnsi="宋体" w:cs="宋体"/>
                <w:color w:val="auto"/>
                <w:kern w:val="0"/>
                <w:sz w:val="21"/>
                <w:szCs w:val="21"/>
                <w:highlight w:val="none"/>
              </w:rPr>
              <w:t>响应人资格要求</w:t>
            </w:r>
          </w:p>
        </w:tc>
        <w:tc>
          <w:tcPr>
            <w:tcW w:w="4689" w:type="dxa"/>
            <w:tcBorders>
              <w:top w:val="single" w:color="auto" w:sz="4" w:space="0"/>
              <w:left w:val="single" w:color="auto" w:sz="4" w:space="0"/>
              <w:bottom w:val="single" w:color="auto" w:sz="4" w:space="0"/>
              <w:right w:val="single" w:color="auto" w:sz="4" w:space="0"/>
            </w:tcBorders>
            <w:vAlign w:val="center"/>
          </w:tcPr>
          <w:p w14:paraId="1E07AAAB">
            <w:pPr>
              <w:snapToGrid w:val="0"/>
              <w:jc w:val="center"/>
              <w:rPr>
                <w:rFonts w:ascii="宋体" w:hAnsi="宋体" w:cs="宋体"/>
                <w:color w:val="auto"/>
                <w:kern w:val="0"/>
                <w:sz w:val="21"/>
                <w:szCs w:val="21"/>
                <w:highlight w:val="none"/>
              </w:rPr>
            </w:pPr>
            <w:r>
              <w:rPr>
                <w:rFonts w:hint="eastAsia" w:ascii="宋体" w:hAnsi="宋体" w:cs="宋体"/>
                <w:color w:val="auto"/>
                <w:kern w:val="0"/>
                <w:sz w:val="21"/>
                <w:szCs w:val="21"/>
                <w:highlight w:val="none"/>
              </w:rPr>
              <w:t>符合响应人资格要求</w:t>
            </w:r>
          </w:p>
        </w:tc>
        <w:tc>
          <w:tcPr>
            <w:tcW w:w="1134" w:type="dxa"/>
            <w:tcBorders>
              <w:top w:val="single" w:color="auto" w:sz="4" w:space="0"/>
              <w:left w:val="single" w:color="auto" w:sz="4" w:space="0"/>
              <w:bottom w:val="single" w:color="auto" w:sz="4" w:space="0"/>
              <w:right w:val="single" w:color="auto" w:sz="4" w:space="0"/>
            </w:tcBorders>
            <w:vAlign w:val="center"/>
          </w:tcPr>
          <w:p w14:paraId="7D9966F1">
            <w:pPr>
              <w:snapToGrid w:val="0"/>
              <w:jc w:val="center"/>
              <w:rPr>
                <w:rFonts w:ascii="宋体" w:hAnsi="宋体" w:cs="宋体"/>
                <w:color w:val="auto"/>
                <w:kern w:val="0"/>
                <w:sz w:val="21"/>
                <w:szCs w:val="21"/>
                <w:highlight w:val="none"/>
              </w:rPr>
            </w:pPr>
          </w:p>
        </w:tc>
      </w:tr>
      <w:tr w14:paraId="39A0D1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993" w:type="dxa"/>
            <w:tcBorders>
              <w:top w:val="single" w:color="auto" w:sz="4" w:space="0"/>
              <w:left w:val="single" w:color="auto" w:sz="4" w:space="0"/>
              <w:bottom w:val="single" w:color="auto" w:sz="4" w:space="0"/>
              <w:right w:val="single" w:color="auto" w:sz="4" w:space="0"/>
            </w:tcBorders>
            <w:vAlign w:val="center"/>
          </w:tcPr>
          <w:p w14:paraId="1BD63040">
            <w:pPr>
              <w:snapToGrid w:val="0"/>
              <w:jc w:val="center"/>
              <w:rPr>
                <w:rFonts w:ascii="宋体" w:hAnsi="宋体" w:cs="宋体"/>
                <w:color w:val="auto"/>
                <w:sz w:val="21"/>
                <w:szCs w:val="21"/>
                <w:highlight w:val="none"/>
              </w:rPr>
            </w:pPr>
            <w:r>
              <w:rPr>
                <w:rFonts w:hint="eastAsia" w:ascii="宋体" w:hAnsi="宋体" w:cs="宋体"/>
                <w:color w:val="auto"/>
                <w:sz w:val="21"/>
                <w:szCs w:val="21"/>
                <w:highlight w:val="none"/>
              </w:rPr>
              <w:t>2</w:t>
            </w:r>
          </w:p>
        </w:tc>
        <w:tc>
          <w:tcPr>
            <w:tcW w:w="1973" w:type="dxa"/>
            <w:tcBorders>
              <w:top w:val="single" w:color="auto" w:sz="4" w:space="0"/>
              <w:left w:val="single" w:color="auto" w:sz="4" w:space="0"/>
              <w:bottom w:val="single" w:color="auto" w:sz="4" w:space="0"/>
              <w:right w:val="single" w:color="auto" w:sz="4" w:space="0"/>
            </w:tcBorders>
            <w:vAlign w:val="center"/>
          </w:tcPr>
          <w:p w14:paraId="1768DB78">
            <w:pPr>
              <w:snapToGrid w:val="0"/>
              <w:jc w:val="center"/>
              <w:rPr>
                <w:rFonts w:ascii="宋体" w:hAnsi="宋体" w:cs="宋体"/>
                <w:color w:val="auto"/>
                <w:kern w:val="0"/>
                <w:sz w:val="21"/>
                <w:szCs w:val="21"/>
                <w:highlight w:val="none"/>
              </w:rPr>
            </w:pPr>
            <w:r>
              <w:rPr>
                <w:rFonts w:hint="eastAsia" w:ascii="宋体" w:hAnsi="宋体" w:cs="宋体"/>
                <w:color w:val="auto"/>
                <w:kern w:val="0"/>
                <w:sz w:val="21"/>
                <w:szCs w:val="21"/>
                <w:highlight w:val="none"/>
              </w:rPr>
              <w:t>竞争性谈判保证金</w:t>
            </w:r>
          </w:p>
        </w:tc>
        <w:tc>
          <w:tcPr>
            <w:tcW w:w="4689" w:type="dxa"/>
            <w:tcBorders>
              <w:top w:val="single" w:color="auto" w:sz="4" w:space="0"/>
              <w:left w:val="single" w:color="auto" w:sz="4" w:space="0"/>
              <w:bottom w:val="single" w:color="auto" w:sz="4" w:space="0"/>
              <w:right w:val="single" w:color="auto" w:sz="4" w:space="0"/>
            </w:tcBorders>
            <w:vAlign w:val="center"/>
          </w:tcPr>
          <w:p w14:paraId="4F836E2D">
            <w:pPr>
              <w:snapToGrid w:val="0"/>
              <w:jc w:val="center"/>
              <w:rPr>
                <w:rFonts w:ascii="宋体" w:hAnsi="宋体" w:cs="宋体"/>
                <w:color w:val="auto"/>
                <w:kern w:val="0"/>
                <w:sz w:val="21"/>
                <w:szCs w:val="21"/>
                <w:highlight w:val="none"/>
              </w:rPr>
            </w:pPr>
            <w:r>
              <w:rPr>
                <w:rFonts w:hint="eastAsia" w:hAnsi="宋体" w:cs="宋体"/>
                <w:bCs/>
                <w:color w:val="auto"/>
                <w:sz w:val="21"/>
                <w:szCs w:val="21"/>
                <w:highlight w:val="none"/>
              </w:rPr>
              <w:t>按竞争性谈判文件的规定提交竞争性谈判保证金的</w:t>
            </w:r>
          </w:p>
        </w:tc>
        <w:tc>
          <w:tcPr>
            <w:tcW w:w="1134" w:type="dxa"/>
            <w:tcBorders>
              <w:top w:val="single" w:color="auto" w:sz="4" w:space="0"/>
              <w:left w:val="single" w:color="auto" w:sz="4" w:space="0"/>
              <w:bottom w:val="single" w:color="auto" w:sz="4" w:space="0"/>
              <w:right w:val="single" w:color="auto" w:sz="4" w:space="0"/>
            </w:tcBorders>
            <w:vAlign w:val="center"/>
          </w:tcPr>
          <w:p w14:paraId="29BB7B8B">
            <w:pPr>
              <w:snapToGrid w:val="0"/>
              <w:jc w:val="center"/>
              <w:rPr>
                <w:rFonts w:ascii="宋体" w:hAnsi="宋体" w:cs="宋体"/>
                <w:color w:val="auto"/>
                <w:kern w:val="0"/>
                <w:sz w:val="21"/>
                <w:szCs w:val="21"/>
                <w:highlight w:val="none"/>
              </w:rPr>
            </w:pPr>
          </w:p>
        </w:tc>
      </w:tr>
      <w:tr w14:paraId="1BDA37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993" w:type="dxa"/>
            <w:tcBorders>
              <w:top w:val="single" w:color="auto" w:sz="4" w:space="0"/>
              <w:left w:val="single" w:color="auto" w:sz="4" w:space="0"/>
              <w:bottom w:val="single" w:color="auto" w:sz="4" w:space="0"/>
              <w:right w:val="single" w:color="auto" w:sz="4" w:space="0"/>
            </w:tcBorders>
            <w:vAlign w:val="center"/>
          </w:tcPr>
          <w:p w14:paraId="0DF515E6">
            <w:pPr>
              <w:snapToGrid w:val="0"/>
              <w:jc w:val="center"/>
              <w:rPr>
                <w:rFonts w:ascii="宋体" w:hAnsi="宋体" w:cs="宋体"/>
                <w:color w:val="auto"/>
                <w:sz w:val="21"/>
                <w:szCs w:val="21"/>
                <w:highlight w:val="none"/>
              </w:rPr>
            </w:pPr>
            <w:r>
              <w:rPr>
                <w:rFonts w:hint="eastAsia" w:ascii="宋体" w:hAnsi="宋体" w:cs="宋体"/>
                <w:color w:val="auto"/>
                <w:sz w:val="21"/>
                <w:szCs w:val="21"/>
                <w:highlight w:val="none"/>
              </w:rPr>
              <w:t>3</w:t>
            </w:r>
          </w:p>
        </w:tc>
        <w:tc>
          <w:tcPr>
            <w:tcW w:w="1973" w:type="dxa"/>
            <w:tcBorders>
              <w:top w:val="single" w:color="auto" w:sz="4" w:space="0"/>
              <w:left w:val="single" w:color="auto" w:sz="4" w:space="0"/>
              <w:bottom w:val="single" w:color="auto" w:sz="4" w:space="0"/>
              <w:right w:val="single" w:color="auto" w:sz="4" w:space="0"/>
            </w:tcBorders>
            <w:vAlign w:val="center"/>
          </w:tcPr>
          <w:p w14:paraId="2DD05B2D">
            <w:pPr>
              <w:snapToGrid w:val="0"/>
              <w:jc w:val="center"/>
              <w:rPr>
                <w:rFonts w:ascii="宋体" w:hAnsi="宋体" w:cs="宋体"/>
                <w:color w:val="auto"/>
                <w:kern w:val="0"/>
                <w:sz w:val="21"/>
                <w:szCs w:val="21"/>
                <w:highlight w:val="none"/>
              </w:rPr>
            </w:pPr>
            <w:r>
              <w:rPr>
                <w:rFonts w:hint="eastAsia" w:ascii="宋体" w:hAnsi="宋体" w:cs="宋体"/>
                <w:color w:val="auto"/>
                <w:kern w:val="0"/>
                <w:sz w:val="21"/>
                <w:szCs w:val="21"/>
                <w:highlight w:val="none"/>
              </w:rPr>
              <w:t>响应文件盖章、签署</w:t>
            </w:r>
          </w:p>
        </w:tc>
        <w:tc>
          <w:tcPr>
            <w:tcW w:w="4689" w:type="dxa"/>
            <w:tcBorders>
              <w:top w:val="single" w:color="auto" w:sz="4" w:space="0"/>
              <w:left w:val="single" w:color="auto" w:sz="4" w:space="0"/>
              <w:bottom w:val="single" w:color="auto" w:sz="4" w:space="0"/>
              <w:right w:val="single" w:color="auto" w:sz="4" w:space="0"/>
            </w:tcBorders>
            <w:vAlign w:val="center"/>
          </w:tcPr>
          <w:p w14:paraId="26FA9FF6">
            <w:pPr>
              <w:snapToGrid w:val="0"/>
              <w:jc w:val="center"/>
              <w:rPr>
                <w:rFonts w:ascii="宋体" w:hAnsi="宋体" w:cs="宋体"/>
                <w:color w:val="auto"/>
                <w:kern w:val="0"/>
                <w:sz w:val="21"/>
                <w:szCs w:val="21"/>
                <w:highlight w:val="none"/>
              </w:rPr>
            </w:pPr>
            <w:r>
              <w:rPr>
                <w:rFonts w:hint="eastAsia" w:hAnsi="宋体" w:cs="宋体"/>
                <w:bCs/>
                <w:color w:val="auto"/>
                <w:sz w:val="21"/>
                <w:szCs w:val="21"/>
                <w:highlight w:val="none"/>
              </w:rPr>
              <w:t>响应文件按竞争性谈判文件要求签署、盖章的</w:t>
            </w:r>
          </w:p>
        </w:tc>
        <w:tc>
          <w:tcPr>
            <w:tcW w:w="1134" w:type="dxa"/>
            <w:tcBorders>
              <w:top w:val="single" w:color="auto" w:sz="4" w:space="0"/>
              <w:left w:val="single" w:color="auto" w:sz="4" w:space="0"/>
              <w:bottom w:val="single" w:color="auto" w:sz="4" w:space="0"/>
              <w:right w:val="single" w:color="auto" w:sz="4" w:space="0"/>
            </w:tcBorders>
            <w:vAlign w:val="center"/>
          </w:tcPr>
          <w:p w14:paraId="29FB50C6">
            <w:pPr>
              <w:snapToGrid w:val="0"/>
              <w:jc w:val="center"/>
              <w:rPr>
                <w:rFonts w:ascii="宋体" w:hAnsi="宋体" w:cs="宋体"/>
                <w:color w:val="auto"/>
                <w:kern w:val="0"/>
                <w:sz w:val="21"/>
                <w:szCs w:val="21"/>
                <w:highlight w:val="none"/>
              </w:rPr>
            </w:pPr>
          </w:p>
        </w:tc>
      </w:tr>
      <w:tr w14:paraId="44E54F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993" w:type="dxa"/>
            <w:tcBorders>
              <w:top w:val="single" w:color="auto" w:sz="4" w:space="0"/>
              <w:left w:val="single" w:color="auto" w:sz="4" w:space="0"/>
              <w:bottom w:val="single" w:color="auto" w:sz="4" w:space="0"/>
              <w:right w:val="single" w:color="auto" w:sz="4" w:space="0"/>
            </w:tcBorders>
            <w:vAlign w:val="center"/>
          </w:tcPr>
          <w:p w14:paraId="1BB93C63">
            <w:pPr>
              <w:snapToGrid w:val="0"/>
              <w:jc w:val="center"/>
              <w:rPr>
                <w:rFonts w:ascii="宋体" w:hAnsi="宋体" w:cs="宋体"/>
                <w:color w:val="auto"/>
                <w:sz w:val="21"/>
                <w:szCs w:val="21"/>
                <w:highlight w:val="none"/>
              </w:rPr>
            </w:pPr>
            <w:r>
              <w:rPr>
                <w:rFonts w:hint="eastAsia" w:ascii="宋体" w:hAnsi="宋体" w:cs="宋体"/>
                <w:color w:val="auto"/>
                <w:sz w:val="21"/>
                <w:szCs w:val="21"/>
                <w:highlight w:val="none"/>
              </w:rPr>
              <w:t>4</w:t>
            </w:r>
          </w:p>
        </w:tc>
        <w:tc>
          <w:tcPr>
            <w:tcW w:w="1973" w:type="dxa"/>
            <w:tcBorders>
              <w:top w:val="single" w:color="auto" w:sz="4" w:space="0"/>
              <w:left w:val="single" w:color="auto" w:sz="4" w:space="0"/>
              <w:bottom w:val="single" w:color="auto" w:sz="4" w:space="0"/>
              <w:right w:val="single" w:color="auto" w:sz="4" w:space="0"/>
            </w:tcBorders>
            <w:vAlign w:val="center"/>
          </w:tcPr>
          <w:p w14:paraId="4F24460F">
            <w:pPr>
              <w:snapToGrid w:val="0"/>
              <w:jc w:val="center"/>
              <w:rPr>
                <w:rFonts w:ascii="宋体" w:hAnsi="宋体" w:cs="宋体"/>
                <w:color w:val="auto"/>
                <w:kern w:val="0"/>
                <w:sz w:val="21"/>
                <w:szCs w:val="21"/>
                <w:highlight w:val="none"/>
              </w:rPr>
            </w:pPr>
            <w:r>
              <w:rPr>
                <w:rFonts w:hint="eastAsia" w:ascii="宋体" w:hAnsi="宋体" w:cs="宋体"/>
                <w:color w:val="auto"/>
                <w:kern w:val="0"/>
                <w:sz w:val="21"/>
                <w:szCs w:val="21"/>
                <w:highlight w:val="none"/>
              </w:rPr>
              <w:t>报价</w:t>
            </w:r>
          </w:p>
        </w:tc>
        <w:tc>
          <w:tcPr>
            <w:tcW w:w="4689" w:type="dxa"/>
            <w:tcBorders>
              <w:top w:val="single" w:color="auto" w:sz="4" w:space="0"/>
              <w:left w:val="single" w:color="auto" w:sz="4" w:space="0"/>
              <w:bottom w:val="single" w:color="auto" w:sz="4" w:space="0"/>
              <w:right w:val="single" w:color="auto" w:sz="4" w:space="0"/>
            </w:tcBorders>
            <w:vAlign w:val="center"/>
          </w:tcPr>
          <w:p w14:paraId="45E340AD">
            <w:pPr>
              <w:snapToGrid w:val="0"/>
              <w:jc w:val="center"/>
              <w:rPr>
                <w:rFonts w:ascii="宋体" w:hAnsi="宋体" w:cs="宋体"/>
                <w:color w:val="auto"/>
                <w:kern w:val="0"/>
                <w:sz w:val="21"/>
                <w:szCs w:val="21"/>
                <w:highlight w:val="none"/>
              </w:rPr>
            </w:pPr>
            <w:r>
              <w:rPr>
                <w:rFonts w:hint="eastAsia" w:hAnsi="宋体" w:cs="宋体"/>
                <w:bCs/>
                <w:color w:val="auto"/>
                <w:sz w:val="21"/>
                <w:szCs w:val="21"/>
                <w:highlight w:val="none"/>
              </w:rPr>
              <w:t>按照竞争性谈判文件的规定进行报价的</w:t>
            </w:r>
          </w:p>
        </w:tc>
        <w:tc>
          <w:tcPr>
            <w:tcW w:w="1134" w:type="dxa"/>
            <w:tcBorders>
              <w:top w:val="single" w:color="auto" w:sz="4" w:space="0"/>
              <w:left w:val="single" w:color="auto" w:sz="4" w:space="0"/>
              <w:bottom w:val="single" w:color="auto" w:sz="4" w:space="0"/>
              <w:right w:val="single" w:color="auto" w:sz="4" w:space="0"/>
            </w:tcBorders>
            <w:vAlign w:val="center"/>
          </w:tcPr>
          <w:p w14:paraId="2D714FE0">
            <w:pPr>
              <w:snapToGrid w:val="0"/>
              <w:jc w:val="center"/>
              <w:rPr>
                <w:rFonts w:ascii="宋体" w:hAnsi="宋体" w:cs="宋体"/>
                <w:color w:val="auto"/>
                <w:kern w:val="0"/>
                <w:sz w:val="21"/>
                <w:szCs w:val="21"/>
                <w:highlight w:val="none"/>
              </w:rPr>
            </w:pPr>
          </w:p>
        </w:tc>
      </w:tr>
      <w:tr w14:paraId="262B65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993" w:type="dxa"/>
            <w:tcBorders>
              <w:top w:val="single" w:color="auto" w:sz="4" w:space="0"/>
              <w:left w:val="single" w:color="auto" w:sz="4" w:space="0"/>
              <w:bottom w:val="single" w:color="auto" w:sz="4" w:space="0"/>
              <w:right w:val="single" w:color="auto" w:sz="4" w:space="0"/>
            </w:tcBorders>
            <w:vAlign w:val="center"/>
          </w:tcPr>
          <w:p w14:paraId="4D6AB2BD">
            <w:pPr>
              <w:snapToGrid w:val="0"/>
              <w:jc w:val="center"/>
              <w:rPr>
                <w:rFonts w:ascii="宋体" w:hAnsi="宋体" w:cs="宋体"/>
                <w:color w:val="auto"/>
                <w:sz w:val="21"/>
                <w:szCs w:val="21"/>
                <w:highlight w:val="none"/>
              </w:rPr>
            </w:pPr>
            <w:r>
              <w:rPr>
                <w:rFonts w:hint="eastAsia" w:ascii="宋体" w:hAnsi="宋体" w:cs="宋体"/>
                <w:color w:val="auto"/>
                <w:sz w:val="21"/>
                <w:szCs w:val="21"/>
                <w:highlight w:val="none"/>
              </w:rPr>
              <w:t>5</w:t>
            </w:r>
          </w:p>
        </w:tc>
        <w:tc>
          <w:tcPr>
            <w:tcW w:w="1973" w:type="dxa"/>
            <w:tcBorders>
              <w:top w:val="single" w:color="auto" w:sz="4" w:space="0"/>
              <w:left w:val="single" w:color="auto" w:sz="4" w:space="0"/>
              <w:bottom w:val="single" w:color="auto" w:sz="4" w:space="0"/>
              <w:right w:val="single" w:color="auto" w:sz="4" w:space="0"/>
            </w:tcBorders>
            <w:vAlign w:val="center"/>
          </w:tcPr>
          <w:p w14:paraId="697E40ED">
            <w:pPr>
              <w:snapToGrid w:val="0"/>
              <w:jc w:val="center"/>
              <w:rPr>
                <w:rFonts w:ascii="宋体" w:hAnsi="宋体" w:cs="宋体"/>
                <w:color w:val="auto"/>
                <w:kern w:val="0"/>
                <w:sz w:val="21"/>
                <w:szCs w:val="21"/>
                <w:highlight w:val="none"/>
              </w:rPr>
            </w:pPr>
            <w:r>
              <w:rPr>
                <w:rFonts w:hint="eastAsia" w:hAnsi="宋体" w:cs="宋体"/>
                <w:bCs/>
                <w:color w:val="auto"/>
                <w:sz w:val="21"/>
                <w:szCs w:val="21"/>
                <w:highlight w:val="none"/>
              </w:rPr>
              <w:t>“★”符号的条款</w:t>
            </w:r>
          </w:p>
        </w:tc>
        <w:tc>
          <w:tcPr>
            <w:tcW w:w="4689" w:type="dxa"/>
            <w:tcBorders>
              <w:top w:val="single" w:color="auto" w:sz="4" w:space="0"/>
              <w:left w:val="single" w:color="auto" w:sz="4" w:space="0"/>
              <w:bottom w:val="single" w:color="auto" w:sz="4" w:space="0"/>
              <w:right w:val="single" w:color="auto" w:sz="4" w:space="0"/>
            </w:tcBorders>
            <w:vAlign w:val="center"/>
          </w:tcPr>
          <w:p w14:paraId="1CCF7C38">
            <w:pPr>
              <w:snapToGrid w:val="0"/>
              <w:jc w:val="center"/>
              <w:rPr>
                <w:rFonts w:hAnsi="宋体" w:cs="宋体"/>
                <w:bCs/>
                <w:color w:val="auto"/>
                <w:sz w:val="21"/>
                <w:szCs w:val="21"/>
                <w:highlight w:val="none"/>
              </w:rPr>
            </w:pPr>
            <w:r>
              <w:rPr>
                <w:rFonts w:hint="eastAsia" w:hAnsi="宋体" w:cs="宋体"/>
                <w:bCs/>
                <w:color w:val="auto"/>
                <w:sz w:val="21"/>
                <w:szCs w:val="21"/>
                <w:highlight w:val="none"/>
              </w:rPr>
              <w:t>无负偏离标注“★”符号的条款</w:t>
            </w:r>
          </w:p>
        </w:tc>
        <w:tc>
          <w:tcPr>
            <w:tcW w:w="1134" w:type="dxa"/>
            <w:tcBorders>
              <w:top w:val="single" w:color="auto" w:sz="4" w:space="0"/>
              <w:left w:val="single" w:color="auto" w:sz="4" w:space="0"/>
              <w:bottom w:val="single" w:color="auto" w:sz="4" w:space="0"/>
              <w:right w:val="single" w:color="auto" w:sz="4" w:space="0"/>
            </w:tcBorders>
            <w:vAlign w:val="center"/>
          </w:tcPr>
          <w:p w14:paraId="4E550EA4">
            <w:pPr>
              <w:snapToGrid w:val="0"/>
              <w:jc w:val="center"/>
              <w:rPr>
                <w:rFonts w:ascii="宋体" w:hAnsi="宋体" w:cs="宋体"/>
                <w:color w:val="auto"/>
                <w:kern w:val="0"/>
                <w:sz w:val="21"/>
                <w:szCs w:val="21"/>
                <w:highlight w:val="none"/>
              </w:rPr>
            </w:pPr>
          </w:p>
        </w:tc>
      </w:tr>
      <w:tr w14:paraId="2F847C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993" w:type="dxa"/>
            <w:tcBorders>
              <w:top w:val="single" w:color="auto" w:sz="4" w:space="0"/>
              <w:left w:val="single" w:color="auto" w:sz="4" w:space="0"/>
              <w:bottom w:val="single" w:color="auto" w:sz="4" w:space="0"/>
              <w:right w:val="single" w:color="auto" w:sz="4" w:space="0"/>
            </w:tcBorders>
            <w:vAlign w:val="center"/>
          </w:tcPr>
          <w:p w14:paraId="70E9E3FE">
            <w:pPr>
              <w:snapToGrid w:val="0"/>
              <w:jc w:val="center"/>
              <w:rPr>
                <w:rFonts w:ascii="宋体" w:hAnsi="宋体" w:cs="宋体"/>
                <w:color w:val="auto"/>
                <w:sz w:val="21"/>
                <w:szCs w:val="21"/>
                <w:highlight w:val="none"/>
              </w:rPr>
            </w:pPr>
            <w:r>
              <w:rPr>
                <w:rFonts w:hint="eastAsia" w:ascii="宋体" w:hAnsi="宋体" w:cs="宋体"/>
                <w:color w:val="auto"/>
                <w:sz w:val="21"/>
                <w:szCs w:val="21"/>
                <w:highlight w:val="none"/>
              </w:rPr>
              <w:t>6</w:t>
            </w:r>
          </w:p>
        </w:tc>
        <w:tc>
          <w:tcPr>
            <w:tcW w:w="1973" w:type="dxa"/>
            <w:tcBorders>
              <w:top w:val="single" w:color="auto" w:sz="4" w:space="0"/>
              <w:left w:val="single" w:color="auto" w:sz="4" w:space="0"/>
              <w:bottom w:val="single" w:color="auto" w:sz="4" w:space="0"/>
              <w:right w:val="single" w:color="auto" w:sz="4" w:space="0"/>
            </w:tcBorders>
            <w:vAlign w:val="center"/>
          </w:tcPr>
          <w:p w14:paraId="58A43496">
            <w:pPr>
              <w:snapToGrid w:val="0"/>
              <w:jc w:val="center"/>
              <w:rPr>
                <w:rFonts w:hAnsi="宋体" w:cs="宋体"/>
                <w:bCs/>
                <w:color w:val="auto"/>
                <w:sz w:val="21"/>
                <w:szCs w:val="21"/>
                <w:highlight w:val="none"/>
              </w:rPr>
            </w:pPr>
            <w:r>
              <w:rPr>
                <w:rFonts w:hint="eastAsia" w:hAnsi="宋体" w:cs="宋体"/>
                <w:bCs/>
                <w:color w:val="auto"/>
                <w:sz w:val="21"/>
                <w:szCs w:val="21"/>
                <w:highlight w:val="none"/>
              </w:rPr>
              <w:t>附加条件</w:t>
            </w:r>
          </w:p>
        </w:tc>
        <w:tc>
          <w:tcPr>
            <w:tcW w:w="4689" w:type="dxa"/>
            <w:tcBorders>
              <w:top w:val="single" w:color="auto" w:sz="4" w:space="0"/>
              <w:left w:val="single" w:color="auto" w:sz="4" w:space="0"/>
              <w:bottom w:val="single" w:color="auto" w:sz="4" w:space="0"/>
              <w:right w:val="single" w:color="auto" w:sz="4" w:space="0"/>
            </w:tcBorders>
            <w:vAlign w:val="center"/>
          </w:tcPr>
          <w:p w14:paraId="2675AFC8">
            <w:pPr>
              <w:snapToGrid w:val="0"/>
              <w:jc w:val="center"/>
              <w:rPr>
                <w:rFonts w:hAnsi="宋体" w:cs="宋体"/>
                <w:bCs/>
                <w:color w:val="auto"/>
                <w:sz w:val="21"/>
                <w:szCs w:val="21"/>
                <w:highlight w:val="none"/>
              </w:rPr>
            </w:pPr>
            <w:r>
              <w:rPr>
                <w:rFonts w:hint="eastAsia" w:hAnsi="宋体" w:cs="宋体"/>
                <w:bCs/>
                <w:color w:val="auto"/>
                <w:sz w:val="21"/>
                <w:szCs w:val="21"/>
                <w:highlight w:val="none"/>
              </w:rPr>
              <w:t>响应文件未含有采购人不能接受的附加条件的</w:t>
            </w:r>
          </w:p>
        </w:tc>
        <w:tc>
          <w:tcPr>
            <w:tcW w:w="1134" w:type="dxa"/>
            <w:tcBorders>
              <w:top w:val="single" w:color="auto" w:sz="4" w:space="0"/>
              <w:left w:val="single" w:color="auto" w:sz="4" w:space="0"/>
              <w:bottom w:val="single" w:color="auto" w:sz="4" w:space="0"/>
              <w:right w:val="single" w:color="auto" w:sz="4" w:space="0"/>
            </w:tcBorders>
            <w:vAlign w:val="center"/>
          </w:tcPr>
          <w:p w14:paraId="1F17BA76">
            <w:pPr>
              <w:snapToGrid w:val="0"/>
              <w:jc w:val="center"/>
              <w:rPr>
                <w:rFonts w:ascii="宋体" w:hAnsi="宋体" w:cs="宋体"/>
                <w:color w:val="auto"/>
                <w:kern w:val="0"/>
                <w:sz w:val="21"/>
                <w:szCs w:val="21"/>
                <w:highlight w:val="none"/>
              </w:rPr>
            </w:pPr>
          </w:p>
        </w:tc>
      </w:tr>
      <w:tr w14:paraId="557C33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993" w:type="dxa"/>
            <w:tcBorders>
              <w:top w:val="single" w:color="auto" w:sz="4" w:space="0"/>
              <w:left w:val="single" w:color="auto" w:sz="4" w:space="0"/>
              <w:bottom w:val="single" w:color="auto" w:sz="4" w:space="0"/>
              <w:right w:val="single" w:color="auto" w:sz="4" w:space="0"/>
            </w:tcBorders>
            <w:vAlign w:val="center"/>
          </w:tcPr>
          <w:p w14:paraId="1B003D70">
            <w:pPr>
              <w:snapToGrid w:val="0"/>
              <w:jc w:val="center"/>
              <w:rPr>
                <w:rFonts w:ascii="宋体" w:hAnsi="宋体" w:cs="宋体"/>
                <w:color w:val="auto"/>
                <w:sz w:val="21"/>
                <w:szCs w:val="21"/>
                <w:highlight w:val="none"/>
              </w:rPr>
            </w:pPr>
            <w:r>
              <w:rPr>
                <w:rFonts w:hint="eastAsia" w:ascii="宋体" w:hAnsi="宋体" w:cs="宋体"/>
                <w:color w:val="auto"/>
                <w:sz w:val="21"/>
                <w:szCs w:val="21"/>
                <w:highlight w:val="none"/>
              </w:rPr>
              <w:t>7</w:t>
            </w:r>
          </w:p>
        </w:tc>
        <w:tc>
          <w:tcPr>
            <w:tcW w:w="1973" w:type="dxa"/>
            <w:tcBorders>
              <w:top w:val="single" w:color="auto" w:sz="4" w:space="0"/>
              <w:left w:val="single" w:color="auto" w:sz="4" w:space="0"/>
              <w:bottom w:val="single" w:color="auto" w:sz="4" w:space="0"/>
              <w:right w:val="single" w:color="auto" w:sz="4" w:space="0"/>
            </w:tcBorders>
            <w:vAlign w:val="center"/>
          </w:tcPr>
          <w:p w14:paraId="6C2B0048">
            <w:pPr>
              <w:snapToGrid w:val="0"/>
              <w:jc w:val="center"/>
              <w:rPr>
                <w:rFonts w:ascii="宋体" w:hAnsi="宋体" w:cs="宋体"/>
                <w:color w:val="auto"/>
                <w:kern w:val="0"/>
                <w:sz w:val="21"/>
                <w:szCs w:val="21"/>
                <w:highlight w:val="none"/>
              </w:rPr>
            </w:pPr>
            <w:r>
              <w:rPr>
                <w:rFonts w:hint="eastAsia" w:ascii="宋体" w:hAnsi="宋体" w:cs="宋体"/>
                <w:color w:val="auto"/>
                <w:kern w:val="0"/>
                <w:sz w:val="21"/>
                <w:szCs w:val="21"/>
                <w:highlight w:val="none"/>
              </w:rPr>
              <w:t>其他</w:t>
            </w:r>
          </w:p>
        </w:tc>
        <w:tc>
          <w:tcPr>
            <w:tcW w:w="4689" w:type="dxa"/>
            <w:tcBorders>
              <w:top w:val="single" w:color="auto" w:sz="4" w:space="0"/>
              <w:left w:val="single" w:color="auto" w:sz="4" w:space="0"/>
              <w:bottom w:val="single" w:color="auto" w:sz="4" w:space="0"/>
              <w:right w:val="single" w:color="auto" w:sz="4" w:space="0"/>
            </w:tcBorders>
            <w:vAlign w:val="center"/>
          </w:tcPr>
          <w:p w14:paraId="16738182">
            <w:pPr>
              <w:snapToGrid w:val="0"/>
              <w:jc w:val="center"/>
              <w:rPr>
                <w:rFonts w:hAnsi="宋体" w:cs="宋体"/>
                <w:bCs/>
                <w:color w:val="auto"/>
                <w:sz w:val="21"/>
                <w:szCs w:val="21"/>
                <w:highlight w:val="none"/>
              </w:rPr>
            </w:pPr>
            <w:r>
              <w:rPr>
                <w:rFonts w:hint="eastAsia" w:hAnsi="宋体" w:cs="宋体"/>
                <w:color w:val="auto"/>
                <w:sz w:val="21"/>
                <w:szCs w:val="21"/>
                <w:highlight w:val="none"/>
              </w:rPr>
              <w:t>未出现</w:t>
            </w:r>
            <w:r>
              <w:rPr>
                <w:rFonts w:hint="eastAsia" w:hAnsi="宋体" w:cs="宋体"/>
                <w:color w:val="auto"/>
                <w:sz w:val="21"/>
                <w:szCs w:val="21"/>
                <w:highlight w:val="none"/>
                <w:lang w:eastAsia="zh-CN"/>
              </w:rPr>
              <w:t>法律法规</w:t>
            </w:r>
            <w:r>
              <w:rPr>
                <w:rFonts w:hint="eastAsia" w:hAnsi="宋体" w:cs="宋体"/>
                <w:bCs/>
                <w:color w:val="auto"/>
                <w:sz w:val="21"/>
                <w:szCs w:val="21"/>
                <w:highlight w:val="none"/>
              </w:rPr>
              <w:t>和竞争性谈判文件规定的其他无效情形。</w:t>
            </w:r>
          </w:p>
        </w:tc>
        <w:tc>
          <w:tcPr>
            <w:tcW w:w="1134" w:type="dxa"/>
            <w:tcBorders>
              <w:top w:val="single" w:color="auto" w:sz="4" w:space="0"/>
              <w:left w:val="single" w:color="auto" w:sz="4" w:space="0"/>
              <w:bottom w:val="single" w:color="auto" w:sz="4" w:space="0"/>
              <w:right w:val="single" w:color="auto" w:sz="4" w:space="0"/>
            </w:tcBorders>
            <w:vAlign w:val="center"/>
          </w:tcPr>
          <w:p w14:paraId="06746B18">
            <w:pPr>
              <w:snapToGrid w:val="0"/>
              <w:jc w:val="center"/>
              <w:rPr>
                <w:rFonts w:ascii="宋体" w:hAnsi="宋体" w:cs="宋体"/>
                <w:color w:val="auto"/>
                <w:kern w:val="0"/>
                <w:sz w:val="21"/>
                <w:szCs w:val="21"/>
                <w:highlight w:val="none"/>
              </w:rPr>
            </w:pPr>
          </w:p>
        </w:tc>
      </w:tr>
      <w:tr w14:paraId="2564BA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2966" w:type="dxa"/>
            <w:gridSpan w:val="2"/>
            <w:tcBorders>
              <w:top w:val="single" w:color="auto" w:sz="4" w:space="0"/>
              <w:left w:val="single" w:color="auto" w:sz="4" w:space="0"/>
              <w:bottom w:val="single" w:color="auto" w:sz="4" w:space="0"/>
              <w:right w:val="single" w:color="auto" w:sz="4" w:space="0"/>
            </w:tcBorders>
            <w:vAlign w:val="center"/>
          </w:tcPr>
          <w:p w14:paraId="07A19F50">
            <w:pPr>
              <w:widowControl/>
              <w:jc w:val="center"/>
              <w:rPr>
                <w:color w:val="auto"/>
                <w:sz w:val="21"/>
                <w:szCs w:val="21"/>
                <w:highlight w:val="none"/>
              </w:rPr>
            </w:pPr>
            <w:r>
              <w:rPr>
                <w:rFonts w:hint="eastAsia" w:ascii="宋体" w:hAnsi="宋体" w:cs="宋体"/>
                <w:color w:val="auto"/>
                <w:kern w:val="0"/>
                <w:sz w:val="21"/>
                <w:szCs w:val="21"/>
                <w:highlight w:val="none"/>
              </w:rPr>
              <w:t>成交候选人推荐原则</w:t>
            </w:r>
          </w:p>
        </w:tc>
        <w:tc>
          <w:tcPr>
            <w:tcW w:w="5823" w:type="dxa"/>
            <w:gridSpan w:val="2"/>
            <w:tcBorders>
              <w:top w:val="single" w:color="auto" w:sz="4" w:space="0"/>
              <w:left w:val="single" w:color="auto" w:sz="4" w:space="0"/>
              <w:bottom w:val="single" w:color="auto" w:sz="4" w:space="0"/>
              <w:right w:val="single" w:color="auto" w:sz="4" w:space="0"/>
            </w:tcBorders>
          </w:tcPr>
          <w:p w14:paraId="56F30155">
            <w:pPr>
              <w:widowControl/>
              <w:jc w:val="left"/>
              <w:rPr>
                <w:rFonts w:ascii="宋体" w:hAnsi="宋体" w:cs="宋体"/>
                <w:color w:val="auto"/>
                <w:kern w:val="0"/>
                <w:sz w:val="21"/>
                <w:szCs w:val="21"/>
                <w:highlight w:val="none"/>
              </w:rPr>
            </w:pPr>
            <w:r>
              <w:rPr>
                <w:rFonts w:hint="eastAsia" w:ascii="宋体" w:hAnsi="宋体" w:cs="宋体"/>
                <w:color w:val="auto"/>
                <w:kern w:val="0"/>
                <w:sz w:val="21"/>
                <w:szCs w:val="21"/>
                <w:highlight w:val="none"/>
              </w:rPr>
              <w:t>本项目推荐</w:t>
            </w:r>
            <w:r>
              <w:rPr>
                <w:rFonts w:hint="eastAsia" w:ascii="宋体" w:hAnsi="宋体" w:cs="宋体"/>
                <w:color w:val="auto"/>
                <w:kern w:val="0"/>
                <w:sz w:val="21"/>
                <w:szCs w:val="21"/>
                <w:highlight w:val="none"/>
                <w:lang w:val="en-US" w:eastAsia="zh-CN"/>
              </w:rPr>
              <w:t>3</w:t>
            </w:r>
            <w:r>
              <w:rPr>
                <w:rFonts w:hint="eastAsia" w:ascii="宋体" w:hAnsi="宋体" w:cs="宋体"/>
                <w:color w:val="auto"/>
                <w:kern w:val="0"/>
                <w:sz w:val="21"/>
                <w:szCs w:val="21"/>
                <w:highlight w:val="none"/>
              </w:rPr>
              <w:t>名成交候选人。竞争性谈判以响应人最后一轮谈判的报价及承诺作为谈判小组向采购人推荐成交候选人的依据，谈判小组应当</w:t>
            </w:r>
            <w:r>
              <w:rPr>
                <w:rFonts w:hint="eastAsia"/>
                <w:color w:val="auto"/>
                <w:sz w:val="21"/>
                <w:szCs w:val="21"/>
                <w:highlight w:val="none"/>
              </w:rPr>
              <w:t>根据符合采购需求、质量和服务且</w:t>
            </w:r>
            <w:r>
              <w:rPr>
                <w:rFonts w:hint="eastAsia"/>
                <w:color w:val="auto"/>
                <w:sz w:val="21"/>
                <w:szCs w:val="21"/>
                <w:highlight w:val="none"/>
                <w:lang w:eastAsia="zh-CN"/>
              </w:rPr>
              <w:t>不含税</w:t>
            </w:r>
            <w:r>
              <w:rPr>
                <w:rFonts w:hint="eastAsia"/>
                <w:color w:val="auto"/>
                <w:sz w:val="21"/>
                <w:szCs w:val="21"/>
                <w:highlight w:val="none"/>
              </w:rPr>
              <w:t>报价最低的原则按顺序排列推荐成交</w:t>
            </w:r>
            <w:r>
              <w:rPr>
                <w:rFonts w:hint="eastAsia"/>
                <w:color w:val="auto"/>
                <w:sz w:val="21"/>
                <w:szCs w:val="21"/>
                <w:highlight w:val="none"/>
                <w:lang w:eastAsia="zh-CN"/>
              </w:rPr>
              <w:t>候选人</w:t>
            </w:r>
            <w:r>
              <w:rPr>
                <w:rFonts w:hint="eastAsia" w:ascii="宋体" w:hAnsi="宋体" w:cs="宋体"/>
                <w:color w:val="auto"/>
                <w:kern w:val="0"/>
                <w:sz w:val="21"/>
                <w:szCs w:val="21"/>
                <w:highlight w:val="none"/>
              </w:rPr>
              <w:t>。如最低投标报价相同，由谈判小组按技术指标优劣顺序排列。如果无法进行合理排序，则采用现场随机抽签方式确定。</w:t>
            </w:r>
          </w:p>
        </w:tc>
      </w:tr>
    </w:tbl>
    <w:p w14:paraId="6F221118">
      <w:pPr>
        <w:pStyle w:val="2"/>
        <w:outlineLvl w:val="1"/>
        <w:rPr>
          <w:rFonts w:ascii="黑体" w:hAnsi="黑体" w:eastAsia="黑体"/>
          <w:color w:val="auto"/>
          <w:sz w:val="28"/>
          <w:szCs w:val="28"/>
          <w:highlight w:val="none"/>
        </w:rPr>
      </w:pPr>
      <w:bookmarkStart w:id="121" w:name="_Toc17709"/>
      <w:r>
        <w:rPr>
          <w:rFonts w:hint="eastAsia" w:ascii="黑体" w:hAnsi="黑体"/>
          <w:color w:val="auto"/>
          <w:sz w:val="28"/>
          <w:szCs w:val="28"/>
          <w:highlight w:val="none"/>
          <w:lang w:eastAsia="zh-CN"/>
        </w:rPr>
        <w:t>1.</w:t>
      </w:r>
      <w:r>
        <w:rPr>
          <w:rFonts w:hint="eastAsia" w:ascii="黑体" w:hAnsi="黑体" w:eastAsia="黑体"/>
          <w:color w:val="auto"/>
          <w:sz w:val="28"/>
          <w:szCs w:val="28"/>
          <w:highlight w:val="none"/>
        </w:rPr>
        <w:t>评审方法</w:t>
      </w:r>
      <w:bookmarkEnd w:id="121"/>
    </w:p>
    <w:p w14:paraId="40650394">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本次评审采用最低评标价法。</w:t>
      </w:r>
      <w:r>
        <w:rPr>
          <w:rFonts w:hint="eastAsia" w:ascii="宋体" w:hAnsi="宋体" w:cs="宋体"/>
          <w:color w:val="auto"/>
          <w:kern w:val="0"/>
          <w:highlight w:val="none"/>
        </w:rPr>
        <w:t>竞争性谈判以响应人最后一轮谈判的报价及承诺作为谈判小组向采购人推荐成交候选人的依据，谈判小组应当</w:t>
      </w:r>
      <w:r>
        <w:rPr>
          <w:rFonts w:hint="eastAsia"/>
          <w:color w:val="auto"/>
          <w:szCs w:val="21"/>
          <w:highlight w:val="none"/>
        </w:rPr>
        <w:t>根据符合采购需求、质量和服务且</w:t>
      </w:r>
      <w:r>
        <w:rPr>
          <w:rFonts w:hint="eastAsia"/>
          <w:color w:val="auto"/>
          <w:szCs w:val="21"/>
          <w:highlight w:val="none"/>
          <w:lang w:eastAsia="zh-CN"/>
        </w:rPr>
        <w:t>不含税</w:t>
      </w:r>
      <w:r>
        <w:rPr>
          <w:rFonts w:hint="eastAsia"/>
          <w:color w:val="auto"/>
          <w:szCs w:val="21"/>
          <w:highlight w:val="none"/>
        </w:rPr>
        <w:t>报价最低的原则按顺序排列推荐成交</w:t>
      </w:r>
      <w:r>
        <w:rPr>
          <w:rFonts w:hint="eastAsia"/>
          <w:color w:val="auto"/>
          <w:szCs w:val="21"/>
          <w:highlight w:val="none"/>
          <w:lang w:eastAsia="zh-CN"/>
        </w:rPr>
        <w:t>候选人</w:t>
      </w:r>
      <w:r>
        <w:rPr>
          <w:rFonts w:hint="eastAsia" w:ascii="宋体" w:hAnsi="宋体" w:cs="宋体"/>
          <w:color w:val="auto"/>
          <w:kern w:val="0"/>
          <w:highlight w:val="none"/>
        </w:rPr>
        <w:t>。</w:t>
      </w:r>
      <w:r>
        <w:rPr>
          <w:rFonts w:hint="eastAsia"/>
          <w:color w:val="auto"/>
          <w:szCs w:val="21"/>
          <w:highlight w:val="none"/>
        </w:rPr>
        <w:t>根据符合采购需求、质量和服务且报价最低的原则按顺序排列推荐成交</w:t>
      </w:r>
      <w:r>
        <w:rPr>
          <w:rFonts w:hint="eastAsia"/>
          <w:color w:val="auto"/>
          <w:szCs w:val="21"/>
          <w:highlight w:val="none"/>
          <w:lang w:eastAsia="zh-CN"/>
        </w:rPr>
        <w:t>候选人</w:t>
      </w:r>
      <w:r>
        <w:rPr>
          <w:rFonts w:hint="eastAsia"/>
          <w:color w:val="auto"/>
          <w:szCs w:val="21"/>
          <w:highlight w:val="none"/>
        </w:rPr>
        <w:t>。</w:t>
      </w:r>
      <w:r>
        <w:rPr>
          <w:rFonts w:hint="eastAsia" w:ascii="宋体" w:hAnsi="宋体" w:cs="宋体"/>
          <w:color w:val="auto"/>
          <w:kern w:val="0"/>
          <w:highlight w:val="none"/>
        </w:rPr>
        <w:t>如最低投标报价相同，由谈判小组按技术指标优劣顺序排列。如果无法进行合理排序，则采用现场随机抽签方式确定。</w:t>
      </w:r>
    </w:p>
    <w:p w14:paraId="13A13A88">
      <w:pPr>
        <w:pStyle w:val="2"/>
        <w:outlineLvl w:val="1"/>
        <w:rPr>
          <w:rFonts w:ascii="黑体" w:hAnsi="黑体" w:eastAsia="黑体"/>
          <w:color w:val="auto"/>
          <w:sz w:val="28"/>
          <w:szCs w:val="28"/>
          <w:highlight w:val="none"/>
        </w:rPr>
      </w:pPr>
      <w:bookmarkStart w:id="122" w:name="_Toc32587"/>
      <w:r>
        <w:rPr>
          <w:rFonts w:hint="eastAsia" w:ascii="黑体" w:hAnsi="黑体"/>
          <w:color w:val="auto"/>
          <w:sz w:val="28"/>
          <w:szCs w:val="28"/>
          <w:highlight w:val="none"/>
          <w:lang w:eastAsia="zh-CN"/>
        </w:rPr>
        <w:t>2.</w:t>
      </w:r>
      <w:r>
        <w:rPr>
          <w:rFonts w:hint="eastAsia" w:ascii="黑体" w:hAnsi="黑体" w:eastAsia="黑体"/>
          <w:color w:val="auto"/>
          <w:sz w:val="28"/>
          <w:szCs w:val="28"/>
          <w:highlight w:val="none"/>
        </w:rPr>
        <w:t>评审标准</w:t>
      </w:r>
      <w:bookmarkEnd w:id="122"/>
    </w:p>
    <w:p w14:paraId="3B9CC49F">
      <w:pPr>
        <w:spacing w:line="360" w:lineRule="auto"/>
        <w:ind w:firstLine="420" w:firstLineChars="200"/>
        <w:rPr>
          <w:rFonts w:ascii="宋体" w:hAnsi="宋体"/>
          <w:color w:val="auto"/>
          <w:szCs w:val="21"/>
          <w:highlight w:val="none"/>
        </w:rPr>
      </w:pPr>
      <w:r>
        <w:rPr>
          <w:rFonts w:hint="eastAsia"/>
          <w:color w:val="auto"/>
          <w:highlight w:val="none"/>
        </w:rPr>
        <w:t>评审标准：</w:t>
      </w:r>
      <w:r>
        <w:rPr>
          <w:rFonts w:hint="eastAsia" w:ascii="宋体" w:hAnsi="宋体"/>
          <w:color w:val="auto"/>
          <w:szCs w:val="21"/>
          <w:highlight w:val="none"/>
        </w:rPr>
        <w:t>见评审办法前附表。</w:t>
      </w:r>
    </w:p>
    <w:p w14:paraId="79CACF5F">
      <w:pPr>
        <w:pStyle w:val="2"/>
        <w:outlineLvl w:val="1"/>
        <w:rPr>
          <w:rFonts w:ascii="黑体" w:hAnsi="黑体" w:eastAsia="黑体"/>
          <w:color w:val="auto"/>
          <w:sz w:val="28"/>
          <w:szCs w:val="28"/>
          <w:highlight w:val="none"/>
        </w:rPr>
      </w:pPr>
      <w:bookmarkStart w:id="123" w:name="_Toc6389"/>
      <w:r>
        <w:rPr>
          <w:rFonts w:hint="eastAsia" w:ascii="黑体" w:hAnsi="黑体"/>
          <w:color w:val="auto"/>
          <w:sz w:val="28"/>
          <w:szCs w:val="28"/>
          <w:highlight w:val="none"/>
          <w:lang w:eastAsia="zh-CN"/>
        </w:rPr>
        <w:t>3.</w:t>
      </w:r>
      <w:r>
        <w:rPr>
          <w:rFonts w:hint="eastAsia" w:ascii="黑体" w:hAnsi="黑体" w:eastAsia="黑体"/>
          <w:color w:val="auto"/>
          <w:sz w:val="28"/>
          <w:szCs w:val="28"/>
          <w:highlight w:val="none"/>
        </w:rPr>
        <w:t>评审程序</w:t>
      </w:r>
      <w:bookmarkEnd w:id="123"/>
    </w:p>
    <w:p w14:paraId="175A9D67">
      <w:pPr>
        <w:outlineLvl w:val="9"/>
        <w:rPr>
          <w:color w:val="auto"/>
          <w:highlight w:val="none"/>
        </w:rPr>
      </w:pPr>
      <w:r>
        <w:rPr>
          <w:rFonts w:hint="eastAsia"/>
          <w:color w:val="auto"/>
          <w:highlight w:val="none"/>
        </w:rPr>
        <w:t>3.1 初步评审</w:t>
      </w:r>
    </w:p>
    <w:p w14:paraId="6587FEC2">
      <w:pPr>
        <w:spacing w:line="360" w:lineRule="auto"/>
        <w:ind w:firstLine="422" w:firstLineChars="200"/>
        <w:outlineLvl w:val="9"/>
        <w:rPr>
          <w:rFonts w:ascii="宋体" w:hAnsi="宋体"/>
          <w:b/>
          <w:color w:val="auto"/>
          <w:szCs w:val="21"/>
          <w:highlight w:val="none"/>
        </w:rPr>
      </w:pPr>
      <w:r>
        <w:rPr>
          <w:rFonts w:hint="eastAsia" w:ascii="宋体" w:hAnsi="宋体"/>
          <w:b/>
          <w:color w:val="auto"/>
          <w:szCs w:val="21"/>
          <w:highlight w:val="none"/>
        </w:rPr>
        <w:t>3.1.1</w:t>
      </w:r>
      <w:r>
        <w:rPr>
          <w:rFonts w:hint="eastAsia" w:ascii="宋体" w:hAnsi="宋体"/>
          <w:color w:val="auto"/>
          <w:szCs w:val="21"/>
          <w:highlight w:val="none"/>
        </w:rPr>
        <w:t>谈判小组根据评审办法前附表规定的标准对响应文件进行评审。有一项不符合评审标准的，</w:t>
      </w:r>
      <w:r>
        <w:rPr>
          <w:rFonts w:hint="eastAsia"/>
          <w:color w:val="auto"/>
          <w:highlight w:val="none"/>
        </w:rPr>
        <w:t>谈判小组应当否决其竞争性谈判。</w:t>
      </w:r>
      <w:r>
        <w:rPr>
          <w:rFonts w:hint="eastAsia" w:ascii="宋体" w:hAnsi="宋体"/>
          <w:b/>
          <w:color w:val="auto"/>
          <w:szCs w:val="21"/>
          <w:highlight w:val="none"/>
        </w:rPr>
        <w:t xml:space="preserve"> </w:t>
      </w:r>
    </w:p>
    <w:p w14:paraId="729DF42D">
      <w:pPr>
        <w:spacing w:line="360" w:lineRule="auto"/>
        <w:ind w:firstLine="422" w:firstLineChars="200"/>
        <w:outlineLvl w:val="9"/>
        <w:rPr>
          <w:rFonts w:ascii="宋体" w:hAnsi="宋体"/>
          <w:color w:val="auto"/>
          <w:szCs w:val="21"/>
          <w:highlight w:val="none"/>
        </w:rPr>
      </w:pPr>
      <w:r>
        <w:rPr>
          <w:rFonts w:hint="eastAsia" w:ascii="宋体" w:hAnsi="宋体"/>
          <w:b/>
          <w:color w:val="auto"/>
          <w:szCs w:val="21"/>
          <w:highlight w:val="none"/>
        </w:rPr>
        <w:t>3.1.2</w:t>
      </w:r>
      <w:r>
        <w:rPr>
          <w:rFonts w:hint="eastAsia" w:ascii="宋体" w:hAnsi="宋体"/>
          <w:color w:val="auto"/>
          <w:szCs w:val="21"/>
          <w:highlight w:val="none"/>
        </w:rPr>
        <w:t xml:space="preserve">谈判小组可以要求响应人对响应文件中含义不明确、对同类问题表述不一致或者有明显文字、计算错误的内容做必要的澄清、说明、修正或补充。澄清、说明、修正或补充应当采用书面形式，并不得超出响应文件的范围或者改变响应文件的实质内容。响应文件不响应竞争性谈判文件的实质性要求和条件的，不允许响应人通过澄清等方式使之成为具有响应性的竞争性谈判。 </w:t>
      </w:r>
    </w:p>
    <w:p w14:paraId="7764831E">
      <w:pPr>
        <w:spacing w:line="360" w:lineRule="auto"/>
        <w:ind w:firstLine="422" w:firstLineChars="200"/>
        <w:outlineLvl w:val="9"/>
        <w:rPr>
          <w:rFonts w:ascii="宋体" w:hAnsi="宋体"/>
          <w:color w:val="auto"/>
          <w:szCs w:val="21"/>
          <w:highlight w:val="none"/>
        </w:rPr>
      </w:pPr>
      <w:r>
        <w:rPr>
          <w:rFonts w:hint="eastAsia" w:ascii="宋体" w:hAnsi="宋体"/>
          <w:b/>
          <w:color w:val="auto"/>
          <w:szCs w:val="21"/>
          <w:highlight w:val="none"/>
        </w:rPr>
        <w:t>3.1.3</w:t>
      </w:r>
      <w:r>
        <w:rPr>
          <w:rFonts w:hint="eastAsia" w:ascii="宋体" w:hAnsi="宋体"/>
          <w:color w:val="auto"/>
          <w:szCs w:val="21"/>
          <w:highlight w:val="none"/>
        </w:rPr>
        <w:t>谈判小组不得向响应人提出带有暗示性或诱导性的问题或向其明确响应文件中的遗漏和错误，不得接受响应人主动提出的澄清、说明、修正和补充。</w:t>
      </w:r>
    </w:p>
    <w:p w14:paraId="7A6734BD">
      <w:pPr>
        <w:spacing w:line="360" w:lineRule="auto"/>
        <w:ind w:firstLine="422" w:firstLineChars="200"/>
        <w:outlineLvl w:val="9"/>
        <w:rPr>
          <w:rFonts w:ascii="宋体" w:hAnsi="宋体"/>
          <w:b/>
          <w:color w:val="auto"/>
          <w:szCs w:val="21"/>
          <w:highlight w:val="none"/>
        </w:rPr>
      </w:pPr>
      <w:r>
        <w:rPr>
          <w:rFonts w:hint="eastAsia" w:ascii="宋体" w:hAnsi="宋体"/>
          <w:b/>
          <w:color w:val="auto"/>
          <w:szCs w:val="21"/>
          <w:highlight w:val="none"/>
        </w:rPr>
        <w:t>3.1.</w:t>
      </w:r>
      <w:r>
        <w:rPr>
          <w:rFonts w:ascii="宋体" w:hAnsi="宋体"/>
          <w:b/>
          <w:color w:val="auto"/>
          <w:szCs w:val="21"/>
          <w:highlight w:val="none"/>
        </w:rPr>
        <w:t>4</w:t>
      </w:r>
      <w:r>
        <w:rPr>
          <w:rFonts w:hint="eastAsia" w:ascii="宋体" w:hAnsi="宋体"/>
          <w:b/>
          <w:color w:val="auto"/>
          <w:szCs w:val="21"/>
          <w:highlight w:val="none"/>
        </w:rPr>
        <w:t xml:space="preserve"> 响应人有以下情形之一的，</w:t>
      </w:r>
      <w:r>
        <w:rPr>
          <w:rFonts w:hint="eastAsia"/>
          <w:b/>
          <w:color w:val="auto"/>
          <w:highlight w:val="none"/>
        </w:rPr>
        <w:t>谈判小组应当否决其竞争性谈判</w:t>
      </w:r>
      <w:r>
        <w:rPr>
          <w:rFonts w:hint="eastAsia" w:ascii="宋体" w:hAnsi="宋体"/>
          <w:b/>
          <w:color w:val="auto"/>
          <w:szCs w:val="21"/>
          <w:highlight w:val="none"/>
        </w:rPr>
        <w:t>：</w:t>
      </w:r>
    </w:p>
    <w:p w14:paraId="2EF2DFE4">
      <w:pPr>
        <w:widowControl/>
        <w:numPr>
          <w:ilvl w:val="0"/>
          <w:numId w:val="3"/>
        </w:numPr>
        <w:spacing w:after="109" w:line="259" w:lineRule="auto"/>
        <w:jc w:val="left"/>
        <w:outlineLvl w:val="9"/>
        <w:rPr>
          <w:b/>
          <w:color w:val="auto"/>
          <w:highlight w:val="none"/>
        </w:rPr>
      </w:pPr>
      <w:r>
        <w:rPr>
          <w:b/>
          <w:color w:val="auto"/>
          <w:highlight w:val="none"/>
        </w:rPr>
        <w:t>响应文件中无法定代表人</w:t>
      </w:r>
      <w:r>
        <w:rPr>
          <w:rFonts w:hint="eastAsia"/>
          <w:b/>
          <w:color w:val="auto"/>
          <w:highlight w:val="none"/>
        </w:rPr>
        <w:t>证明书及其</w:t>
      </w:r>
      <w:r>
        <w:rPr>
          <w:b/>
          <w:color w:val="auto"/>
          <w:highlight w:val="none"/>
        </w:rPr>
        <w:t xml:space="preserve">出具的授权委托书的； </w:t>
      </w:r>
    </w:p>
    <w:p w14:paraId="01AA4ED9">
      <w:pPr>
        <w:widowControl/>
        <w:numPr>
          <w:ilvl w:val="0"/>
          <w:numId w:val="3"/>
        </w:numPr>
        <w:spacing w:after="109" w:line="259" w:lineRule="auto"/>
        <w:jc w:val="left"/>
        <w:outlineLvl w:val="9"/>
        <w:rPr>
          <w:b/>
          <w:color w:val="auto"/>
          <w:highlight w:val="none"/>
        </w:rPr>
      </w:pPr>
      <w:r>
        <w:rPr>
          <w:rFonts w:hint="eastAsia"/>
          <w:b/>
          <w:color w:val="auto"/>
          <w:highlight w:val="none"/>
        </w:rPr>
        <w:t>未按竞争性谈判文件规定加盖公章和签署；</w:t>
      </w:r>
    </w:p>
    <w:p w14:paraId="3654CB84">
      <w:pPr>
        <w:widowControl/>
        <w:numPr>
          <w:ilvl w:val="0"/>
          <w:numId w:val="3"/>
        </w:numPr>
        <w:spacing w:after="109" w:line="259" w:lineRule="auto"/>
        <w:jc w:val="left"/>
        <w:outlineLvl w:val="9"/>
        <w:rPr>
          <w:b/>
          <w:color w:val="auto"/>
          <w:highlight w:val="none"/>
        </w:rPr>
      </w:pPr>
      <w:r>
        <w:rPr>
          <w:b/>
          <w:color w:val="auto"/>
          <w:highlight w:val="none"/>
        </w:rPr>
        <w:t>响应人提交两份以上不同内容的响应文件，或在一份响应文件中有两个或多个报价，且未声明哪一个为最终报价的，但按竞争性谈判文件规定提交备选竞争性谈判方案的除外；</w:t>
      </w:r>
    </w:p>
    <w:p w14:paraId="7138837C">
      <w:pPr>
        <w:widowControl/>
        <w:numPr>
          <w:ilvl w:val="0"/>
          <w:numId w:val="3"/>
        </w:numPr>
        <w:spacing w:after="109" w:line="259" w:lineRule="auto"/>
        <w:jc w:val="left"/>
        <w:outlineLvl w:val="9"/>
        <w:rPr>
          <w:b/>
          <w:color w:val="auto"/>
          <w:highlight w:val="none"/>
        </w:rPr>
      </w:pPr>
      <w:r>
        <w:rPr>
          <w:b/>
          <w:color w:val="auto"/>
          <w:highlight w:val="none"/>
        </w:rPr>
        <w:t xml:space="preserve">响应人以他人名义竞争性谈判或者响应人经资格审查不符合资格条件的； </w:t>
      </w:r>
    </w:p>
    <w:p w14:paraId="626051E0">
      <w:pPr>
        <w:widowControl/>
        <w:numPr>
          <w:ilvl w:val="0"/>
          <w:numId w:val="3"/>
        </w:numPr>
        <w:spacing w:after="109" w:line="259" w:lineRule="auto"/>
        <w:jc w:val="left"/>
        <w:outlineLvl w:val="9"/>
        <w:rPr>
          <w:b/>
          <w:color w:val="auto"/>
          <w:highlight w:val="none"/>
        </w:rPr>
      </w:pPr>
      <w:r>
        <w:rPr>
          <w:rFonts w:hint="eastAsia"/>
          <w:b/>
          <w:color w:val="auto"/>
          <w:highlight w:val="none"/>
        </w:rPr>
        <w:t>未按要求提交竞争性谈判保证金或提交的竞争性谈判保证金不足的；</w:t>
      </w:r>
    </w:p>
    <w:p w14:paraId="646A9B93">
      <w:pPr>
        <w:widowControl/>
        <w:numPr>
          <w:ilvl w:val="0"/>
          <w:numId w:val="3"/>
        </w:numPr>
        <w:spacing w:after="109" w:line="259" w:lineRule="auto"/>
        <w:jc w:val="left"/>
        <w:outlineLvl w:val="9"/>
        <w:rPr>
          <w:b/>
          <w:color w:val="auto"/>
          <w:highlight w:val="none"/>
        </w:rPr>
      </w:pPr>
      <w:r>
        <w:rPr>
          <w:b/>
          <w:color w:val="auto"/>
          <w:highlight w:val="none"/>
        </w:rPr>
        <w:t>竞争性谈判有效期不满足竞争性谈判文件要求的；</w:t>
      </w:r>
    </w:p>
    <w:p w14:paraId="7816B18F">
      <w:pPr>
        <w:widowControl/>
        <w:numPr>
          <w:ilvl w:val="0"/>
          <w:numId w:val="3"/>
        </w:numPr>
        <w:spacing w:after="109" w:line="259" w:lineRule="auto"/>
        <w:jc w:val="left"/>
        <w:outlineLvl w:val="9"/>
        <w:rPr>
          <w:b/>
          <w:color w:val="auto"/>
          <w:highlight w:val="none"/>
        </w:rPr>
      </w:pPr>
      <w:r>
        <w:rPr>
          <w:b/>
          <w:color w:val="auto"/>
          <w:highlight w:val="none"/>
        </w:rPr>
        <w:t xml:space="preserve">竞争性谈判报价低于成本价，且响应人不能按谈判小组要求对其报价进行合理说明或提供相关证明材料的； </w:t>
      </w:r>
    </w:p>
    <w:p w14:paraId="40721388">
      <w:pPr>
        <w:widowControl/>
        <w:numPr>
          <w:ilvl w:val="0"/>
          <w:numId w:val="3"/>
        </w:numPr>
        <w:spacing w:after="109" w:line="259" w:lineRule="auto"/>
        <w:jc w:val="left"/>
        <w:outlineLvl w:val="9"/>
        <w:rPr>
          <w:b/>
          <w:color w:val="auto"/>
          <w:highlight w:val="none"/>
        </w:rPr>
      </w:pPr>
      <w:r>
        <w:rPr>
          <w:b/>
          <w:color w:val="auto"/>
          <w:highlight w:val="none"/>
        </w:rPr>
        <w:t>竞争性谈判报价高于竞争性谈判文件设定的最高限价的；</w:t>
      </w:r>
    </w:p>
    <w:p w14:paraId="3B1FD734">
      <w:pPr>
        <w:widowControl/>
        <w:numPr>
          <w:ilvl w:val="0"/>
          <w:numId w:val="3"/>
        </w:numPr>
        <w:spacing w:after="109" w:line="259" w:lineRule="auto"/>
        <w:jc w:val="left"/>
        <w:outlineLvl w:val="9"/>
        <w:rPr>
          <w:b/>
          <w:color w:val="auto"/>
          <w:highlight w:val="none"/>
        </w:rPr>
      </w:pPr>
      <w:r>
        <w:rPr>
          <w:b/>
          <w:color w:val="auto"/>
          <w:highlight w:val="none"/>
        </w:rPr>
        <w:t>响应文件未能对竞争性谈判文件中提出的实质性要求和条件做出实质性响应的；</w:t>
      </w:r>
    </w:p>
    <w:p w14:paraId="713BBD56">
      <w:pPr>
        <w:widowControl/>
        <w:numPr>
          <w:ilvl w:val="0"/>
          <w:numId w:val="3"/>
        </w:numPr>
        <w:spacing w:after="109" w:line="259" w:lineRule="auto"/>
        <w:jc w:val="left"/>
        <w:outlineLvl w:val="9"/>
        <w:rPr>
          <w:b/>
          <w:color w:val="auto"/>
          <w:highlight w:val="none"/>
        </w:rPr>
      </w:pPr>
      <w:r>
        <w:rPr>
          <w:b/>
          <w:color w:val="auto"/>
          <w:highlight w:val="none"/>
        </w:rPr>
        <w:t xml:space="preserve">响应人有串通竞争性谈判、弄虚作假、行贿等违法行为的； </w:t>
      </w:r>
    </w:p>
    <w:p w14:paraId="5C587197">
      <w:pPr>
        <w:widowControl/>
        <w:numPr>
          <w:ilvl w:val="0"/>
          <w:numId w:val="3"/>
        </w:numPr>
        <w:spacing w:after="109" w:line="259" w:lineRule="auto"/>
        <w:jc w:val="left"/>
        <w:outlineLvl w:val="9"/>
        <w:rPr>
          <w:b/>
          <w:color w:val="auto"/>
          <w:highlight w:val="none"/>
        </w:rPr>
      </w:pPr>
      <w:r>
        <w:rPr>
          <w:rFonts w:hint="eastAsia"/>
          <w:b/>
          <w:color w:val="auto"/>
          <w:highlight w:val="none"/>
        </w:rPr>
        <w:t>不按谈判小组要求澄清、说明或补正；</w:t>
      </w:r>
    </w:p>
    <w:p w14:paraId="63B416A3">
      <w:pPr>
        <w:widowControl/>
        <w:numPr>
          <w:ilvl w:val="0"/>
          <w:numId w:val="3"/>
        </w:numPr>
        <w:spacing w:after="109" w:line="259" w:lineRule="auto"/>
        <w:jc w:val="left"/>
        <w:outlineLvl w:val="9"/>
        <w:rPr>
          <w:b/>
          <w:color w:val="auto"/>
          <w:highlight w:val="none"/>
        </w:rPr>
      </w:pPr>
      <w:r>
        <w:rPr>
          <w:b/>
          <w:color w:val="auto"/>
          <w:highlight w:val="none"/>
        </w:rPr>
        <w:t xml:space="preserve">竞争性谈判文件明确规定可以否决竞争性谈判的其他情形。 </w:t>
      </w:r>
    </w:p>
    <w:p w14:paraId="24630229">
      <w:pPr>
        <w:spacing w:line="360" w:lineRule="auto"/>
        <w:ind w:firstLine="420" w:firstLineChars="200"/>
        <w:outlineLvl w:val="9"/>
        <w:rPr>
          <w:rFonts w:ascii="宋体" w:hAnsi="宋体"/>
          <w:color w:val="auto"/>
          <w:szCs w:val="21"/>
          <w:highlight w:val="none"/>
        </w:rPr>
      </w:pPr>
      <w:r>
        <w:rPr>
          <w:rFonts w:hint="eastAsia" w:ascii="宋体" w:hAnsi="宋体"/>
          <w:color w:val="auto"/>
          <w:szCs w:val="21"/>
          <w:highlight w:val="none"/>
        </w:rPr>
        <w:t>3.1.</w:t>
      </w:r>
      <w:r>
        <w:rPr>
          <w:rFonts w:ascii="宋体" w:hAnsi="宋体"/>
          <w:color w:val="auto"/>
          <w:szCs w:val="21"/>
          <w:highlight w:val="none"/>
        </w:rPr>
        <w:t>5</w:t>
      </w:r>
      <w:r>
        <w:rPr>
          <w:rFonts w:hint="eastAsia" w:ascii="宋体" w:hAnsi="宋体"/>
          <w:color w:val="auto"/>
          <w:szCs w:val="21"/>
          <w:highlight w:val="none"/>
        </w:rPr>
        <w:t>评审过程中，谈判小组收到低于成本价竞争性谈判的书面质疑材料、发现响应人的综合报价明显低于其他竞争性谈判报价或者设有标底时明显低于标底，认为竞争性谈判报价可能低于成本的，应当书面要求该响应人作出书面说明并提供相关证明材料。响应人不能合理说明或者不能提供相应证明材料的，由谈判小组认定该响应人以低于成本报价竞标，</w:t>
      </w:r>
      <w:r>
        <w:rPr>
          <w:rFonts w:hint="eastAsia"/>
          <w:color w:val="auto"/>
          <w:szCs w:val="21"/>
          <w:highlight w:val="none"/>
        </w:rPr>
        <w:t>谈判小组应当否决其竞争性谈判</w:t>
      </w:r>
      <w:r>
        <w:rPr>
          <w:rFonts w:hint="eastAsia" w:ascii="宋体" w:hAnsi="宋体"/>
          <w:color w:val="auto"/>
          <w:szCs w:val="21"/>
          <w:highlight w:val="none"/>
        </w:rPr>
        <w:t>。</w:t>
      </w:r>
    </w:p>
    <w:p w14:paraId="08DFDD99">
      <w:pPr>
        <w:spacing w:line="360" w:lineRule="auto"/>
        <w:ind w:firstLine="420" w:firstLineChars="200"/>
        <w:outlineLvl w:val="9"/>
        <w:rPr>
          <w:rFonts w:ascii="宋体" w:hAnsi="宋体"/>
          <w:color w:val="auto"/>
          <w:szCs w:val="21"/>
          <w:highlight w:val="none"/>
        </w:rPr>
      </w:pPr>
      <w:r>
        <w:rPr>
          <w:rFonts w:hint="eastAsia" w:ascii="宋体" w:hAnsi="宋体"/>
          <w:color w:val="auto"/>
          <w:szCs w:val="21"/>
          <w:highlight w:val="none"/>
        </w:rPr>
        <w:t>3.1.</w:t>
      </w:r>
      <w:r>
        <w:rPr>
          <w:rFonts w:ascii="宋体" w:hAnsi="宋体"/>
          <w:color w:val="auto"/>
          <w:szCs w:val="21"/>
          <w:highlight w:val="none"/>
        </w:rPr>
        <w:t>6</w:t>
      </w:r>
      <w:r>
        <w:rPr>
          <w:rFonts w:hint="eastAsia" w:ascii="宋体" w:hAnsi="宋体"/>
          <w:color w:val="auto"/>
          <w:szCs w:val="21"/>
          <w:highlight w:val="none"/>
        </w:rPr>
        <w:t xml:space="preserve"> 竞争性谈判报价有算术错误的，谈判小组按照以下原则对竞争性谈判报价进行修正，修正的价格经响应人书面确认后具有约束力。响应人不接受修正价格的，</w:t>
      </w:r>
      <w:r>
        <w:rPr>
          <w:rFonts w:hint="eastAsia"/>
          <w:color w:val="auto"/>
          <w:szCs w:val="21"/>
          <w:highlight w:val="none"/>
        </w:rPr>
        <w:t>谈判小组应当否决其竞争性谈判</w:t>
      </w:r>
      <w:r>
        <w:rPr>
          <w:rFonts w:hint="eastAsia" w:ascii="宋体" w:hAnsi="宋体"/>
          <w:color w:val="auto"/>
          <w:szCs w:val="21"/>
          <w:highlight w:val="none"/>
        </w:rPr>
        <w:t>。如有补充其他价格修正方式，详见竞争性谈判须知前附表。</w:t>
      </w:r>
    </w:p>
    <w:p w14:paraId="3381D6E5">
      <w:pPr>
        <w:spacing w:line="360" w:lineRule="auto"/>
        <w:ind w:firstLine="420" w:firstLineChars="200"/>
        <w:outlineLvl w:val="9"/>
        <w:rPr>
          <w:rFonts w:ascii="宋体" w:hAnsi="宋体"/>
          <w:color w:val="auto"/>
          <w:szCs w:val="21"/>
          <w:highlight w:val="none"/>
        </w:rPr>
      </w:pPr>
      <w:r>
        <w:rPr>
          <w:rFonts w:hint="eastAsia" w:ascii="宋体" w:hAnsi="宋体"/>
          <w:color w:val="auto"/>
          <w:szCs w:val="21"/>
          <w:highlight w:val="none"/>
          <w:lang w:eastAsia="zh-CN"/>
        </w:rPr>
        <w:t>（</w:t>
      </w:r>
      <w:r>
        <w:rPr>
          <w:rFonts w:hint="eastAsia" w:ascii="宋体" w:hAnsi="宋体"/>
          <w:color w:val="auto"/>
          <w:szCs w:val="21"/>
          <w:highlight w:val="none"/>
        </w:rPr>
        <w:t>1）响应文件中的大写金额与小写金额不一致的，以大写金额为准；</w:t>
      </w:r>
    </w:p>
    <w:p w14:paraId="490B3E58">
      <w:pPr>
        <w:spacing w:line="360" w:lineRule="auto"/>
        <w:ind w:firstLine="420" w:firstLineChars="200"/>
        <w:outlineLvl w:val="9"/>
        <w:rPr>
          <w:rFonts w:ascii="宋体" w:hAnsi="宋体"/>
          <w:color w:val="auto"/>
          <w:szCs w:val="21"/>
          <w:highlight w:val="none"/>
        </w:rPr>
      </w:pPr>
      <w:r>
        <w:rPr>
          <w:rFonts w:hint="eastAsia" w:ascii="宋体" w:hAnsi="宋体"/>
          <w:color w:val="auto"/>
          <w:szCs w:val="21"/>
          <w:highlight w:val="none"/>
          <w:lang w:eastAsia="zh-CN"/>
        </w:rPr>
        <w:t>（</w:t>
      </w:r>
      <w:r>
        <w:rPr>
          <w:rFonts w:hint="eastAsia" w:ascii="宋体" w:hAnsi="宋体"/>
          <w:color w:val="auto"/>
          <w:szCs w:val="21"/>
          <w:highlight w:val="none"/>
        </w:rPr>
        <w:t>2）总价金额与根据单价计算出的结果不一致的，以单价金额为准修正总价，但单价金额小数点有明显错误的除外。</w:t>
      </w:r>
    </w:p>
    <w:p w14:paraId="2A614A78">
      <w:pPr>
        <w:widowControl/>
        <w:tabs>
          <w:tab w:val="left" w:pos="540"/>
        </w:tabs>
        <w:spacing w:line="520" w:lineRule="exact"/>
        <w:jc w:val="left"/>
        <w:outlineLvl w:val="9"/>
        <w:rPr>
          <w:rFonts w:ascii="宋体" w:hAnsi="宋体" w:cs="Courier New"/>
          <w:b/>
          <w:color w:val="auto"/>
          <w:sz w:val="28"/>
          <w:szCs w:val="28"/>
          <w:highlight w:val="none"/>
        </w:rPr>
      </w:pPr>
      <w:r>
        <w:rPr>
          <w:rFonts w:hint="eastAsia" w:ascii="宋体" w:hAnsi="宋体" w:cs="Courier New"/>
          <w:b/>
          <w:color w:val="auto"/>
          <w:sz w:val="28"/>
          <w:szCs w:val="28"/>
          <w:highlight w:val="none"/>
        </w:rPr>
        <w:t>3.2 谈判</w:t>
      </w:r>
    </w:p>
    <w:p w14:paraId="1EE5E915">
      <w:pPr>
        <w:pStyle w:val="21"/>
        <w:spacing w:line="520" w:lineRule="exact"/>
        <w:ind w:firstLine="420" w:firstLineChars="200"/>
        <w:outlineLvl w:val="9"/>
        <w:rPr>
          <w:rFonts w:ascii="宋体" w:hAnsi="宋体" w:cs="宋体"/>
          <w:color w:val="auto"/>
          <w:kern w:val="0"/>
          <w:szCs w:val="21"/>
          <w:highlight w:val="none"/>
        </w:rPr>
      </w:pPr>
      <w:r>
        <w:rPr>
          <w:rFonts w:hint="eastAsia" w:ascii="宋体" w:hAnsi="宋体" w:cs="宋体"/>
          <w:color w:val="auto"/>
          <w:kern w:val="0"/>
          <w:szCs w:val="21"/>
          <w:highlight w:val="none"/>
        </w:rPr>
        <w:t>3.2.1确定谈判顺序</w:t>
      </w:r>
    </w:p>
    <w:p w14:paraId="70D720B9">
      <w:pPr>
        <w:pStyle w:val="21"/>
        <w:spacing w:line="520" w:lineRule="exact"/>
        <w:ind w:firstLine="420" w:firstLineChars="200"/>
        <w:outlineLvl w:val="9"/>
        <w:rPr>
          <w:rFonts w:ascii="宋体" w:hAnsi="宋体" w:cs="宋体"/>
          <w:color w:val="auto"/>
          <w:kern w:val="0"/>
          <w:szCs w:val="21"/>
          <w:highlight w:val="none"/>
        </w:rPr>
      </w:pPr>
      <w:r>
        <w:rPr>
          <w:rFonts w:hint="eastAsia" w:ascii="宋体" w:hAnsi="宋体" w:cs="宋体"/>
          <w:color w:val="auto"/>
          <w:kern w:val="0"/>
          <w:szCs w:val="21"/>
          <w:highlight w:val="none"/>
        </w:rPr>
        <w:t>谈判小组应当通过随机方式确定参加谈判的响应人的谈判顺序。</w:t>
      </w:r>
    </w:p>
    <w:p w14:paraId="6D1129DA">
      <w:pPr>
        <w:pStyle w:val="21"/>
        <w:spacing w:line="520" w:lineRule="exact"/>
        <w:ind w:firstLine="420" w:firstLineChars="200"/>
        <w:outlineLvl w:val="9"/>
        <w:rPr>
          <w:rFonts w:ascii="宋体" w:hAnsi="宋体"/>
          <w:color w:val="auto"/>
          <w:szCs w:val="21"/>
          <w:highlight w:val="none"/>
        </w:rPr>
      </w:pPr>
      <w:r>
        <w:rPr>
          <w:rFonts w:hint="eastAsia" w:ascii="宋体" w:hAnsi="宋体" w:cs="宋体"/>
          <w:color w:val="auto"/>
          <w:kern w:val="0"/>
          <w:szCs w:val="21"/>
          <w:highlight w:val="none"/>
        </w:rPr>
        <w:t>3.2.2比较与评价</w:t>
      </w:r>
    </w:p>
    <w:p w14:paraId="45F80D79">
      <w:pPr>
        <w:pStyle w:val="21"/>
        <w:spacing w:line="520" w:lineRule="exact"/>
        <w:ind w:firstLine="420" w:firstLineChars="200"/>
        <w:outlineLvl w:val="9"/>
        <w:rPr>
          <w:rFonts w:ascii="宋体" w:hAnsi="宋体"/>
          <w:color w:val="auto"/>
          <w:szCs w:val="21"/>
          <w:highlight w:val="none"/>
        </w:rPr>
      </w:pPr>
      <w:r>
        <w:rPr>
          <w:rFonts w:hint="eastAsia" w:ascii="宋体" w:hAnsi="宋体"/>
          <w:color w:val="auto"/>
          <w:szCs w:val="21"/>
          <w:highlight w:val="none"/>
        </w:rPr>
        <w:t>谈判小组对实质性响应文件从商务、技术参数与规格型号、性能与质量、功能或整体方案、售后服务、响应人和制造商资信、相关业绩、执行合同能力等方面进行全面比较与评价。</w:t>
      </w:r>
    </w:p>
    <w:p w14:paraId="29F3164A">
      <w:pPr>
        <w:pStyle w:val="21"/>
        <w:spacing w:line="520" w:lineRule="exact"/>
        <w:ind w:firstLine="420" w:firstLineChars="200"/>
        <w:outlineLvl w:val="9"/>
        <w:rPr>
          <w:rFonts w:ascii="宋体" w:hAnsi="宋体"/>
          <w:color w:val="auto"/>
          <w:szCs w:val="21"/>
          <w:highlight w:val="none"/>
        </w:rPr>
      </w:pPr>
      <w:r>
        <w:rPr>
          <w:rFonts w:hint="eastAsia" w:ascii="宋体" w:hAnsi="宋体"/>
          <w:color w:val="auto"/>
          <w:szCs w:val="21"/>
          <w:highlight w:val="none"/>
        </w:rPr>
        <w:t>所有谈判小组成员集体与每位实质性响应的响应人分别进行单独谈判，在谈判中，谈判的任何一方不得透露与谈判有关的其他响应人的技术资料、价格和其他信息。</w:t>
      </w:r>
      <w:r>
        <w:rPr>
          <w:rFonts w:hint="eastAsia" w:ascii="宋体" w:hAnsi="宋体" w:cs="宋体"/>
          <w:color w:val="auto"/>
          <w:kern w:val="0"/>
          <w:szCs w:val="21"/>
          <w:highlight w:val="none"/>
        </w:rPr>
        <w:t>谈判小组所有成员集中与响应人分别进行一轮或多轮谈判。</w:t>
      </w:r>
    </w:p>
    <w:p w14:paraId="27B980E4">
      <w:pPr>
        <w:outlineLvl w:val="9"/>
        <w:rPr>
          <w:rFonts w:ascii="宋体" w:hAnsi="宋体"/>
          <w:color w:val="auto"/>
          <w:highlight w:val="none"/>
        </w:rPr>
      </w:pPr>
      <w:r>
        <w:rPr>
          <w:rFonts w:hint="eastAsia" w:ascii="宋体" w:hAnsi="宋体"/>
          <w:color w:val="auto"/>
          <w:highlight w:val="none"/>
        </w:rPr>
        <w:t>3.3最终报价</w:t>
      </w:r>
    </w:p>
    <w:p w14:paraId="050F15A5">
      <w:pPr>
        <w:widowControl/>
        <w:tabs>
          <w:tab w:val="left" w:pos="540"/>
        </w:tabs>
        <w:spacing w:line="520" w:lineRule="exact"/>
        <w:ind w:firstLine="420" w:firstLineChars="200"/>
        <w:jc w:val="left"/>
        <w:outlineLvl w:val="9"/>
        <w:rPr>
          <w:rFonts w:ascii="宋体" w:hAnsi="宋体"/>
          <w:color w:val="auto"/>
          <w:szCs w:val="21"/>
          <w:highlight w:val="none"/>
        </w:rPr>
      </w:pPr>
      <w:r>
        <w:rPr>
          <w:rFonts w:hint="eastAsia" w:ascii="宋体" w:hAnsi="宋体"/>
          <w:color w:val="auto"/>
          <w:szCs w:val="21"/>
          <w:highlight w:val="none"/>
        </w:rPr>
        <w:t>竞争性谈判报价原则上不少于两轮报价（含唱标报价），谈判小组应要求所有参加最后一轮谈判的供应商在规定的统一截止时间前提交最终密封报价（最终报价时间视谈判进程由谈判小组决定）。原则上最后一轮报价应进行公开唱标。</w:t>
      </w:r>
    </w:p>
    <w:p w14:paraId="2AAF7DF0">
      <w:pPr>
        <w:widowControl/>
        <w:tabs>
          <w:tab w:val="left" w:pos="540"/>
        </w:tabs>
        <w:spacing w:line="520" w:lineRule="exact"/>
        <w:ind w:firstLine="420" w:firstLineChars="200"/>
        <w:jc w:val="left"/>
        <w:outlineLvl w:val="9"/>
        <w:rPr>
          <w:rFonts w:ascii="宋体" w:hAnsi="宋体"/>
          <w:color w:val="auto"/>
          <w:szCs w:val="21"/>
          <w:highlight w:val="none"/>
        </w:rPr>
      </w:pPr>
      <w:r>
        <w:rPr>
          <w:rFonts w:hint="eastAsia" w:ascii="宋体" w:hAnsi="宋体"/>
          <w:color w:val="auto"/>
          <w:szCs w:val="21"/>
          <w:highlight w:val="none"/>
        </w:rPr>
        <w:t>除非在谈判中谈判小组调整或修改采购需求内容，否则采购方不接受高于前面轮次谈判报价的最终报价。</w:t>
      </w:r>
    </w:p>
    <w:p w14:paraId="6A0F13DA">
      <w:pPr>
        <w:widowControl/>
        <w:spacing w:line="520" w:lineRule="exact"/>
        <w:ind w:firstLine="422" w:firstLineChars="200"/>
        <w:jc w:val="left"/>
        <w:outlineLvl w:val="9"/>
        <w:rPr>
          <w:rFonts w:ascii="宋体" w:hAnsi="宋体"/>
          <w:b/>
          <w:color w:val="auto"/>
          <w:szCs w:val="21"/>
          <w:highlight w:val="none"/>
        </w:rPr>
      </w:pPr>
      <w:r>
        <w:rPr>
          <w:rFonts w:hint="eastAsia" w:ascii="宋体" w:hAnsi="宋体"/>
          <w:b/>
          <w:color w:val="auto"/>
          <w:szCs w:val="21"/>
          <w:highlight w:val="none"/>
        </w:rPr>
        <w:t>响应人最终报价逾时不交的，可视为自动放弃评审资格。</w:t>
      </w:r>
    </w:p>
    <w:p w14:paraId="56D1A9E8">
      <w:pPr>
        <w:widowControl/>
        <w:tabs>
          <w:tab w:val="left" w:pos="540"/>
        </w:tabs>
        <w:spacing w:line="520" w:lineRule="exact"/>
        <w:jc w:val="left"/>
        <w:outlineLvl w:val="9"/>
        <w:rPr>
          <w:rFonts w:ascii="宋体" w:hAnsi="宋体"/>
          <w:b/>
          <w:color w:val="auto"/>
          <w:sz w:val="28"/>
          <w:szCs w:val="28"/>
          <w:highlight w:val="none"/>
        </w:rPr>
      </w:pPr>
      <w:r>
        <w:rPr>
          <w:rFonts w:hint="eastAsia" w:ascii="宋体" w:hAnsi="宋体" w:cs="Courier New"/>
          <w:b/>
          <w:color w:val="auto"/>
          <w:sz w:val="28"/>
          <w:szCs w:val="28"/>
          <w:highlight w:val="none"/>
        </w:rPr>
        <w:t>3.4</w:t>
      </w:r>
      <w:r>
        <w:rPr>
          <w:rFonts w:hint="eastAsia" w:ascii="宋体" w:hAnsi="宋体"/>
          <w:b/>
          <w:color w:val="auto"/>
          <w:sz w:val="28"/>
          <w:szCs w:val="28"/>
          <w:highlight w:val="none"/>
        </w:rPr>
        <w:t>推荐成交候选人</w:t>
      </w:r>
    </w:p>
    <w:p w14:paraId="536E3D4F">
      <w:pPr>
        <w:spacing w:line="520" w:lineRule="exact"/>
        <w:ind w:firstLine="420" w:firstLineChars="200"/>
        <w:outlineLvl w:val="9"/>
        <w:rPr>
          <w:rFonts w:hint="eastAsia" w:ascii="宋体" w:hAnsi="宋体" w:cs="宋体"/>
          <w:color w:val="auto"/>
          <w:kern w:val="0"/>
          <w:highlight w:val="none"/>
          <w:lang w:eastAsia="zh-CN"/>
        </w:rPr>
      </w:pPr>
      <w:r>
        <w:rPr>
          <w:rFonts w:hint="eastAsia" w:ascii="宋体" w:hAnsi="宋体" w:cs="Courier New"/>
          <w:color w:val="auto"/>
          <w:szCs w:val="21"/>
          <w:highlight w:val="none"/>
        </w:rPr>
        <w:t>竞争性谈判以响应人最后一轮谈判的报价及承诺作为谈判小组向采购人推荐成交候选人的依据，谈判小组应当根据符合采购需求、质量和服务相等且</w:t>
      </w:r>
      <w:r>
        <w:rPr>
          <w:rFonts w:hint="eastAsia" w:ascii="宋体" w:hAnsi="宋体" w:cs="Courier New"/>
          <w:color w:val="auto"/>
          <w:szCs w:val="21"/>
          <w:highlight w:val="none"/>
          <w:lang w:eastAsia="zh-CN"/>
        </w:rPr>
        <w:t>不含税</w:t>
      </w:r>
      <w:r>
        <w:rPr>
          <w:rFonts w:hint="eastAsia" w:ascii="宋体" w:hAnsi="宋体" w:cs="Courier New"/>
          <w:color w:val="auto"/>
          <w:szCs w:val="21"/>
          <w:highlight w:val="none"/>
        </w:rPr>
        <w:t>报价最低的原则按顺序排列推荐成交</w:t>
      </w:r>
      <w:r>
        <w:rPr>
          <w:rFonts w:hint="eastAsia" w:ascii="宋体" w:hAnsi="宋体" w:cs="Courier New"/>
          <w:color w:val="auto"/>
          <w:szCs w:val="21"/>
          <w:highlight w:val="none"/>
          <w:lang w:eastAsia="zh-CN"/>
        </w:rPr>
        <w:t>候选</w:t>
      </w:r>
      <w:r>
        <w:rPr>
          <w:rFonts w:hint="eastAsia" w:ascii="宋体" w:hAnsi="宋体" w:cs="Courier New"/>
          <w:color w:val="auto"/>
          <w:szCs w:val="21"/>
          <w:highlight w:val="none"/>
        </w:rPr>
        <w:t>响应人。</w:t>
      </w:r>
      <w:r>
        <w:rPr>
          <w:rFonts w:hint="eastAsia" w:ascii="宋体" w:hAnsi="宋体" w:cs="宋体"/>
          <w:color w:val="auto"/>
          <w:kern w:val="0"/>
          <w:highlight w:val="none"/>
        </w:rPr>
        <w:t>如最低投标报价相同，由谈判小组按技术指标优劣顺序排列。如果无法进行合理排序，则采用现场随机抽签方式确定。</w:t>
      </w:r>
      <w:r>
        <w:rPr>
          <w:rFonts w:hint="eastAsia" w:ascii="宋体" w:hAnsi="宋体" w:cs="宋体"/>
          <w:color w:val="auto"/>
          <w:kern w:val="0"/>
          <w:highlight w:val="none"/>
          <w:lang w:eastAsia="zh-CN"/>
        </w:rPr>
        <w:t>（</w:t>
      </w:r>
      <w:r>
        <w:rPr>
          <w:rFonts w:hint="eastAsia" w:ascii="宋体" w:hAnsi="宋体" w:cs="宋体"/>
          <w:color w:val="auto"/>
          <w:kern w:val="0"/>
          <w:highlight w:val="none"/>
          <w:lang w:val="en-US" w:eastAsia="zh-CN"/>
        </w:rPr>
        <w:t>若出现次低报价相同影响评审结果的，同样按上述程序执行。</w:t>
      </w:r>
      <w:r>
        <w:rPr>
          <w:rFonts w:hint="eastAsia" w:ascii="宋体" w:hAnsi="宋体" w:cs="宋体"/>
          <w:color w:val="auto"/>
          <w:kern w:val="0"/>
          <w:highlight w:val="none"/>
          <w:lang w:eastAsia="zh-CN"/>
        </w:rPr>
        <w:t>）</w:t>
      </w:r>
    </w:p>
    <w:p w14:paraId="48372486">
      <w:pPr>
        <w:spacing w:line="520" w:lineRule="exact"/>
        <w:ind w:firstLine="420" w:firstLineChars="200"/>
        <w:outlineLvl w:val="9"/>
        <w:rPr>
          <w:rFonts w:ascii="宋体" w:hAnsi="宋体" w:cs="Courier New"/>
          <w:color w:val="auto"/>
          <w:szCs w:val="21"/>
          <w:highlight w:val="none"/>
        </w:rPr>
      </w:pPr>
      <w:r>
        <w:rPr>
          <w:rFonts w:hint="eastAsia" w:ascii="宋体" w:hAnsi="宋体" w:cs="Courier New"/>
          <w:color w:val="auto"/>
          <w:szCs w:val="21"/>
          <w:highlight w:val="none"/>
        </w:rPr>
        <w:t>谈判小组推荐非报价最低的谈判响应人为成交响应人的，须附书面报告说明理由且由谈判小组全体成员签字确认。</w:t>
      </w:r>
    </w:p>
    <w:p w14:paraId="237E67F1">
      <w:pPr>
        <w:spacing w:line="520" w:lineRule="exact"/>
        <w:ind w:firstLine="420" w:firstLineChars="200"/>
        <w:outlineLvl w:val="9"/>
        <w:rPr>
          <w:rFonts w:ascii="宋体" w:hAnsi="宋体" w:cs="Courier New"/>
          <w:color w:val="auto"/>
          <w:szCs w:val="21"/>
          <w:highlight w:val="none"/>
        </w:rPr>
      </w:pPr>
      <w:r>
        <w:rPr>
          <w:rFonts w:hint="eastAsia" w:ascii="宋体" w:hAnsi="宋体" w:cs="Courier New"/>
          <w:color w:val="auto"/>
          <w:szCs w:val="21"/>
          <w:highlight w:val="none"/>
        </w:rPr>
        <w:t>在推荐确定成交候选人之前，谈判小组认为，排在前面的成交候选人的最终报价或者某些分项报价明显不合理或者低于成本，有可能影响商品质量和不能诚信履约的，应当要求其在规定的期限内提供书面文件予以说明理由，并提交相关证明材料。否则，谈判小组可以取消该响应人的成交候</w:t>
      </w:r>
      <w:r>
        <w:rPr>
          <w:rFonts w:hint="eastAsia" w:ascii="宋体" w:hAnsi="宋体" w:cs="Courier New"/>
          <w:color w:val="auto"/>
          <w:szCs w:val="21"/>
          <w:highlight w:val="none"/>
          <w:lang w:eastAsia="zh-CN"/>
        </w:rPr>
        <w:t>选人</w:t>
      </w:r>
      <w:r>
        <w:rPr>
          <w:rFonts w:hint="eastAsia" w:ascii="宋体" w:hAnsi="宋体" w:cs="Courier New"/>
          <w:color w:val="auto"/>
          <w:szCs w:val="21"/>
          <w:highlight w:val="none"/>
        </w:rPr>
        <w:t>资格，按顺序由排在其次的成交候选人递补，以此类推。</w:t>
      </w:r>
    </w:p>
    <w:p w14:paraId="5F7399B0">
      <w:pPr>
        <w:widowControl/>
        <w:tabs>
          <w:tab w:val="left" w:pos="540"/>
        </w:tabs>
        <w:spacing w:line="520" w:lineRule="exact"/>
        <w:jc w:val="left"/>
        <w:outlineLvl w:val="9"/>
        <w:rPr>
          <w:rFonts w:ascii="宋体" w:hAnsi="宋体"/>
          <w:b/>
          <w:color w:val="auto"/>
          <w:sz w:val="28"/>
          <w:szCs w:val="28"/>
          <w:highlight w:val="none"/>
        </w:rPr>
      </w:pPr>
      <w:r>
        <w:rPr>
          <w:rFonts w:hint="eastAsia" w:ascii="宋体" w:hAnsi="宋体"/>
          <w:b/>
          <w:color w:val="auto"/>
          <w:sz w:val="28"/>
          <w:szCs w:val="28"/>
          <w:highlight w:val="none"/>
        </w:rPr>
        <w:t>3.5编写评审报告</w:t>
      </w:r>
    </w:p>
    <w:p w14:paraId="012B4053">
      <w:pPr>
        <w:spacing w:line="520" w:lineRule="exact"/>
        <w:ind w:firstLine="570"/>
        <w:outlineLvl w:val="9"/>
        <w:rPr>
          <w:rFonts w:ascii="宋体" w:hAnsi="宋体"/>
          <w:color w:val="auto"/>
          <w:szCs w:val="21"/>
          <w:highlight w:val="none"/>
        </w:rPr>
      </w:pPr>
      <w:r>
        <w:rPr>
          <w:rFonts w:hint="eastAsia" w:ascii="宋体" w:hAnsi="宋体"/>
          <w:color w:val="auto"/>
          <w:szCs w:val="21"/>
          <w:highlight w:val="none"/>
        </w:rPr>
        <w:t>竞争性谈判工作结束后，谈判小组根据全体成员签字的原始记录和结果编写评审报告。评审报告内容主要包括：</w:t>
      </w:r>
      <w:r>
        <w:rPr>
          <w:rFonts w:hint="eastAsia" w:ascii="宋体" w:hAnsi="宋体"/>
          <w:color w:val="auto"/>
          <w:szCs w:val="21"/>
          <w:highlight w:val="none"/>
          <w:lang w:eastAsia="zh-CN"/>
        </w:rPr>
        <w:t>（</w:t>
      </w:r>
      <w:r>
        <w:rPr>
          <w:rFonts w:hint="eastAsia" w:ascii="宋体" w:hAnsi="宋体"/>
          <w:color w:val="auto"/>
          <w:szCs w:val="21"/>
          <w:highlight w:val="none"/>
        </w:rPr>
        <w:t>1</w:t>
      </w:r>
      <w:r>
        <w:rPr>
          <w:rFonts w:hint="eastAsia" w:ascii="宋体" w:hAnsi="宋体"/>
          <w:color w:val="auto"/>
          <w:szCs w:val="21"/>
          <w:highlight w:val="none"/>
          <w:lang w:eastAsia="zh-CN"/>
        </w:rPr>
        <w:t>）</w:t>
      </w:r>
      <w:r>
        <w:rPr>
          <w:rFonts w:hint="eastAsia" w:ascii="宋体" w:hAnsi="宋体"/>
          <w:color w:val="auto"/>
          <w:szCs w:val="21"/>
          <w:highlight w:val="none"/>
        </w:rPr>
        <w:t>项目基本情况；</w:t>
      </w:r>
      <w:r>
        <w:rPr>
          <w:rFonts w:hint="eastAsia" w:ascii="宋体" w:hAnsi="宋体"/>
          <w:color w:val="auto"/>
          <w:szCs w:val="21"/>
          <w:highlight w:val="none"/>
          <w:lang w:eastAsia="zh-CN"/>
        </w:rPr>
        <w:t>（</w:t>
      </w:r>
      <w:r>
        <w:rPr>
          <w:rFonts w:hint="eastAsia" w:ascii="宋体" w:hAnsi="宋体"/>
          <w:color w:val="auto"/>
          <w:szCs w:val="21"/>
          <w:highlight w:val="none"/>
        </w:rPr>
        <w:t>2</w:t>
      </w:r>
      <w:r>
        <w:rPr>
          <w:rFonts w:hint="eastAsia" w:ascii="宋体" w:hAnsi="宋体"/>
          <w:color w:val="auto"/>
          <w:szCs w:val="21"/>
          <w:highlight w:val="none"/>
          <w:lang w:eastAsia="zh-CN"/>
        </w:rPr>
        <w:t>）</w:t>
      </w:r>
      <w:r>
        <w:rPr>
          <w:rFonts w:hint="eastAsia" w:ascii="宋体" w:hAnsi="宋体"/>
          <w:color w:val="auto"/>
          <w:szCs w:val="21"/>
          <w:highlight w:val="none"/>
        </w:rPr>
        <w:t>竞争性谈判过程介绍；</w:t>
      </w:r>
      <w:r>
        <w:rPr>
          <w:rFonts w:hint="eastAsia" w:ascii="宋体" w:hAnsi="宋体"/>
          <w:color w:val="auto"/>
          <w:szCs w:val="21"/>
          <w:highlight w:val="none"/>
          <w:lang w:eastAsia="zh-CN"/>
        </w:rPr>
        <w:t>（</w:t>
      </w:r>
      <w:r>
        <w:rPr>
          <w:rFonts w:hint="eastAsia" w:ascii="宋体" w:hAnsi="宋体"/>
          <w:color w:val="auto"/>
          <w:szCs w:val="21"/>
          <w:highlight w:val="none"/>
        </w:rPr>
        <w:t>3</w:t>
      </w:r>
      <w:r>
        <w:rPr>
          <w:rFonts w:hint="eastAsia" w:ascii="宋体" w:hAnsi="宋体"/>
          <w:color w:val="auto"/>
          <w:szCs w:val="21"/>
          <w:highlight w:val="none"/>
          <w:lang w:eastAsia="zh-CN"/>
        </w:rPr>
        <w:t>）</w:t>
      </w:r>
      <w:r>
        <w:rPr>
          <w:rFonts w:hint="eastAsia" w:ascii="宋体" w:hAnsi="宋体"/>
          <w:color w:val="auto"/>
          <w:szCs w:val="21"/>
          <w:highlight w:val="none"/>
        </w:rPr>
        <w:t>谈判小组构成；</w:t>
      </w:r>
      <w:r>
        <w:rPr>
          <w:rFonts w:hint="eastAsia" w:ascii="宋体" w:hAnsi="宋体"/>
          <w:color w:val="auto"/>
          <w:szCs w:val="21"/>
          <w:highlight w:val="none"/>
          <w:lang w:eastAsia="zh-CN"/>
        </w:rPr>
        <w:t>（</w:t>
      </w:r>
      <w:r>
        <w:rPr>
          <w:rFonts w:hint="eastAsia" w:ascii="宋体" w:hAnsi="宋体"/>
          <w:color w:val="auto"/>
          <w:szCs w:val="21"/>
          <w:highlight w:val="none"/>
        </w:rPr>
        <w:t>4</w:t>
      </w:r>
      <w:r>
        <w:rPr>
          <w:rFonts w:hint="eastAsia" w:ascii="宋体" w:hAnsi="宋体"/>
          <w:color w:val="auto"/>
          <w:szCs w:val="21"/>
          <w:highlight w:val="none"/>
          <w:lang w:eastAsia="zh-CN"/>
        </w:rPr>
        <w:t>）</w:t>
      </w:r>
      <w:r>
        <w:rPr>
          <w:rFonts w:hint="eastAsia" w:ascii="宋体" w:hAnsi="宋体"/>
          <w:color w:val="auto"/>
          <w:szCs w:val="21"/>
          <w:highlight w:val="none"/>
        </w:rPr>
        <w:t>谈判评审情况说明（包括详细评审评分、无效响应人名单及原因）；</w:t>
      </w:r>
      <w:r>
        <w:rPr>
          <w:rFonts w:hint="eastAsia" w:ascii="宋体" w:hAnsi="宋体"/>
          <w:color w:val="auto"/>
          <w:szCs w:val="21"/>
          <w:highlight w:val="none"/>
          <w:lang w:eastAsia="zh-CN"/>
        </w:rPr>
        <w:t>（</w:t>
      </w:r>
      <w:r>
        <w:rPr>
          <w:rFonts w:hint="eastAsia" w:ascii="宋体" w:hAnsi="宋体"/>
          <w:color w:val="auto"/>
          <w:szCs w:val="21"/>
          <w:highlight w:val="none"/>
        </w:rPr>
        <w:t>5</w:t>
      </w:r>
      <w:r>
        <w:rPr>
          <w:rFonts w:hint="eastAsia" w:ascii="宋体" w:hAnsi="宋体"/>
          <w:color w:val="auto"/>
          <w:szCs w:val="21"/>
          <w:highlight w:val="none"/>
          <w:lang w:eastAsia="zh-CN"/>
        </w:rPr>
        <w:t>）</w:t>
      </w:r>
      <w:r>
        <w:rPr>
          <w:rFonts w:hint="eastAsia" w:ascii="宋体" w:hAnsi="宋体"/>
          <w:color w:val="auto"/>
          <w:szCs w:val="21"/>
          <w:highlight w:val="none"/>
        </w:rPr>
        <w:t>响应人最终报价情况；</w:t>
      </w:r>
      <w:r>
        <w:rPr>
          <w:rFonts w:hint="eastAsia" w:ascii="宋体" w:hAnsi="宋体"/>
          <w:color w:val="auto"/>
          <w:szCs w:val="21"/>
          <w:highlight w:val="none"/>
          <w:lang w:eastAsia="zh-CN"/>
        </w:rPr>
        <w:t>（</w:t>
      </w:r>
      <w:r>
        <w:rPr>
          <w:rFonts w:hint="eastAsia" w:ascii="宋体" w:hAnsi="宋体"/>
          <w:color w:val="auto"/>
          <w:szCs w:val="21"/>
          <w:highlight w:val="none"/>
        </w:rPr>
        <w:t>6</w:t>
      </w:r>
      <w:r>
        <w:rPr>
          <w:rFonts w:hint="eastAsia" w:ascii="宋体" w:hAnsi="宋体"/>
          <w:color w:val="auto"/>
          <w:szCs w:val="21"/>
          <w:highlight w:val="none"/>
          <w:lang w:eastAsia="zh-CN"/>
        </w:rPr>
        <w:t>）</w:t>
      </w:r>
      <w:r>
        <w:rPr>
          <w:rFonts w:hint="eastAsia" w:ascii="宋体" w:hAnsi="宋体"/>
          <w:color w:val="auto"/>
          <w:szCs w:val="21"/>
          <w:highlight w:val="none"/>
        </w:rPr>
        <w:t>推荐成交候选人建议等。</w:t>
      </w:r>
    </w:p>
    <w:p w14:paraId="3485F40A">
      <w:pPr>
        <w:widowControl/>
        <w:jc w:val="left"/>
        <w:rPr>
          <w:color w:val="auto"/>
          <w:sz w:val="28"/>
          <w:szCs w:val="28"/>
          <w:highlight w:val="none"/>
        </w:rPr>
        <w:sectPr>
          <w:pgSz w:w="11906" w:h="16838"/>
          <w:pgMar w:top="1440" w:right="1066" w:bottom="898" w:left="960" w:header="851" w:footer="992" w:gutter="0"/>
          <w:cols w:space="720" w:num="1"/>
          <w:docGrid w:type="lines" w:linePitch="312" w:charSpace="0"/>
        </w:sectPr>
      </w:pPr>
      <w:r>
        <w:rPr>
          <w:rFonts w:ascii="宋体" w:hAnsi="宋体"/>
          <w:color w:val="auto"/>
          <w:szCs w:val="21"/>
          <w:highlight w:val="none"/>
        </w:rPr>
        <w:br w:type="page"/>
      </w:r>
      <w:bookmarkEnd w:id="109"/>
      <w:bookmarkEnd w:id="110"/>
      <w:bookmarkEnd w:id="111"/>
      <w:bookmarkEnd w:id="112"/>
      <w:bookmarkEnd w:id="113"/>
      <w:bookmarkEnd w:id="114"/>
      <w:bookmarkEnd w:id="115"/>
      <w:bookmarkEnd w:id="116"/>
      <w:bookmarkEnd w:id="120"/>
      <w:bookmarkStart w:id="124" w:name="_Toc456551944"/>
    </w:p>
    <w:bookmarkEnd w:id="124"/>
    <w:p w14:paraId="399391AA">
      <w:pPr>
        <w:pStyle w:val="3"/>
        <w:jc w:val="center"/>
        <w:rPr>
          <w:rFonts w:hint="eastAsia" w:ascii="宋体" w:hAnsi="宋体"/>
          <w:color w:val="auto"/>
          <w:sz w:val="28"/>
          <w:szCs w:val="28"/>
          <w:highlight w:val="none"/>
        </w:rPr>
      </w:pPr>
      <w:bookmarkStart w:id="125" w:name="_3._其他说明_4."/>
      <w:bookmarkEnd w:id="125"/>
      <w:bookmarkStart w:id="126" w:name="_Toc246997096"/>
      <w:bookmarkStart w:id="127" w:name="_Toc247085870"/>
      <w:bookmarkStart w:id="128" w:name="_Toc246996353"/>
      <w:bookmarkStart w:id="129" w:name="_Toc338661803"/>
      <w:bookmarkStart w:id="130" w:name="_Toc179632804"/>
      <w:bookmarkStart w:id="131" w:name="_Toc456552075"/>
      <w:bookmarkStart w:id="132" w:name="_Toc19738"/>
      <w:r>
        <w:rPr>
          <w:rFonts w:hint="eastAsia" w:ascii="宋体" w:hAnsi="宋体"/>
          <w:color w:val="auto"/>
          <w:sz w:val="28"/>
          <w:szCs w:val="28"/>
          <w:highlight w:val="none"/>
        </w:rPr>
        <w:t xml:space="preserve">第四章 </w:t>
      </w:r>
      <w:bookmarkEnd w:id="126"/>
      <w:bookmarkEnd w:id="127"/>
      <w:bookmarkEnd w:id="128"/>
      <w:bookmarkEnd w:id="129"/>
      <w:bookmarkEnd w:id="130"/>
      <w:bookmarkEnd w:id="131"/>
      <w:r>
        <w:rPr>
          <w:rFonts w:hint="eastAsia" w:ascii="宋体" w:hAnsi="宋体"/>
          <w:color w:val="auto"/>
          <w:sz w:val="28"/>
          <w:szCs w:val="28"/>
          <w:highlight w:val="none"/>
        </w:rPr>
        <w:t>用户需求书/技术规范书</w:t>
      </w:r>
      <w:bookmarkEnd w:id="132"/>
    </w:p>
    <w:p w14:paraId="2BCC24DF">
      <w:pPr>
        <w:pStyle w:val="4"/>
        <w:spacing w:before="0" w:after="0" w:line="360" w:lineRule="auto"/>
        <w:jc w:val="center"/>
        <w:rPr>
          <w:rFonts w:hint="eastAsia" w:ascii="宋体" w:hAnsi="宋体" w:eastAsia="宋体" w:cs="宋体"/>
          <w:color w:val="auto"/>
          <w:highlight w:val="none"/>
        </w:rPr>
      </w:pPr>
      <w:bookmarkStart w:id="133" w:name="_Toc1593"/>
      <w:bookmarkStart w:id="134" w:name="_Toc23727"/>
      <w:bookmarkStart w:id="135" w:name="_Toc9218"/>
      <w:bookmarkStart w:id="136" w:name="_Toc308786492"/>
      <w:bookmarkStart w:id="137" w:name="_Toc438039969"/>
      <w:bookmarkStart w:id="138" w:name="_Toc435779386"/>
      <w:bookmarkStart w:id="139" w:name="_Toc438143778"/>
      <w:bookmarkStart w:id="140" w:name="_Toc456552076"/>
      <w:r>
        <w:rPr>
          <w:rFonts w:hint="eastAsia" w:ascii="宋体" w:hAnsi="宋体" w:eastAsia="宋体" w:cs="宋体"/>
          <w:color w:val="auto"/>
          <w:highlight w:val="none"/>
        </w:rPr>
        <w:t>第一章 商务需求书</w:t>
      </w:r>
      <w:bookmarkEnd w:id="133"/>
      <w:bookmarkEnd w:id="134"/>
      <w:bookmarkEnd w:id="135"/>
    </w:p>
    <w:tbl>
      <w:tblPr>
        <w:tblStyle w:val="37"/>
        <w:tblW w:w="9350"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18"/>
        <w:gridCol w:w="1501"/>
        <w:gridCol w:w="7131"/>
      </w:tblGrid>
      <w:tr w14:paraId="1B6F276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2" w:hRule="atLeast"/>
          <w:jc w:val="center"/>
        </w:trPr>
        <w:tc>
          <w:tcPr>
            <w:tcW w:w="718" w:type="dxa"/>
            <w:noWrap w:val="0"/>
            <w:vAlign w:val="center"/>
          </w:tcPr>
          <w:p w14:paraId="5107EBC4">
            <w:pPr>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序号</w:t>
            </w:r>
          </w:p>
        </w:tc>
        <w:tc>
          <w:tcPr>
            <w:tcW w:w="1501" w:type="dxa"/>
            <w:noWrap w:val="0"/>
            <w:vAlign w:val="center"/>
          </w:tcPr>
          <w:p w14:paraId="3DF75B8D">
            <w:pPr>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条款名称</w:t>
            </w:r>
          </w:p>
        </w:tc>
        <w:tc>
          <w:tcPr>
            <w:tcW w:w="7131" w:type="dxa"/>
            <w:noWrap w:val="0"/>
            <w:vAlign w:val="center"/>
          </w:tcPr>
          <w:p w14:paraId="046B2E04">
            <w:pPr>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说  明</w:t>
            </w:r>
          </w:p>
        </w:tc>
      </w:tr>
      <w:tr w14:paraId="2608361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87" w:hRule="atLeast"/>
          <w:jc w:val="center"/>
        </w:trPr>
        <w:tc>
          <w:tcPr>
            <w:tcW w:w="718" w:type="dxa"/>
            <w:noWrap w:val="0"/>
            <w:vAlign w:val="center"/>
          </w:tcPr>
          <w:p w14:paraId="463A6284">
            <w:pPr>
              <w:jc w:val="both"/>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val="en-US" w:eastAsia="zh-CN"/>
              </w:rPr>
              <w:t>1</w:t>
            </w:r>
          </w:p>
        </w:tc>
        <w:tc>
          <w:tcPr>
            <w:tcW w:w="1501" w:type="dxa"/>
            <w:noWrap w:val="0"/>
            <w:vAlign w:val="center"/>
          </w:tcPr>
          <w:p w14:paraId="16FA1A82">
            <w:pPr>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服务期</w:t>
            </w:r>
          </w:p>
        </w:tc>
        <w:tc>
          <w:tcPr>
            <w:tcW w:w="7131" w:type="dxa"/>
            <w:noWrap w:val="0"/>
            <w:vAlign w:val="center"/>
          </w:tcPr>
          <w:p w14:paraId="60DE71FE">
            <w:pPr>
              <w:pStyle w:val="106"/>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lang w:eastAsia="zh-CN"/>
              </w:rPr>
              <w:t>12个月（按每台电梯实际维保起始日，按考核结果据实结算服务费用。）</w:t>
            </w:r>
          </w:p>
        </w:tc>
      </w:tr>
      <w:tr w14:paraId="062EA98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5" w:hRule="atLeast"/>
          <w:jc w:val="center"/>
        </w:trPr>
        <w:tc>
          <w:tcPr>
            <w:tcW w:w="718" w:type="dxa"/>
            <w:noWrap w:val="0"/>
            <w:vAlign w:val="center"/>
          </w:tcPr>
          <w:p w14:paraId="709695BB">
            <w:pPr>
              <w:jc w:val="both"/>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val="en-US" w:eastAsia="zh-CN"/>
              </w:rPr>
              <w:t>2</w:t>
            </w:r>
          </w:p>
        </w:tc>
        <w:tc>
          <w:tcPr>
            <w:tcW w:w="1501" w:type="dxa"/>
            <w:noWrap w:val="0"/>
            <w:vAlign w:val="center"/>
          </w:tcPr>
          <w:p w14:paraId="5B3923E3">
            <w:pPr>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付款方式</w:t>
            </w:r>
          </w:p>
        </w:tc>
        <w:tc>
          <w:tcPr>
            <w:tcW w:w="7131" w:type="dxa"/>
            <w:noWrap w:val="0"/>
            <w:vAlign w:val="center"/>
          </w:tcPr>
          <w:p w14:paraId="6B36F411">
            <w:pPr>
              <w:ind w:firstLine="420" w:firstLineChars="200"/>
              <w:contextualSpacing/>
              <w:jc w:val="both"/>
              <w:rPr>
                <w:rFonts w:hint="eastAsia" w:ascii="宋体" w:hAnsi="宋体" w:eastAsia="宋体" w:cs="宋体"/>
                <w:color w:val="auto"/>
                <w:highlight w:val="none"/>
                <w:shd w:val="clear" w:color="auto" w:fill="FFFFFF"/>
              </w:rPr>
            </w:pPr>
            <w:r>
              <w:rPr>
                <w:rFonts w:hint="eastAsia" w:ascii="宋体" w:hAnsi="宋体" w:eastAsia="宋体" w:cs="宋体"/>
                <w:color w:val="auto"/>
                <w:highlight w:val="none"/>
                <w:shd w:val="clear" w:color="auto" w:fill="FFFFFF"/>
              </w:rPr>
              <w:t>①维修保养费支付期为月结，按考核结果计费。每月末由成交供应商</w:t>
            </w:r>
            <w:r>
              <w:rPr>
                <w:rFonts w:hint="eastAsia" w:ascii="宋体" w:hAnsi="宋体" w:cs="宋体"/>
                <w:color w:val="auto"/>
                <w:highlight w:val="none"/>
                <w:shd w:val="clear" w:color="auto" w:fill="FFFFFF"/>
                <w:lang w:eastAsia="zh-CN"/>
              </w:rPr>
              <w:t>开具</w:t>
            </w:r>
            <w:r>
              <w:rPr>
                <w:rFonts w:hint="eastAsia" w:ascii="宋体" w:hAnsi="宋体" w:eastAsia="宋体" w:cs="宋体"/>
                <w:color w:val="auto"/>
                <w:highlight w:val="none"/>
                <w:shd w:val="clear" w:color="auto" w:fill="FFFFFF"/>
              </w:rPr>
              <w:t>发票，采购人确认无误后</w:t>
            </w:r>
            <w:r>
              <w:rPr>
                <w:rFonts w:hint="eastAsia" w:ascii="宋体" w:hAnsi="宋体" w:cs="宋体"/>
                <w:color w:val="auto"/>
                <w:highlight w:val="none"/>
                <w:shd w:val="clear" w:color="auto" w:fill="FFFFFF"/>
                <w:lang w:eastAsia="zh-CN"/>
              </w:rPr>
              <w:t>再</w:t>
            </w:r>
            <w:r>
              <w:rPr>
                <w:rFonts w:hint="eastAsia" w:ascii="宋体" w:hAnsi="宋体" w:eastAsia="宋体" w:cs="宋体"/>
                <w:color w:val="auto"/>
                <w:highlight w:val="none"/>
                <w:shd w:val="clear" w:color="auto" w:fill="FFFFFF"/>
              </w:rPr>
              <w:t>支付，付款方式为银行转账。</w:t>
            </w:r>
          </w:p>
          <w:p w14:paraId="15C6ECF7">
            <w:pPr>
              <w:ind w:firstLine="420" w:firstLineChars="200"/>
              <w:contextualSpacing/>
              <w:jc w:val="both"/>
              <w:rPr>
                <w:rFonts w:hint="eastAsia" w:ascii="宋体" w:hAnsi="宋体" w:eastAsia="宋体" w:cs="宋体"/>
                <w:color w:val="auto"/>
                <w:highlight w:val="none"/>
              </w:rPr>
            </w:pPr>
            <w:r>
              <w:rPr>
                <w:rFonts w:hint="eastAsia" w:ascii="宋体" w:hAnsi="宋体" w:eastAsia="宋体" w:cs="宋体"/>
                <w:color w:val="auto"/>
                <w:highlight w:val="none"/>
                <w:shd w:val="clear" w:color="auto" w:fill="FFFFFF"/>
              </w:rPr>
              <w:t>②按照现行税收政策规定，每次付款前，成交供应商必须提供合法有效、与本合同总价款条款中增值税税率一致的增值税专用发票给</w:t>
            </w:r>
            <w:r>
              <w:rPr>
                <w:rFonts w:hint="eastAsia" w:ascii="宋体" w:hAnsi="宋体" w:cs="宋体"/>
                <w:color w:val="auto"/>
                <w:highlight w:val="none"/>
                <w:shd w:val="clear" w:color="auto" w:fill="FFFFFF"/>
                <w:lang w:eastAsia="zh-CN"/>
              </w:rPr>
              <w:t>采购人</w:t>
            </w:r>
            <w:r>
              <w:rPr>
                <w:rFonts w:hint="eastAsia" w:ascii="宋体" w:hAnsi="宋体" w:eastAsia="宋体" w:cs="宋体"/>
                <w:color w:val="auto"/>
                <w:highlight w:val="none"/>
                <w:shd w:val="clear" w:color="auto" w:fill="FFFFFF"/>
              </w:rPr>
              <w:t>，否则采购人有权拒绝付款且不构成违约；若合同执行期间，遇国家税务政策调整所引起的合同价格变化，按照不含税价格调整结算价格。</w:t>
            </w:r>
          </w:p>
        </w:tc>
      </w:tr>
      <w:tr w14:paraId="3EDF700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9" w:hRule="atLeast"/>
          <w:jc w:val="center"/>
        </w:trPr>
        <w:tc>
          <w:tcPr>
            <w:tcW w:w="718" w:type="dxa"/>
            <w:noWrap w:val="0"/>
            <w:vAlign w:val="center"/>
          </w:tcPr>
          <w:p w14:paraId="73CD2B75">
            <w:pPr>
              <w:jc w:val="both"/>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val="en-US" w:eastAsia="zh-CN"/>
              </w:rPr>
              <w:t>3</w:t>
            </w:r>
          </w:p>
        </w:tc>
        <w:tc>
          <w:tcPr>
            <w:tcW w:w="1501" w:type="dxa"/>
            <w:noWrap w:val="0"/>
            <w:vAlign w:val="center"/>
          </w:tcPr>
          <w:p w14:paraId="137FAAD8">
            <w:pPr>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项目地点</w:t>
            </w:r>
          </w:p>
        </w:tc>
        <w:tc>
          <w:tcPr>
            <w:tcW w:w="7131" w:type="dxa"/>
            <w:noWrap w:val="0"/>
            <w:vAlign w:val="center"/>
          </w:tcPr>
          <w:p w14:paraId="3715DA8E">
            <w:pPr>
              <w:ind w:firstLine="420" w:firstLineChars="200"/>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采购人指定地点。</w:t>
            </w:r>
          </w:p>
        </w:tc>
      </w:tr>
      <w:tr w14:paraId="75C5E41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468" w:hRule="atLeast"/>
          <w:jc w:val="center"/>
        </w:trPr>
        <w:tc>
          <w:tcPr>
            <w:tcW w:w="718" w:type="dxa"/>
            <w:noWrap w:val="0"/>
            <w:vAlign w:val="center"/>
          </w:tcPr>
          <w:p w14:paraId="7508110F">
            <w:pPr>
              <w:jc w:val="both"/>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val="en-US" w:eastAsia="zh-CN"/>
              </w:rPr>
              <w:t>4</w:t>
            </w:r>
          </w:p>
        </w:tc>
        <w:tc>
          <w:tcPr>
            <w:tcW w:w="1501" w:type="dxa"/>
            <w:noWrap w:val="0"/>
            <w:vAlign w:val="center"/>
          </w:tcPr>
          <w:p w14:paraId="286F3FC6">
            <w:pPr>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报价</w:t>
            </w:r>
            <w:r>
              <w:rPr>
                <w:rFonts w:hint="eastAsia" w:ascii="宋体" w:hAnsi="宋体" w:eastAsia="宋体" w:cs="宋体"/>
                <w:color w:val="auto"/>
                <w:szCs w:val="21"/>
                <w:highlight w:val="none"/>
                <w:lang w:val="en-US" w:eastAsia="zh-CN"/>
              </w:rPr>
              <w:t>及保养</w:t>
            </w:r>
            <w:r>
              <w:rPr>
                <w:rFonts w:hint="eastAsia" w:ascii="宋体" w:hAnsi="宋体" w:eastAsia="宋体" w:cs="宋体"/>
                <w:color w:val="auto"/>
                <w:szCs w:val="21"/>
                <w:highlight w:val="none"/>
              </w:rPr>
              <w:t>要求</w:t>
            </w:r>
          </w:p>
        </w:tc>
        <w:tc>
          <w:tcPr>
            <w:tcW w:w="7131" w:type="dxa"/>
            <w:noWrap w:val="0"/>
            <w:vAlign w:val="center"/>
          </w:tcPr>
          <w:p w14:paraId="6DDF84BF">
            <w:pPr>
              <w:ind w:firstLine="420" w:firstLineChars="200"/>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①供应商维护保养报价应包含：价格应包含电梯保养费、电梯安全责任保险费、电梯限速器校验费及所有零件更换的人工费用；</w:t>
            </w:r>
          </w:p>
          <w:p w14:paraId="5E0A6489">
            <w:pPr>
              <w:ind w:firstLine="420" w:firstLineChars="200"/>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②在合同服务期间内，因维修所需</w:t>
            </w:r>
            <w:r>
              <w:rPr>
                <w:rFonts w:hint="eastAsia" w:ascii="宋体" w:hAnsi="宋体" w:cs="宋体"/>
                <w:color w:val="auto"/>
                <w:szCs w:val="21"/>
                <w:highlight w:val="none"/>
                <w:lang w:val="en-US" w:eastAsia="zh-CN"/>
              </w:rPr>
              <w:t>单台电梯</w:t>
            </w:r>
            <w:r>
              <w:rPr>
                <w:rFonts w:hint="eastAsia" w:ascii="宋体" w:hAnsi="宋体" w:eastAsia="宋体" w:cs="宋体"/>
                <w:color w:val="auto"/>
                <w:szCs w:val="21"/>
                <w:highlight w:val="none"/>
              </w:rPr>
              <w:t>的</w:t>
            </w:r>
            <w:r>
              <w:rPr>
                <w:rFonts w:hint="eastAsia" w:ascii="宋体" w:hAnsi="宋体" w:cs="宋体"/>
                <w:color w:val="auto"/>
                <w:szCs w:val="21"/>
                <w:highlight w:val="none"/>
                <w:lang w:eastAsia="zh-CN"/>
              </w:rPr>
              <w:t>3000</w:t>
            </w:r>
            <w:r>
              <w:rPr>
                <w:rFonts w:hint="eastAsia" w:ascii="宋体" w:hAnsi="宋体" w:eastAsia="宋体" w:cs="宋体"/>
                <w:color w:val="auto"/>
                <w:szCs w:val="21"/>
                <w:highlight w:val="none"/>
              </w:rPr>
              <w:t>元</w:t>
            </w:r>
            <w:r>
              <w:rPr>
                <w:rFonts w:hint="eastAsia" w:ascii="宋体" w:hAnsi="宋体" w:cs="宋体"/>
                <w:color w:val="auto"/>
                <w:szCs w:val="21"/>
                <w:highlight w:val="none"/>
                <w:lang w:val="en-US" w:eastAsia="zh-CN"/>
              </w:rPr>
              <w:t>以内的</w:t>
            </w:r>
            <w:r>
              <w:rPr>
                <w:rFonts w:hint="eastAsia" w:ascii="宋体" w:hAnsi="宋体" w:eastAsia="宋体" w:cs="宋体"/>
                <w:color w:val="auto"/>
                <w:szCs w:val="21"/>
                <w:highlight w:val="none"/>
              </w:rPr>
              <w:t>单个材料零配件费用由</w:t>
            </w:r>
            <w:r>
              <w:rPr>
                <w:rFonts w:hint="eastAsia" w:ascii="宋体" w:hAnsi="宋体" w:eastAsia="宋体" w:cs="宋体"/>
                <w:color w:val="auto"/>
                <w:szCs w:val="21"/>
                <w:highlight w:val="none"/>
                <w:lang w:eastAsia="zh-CN"/>
              </w:rPr>
              <w:t>成交</w:t>
            </w:r>
            <w:r>
              <w:rPr>
                <w:rFonts w:hint="eastAsia" w:ascii="宋体" w:hAnsi="宋体" w:eastAsia="宋体" w:cs="宋体"/>
                <w:color w:val="auto"/>
                <w:szCs w:val="21"/>
                <w:highlight w:val="none"/>
              </w:rPr>
              <w:t>供应商承担。</w:t>
            </w:r>
          </w:p>
          <w:p w14:paraId="7BE859A7">
            <w:pPr>
              <w:ind w:firstLine="420" w:firstLineChars="200"/>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③当发生以下情形之一时，</w:t>
            </w:r>
            <w:r>
              <w:rPr>
                <w:rFonts w:hint="eastAsia" w:ascii="宋体" w:hAnsi="宋体" w:eastAsia="宋体" w:cs="宋体"/>
                <w:color w:val="auto"/>
                <w:szCs w:val="21"/>
                <w:highlight w:val="none"/>
                <w:lang w:eastAsia="zh-CN"/>
              </w:rPr>
              <w:t>成交供应商</w:t>
            </w:r>
            <w:r>
              <w:rPr>
                <w:rFonts w:hint="eastAsia" w:ascii="宋体" w:hAnsi="宋体" w:eastAsia="宋体" w:cs="宋体"/>
                <w:color w:val="auto"/>
                <w:szCs w:val="21"/>
                <w:highlight w:val="none"/>
              </w:rPr>
              <w:t>另行提供所需的配件型号等信息并报价，所报价格应当不再包含更换人工费用（如特殊情况更换零件需增加额外人员协助时，可协商适当计入增加人员的人工费用），若采购人、</w:t>
            </w:r>
            <w:r>
              <w:rPr>
                <w:rFonts w:hint="eastAsia" w:ascii="宋体" w:hAnsi="宋体" w:eastAsia="宋体" w:cs="宋体"/>
                <w:color w:val="auto"/>
                <w:szCs w:val="21"/>
                <w:highlight w:val="none"/>
                <w:lang w:eastAsia="zh-CN"/>
              </w:rPr>
              <w:t>成交供应商</w:t>
            </w:r>
            <w:r>
              <w:rPr>
                <w:rFonts w:hint="eastAsia" w:ascii="宋体" w:hAnsi="宋体" w:eastAsia="宋体" w:cs="宋体"/>
                <w:color w:val="auto"/>
                <w:szCs w:val="21"/>
                <w:highlight w:val="none"/>
              </w:rPr>
              <w:t>双方对工程、配件、试验等费用报价存在异议，采购人有权邀请第三方对相关费用进行评估报价，若费用明显低于</w:t>
            </w:r>
            <w:r>
              <w:rPr>
                <w:rFonts w:hint="eastAsia" w:ascii="宋体" w:hAnsi="宋体" w:eastAsia="宋体" w:cs="宋体"/>
                <w:color w:val="auto"/>
                <w:szCs w:val="21"/>
                <w:highlight w:val="none"/>
                <w:lang w:eastAsia="zh-CN"/>
              </w:rPr>
              <w:t>成交供应商</w:t>
            </w:r>
            <w:r>
              <w:rPr>
                <w:rFonts w:hint="eastAsia" w:ascii="宋体" w:hAnsi="宋体" w:eastAsia="宋体" w:cs="宋体"/>
                <w:color w:val="auto"/>
                <w:szCs w:val="21"/>
                <w:highlight w:val="none"/>
              </w:rPr>
              <w:t>报价费用，采购人可直接交由第三方负责，</w:t>
            </w:r>
            <w:r>
              <w:rPr>
                <w:rFonts w:hint="eastAsia" w:ascii="宋体" w:hAnsi="宋体" w:eastAsia="宋体" w:cs="宋体"/>
                <w:color w:val="auto"/>
                <w:szCs w:val="21"/>
                <w:highlight w:val="none"/>
                <w:lang w:eastAsia="zh-CN"/>
              </w:rPr>
              <w:t>成交供应商</w:t>
            </w:r>
            <w:r>
              <w:rPr>
                <w:rFonts w:hint="eastAsia" w:ascii="宋体" w:hAnsi="宋体" w:eastAsia="宋体" w:cs="宋体"/>
                <w:color w:val="auto"/>
                <w:szCs w:val="21"/>
                <w:highlight w:val="none"/>
              </w:rPr>
              <w:t>不得有异议。</w:t>
            </w:r>
          </w:p>
          <w:p w14:paraId="65F61691">
            <w:pPr>
              <w:ind w:firstLine="420" w:firstLineChars="200"/>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A </w:t>
            </w:r>
            <w:r>
              <w:rPr>
                <w:rFonts w:hint="eastAsia" w:ascii="宋体" w:hAnsi="宋体" w:cs="宋体"/>
                <w:color w:val="auto"/>
                <w:szCs w:val="21"/>
                <w:highlight w:val="none"/>
                <w:lang w:val="en-US" w:eastAsia="zh-CN"/>
              </w:rPr>
              <w:t>单台电梯</w:t>
            </w:r>
            <w:r>
              <w:rPr>
                <w:rFonts w:hint="eastAsia" w:ascii="宋体" w:hAnsi="宋体" w:eastAsia="宋体" w:cs="宋体"/>
                <w:color w:val="auto"/>
                <w:szCs w:val="21"/>
                <w:highlight w:val="none"/>
              </w:rPr>
              <w:t>的</w:t>
            </w:r>
            <w:r>
              <w:rPr>
                <w:rFonts w:hint="eastAsia" w:ascii="宋体" w:hAnsi="宋体" w:cs="宋体"/>
                <w:color w:val="auto"/>
                <w:szCs w:val="21"/>
                <w:highlight w:val="none"/>
                <w:lang w:eastAsia="zh-CN"/>
              </w:rPr>
              <w:t>3000</w:t>
            </w:r>
            <w:r>
              <w:rPr>
                <w:rFonts w:hint="eastAsia" w:ascii="宋体" w:hAnsi="宋体" w:eastAsia="宋体" w:cs="宋体"/>
                <w:color w:val="auto"/>
                <w:szCs w:val="21"/>
                <w:highlight w:val="none"/>
              </w:rPr>
              <w:t>元以上配件材料需要更换时；B 政府规定5年1次的125% 载荷试验；C 应采购人要求对电梯进行升级改造。</w:t>
            </w:r>
          </w:p>
          <w:p w14:paraId="4752A9D8">
            <w:pPr>
              <w:ind w:firstLine="420" w:firstLineChars="200"/>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④</w:t>
            </w:r>
            <w:r>
              <w:rPr>
                <w:rFonts w:hint="eastAsia" w:ascii="宋体" w:hAnsi="宋体" w:eastAsia="宋体" w:cs="宋体"/>
                <w:color w:val="auto"/>
                <w:szCs w:val="21"/>
                <w:highlight w:val="none"/>
                <w:lang w:eastAsia="zh-CN"/>
              </w:rPr>
              <w:t>成交供应商</w:t>
            </w:r>
            <w:r>
              <w:rPr>
                <w:rFonts w:hint="eastAsia" w:ascii="宋体" w:hAnsi="宋体" w:eastAsia="宋体" w:cs="宋体"/>
                <w:color w:val="auto"/>
                <w:szCs w:val="21"/>
                <w:highlight w:val="none"/>
              </w:rPr>
              <w:t>保养的范围：以国家质检总局TSG T5002-2017 特种设备行业安全技术规范《电梯维护保养规则》曳引与强制驱动电梯维护保养项目（月/季/年度内容）和要求为标准，具体但不限于以下内容：负责清理、涧滑、检查、调整、修理在电梯井道内及机房内 属于电梯设备与装置以及所有控制、指示、运行零部件。定期检查与测试机械、电器设备及安全装置。</w:t>
            </w:r>
          </w:p>
          <w:p w14:paraId="5AA92C65">
            <w:pPr>
              <w:ind w:firstLine="420" w:firstLineChars="200"/>
              <w:jc w:val="both"/>
              <w:rPr>
                <w:rFonts w:hint="eastAsia" w:ascii="宋体" w:hAnsi="宋体" w:cs="宋体"/>
                <w:color w:val="auto"/>
                <w:szCs w:val="21"/>
                <w:highlight w:val="none"/>
                <w:lang w:val="en-US" w:eastAsia="zh-CN"/>
              </w:rPr>
            </w:pPr>
            <w:r>
              <w:rPr>
                <w:rFonts w:hint="eastAsia" w:ascii="宋体" w:hAnsi="宋体" w:eastAsia="宋体" w:cs="宋体"/>
                <w:color w:val="auto"/>
                <w:szCs w:val="21"/>
                <w:highlight w:val="none"/>
              </w:rPr>
              <w:t>⑤保养合同期内，</w:t>
            </w:r>
            <w:r>
              <w:rPr>
                <w:rFonts w:hint="eastAsia" w:ascii="宋体" w:hAnsi="宋体" w:eastAsia="宋体" w:cs="宋体"/>
                <w:color w:val="auto"/>
                <w:szCs w:val="21"/>
                <w:highlight w:val="none"/>
                <w:lang w:eastAsia="zh-CN"/>
              </w:rPr>
              <w:t>成交供应商</w:t>
            </w:r>
            <w:r>
              <w:rPr>
                <w:rFonts w:hint="eastAsia" w:ascii="宋体" w:hAnsi="宋体" w:eastAsia="宋体" w:cs="宋体"/>
                <w:color w:val="auto"/>
                <w:szCs w:val="21"/>
                <w:highlight w:val="none"/>
              </w:rPr>
              <w:t>人员须持证上岗，须派 2 名以上持具有种类为电梯作业，项目代号为T的《特种设备作业人员证》或《特种设备安全管理和作业人员证》证书）</w:t>
            </w:r>
            <w:r>
              <w:rPr>
                <w:rFonts w:hint="eastAsia" w:ascii="宋体" w:hAnsi="宋体" w:cs="宋体"/>
                <w:color w:val="auto"/>
                <w:szCs w:val="21"/>
                <w:highlight w:val="none"/>
                <w:lang w:val="en-US" w:eastAsia="zh-CN"/>
              </w:rPr>
              <w:t>的技术人员</w:t>
            </w:r>
            <w:r>
              <w:rPr>
                <w:rFonts w:hint="eastAsia" w:ascii="宋体" w:hAnsi="宋体" w:eastAsia="宋体" w:cs="宋体"/>
                <w:color w:val="auto"/>
                <w:szCs w:val="21"/>
                <w:highlight w:val="none"/>
              </w:rPr>
              <w:t>进驻现场（</w:t>
            </w:r>
            <w:r>
              <w:rPr>
                <w:rFonts w:hint="eastAsia" w:ascii="宋体" w:hAnsi="宋体" w:cs="宋体"/>
                <w:color w:val="auto"/>
                <w:szCs w:val="21"/>
                <w:highlight w:val="none"/>
                <w:lang w:val="en-US" w:eastAsia="zh-CN"/>
              </w:rPr>
              <w:t>上述2名技术人员</w:t>
            </w:r>
            <w:r>
              <w:rPr>
                <w:rFonts w:hint="eastAsia" w:ascii="宋体" w:hAnsi="宋体" w:eastAsia="宋体" w:cs="宋体"/>
                <w:color w:val="auto"/>
                <w:szCs w:val="21"/>
                <w:highlight w:val="none"/>
              </w:rPr>
              <w:t>考勤归属采购人管理），对采购人的电梯进行保养维护工作，每台电梯每月至少进行两次全面保养，且全面保养时至少派2名以上技术人员实施。</w:t>
            </w:r>
            <w:r>
              <w:rPr>
                <w:rFonts w:hint="eastAsia" w:ascii="宋体" w:hAnsi="宋体" w:cs="宋体"/>
                <w:color w:val="auto"/>
                <w:szCs w:val="21"/>
                <w:highlight w:val="none"/>
                <w:lang w:val="en-US" w:eastAsia="zh-CN"/>
              </w:rPr>
              <w:t>如合同期内需更换技术人员，须提供上述规定证书人员且经得采购人书面同意后方可更换。</w:t>
            </w:r>
          </w:p>
          <w:p w14:paraId="05F4159E">
            <w:pPr>
              <w:ind w:firstLine="420" w:firstLineChars="200"/>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⑥</w:t>
            </w:r>
            <w:r>
              <w:rPr>
                <w:rFonts w:hint="eastAsia" w:ascii="宋体" w:hAnsi="宋体" w:eastAsia="宋体" w:cs="宋体"/>
                <w:color w:val="auto"/>
                <w:szCs w:val="21"/>
                <w:highlight w:val="none"/>
                <w:lang w:eastAsia="zh-CN"/>
              </w:rPr>
              <w:t>成交供应商</w:t>
            </w:r>
            <w:r>
              <w:rPr>
                <w:rFonts w:hint="eastAsia" w:ascii="宋体" w:hAnsi="宋体" w:eastAsia="宋体" w:cs="宋体"/>
                <w:color w:val="auto"/>
                <w:szCs w:val="21"/>
                <w:highlight w:val="none"/>
              </w:rPr>
              <w:t>需对园区</w:t>
            </w:r>
            <w:r>
              <w:rPr>
                <w:rFonts w:hint="eastAsia" w:ascii="宋体" w:hAnsi="宋体" w:cs="宋体"/>
                <w:color w:val="auto"/>
                <w:szCs w:val="21"/>
                <w:highlight w:val="none"/>
                <w:lang w:val="en-US" w:eastAsia="zh-CN"/>
              </w:rPr>
              <w:t>5</w:t>
            </w:r>
            <w:r>
              <w:rPr>
                <w:rFonts w:hint="eastAsia" w:ascii="宋体" w:hAnsi="宋体" w:eastAsia="宋体" w:cs="宋体"/>
                <w:color w:val="auto"/>
                <w:szCs w:val="21"/>
                <w:highlight w:val="none"/>
              </w:rPr>
              <w:t>2台电梯进行每天一次巡检、现场签到并记录问题项目报送采购人；每月由</w:t>
            </w:r>
            <w:r>
              <w:rPr>
                <w:rFonts w:hint="eastAsia" w:ascii="宋体" w:hAnsi="宋体" w:eastAsia="宋体" w:cs="宋体"/>
                <w:color w:val="auto"/>
                <w:szCs w:val="21"/>
                <w:highlight w:val="none"/>
                <w:lang w:eastAsia="zh-CN"/>
              </w:rPr>
              <w:t>成交供应商</w:t>
            </w:r>
            <w:r>
              <w:rPr>
                <w:rFonts w:hint="eastAsia" w:ascii="宋体" w:hAnsi="宋体" w:eastAsia="宋体" w:cs="宋体"/>
                <w:color w:val="auto"/>
                <w:szCs w:val="21"/>
                <w:highlight w:val="none"/>
              </w:rPr>
              <w:t>安排技术专家对所保养的电梯进行一次全面检查，重点检查安全装置、保护开关、电脑控制板，对电梯的安全运行状况做出评估报告（评估报告需加盖公章），并交与采购人保存，并做好每台电梯保养记录，建档备查。</w:t>
            </w:r>
          </w:p>
          <w:p w14:paraId="7A7E4DE1">
            <w:pPr>
              <w:ind w:firstLine="420" w:firstLineChars="200"/>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⑦</w:t>
            </w:r>
            <w:r>
              <w:rPr>
                <w:rFonts w:hint="eastAsia" w:ascii="宋体" w:hAnsi="宋体" w:eastAsia="宋体" w:cs="宋体"/>
                <w:color w:val="auto"/>
                <w:szCs w:val="21"/>
                <w:highlight w:val="none"/>
                <w:lang w:eastAsia="zh-CN"/>
              </w:rPr>
              <w:t>成交供应商</w:t>
            </w:r>
            <w:r>
              <w:rPr>
                <w:rFonts w:hint="eastAsia" w:ascii="宋体" w:hAnsi="宋体" w:eastAsia="宋体" w:cs="宋体"/>
                <w:color w:val="auto"/>
                <w:szCs w:val="21"/>
                <w:highlight w:val="none"/>
              </w:rPr>
              <w:t>保养的内容及要求除满足合同规定外，还应符合国家电梯安全运行标准。在履行合同期间，如因保养不良而造成安全装置及保护开关</w:t>
            </w:r>
            <w:r>
              <w:rPr>
                <w:rFonts w:hint="eastAsia" w:ascii="宋体" w:hAnsi="宋体" w:cs="宋体"/>
                <w:color w:val="auto"/>
                <w:szCs w:val="21"/>
                <w:highlight w:val="none"/>
                <w:lang w:eastAsia="zh-CN"/>
              </w:rPr>
              <w:t>无法</w:t>
            </w:r>
            <w:r>
              <w:rPr>
                <w:rFonts w:hint="eastAsia" w:ascii="宋体" w:hAnsi="宋体" w:cs="宋体"/>
                <w:color w:val="auto"/>
                <w:szCs w:val="21"/>
                <w:highlight w:val="none"/>
                <w:lang w:val="en-US" w:eastAsia="zh-CN"/>
              </w:rPr>
              <w:t>运行</w:t>
            </w:r>
            <w:r>
              <w:rPr>
                <w:rFonts w:hint="eastAsia" w:ascii="宋体" w:hAnsi="宋体" w:eastAsia="宋体" w:cs="宋体"/>
                <w:color w:val="auto"/>
                <w:szCs w:val="21"/>
                <w:highlight w:val="none"/>
              </w:rPr>
              <w:t>而造成安全事故，供应商须承担全部责任及损失。</w:t>
            </w:r>
          </w:p>
          <w:p w14:paraId="7104F706">
            <w:pPr>
              <w:ind w:firstLine="420" w:firstLineChars="200"/>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⑧本项目合同依据《电梯监督检验和定期检验规则》TSG T7001-2023、《电梯安装验收规范》（GB_T10060-2023</w:t>
            </w:r>
            <w:r>
              <w:rPr>
                <w:rFonts w:hint="eastAsia" w:ascii="宋体" w:hAnsi="宋体" w:cs="宋体"/>
                <w:color w:val="auto"/>
                <w:szCs w:val="21"/>
                <w:highlight w:val="none"/>
                <w:lang w:eastAsia="zh-CN"/>
              </w:rPr>
              <w:t>）</w:t>
            </w:r>
            <w:r>
              <w:rPr>
                <w:rFonts w:hint="eastAsia" w:ascii="宋体" w:hAnsi="宋体" w:eastAsia="宋体" w:cs="宋体"/>
                <w:color w:val="auto"/>
                <w:szCs w:val="21"/>
                <w:highlight w:val="none"/>
              </w:rPr>
              <w:t>、《电梯制造与安装安全规范》（GB/T 7588.1—2020</w:t>
            </w:r>
            <w:r>
              <w:rPr>
                <w:rFonts w:hint="eastAsia" w:ascii="宋体" w:hAnsi="宋体" w:cs="宋体"/>
                <w:color w:val="auto"/>
                <w:szCs w:val="21"/>
                <w:highlight w:val="none"/>
                <w:lang w:eastAsia="zh-CN"/>
              </w:rPr>
              <w:t>）</w:t>
            </w:r>
            <w:r>
              <w:rPr>
                <w:rFonts w:hint="eastAsia" w:ascii="宋体" w:hAnsi="宋体" w:eastAsia="宋体" w:cs="宋体"/>
                <w:color w:val="auto"/>
                <w:szCs w:val="21"/>
                <w:highlight w:val="none"/>
              </w:rPr>
              <w:t>、国家质检总局TSG T5002-2017 特种设备行业安全技术规范《电梯维护保养规则</w:t>
            </w:r>
            <w:r>
              <w:rPr>
                <w:rFonts w:hint="eastAsia" w:ascii="宋体" w:hAnsi="宋体" w:cs="宋体"/>
                <w:color w:val="auto"/>
                <w:szCs w:val="21"/>
                <w:highlight w:val="none"/>
                <w:lang w:eastAsia="zh-CN"/>
              </w:rPr>
              <w:t>》《</w:t>
            </w:r>
            <w:r>
              <w:rPr>
                <w:rFonts w:hint="eastAsia" w:ascii="宋体" w:hAnsi="宋体" w:eastAsia="宋体" w:cs="宋体"/>
                <w:color w:val="auto"/>
                <w:szCs w:val="21"/>
                <w:highlight w:val="none"/>
              </w:rPr>
              <w:t>中华人民共和国民法典》等国家及行业法规制定，保养内容及标准不得低于上述法规规定的内容及标准，合同内容与法规标准不一致的地方，按法规规定为标准。</w:t>
            </w:r>
            <w:r>
              <w:rPr>
                <w:rFonts w:hint="eastAsia" w:ascii="宋体" w:hAnsi="宋体" w:cs="宋体"/>
                <w:color w:val="auto"/>
                <w:szCs w:val="21"/>
                <w:highlight w:val="none"/>
                <w:lang w:eastAsia="zh-CN"/>
              </w:rPr>
              <w:t>（</w:t>
            </w:r>
            <w:r>
              <w:rPr>
                <w:rFonts w:hint="eastAsia" w:ascii="宋体" w:hAnsi="宋体" w:eastAsia="宋体" w:cs="宋体"/>
                <w:color w:val="auto"/>
                <w:sz w:val="21"/>
                <w:szCs w:val="21"/>
                <w:highlight w:val="none"/>
              </w:rPr>
              <w:t>如国家质检总局或相关主管部门发布最新标准的，以最新标准为准）</w:t>
            </w:r>
          </w:p>
        </w:tc>
      </w:tr>
      <w:tr w14:paraId="48129F8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9" w:hRule="atLeast"/>
          <w:jc w:val="center"/>
        </w:trPr>
        <w:tc>
          <w:tcPr>
            <w:tcW w:w="718" w:type="dxa"/>
            <w:noWrap w:val="0"/>
            <w:vAlign w:val="center"/>
          </w:tcPr>
          <w:p w14:paraId="05F61AE9">
            <w:pPr>
              <w:jc w:val="both"/>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val="en-US" w:eastAsia="zh-CN"/>
              </w:rPr>
              <w:t>5</w:t>
            </w:r>
          </w:p>
        </w:tc>
        <w:tc>
          <w:tcPr>
            <w:tcW w:w="1501" w:type="dxa"/>
            <w:noWrap w:val="0"/>
            <w:vAlign w:val="center"/>
          </w:tcPr>
          <w:p w14:paraId="65823215">
            <w:pPr>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谈判</w:t>
            </w:r>
            <w:r>
              <w:rPr>
                <w:rFonts w:hint="eastAsia" w:ascii="宋体" w:hAnsi="宋体" w:eastAsia="宋体" w:cs="宋体"/>
                <w:color w:val="auto"/>
                <w:szCs w:val="21"/>
                <w:highlight w:val="none"/>
              </w:rPr>
              <w:t>有效期</w:t>
            </w:r>
          </w:p>
        </w:tc>
        <w:tc>
          <w:tcPr>
            <w:tcW w:w="7131" w:type="dxa"/>
            <w:noWrap w:val="0"/>
            <w:vAlign w:val="center"/>
          </w:tcPr>
          <w:p w14:paraId="6662BF34">
            <w:pPr>
              <w:tabs>
                <w:tab w:val="center" w:pos="3125"/>
              </w:tabs>
              <w:ind w:firstLine="420" w:firstLineChars="200"/>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自开标之日起90天。</w:t>
            </w:r>
          </w:p>
        </w:tc>
      </w:tr>
      <w:tr w14:paraId="5BA15D2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73" w:hRule="atLeast"/>
          <w:jc w:val="center"/>
        </w:trPr>
        <w:tc>
          <w:tcPr>
            <w:tcW w:w="718" w:type="dxa"/>
            <w:noWrap w:val="0"/>
            <w:vAlign w:val="center"/>
          </w:tcPr>
          <w:p w14:paraId="447659DA">
            <w:pPr>
              <w:jc w:val="both"/>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val="en-US" w:eastAsia="zh-CN"/>
              </w:rPr>
              <w:t>6</w:t>
            </w:r>
          </w:p>
        </w:tc>
        <w:tc>
          <w:tcPr>
            <w:tcW w:w="1501" w:type="dxa"/>
            <w:noWrap w:val="0"/>
            <w:vAlign w:val="center"/>
          </w:tcPr>
          <w:p w14:paraId="22606024">
            <w:pPr>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合同条款</w:t>
            </w:r>
          </w:p>
        </w:tc>
        <w:tc>
          <w:tcPr>
            <w:tcW w:w="7131" w:type="dxa"/>
            <w:noWrap w:val="0"/>
            <w:vAlign w:val="center"/>
          </w:tcPr>
          <w:p w14:paraId="0FC406BF">
            <w:pPr>
              <w:ind w:firstLine="420" w:firstLineChars="200"/>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供应商实质响应合同</w:t>
            </w:r>
            <w:r>
              <w:rPr>
                <w:rFonts w:hint="eastAsia" w:ascii="宋体" w:hAnsi="宋体" w:cs="宋体"/>
                <w:color w:val="auto"/>
                <w:szCs w:val="21"/>
                <w:highlight w:val="none"/>
                <w:lang w:eastAsia="zh-CN"/>
              </w:rPr>
              <w:t>各项</w:t>
            </w:r>
            <w:r>
              <w:rPr>
                <w:rFonts w:hint="eastAsia" w:ascii="宋体" w:hAnsi="宋体" w:eastAsia="宋体" w:cs="宋体"/>
                <w:color w:val="auto"/>
                <w:szCs w:val="21"/>
                <w:highlight w:val="none"/>
              </w:rPr>
              <w:t>条款。</w:t>
            </w:r>
          </w:p>
        </w:tc>
      </w:tr>
      <w:tr w14:paraId="453212A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28" w:hRule="atLeast"/>
          <w:jc w:val="center"/>
        </w:trPr>
        <w:tc>
          <w:tcPr>
            <w:tcW w:w="718" w:type="dxa"/>
            <w:noWrap w:val="0"/>
            <w:vAlign w:val="center"/>
          </w:tcPr>
          <w:p w14:paraId="08EBF60B">
            <w:pPr>
              <w:jc w:val="both"/>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7</w:t>
            </w:r>
          </w:p>
        </w:tc>
        <w:tc>
          <w:tcPr>
            <w:tcW w:w="1501" w:type="dxa"/>
            <w:noWrap w:val="0"/>
            <w:vAlign w:val="center"/>
          </w:tcPr>
          <w:p w14:paraId="5A9AE2F6">
            <w:pPr>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其他</w:t>
            </w:r>
          </w:p>
        </w:tc>
        <w:tc>
          <w:tcPr>
            <w:tcW w:w="7131" w:type="dxa"/>
            <w:noWrap w:val="0"/>
            <w:vAlign w:val="center"/>
          </w:tcPr>
          <w:p w14:paraId="0FC9006C">
            <w:pPr>
              <w:ind w:firstLine="420" w:firstLineChars="20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w:t>
            </w:r>
          </w:p>
        </w:tc>
      </w:tr>
    </w:tbl>
    <w:p w14:paraId="08388F54">
      <w:pPr>
        <w:jc w:val="both"/>
        <w:rPr>
          <w:rFonts w:hint="eastAsia" w:ascii="宋体" w:hAnsi="宋体" w:eastAsia="宋体" w:cs="宋体"/>
          <w:color w:val="auto"/>
          <w:highlight w:val="none"/>
        </w:rPr>
      </w:pPr>
    </w:p>
    <w:p w14:paraId="487045C5">
      <w:pPr>
        <w:adjustRightInd/>
        <w:snapToGrid/>
        <w:spacing w:line="240" w:lineRule="auto"/>
        <w:jc w:val="both"/>
        <w:rPr>
          <w:rFonts w:hint="eastAsia" w:ascii="宋体" w:hAnsi="宋体" w:eastAsia="宋体" w:cs="宋体"/>
          <w:color w:val="auto"/>
          <w:highlight w:val="none"/>
        </w:rPr>
      </w:pPr>
      <w:r>
        <w:rPr>
          <w:rFonts w:hint="eastAsia" w:ascii="宋体" w:hAnsi="宋体" w:eastAsia="宋体" w:cs="宋体"/>
          <w:color w:val="auto"/>
          <w:highlight w:val="none"/>
        </w:rPr>
        <w:br w:type="page"/>
      </w:r>
      <w:bookmarkStart w:id="141" w:name="_Toc19316"/>
    </w:p>
    <w:p w14:paraId="4DA1B24B">
      <w:pPr>
        <w:pStyle w:val="4"/>
        <w:spacing w:before="0" w:after="0" w:line="360" w:lineRule="auto"/>
        <w:jc w:val="both"/>
        <w:rPr>
          <w:rFonts w:hint="eastAsia" w:ascii="宋体" w:hAnsi="宋体" w:eastAsia="宋体" w:cs="宋体"/>
          <w:color w:val="auto"/>
          <w:highlight w:val="none"/>
        </w:rPr>
      </w:pPr>
      <w:bookmarkStart w:id="142" w:name="_Toc8365"/>
      <w:bookmarkStart w:id="143" w:name="_Toc26028"/>
      <w:r>
        <w:rPr>
          <w:rFonts w:hint="eastAsia" w:ascii="宋体" w:hAnsi="宋体" w:eastAsia="宋体" w:cs="宋体"/>
          <w:color w:val="auto"/>
          <w:highlight w:val="none"/>
        </w:rPr>
        <w:t>第二章 技术需求书</w:t>
      </w:r>
      <w:bookmarkEnd w:id="141"/>
      <w:bookmarkEnd w:id="142"/>
      <w:bookmarkEnd w:id="143"/>
    </w:p>
    <w:bookmarkEnd w:id="136"/>
    <w:p w14:paraId="36F63D96">
      <w:pPr>
        <w:spacing w:before="180" w:beforeLines="50" w:after="180" w:afterLines="50" w:line="360" w:lineRule="exact"/>
        <w:rPr>
          <w:rFonts w:hint="eastAsia" w:ascii="宋体" w:hAnsi="宋体" w:eastAsia="宋体" w:cs="宋体"/>
          <w:b/>
          <w:color w:val="auto"/>
          <w:sz w:val="21"/>
          <w:szCs w:val="21"/>
          <w:highlight w:val="none"/>
        </w:rPr>
      </w:pPr>
      <w:bookmarkStart w:id="144" w:name="_Toc1207"/>
      <w:bookmarkStart w:id="145" w:name="_Toc16275"/>
      <w:r>
        <w:rPr>
          <w:rFonts w:hint="eastAsia" w:ascii="宋体" w:hAnsi="宋体" w:eastAsia="宋体" w:cs="宋体"/>
          <w:b/>
          <w:color w:val="auto"/>
          <w:sz w:val="21"/>
          <w:szCs w:val="21"/>
          <w:highlight w:val="none"/>
        </w:rPr>
        <w:t>一、项目基本情况</w:t>
      </w:r>
      <w:bookmarkEnd w:id="144"/>
      <w:bookmarkEnd w:id="145"/>
    </w:p>
    <w:p w14:paraId="3ED7BB6F">
      <w:pPr>
        <w:spacing w:line="360" w:lineRule="exact"/>
        <w:ind w:firstLine="420" w:firstLineChars="200"/>
        <w:rPr>
          <w:rFonts w:hint="eastAsia" w:ascii="宋体" w:hAnsi="宋体" w:eastAsia="宋体" w:cs="宋体"/>
          <w:color w:val="auto"/>
          <w:sz w:val="21"/>
          <w:szCs w:val="21"/>
          <w:highlight w:val="none"/>
          <w:lang w:eastAsia="zh-CN"/>
        </w:rPr>
      </w:pPr>
      <w:bookmarkStart w:id="146" w:name="_Toc435458062"/>
      <w:bookmarkStart w:id="147" w:name="_Toc333932654"/>
      <w:bookmarkStart w:id="148" w:name="_Toc435458301"/>
      <w:bookmarkStart w:id="149" w:name="_Toc435458228"/>
      <w:bookmarkStart w:id="150" w:name="_Toc435461580"/>
      <w:bookmarkStart w:id="151" w:name="_Toc435457366"/>
      <w:r>
        <w:rPr>
          <w:rFonts w:hint="eastAsia" w:ascii="宋体" w:hAnsi="宋体" w:cs="宋体"/>
          <w:color w:val="auto"/>
          <w:sz w:val="21"/>
          <w:szCs w:val="21"/>
          <w:highlight w:val="none"/>
          <w:lang w:eastAsia="zh-CN"/>
        </w:rPr>
        <w:t>1.</w:t>
      </w:r>
      <w:r>
        <w:rPr>
          <w:rFonts w:hint="eastAsia" w:ascii="宋体" w:hAnsi="宋体" w:eastAsia="宋体" w:cs="宋体"/>
          <w:color w:val="auto"/>
          <w:sz w:val="21"/>
          <w:szCs w:val="21"/>
          <w:highlight w:val="none"/>
        </w:rPr>
        <w:t>项目名称：</w:t>
      </w:r>
      <w:r>
        <w:rPr>
          <w:rFonts w:hint="eastAsia" w:ascii="宋体" w:hAnsi="宋体" w:cs="宋体"/>
          <w:color w:val="auto"/>
          <w:sz w:val="21"/>
          <w:szCs w:val="21"/>
          <w:highlight w:val="none"/>
          <w:lang w:eastAsia="zh-CN"/>
        </w:rPr>
        <w:t>东鸿公司塘厦创智园2026年度电梯维保项目</w:t>
      </w:r>
    </w:p>
    <w:p w14:paraId="058CA513">
      <w:pPr>
        <w:spacing w:line="360" w:lineRule="exact"/>
        <w:ind w:firstLine="420" w:firstLineChars="200"/>
        <w:rPr>
          <w:rFonts w:hint="eastAsia" w:ascii="宋体" w:hAnsi="宋体" w:eastAsia="宋体" w:cs="宋体"/>
          <w:color w:val="auto"/>
          <w:sz w:val="21"/>
          <w:szCs w:val="21"/>
          <w:highlight w:val="none"/>
          <w:lang w:eastAsia="zh-CN"/>
        </w:rPr>
      </w:pPr>
      <w:r>
        <w:rPr>
          <w:rFonts w:hint="eastAsia" w:ascii="宋体" w:hAnsi="宋体" w:cs="宋体"/>
          <w:color w:val="auto"/>
          <w:sz w:val="21"/>
          <w:szCs w:val="21"/>
          <w:highlight w:val="none"/>
          <w:lang w:eastAsia="zh-CN"/>
        </w:rPr>
        <w:t>2.</w:t>
      </w:r>
      <w:r>
        <w:rPr>
          <w:rFonts w:hint="eastAsia" w:ascii="宋体" w:hAnsi="宋体" w:eastAsia="宋体" w:cs="宋体"/>
          <w:color w:val="auto"/>
          <w:sz w:val="21"/>
          <w:szCs w:val="21"/>
          <w:highlight w:val="none"/>
        </w:rPr>
        <w:t>项目地址：</w:t>
      </w:r>
      <w:r>
        <w:rPr>
          <w:rFonts w:hint="eastAsia" w:ascii="宋体" w:hAnsi="宋体" w:eastAsia="宋体" w:cs="宋体"/>
          <w:color w:val="auto"/>
          <w:sz w:val="21"/>
          <w:szCs w:val="21"/>
          <w:highlight w:val="none"/>
          <w:lang w:eastAsia="zh-CN"/>
        </w:rPr>
        <w:t>采购人</w:t>
      </w:r>
      <w:r>
        <w:rPr>
          <w:rFonts w:hint="eastAsia" w:ascii="宋体" w:hAnsi="宋体" w:cs="宋体"/>
          <w:color w:val="auto"/>
          <w:sz w:val="21"/>
          <w:szCs w:val="21"/>
          <w:highlight w:val="none"/>
          <w:lang w:val="en-US" w:eastAsia="zh-CN"/>
        </w:rPr>
        <w:t>项目所在</w:t>
      </w:r>
      <w:r>
        <w:rPr>
          <w:rFonts w:hint="eastAsia" w:ascii="宋体" w:hAnsi="宋体" w:eastAsia="宋体" w:cs="宋体"/>
          <w:color w:val="auto"/>
          <w:sz w:val="21"/>
          <w:szCs w:val="21"/>
          <w:highlight w:val="none"/>
          <w:lang w:eastAsia="zh-CN"/>
        </w:rPr>
        <w:t>地</w:t>
      </w:r>
    </w:p>
    <w:p w14:paraId="0763BB92">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3.</w:t>
      </w:r>
      <w:r>
        <w:rPr>
          <w:rFonts w:hint="eastAsia" w:ascii="宋体" w:hAnsi="宋体" w:eastAsia="宋体" w:cs="宋体"/>
          <w:color w:val="auto"/>
          <w:sz w:val="21"/>
          <w:szCs w:val="21"/>
          <w:highlight w:val="none"/>
        </w:rPr>
        <w:t>采购单位：广东东鸿物业发展有限公司</w:t>
      </w:r>
    </w:p>
    <w:p w14:paraId="2CE802AE">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4.</w:t>
      </w:r>
      <w:r>
        <w:rPr>
          <w:rFonts w:hint="eastAsia" w:ascii="宋体" w:hAnsi="宋体" w:eastAsia="宋体" w:cs="宋体"/>
          <w:color w:val="auto"/>
          <w:sz w:val="21"/>
          <w:szCs w:val="21"/>
          <w:highlight w:val="none"/>
        </w:rPr>
        <w:t>采购内容及范围：保养电梯数量具体详见附件清单。</w:t>
      </w:r>
    </w:p>
    <w:bookmarkEnd w:id="146"/>
    <w:bookmarkEnd w:id="147"/>
    <w:bookmarkEnd w:id="148"/>
    <w:bookmarkEnd w:id="149"/>
    <w:bookmarkEnd w:id="150"/>
    <w:bookmarkEnd w:id="151"/>
    <w:p w14:paraId="648438BF">
      <w:pPr>
        <w:spacing w:before="180" w:beforeLines="50" w:after="180" w:afterLines="50" w:line="360" w:lineRule="exact"/>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二、服务要求</w:t>
      </w:r>
    </w:p>
    <w:p w14:paraId="3C9085BD">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例行保养的内容和要求：按国家质检总局TSG T5002-2017 特种设备行业安全技术规范《电梯维护保养规则》所要求内容为标准实施，不限于以下列出的范围。</w:t>
      </w:r>
    </w:p>
    <w:p w14:paraId="5F1C7A3F">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1.</w:t>
      </w:r>
      <w:r>
        <w:rPr>
          <w:rFonts w:hint="eastAsia" w:ascii="宋体" w:hAnsi="宋体" w:eastAsia="宋体" w:cs="宋体"/>
          <w:color w:val="auto"/>
          <w:sz w:val="21"/>
          <w:szCs w:val="21"/>
          <w:highlight w:val="none"/>
        </w:rPr>
        <w:t>例行保养的内容和要求</w:t>
      </w:r>
    </w:p>
    <w:p w14:paraId="64BA89D6">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r>
        <w:rPr>
          <w:rFonts w:hint="eastAsia" w:ascii="宋体" w:hAnsi="宋体" w:cs="宋体"/>
          <w:color w:val="auto"/>
          <w:sz w:val="21"/>
          <w:szCs w:val="21"/>
          <w:highlight w:val="none"/>
          <w:lang w:eastAsia="zh-CN"/>
        </w:rPr>
        <w:t>）检</w:t>
      </w:r>
      <w:r>
        <w:rPr>
          <w:rFonts w:hint="eastAsia" w:ascii="宋体" w:hAnsi="宋体" w:eastAsia="宋体" w:cs="宋体"/>
          <w:color w:val="auto"/>
          <w:sz w:val="21"/>
          <w:szCs w:val="21"/>
          <w:highlight w:val="none"/>
        </w:rPr>
        <w:t>查轿厢按钮和停车按钮动作是否灵活可靠，操纵箱按钮灯是否明亮。</w:t>
      </w:r>
    </w:p>
    <w:p w14:paraId="0DB12D30">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cs="宋体"/>
          <w:color w:val="auto"/>
          <w:sz w:val="21"/>
          <w:szCs w:val="21"/>
          <w:highlight w:val="none"/>
          <w:lang w:eastAsia="zh-CN"/>
        </w:rPr>
        <w:t>）检</w:t>
      </w:r>
      <w:r>
        <w:rPr>
          <w:rFonts w:hint="eastAsia" w:ascii="宋体" w:hAnsi="宋体" w:eastAsia="宋体" w:cs="宋体"/>
          <w:color w:val="auto"/>
          <w:sz w:val="21"/>
          <w:szCs w:val="21"/>
          <w:highlight w:val="none"/>
        </w:rPr>
        <w:t>查轿厢照明亮度是否达到标准，厅外和厢内显示是否正常，方向箭头是否正确，蜂鸣器能否正常鸣响。</w:t>
      </w:r>
    </w:p>
    <w:p w14:paraId="59A6DC4A">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（3）平层机构：主要检查平层的准确度，标准为：层门地坎和轿门地坎的高度差为0—3mm。</w:t>
      </w:r>
    </w:p>
    <w:p w14:paraId="0CB33DAA">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（4）检查开关门是否正常，有无异常声响，安全触板开关是否灵活可靠，力矩</w:t>
      </w:r>
      <w:r>
        <w:rPr>
          <w:rFonts w:hint="eastAsia" w:ascii="宋体" w:hAnsi="宋体" w:cs="宋体"/>
          <w:color w:val="auto"/>
          <w:sz w:val="21"/>
          <w:szCs w:val="21"/>
          <w:highlight w:val="none"/>
          <w:lang w:eastAsia="zh-CN"/>
        </w:rPr>
        <w:t>扭转</w:t>
      </w:r>
      <w:r>
        <w:rPr>
          <w:rFonts w:hint="eastAsia" w:ascii="宋体" w:hAnsi="宋体" w:eastAsia="宋体" w:cs="宋体"/>
          <w:color w:val="auto"/>
          <w:sz w:val="21"/>
          <w:szCs w:val="21"/>
          <w:highlight w:val="none"/>
        </w:rPr>
        <w:t>开关是否灵活。</w:t>
      </w:r>
    </w:p>
    <w:p w14:paraId="4745E52A">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（5）厅门：用机械钥匙打开门联锁，电梯是否停止运行，松开钥匙后门联锁能否自动复位，必要时进行调整和更换。</w:t>
      </w:r>
    </w:p>
    <w:p w14:paraId="7BC0DB07">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（6）检查门导轨中有无污物，要及时清理。</w:t>
      </w:r>
    </w:p>
    <w:p w14:paraId="47D00BF5">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检查制动器的工作情况：松闸时制动瓦和制动轮之间间隙是否均匀，四角是否同时离开制动轮，间隙最好保持在0.25—0.5毫米之间，不得超过0.7毫米。制动时两侧闸瓦和制动轮接触面积应达到80%，如磨损严重应及时调整和更换。</w:t>
      </w:r>
    </w:p>
    <w:p w14:paraId="469109FB">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（8）曳引机和电动机：曳引机的油位是否在油位线上，必要时添加润滑油。</w:t>
      </w:r>
    </w:p>
    <w:p w14:paraId="24351FE4">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（9）接触器：检查触头衔铁接触情况是否良好，是否有污垢灰尘。</w:t>
      </w:r>
    </w:p>
    <w:p w14:paraId="6720C11D">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（10）检查驱动电动机有无异常噪声和过热现象，制动器线圈温升不超过60度。</w:t>
      </w:r>
    </w:p>
    <w:p w14:paraId="11658BA4">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（11）变频器（或大功率模块）冷却分机工作是否正常。</w:t>
      </w:r>
    </w:p>
    <w:p w14:paraId="1095E813">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（12）检查控制柜元件、电子板工作是否正常，温度是否正常、有无异味、异音。</w:t>
      </w:r>
    </w:p>
    <w:p w14:paraId="41D07754">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（13）检查微机及变频器故障记录，定期抄录并清除故障码（适用VVVF电梯每月保养的内容和要求（含周保养项目））</w:t>
      </w:r>
    </w:p>
    <w:p w14:paraId="2CA9F791">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（14）电磁制动器的动作检查、清洁。</w:t>
      </w:r>
    </w:p>
    <w:p w14:paraId="70F02228">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（15）应急通讯装置的检查：机房和轿厢，轿厢 与监控中心对讲是否清晰畅通。</w:t>
      </w:r>
    </w:p>
    <w:p w14:paraId="20B18F25">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（16）门机减速齿轮的油面检查及导轨油杯的油量检查，少于1/3必须加油。</w:t>
      </w:r>
    </w:p>
    <w:p w14:paraId="3CB5C9F2">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每季度保养的内容和标准</w:t>
      </w:r>
    </w:p>
    <w:p w14:paraId="4181D84B">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轮涡杆减速箱及电动机轴承端润滑是否正常；下置式涡杆传动油面应能浸没涡杆齿高，但以不超过涡杆中心线为限，以免发生渗漏。减速箱在运行时不得有杂音、冲击和异常的震动。箱内油温不得高于85度，轴承温升不得高于60度，否则应停机检查原因。检查涡轮涡杆的轴向游隙，由于电梯频繁的换向运行，涡杆传动时产生的推力由轴承承受，轴承磨损后，涡杆的轴向游隙就会增大超标。调整标准为：涡杆轴向游隙0.1---0.15mm涡轮轴向游隙0.02---0.04mm。</w:t>
      </w:r>
    </w:p>
    <w:p w14:paraId="5C4C4144">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曳引钢丝绳及限速器钢丝绳的检查：当钢丝绳上出现断股及单丝磨损或腐蚀达到原来直径的10%以上时，钢丝绳应报废。检查五根曳引钢丝绳的张紧程度是否一致，相互差值应在5%以内，外侧两根应略紧于中间两根，目的是防止外侧的钢丝绳脱槽。</w:t>
      </w:r>
    </w:p>
    <w:p w14:paraId="145BF1F0">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（3）继电器，接触器，旋转编码器等工作是否正常。</w:t>
      </w:r>
    </w:p>
    <w:p w14:paraId="5F1CE9C2">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（4）检查门的操作，调节和清洁门驱动装置的部件；包括关门机链条，门悬挂渡轮，安全触板，弹簧。清洁轿门，门导轨。如门扇下坠后与地坎间隙小于4mm时应更换门滑轮。</w:t>
      </w:r>
    </w:p>
    <w:p w14:paraId="4F1220F5">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（5）检查全部门刀和门锁滚轮之间的间隙与直线度的情况。检查标准：门刀与层门地坎之间应有5---8mm 的间隙。</w:t>
      </w:r>
    </w:p>
    <w:p w14:paraId="0B788D04">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（6）检查全部厅门门锁和开关触点是否完好。</w:t>
      </w:r>
    </w:p>
    <w:p w14:paraId="70C71442">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（7）检查对重装置和补偿链：液压式缓冲器缓冲越层标准为150---400mm，检查补偿链是否拖地，消音装置是否完好。</w:t>
      </w:r>
    </w:p>
    <w:p w14:paraId="713D2DCB">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（8）检查轿厢对重导靴的磨损情况和安全钳与导轨之间的间隙：靴衬每侧的磨损大于1mm时应更换靴衬，安全钳与导轨之间的间隙为3----5mm。</w:t>
      </w:r>
    </w:p>
    <w:p w14:paraId="478A5800">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（9）检查轿厢内操纵箱背面的接线是否牢固及中间接线箱内部的检查。</w:t>
      </w:r>
    </w:p>
    <w:p w14:paraId="750EE3A5">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（10）检查紧急照明装置。</w:t>
      </w:r>
      <w:r>
        <w:rPr>
          <w:rFonts w:hint="eastAsia" w:ascii="宋体" w:hAnsi="宋体" w:eastAsia="宋体" w:cs="宋体"/>
          <w:color w:val="auto"/>
          <w:sz w:val="21"/>
          <w:szCs w:val="21"/>
          <w:highlight w:val="none"/>
        </w:rPr>
        <w:tab/>
      </w:r>
    </w:p>
    <w:p w14:paraId="47344C6D">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（11）检查并调整电梯的性能包括启动、运行、减速和停止状态下的舒适感。</w:t>
      </w:r>
    </w:p>
    <w:p w14:paraId="3D15B6FA">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（12）缓冲器固定情况和锈蚀情况，各张紧轮的润滑和检查以及各安全回路的检查，必要时可作试验。</w:t>
      </w:r>
    </w:p>
    <w:p w14:paraId="559015E4">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（13）强迫换速开关、极限动作开关、终端极限开关的动作检查。</w:t>
      </w:r>
    </w:p>
    <w:p w14:paraId="1BC6B572">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年度检查内容及要求</w:t>
      </w:r>
    </w:p>
    <w:p w14:paraId="043614E8">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（1）调换开关门继电器的触头。</w:t>
      </w:r>
    </w:p>
    <w:p w14:paraId="4AC5F771">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（2）调换上下方向接触器的触头。</w:t>
      </w:r>
    </w:p>
    <w:p w14:paraId="19960049">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（3）仔细检查控制柜内所有接触器，继电器的触头 。如有灼迹、拉毛等现象要给予更换或修复。</w:t>
      </w:r>
    </w:p>
    <w:p w14:paraId="24A5F59C">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（4）调整曳引钢丝绳的张紧均匀程度。</w:t>
      </w:r>
    </w:p>
    <w:p w14:paraId="5A82CF81">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（5）检查限速器的动作速度是否正确，安全钳是否能可靠动作，必要时可作试验。</w:t>
      </w:r>
    </w:p>
    <w:p w14:paraId="141696B9">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（6）调换厅门轿门的滚轮。</w:t>
      </w:r>
    </w:p>
    <w:p w14:paraId="4D1A699C">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（7）调换开关门机构的易损件。</w:t>
      </w:r>
    </w:p>
    <w:p w14:paraId="3A440CD2">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（8）仔细检查和调整安全回路中各开关触点的工作情况，打开开关、试验开关是否起作用。</w:t>
      </w:r>
    </w:p>
    <w:p w14:paraId="4E437EC7">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（9）检测电梯的绝缘电阻 ：动力电路为不小于0.5兆欧。</w:t>
      </w:r>
    </w:p>
    <w:p w14:paraId="7502395C">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（10）每年视情况用激光校规仪检测导轨的直线度和垂直度。两主导轨垂直度偏差2MM，两副导轨垂直度偏差为2MM。</w:t>
      </w:r>
    </w:p>
    <w:p w14:paraId="2C119F88">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（11）每年一次用震动仪检测电梯运行的平稳性。</w:t>
      </w:r>
    </w:p>
    <w:p w14:paraId="68422488">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（12）曳引机及电机轴承、限速器、反绳轮检查、润滑（每年必须注一次黄油）。</w:t>
      </w:r>
    </w:p>
    <w:p w14:paraId="2A620ED3">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（13）本年度更换一次曳引机齿轮油（涡杆涡轮油）</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三年为一个周期</w:t>
      </w:r>
      <w:r>
        <w:rPr>
          <w:rFonts w:hint="eastAsia" w:ascii="宋体" w:hAnsi="宋体" w:cs="宋体"/>
          <w:color w:val="auto"/>
          <w:sz w:val="21"/>
          <w:szCs w:val="21"/>
          <w:highlight w:val="none"/>
          <w:lang w:eastAsia="zh-CN"/>
        </w:rPr>
        <w:t>）</w:t>
      </w:r>
    </w:p>
    <w:p w14:paraId="758BC3CD">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（14）本年度更换一次门机齿轮箱的润滑油（钙钠基润滑脂）。</w:t>
      </w:r>
    </w:p>
    <w:p w14:paraId="2B917562">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（15）本年度紧固一次导轨撑架和对重导轨架螺栓</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五年为一个周期</w:t>
      </w:r>
      <w:r>
        <w:rPr>
          <w:rFonts w:hint="eastAsia" w:ascii="宋体" w:hAnsi="宋体" w:cs="宋体"/>
          <w:color w:val="auto"/>
          <w:sz w:val="21"/>
          <w:szCs w:val="21"/>
          <w:highlight w:val="none"/>
          <w:lang w:eastAsia="zh-CN"/>
        </w:rPr>
        <w:t>）</w:t>
      </w:r>
    </w:p>
    <w:p w14:paraId="3A36DA9B">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（16）本年度紧固一次导轨和对重的导轨连接板的螺母</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五年为一个周期</w:t>
      </w:r>
      <w:r>
        <w:rPr>
          <w:rFonts w:hint="eastAsia" w:ascii="宋体" w:hAnsi="宋体" w:cs="宋体"/>
          <w:color w:val="auto"/>
          <w:sz w:val="21"/>
          <w:szCs w:val="21"/>
          <w:highlight w:val="none"/>
          <w:lang w:eastAsia="zh-CN"/>
        </w:rPr>
        <w:t>）</w:t>
      </w:r>
    </w:p>
    <w:p w14:paraId="035B80E2">
      <w:pPr>
        <w:spacing w:line="360" w:lineRule="exact"/>
        <w:ind w:firstLine="420" w:firstLineChars="20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注：第</w:t>
      </w:r>
      <w:r>
        <w:rPr>
          <w:rFonts w:hint="eastAsia" w:ascii="宋体" w:hAnsi="宋体" w:eastAsia="宋体" w:cs="宋体"/>
          <w:color w:val="auto"/>
          <w:sz w:val="21"/>
          <w:szCs w:val="21"/>
          <w:highlight w:val="none"/>
        </w:rPr>
        <w:t>（11）</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（16）</w:t>
      </w:r>
      <w:r>
        <w:rPr>
          <w:rFonts w:hint="eastAsia" w:ascii="宋体" w:hAnsi="宋体" w:eastAsia="宋体" w:cs="宋体"/>
          <w:color w:val="auto"/>
          <w:sz w:val="21"/>
          <w:szCs w:val="21"/>
          <w:highlight w:val="none"/>
          <w:lang w:eastAsia="zh-CN"/>
        </w:rPr>
        <w:t>小点维保周期，以本项目现场的电梯使用时间为准。</w:t>
      </w:r>
    </w:p>
    <w:p w14:paraId="2027D585">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2.</w:t>
      </w:r>
      <w:r>
        <w:rPr>
          <w:rFonts w:hint="eastAsia" w:ascii="宋体" w:hAnsi="宋体" w:eastAsia="宋体" w:cs="宋体"/>
          <w:color w:val="auto"/>
          <w:sz w:val="21"/>
          <w:szCs w:val="21"/>
          <w:highlight w:val="none"/>
        </w:rPr>
        <w:t>为了确保设备的正常运行和安全使用，中标方必须按保养计划和保养项目（见附件《保养计划》和《保养项目表》）每月对单个设备进行全面保养检查2次以上，每次保养均应填写保养记录卡并由采购方验收人员签字确认。</w:t>
      </w:r>
    </w:p>
    <w:p w14:paraId="1EDE6323">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3.</w:t>
      </w:r>
      <w:r>
        <w:rPr>
          <w:rFonts w:hint="eastAsia" w:ascii="宋体" w:hAnsi="宋体" w:eastAsia="宋体" w:cs="宋体"/>
          <w:color w:val="auto"/>
          <w:sz w:val="21"/>
          <w:szCs w:val="21"/>
          <w:highlight w:val="none"/>
        </w:rPr>
        <w:t>须按照附件《服务质量检验标准及评分细则（电梯保养工作适用）》对电梯实施保养和维护，并按评分细则考核。</w:t>
      </w:r>
    </w:p>
    <w:p w14:paraId="6A2B71F5">
      <w:pPr>
        <w:spacing w:before="180" w:beforeLines="50" w:after="180" w:afterLines="50" w:line="360" w:lineRule="exact"/>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三、电梯情况</w:t>
      </w:r>
    </w:p>
    <w:tbl>
      <w:tblPr>
        <w:tblStyle w:val="37"/>
        <w:tblW w:w="5561" w:type="pct"/>
        <w:tblInd w:w="-37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17"/>
        <w:gridCol w:w="555"/>
        <w:gridCol w:w="1138"/>
        <w:gridCol w:w="948"/>
        <w:gridCol w:w="1042"/>
        <w:gridCol w:w="1046"/>
        <w:gridCol w:w="1596"/>
        <w:gridCol w:w="1558"/>
        <w:gridCol w:w="1079"/>
      </w:tblGrid>
      <w:tr w14:paraId="64D784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2" w:hRule="atLeast"/>
        </w:trPr>
        <w:tc>
          <w:tcPr>
            <w:tcW w:w="27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7181D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序号</w:t>
            </w:r>
          </w:p>
        </w:tc>
        <w:tc>
          <w:tcPr>
            <w:tcW w:w="292"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C8AD54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楼栋号</w:t>
            </w:r>
          </w:p>
        </w:tc>
        <w:tc>
          <w:tcPr>
            <w:tcW w:w="60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A3E14F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设备编号</w:t>
            </w:r>
          </w:p>
        </w:tc>
        <w:tc>
          <w:tcPr>
            <w:tcW w:w="50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E585D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年审到期日期</w:t>
            </w:r>
          </w:p>
        </w:tc>
        <w:tc>
          <w:tcPr>
            <w:tcW w:w="54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752EC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限速器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校验时间</w:t>
            </w:r>
          </w:p>
        </w:tc>
        <w:tc>
          <w:tcPr>
            <w:tcW w:w="55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26928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编号</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03C3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起始保养时间</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0F51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结束保养时间</w:t>
            </w:r>
          </w:p>
        </w:tc>
        <w:tc>
          <w:tcPr>
            <w:tcW w:w="5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7B83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保养时限（月）</w:t>
            </w:r>
          </w:p>
        </w:tc>
      </w:tr>
      <w:tr w14:paraId="7CCDC4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C005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292"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188C6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1栋</w:t>
            </w: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A8B63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24KT041104</w:t>
            </w: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C78A4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7月31日</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D6B7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2024/4/9</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F4EA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XO-CONIII</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55D17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2026年7月14日</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CC6F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2027年5月31日</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3AC5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10.55 </w:t>
            </w:r>
          </w:p>
        </w:tc>
      </w:tr>
      <w:tr w14:paraId="2C633E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F231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9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9EA4F7">
            <w:pPr>
              <w:jc w:val="center"/>
              <w:rPr>
                <w:rFonts w:hint="eastAsia" w:ascii="宋体" w:hAnsi="宋体" w:eastAsia="宋体" w:cs="宋体"/>
                <w:i w:val="0"/>
                <w:iCs w:val="0"/>
                <w:color w:val="000000"/>
                <w:sz w:val="18"/>
                <w:szCs w:val="18"/>
                <w:u w:val="none"/>
              </w:rPr>
            </w:pP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E4ED9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24KT030183</w:t>
            </w: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E1CA0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highlight w:val="yellow"/>
                <w:u w:val="none"/>
                <w:lang w:val="en-US" w:eastAsia="zh-CN" w:bidi="ar"/>
              </w:rPr>
              <w:t>4月30日</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CBEC9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2024/1/25</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F5B0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XO-CONIII</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D919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2026年4月23日</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9EB5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2027年5月31日</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39F1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13.25 </w:t>
            </w:r>
          </w:p>
        </w:tc>
      </w:tr>
      <w:tr w14:paraId="0792D0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15DC1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29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DCF771">
            <w:pPr>
              <w:jc w:val="center"/>
              <w:rPr>
                <w:rFonts w:hint="eastAsia" w:ascii="宋体" w:hAnsi="宋体" w:eastAsia="宋体" w:cs="宋体"/>
                <w:i w:val="0"/>
                <w:iCs w:val="0"/>
                <w:color w:val="000000"/>
                <w:sz w:val="18"/>
                <w:szCs w:val="18"/>
                <w:u w:val="none"/>
              </w:rPr>
            </w:pP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4FB35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24HT050215</w:t>
            </w: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16DF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7月31日</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BB0441">
            <w:pPr>
              <w:jc w:val="center"/>
              <w:rPr>
                <w:rFonts w:hint="eastAsia" w:ascii="宋体" w:hAnsi="宋体" w:eastAsia="宋体" w:cs="宋体"/>
                <w:i w:val="0"/>
                <w:iCs w:val="0"/>
                <w:color w:val="000000"/>
                <w:sz w:val="18"/>
                <w:szCs w:val="18"/>
                <w:u w:val="none"/>
              </w:rPr>
            </w:pP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02A27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XO-HTVF</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7FA78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2026年7月14日</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FAB6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2027年5月31日</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D775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10.55 </w:t>
            </w:r>
          </w:p>
        </w:tc>
      </w:tr>
      <w:tr w14:paraId="1C9795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99811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29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0BFE54">
            <w:pPr>
              <w:jc w:val="center"/>
              <w:rPr>
                <w:rFonts w:hint="eastAsia" w:ascii="宋体" w:hAnsi="宋体" w:eastAsia="宋体" w:cs="宋体"/>
                <w:i w:val="0"/>
                <w:iCs w:val="0"/>
                <w:color w:val="000000"/>
                <w:sz w:val="18"/>
                <w:szCs w:val="18"/>
                <w:u w:val="none"/>
              </w:rPr>
            </w:pP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30BDC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24HT030182</w:t>
            </w: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5F2A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highlight w:val="yellow"/>
                <w:u w:val="none"/>
                <w:lang w:val="en-US" w:eastAsia="zh-CN" w:bidi="ar"/>
              </w:rPr>
              <w:t>3月31日</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7863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2024/1/25</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28A09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XO-HTVF</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19EB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2026年3月31日</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286E9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2027年5月31日</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5F2F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14.01 </w:t>
            </w:r>
          </w:p>
        </w:tc>
      </w:tr>
      <w:tr w14:paraId="4E2C8E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C764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29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A376B0">
            <w:pPr>
              <w:jc w:val="center"/>
              <w:rPr>
                <w:rFonts w:hint="eastAsia" w:ascii="宋体" w:hAnsi="宋体" w:eastAsia="宋体" w:cs="宋体"/>
                <w:i w:val="0"/>
                <w:iCs w:val="0"/>
                <w:color w:val="000000"/>
                <w:sz w:val="18"/>
                <w:szCs w:val="18"/>
                <w:u w:val="none"/>
              </w:rPr>
            </w:pP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AAFDA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24HT050212</w:t>
            </w: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47645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7月31日</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0020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2024/5/30</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2513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XO-HTVF</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5E41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2026年7月14日</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4396A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2027年5月31日</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FB6ED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10.55 </w:t>
            </w:r>
          </w:p>
        </w:tc>
      </w:tr>
      <w:tr w14:paraId="45BF1C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BDEB6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292" w:type="pct"/>
            <w:vMerge w:val="restart"/>
            <w:tcBorders>
              <w:top w:val="nil"/>
              <w:left w:val="single" w:color="000000" w:sz="4" w:space="0"/>
              <w:bottom w:val="single" w:color="000000" w:sz="4" w:space="0"/>
              <w:right w:val="single" w:color="000000" w:sz="4" w:space="0"/>
            </w:tcBorders>
            <w:shd w:val="clear" w:color="auto" w:fill="auto"/>
            <w:noWrap/>
            <w:vAlign w:val="center"/>
          </w:tcPr>
          <w:p w14:paraId="7DA51E8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2栋</w:t>
            </w:r>
          </w:p>
        </w:tc>
        <w:tc>
          <w:tcPr>
            <w:tcW w:w="60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7D5E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24KT060860</w:t>
            </w:r>
          </w:p>
        </w:tc>
        <w:tc>
          <w:tcPr>
            <w:tcW w:w="500" w:type="pct"/>
            <w:tcBorders>
              <w:top w:val="nil"/>
              <w:left w:val="single" w:color="000000" w:sz="4" w:space="0"/>
              <w:bottom w:val="single" w:color="000000" w:sz="4" w:space="0"/>
              <w:right w:val="single" w:color="000000" w:sz="4" w:space="0"/>
            </w:tcBorders>
            <w:shd w:val="clear" w:color="auto" w:fill="FFFFFF"/>
            <w:vAlign w:val="center"/>
          </w:tcPr>
          <w:p w14:paraId="136D8BB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8月31日</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F786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2024/5/30</w:t>
            </w:r>
          </w:p>
        </w:tc>
        <w:tc>
          <w:tcPr>
            <w:tcW w:w="551" w:type="pct"/>
            <w:tcBorders>
              <w:top w:val="nil"/>
              <w:left w:val="single" w:color="000000" w:sz="4" w:space="0"/>
              <w:bottom w:val="single" w:color="000000" w:sz="4" w:space="0"/>
              <w:right w:val="single" w:color="000000" w:sz="4" w:space="0"/>
            </w:tcBorders>
            <w:shd w:val="clear" w:color="auto" w:fill="auto"/>
            <w:vAlign w:val="center"/>
          </w:tcPr>
          <w:p w14:paraId="6CB7CF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XO-CONIII</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5DBA8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2026年8月14日</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4F49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2027年5月31日</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B53C2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9.53 </w:t>
            </w:r>
          </w:p>
        </w:tc>
      </w:tr>
      <w:tr w14:paraId="3F1BE8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D753E6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292" w:type="pct"/>
            <w:vMerge w:val="continue"/>
            <w:tcBorders>
              <w:top w:val="nil"/>
              <w:left w:val="single" w:color="000000" w:sz="4" w:space="0"/>
              <w:bottom w:val="single" w:color="000000" w:sz="4" w:space="0"/>
              <w:right w:val="single" w:color="000000" w:sz="4" w:space="0"/>
            </w:tcBorders>
            <w:shd w:val="clear" w:color="auto" w:fill="auto"/>
            <w:noWrap/>
            <w:vAlign w:val="center"/>
          </w:tcPr>
          <w:p w14:paraId="5FBEA9BE">
            <w:pPr>
              <w:jc w:val="center"/>
              <w:rPr>
                <w:rFonts w:hint="eastAsia" w:ascii="宋体" w:hAnsi="宋体" w:eastAsia="宋体" w:cs="宋体"/>
                <w:i w:val="0"/>
                <w:iCs w:val="0"/>
                <w:color w:val="000000"/>
                <w:sz w:val="18"/>
                <w:szCs w:val="18"/>
                <w:u w:val="none"/>
              </w:rPr>
            </w:pP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9C4A1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24KT060861</w:t>
            </w:r>
          </w:p>
        </w:tc>
        <w:tc>
          <w:tcPr>
            <w:tcW w:w="500" w:type="pct"/>
            <w:tcBorders>
              <w:top w:val="nil"/>
              <w:left w:val="single" w:color="000000" w:sz="4" w:space="0"/>
              <w:bottom w:val="single" w:color="000000" w:sz="4" w:space="0"/>
              <w:right w:val="single" w:color="000000" w:sz="4" w:space="0"/>
            </w:tcBorders>
            <w:shd w:val="clear" w:color="auto" w:fill="FFFFFF"/>
            <w:vAlign w:val="center"/>
          </w:tcPr>
          <w:p w14:paraId="4F14C75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8月31日</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A376E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2025/5/18</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801D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XO-CONIII</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3ABB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2026年8月14日</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3275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2027年5月31日</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2E27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9.53 </w:t>
            </w:r>
          </w:p>
        </w:tc>
      </w:tr>
      <w:tr w14:paraId="6AEE2B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A18149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292" w:type="pct"/>
            <w:vMerge w:val="continue"/>
            <w:tcBorders>
              <w:top w:val="nil"/>
              <w:left w:val="single" w:color="000000" w:sz="4" w:space="0"/>
              <w:bottom w:val="single" w:color="000000" w:sz="4" w:space="0"/>
              <w:right w:val="single" w:color="000000" w:sz="4" w:space="0"/>
            </w:tcBorders>
            <w:shd w:val="clear" w:color="auto" w:fill="auto"/>
            <w:noWrap/>
            <w:vAlign w:val="center"/>
          </w:tcPr>
          <w:p w14:paraId="544A045F">
            <w:pPr>
              <w:jc w:val="center"/>
              <w:rPr>
                <w:rFonts w:hint="eastAsia" w:ascii="宋体" w:hAnsi="宋体" w:eastAsia="宋体" w:cs="宋体"/>
                <w:i w:val="0"/>
                <w:iCs w:val="0"/>
                <w:color w:val="000000"/>
                <w:sz w:val="18"/>
                <w:szCs w:val="18"/>
                <w:u w:val="none"/>
              </w:rPr>
            </w:pP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8975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24HT060833</w:t>
            </w:r>
          </w:p>
        </w:tc>
        <w:tc>
          <w:tcPr>
            <w:tcW w:w="50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D54B75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7月31日</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A00D9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2024/6/1</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A4073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XO-HTVF</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749F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2026年7月28日</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DFC3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2027年5月31日</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76E7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10.09 </w:t>
            </w:r>
          </w:p>
        </w:tc>
      </w:tr>
      <w:tr w14:paraId="7B39AC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1697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w:t>
            </w:r>
          </w:p>
        </w:tc>
        <w:tc>
          <w:tcPr>
            <w:tcW w:w="292" w:type="pct"/>
            <w:vMerge w:val="continue"/>
            <w:tcBorders>
              <w:top w:val="nil"/>
              <w:left w:val="single" w:color="000000" w:sz="4" w:space="0"/>
              <w:bottom w:val="single" w:color="000000" w:sz="4" w:space="0"/>
              <w:right w:val="single" w:color="000000" w:sz="4" w:space="0"/>
            </w:tcBorders>
            <w:shd w:val="clear" w:color="auto" w:fill="auto"/>
            <w:noWrap/>
            <w:vAlign w:val="center"/>
          </w:tcPr>
          <w:p w14:paraId="2DCA5101">
            <w:pPr>
              <w:jc w:val="center"/>
              <w:rPr>
                <w:rFonts w:hint="eastAsia" w:ascii="宋体" w:hAnsi="宋体" w:eastAsia="宋体" w:cs="宋体"/>
                <w:i w:val="0"/>
                <w:iCs w:val="0"/>
                <w:color w:val="000000"/>
                <w:sz w:val="18"/>
                <w:szCs w:val="18"/>
                <w:u w:val="none"/>
              </w:rPr>
            </w:pP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0748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24HT060840</w:t>
            </w:r>
          </w:p>
        </w:tc>
        <w:tc>
          <w:tcPr>
            <w:tcW w:w="500" w:type="pct"/>
            <w:tcBorders>
              <w:top w:val="nil"/>
              <w:left w:val="single" w:color="000000" w:sz="4" w:space="0"/>
              <w:bottom w:val="single" w:color="000000" w:sz="4" w:space="0"/>
              <w:right w:val="single" w:color="000000" w:sz="4" w:space="0"/>
            </w:tcBorders>
            <w:shd w:val="clear" w:color="auto" w:fill="FFFFFF"/>
            <w:vAlign w:val="center"/>
          </w:tcPr>
          <w:p w14:paraId="3B40EF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8月31日</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F3DF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2024/6/1</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1D5C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XO-HTVF</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DCDE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2026年8月14日</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2DF9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2027年5月31日</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9DD4A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9.53 </w:t>
            </w:r>
          </w:p>
        </w:tc>
      </w:tr>
      <w:tr w14:paraId="4F66B2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1E12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292" w:type="pct"/>
            <w:vMerge w:val="continue"/>
            <w:tcBorders>
              <w:top w:val="nil"/>
              <w:left w:val="single" w:color="000000" w:sz="4" w:space="0"/>
              <w:bottom w:val="single" w:color="000000" w:sz="4" w:space="0"/>
              <w:right w:val="single" w:color="000000" w:sz="4" w:space="0"/>
            </w:tcBorders>
            <w:shd w:val="clear" w:color="auto" w:fill="auto"/>
            <w:noWrap/>
            <w:vAlign w:val="center"/>
          </w:tcPr>
          <w:p w14:paraId="38A76054">
            <w:pPr>
              <w:jc w:val="center"/>
              <w:rPr>
                <w:rFonts w:hint="eastAsia" w:ascii="宋体" w:hAnsi="宋体" w:eastAsia="宋体" w:cs="宋体"/>
                <w:i w:val="0"/>
                <w:iCs w:val="0"/>
                <w:color w:val="000000"/>
                <w:sz w:val="18"/>
                <w:szCs w:val="18"/>
                <w:u w:val="none"/>
              </w:rPr>
            </w:pP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96803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24HT060841</w:t>
            </w:r>
          </w:p>
        </w:tc>
        <w:tc>
          <w:tcPr>
            <w:tcW w:w="500" w:type="pct"/>
            <w:tcBorders>
              <w:top w:val="nil"/>
              <w:left w:val="single" w:color="000000" w:sz="4" w:space="0"/>
              <w:bottom w:val="single" w:color="000000" w:sz="4" w:space="0"/>
              <w:right w:val="single" w:color="000000" w:sz="4" w:space="0"/>
            </w:tcBorders>
            <w:shd w:val="clear" w:color="auto" w:fill="FFFFFF"/>
            <w:vAlign w:val="center"/>
          </w:tcPr>
          <w:p w14:paraId="7CF7B6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8月31日</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809E2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2024/6/1</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2FE11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XO-HTVF</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6B5F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2026年8月14日</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9452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2027年5月31日</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10BC8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9.53 </w:t>
            </w:r>
          </w:p>
        </w:tc>
      </w:tr>
      <w:tr w14:paraId="33C9B1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A4E21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w:t>
            </w:r>
          </w:p>
        </w:tc>
        <w:tc>
          <w:tcPr>
            <w:tcW w:w="292" w:type="pct"/>
            <w:vMerge w:val="restart"/>
            <w:tcBorders>
              <w:top w:val="single" w:color="000000" w:sz="4" w:space="0"/>
              <w:left w:val="single" w:color="000000" w:sz="4" w:space="0"/>
              <w:bottom w:val="nil"/>
              <w:right w:val="single" w:color="000000" w:sz="4" w:space="0"/>
            </w:tcBorders>
            <w:shd w:val="clear" w:color="auto" w:fill="auto"/>
            <w:noWrap/>
            <w:vAlign w:val="center"/>
          </w:tcPr>
          <w:p w14:paraId="464B59F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3栋</w:t>
            </w: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6FC63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24KT060854</w:t>
            </w:r>
          </w:p>
        </w:tc>
        <w:tc>
          <w:tcPr>
            <w:tcW w:w="500" w:type="pct"/>
            <w:tcBorders>
              <w:top w:val="nil"/>
              <w:left w:val="single" w:color="000000" w:sz="4" w:space="0"/>
              <w:bottom w:val="single" w:color="000000" w:sz="4" w:space="0"/>
              <w:right w:val="single" w:color="000000" w:sz="4" w:space="0"/>
            </w:tcBorders>
            <w:shd w:val="clear" w:color="auto" w:fill="FFFFFF"/>
            <w:vAlign w:val="center"/>
          </w:tcPr>
          <w:p w14:paraId="7B6EB8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8月31日</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5E017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2024/5/30</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9780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XO-CONIII</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4E21E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2026年8月14日</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71C96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2027年5月31日</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354AB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9.53 </w:t>
            </w:r>
          </w:p>
        </w:tc>
      </w:tr>
      <w:tr w14:paraId="3E8945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055D1A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292" w:type="pct"/>
            <w:vMerge w:val="continue"/>
            <w:tcBorders>
              <w:top w:val="single" w:color="000000" w:sz="4" w:space="0"/>
              <w:left w:val="single" w:color="000000" w:sz="4" w:space="0"/>
              <w:bottom w:val="nil"/>
              <w:right w:val="single" w:color="000000" w:sz="4" w:space="0"/>
            </w:tcBorders>
            <w:shd w:val="clear" w:color="auto" w:fill="auto"/>
            <w:noWrap/>
            <w:vAlign w:val="center"/>
          </w:tcPr>
          <w:p w14:paraId="3E6C08C4">
            <w:pPr>
              <w:jc w:val="center"/>
              <w:rPr>
                <w:rFonts w:hint="eastAsia" w:ascii="宋体" w:hAnsi="宋体" w:eastAsia="宋体" w:cs="宋体"/>
                <w:i w:val="0"/>
                <w:iCs w:val="0"/>
                <w:color w:val="000000"/>
                <w:sz w:val="18"/>
                <w:szCs w:val="18"/>
                <w:u w:val="none"/>
              </w:rPr>
            </w:pP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B12B5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24KT060855</w:t>
            </w:r>
          </w:p>
        </w:tc>
        <w:tc>
          <w:tcPr>
            <w:tcW w:w="500" w:type="pct"/>
            <w:tcBorders>
              <w:top w:val="nil"/>
              <w:left w:val="single" w:color="000000" w:sz="4" w:space="0"/>
              <w:bottom w:val="single" w:color="000000" w:sz="4" w:space="0"/>
              <w:right w:val="single" w:color="000000" w:sz="4" w:space="0"/>
            </w:tcBorders>
            <w:shd w:val="clear" w:color="auto" w:fill="FFFFFF"/>
            <w:vAlign w:val="center"/>
          </w:tcPr>
          <w:p w14:paraId="6BF2179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8月31日</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22FC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2024/5/30</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5720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XO-CONIII</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77CE1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2026年8月14日</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6D79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2027年5月31日</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06CB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9.53 </w:t>
            </w:r>
          </w:p>
        </w:tc>
      </w:tr>
      <w:tr w14:paraId="394F1B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E9FF9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w:t>
            </w:r>
          </w:p>
        </w:tc>
        <w:tc>
          <w:tcPr>
            <w:tcW w:w="292" w:type="pct"/>
            <w:vMerge w:val="continue"/>
            <w:tcBorders>
              <w:top w:val="single" w:color="000000" w:sz="4" w:space="0"/>
              <w:left w:val="single" w:color="000000" w:sz="4" w:space="0"/>
              <w:bottom w:val="nil"/>
              <w:right w:val="single" w:color="000000" w:sz="4" w:space="0"/>
            </w:tcBorders>
            <w:shd w:val="clear" w:color="auto" w:fill="auto"/>
            <w:noWrap/>
            <w:vAlign w:val="center"/>
          </w:tcPr>
          <w:p w14:paraId="0FAC123D">
            <w:pPr>
              <w:jc w:val="center"/>
              <w:rPr>
                <w:rFonts w:hint="eastAsia" w:ascii="宋体" w:hAnsi="宋体" w:eastAsia="宋体" w:cs="宋体"/>
                <w:i w:val="0"/>
                <w:iCs w:val="0"/>
                <w:color w:val="000000"/>
                <w:sz w:val="18"/>
                <w:szCs w:val="18"/>
                <w:u w:val="none"/>
              </w:rPr>
            </w:pP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040B1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24HT060838</w:t>
            </w:r>
          </w:p>
        </w:tc>
        <w:tc>
          <w:tcPr>
            <w:tcW w:w="500" w:type="pct"/>
            <w:tcBorders>
              <w:top w:val="nil"/>
              <w:left w:val="single" w:color="000000" w:sz="4" w:space="0"/>
              <w:bottom w:val="single" w:color="000000" w:sz="4" w:space="0"/>
              <w:right w:val="single" w:color="000000" w:sz="4" w:space="0"/>
            </w:tcBorders>
            <w:shd w:val="clear" w:color="auto" w:fill="FFFFFF"/>
            <w:vAlign w:val="center"/>
          </w:tcPr>
          <w:p w14:paraId="6164C5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8月31日</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8635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2024/6/1</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506A7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XO-HTVF</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8E9F8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2026年8月14日</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B2673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2027年5月31日</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9F31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9.53 </w:t>
            </w:r>
          </w:p>
        </w:tc>
      </w:tr>
      <w:tr w14:paraId="76C8E7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CDF9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w:t>
            </w:r>
          </w:p>
        </w:tc>
        <w:tc>
          <w:tcPr>
            <w:tcW w:w="292" w:type="pct"/>
            <w:vMerge w:val="continue"/>
            <w:tcBorders>
              <w:top w:val="single" w:color="000000" w:sz="4" w:space="0"/>
              <w:left w:val="single" w:color="000000" w:sz="4" w:space="0"/>
              <w:bottom w:val="nil"/>
              <w:right w:val="single" w:color="000000" w:sz="4" w:space="0"/>
            </w:tcBorders>
            <w:shd w:val="clear" w:color="auto" w:fill="auto"/>
            <w:noWrap/>
            <w:vAlign w:val="center"/>
          </w:tcPr>
          <w:p w14:paraId="414C6864">
            <w:pPr>
              <w:jc w:val="center"/>
              <w:rPr>
                <w:rFonts w:hint="eastAsia" w:ascii="宋体" w:hAnsi="宋体" w:eastAsia="宋体" w:cs="宋体"/>
                <w:i w:val="0"/>
                <w:iCs w:val="0"/>
                <w:color w:val="000000"/>
                <w:sz w:val="18"/>
                <w:szCs w:val="18"/>
                <w:u w:val="none"/>
              </w:rPr>
            </w:pP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9B6D0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24HT060834</w:t>
            </w:r>
          </w:p>
        </w:tc>
        <w:tc>
          <w:tcPr>
            <w:tcW w:w="50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3D8F6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7月31日</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569FC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2024/6/1</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97D0B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XO-HTVF</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4483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2026年7月28日</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9D336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2027年5月31日</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A0D0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10.09 </w:t>
            </w:r>
          </w:p>
        </w:tc>
      </w:tr>
      <w:tr w14:paraId="6FE7B6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AFEB5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292" w:type="pct"/>
            <w:vMerge w:val="continue"/>
            <w:tcBorders>
              <w:top w:val="single" w:color="000000" w:sz="4" w:space="0"/>
              <w:left w:val="single" w:color="000000" w:sz="4" w:space="0"/>
              <w:bottom w:val="nil"/>
              <w:right w:val="single" w:color="000000" w:sz="4" w:space="0"/>
            </w:tcBorders>
            <w:shd w:val="clear" w:color="auto" w:fill="auto"/>
            <w:noWrap/>
            <w:vAlign w:val="center"/>
          </w:tcPr>
          <w:p w14:paraId="0CC6F102">
            <w:pPr>
              <w:jc w:val="center"/>
              <w:rPr>
                <w:rFonts w:hint="eastAsia" w:ascii="宋体" w:hAnsi="宋体" w:eastAsia="宋体" w:cs="宋体"/>
                <w:i w:val="0"/>
                <w:iCs w:val="0"/>
                <w:color w:val="000000"/>
                <w:sz w:val="18"/>
                <w:szCs w:val="18"/>
                <w:u w:val="none"/>
              </w:rPr>
            </w:pP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803CB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24HT060839</w:t>
            </w:r>
          </w:p>
        </w:tc>
        <w:tc>
          <w:tcPr>
            <w:tcW w:w="500" w:type="pct"/>
            <w:tcBorders>
              <w:top w:val="nil"/>
              <w:left w:val="single" w:color="000000" w:sz="4" w:space="0"/>
              <w:bottom w:val="single" w:color="000000" w:sz="4" w:space="0"/>
              <w:right w:val="single" w:color="000000" w:sz="4" w:space="0"/>
            </w:tcBorders>
            <w:shd w:val="clear" w:color="auto" w:fill="FFFFFF"/>
            <w:vAlign w:val="center"/>
          </w:tcPr>
          <w:p w14:paraId="688B6FF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8月31日</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26F5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2024/6/1</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515B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XO-HTVF</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6A672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2026年8月14日</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2B857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2027年5月31日</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E0BCB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9.53 </w:t>
            </w:r>
          </w:p>
        </w:tc>
      </w:tr>
      <w:tr w14:paraId="226658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10EE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w:t>
            </w:r>
          </w:p>
        </w:tc>
        <w:tc>
          <w:tcPr>
            <w:tcW w:w="292" w:type="pct"/>
            <w:vMerge w:val="restart"/>
            <w:tcBorders>
              <w:top w:val="single" w:color="000000" w:sz="4" w:space="0"/>
              <w:left w:val="single" w:color="000000" w:sz="4" w:space="0"/>
              <w:bottom w:val="nil"/>
              <w:right w:val="single" w:color="000000" w:sz="4" w:space="0"/>
            </w:tcBorders>
            <w:shd w:val="clear" w:color="auto" w:fill="auto"/>
            <w:noWrap/>
            <w:vAlign w:val="center"/>
          </w:tcPr>
          <w:p w14:paraId="7A050F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4栋</w:t>
            </w: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58B1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24KT060856</w:t>
            </w:r>
          </w:p>
        </w:tc>
        <w:tc>
          <w:tcPr>
            <w:tcW w:w="500" w:type="pct"/>
            <w:tcBorders>
              <w:top w:val="nil"/>
              <w:left w:val="single" w:color="000000" w:sz="4" w:space="0"/>
              <w:bottom w:val="single" w:color="000000" w:sz="4" w:space="0"/>
              <w:right w:val="single" w:color="000000" w:sz="4" w:space="0"/>
            </w:tcBorders>
            <w:shd w:val="clear" w:color="auto" w:fill="FFFFFF"/>
            <w:vAlign w:val="center"/>
          </w:tcPr>
          <w:p w14:paraId="532082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8月31日</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63BD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2024/5/30</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BE86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XO-CONIII</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B9E2A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2026年8月14日</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EED8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2027年5月31日</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51607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9.53 </w:t>
            </w:r>
          </w:p>
        </w:tc>
      </w:tr>
      <w:tr w14:paraId="430C13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009FC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w:t>
            </w:r>
          </w:p>
        </w:tc>
        <w:tc>
          <w:tcPr>
            <w:tcW w:w="292" w:type="pct"/>
            <w:vMerge w:val="continue"/>
            <w:tcBorders>
              <w:top w:val="single" w:color="000000" w:sz="4" w:space="0"/>
              <w:left w:val="single" w:color="000000" w:sz="4" w:space="0"/>
              <w:bottom w:val="nil"/>
              <w:right w:val="single" w:color="000000" w:sz="4" w:space="0"/>
            </w:tcBorders>
            <w:shd w:val="clear" w:color="auto" w:fill="auto"/>
            <w:noWrap/>
            <w:vAlign w:val="center"/>
          </w:tcPr>
          <w:p w14:paraId="711CDBDB">
            <w:pPr>
              <w:jc w:val="center"/>
              <w:rPr>
                <w:rFonts w:hint="eastAsia" w:ascii="宋体" w:hAnsi="宋体" w:eastAsia="宋体" w:cs="宋体"/>
                <w:i w:val="0"/>
                <w:iCs w:val="0"/>
                <w:color w:val="000000"/>
                <w:sz w:val="18"/>
                <w:szCs w:val="18"/>
                <w:u w:val="none"/>
              </w:rPr>
            </w:pP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163C4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24HT060832</w:t>
            </w:r>
          </w:p>
        </w:tc>
        <w:tc>
          <w:tcPr>
            <w:tcW w:w="50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D114B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7月31日</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CFFC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2024/6/1</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29F4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XO-HTVF</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3BC3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2026年7月28日</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FF4BC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2027年5月31日</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E6A91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10.09 </w:t>
            </w:r>
          </w:p>
        </w:tc>
      </w:tr>
      <w:tr w14:paraId="004F36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F5CA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w:t>
            </w:r>
          </w:p>
        </w:tc>
        <w:tc>
          <w:tcPr>
            <w:tcW w:w="292" w:type="pct"/>
            <w:vMerge w:val="continue"/>
            <w:tcBorders>
              <w:top w:val="single" w:color="000000" w:sz="4" w:space="0"/>
              <w:left w:val="single" w:color="000000" w:sz="4" w:space="0"/>
              <w:bottom w:val="nil"/>
              <w:right w:val="single" w:color="000000" w:sz="4" w:space="0"/>
            </w:tcBorders>
            <w:shd w:val="clear" w:color="auto" w:fill="auto"/>
            <w:noWrap/>
            <w:vAlign w:val="center"/>
          </w:tcPr>
          <w:p w14:paraId="0F8043CF">
            <w:pPr>
              <w:jc w:val="center"/>
              <w:rPr>
                <w:rFonts w:hint="eastAsia" w:ascii="宋体" w:hAnsi="宋体" w:eastAsia="宋体" w:cs="宋体"/>
                <w:i w:val="0"/>
                <w:iCs w:val="0"/>
                <w:color w:val="000000"/>
                <w:sz w:val="18"/>
                <w:szCs w:val="18"/>
                <w:u w:val="none"/>
              </w:rPr>
            </w:pP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B67F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24HT060843</w:t>
            </w:r>
          </w:p>
        </w:tc>
        <w:tc>
          <w:tcPr>
            <w:tcW w:w="500" w:type="pct"/>
            <w:tcBorders>
              <w:top w:val="nil"/>
              <w:left w:val="single" w:color="000000" w:sz="4" w:space="0"/>
              <w:bottom w:val="single" w:color="000000" w:sz="4" w:space="0"/>
              <w:right w:val="single" w:color="000000" w:sz="4" w:space="0"/>
            </w:tcBorders>
            <w:shd w:val="clear" w:color="auto" w:fill="FFFFFF"/>
            <w:vAlign w:val="center"/>
          </w:tcPr>
          <w:p w14:paraId="15CD9DE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8月31日</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6EBBA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2024/6/1</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0EC5C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XO-HTVF</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FCE4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2026年8月14日</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2913E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2027年5月31日</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B40DF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9.53 </w:t>
            </w:r>
          </w:p>
        </w:tc>
      </w:tr>
      <w:tr w14:paraId="45FF3F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D8FF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w:t>
            </w:r>
          </w:p>
        </w:tc>
        <w:tc>
          <w:tcPr>
            <w:tcW w:w="292" w:type="pct"/>
            <w:vMerge w:val="continue"/>
            <w:tcBorders>
              <w:top w:val="single" w:color="000000" w:sz="4" w:space="0"/>
              <w:left w:val="single" w:color="000000" w:sz="4" w:space="0"/>
              <w:bottom w:val="nil"/>
              <w:right w:val="single" w:color="000000" w:sz="4" w:space="0"/>
            </w:tcBorders>
            <w:shd w:val="clear" w:color="auto" w:fill="auto"/>
            <w:noWrap/>
            <w:vAlign w:val="center"/>
          </w:tcPr>
          <w:p w14:paraId="01D6705D">
            <w:pPr>
              <w:jc w:val="center"/>
              <w:rPr>
                <w:rFonts w:hint="eastAsia" w:ascii="宋体" w:hAnsi="宋体" w:eastAsia="宋体" w:cs="宋体"/>
                <w:i w:val="0"/>
                <w:iCs w:val="0"/>
                <w:color w:val="000000"/>
                <w:sz w:val="18"/>
                <w:szCs w:val="18"/>
                <w:u w:val="none"/>
              </w:rPr>
            </w:pP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85BD4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24HT060842</w:t>
            </w:r>
          </w:p>
        </w:tc>
        <w:tc>
          <w:tcPr>
            <w:tcW w:w="500" w:type="pct"/>
            <w:tcBorders>
              <w:top w:val="nil"/>
              <w:left w:val="single" w:color="000000" w:sz="4" w:space="0"/>
              <w:bottom w:val="single" w:color="000000" w:sz="4" w:space="0"/>
              <w:right w:val="single" w:color="000000" w:sz="4" w:space="0"/>
            </w:tcBorders>
            <w:shd w:val="clear" w:color="auto" w:fill="FFFFFF"/>
            <w:vAlign w:val="center"/>
          </w:tcPr>
          <w:p w14:paraId="757163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8月31日</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F58D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2024/6/1</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25762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XO-HTVF</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2B75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2026年8月14日</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52888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2027年5月31日</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85F57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9.53 </w:t>
            </w:r>
          </w:p>
        </w:tc>
      </w:tr>
      <w:tr w14:paraId="465C3F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14996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292" w:type="pct"/>
            <w:vMerge w:val="restart"/>
            <w:tcBorders>
              <w:top w:val="single" w:color="000000" w:sz="4" w:space="0"/>
              <w:left w:val="single" w:color="000000" w:sz="4" w:space="0"/>
              <w:bottom w:val="nil"/>
              <w:right w:val="single" w:color="000000" w:sz="4" w:space="0"/>
            </w:tcBorders>
            <w:shd w:val="clear" w:color="auto" w:fill="auto"/>
            <w:noWrap/>
            <w:vAlign w:val="center"/>
          </w:tcPr>
          <w:p w14:paraId="73EBD6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5栋</w:t>
            </w: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255E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24KT060857</w:t>
            </w:r>
          </w:p>
        </w:tc>
        <w:tc>
          <w:tcPr>
            <w:tcW w:w="500" w:type="pct"/>
            <w:tcBorders>
              <w:top w:val="nil"/>
              <w:left w:val="single" w:color="000000" w:sz="4" w:space="0"/>
              <w:bottom w:val="single" w:color="000000" w:sz="4" w:space="0"/>
              <w:right w:val="single" w:color="000000" w:sz="4" w:space="0"/>
            </w:tcBorders>
            <w:shd w:val="clear" w:color="auto" w:fill="FFFFFF"/>
            <w:vAlign w:val="center"/>
          </w:tcPr>
          <w:p w14:paraId="4FA3F1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8月31日</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87BB6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2024/5/30</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9A86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XO-CONIII</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ED07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2026年8月14日</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03714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2027年5月31日</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531F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9.53 </w:t>
            </w:r>
          </w:p>
        </w:tc>
      </w:tr>
      <w:tr w14:paraId="2524C9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33A1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w:t>
            </w:r>
          </w:p>
        </w:tc>
        <w:tc>
          <w:tcPr>
            <w:tcW w:w="292" w:type="pct"/>
            <w:vMerge w:val="continue"/>
            <w:tcBorders>
              <w:top w:val="single" w:color="000000" w:sz="4" w:space="0"/>
              <w:left w:val="single" w:color="000000" w:sz="4" w:space="0"/>
              <w:bottom w:val="nil"/>
              <w:right w:val="single" w:color="000000" w:sz="4" w:space="0"/>
            </w:tcBorders>
            <w:shd w:val="clear" w:color="auto" w:fill="auto"/>
            <w:noWrap/>
            <w:vAlign w:val="center"/>
          </w:tcPr>
          <w:p w14:paraId="1331A4BA">
            <w:pPr>
              <w:jc w:val="center"/>
              <w:rPr>
                <w:rFonts w:hint="eastAsia" w:ascii="宋体" w:hAnsi="宋体" w:eastAsia="宋体" w:cs="宋体"/>
                <w:i w:val="0"/>
                <w:iCs w:val="0"/>
                <w:color w:val="000000"/>
                <w:sz w:val="18"/>
                <w:szCs w:val="18"/>
                <w:u w:val="none"/>
              </w:rPr>
            </w:pP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A473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24HT060837</w:t>
            </w:r>
          </w:p>
        </w:tc>
        <w:tc>
          <w:tcPr>
            <w:tcW w:w="50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0B958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7月31日</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6E508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2024/6/1</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0EE6B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XO-HTVF</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3C95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2026年7月28日</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5285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2027年5月31日</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9751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10.09 </w:t>
            </w:r>
          </w:p>
        </w:tc>
      </w:tr>
      <w:tr w14:paraId="5A1270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E93B61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w:t>
            </w:r>
          </w:p>
        </w:tc>
        <w:tc>
          <w:tcPr>
            <w:tcW w:w="292" w:type="pct"/>
            <w:vMerge w:val="continue"/>
            <w:tcBorders>
              <w:top w:val="single" w:color="000000" w:sz="4" w:space="0"/>
              <w:left w:val="single" w:color="000000" w:sz="4" w:space="0"/>
              <w:bottom w:val="nil"/>
              <w:right w:val="single" w:color="000000" w:sz="4" w:space="0"/>
            </w:tcBorders>
            <w:shd w:val="clear" w:color="auto" w:fill="auto"/>
            <w:noWrap/>
            <w:vAlign w:val="center"/>
          </w:tcPr>
          <w:p w14:paraId="52375A89">
            <w:pPr>
              <w:jc w:val="center"/>
              <w:rPr>
                <w:rFonts w:hint="eastAsia" w:ascii="宋体" w:hAnsi="宋体" w:eastAsia="宋体" w:cs="宋体"/>
                <w:i w:val="0"/>
                <w:iCs w:val="0"/>
                <w:color w:val="000000"/>
                <w:sz w:val="18"/>
                <w:szCs w:val="18"/>
                <w:u w:val="none"/>
              </w:rPr>
            </w:pP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FFDE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24HT060844</w:t>
            </w:r>
          </w:p>
        </w:tc>
        <w:tc>
          <w:tcPr>
            <w:tcW w:w="500" w:type="pct"/>
            <w:tcBorders>
              <w:top w:val="nil"/>
              <w:left w:val="single" w:color="000000" w:sz="4" w:space="0"/>
              <w:bottom w:val="single" w:color="000000" w:sz="4" w:space="0"/>
              <w:right w:val="single" w:color="000000" w:sz="4" w:space="0"/>
            </w:tcBorders>
            <w:shd w:val="clear" w:color="auto" w:fill="FFFFFF"/>
            <w:vAlign w:val="center"/>
          </w:tcPr>
          <w:p w14:paraId="0EE6B3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8月31日</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80E6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2024/6/1</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0EEF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XO-HTVF</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14878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2026年8月14日</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5930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2027年5月31日</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445A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9.53 </w:t>
            </w:r>
          </w:p>
        </w:tc>
      </w:tr>
      <w:tr w14:paraId="0028CE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4F862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w:t>
            </w:r>
          </w:p>
        </w:tc>
        <w:tc>
          <w:tcPr>
            <w:tcW w:w="292" w:type="pct"/>
            <w:vMerge w:val="continue"/>
            <w:tcBorders>
              <w:top w:val="single" w:color="000000" w:sz="4" w:space="0"/>
              <w:left w:val="single" w:color="000000" w:sz="4" w:space="0"/>
              <w:bottom w:val="nil"/>
              <w:right w:val="single" w:color="000000" w:sz="4" w:space="0"/>
            </w:tcBorders>
            <w:shd w:val="clear" w:color="auto" w:fill="auto"/>
            <w:noWrap/>
            <w:vAlign w:val="center"/>
          </w:tcPr>
          <w:p w14:paraId="47EED450">
            <w:pPr>
              <w:jc w:val="center"/>
              <w:rPr>
                <w:rFonts w:hint="eastAsia" w:ascii="宋体" w:hAnsi="宋体" w:eastAsia="宋体" w:cs="宋体"/>
                <w:i w:val="0"/>
                <w:iCs w:val="0"/>
                <w:color w:val="000000"/>
                <w:sz w:val="18"/>
                <w:szCs w:val="18"/>
                <w:u w:val="none"/>
              </w:rPr>
            </w:pP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DDB0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24HT060847</w:t>
            </w:r>
          </w:p>
        </w:tc>
        <w:tc>
          <w:tcPr>
            <w:tcW w:w="500" w:type="pct"/>
            <w:tcBorders>
              <w:top w:val="nil"/>
              <w:left w:val="single" w:color="000000" w:sz="4" w:space="0"/>
              <w:bottom w:val="single" w:color="000000" w:sz="4" w:space="0"/>
              <w:right w:val="single" w:color="000000" w:sz="4" w:space="0"/>
            </w:tcBorders>
            <w:shd w:val="clear" w:color="auto" w:fill="FFFFFF"/>
            <w:vAlign w:val="center"/>
          </w:tcPr>
          <w:p w14:paraId="4768913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8月31日</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BA66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2024/6/1</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C08D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XO-HTVF</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7E22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2026年8月14日</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A743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2027年5月31日</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33E7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9.53 </w:t>
            </w:r>
          </w:p>
        </w:tc>
      </w:tr>
      <w:tr w14:paraId="382AE4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75A8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w:t>
            </w:r>
          </w:p>
        </w:tc>
        <w:tc>
          <w:tcPr>
            <w:tcW w:w="292"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E1BE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6栋</w:t>
            </w: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FFE7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24KT060859</w:t>
            </w:r>
          </w:p>
        </w:tc>
        <w:tc>
          <w:tcPr>
            <w:tcW w:w="500" w:type="pct"/>
            <w:tcBorders>
              <w:top w:val="nil"/>
              <w:left w:val="single" w:color="000000" w:sz="4" w:space="0"/>
              <w:bottom w:val="single" w:color="000000" w:sz="4" w:space="0"/>
              <w:right w:val="single" w:color="000000" w:sz="4" w:space="0"/>
            </w:tcBorders>
            <w:shd w:val="clear" w:color="auto" w:fill="FFFFFF"/>
            <w:vAlign w:val="center"/>
          </w:tcPr>
          <w:p w14:paraId="40A2BB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8月31日</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769C0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2024/5/30</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9C54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XO-CONIII</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7FDC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2026年8月14日</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EAC9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2027年5月31日</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9E41E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9.53 </w:t>
            </w:r>
          </w:p>
        </w:tc>
      </w:tr>
      <w:tr w14:paraId="1650F2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D26ADF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w:t>
            </w:r>
          </w:p>
        </w:tc>
        <w:tc>
          <w:tcPr>
            <w:tcW w:w="29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ECEEA4">
            <w:pPr>
              <w:jc w:val="center"/>
              <w:rPr>
                <w:rFonts w:hint="eastAsia" w:ascii="宋体" w:hAnsi="宋体" w:eastAsia="宋体" w:cs="宋体"/>
                <w:i w:val="0"/>
                <w:iCs w:val="0"/>
                <w:color w:val="000000"/>
                <w:sz w:val="18"/>
                <w:szCs w:val="18"/>
                <w:u w:val="none"/>
              </w:rPr>
            </w:pP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6E146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24HT060835</w:t>
            </w:r>
          </w:p>
        </w:tc>
        <w:tc>
          <w:tcPr>
            <w:tcW w:w="50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D30604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7月31日</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C5BB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2024/6/1</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9E4DD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XO-HTVF</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EE05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2026年7月28日</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D32D3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2027年5月31日</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D32F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10.09 </w:t>
            </w:r>
          </w:p>
        </w:tc>
      </w:tr>
      <w:tr w14:paraId="3A71E8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0252A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w:t>
            </w:r>
          </w:p>
        </w:tc>
        <w:tc>
          <w:tcPr>
            <w:tcW w:w="29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3D16D1">
            <w:pPr>
              <w:jc w:val="center"/>
              <w:rPr>
                <w:rFonts w:hint="eastAsia" w:ascii="宋体" w:hAnsi="宋体" w:eastAsia="宋体" w:cs="宋体"/>
                <w:i w:val="0"/>
                <w:iCs w:val="0"/>
                <w:color w:val="000000"/>
                <w:sz w:val="18"/>
                <w:szCs w:val="18"/>
                <w:u w:val="none"/>
              </w:rPr>
            </w:pP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60145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24HT060845</w:t>
            </w:r>
          </w:p>
        </w:tc>
        <w:tc>
          <w:tcPr>
            <w:tcW w:w="500" w:type="pct"/>
            <w:tcBorders>
              <w:top w:val="nil"/>
              <w:left w:val="single" w:color="000000" w:sz="4" w:space="0"/>
              <w:bottom w:val="single" w:color="000000" w:sz="4" w:space="0"/>
              <w:right w:val="single" w:color="000000" w:sz="4" w:space="0"/>
            </w:tcBorders>
            <w:shd w:val="clear" w:color="auto" w:fill="FFFFFF"/>
            <w:vAlign w:val="center"/>
          </w:tcPr>
          <w:p w14:paraId="189503E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8月31日</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341E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2024/6/1</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B9EE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XO-HTVF</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FF58E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2026年8月14日</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5F18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2027年5月31日</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071EC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9.53 </w:t>
            </w:r>
          </w:p>
        </w:tc>
      </w:tr>
      <w:tr w14:paraId="75F640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6CD19B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w:t>
            </w:r>
          </w:p>
        </w:tc>
        <w:tc>
          <w:tcPr>
            <w:tcW w:w="29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ABD9F9">
            <w:pPr>
              <w:jc w:val="center"/>
              <w:rPr>
                <w:rFonts w:hint="eastAsia" w:ascii="宋体" w:hAnsi="宋体" w:eastAsia="宋体" w:cs="宋体"/>
                <w:i w:val="0"/>
                <w:iCs w:val="0"/>
                <w:color w:val="000000"/>
                <w:sz w:val="18"/>
                <w:szCs w:val="18"/>
                <w:u w:val="none"/>
              </w:rPr>
            </w:pP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6AEBB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24HT060848</w:t>
            </w:r>
          </w:p>
        </w:tc>
        <w:tc>
          <w:tcPr>
            <w:tcW w:w="500" w:type="pct"/>
            <w:tcBorders>
              <w:top w:val="nil"/>
              <w:left w:val="single" w:color="000000" w:sz="4" w:space="0"/>
              <w:bottom w:val="single" w:color="000000" w:sz="4" w:space="0"/>
              <w:right w:val="single" w:color="000000" w:sz="4" w:space="0"/>
            </w:tcBorders>
            <w:shd w:val="clear" w:color="auto" w:fill="FFFFFF"/>
            <w:vAlign w:val="center"/>
          </w:tcPr>
          <w:p w14:paraId="5D6396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8月31日</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CA09E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2024/6/1</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30B4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XO-HTVF</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43C56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2026年8月14日</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9A765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2027年5月31日</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213E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9.53 </w:t>
            </w:r>
          </w:p>
        </w:tc>
      </w:tr>
      <w:tr w14:paraId="67183B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D259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w:t>
            </w:r>
          </w:p>
        </w:tc>
        <w:tc>
          <w:tcPr>
            <w:tcW w:w="292"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2845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7栋</w:t>
            </w: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75D66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24KT060858</w:t>
            </w:r>
          </w:p>
        </w:tc>
        <w:tc>
          <w:tcPr>
            <w:tcW w:w="50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85C1F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8月31日</w:t>
            </w:r>
          </w:p>
        </w:tc>
        <w:tc>
          <w:tcPr>
            <w:tcW w:w="549" w:type="pct"/>
            <w:tcBorders>
              <w:top w:val="single" w:color="000000" w:sz="4" w:space="0"/>
              <w:left w:val="single" w:color="000000" w:sz="4" w:space="0"/>
              <w:bottom w:val="nil"/>
              <w:right w:val="single" w:color="000000" w:sz="4" w:space="0"/>
            </w:tcBorders>
            <w:shd w:val="clear" w:color="auto" w:fill="auto"/>
            <w:noWrap/>
            <w:vAlign w:val="center"/>
          </w:tcPr>
          <w:p w14:paraId="4BDCB0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2024/5/30</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0E88C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XO-CONIII</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9B6E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2026年8月14日</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C59F6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2027年5月31日</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405FE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9.53 </w:t>
            </w:r>
          </w:p>
        </w:tc>
      </w:tr>
      <w:tr w14:paraId="5B8B8D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5701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w:t>
            </w:r>
          </w:p>
        </w:tc>
        <w:tc>
          <w:tcPr>
            <w:tcW w:w="29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6F6CDD">
            <w:pPr>
              <w:jc w:val="center"/>
              <w:rPr>
                <w:rFonts w:hint="eastAsia" w:ascii="宋体" w:hAnsi="宋体" w:eastAsia="宋体" w:cs="宋体"/>
                <w:i w:val="0"/>
                <w:iCs w:val="0"/>
                <w:color w:val="000000"/>
                <w:sz w:val="18"/>
                <w:szCs w:val="18"/>
                <w:u w:val="none"/>
              </w:rPr>
            </w:pP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9489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24HT060836</w:t>
            </w:r>
          </w:p>
        </w:tc>
        <w:tc>
          <w:tcPr>
            <w:tcW w:w="50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EC793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8月1日</w:t>
            </w:r>
          </w:p>
        </w:tc>
        <w:tc>
          <w:tcPr>
            <w:tcW w:w="5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E7ADDA">
            <w:pPr>
              <w:rPr>
                <w:rFonts w:hint="eastAsia" w:ascii="宋体" w:hAnsi="宋体" w:eastAsia="宋体" w:cs="宋体"/>
                <w:i w:val="0"/>
                <w:iCs w:val="0"/>
                <w:color w:val="000000"/>
                <w:sz w:val="32"/>
                <w:szCs w:val="32"/>
                <w:u w:val="none"/>
              </w:rPr>
            </w:pP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08630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XO-HTVF</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D3209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2026年7月28日</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A64A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2027年5月31日</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4341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10.09 </w:t>
            </w:r>
          </w:p>
        </w:tc>
      </w:tr>
      <w:tr w14:paraId="1A3593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A6F6F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29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113C35">
            <w:pPr>
              <w:jc w:val="center"/>
              <w:rPr>
                <w:rFonts w:hint="eastAsia" w:ascii="宋体" w:hAnsi="宋体" w:eastAsia="宋体" w:cs="宋体"/>
                <w:i w:val="0"/>
                <w:iCs w:val="0"/>
                <w:color w:val="000000"/>
                <w:sz w:val="18"/>
                <w:szCs w:val="18"/>
                <w:u w:val="none"/>
              </w:rPr>
            </w:pP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EAB0A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24HT060846</w:t>
            </w:r>
          </w:p>
        </w:tc>
        <w:tc>
          <w:tcPr>
            <w:tcW w:w="50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67B3F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8月31日</w:t>
            </w:r>
          </w:p>
        </w:tc>
        <w:tc>
          <w:tcPr>
            <w:tcW w:w="549" w:type="pct"/>
            <w:tcBorders>
              <w:top w:val="nil"/>
              <w:left w:val="single" w:color="000000" w:sz="4" w:space="0"/>
              <w:bottom w:val="single" w:color="000000" w:sz="4" w:space="0"/>
              <w:right w:val="single" w:color="000000" w:sz="4" w:space="0"/>
            </w:tcBorders>
            <w:shd w:val="clear" w:color="auto" w:fill="auto"/>
            <w:noWrap/>
            <w:vAlign w:val="center"/>
          </w:tcPr>
          <w:p w14:paraId="261F9C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2024/6/1</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6C6D9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XO-HTVF</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D5E0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2026年8月14日</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E054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2027年5月31日</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0D6D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9.53 </w:t>
            </w:r>
          </w:p>
        </w:tc>
      </w:tr>
      <w:tr w14:paraId="2489F1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03C41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31</w:t>
            </w:r>
          </w:p>
        </w:tc>
        <w:tc>
          <w:tcPr>
            <w:tcW w:w="29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BD1669">
            <w:pPr>
              <w:jc w:val="center"/>
              <w:rPr>
                <w:rFonts w:hint="eastAsia" w:ascii="宋体" w:hAnsi="宋体" w:eastAsia="宋体" w:cs="宋体"/>
                <w:i w:val="0"/>
                <w:iCs w:val="0"/>
                <w:color w:val="000000"/>
                <w:sz w:val="18"/>
                <w:szCs w:val="18"/>
                <w:u w:val="none"/>
              </w:rPr>
            </w:pP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3A19A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24HT060849</w:t>
            </w:r>
          </w:p>
        </w:tc>
        <w:tc>
          <w:tcPr>
            <w:tcW w:w="500" w:type="pct"/>
            <w:tcBorders>
              <w:top w:val="nil"/>
              <w:left w:val="single" w:color="000000" w:sz="4" w:space="0"/>
              <w:bottom w:val="single" w:color="000000" w:sz="4" w:space="0"/>
              <w:right w:val="single" w:color="000000" w:sz="4" w:space="0"/>
            </w:tcBorders>
            <w:shd w:val="clear" w:color="auto" w:fill="FFFFFF"/>
            <w:vAlign w:val="center"/>
          </w:tcPr>
          <w:p w14:paraId="0FA285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8月31日</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7988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2024/6/1</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9EEEE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XO-HTVF</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EC2D3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2026年8月14日</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F07C9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2027年5月31日</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ABB29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9.53 </w:t>
            </w:r>
          </w:p>
        </w:tc>
      </w:tr>
      <w:tr w14:paraId="469CB0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CDF446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w:t>
            </w:r>
          </w:p>
        </w:tc>
        <w:tc>
          <w:tcPr>
            <w:tcW w:w="292" w:type="pct"/>
            <w:vMerge w:val="restart"/>
            <w:tcBorders>
              <w:top w:val="single" w:color="000000" w:sz="4" w:space="0"/>
              <w:left w:val="single" w:color="000000" w:sz="4" w:space="0"/>
              <w:bottom w:val="nil"/>
              <w:right w:val="single" w:color="000000" w:sz="4" w:space="0"/>
            </w:tcBorders>
            <w:shd w:val="clear" w:color="auto" w:fill="auto"/>
            <w:noWrap/>
            <w:vAlign w:val="center"/>
          </w:tcPr>
          <w:p w14:paraId="746771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8栋</w:t>
            </w: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6ACE7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24KT070643</w:t>
            </w:r>
          </w:p>
        </w:tc>
        <w:tc>
          <w:tcPr>
            <w:tcW w:w="500" w:type="pct"/>
            <w:tcBorders>
              <w:top w:val="nil"/>
              <w:left w:val="single" w:color="000000" w:sz="4" w:space="0"/>
              <w:bottom w:val="single" w:color="000000" w:sz="4" w:space="0"/>
              <w:right w:val="single" w:color="000000" w:sz="4" w:space="0"/>
            </w:tcBorders>
            <w:shd w:val="clear" w:color="auto" w:fill="FFFFFF"/>
            <w:vAlign w:val="center"/>
          </w:tcPr>
          <w:p w14:paraId="5F1690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8月31日</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119EF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2024/7/3</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7EE18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XO-CONIII</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1EFBE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2026年8月29日</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687B2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2027年5月31日</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F8FAB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9.04 </w:t>
            </w:r>
          </w:p>
        </w:tc>
      </w:tr>
      <w:tr w14:paraId="63E46D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5B4B3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33</w:t>
            </w:r>
          </w:p>
        </w:tc>
        <w:tc>
          <w:tcPr>
            <w:tcW w:w="292" w:type="pct"/>
            <w:vMerge w:val="continue"/>
            <w:tcBorders>
              <w:top w:val="single" w:color="000000" w:sz="4" w:space="0"/>
              <w:left w:val="single" w:color="000000" w:sz="4" w:space="0"/>
              <w:bottom w:val="nil"/>
              <w:right w:val="single" w:color="000000" w:sz="4" w:space="0"/>
            </w:tcBorders>
            <w:shd w:val="clear" w:color="auto" w:fill="auto"/>
            <w:noWrap/>
            <w:vAlign w:val="center"/>
          </w:tcPr>
          <w:p w14:paraId="488C3587">
            <w:pPr>
              <w:jc w:val="center"/>
              <w:rPr>
                <w:rFonts w:hint="eastAsia" w:ascii="宋体" w:hAnsi="宋体" w:eastAsia="宋体" w:cs="宋体"/>
                <w:i w:val="0"/>
                <w:iCs w:val="0"/>
                <w:color w:val="000000"/>
                <w:sz w:val="18"/>
                <w:szCs w:val="18"/>
                <w:u w:val="none"/>
              </w:rPr>
            </w:pP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FDDBE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24KT070645</w:t>
            </w:r>
          </w:p>
        </w:tc>
        <w:tc>
          <w:tcPr>
            <w:tcW w:w="500" w:type="pct"/>
            <w:tcBorders>
              <w:top w:val="nil"/>
              <w:left w:val="single" w:color="000000" w:sz="4" w:space="0"/>
              <w:bottom w:val="single" w:color="000000" w:sz="4" w:space="0"/>
              <w:right w:val="single" w:color="000000" w:sz="4" w:space="0"/>
            </w:tcBorders>
            <w:shd w:val="clear" w:color="auto" w:fill="FFFFFF"/>
            <w:vAlign w:val="center"/>
          </w:tcPr>
          <w:p w14:paraId="6AFC4A0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8月31日</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7180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2024/7/3</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BB17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XO-CONIII</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8B109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2026年8月29日</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37863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2027年5月31日</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7D0F9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9.04 </w:t>
            </w:r>
          </w:p>
        </w:tc>
      </w:tr>
      <w:tr w14:paraId="1A42B3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D2F78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34</w:t>
            </w:r>
          </w:p>
        </w:tc>
        <w:tc>
          <w:tcPr>
            <w:tcW w:w="292" w:type="pct"/>
            <w:vMerge w:val="continue"/>
            <w:tcBorders>
              <w:top w:val="single" w:color="000000" w:sz="4" w:space="0"/>
              <w:left w:val="single" w:color="000000" w:sz="4" w:space="0"/>
              <w:bottom w:val="nil"/>
              <w:right w:val="single" w:color="000000" w:sz="4" w:space="0"/>
            </w:tcBorders>
            <w:shd w:val="clear" w:color="auto" w:fill="auto"/>
            <w:noWrap/>
            <w:vAlign w:val="center"/>
          </w:tcPr>
          <w:p w14:paraId="04176BE6">
            <w:pPr>
              <w:jc w:val="center"/>
              <w:rPr>
                <w:rFonts w:hint="eastAsia" w:ascii="宋体" w:hAnsi="宋体" w:eastAsia="宋体" w:cs="宋体"/>
                <w:i w:val="0"/>
                <w:iCs w:val="0"/>
                <w:color w:val="000000"/>
                <w:sz w:val="18"/>
                <w:szCs w:val="18"/>
                <w:u w:val="none"/>
              </w:rPr>
            </w:pP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D514B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24HT070644</w:t>
            </w:r>
          </w:p>
        </w:tc>
        <w:tc>
          <w:tcPr>
            <w:tcW w:w="500" w:type="pct"/>
            <w:tcBorders>
              <w:top w:val="nil"/>
              <w:left w:val="single" w:color="000000" w:sz="4" w:space="0"/>
              <w:bottom w:val="single" w:color="000000" w:sz="4" w:space="0"/>
              <w:right w:val="single" w:color="000000" w:sz="4" w:space="0"/>
            </w:tcBorders>
            <w:shd w:val="clear" w:color="auto" w:fill="FFFFFF"/>
            <w:vAlign w:val="center"/>
          </w:tcPr>
          <w:p w14:paraId="2F81148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8月31日</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21A63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2024/7/3</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5E6D3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XO-HTVF</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6242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2026年8月29日</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D3DA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2027年5月31日</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DF536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9.04 </w:t>
            </w:r>
          </w:p>
        </w:tc>
      </w:tr>
      <w:tr w14:paraId="2BD14D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CEDD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w:t>
            </w:r>
          </w:p>
        </w:tc>
        <w:tc>
          <w:tcPr>
            <w:tcW w:w="292" w:type="pct"/>
            <w:vMerge w:val="continue"/>
            <w:tcBorders>
              <w:top w:val="single" w:color="000000" w:sz="4" w:space="0"/>
              <w:left w:val="single" w:color="000000" w:sz="4" w:space="0"/>
              <w:bottom w:val="nil"/>
              <w:right w:val="single" w:color="000000" w:sz="4" w:space="0"/>
            </w:tcBorders>
            <w:shd w:val="clear" w:color="auto" w:fill="auto"/>
            <w:noWrap/>
            <w:vAlign w:val="center"/>
          </w:tcPr>
          <w:p w14:paraId="353A5381">
            <w:pPr>
              <w:jc w:val="center"/>
              <w:rPr>
                <w:rFonts w:hint="eastAsia" w:ascii="宋体" w:hAnsi="宋体" w:eastAsia="宋体" w:cs="宋体"/>
                <w:i w:val="0"/>
                <w:iCs w:val="0"/>
                <w:color w:val="000000"/>
                <w:sz w:val="18"/>
                <w:szCs w:val="18"/>
                <w:u w:val="none"/>
              </w:rPr>
            </w:pP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473C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24HT070642</w:t>
            </w:r>
          </w:p>
        </w:tc>
        <w:tc>
          <w:tcPr>
            <w:tcW w:w="50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ACD71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9月30日</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BEF5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2024/7/3</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479E4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XO-HTVF</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1FCBD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2026年8月29日</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7D4C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2027年5月31日</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26D0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9.04 </w:t>
            </w:r>
          </w:p>
        </w:tc>
      </w:tr>
      <w:tr w14:paraId="5DF5E5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A69A5E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36</w:t>
            </w:r>
          </w:p>
        </w:tc>
        <w:tc>
          <w:tcPr>
            <w:tcW w:w="292" w:type="pct"/>
            <w:vMerge w:val="continue"/>
            <w:tcBorders>
              <w:top w:val="single" w:color="000000" w:sz="4" w:space="0"/>
              <w:left w:val="single" w:color="000000" w:sz="4" w:space="0"/>
              <w:bottom w:val="nil"/>
              <w:right w:val="single" w:color="000000" w:sz="4" w:space="0"/>
            </w:tcBorders>
            <w:shd w:val="clear" w:color="auto" w:fill="auto"/>
            <w:noWrap/>
            <w:vAlign w:val="center"/>
          </w:tcPr>
          <w:p w14:paraId="40620DE1">
            <w:pPr>
              <w:jc w:val="center"/>
              <w:rPr>
                <w:rFonts w:hint="eastAsia" w:ascii="宋体" w:hAnsi="宋体" w:eastAsia="宋体" w:cs="宋体"/>
                <w:i w:val="0"/>
                <w:iCs w:val="0"/>
                <w:color w:val="000000"/>
                <w:sz w:val="18"/>
                <w:szCs w:val="18"/>
                <w:u w:val="none"/>
              </w:rPr>
            </w:pP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0FB6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24HT070646</w:t>
            </w:r>
          </w:p>
        </w:tc>
        <w:tc>
          <w:tcPr>
            <w:tcW w:w="50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69D59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9月30日</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DD0D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2024/7/9</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59732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XO-HTVF</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E5BA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2026年8月29日</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234D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2027年5月31日</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D38A9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9.04 </w:t>
            </w:r>
          </w:p>
        </w:tc>
      </w:tr>
      <w:tr w14:paraId="567C8A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019AF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37</w:t>
            </w:r>
          </w:p>
        </w:tc>
        <w:tc>
          <w:tcPr>
            <w:tcW w:w="292" w:type="pct"/>
            <w:vMerge w:val="restart"/>
            <w:tcBorders>
              <w:top w:val="single" w:color="000000" w:sz="4" w:space="0"/>
              <w:left w:val="single" w:color="000000" w:sz="4" w:space="0"/>
              <w:bottom w:val="nil"/>
              <w:right w:val="single" w:color="000000" w:sz="4" w:space="0"/>
            </w:tcBorders>
            <w:shd w:val="clear" w:color="auto" w:fill="auto"/>
            <w:noWrap/>
            <w:vAlign w:val="center"/>
          </w:tcPr>
          <w:p w14:paraId="25395FC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9栋</w:t>
            </w: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41AD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24KT050183</w:t>
            </w:r>
          </w:p>
        </w:tc>
        <w:tc>
          <w:tcPr>
            <w:tcW w:w="50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1F0FC7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7月31日</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ACB89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2024/4/9</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86421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XO-CONIII</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44343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2026年7月11日</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7907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2027年5月31日</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B2540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10.65 </w:t>
            </w:r>
          </w:p>
        </w:tc>
      </w:tr>
      <w:tr w14:paraId="0DE32B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EF3C6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38</w:t>
            </w:r>
          </w:p>
        </w:tc>
        <w:tc>
          <w:tcPr>
            <w:tcW w:w="292" w:type="pct"/>
            <w:vMerge w:val="continue"/>
            <w:tcBorders>
              <w:top w:val="single" w:color="000000" w:sz="4" w:space="0"/>
              <w:left w:val="single" w:color="000000" w:sz="4" w:space="0"/>
              <w:bottom w:val="nil"/>
              <w:right w:val="single" w:color="000000" w:sz="4" w:space="0"/>
            </w:tcBorders>
            <w:shd w:val="clear" w:color="auto" w:fill="auto"/>
            <w:noWrap/>
            <w:vAlign w:val="center"/>
          </w:tcPr>
          <w:p w14:paraId="311DE9CF">
            <w:pPr>
              <w:jc w:val="center"/>
              <w:rPr>
                <w:rFonts w:hint="eastAsia" w:ascii="宋体" w:hAnsi="宋体" w:eastAsia="宋体" w:cs="宋体"/>
                <w:i w:val="0"/>
                <w:iCs w:val="0"/>
                <w:color w:val="000000"/>
                <w:sz w:val="18"/>
                <w:szCs w:val="18"/>
                <w:u w:val="none"/>
              </w:rPr>
            </w:pP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2062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24KT050184</w:t>
            </w:r>
          </w:p>
        </w:tc>
        <w:tc>
          <w:tcPr>
            <w:tcW w:w="50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911EE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7月31日</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C525A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2024/4/9</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B679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XO-CONIII</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B949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2026年7月11日</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FBB4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2027年5月31日</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93D8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10.65 </w:t>
            </w:r>
          </w:p>
        </w:tc>
      </w:tr>
      <w:tr w14:paraId="11F2F7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2F9D5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39</w:t>
            </w:r>
          </w:p>
        </w:tc>
        <w:tc>
          <w:tcPr>
            <w:tcW w:w="292" w:type="pct"/>
            <w:vMerge w:val="continue"/>
            <w:tcBorders>
              <w:top w:val="single" w:color="000000" w:sz="4" w:space="0"/>
              <w:left w:val="single" w:color="000000" w:sz="4" w:space="0"/>
              <w:bottom w:val="nil"/>
              <w:right w:val="single" w:color="000000" w:sz="4" w:space="0"/>
            </w:tcBorders>
            <w:shd w:val="clear" w:color="auto" w:fill="auto"/>
            <w:noWrap/>
            <w:vAlign w:val="center"/>
          </w:tcPr>
          <w:p w14:paraId="34F7ADD4">
            <w:pPr>
              <w:jc w:val="center"/>
              <w:rPr>
                <w:rFonts w:hint="eastAsia" w:ascii="宋体" w:hAnsi="宋体" w:eastAsia="宋体" w:cs="宋体"/>
                <w:i w:val="0"/>
                <w:iCs w:val="0"/>
                <w:color w:val="000000"/>
                <w:sz w:val="18"/>
                <w:szCs w:val="18"/>
                <w:u w:val="none"/>
              </w:rPr>
            </w:pP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8999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24HT050213</w:t>
            </w:r>
          </w:p>
        </w:tc>
        <w:tc>
          <w:tcPr>
            <w:tcW w:w="50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434323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7月31日</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849E8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2024/4/16</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2288B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XO-HTVF</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7CE9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2026年7月11日</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6D11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2027年5月31日</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EF0DB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10.65 </w:t>
            </w:r>
          </w:p>
        </w:tc>
      </w:tr>
      <w:tr w14:paraId="489EA3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574D93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w:t>
            </w:r>
          </w:p>
        </w:tc>
        <w:tc>
          <w:tcPr>
            <w:tcW w:w="292" w:type="pct"/>
            <w:vMerge w:val="continue"/>
            <w:tcBorders>
              <w:top w:val="single" w:color="000000" w:sz="4" w:space="0"/>
              <w:left w:val="single" w:color="000000" w:sz="4" w:space="0"/>
              <w:bottom w:val="nil"/>
              <w:right w:val="single" w:color="000000" w:sz="4" w:space="0"/>
            </w:tcBorders>
            <w:shd w:val="clear" w:color="auto" w:fill="auto"/>
            <w:noWrap/>
            <w:vAlign w:val="center"/>
          </w:tcPr>
          <w:p w14:paraId="1468B918">
            <w:pPr>
              <w:jc w:val="center"/>
              <w:rPr>
                <w:rFonts w:hint="eastAsia" w:ascii="宋体" w:hAnsi="宋体" w:eastAsia="宋体" w:cs="宋体"/>
                <w:i w:val="0"/>
                <w:iCs w:val="0"/>
                <w:color w:val="000000"/>
                <w:sz w:val="18"/>
                <w:szCs w:val="18"/>
                <w:u w:val="none"/>
              </w:rPr>
            </w:pP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C513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24HT050214</w:t>
            </w:r>
          </w:p>
        </w:tc>
        <w:tc>
          <w:tcPr>
            <w:tcW w:w="50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C25E16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7月31日</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A0FD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2024/4/16</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6B1F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XO-HTVF</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3336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2026年7月15日</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98441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2027年5月31日</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21560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10.52 </w:t>
            </w:r>
          </w:p>
        </w:tc>
      </w:tr>
      <w:tr w14:paraId="4C0827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9C8A6D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w:t>
            </w:r>
          </w:p>
        </w:tc>
        <w:tc>
          <w:tcPr>
            <w:tcW w:w="292" w:type="pct"/>
            <w:vMerge w:val="continue"/>
            <w:tcBorders>
              <w:top w:val="single" w:color="000000" w:sz="4" w:space="0"/>
              <w:left w:val="single" w:color="000000" w:sz="4" w:space="0"/>
              <w:bottom w:val="nil"/>
              <w:right w:val="single" w:color="000000" w:sz="4" w:space="0"/>
            </w:tcBorders>
            <w:shd w:val="clear" w:color="auto" w:fill="auto"/>
            <w:noWrap/>
            <w:vAlign w:val="center"/>
          </w:tcPr>
          <w:p w14:paraId="7CFE02BF">
            <w:pPr>
              <w:jc w:val="center"/>
              <w:rPr>
                <w:rFonts w:hint="eastAsia" w:ascii="宋体" w:hAnsi="宋体" w:eastAsia="宋体" w:cs="宋体"/>
                <w:i w:val="0"/>
                <w:iCs w:val="0"/>
                <w:color w:val="000000"/>
                <w:sz w:val="18"/>
                <w:szCs w:val="18"/>
                <w:u w:val="none"/>
              </w:rPr>
            </w:pP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FB083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24HT050216</w:t>
            </w:r>
          </w:p>
        </w:tc>
        <w:tc>
          <w:tcPr>
            <w:tcW w:w="50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EDC348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7月31日</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88466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2024/4/16</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2C2C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XO-HTVF</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33D3E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2026年7月11日</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1F23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2027年5月31日</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5F11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10.65 </w:t>
            </w:r>
          </w:p>
        </w:tc>
      </w:tr>
      <w:tr w14:paraId="3889BF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3B048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42</w:t>
            </w:r>
          </w:p>
        </w:tc>
        <w:tc>
          <w:tcPr>
            <w:tcW w:w="292" w:type="pct"/>
            <w:vMerge w:val="continue"/>
            <w:tcBorders>
              <w:top w:val="single" w:color="000000" w:sz="4" w:space="0"/>
              <w:left w:val="single" w:color="000000" w:sz="4" w:space="0"/>
              <w:bottom w:val="nil"/>
              <w:right w:val="single" w:color="000000" w:sz="4" w:space="0"/>
            </w:tcBorders>
            <w:shd w:val="clear" w:color="auto" w:fill="auto"/>
            <w:noWrap/>
            <w:vAlign w:val="center"/>
          </w:tcPr>
          <w:p w14:paraId="1113CCA7">
            <w:pPr>
              <w:jc w:val="center"/>
              <w:rPr>
                <w:rFonts w:hint="eastAsia" w:ascii="宋体" w:hAnsi="宋体" w:eastAsia="宋体" w:cs="宋体"/>
                <w:i w:val="0"/>
                <w:iCs w:val="0"/>
                <w:color w:val="000000"/>
                <w:sz w:val="18"/>
                <w:szCs w:val="18"/>
                <w:u w:val="none"/>
              </w:rPr>
            </w:pP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E92B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24HT050217</w:t>
            </w:r>
          </w:p>
        </w:tc>
        <w:tc>
          <w:tcPr>
            <w:tcW w:w="50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C85B6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7月31日</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8D2AF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2024/4/16</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4F29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XO-HTVF</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C2526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2026年7月15日</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D73D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2027年5月31日</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52276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10.52 </w:t>
            </w:r>
          </w:p>
        </w:tc>
      </w:tr>
      <w:tr w14:paraId="4853DB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5AB0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w:t>
            </w:r>
          </w:p>
        </w:tc>
        <w:tc>
          <w:tcPr>
            <w:tcW w:w="292" w:type="pct"/>
            <w:vMerge w:val="restart"/>
            <w:tcBorders>
              <w:top w:val="single" w:color="000000" w:sz="4" w:space="0"/>
              <w:left w:val="single" w:color="000000" w:sz="4" w:space="0"/>
              <w:bottom w:val="nil"/>
              <w:right w:val="single" w:color="000000" w:sz="4" w:space="0"/>
            </w:tcBorders>
            <w:shd w:val="clear" w:color="auto" w:fill="auto"/>
            <w:noWrap/>
            <w:vAlign w:val="center"/>
          </w:tcPr>
          <w:p w14:paraId="3B6E342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10栋</w:t>
            </w: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6C3F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24KT050186</w:t>
            </w:r>
          </w:p>
        </w:tc>
        <w:tc>
          <w:tcPr>
            <w:tcW w:w="50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D3B79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7月31日</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0390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2024/4/9</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5AD9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XO-CONIII</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8079F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2026年7月11日</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CDD2E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2027年5月31日</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E990E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10.65 </w:t>
            </w:r>
          </w:p>
        </w:tc>
      </w:tr>
      <w:tr w14:paraId="3AC5A8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2D78F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44</w:t>
            </w:r>
          </w:p>
        </w:tc>
        <w:tc>
          <w:tcPr>
            <w:tcW w:w="292" w:type="pct"/>
            <w:vMerge w:val="continue"/>
            <w:tcBorders>
              <w:top w:val="single" w:color="000000" w:sz="4" w:space="0"/>
              <w:left w:val="single" w:color="000000" w:sz="4" w:space="0"/>
              <w:bottom w:val="nil"/>
              <w:right w:val="single" w:color="000000" w:sz="4" w:space="0"/>
            </w:tcBorders>
            <w:shd w:val="clear" w:color="auto" w:fill="auto"/>
            <w:noWrap/>
            <w:vAlign w:val="center"/>
          </w:tcPr>
          <w:p w14:paraId="31E49C7E">
            <w:pPr>
              <w:jc w:val="center"/>
              <w:rPr>
                <w:rFonts w:hint="eastAsia" w:ascii="宋体" w:hAnsi="宋体" w:eastAsia="宋体" w:cs="宋体"/>
                <w:i w:val="0"/>
                <w:iCs w:val="0"/>
                <w:color w:val="000000"/>
                <w:sz w:val="18"/>
                <w:szCs w:val="18"/>
                <w:u w:val="none"/>
              </w:rPr>
            </w:pP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607B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24KT050185</w:t>
            </w:r>
          </w:p>
        </w:tc>
        <w:tc>
          <w:tcPr>
            <w:tcW w:w="50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5E6A5E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7月31日</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7866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2024/4/9</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F4201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XO-CONIII</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CA5A9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2026年7月11日</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DD97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2027年5月31日</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5C8C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10.65 </w:t>
            </w:r>
          </w:p>
        </w:tc>
      </w:tr>
      <w:tr w14:paraId="6133B5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109CA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45</w:t>
            </w:r>
          </w:p>
        </w:tc>
        <w:tc>
          <w:tcPr>
            <w:tcW w:w="292" w:type="pct"/>
            <w:vMerge w:val="continue"/>
            <w:tcBorders>
              <w:top w:val="single" w:color="000000" w:sz="4" w:space="0"/>
              <w:left w:val="single" w:color="000000" w:sz="4" w:space="0"/>
              <w:bottom w:val="nil"/>
              <w:right w:val="single" w:color="000000" w:sz="4" w:space="0"/>
            </w:tcBorders>
            <w:shd w:val="clear" w:color="auto" w:fill="auto"/>
            <w:noWrap/>
            <w:vAlign w:val="center"/>
          </w:tcPr>
          <w:p w14:paraId="71B8089D">
            <w:pPr>
              <w:jc w:val="center"/>
              <w:rPr>
                <w:rFonts w:hint="eastAsia" w:ascii="宋体" w:hAnsi="宋体" w:eastAsia="宋体" w:cs="宋体"/>
                <w:i w:val="0"/>
                <w:iCs w:val="0"/>
                <w:color w:val="000000"/>
                <w:sz w:val="18"/>
                <w:szCs w:val="18"/>
                <w:u w:val="none"/>
              </w:rPr>
            </w:pP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FF47E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24HT050218</w:t>
            </w:r>
          </w:p>
        </w:tc>
        <w:tc>
          <w:tcPr>
            <w:tcW w:w="50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7592A0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7月31日</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5DD9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2024/4/16</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B42EA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XO-HTVF</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C6AA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2026年7月14日</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6EB6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2027年5月31日</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54706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10.55 </w:t>
            </w:r>
          </w:p>
        </w:tc>
      </w:tr>
      <w:tr w14:paraId="04AB86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7E02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46</w:t>
            </w:r>
          </w:p>
        </w:tc>
        <w:tc>
          <w:tcPr>
            <w:tcW w:w="292" w:type="pct"/>
            <w:vMerge w:val="continue"/>
            <w:tcBorders>
              <w:top w:val="single" w:color="000000" w:sz="4" w:space="0"/>
              <w:left w:val="single" w:color="000000" w:sz="4" w:space="0"/>
              <w:bottom w:val="nil"/>
              <w:right w:val="single" w:color="000000" w:sz="4" w:space="0"/>
            </w:tcBorders>
            <w:shd w:val="clear" w:color="auto" w:fill="auto"/>
            <w:noWrap/>
            <w:vAlign w:val="center"/>
          </w:tcPr>
          <w:p w14:paraId="6B65A22A">
            <w:pPr>
              <w:jc w:val="center"/>
              <w:rPr>
                <w:rFonts w:hint="eastAsia" w:ascii="宋体" w:hAnsi="宋体" w:eastAsia="宋体" w:cs="宋体"/>
                <w:i w:val="0"/>
                <w:iCs w:val="0"/>
                <w:color w:val="000000"/>
                <w:sz w:val="18"/>
                <w:szCs w:val="18"/>
                <w:u w:val="none"/>
              </w:rPr>
            </w:pP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671C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24HT050219</w:t>
            </w:r>
          </w:p>
        </w:tc>
        <w:tc>
          <w:tcPr>
            <w:tcW w:w="50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B7402A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7月31日</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5E77C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2024/4/16</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7458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XO-HTVF</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B22D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2026年7月14日</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E7BB4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2027年5月31日</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9AF91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10.55 </w:t>
            </w:r>
          </w:p>
        </w:tc>
      </w:tr>
      <w:tr w14:paraId="16A3CE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D9AB8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47</w:t>
            </w:r>
          </w:p>
        </w:tc>
        <w:tc>
          <w:tcPr>
            <w:tcW w:w="292" w:type="pct"/>
            <w:vMerge w:val="continue"/>
            <w:tcBorders>
              <w:top w:val="single" w:color="000000" w:sz="4" w:space="0"/>
              <w:left w:val="single" w:color="000000" w:sz="4" w:space="0"/>
              <w:bottom w:val="nil"/>
              <w:right w:val="single" w:color="000000" w:sz="4" w:space="0"/>
            </w:tcBorders>
            <w:shd w:val="clear" w:color="auto" w:fill="auto"/>
            <w:noWrap/>
            <w:vAlign w:val="center"/>
          </w:tcPr>
          <w:p w14:paraId="05BB4FE5">
            <w:pPr>
              <w:jc w:val="center"/>
              <w:rPr>
                <w:rFonts w:hint="eastAsia" w:ascii="宋体" w:hAnsi="宋体" w:eastAsia="宋体" w:cs="宋体"/>
                <w:i w:val="0"/>
                <w:iCs w:val="0"/>
                <w:color w:val="000000"/>
                <w:sz w:val="18"/>
                <w:szCs w:val="18"/>
                <w:u w:val="none"/>
              </w:rPr>
            </w:pP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79BD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24HT050220</w:t>
            </w:r>
          </w:p>
        </w:tc>
        <w:tc>
          <w:tcPr>
            <w:tcW w:w="50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7964AC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7月31日</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452E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2024/4/16</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C07B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XO-HTVF</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8089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2026年7月24日</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519A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2027年5月31日</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231B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10.22 </w:t>
            </w:r>
          </w:p>
        </w:tc>
      </w:tr>
      <w:tr w14:paraId="2C4AF4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12387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48</w:t>
            </w:r>
          </w:p>
        </w:tc>
        <w:tc>
          <w:tcPr>
            <w:tcW w:w="292" w:type="pct"/>
            <w:vMerge w:val="continue"/>
            <w:tcBorders>
              <w:top w:val="single" w:color="000000" w:sz="4" w:space="0"/>
              <w:left w:val="single" w:color="000000" w:sz="4" w:space="0"/>
              <w:bottom w:val="nil"/>
              <w:right w:val="single" w:color="000000" w:sz="4" w:space="0"/>
            </w:tcBorders>
            <w:shd w:val="clear" w:color="auto" w:fill="auto"/>
            <w:noWrap/>
            <w:vAlign w:val="center"/>
          </w:tcPr>
          <w:p w14:paraId="6AF2C720">
            <w:pPr>
              <w:jc w:val="center"/>
              <w:rPr>
                <w:rFonts w:hint="eastAsia" w:ascii="宋体" w:hAnsi="宋体" w:eastAsia="宋体" w:cs="宋体"/>
                <w:i w:val="0"/>
                <w:iCs w:val="0"/>
                <w:color w:val="000000"/>
                <w:sz w:val="18"/>
                <w:szCs w:val="18"/>
                <w:u w:val="none"/>
              </w:rPr>
            </w:pP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B71A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24HT050221</w:t>
            </w:r>
          </w:p>
        </w:tc>
        <w:tc>
          <w:tcPr>
            <w:tcW w:w="50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C5B4D5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7月31日</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33384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2024/4/16</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DF39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XO-HTVF</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49FF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2026年7月24日</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6E93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2027年5月31日</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EE29F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10.22 </w:t>
            </w:r>
          </w:p>
        </w:tc>
      </w:tr>
      <w:tr w14:paraId="1105C4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EF3291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49</w:t>
            </w:r>
          </w:p>
        </w:tc>
        <w:tc>
          <w:tcPr>
            <w:tcW w:w="292"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16CE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11栋</w:t>
            </w: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3E1B0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24KT080319</w:t>
            </w:r>
          </w:p>
        </w:tc>
        <w:tc>
          <w:tcPr>
            <w:tcW w:w="50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34E542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10月31日</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AF7AB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2024/7/29</w:t>
            </w:r>
          </w:p>
        </w:tc>
        <w:tc>
          <w:tcPr>
            <w:tcW w:w="55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E5A69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XO-CONIII</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DEAC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2026年10月21日</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989CA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2027年5月31日</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6CB52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7.30 </w:t>
            </w:r>
          </w:p>
        </w:tc>
      </w:tr>
      <w:tr w14:paraId="0C7986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F2D6B3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w:t>
            </w:r>
          </w:p>
        </w:tc>
        <w:tc>
          <w:tcPr>
            <w:tcW w:w="29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0D2BD6">
            <w:pPr>
              <w:jc w:val="center"/>
              <w:rPr>
                <w:rFonts w:hint="eastAsia" w:ascii="宋体" w:hAnsi="宋体" w:eastAsia="宋体" w:cs="宋体"/>
                <w:i w:val="0"/>
                <w:iCs w:val="0"/>
                <w:color w:val="000000"/>
                <w:sz w:val="18"/>
                <w:szCs w:val="18"/>
                <w:u w:val="none"/>
              </w:rPr>
            </w:pP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95884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24KT080320</w:t>
            </w:r>
          </w:p>
        </w:tc>
        <w:tc>
          <w:tcPr>
            <w:tcW w:w="50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9936FE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10月31日</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1F25B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2024/7/29</w:t>
            </w:r>
          </w:p>
        </w:tc>
        <w:tc>
          <w:tcPr>
            <w:tcW w:w="55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D9671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XO-CONIII</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9A10A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2026年10月21日</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E466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2027年5月31日</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81FFD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7.30 </w:t>
            </w:r>
          </w:p>
        </w:tc>
      </w:tr>
      <w:tr w14:paraId="7A9B82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5C9B23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51</w:t>
            </w:r>
          </w:p>
        </w:tc>
        <w:tc>
          <w:tcPr>
            <w:tcW w:w="29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EB28EB">
            <w:pPr>
              <w:jc w:val="center"/>
              <w:rPr>
                <w:rFonts w:hint="eastAsia" w:ascii="宋体" w:hAnsi="宋体" w:eastAsia="宋体" w:cs="宋体"/>
                <w:i w:val="0"/>
                <w:iCs w:val="0"/>
                <w:color w:val="000000"/>
                <w:sz w:val="18"/>
                <w:szCs w:val="18"/>
                <w:u w:val="none"/>
              </w:rPr>
            </w:pP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E5CB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24KT080322</w:t>
            </w:r>
          </w:p>
        </w:tc>
        <w:tc>
          <w:tcPr>
            <w:tcW w:w="50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05B3E2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10月31日</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5639B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2024/7/29</w:t>
            </w:r>
          </w:p>
        </w:tc>
        <w:tc>
          <w:tcPr>
            <w:tcW w:w="55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6A03D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XO-CONIII</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E1B68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2026年10月21日</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43F0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2027年5月31日</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4B35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7.30 </w:t>
            </w:r>
          </w:p>
        </w:tc>
      </w:tr>
      <w:tr w14:paraId="46C7E7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B521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52</w:t>
            </w:r>
          </w:p>
        </w:tc>
        <w:tc>
          <w:tcPr>
            <w:tcW w:w="29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2A5547">
            <w:pPr>
              <w:jc w:val="center"/>
              <w:rPr>
                <w:rFonts w:hint="eastAsia" w:ascii="宋体" w:hAnsi="宋体" w:eastAsia="宋体" w:cs="宋体"/>
                <w:i w:val="0"/>
                <w:iCs w:val="0"/>
                <w:color w:val="000000"/>
                <w:sz w:val="18"/>
                <w:szCs w:val="18"/>
                <w:u w:val="none"/>
              </w:rPr>
            </w:pP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5B74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24KT080321</w:t>
            </w:r>
          </w:p>
        </w:tc>
        <w:tc>
          <w:tcPr>
            <w:tcW w:w="50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632FF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10月31日</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6365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2024/7/29</w:t>
            </w:r>
          </w:p>
        </w:tc>
        <w:tc>
          <w:tcPr>
            <w:tcW w:w="55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6DE5C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XO-CONIII</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37FAE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2026年10月21日</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672D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2027年5月31日</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7F9B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7.30 </w:t>
            </w:r>
          </w:p>
        </w:tc>
      </w:tr>
    </w:tbl>
    <w:p w14:paraId="0E4699EE">
      <w:pPr>
        <w:pStyle w:val="16"/>
        <w:rPr>
          <w:rFonts w:hint="eastAsia" w:ascii="宋体" w:hAnsi="宋体" w:eastAsia="宋体" w:cs="宋体"/>
          <w:color w:val="auto"/>
          <w:sz w:val="21"/>
          <w:szCs w:val="21"/>
          <w:highlight w:val="none"/>
        </w:rPr>
      </w:pPr>
    </w:p>
    <w:p w14:paraId="085A26EA">
      <w:pPr>
        <w:rPr>
          <w:rFonts w:hint="eastAsia" w:ascii="宋体" w:hAnsi="宋体" w:eastAsia="宋体" w:cs="宋体"/>
          <w:color w:val="auto"/>
          <w:sz w:val="21"/>
          <w:szCs w:val="21"/>
          <w:highlight w:val="none"/>
        </w:rPr>
      </w:pPr>
    </w:p>
    <w:p w14:paraId="752CDE58">
      <w:pPr>
        <w:pStyle w:val="16"/>
        <w:rPr>
          <w:rFonts w:hint="eastAsia" w:ascii="宋体" w:hAnsi="宋体" w:eastAsia="宋体" w:cs="宋体"/>
          <w:color w:val="auto"/>
          <w:sz w:val="21"/>
          <w:szCs w:val="21"/>
          <w:highlight w:val="none"/>
        </w:rPr>
      </w:pPr>
    </w:p>
    <w:p w14:paraId="7E78A97E">
      <w:pPr>
        <w:rPr>
          <w:rFonts w:hint="eastAsia" w:ascii="宋体" w:hAnsi="宋体" w:eastAsia="宋体" w:cs="宋体"/>
          <w:color w:val="auto"/>
          <w:sz w:val="21"/>
          <w:szCs w:val="21"/>
          <w:highlight w:val="none"/>
        </w:rPr>
      </w:pPr>
    </w:p>
    <w:p w14:paraId="71FEDD6B">
      <w:pPr>
        <w:pStyle w:val="16"/>
        <w:rPr>
          <w:rFonts w:hint="eastAsia" w:ascii="宋体" w:hAnsi="宋体" w:eastAsia="宋体" w:cs="宋体"/>
          <w:color w:val="auto"/>
          <w:sz w:val="21"/>
          <w:szCs w:val="21"/>
          <w:highlight w:val="none"/>
        </w:rPr>
      </w:pPr>
    </w:p>
    <w:p w14:paraId="49DE6815">
      <w:pPr>
        <w:rPr>
          <w:rFonts w:hint="eastAsia" w:ascii="宋体" w:hAnsi="宋体" w:eastAsia="宋体" w:cs="宋体"/>
          <w:color w:val="auto"/>
          <w:sz w:val="21"/>
          <w:szCs w:val="21"/>
          <w:highlight w:val="none"/>
        </w:rPr>
      </w:pPr>
    </w:p>
    <w:p w14:paraId="74453A73">
      <w:pPr>
        <w:pStyle w:val="16"/>
        <w:rPr>
          <w:rFonts w:hint="eastAsia" w:ascii="宋体" w:hAnsi="宋体" w:eastAsia="宋体" w:cs="宋体"/>
          <w:color w:val="auto"/>
          <w:sz w:val="21"/>
          <w:szCs w:val="21"/>
          <w:highlight w:val="none"/>
        </w:rPr>
      </w:pPr>
    </w:p>
    <w:p w14:paraId="11680EB6">
      <w:pPr>
        <w:rPr>
          <w:rFonts w:hint="eastAsia" w:ascii="宋体" w:hAnsi="宋体" w:eastAsia="宋体" w:cs="宋体"/>
          <w:color w:val="auto"/>
          <w:sz w:val="21"/>
          <w:szCs w:val="21"/>
          <w:highlight w:val="none"/>
        </w:rPr>
      </w:pPr>
    </w:p>
    <w:p w14:paraId="542FAB08">
      <w:pPr>
        <w:pStyle w:val="16"/>
        <w:rPr>
          <w:rFonts w:hint="eastAsia" w:ascii="宋体" w:hAnsi="宋体" w:eastAsia="宋体" w:cs="宋体"/>
          <w:color w:val="auto"/>
          <w:sz w:val="21"/>
          <w:szCs w:val="21"/>
          <w:highlight w:val="none"/>
        </w:rPr>
      </w:pPr>
    </w:p>
    <w:p w14:paraId="1C88CBE6">
      <w:pPr>
        <w:rPr>
          <w:rFonts w:hint="eastAsia" w:ascii="宋体" w:hAnsi="宋体" w:eastAsia="宋体" w:cs="宋体"/>
          <w:color w:val="auto"/>
          <w:sz w:val="21"/>
          <w:szCs w:val="21"/>
          <w:highlight w:val="none"/>
        </w:rPr>
      </w:pPr>
    </w:p>
    <w:p w14:paraId="1BF82DA1">
      <w:pPr>
        <w:pStyle w:val="16"/>
        <w:rPr>
          <w:rFonts w:hint="eastAsia" w:ascii="宋体" w:hAnsi="宋体" w:eastAsia="宋体" w:cs="宋体"/>
          <w:color w:val="auto"/>
          <w:sz w:val="21"/>
          <w:szCs w:val="21"/>
          <w:highlight w:val="none"/>
        </w:rPr>
      </w:pPr>
    </w:p>
    <w:p w14:paraId="3249D46E">
      <w:pPr>
        <w:rPr>
          <w:rFonts w:hint="eastAsia" w:ascii="宋体" w:hAnsi="宋体" w:eastAsia="宋体" w:cs="宋体"/>
          <w:color w:val="auto"/>
          <w:sz w:val="21"/>
          <w:szCs w:val="21"/>
          <w:highlight w:val="none"/>
        </w:rPr>
      </w:pPr>
    </w:p>
    <w:p w14:paraId="714D1BC1">
      <w:pPr>
        <w:pStyle w:val="16"/>
        <w:rPr>
          <w:rFonts w:hint="eastAsia" w:ascii="宋体" w:hAnsi="宋体" w:eastAsia="宋体" w:cs="宋体"/>
          <w:color w:val="auto"/>
          <w:sz w:val="21"/>
          <w:szCs w:val="21"/>
          <w:highlight w:val="none"/>
        </w:rPr>
      </w:pPr>
    </w:p>
    <w:p w14:paraId="1B10A39D">
      <w:pPr>
        <w:rPr>
          <w:rFonts w:hint="eastAsia" w:ascii="宋体" w:hAnsi="宋体" w:eastAsia="宋体" w:cs="宋体"/>
          <w:color w:val="auto"/>
          <w:sz w:val="21"/>
          <w:szCs w:val="21"/>
          <w:highlight w:val="none"/>
        </w:rPr>
      </w:pPr>
    </w:p>
    <w:p w14:paraId="3DBEB9A5">
      <w:pPr>
        <w:pStyle w:val="16"/>
        <w:rPr>
          <w:rFonts w:hint="eastAsia" w:ascii="宋体" w:hAnsi="宋体" w:eastAsia="宋体" w:cs="宋体"/>
          <w:color w:val="auto"/>
          <w:sz w:val="21"/>
          <w:szCs w:val="21"/>
          <w:highlight w:val="none"/>
        </w:rPr>
      </w:pPr>
    </w:p>
    <w:p w14:paraId="4FEDF9B6">
      <w:pPr>
        <w:rPr>
          <w:rFonts w:hint="eastAsia" w:ascii="宋体" w:hAnsi="宋体" w:eastAsia="宋体" w:cs="宋体"/>
          <w:color w:val="auto"/>
          <w:sz w:val="21"/>
          <w:szCs w:val="21"/>
          <w:highlight w:val="none"/>
        </w:rPr>
      </w:pPr>
    </w:p>
    <w:p w14:paraId="1493FB25">
      <w:pPr>
        <w:rPr>
          <w:rFonts w:hint="eastAsia" w:ascii="宋体" w:hAnsi="宋体" w:eastAsia="宋体" w:cs="宋体"/>
          <w:b/>
          <w:bCs/>
          <w:color w:val="auto"/>
          <w:sz w:val="21"/>
          <w:szCs w:val="21"/>
          <w:highlight w:val="none"/>
          <w:lang w:eastAsia="zh-CN"/>
        </w:rPr>
      </w:pPr>
      <w:r>
        <w:rPr>
          <w:rFonts w:hint="eastAsia" w:ascii="宋体" w:hAnsi="宋体" w:eastAsia="宋体" w:cs="宋体"/>
          <w:b/>
          <w:bCs/>
          <w:color w:val="auto"/>
          <w:sz w:val="21"/>
          <w:szCs w:val="21"/>
          <w:highlight w:val="none"/>
          <w:lang w:eastAsia="zh-CN"/>
        </w:rPr>
        <w:br w:type="page"/>
      </w:r>
    </w:p>
    <w:p w14:paraId="111F5CD7">
      <w:pPr>
        <w:rPr>
          <w:rFonts w:hint="eastAsia" w:ascii="宋体" w:hAnsi="宋体" w:eastAsia="宋体" w:cs="宋体"/>
          <w:b/>
          <w:bCs/>
          <w:color w:val="auto"/>
          <w:sz w:val="21"/>
          <w:szCs w:val="21"/>
          <w:highlight w:val="none"/>
          <w:u w:val="single"/>
          <w:lang w:eastAsia="zh-CN"/>
        </w:rPr>
      </w:pPr>
      <w:r>
        <w:rPr>
          <w:rFonts w:hint="eastAsia" w:ascii="宋体" w:hAnsi="宋体" w:eastAsia="宋体" w:cs="宋体"/>
          <w:b/>
          <w:bCs/>
          <w:color w:val="auto"/>
          <w:sz w:val="21"/>
          <w:szCs w:val="21"/>
          <w:highlight w:val="none"/>
          <w:lang w:eastAsia="zh-CN"/>
        </w:rPr>
        <w:t>四、</w:t>
      </w:r>
      <w:r>
        <w:rPr>
          <w:rFonts w:hint="eastAsia" w:ascii="宋体" w:hAnsi="宋体" w:eastAsia="宋体" w:cs="宋体"/>
          <w:b/>
          <w:bCs/>
          <w:color w:val="auto"/>
          <w:sz w:val="21"/>
          <w:szCs w:val="21"/>
          <w:highlight w:val="none"/>
          <w:u w:val="single"/>
          <w:lang w:eastAsia="zh-CN"/>
        </w:rPr>
        <w:t>响应人需对以下常用配件进行预报价</w:t>
      </w:r>
    </w:p>
    <w:p w14:paraId="30D49D69">
      <w:pPr>
        <w:pStyle w:val="16"/>
        <w:rPr>
          <w:rFonts w:hint="eastAsia" w:ascii="宋体" w:hAnsi="宋体" w:eastAsia="宋体" w:cs="宋体"/>
          <w:color w:val="auto"/>
          <w:sz w:val="21"/>
          <w:szCs w:val="21"/>
          <w:highlight w:val="none"/>
        </w:rPr>
      </w:pPr>
    </w:p>
    <w:tbl>
      <w:tblPr>
        <w:tblStyle w:val="37"/>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93"/>
        <w:gridCol w:w="3760"/>
        <w:gridCol w:w="893"/>
        <w:gridCol w:w="2127"/>
        <w:gridCol w:w="849"/>
      </w:tblGrid>
      <w:tr w14:paraId="4E3A51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5000" w:type="pct"/>
            <w:gridSpan w:val="5"/>
            <w:tcBorders>
              <w:top w:val="single" w:color="000000" w:sz="4" w:space="0"/>
              <w:left w:val="single" w:color="000000" w:sz="4" w:space="0"/>
              <w:bottom w:val="single" w:color="000000" w:sz="4" w:space="0"/>
              <w:right w:val="single" w:color="000000" w:sz="4" w:space="0"/>
            </w:tcBorders>
            <w:noWrap/>
            <w:vAlign w:val="center"/>
          </w:tcPr>
          <w:p w14:paraId="178170EF">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 xml:space="preserve">      电梯常用配件清单</w:t>
            </w:r>
          </w:p>
        </w:tc>
      </w:tr>
      <w:tr w14:paraId="12CB76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2E1AFA0B">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序号</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4DFE61EC">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配件名称</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29CDDD7C">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单位</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25C0902E">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含税价（元）</w:t>
            </w: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6441546F">
            <w:pPr>
              <w:keepNext w:val="0"/>
              <w:keepLines w:val="0"/>
              <w:widowControl/>
              <w:suppressLineNumbers w:val="0"/>
              <w:jc w:val="left"/>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备注</w:t>
            </w:r>
          </w:p>
        </w:tc>
      </w:tr>
      <w:tr w14:paraId="4B69B9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6BE9AA6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642A4EE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轿厢照明</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6F43927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支</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25F260B4">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2429A472">
            <w:pPr>
              <w:rPr>
                <w:rFonts w:hint="eastAsia" w:ascii="宋体" w:hAnsi="宋体" w:eastAsia="宋体" w:cs="宋体"/>
                <w:i w:val="0"/>
                <w:iCs w:val="0"/>
                <w:color w:val="auto"/>
                <w:sz w:val="21"/>
                <w:szCs w:val="21"/>
                <w:highlight w:val="none"/>
                <w:u w:val="none"/>
              </w:rPr>
            </w:pPr>
          </w:p>
        </w:tc>
      </w:tr>
      <w:tr w14:paraId="77BE48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308374B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50263E3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继电器</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486DC12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561645E1">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114FD6C5">
            <w:pPr>
              <w:rPr>
                <w:rFonts w:hint="eastAsia" w:ascii="宋体" w:hAnsi="宋体" w:eastAsia="宋体" w:cs="宋体"/>
                <w:i w:val="0"/>
                <w:iCs w:val="0"/>
                <w:color w:val="auto"/>
                <w:sz w:val="21"/>
                <w:szCs w:val="21"/>
                <w:highlight w:val="none"/>
                <w:u w:val="none"/>
              </w:rPr>
            </w:pPr>
          </w:p>
        </w:tc>
      </w:tr>
      <w:tr w14:paraId="02A1F8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75CE5DF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4989C5C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层门自闭弹簧</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515AF75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条</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7EED6B3A">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2A2C8128">
            <w:pPr>
              <w:rPr>
                <w:rFonts w:hint="eastAsia" w:ascii="宋体" w:hAnsi="宋体" w:eastAsia="宋体" w:cs="宋体"/>
                <w:i w:val="0"/>
                <w:iCs w:val="0"/>
                <w:color w:val="auto"/>
                <w:sz w:val="21"/>
                <w:szCs w:val="21"/>
                <w:highlight w:val="none"/>
                <w:u w:val="none"/>
              </w:rPr>
            </w:pPr>
          </w:p>
        </w:tc>
      </w:tr>
      <w:tr w14:paraId="1F06E9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6100D45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218B143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层门锁</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3345E1C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套</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2D629A5B">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6A47BCC2">
            <w:pPr>
              <w:rPr>
                <w:rFonts w:hint="eastAsia" w:ascii="宋体" w:hAnsi="宋体" w:eastAsia="宋体" w:cs="宋体"/>
                <w:i w:val="0"/>
                <w:iCs w:val="0"/>
                <w:color w:val="auto"/>
                <w:sz w:val="21"/>
                <w:szCs w:val="21"/>
                <w:highlight w:val="none"/>
                <w:u w:val="none"/>
              </w:rPr>
            </w:pPr>
          </w:p>
        </w:tc>
      </w:tr>
      <w:tr w14:paraId="243F26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41ACDF6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2E01BDC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警铃</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6C0EF27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2FDB3253">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526E4C33">
            <w:pPr>
              <w:rPr>
                <w:rFonts w:hint="eastAsia" w:ascii="宋体" w:hAnsi="宋体" w:eastAsia="宋体" w:cs="宋体"/>
                <w:i w:val="0"/>
                <w:iCs w:val="0"/>
                <w:color w:val="auto"/>
                <w:sz w:val="21"/>
                <w:szCs w:val="21"/>
                <w:highlight w:val="none"/>
                <w:u w:val="none"/>
              </w:rPr>
            </w:pPr>
          </w:p>
        </w:tc>
      </w:tr>
      <w:tr w14:paraId="02F127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54584CD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01F00D7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对讲电话</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0763DE2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7610BC6D">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06D46218">
            <w:pPr>
              <w:rPr>
                <w:rFonts w:hint="eastAsia" w:ascii="宋体" w:hAnsi="宋体" w:eastAsia="宋体" w:cs="宋体"/>
                <w:i w:val="0"/>
                <w:iCs w:val="0"/>
                <w:color w:val="auto"/>
                <w:sz w:val="21"/>
                <w:szCs w:val="21"/>
                <w:highlight w:val="none"/>
                <w:u w:val="none"/>
              </w:rPr>
            </w:pPr>
          </w:p>
        </w:tc>
      </w:tr>
      <w:tr w14:paraId="16DA7C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1037319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7</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7C4942B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对讲副机</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250F5EC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69F6E48B">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394919FC">
            <w:pPr>
              <w:rPr>
                <w:rFonts w:hint="eastAsia" w:ascii="宋体" w:hAnsi="宋体" w:eastAsia="宋体" w:cs="宋体"/>
                <w:i w:val="0"/>
                <w:iCs w:val="0"/>
                <w:color w:val="auto"/>
                <w:sz w:val="21"/>
                <w:szCs w:val="21"/>
                <w:highlight w:val="none"/>
                <w:u w:val="none"/>
              </w:rPr>
            </w:pPr>
          </w:p>
        </w:tc>
      </w:tr>
      <w:tr w14:paraId="285064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30B7AD5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8</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5B2CFA9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应急电源</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0AA8EF9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6377B0ED">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7EC38D1D">
            <w:pPr>
              <w:rPr>
                <w:rFonts w:hint="eastAsia" w:ascii="宋体" w:hAnsi="宋体" w:eastAsia="宋体" w:cs="宋体"/>
                <w:i w:val="0"/>
                <w:iCs w:val="0"/>
                <w:color w:val="auto"/>
                <w:sz w:val="21"/>
                <w:szCs w:val="21"/>
                <w:highlight w:val="none"/>
                <w:u w:val="none"/>
              </w:rPr>
            </w:pPr>
          </w:p>
        </w:tc>
      </w:tr>
      <w:tr w14:paraId="6C21CF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25340DA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9</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3E0940E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限位开关</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46E600F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67C55BBF">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149ABA24">
            <w:pPr>
              <w:rPr>
                <w:rFonts w:hint="eastAsia" w:ascii="宋体" w:hAnsi="宋体" w:eastAsia="宋体" w:cs="宋体"/>
                <w:i w:val="0"/>
                <w:iCs w:val="0"/>
                <w:color w:val="auto"/>
                <w:sz w:val="21"/>
                <w:szCs w:val="21"/>
                <w:highlight w:val="none"/>
                <w:u w:val="none"/>
              </w:rPr>
            </w:pPr>
          </w:p>
        </w:tc>
      </w:tr>
      <w:tr w14:paraId="352627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0343705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68FE9FB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UK开关</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7492E0E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3FEAF2A7">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496F2A8E">
            <w:pPr>
              <w:rPr>
                <w:rFonts w:hint="eastAsia" w:ascii="宋体" w:hAnsi="宋体" w:eastAsia="宋体" w:cs="宋体"/>
                <w:i w:val="0"/>
                <w:iCs w:val="0"/>
                <w:color w:val="auto"/>
                <w:sz w:val="21"/>
                <w:szCs w:val="21"/>
                <w:highlight w:val="none"/>
                <w:u w:val="none"/>
              </w:rPr>
            </w:pPr>
          </w:p>
        </w:tc>
      </w:tr>
      <w:tr w14:paraId="65F9BD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5FFCBA9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11</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4594BFD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应急照明</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2463FC2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221014C7">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3983FA6B">
            <w:pPr>
              <w:rPr>
                <w:rFonts w:hint="eastAsia" w:ascii="宋体" w:hAnsi="宋体" w:eastAsia="宋体" w:cs="宋体"/>
                <w:i w:val="0"/>
                <w:iCs w:val="0"/>
                <w:color w:val="auto"/>
                <w:sz w:val="21"/>
                <w:szCs w:val="21"/>
                <w:highlight w:val="none"/>
                <w:u w:val="none"/>
              </w:rPr>
            </w:pPr>
          </w:p>
        </w:tc>
      </w:tr>
      <w:tr w14:paraId="542AEE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4BDC823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301BFD5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门机皮带</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6168670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条</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0839AA98">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7F404982">
            <w:pPr>
              <w:rPr>
                <w:rFonts w:hint="eastAsia" w:ascii="宋体" w:hAnsi="宋体" w:eastAsia="宋体" w:cs="宋体"/>
                <w:i w:val="0"/>
                <w:iCs w:val="0"/>
                <w:color w:val="auto"/>
                <w:sz w:val="21"/>
                <w:szCs w:val="21"/>
                <w:highlight w:val="none"/>
                <w:u w:val="none"/>
              </w:rPr>
            </w:pPr>
          </w:p>
        </w:tc>
      </w:tr>
      <w:tr w14:paraId="701239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681304D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13</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12890B7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按钮</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55A1EEB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7CC24DEB">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61032510">
            <w:pPr>
              <w:rPr>
                <w:rFonts w:hint="eastAsia" w:ascii="宋体" w:hAnsi="宋体" w:eastAsia="宋体" w:cs="宋体"/>
                <w:i w:val="0"/>
                <w:iCs w:val="0"/>
                <w:color w:val="auto"/>
                <w:sz w:val="21"/>
                <w:szCs w:val="21"/>
                <w:highlight w:val="none"/>
                <w:u w:val="none"/>
              </w:rPr>
            </w:pPr>
          </w:p>
        </w:tc>
      </w:tr>
      <w:tr w14:paraId="1F0D69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793A439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14</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7A8CFD0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轿厢靴寸</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0412777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块</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43EA0109">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5A33C04F">
            <w:pPr>
              <w:rPr>
                <w:rFonts w:hint="eastAsia" w:ascii="宋体" w:hAnsi="宋体" w:eastAsia="宋体" w:cs="宋体"/>
                <w:i w:val="0"/>
                <w:iCs w:val="0"/>
                <w:color w:val="auto"/>
                <w:sz w:val="21"/>
                <w:szCs w:val="21"/>
                <w:highlight w:val="none"/>
                <w:u w:val="none"/>
              </w:rPr>
            </w:pPr>
          </w:p>
        </w:tc>
      </w:tr>
      <w:tr w14:paraId="6CFC64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0F47A0A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15</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2425F73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急停开关</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5C079AE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52304FFC">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23188DF6">
            <w:pPr>
              <w:rPr>
                <w:rFonts w:hint="eastAsia" w:ascii="宋体" w:hAnsi="宋体" w:eastAsia="宋体" w:cs="宋体"/>
                <w:i w:val="0"/>
                <w:iCs w:val="0"/>
                <w:color w:val="auto"/>
                <w:sz w:val="21"/>
                <w:szCs w:val="21"/>
                <w:highlight w:val="none"/>
                <w:u w:val="none"/>
              </w:rPr>
            </w:pPr>
          </w:p>
        </w:tc>
      </w:tr>
      <w:tr w14:paraId="717C5E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6DE9684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16</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3C13285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遥控站</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6A6F5B2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096387F4">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3B7FA3F6">
            <w:pPr>
              <w:rPr>
                <w:rFonts w:hint="eastAsia" w:ascii="宋体" w:hAnsi="宋体" w:eastAsia="宋体" w:cs="宋体"/>
                <w:i w:val="0"/>
                <w:iCs w:val="0"/>
                <w:color w:val="auto"/>
                <w:sz w:val="21"/>
                <w:szCs w:val="21"/>
                <w:highlight w:val="none"/>
                <w:u w:val="none"/>
              </w:rPr>
            </w:pPr>
          </w:p>
        </w:tc>
      </w:tr>
      <w:tr w14:paraId="48CFF8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5BEA70F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17</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7625937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厅门，轿门滑块</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73E3DA6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块</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349D4B18">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379E7FA1">
            <w:pPr>
              <w:rPr>
                <w:rFonts w:hint="eastAsia" w:ascii="宋体" w:hAnsi="宋体" w:eastAsia="宋体" w:cs="宋体"/>
                <w:i w:val="0"/>
                <w:iCs w:val="0"/>
                <w:color w:val="auto"/>
                <w:sz w:val="21"/>
                <w:szCs w:val="21"/>
                <w:highlight w:val="none"/>
                <w:u w:val="none"/>
              </w:rPr>
            </w:pPr>
          </w:p>
        </w:tc>
      </w:tr>
      <w:tr w14:paraId="1CA81D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320F098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18</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57F0CE9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接触器</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1813B38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65B51E7A">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6D77ADC1">
            <w:pPr>
              <w:rPr>
                <w:rFonts w:hint="eastAsia" w:ascii="宋体" w:hAnsi="宋体" w:eastAsia="宋体" w:cs="宋体"/>
                <w:i w:val="0"/>
                <w:iCs w:val="0"/>
                <w:color w:val="auto"/>
                <w:sz w:val="21"/>
                <w:szCs w:val="21"/>
                <w:highlight w:val="none"/>
                <w:u w:val="none"/>
              </w:rPr>
            </w:pPr>
          </w:p>
        </w:tc>
      </w:tr>
      <w:tr w14:paraId="67E615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17B1B5C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19</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1EC2E1F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抱闸同步开关</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5EC96BA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52416AE2">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6D499185">
            <w:pPr>
              <w:rPr>
                <w:rFonts w:hint="eastAsia" w:ascii="宋体" w:hAnsi="宋体" w:eastAsia="宋体" w:cs="宋体"/>
                <w:i w:val="0"/>
                <w:iCs w:val="0"/>
                <w:color w:val="auto"/>
                <w:sz w:val="21"/>
                <w:szCs w:val="21"/>
                <w:highlight w:val="none"/>
                <w:u w:val="none"/>
              </w:rPr>
            </w:pPr>
          </w:p>
        </w:tc>
      </w:tr>
      <w:tr w14:paraId="1ADF76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3C0F581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564F259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油杯</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1301F5B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0C749093">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61B49528">
            <w:pPr>
              <w:rPr>
                <w:rFonts w:hint="eastAsia" w:ascii="宋体" w:hAnsi="宋体" w:eastAsia="宋体" w:cs="宋体"/>
                <w:i w:val="0"/>
                <w:iCs w:val="0"/>
                <w:color w:val="auto"/>
                <w:sz w:val="21"/>
                <w:szCs w:val="21"/>
                <w:highlight w:val="none"/>
                <w:u w:val="none"/>
              </w:rPr>
            </w:pPr>
          </w:p>
        </w:tc>
      </w:tr>
      <w:tr w14:paraId="5FC6D1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76CB8EF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21</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65BA16F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井道照明灯</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4646380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3995D71B">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69258851">
            <w:pPr>
              <w:rPr>
                <w:rFonts w:hint="eastAsia" w:ascii="宋体" w:hAnsi="宋体" w:eastAsia="宋体" w:cs="宋体"/>
                <w:i w:val="0"/>
                <w:iCs w:val="0"/>
                <w:color w:val="auto"/>
                <w:sz w:val="21"/>
                <w:szCs w:val="21"/>
                <w:highlight w:val="none"/>
                <w:u w:val="none"/>
              </w:rPr>
            </w:pPr>
          </w:p>
        </w:tc>
      </w:tr>
      <w:tr w14:paraId="36AB53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32B0F40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22</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6DAB084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变频器维修</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2C4BFCC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台</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1FA933C4">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03E1D550">
            <w:pPr>
              <w:jc w:val="center"/>
              <w:rPr>
                <w:rFonts w:hint="eastAsia" w:ascii="宋体" w:hAnsi="宋体" w:eastAsia="宋体" w:cs="宋体"/>
                <w:i w:val="0"/>
                <w:iCs w:val="0"/>
                <w:color w:val="auto"/>
                <w:sz w:val="21"/>
                <w:szCs w:val="21"/>
                <w:highlight w:val="none"/>
                <w:u w:val="none"/>
              </w:rPr>
            </w:pPr>
          </w:p>
        </w:tc>
      </w:tr>
      <w:tr w14:paraId="16A392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021D9F6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23</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5142A66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光幕</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34B076A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套</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45DEA65D">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7427DCCA">
            <w:pPr>
              <w:jc w:val="center"/>
              <w:rPr>
                <w:rFonts w:hint="eastAsia" w:ascii="宋体" w:hAnsi="宋体" w:eastAsia="宋体" w:cs="宋体"/>
                <w:i w:val="0"/>
                <w:iCs w:val="0"/>
                <w:color w:val="auto"/>
                <w:sz w:val="21"/>
                <w:szCs w:val="21"/>
                <w:highlight w:val="none"/>
                <w:u w:val="none"/>
              </w:rPr>
            </w:pPr>
          </w:p>
        </w:tc>
      </w:tr>
      <w:tr w14:paraId="68B6F8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124CF25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24</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7D65BB1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返绳轮</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67BC91B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4B858284">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7ABE6691">
            <w:pPr>
              <w:jc w:val="center"/>
              <w:rPr>
                <w:rFonts w:hint="eastAsia" w:ascii="宋体" w:hAnsi="宋体" w:eastAsia="宋体" w:cs="宋体"/>
                <w:i w:val="0"/>
                <w:iCs w:val="0"/>
                <w:color w:val="auto"/>
                <w:sz w:val="21"/>
                <w:szCs w:val="21"/>
                <w:highlight w:val="none"/>
                <w:u w:val="none"/>
              </w:rPr>
            </w:pPr>
          </w:p>
        </w:tc>
      </w:tr>
      <w:tr w14:paraId="18CB3A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3791E22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25</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00AADCB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轿厢通讯板</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7CA50E3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块</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75141248">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3F904C7E">
            <w:pPr>
              <w:jc w:val="center"/>
              <w:rPr>
                <w:rFonts w:hint="eastAsia" w:ascii="宋体" w:hAnsi="宋体" w:eastAsia="宋体" w:cs="宋体"/>
                <w:i w:val="0"/>
                <w:iCs w:val="0"/>
                <w:color w:val="auto"/>
                <w:sz w:val="21"/>
                <w:szCs w:val="21"/>
                <w:highlight w:val="none"/>
                <w:u w:val="none"/>
              </w:rPr>
            </w:pPr>
          </w:p>
        </w:tc>
      </w:tr>
      <w:tr w14:paraId="16C335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36984F5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26</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2623DD2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轿厢内呼指令板</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419E883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块</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5C340A22">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5185E0D6">
            <w:pPr>
              <w:jc w:val="center"/>
              <w:rPr>
                <w:rFonts w:hint="eastAsia" w:ascii="宋体" w:hAnsi="宋体" w:eastAsia="宋体" w:cs="宋体"/>
                <w:i w:val="0"/>
                <w:iCs w:val="0"/>
                <w:color w:val="auto"/>
                <w:sz w:val="21"/>
                <w:szCs w:val="21"/>
                <w:highlight w:val="none"/>
                <w:u w:val="none"/>
              </w:rPr>
            </w:pPr>
          </w:p>
        </w:tc>
      </w:tr>
      <w:tr w14:paraId="49FA46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7CFA546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27</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286A4E6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主机编码器</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7E75809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1D400A4B">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4EC78D43">
            <w:pPr>
              <w:jc w:val="center"/>
              <w:rPr>
                <w:rFonts w:hint="eastAsia" w:ascii="宋体" w:hAnsi="宋体" w:eastAsia="宋体" w:cs="宋体"/>
                <w:i w:val="0"/>
                <w:iCs w:val="0"/>
                <w:color w:val="auto"/>
                <w:sz w:val="21"/>
                <w:szCs w:val="21"/>
                <w:highlight w:val="none"/>
                <w:u w:val="none"/>
              </w:rPr>
            </w:pPr>
          </w:p>
        </w:tc>
      </w:tr>
      <w:tr w14:paraId="2490E7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529CD54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28</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264985C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液晶外呼板</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7A16370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块</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7A4EA5AC">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3ED36371">
            <w:pPr>
              <w:jc w:val="center"/>
              <w:rPr>
                <w:rFonts w:hint="eastAsia" w:ascii="宋体" w:hAnsi="宋体" w:eastAsia="宋体" w:cs="宋体"/>
                <w:i w:val="0"/>
                <w:iCs w:val="0"/>
                <w:color w:val="auto"/>
                <w:sz w:val="21"/>
                <w:szCs w:val="21"/>
                <w:highlight w:val="none"/>
                <w:u w:val="none"/>
              </w:rPr>
            </w:pPr>
          </w:p>
        </w:tc>
      </w:tr>
      <w:tr w14:paraId="57ACB7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146D7CA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29</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72CBEE4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聚氨酯缓冲器（大）</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6D80ABB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75DC384E">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38829578">
            <w:pPr>
              <w:jc w:val="center"/>
              <w:rPr>
                <w:rFonts w:hint="eastAsia" w:ascii="宋体" w:hAnsi="宋体" w:eastAsia="宋体" w:cs="宋体"/>
                <w:i w:val="0"/>
                <w:iCs w:val="0"/>
                <w:color w:val="auto"/>
                <w:sz w:val="21"/>
                <w:szCs w:val="21"/>
                <w:highlight w:val="none"/>
                <w:u w:val="none"/>
              </w:rPr>
            </w:pPr>
          </w:p>
        </w:tc>
      </w:tr>
      <w:tr w14:paraId="7EC512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52C23AC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213F217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聚氨酯缓冲器（小）</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5A2BC3B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55868561">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23B18A85">
            <w:pPr>
              <w:jc w:val="center"/>
              <w:rPr>
                <w:rFonts w:hint="eastAsia" w:ascii="宋体" w:hAnsi="宋体" w:eastAsia="宋体" w:cs="宋体"/>
                <w:i w:val="0"/>
                <w:iCs w:val="0"/>
                <w:color w:val="auto"/>
                <w:sz w:val="21"/>
                <w:szCs w:val="21"/>
                <w:highlight w:val="none"/>
                <w:u w:val="none"/>
              </w:rPr>
            </w:pPr>
          </w:p>
        </w:tc>
      </w:tr>
      <w:tr w14:paraId="58A0C7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7F94D00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31</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60BFF1C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补偿链导向装置</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73B5279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套</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38FB95F0">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6B5857A3">
            <w:pPr>
              <w:jc w:val="center"/>
              <w:rPr>
                <w:rFonts w:hint="eastAsia" w:ascii="宋体" w:hAnsi="宋体" w:eastAsia="宋体" w:cs="宋体"/>
                <w:i w:val="0"/>
                <w:iCs w:val="0"/>
                <w:color w:val="auto"/>
                <w:sz w:val="21"/>
                <w:szCs w:val="21"/>
                <w:highlight w:val="none"/>
                <w:u w:val="none"/>
              </w:rPr>
            </w:pPr>
          </w:p>
        </w:tc>
      </w:tr>
      <w:tr w14:paraId="333814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196A422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32</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22C0EBE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轿厢显示板</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7850FFE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块</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416FF559">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1E593EEE">
            <w:pPr>
              <w:jc w:val="center"/>
              <w:rPr>
                <w:rFonts w:hint="eastAsia" w:ascii="宋体" w:hAnsi="宋体" w:eastAsia="宋体" w:cs="宋体"/>
                <w:i w:val="0"/>
                <w:iCs w:val="0"/>
                <w:color w:val="auto"/>
                <w:sz w:val="21"/>
                <w:szCs w:val="21"/>
                <w:highlight w:val="none"/>
                <w:u w:val="none"/>
              </w:rPr>
            </w:pPr>
          </w:p>
        </w:tc>
      </w:tr>
      <w:tr w14:paraId="248DD7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19EAF33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33</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3500D7E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无线对讲系统</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2E1DAD8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套</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1FC82C94">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223321A0">
            <w:pPr>
              <w:jc w:val="center"/>
              <w:rPr>
                <w:rFonts w:hint="eastAsia" w:ascii="宋体" w:hAnsi="宋体" w:eastAsia="宋体" w:cs="宋体"/>
                <w:i w:val="0"/>
                <w:iCs w:val="0"/>
                <w:color w:val="auto"/>
                <w:sz w:val="21"/>
                <w:szCs w:val="21"/>
                <w:highlight w:val="none"/>
                <w:u w:val="none"/>
              </w:rPr>
            </w:pPr>
          </w:p>
        </w:tc>
      </w:tr>
      <w:tr w14:paraId="3E9630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0C1A748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34</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52A87B9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裁短钢丝绳</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0CC4635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台</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224D3F5D">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5E7F9A5A">
            <w:pPr>
              <w:jc w:val="center"/>
              <w:rPr>
                <w:rFonts w:hint="eastAsia" w:ascii="宋体" w:hAnsi="宋体" w:eastAsia="宋体" w:cs="宋体"/>
                <w:i w:val="0"/>
                <w:iCs w:val="0"/>
                <w:color w:val="auto"/>
                <w:sz w:val="21"/>
                <w:szCs w:val="21"/>
                <w:highlight w:val="none"/>
                <w:u w:val="none"/>
              </w:rPr>
            </w:pPr>
          </w:p>
        </w:tc>
      </w:tr>
      <w:tr w14:paraId="175FDD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1316539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35</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06BFC6A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10厘钢丝绳</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19E7345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米</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6D77472F">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49101F47">
            <w:pPr>
              <w:jc w:val="center"/>
              <w:rPr>
                <w:rFonts w:hint="eastAsia" w:ascii="宋体" w:hAnsi="宋体" w:eastAsia="宋体" w:cs="宋体"/>
                <w:i w:val="0"/>
                <w:iCs w:val="0"/>
                <w:color w:val="auto"/>
                <w:sz w:val="21"/>
                <w:szCs w:val="21"/>
                <w:highlight w:val="none"/>
                <w:u w:val="none"/>
              </w:rPr>
            </w:pPr>
          </w:p>
        </w:tc>
      </w:tr>
      <w:tr w14:paraId="0636CD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201F6AC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36</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0A05260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8厘钢丝绳</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3E1D3EF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米</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6975A08A">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4CD55742">
            <w:pPr>
              <w:jc w:val="center"/>
              <w:rPr>
                <w:rFonts w:hint="eastAsia" w:ascii="宋体" w:hAnsi="宋体" w:eastAsia="宋体" w:cs="宋体"/>
                <w:i w:val="0"/>
                <w:iCs w:val="0"/>
                <w:color w:val="auto"/>
                <w:sz w:val="21"/>
                <w:szCs w:val="21"/>
                <w:highlight w:val="none"/>
                <w:u w:val="none"/>
              </w:rPr>
            </w:pPr>
          </w:p>
        </w:tc>
      </w:tr>
      <w:tr w14:paraId="356742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7A57C43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37</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08B4CA3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门机编码器</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6821885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块</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4D70E040">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2013759D">
            <w:pPr>
              <w:jc w:val="center"/>
              <w:rPr>
                <w:rFonts w:hint="eastAsia" w:ascii="宋体" w:hAnsi="宋体" w:eastAsia="宋体" w:cs="宋体"/>
                <w:i w:val="0"/>
                <w:iCs w:val="0"/>
                <w:color w:val="auto"/>
                <w:sz w:val="21"/>
                <w:szCs w:val="21"/>
                <w:highlight w:val="none"/>
                <w:u w:val="none"/>
              </w:rPr>
            </w:pPr>
          </w:p>
        </w:tc>
      </w:tr>
      <w:tr w14:paraId="39B97D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647FDBB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38</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0243337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门机变频器</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5B031D2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套</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75351DA3">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42BB5A2E">
            <w:pPr>
              <w:jc w:val="center"/>
              <w:rPr>
                <w:rFonts w:hint="eastAsia" w:ascii="宋体" w:hAnsi="宋体" w:eastAsia="宋体" w:cs="宋体"/>
                <w:i w:val="0"/>
                <w:iCs w:val="0"/>
                <w:color w:val="auto"/>
                <w:sz w:val="21"/>
                <w:szCs w:val="21"/>
                <w:highlight w:val="none"/>
                <w:u w:val="none"/>
              </w:rPr>
            </w:pPr>
          </w:p>
        </w:tc>
      </w:tr>
      <w:tr w14:paraId="7011C0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68AB5CE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39</w:t>
            </w:r>
          </w:p>
        </w:tc>
        <w:tc>
          <w:tcPr>
            <w:tcW w:w="2206" w:type="pct"/>
            <w:tcBorders>
              <w:top w:val="single" w:color="000000" w:sz="4" w:space="0"/>
              <w:left w:val="single" w:color="000000" w:sz="4" w:space="0"/>
              <w:bottom w:val="single" w:color="000000" w:sz="4" w:space="0"/>
              <w:right w:val="single" w:color="000000" w:sz="4" w:space="0"/>
            </w:tcBorders>
            <w:noWrap w:val="0"/>
            <w:vAlign w:val="center"/>
          </w:tcPr>
          <w:p w14:paraId="6DB99B0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控制柜接触器                    （主接触器、抱闸接触器）</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2A26E43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件</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28E6579F">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41AB2252">
            <w:pPr>
              <w:jc w:val="center"/>
              <w:rPr>
                <w:rFonts w:hint="eastAsia" w:ascii="宋体" w:hAnsi="宋体" w:eastAsia="宋体" w:cs="宋体"/>
                <w:i w:val="0"/>
                <w:iCs w:val="0"/>
                <w:color w:val="auto"/>
                <w:sz w:val="21"/>
                <w:szCs w:val="21"/>
                <w:highlight w:val="none"/>
                <w:u w:val="none"/>
              </w:rPr>
            </w:pPr>
          </w:p>
        </w:tc>
      </w:tr>
      <w:tr w14:paraId="3D59F2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7DE350D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40</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0DAC362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涨紧轮装置</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135744E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套</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70BF465B">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47CFC64A">
            <w:pPr>
              <w:jc w:val="center"/>
              <w:rPr>
                <w:rFonts w:hint="eastAsia" w:ascii="宋体" w:hAnsi="宋体" w:eastAsia="宋体" w:cs="宋体"/>
                <w:i w:val="0"/>
                <w:iCs w:val="0"/>
                <w:color w:val="auto"/>
                <w:sz w:val="21"/>
                <w:szCs w:val="21"/>
                <w:highlight w:val="none"/>
                <w:u w:val="none"/>
              </w:rPr>
            </w:pPr>
          </w:p>
        </w:tc>
      </w:tr>
      <w:tr w14:paraId="54EA2C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54A7CE2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41</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543EED8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层门，轿门挂板</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16FB3C1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块</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43179A19">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28F58CE8">
            <w:pPr>
              <w:jc w:val="center"/>
              <w:rPr>
                <w:rFonts w:hint="eastAsia" w:ascii="宋体" w:hAnsi="宋体" w:eastAsia="宋体" w:cs="宋体"/>
                <w:i w:val="0"/>
                <w:iCs w:val="0"/>
                <w:color w:val="auto"/>
                <w:sz w:val="21"/>
                <w:szCs w:val="21"/>
                <w:highlight w:val="none"/>
                <w:u w:val="none"/>
              </w:rPr>
            </w:pPr>
          </w:p>
        </w:tc>
      </w:tr>
      <w:tr w14:paraId="52CFE5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0BC21EA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42</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7D389E5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抱闸制动器</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21D4105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套</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7D74C6F2">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5A6485BD">
            <w:pPr>
              <w:jc w:val="center"/>
              <w:rPr>
                <w:rFonts w:hint="eastAsia" w:ascii="宋体" w:hAnsi="宋体" w:eastAsia="宋体" w:cs="宋体"/>
                <w:i w:val="0"/>
                <w:iCs w:val="0"/>
                <w:color w:val="auto"/>
                <w:sz w:val="21"/>
                <w:szCs w:val="21"/>
                <w:highlight w:val="none"/>
                <w:u w:val="none"/>
              </w:rPr>
            </w:pPr>
          </w:p>
        </w:tc>
      </w:tr>
      <w:tr w14:paraId="46E766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12E8507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43</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706AA57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轿顶检修盒</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3CD6EAE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套</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2B123F44">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6B166147">
            <w:pPr>
              <w:jc w:val="center"/>
              <w:rPr>
                <w:rFonts w:hint="eastAsia" w:ascii="宋体" w:hAnsi="宋体" w:eastAsia="宋体" w:cs="宋体"/>
                <w:i w:val="0"/>
                <w:iCs w:val="0"/>
                <w:color w:val="auto"/>
                <w:sz w:val="21"/>
                <w:szCs w:val="21"/>
                <w:highlight w:val="none"/>
                <w:u w:val="none"/>
              </w:rPr>
            </w:pPr>
          </w:p>
        </w:tc>
      </w:tr>
      <w:tr w14:paraId="7C7EBC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737B81D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44</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34E79C1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底坑检修盒</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09EECFD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套</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55CFD61A">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6BEFAC34">
            <w:pPr>
              <w:jc w:val="center"/>
              <w:rPr>
                <w:rFonts w:hint="eastAsia" w:ascii="宋体" w:hAnsi="宋体" w:eastAsia="宋体" w:cs="宋体"/>
                <w:i w:val="0"/>
                <w:iCs w:val="0"/>
                <w:color w:val="auto"/>
                <w:sz w:val="21"/>
                <w:szCs w:val="21"/>
                <w:highlight w:val="none"/>
                <w:u w:val="none"/>
              </w:rPr>
            </w:pPr>
          </w:p>
        </w:tc>
      </w:tr>
      <w:tr w14:paraId="4711D2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37A33BA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45</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566F983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平层感应器</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0619171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7793158C">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0E5E18BC">
            <w:pPr>
              <w:jc w:val="center"/>
              <w:rPr>
                <w:rFonts w:hint="eastAsia" w:ascii="宋体" w:hAnsi="宋体" w:eastAsia="宋体" w:cs="宋体"/>
                <w:i w:val="0"/>
                <w:iCs w:val="0"/>
                <w:color w:val="auto"/>
                <w:sz w:val="21"/>
                <w:szCs w:val="21"/>
                <w:highlight w:val="none"/>
                <w:u w:val="none"/>
              </w:rPr>
            </w:pPr>
          </w:p>
        </w:tc>
      </w:tr>
      <w:tr w14:paraId="381684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56DFDD2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46</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41B61C1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对重块</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6B6B304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块</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3985529B">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1D9AD530">
            <w:pPr>
              <w:jc w:val="center"/>
              <w:rPr>
                <w:rFonts w:hint="eastAsia" w:ascii="宋体" w:hAnsi="宋体" w:eastAsia="宋体" w:cs="宋体"/>
                <w:i w:val="0"/>
                <w:iCs w:val="0"/>
                <w:color w:val="auto"/>
                <w:sz w:val="21"/>
                <w:szCs w:val="21"/>
                <w:highlight w:val="none"/>
                <w:u w:val="none"/>
              </w:rPr>
            </w:pPr>
          </w:p>
        </w:tc>
      </w:tr>
      <w:tr w14:paraId="0F5AFD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39359A9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47</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4D88ED3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对重导靴</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1A43C21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块</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4E4D2931">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67E80ECD">
            <w:pPr>
              <w:jc w:val="center"/>
              <w:rPr>
                <w:rFonts w:hint="eastAsia" w:ascii="宋体" w:hAnsi="宋体" w:eastAsia="宋体" w:cs="宋体"/>
                <w:i w:val="0"/>
                <w:iCs w:val="0"/>
                <w:color w:val="auto"/>
                <w:sz w:val="21"/>
                <w:szCs w:val="21"/>
                <w:highlight w:val="none"/>
                <w:u w:val="none"/>
              </w:rPr>
            </w:pPr>
          </w:p>
        </w:tc>
      </w:tr>
      <w:tr w14:paraId="7F2BDF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21F21BE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48</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5D9721F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层门自闭弹簧</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778C2C7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条</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072C2079">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422733CC">
            <w:pPr>
              <w:rPr>
                <w:rFonts w:hint="eastAsia" w:ascii="宋体" w:hAnsi="宋体" w:eastAsia="宋体" w:cs="宋体"/>
                <w:i w:val="0"/>
                <w:iCs w:val="0"/>
                <w:color w:val="auto"/>
                <w:sz w:val="21"/>
                <w:szCs w:val="21"/>
                <w:highlight w:val="none"/>
                <w:u w:val="none"/>
              </w:rPr>
            </w:pPr>
          </w:p>
        </w:tc>
      </w:tr>
    </w:tbl>
    <w:p w14:paraId="3306068A">
      <w:pPr>
        <w:rPr>
          <w:rFonts w:hint="eastAsia" w:ascii="宋体" w:hAnsi="宋体" w:eastAsia="宋体" w:cs="宋体"/>
          <w:color w:val="auto"/>
          <w:sz w:val="21"/>
          <w:szCs w:val="21"/>
          <w:highlight w:val="none"/>
        </w:rPr>
      </w:pPr>
    </w:p>
    <w:p w14:paraId="137271AF">
      <w:pPr>
        <w:pStyle w:val="16"/>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w:t>
      </w:r>
      <w:r>
        <w:rPr>
          <w:rFonts w:hint="eastAsia" w:ascii="宋体" w:hAnsi="宋体" w:cs="宋体"/>
          <w:b/>
          <w:bCs/>
          <w:color w:val="auto"/>
          <w:sz w:val="21"/>
          <w:szCs w:val="21"/>
          <w:highlight w:val="none"/>
          <w:lang w:eastAsia="zh-CN"/>
        </w:rPr>
        <w:t>注：本配件价格不计入本项目价格评比，仅在维修时比价使用</w:t>
      </w:r>
      <w:r>
        <w:rPr>
          <w:rFonts w:hint="eastAsia" w:ascii="宋体" w:hAnsi="宋体" w:cs="宋体"/>
          <w:color w:val="auto"/>
          <w:sz w:val="21"/>
          <w:szCs w:val="21"/>
          <w:highlight w:val="none"/>
          <w:lang w:eastAsia="zh-CN"/>
        </w:rPr>
        <w:t>）</w:t>
      </w:r>
    </w:p>
    <w:p w14:paraId="60B364D2">
      <w:pPr>
        <w:rPr>
          <w:rFonts w:hint="eastAsia" w:ascii="宋体" w:hAnsi="宋体" w:eastAsia="宋体" w:cs="宋体"/>
          <w:color w:val="auto"/>
          <w:sz w:val="21"/>
          <w:szCs w:val="21"/>
          <w:highlight w:val="none"/>
        </w:rPr>
      </w:pPr>
    </w:p>
    <w:p w14:paraId="5728C9FB">
      <w:pPr>
        <w:pStyle w:val="16"/>
        <w:rPr>
          <w:rFonts w:hint="eastAsia" w:ascii="宋体" w:hAnsi="宋体" w:eastAsia="宋体" w:cs="宋体"/>
          <w:color w:val="auto"/>
          <w:sz w:val="21"/>
          <w:szCs w:val="21"/>
          <w:highlight w:val="none"/>
        </w:rPr>
      </w:pPr>
    </w:p>
    <w:p w14:paraId="333ABD43">
      <w:pPr>
        <w:rPr>
          <w:rFonts w:hint="eastAsia" w:ascii="宋体" w:hAnsi="宋体" w:eastAsia="宋体" w:cs="宋体"/>
          <w:color w:val="auto"/>
          <w:sz w:val="21"/>
          <w:szCs w:val="21"/>
          <w:highlight w:val="none"/>
        </w:rPr>
      </w:pPr>
    </w:p>
    <w:p w14:paraId="2B2CD42B">
      <w:pPr>
        <w:pStyle w:val="16"/>
        <w:rPr>
          <w:rFonts w:hint="eastAsia" w:ascii="宋体" w:hAnsi="宋体" w:eastAsia="宋体" w:cs="宋体"/>
          <w:color w:val="auto"/>
          <w:sz w:val="21"/>
          <w:szCs w:val="21"/>
          <w:highlight w:val="none"/>
        </w:rPr>
      </w:pPr>
    </w:p>
    <w:p w14:paraId="34191196">
      <w:pPr>
        <w:rPr>
          <w:rFonts w:hint="eastAsia" w:ascii="宋体" w:hAnsi="宋体" w:eastAsia="宋体" w:cs="宋体"/>
          <w:color w:val="auto"/>
          <w:sz w:val="21"/>
          <w:szCs w:val="21"/>
          <w:highlight w:val="none"/>
        </w:rPr>
      </w:pPr>
    </w:p>
    <w:p w14:paraId="002B6553">
      <w:pPr>
        <w:pStyle w:val="16"/>
        <w:rPr>
          <w:rFonts w:hint="eastAsia" w:ascii="宋体" w:hAnsi="宋体" w:eastAsia="宋体" w:cs="宋体"/>
          <w:color w:val="auto"/>
          <w:sz w:val="21"/>
          <w:szCs w:val="21"/>
          <w:highlight w:val="none"/>
        </w:rPr>
      </w:pPr>
    </w:p>
    <w:p w14:paraId="4717E789">
      <w:pPr>
        <w:rPr>
          <w:rFonts w:hint="eastAsia" w:ascii="宋体" w:hAnsi="宋体" w:eastAsia="宋体" w:cs="宋体"/>
          <w:color w:val="auto"/>
          <w:sz w:val="21"/>
          <w:szCs w:val="21"/>
          <w:highlight w:val="none"/>
        </w:rPr>
      </w:pPr>
    </w:p>
    <w:p w14:paraId="00617B9A">
      <w:pPr>
        <w:pStyle w:val="16"/>
        <w:rPr>
          <w:rFonts w:hint="eastAsia" w:ascii="宋体" w:hAnsi="宋体" w:eastAsia="宋体" w:cs="宋体"/>
          <w:color w:val="auto"/>
          <w:sz w:val="21"/>
          <w:szCs w:val="21"/>
          <w:highlight w:val="none"/>
        </w:rPr>
      </w:pPr>
    </w:p>
    <w:p w14:paraId="6B03BCBD">
      <w:pPr>
        <w:rPr>
          <w:rFonts w:hint="eastAsia" w:ascii="宋体" w:hAnsi="宋体" w:eastAsia="宋体" w:cs="宋体"/>
          <w:color w:val="auto"/>
          <w:sz w:val="21"/>
          <w:szCs w:val="21"/>
          <w:highlight w:val="none"/>
        </w:rPr>
      </w:pPr>
    </w:p>
    <w:p w14:paraId="233FBA6D">
      <w:pPr>
        <w:pStyle w:val="16"/>
        <w:rPr>
          <w:rFonts w:hint="eastAsia" w:ascii="宋体" w:hAnsi="宋体" w:eastAsia="宋体" w:cs="宋体"/>
          <w:color w:val="auto"/>
          <w:sz w:val="21"/>
          <w:szCs w:val="21"/>
          <w:highlight w:val="none"/>
        </w:rPr>
      </w:pPr>
    </w:p>
    <w:p w14:paraId="1B662EF9">
      <w:pPr>
        <w:pStyle w:val="16"/>
        <w:rPr>
          <w:rFonts w:hint="eastAsia" w:ascii="宋体" w:hAnsi="宋体" w:eastAsia="宋体" w:cs="宋体"/>
          <w:color w:val="auto"/>
          <w:sz w:val="21"/>
          <w:szCs w:val="21"/>
          <w:highlight w:val="none"/>
        </w:rPr>
      </w:pPr>
    </w:p>
    <w:p w14:paraId="4F0FE2B4">
      <w:pPr>
        <w:rPr>
          <w:rFonts w:hint="eastAsia" w:ascii="宋体" w:hAnsi="宋体" w:eastAsia="宋体" w:cs="宋体"/>
          <w:color w:val="auto"/>
          <w:sz w:val="21"/>
          <w:szCs w:val="21"/>
          <w:highlight w:val="none"/>
        </w:rPr>
      </w:pPr>
    </w:p>
    <w:p w14:paraId="244C5515">
      <w:pP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br w:type="page"/>
      </w:r>
    </w:p>
    <w:p w14:paraId="173A8B8D">
      <w:pPr>
        <w:spacing w:before="180" w:beforeLines="50" w:after="180" w:afterLines="50" w:line="360" w:lineRule="exact"/>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附件一：施工安全和环保承诺书</w:t>
      </w:r>
    </w:p>
    <w:p w14:paraId="48D83301">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为保障施工安全，我司承诺本次项目施工范围内的安全管理承诺责任如下：</w:t>
      </w:r>
    </w:p>
    <w:p w14:paraId="44042503">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一、承诺建立健全安全管理机构，加强施工安全技术管理，按国家有关规定配备与本次合同施工相符合的专业技术人员、安全管理人员和特种作业人员，人员持证作业，人证相符</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不使用未经培训或培训不合格的人员上岗施工。</w:t>
      </w:r>
    </w:p>
    <w:p w14:paraId="378FE3D8">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二、承诺在施工期间，严格按安全生产要求，依照《安全生产法规》内容，明确安全责任，做好安全施工组织和预防措施，服从采购方和相关部门的日常管理和检查。日常监管人员发现有重大不安全因素时，随时有权要求施工方停工整改，施工方不得继续违章操作强行施工。</w:t>
      </w:r>
    </w:p>
    <w:p w14:paraId="012ED6C7">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三、承诺对本单位施工人员进行安全教育并对施工人员承担全部安全责任。有健全的安全管理制度和培训教育记录，保证施工人员应严格按安全标准组织施工，并随时接受行业安全检查人员依法实施的监督检查，采取必要的安全防护措施，消除事故隐患。合同施工期间，在施工范围内引起的一切事故的责任和因此发生的费用，均由施工方自行承担。</w:t>
      </w:r>
    </w:p>
    <w:p w14:paraId="68874951">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四、承诺施工期间不影响周边人员、交通安全、环境安全。对本单位施工人员造成的一切不良影响负全部责任。</w:t>
      </w:r>
    </w:p>
    <w:p w14:paraId="60F149DC">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五、承诺在本项目施工范围内及施工期间，未经采购方书面同意，不得擅自进行合同内容范围外的施工，如因此造成施工方人员发生伤亡等安全事故，应由施工方承担全部责任，采购方不承担任何责任。如果因此造成采购方或任何第三方人身伤害、财产损失的，施工方应承担赔偿责任。如采购方因此代为垫付赔偿，有权向施工方追偿，包括但不限于赔偿款、诉讼费、律师费、鉴定费、保管费、差旅费等。</w:t>
      </w:r>
    </w:p>
    <w:p w14:paraId="03678226">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六、承诺在合同服务范围内及施工期间，因提供合同服务和施工而产生的噪音、废水、废气、废弃物</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特别是危险废弃物</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或垃圾，承诺方将按国家有关环保法规自行处理，不超出国家排放标准要求或留置在服务现场及不污染现场环境，如因未按上述约定处理而导致第三方财产损失、采购方被处罚或其他后果的，由承诺方负全部责任并负责赔偿直接和间接损失。</w:t>
      </w:r>
    </w:p>
    <w:p w14:paraId="2FE9F1B2">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七、安全问题包括但不仅限于上述情况，如有未尽详细事宜，参照国家相关法律法规、合同条款和本承诺书的条款执行。</w:t>
      </w:r>
    </w:p>
    <w:p w14:paraId="65FBDC8D">
      <w:pPr>
        <w:spacing w:line="360" w:lineRule="exact"/>
        <w:ind w:firstLine="420" w:firstLineChars="200"/>
        <w:rPr>
          <w:rFonts w:hint="eastAsia" w:ascii="宋体" w:hAnsi="宋体" w:eastAsia="宋体" w:cs="宋体"/>
          <w:color w:val="auto"/>
          <w:sz w:val="21"/>
          <w:szCs w:val="21"/>
          <w:highlight w:val="none"/>
        </w:rPr>
      </w:pPr>
    </w:p>
    <w:p w14:paraId="5C319BDB">
      <w:pPr>
        <w:spacing w:line="360" w:lineRule="exact"/>
        <w:ind w:firstLine="420" w:firstLineChars="200"/>
        <w:rPr>
          <w:rFonts w:hint="eastAsia" w:ascii="宋体" w:hAnsi="宋体" w:eastAsia="宋体" w:cs="宋体"/>
          <w:color w:val="auto"/>
          <w:sz w:val="21"/>
          <w:szCs w:val="21"/>
          <w:highlight w:val="none"/>
        </w:rPr>
      </w:pPr>
    </w:p>
    <w:p w14:paraId="66CE3A03">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施工方名称</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加盖公章</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                  法定代表人（授权代表）：</w:t>
      </w:r>
    </w:p>
    <w:p w14:paraId="1659E2DC">
      <w:pPr>
        <w:pStyle w:val="113"/>
        <w:tabs>
          <w:tab w:val="left" w:pos="5310"/>
        </w:tabs>
        <w:spacing w:line="360" w:lineRule="auto"/>
        <w:ind w:firstLine="0"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ab/>
      </w:r>
    </w:p>
    <w:p w14:paraId="537844C5">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日期：     年    月    日</w:t>
      </w:r>
    </w:p>
    <w:p w14:paraId="01ACFC74">
      <w:pPr>
        <w:spacing w:before="180" w:beforeLines="50" w:after="180" w:afterLines="50" w:line="360" w:lineRule="exact"/>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br w:type="page"/>
      </w:r>
      <w:r>
        <w:rPr>
          <w:rFonts w:hint="eastAsia" w:ascii="宋体" w:hAnsi="宋体" w:eastAsia="宋体" w:cs="宋体"/>
          <w:b/>
          <w:color w:val="auto"/>
          <w:sz w:val="21"/>
          <w:szCs w:val="21"/>
          <w:highlight w:val="none"/>
        </w:rPr>
        <w:t>附件二：《保养项目表》和《保养计划》</w:t>
      </w:r>
    </w:p>
    <w:p w14:paraId="2C225944">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 半月维保项目（内容）和要求</w:t>
      </w:r>
    </w:p>
    <w:tbl>
      <w:tblPr>
        <w:tblStyle w:val="37"/>
        <w:tblW w:w="5000"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484"/>
        <w:gridCol w:w="3552"/>
        <w:gridCol w:w="4486"/>
      </w:tblGrid>
      <w:tr w14:paraId="5EA2067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7" w:hRule="atLeast"/>
        </w:trPr>
        <w:tc>
          <w:tcPr>
            <w:tcW w:w="366" w:type="pct"/>
            <w:noWrap/>
            <w:vAlign w:val="center"/>
          </w:tcPr>
          <w:p w14:paraId="47763D23">
            <w:pPr>
              <w:spacing w:line="400" w:lineRule="exact"/>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序号</w:t>
            </w:r>
          </w:p>
        </w:tc>
        <w:tc>
          <w:tcPr>
            <w:tcW w:w="1997" w:type="pct"/>
            <w:noWrap/>
            <w:vAlign w:val="center"/>
          </w:tcPr>
          <w:p w14:paraId="0DAA8024">
            <w:pPr>
              <w:spacing w:line="400" w:lineRule="exact"/>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维保项目（内容）</w:t>
            </w:r>
          </w:p>
        </w:tc>
        <w:tc>
          <w:tcPr>
            <w:tcW w:w="2636" w:type="pct"/>
            <w:noWrap/>
            <w:vAlign w:val="center"/>
          </w:tcPr>
          <w:p w14:paraId="3E139DBB">
            <w:pPr>
              <w:spacing w:line="400" w:lineRule="exact"/>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维保基本要求</w:t>
            </w:r>
          </w:p>
        </w:tc>
      </w:tr>
      <w:tr w14:paraId="30B9E3E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6" w:hRule="atLeast"/>
        </w:trPr>
        <w:tc>
          <w:tcPr>
            <w:tcW w:w="366" w:type="pct"/>
            <w:noWrap/>
            <w:vAlign w:val="center"/>
          </w:tcPr>
          <w:p w14:paraId="02769E6F">
            <w:pPr>
              <w:spacing w:line="4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997" w:type="pct"/>
            <w:noWrap/>
            <w:vAlign w:val="center"/>
          </w:tcPr>
          <w:p w14:paraId="7674CDB1">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机房、滑轮间环境</w:t>
            </w:r>
          </w:p>
        </w:tc>
        <w:tc>
          <w:tcPr>
            <w:tcW w:w="2636" w:type="pct"/>
            <w:noWrap/>
            <w:vAlign w:val="center"/>
          </w:tcPr>
          <w:p w14:paraId="293CDC41">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清洁，门窗完好、照明正常 </w:t>
            </w:r>
          </w:p>
        </w:tc>
      </w:tr>
      <w:tr w14:paraId="1332024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5" w:hRule="atLeast"/>
        </w:trPr>
        <w:tc>
          <w:tcPr>
            <w:tcW w:w="366" w:type="pct"/>
            <w:noWrap/>
            <w:vAlign w:val="center"/>
          </w:tcPr>
          <w:p w14:paraId="5725107E">
            <w:pPr>
              <w:spacing w:line="4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1997" w:type="pct"/>
            <w:noWrap/>
            <w:vAlign w:val="center"/>
          </w:tcPr>
          <w:p w14:paraId="5BE24D60">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手动紧急操作装置</w:t>
            </w:r>
          </w:p>
        </w:tc>
        <w:tc>
          <w:tcPr>
            <w:tcW w:w="2636" w:type="pct"/>
            <w:noWrap/>
            <w:vAlign w:val="center"/>
          </w:tcPr>
          <w:p w14:paraId="227F5F10">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齐全，在指定位置</w:t>
            </w:r>
          </w:p>
        </w:tc>
      </w:tr>
      <w:tr w14:paraId="3DBED6A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5" w:hRule="atLeast"/>
        </w:trPr>
        <w:tc>
          <w:tcPr>
            <w:tcW w:w="366" w:type="pct"/>
            <w:noWrap/>
            <w:vAlign w:val="center"/>
          </w:tcPr>
          <w:p w14:paraId="71D5FCD2">
            <w:pPr>
              <w:spacing w:line="4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p>
        </w:tc>
        <w:tc>
          <w:tcPr>
            <w:tcW w:w="1997" w:type="pct"/>
            <w:noWrap/>
            <w:vAlign w:val="center"/>
          </w:tcPr>
          <w:p w14:paraId="3D580E23">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驱动总机</w:t>
            </w:r>
          </w:p>
        </w:tc>
        <w:tc>
          <w:tcPr>
            <w:tcW w:w="2636" w:type="pct"/>
            <w:noWrap/>
            <w:vAlign w:val="center"/>
          </w:tcPr>
          <w:p w14:paraId="1E3B12AC">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运行时无异常振动和异常声响</w:t>
            </w:r>
          </w:p>
        </w:tc>
      </w:tr>
      <w:tr w14:paraId="14D0DE7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5" w:hRule="atLeast"/>
        </w:trPr>
        <w:tc>
          <w:tcPr>
            <w:tcW w:w="366" w:type="pct"/>
            <w:noWrap/>
            <w:vAlign w:val="center"/>
          </w:tcPr>
          <w:p w14:paraId="6ADEAA48">
            <w:pPr>
              <w:spacing w:line="4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w:t>
            </w:r>
          </w:p>
        </w:tc>
        <w:tc>
          <w:tcPr>
            <w:tcW w:w="1997" w:type="pct"/>
            <w:noWrap/>
            <w:vAlign w:val="center"/>
          </w:tcPr>
          <w:p w14:paraId="5A252666">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制动器各销轴部位</w:t>
            </w:r>
          </w:p>
        </w:tc>
        <w:tc>
          <w:tcPr>
            <w:tcW w:w="2636" w:type="pct"/>
            <w:noWrap/>
            <w:vAlign w:val="center"/>
          </w:tcPr>
          <w:p w14:paraId="77FF0410">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润滑，动作灵活</w:t>
            </w:r>
          </w:p>
        </w:tc>
      </w:tr>
      <w:tr w14:paraId="3B807C5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8" w:hRule="atLeast"/>
        </w:trPr>
        <w:tc>
          <w:tcPr>
            <w:tcW w:w="366" w:type="pct"/>
            <w:noWrap/>
            <w:vAlign w:val="center"/>
          </w:tcPr>
          <w:p w14:paraId="4FD13487">
            <w:pPr>
              <w:spacing w:line="4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1997" w:type="pct"/>
            <w:noWrap/>
            <w:vAlign w:val="center"/>
          </w:tcPr>
          <w:p w14:paraId="465D4C15">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制动器间隙</w:t>
            </w:r>
          </w:p>
        </w:tc>
        <w:tc>
          <w:tcPr>
            <w:tcW w:w="2636" w:type="pct"/>
            <w:noWrap/>
            <w:vAlign w:val="center"/>
          </w:tcPr>
          <w:p w14:paraId="6FDD8A5A">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打开时制动衬与制动轮不应发生摩擦，间隙值符合制造单位要求</w:t>
            </w:r>
          </w:p>
        </w:tc>
      </w:tr>
      <w:tr w14:paraId="2491D77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7" w:hRule="atLeast"/>
        </w:trPr>
        <w:tc>
          <w:tcPr>
            <w:tcW w:w="366" w:type="pct"/>
            <w:noWrap/>
            <w:vAlign w:val="center"/>
          </w:tcPr>
          <w:p w14:paraId="0742EFA6">
            <w:pPr>
              <w:spacing w:line="4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w:t>
            </w:r>
          </w:p>
        </w:tc>
        <w:tc>
          <w:tcPr>
            <w:tcW w:w="1997" w:type="pct"/>
            <w:noWrap/>
            <w:vAlign w:val="center"/>
          </w:tcPr>
          <w:p w14:paraId="25C5BE28">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制动器作为轿厢意外移动保护制造制停子系统时的自监测</w:t>
            </w:r>
          </w:p>
        </w:tc>
        <w:tc>
          <w:tcPr>
            <w:tcW w:w="2636" w:type="pct"/>
            <w:noWrap/>
            <w:vAlign w:val="center"/>
          </w:tcPr>
          <w:p w14:paraId="2BBDE9B4">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制动力人工方式检测符合使用维护说明书要求；制动力自监测系统有记录</w:t>
            </w:r>
          </w:p>
        </w:tc>
      </w:tr>
      <w:tr w14:paraId="07E1788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5" w:hRule="atLeast"/>
        </w:trPr>
        <w:tc>
          <w:tcPr>
            <w:tcW w:w="366" w:type="pct"/>
            <w:noWrap/>
            <w:vAlign w:val="center"/>
          </w:tcPr>
          <w:p w14:paraId="12225D1F">
            <w:pPr>
              <w:spacing w:line="4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w:t>
            </w:r>
          </w:p>
        </w:tc>
        <w:tc>
          <w:tcPr>
            <w:tcW w:w="1997" w:type="pct"/>
            <w:noWrap/>
            <w:vAlign w:val="center"/>
          </w:tcPr>
          <w:p w14:paraId="49A8F4FD">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编码器</w:t>
            </w:r>
          </w:p>
        </w:tc>
        <w:tc>
          <w:tcPr>
            <w:tcW w:w="2636" w:type="pct"/>
            <w:noWrap/>
            <w:vAlign w:val="center"/>
          </w:tcPr>
          <w:p w14:paraId="482877B7">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清洁，安装牢固</w:t>
            </w:r>
          </w:p>
        </w:tc>
      </w:tr>
      <w:tr w14:paraId="0FDBAF3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5" w:hRule="atLeast"/>
        </w:trPr>
        <w:tc>
          <w:tcPr>
            <w:tcW w:w="366" w:type="pct"/>
            <w:noWrap/>
            <w:vAlign w:val="center"/>
          </w:tcPr>
          <w:p w14:paraId="4ED81A76">
            <w:pPr>
              <w:spacing w:line="4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w:t>
            </w:r>
          </w:p>
        </w:tc>
        <w:tc>
          <w:tcPr>
            <w:tcW w:w="1997" w:type="pct"/>
            <w:noWrap/>
            <w:vAlign w:val="center"/>
          </w:tcPr>
          <w:p w14:paraId="49FC5BC5">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限速器各销轴部位</w:t>
            </w:r>
          </w:p>
        </w:tc>
        <w:tc>
          <w:tcPr>
            <w:tcW w:w="2636" w:type="pct"/>
            <w:noWrap/>
            <w:vAlign w:val="center"/>
          </w:tcPr>
          <w:p w14:paraId="6DD1E77E">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润滑，转动灵活；电气开关正常</w:t>
            </w:r>
          </w:p>
        </w:tc>
      </w:tr>
      <w:tr w14:paraId="4560708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5" w:hRule="atLeast"/>
        </w:trPr>
        <w:tc>
          <w:tcPr>
            <w:tcW w:w="366" w:type="pct"/>
            <w:noWrap/>
            <w:vAlign w:val="center"/>
          </w:tcPr>
          <w:p w14:paraId="2C457B9B">
            <w:pPr>
              <w:spacing w:line="4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w:t>
            </w:r>
          </w:p>
        </w:tc>
        <w:tc>
          <w:tcPr>
            <w:tcW w:w="1997" w:type="pct"/>
            <w:noWrap/>
            <w:vAlign w:val="center"/>
          </w:tcPr>
          <w:p w14:paraId="249A15D0">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层门和轿门旁路装置</w:t>
            </w:r>
          </w:p>
        </w:tc>
        <w:tc>
          <w:tcPr>
            <w:tcW w:w="2636" w:type="pct"/>
            <w:noWrap/>
            <w:vAlign w:val="center"/>
          </w:tcPr>
          <w:p w14:paraId="66DC7316">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工作正常</w:t>
            </w:r>
          </w:p>
        </w:tc>
      </w:tr>
      <w:tr w14:paraId="3EE1CC8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2" w:hRule="atLeast"/>
        </w:trPr>
        <w:tc>
          <w:tcPr>
            <w:tcW w:w="366" w:type="pct"/>
            <w:noWrap/>
            <w:vAlign w:val="center"/>
          </w:tcPr>
          <w:p w14:paraId="547A7A1D">
            <w:pPr>
              <w:spacing w:line="4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w:t>
            </w:r>
          </w:p>
        </w:tc>
        <w:tc>
          <w:tcPr>
            <w:tcW w:w="1997" w:type="pct"/>
            <w:noWrap/>
            <w:vAlign w:val="center"/>
          </w:tcPr>
          <w:p w14:paraId="3CBC00B3">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紧急电动运行</w:t>
            </w:r>
          </w:p>
        </w:tc>
        <w:tc>
          <w:tcPr>
            <w:tcW w:w="2636" w:type="pct"/>
            <w:noWrap/>
            <w:vAlign w:val="center"/>
          </w:tcPr>
          <w:p w14:paraId="2DACDEB6">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工作正常</w:t>
            </w:r>
          </w:p>
        </w:tc>
      </w:tr>
      <w:tr w14:paraId="589CE0E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8" w:hRule="atLeast"/>
        </w:trPr>
        <w:tc>
          <w:tcPr>
            <w:tcW w:w="366" w:type="pct"/>
            <w:noWrap/>
            <w:vAlign w:val="center"/>
          </w:tcPr>
          <w:p w14:paraId="6BA7EDC6">
            <w:pPr>
              <w:spacing w:line="4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w:t>
            </w:r>
          </w:p>
        </w:tc>
        <w:tc>
          <w:tcPr>
            <w:tcW w:w="1997" w:type="pct"/>
            <w:noWrap/>
            <w:vAlign w:val="center"/>
          </w:tcPr>
          <w:p w14:paraId="4CC703BB">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轿顶</w:t>
            </w:r>
          </w:p>
        </w:tc>
        <w:tc>
          <w:tcPr>
            <w:tcW w:w="2636" w:type="pct"/>
            <w:noWrap/>
            <w:vAlign w:val="center"/>
          </w:tcPr>
          <w:p w14:paraId="52D0802C">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清洁，</w:t>
            </w:r>
            <w:r>
              <w:rPr>
                <w:rFonts w:hint="eastAsia" w:ascii="宋体" w:hAnsi="宋体" w:cs="宋体"/>
                <w:color w:val="auto"/>
                <w:sz w:val="21"/>
                <w:szCs w:val="21"/>
                <w:highlight w:val="none"/>
                <w:lang w:eastAsia="zh-CN"/>
              </w:rPr>
              <w:t>防护栏</w:t>
            </w:r>
            <w:r>
              <w:rPr>
                <w:rFonts w:hint="eastAsia" w:ascii="宋体" w:hAnsi="宋体" w:eastAsia="宋体" w:cs="宋体"/>
                <w:color w:val="auto"/>
                <w:sz w:val="21"/>
                <w:szCs w:val="21"/>
                <w:highlight w:val="none"/>
              </w:rPr>
              <w:t>安全可靠</w:t>
            </w:r>
          </w:p>
        </w:tc>
      </w:tr>
      <w:tr w14:paraId="6AF0DB8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5" w:hRule="atLeast"/>
        </w:trPr>
        <w:tc>
          <w:tcPr>
            <w:tcW w:w="366" w:type="pct"/>
            <w:noWrap/>
            <w:vAlign w:val="center"/>
          </w:tcPr>
          <w:p w14:paraId="4FB3408F">
            <w:pPr>
              <w:spacing w:line="4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w:t>
            </w:r>
          </w:p>
        </w:tc>
        <w:tc>
          <w:tcPr>
            <w:tcW w:w="1997" w:type="pct"/>
            <w:noWrap/>
            <w:vAlign w:val="center"/>
          </w:tcPr>
          <w:p w14:paraId="563F8BD4">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轿顶检修开关、停止装置</w:t>
            </w:r>
          </w:p>
        </w:tc>
        <w:tc>
          <w:tcPr>
            <w:tcW w:w="2636" w:type="pct"/>
            <w:noWrap/>
            <w:vAlign w:val="center"/>
          </w:tcPr>
          <w:p w14:paraId="63059D52">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工作正常</w:t>
            </w:r>
          </w:p>
        </w:tc>
      </w:tr>
      <w:tr w14:paraId="70CEE14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5" w:hRule="atLeast"/>
        </w:trPr>
        <w:tc>
          <w:tcPr>
            <w:tcW w:w="366" w:type="pct"/>
            <w:noWrap/>
            <w:vAlign w:val="center"/>
          </w:tcPr>
          <w:p w14:paraId="1C389A05">
            <w:pPr>
              <w:spacing w:line="4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13</w:t>
            </w:r>
          </w:p>
        </w:tc>
        <w:tc>
          <w:tcPr>
            <w:tcW w:w="1997" w:type="pct"/>
            <w:noWrap/>
            <w:vAlign w:val="center"/>
          </w:tcPr>
          <w:p w14:paraId="3110BF1E">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导靴上油杯</w:t>
            </w:r>
          </w:p>
        </w:tc>
        <w:tc>
          <w:tcPr>
            <w:tcW w:w="2636" w:type="pct"/>
            <w:noWrap/>
            <w:vAlign w:val="center"/>
          </w:tcPr>
          <w:p w14:paraId="17B8A320">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吸油毛毡齐全，油量适宜，油杯无泄漏</w:t>
            </w:r>
          </w:p>
        </w:tc>
      </w:tr>
      <w:tr w14:paraId="0CA26A3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5" w:hRule="atLeast"/>
        </w:trPr>
        <w:tc>
          <w:tcPr>
            <w:tcW w:w="366" w:type="pct"/>
            <w:noWrap/>
            <w:vAlign w:val="center"/>
          </w:tcPr>
          <w:p w14:paraId="3EB750C0">
            <w:pPr>
              <w:spacing w:line="4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14</w:t>
            </w:r>
          </w:p>
        </w:tc>
        <w:tc>
          <w:tcPr>
            <w:tcW w:w="1997" w:type="pct"/>
            <w:noWrap/>
            <w:vAlign w:val="center"/>
          </w:tcPr>
          <w:p w14:paraId="7878262C">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对重/平衡重块及其压板</w:t>
            </w:r>
          </w:p>
        </w:tc>
        <w:tc>
          <w:tcPr>
            <w:tcW w:w="2636" w:type="pct"/>
            <w:noWrap/>
            <w:vAlign w:val="center"/>
          </w:tcPr>
          <w:p w14:paraId="52357FF0">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对重/平衡重块无松动，压板紧固</w:t>
            </w:r>
          </w:p>
        </w:tc>
      </w:tr>
      <w:tr w14:paraId="39BEFF3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5" w:hRule="atLeast"/>
        </w:trPr>
        <w:tc>
          <w:tcPr>
            <w:tcW w:w="366" w:type="pct"/>
            <w:noWrap/>
            <w:vAlign w:val="center"/>
          </w:tcPr>
          <w:p w14:paraId="2F97C301">
            <w:pPr>
              <w:spacing w:line="4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15</w:t>
            </w:r>
          </w:p>
        </w:tc>
        <w:tc>
          <w:tcPr>
            <w:tcW w:w="1997" w:type="pct"/>
            <w:noWrap/>
            <w:vAlign w:val="center"/>
          </w:tcPr>
          <w:p w14:paraId="69350ABD">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井道照明</w:t>
            </w:r>
          </w:p>
        </w:tc>
        <w:tc>
          <w:tcPr>
            <w:tcW w:w="2636" w:type="pct"/>
            <w:noWrap/>
            <w:vAlign w:val="center"/>
          </w:tcPr>
          <w:p w14:paraId="2C49F57E">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齐全、正常</w:t>
            </w:r>
          </w:p>
        </w:tc>
      </w:tr>
      <w:tr w14:paraId="01CD052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5" w:hRule="atLeast"/>
        </w:trPr>
        <w:tc>
          <w:tcPr>
            <w:tcW w:w="366" w:type="pct"/>
            <w:noWrap/>
            <w:vAlign w:val="center"/>
          </w:tcPr>
          <w:p w14:paraId="15E3470A">
            <w:pPr>
              <w:spacing w:line="4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16</w:t>
            </w:r>
          </w:p>
        </w:tc>
        <w:tc>
          <w:tcPr>
            <w:tcW w:w="1997" w:type="pct"/>
            <w:noWrap/>
            <w:vAlign w:val="center"/>
          </w:tcPr>
          <w:p w14:paraId="7B0350EA">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轿厢照明、风扇、应急照明</w:t>
            </w:r>
          </w:p>
        </w:tc>
        <w:tc>
          <w:tcPr>
            <w:tcW w:w="2636" w:type="pct"/>
            <w:noWrap/>
            <w:vAlign w:val="center"/>
          </w:tcPr>
          <w:p w14:paraId="3F54825B">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工作正常</w:t>
            </w:r>
          </w:p>
        </w:tc>
      </w:tr>
      <w:tr w14:paraId="2644518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0" w:hRule="atLeast"/>
        </w:trPr>
        <w:tc>
          <w:tcPr>
            <w:tcW w:w="366" w:type="pct"/>
            <w:noWrap/>
            <w:vAlign w:val="center"/>
          </w:tcPr>
          <w:p w14:paraId="4CEAAF95">
            <w:pPr>
              <w:spacing w:line="4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17</w:t>
            </w:r>
          </w:p>
        </w:tc>
        <w:tc>
          <w:tcPr>
            <w:tcW w:w="1997" w:type="pct"/>
            <w:noWrap/>
            <w:vAlign w:val="center"/>
          </w:tcPr>
          <w:p w14:paraId="31C1F2D3">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轿厢检修开关、停止装置</w:t>
            </w:r>
          </w:p>
        </w:tc>
        <w:tc>
          <w:tcPr>
            <w:tcW w:w="2636" w:type="pct"/>
            <w:noWrap/>
            <w:vAlign w:val="center"/>
          </w:tcPr>
          <w:p w14:paraId="02BAC5BC">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工作正常</w:t>
            </w:r>
          </w:p>
        </w:tc>
      </w:tr>
      <w:tr w14:paraId="47838DD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5" w:hRule="atLeast"/>
        </w:trPr>
        <w:tc>
          <w:tcPr>
            <w:tcW w:w="366" w:type="pct"/>
            <w:noWrap/>
            <w:vAlign w:val="center"/>
          </w:tcPr>
          <w:p w14:paraId="736BB347">
            <w:pPr>
              <w:spacing w:line="4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18</w:t>
            </w:r>
          </w:p>
        </w:tc>
        <w:tc>
          <w:tcPr>
            <w:tcW w:w="1997" w:type="pct"/>
            <w:noWrap/>
            <w:vAlign w:val="center"/>
          </w:tcPr>
          <w:p w14:paraId="45B64C3E">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轿内报警装置、对讲系统</w:t>
            </w:r>
          </w:p>
        </w:tc>
        <w:tc>
          <w:tcPr>
            <w:tcW w:w="2636" w:type="pct"/>
            <w:noWrap/>
            <w:vAlign w:val="center"/>
          </w:tcPr>
          <w:p w14:paraId="60FAA563">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工作正常</w:t>
            </w:r>
          </w:p>
        </w:tc>
      </w:tr>
      <w:tr w14:paraId="2A9659D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0" w:hRule="atLeast"/>
        </w:trPr>
        <w:tc>
          <w:tcPr>
            <w:tcW w:w="366" w:type="pct"/>
            <w:noWrap/>
            <w:vAlign w:val="center"/>
          </w:tcPr>
          <w:p w14:paraId="07A86B5A">
            <w:pPr>
              <w:spacing w:line="4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19</w:t>
            </w:r>
          </w:p>
        </w:tc>
        <w:tc>
          <w:tcPr>
            <w:tcW w:w="1997" w:type="pct"/>
            <w:noWrap/>
            <w:vAlign w:val="center"/>
          </w:tcPr>
          <w:p w14:paraId="2417A545">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轿内显示、指令按钮、IC卡系统</w:t>
            </w:r>
          </w:p>
        </w:tc>
        <w:tc>
          <w:tcPr>
            <w:tcW w:w="2636" w:type="pct"/>
            <w:noWrap/>
            <w:vAlign w:val="center"/>
          </w:tcPr>
          <w:p w14:paraId="5DA4B3C7">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齐全、有效</w:t>
            </w:r>
          </w:p>
        </w:tc>
      </w:tr>
      <w:tr w14:paraId="294A2E2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8" w:hRule="atLeast"/>
        </w:trPr>
        <w:tc>
          <w:tcPr>
            <w:tcW w:w="366" w:type="pct"/>
            <w:noWrap/>
            <w:vAlign w:val="center"/>
          </w:tcPr>
          <w:p w14:paraId="0DCD7369">
            <w:pPr>
              <w:spacing w:line="4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20</w:t>
            </w:r>
          </w:p>
        </w:tc>
        <w:tc>
          <w:tcPr>
            <w:tcW w:w="1997" w:type="pct"/>
            <w:noWrap/>
            <w:vAlign w:val="center"/>
          </w:tcPr>
          <w:p w14:paraId="55F6E755">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轿门安全装置（安全触板，光幕、光电等）</w:t>
            </w:r>
          </w:p>
        </w:tc>
        <w:tc>
          <w:tcPr>
            <w:tcW w:w="2636" w:type="pct"/>
            <w:noWrap/>
            <w:vAlign w:val="center"/>
          </w:tcPr>
          <w:p w14:paraId="719E8FF5">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功能有效</w:t>
            </w:r>
          </w:p>
        </w:tc>
      </w:tr>
      <w:tr w14:paraId="47038B1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5" w:hRule="atLeast"/>
        </w:trPr>
        <w:tc>
          <w:tcPr>
            <w:tcW w:w="366" w:type="pct"/>
            <w:noWrap/>
            <w:vAlign w:val="center"/>
          </w:tcPr>
          <w:p w14:paraId="47FC8A20">
            <w:pPr>
              <w:spacing w:line="4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21</w:t>
            </w:r>
          </w:p>
        </w:tc>
        <w:tc>
          <w:tcPr>
            <w:tcW w:w="1997" w:type="pct"/>
            <w:noWrap/>
            <w:vAlign w:val="center"/>
          </w:tcPr>
          <w:p w14:paraId="66B51D40">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轿门门锁电气触点</w:t>
            </w:r>
          </w:p>
        </w:tc>
        <w:tc>
          <w:tcPr>
            <w:tcW w:w="2636" w:type="pct"/>
            <w:noWrap/>
            <w:vAlign w:val="center"/>
          </w:tcPr>
          <w:p w14:paraId="2512FB3B">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清洁</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 xml:space="preserve"> 触点接触良好，接线可靠</w:t>
            </w:r>
          </w:p>
        </w:tc>
      </w:tr>
      <w:tr w14:paraId="3678909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5" w:hRule="atLeast"/>
        </w:trPr>
        <w:tc>
          <w:tcPr>
            <w:tcW w:w="366" w:type="pct"/>
            <w:noWrap/>
            <w:vAlign w:val="center"/>
          </w:tcPr>
          <w:p w14:paraId="5536B05D">
            <w:pPr>
              <w:spacing w:line="4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22</w:t>
            </w:r>
          </w:p>
        </w:tc>
        <w:tc>
          <w:tcPr>
            <w:tcW w:w="1997" w:type="pct"/>
            <w:noWrap/>
            <w:vAlign w:val="center"/>
          </w:tcPr>
          <w:p w14:paraId="2EF99DFE">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轿门运行</w:t>
            </w:r>
          </w:p>
        </w:tc>
        <w:tc>
          <w:tcPr>
            <w:tcW w:w="2636" w:type="pct"/>
            <w:noWrap/>
            <w:vAlign w:val="center"/>
          </w:tcPr>
          <w:p w14:paraId="2E50798E">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开启和关闭工作正常</w:t>
            </w:r>
          </w:p>
        </w:tc>
      </w:tr>
      <w:tr w14:paraId="59BABA6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5" w:hRule="atLeast"/>
        </w:trPr>
        <w:tc>
          <w:tcPr>
            <w:tcW w:w="366" w:type="pct"/>
            <w:noWrap/>
            <w:vAlign w:val="center"/>
          </w:tcPr>
          <w:p w14:paraId="23B3BFD3">
            <w:pPr>
              <w:spacing w:line="4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23</w:t>
            </w:r>
          </w:p>
        </w:tc>
        <w:tc>
          <w:tcPr>
            <w:tcW w:w="1997" w:type="pct"/>
            <w:noWrap/>
            <w:vAlign w:val="center"/>
          </w:tcPr>
          <w:p w14:paraId="143A4269">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轿厢平层精度</w:t>
            </w:r>
          </w:p>
        </w:tc>
        <w:tc>
          <w:tcPr>
            <w:tcW w:w="2636" w:type="pct"/>
            <w:noWrap/>
            <w:vAlign w:val="center"/>
          </w:tcPr>
          <w:p w14:paraId="46B276B3">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符合标准</w:t>
            </w:r>
          </w:p>
        </w:tc>
      </w:tr>
      <w:tr w14:paraId="1F96C14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8" w:hRule="atLeast"/>
        </w:trPr>
        <w:tc>
          <w:tcPr>
            <w:tcW w:w="366" w:type="pct"/>
            <w:noWrap/>
            <w:vAlign w:val="center"/>
          </w:tcPr>
          <w:p w14:paraId="63E8581F">
            <w:pPr>
              <w:spacing w:line="4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24</w:t>
            </w:r>
          </w:p>
        </w:tc>
        <w:tc>
          <w:tcPr>
            <w:tcW w:w="1997" w:type="pct"/>
            <w:noWrap/>
            <w:vAlign w:val="center"/>
          </w:tcPr>
          <w:p w14:paraId="0C188414">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层站召唤、层楼显示</w:t>
            </w:r>
          </w:p>
        </w:tc>
        <w:tc>
          <w:tcPr>
            <w:tcW w:w="2636" w:type="pct"/>
            <w:noWrap/>
            <w:vAlign w:val="center"/>
          </w:tcPr>
          <w:p w14:paraId="08DDEA50">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齐全、有效</w:t>
            </w:r>
          </w:p>
        </w:tc>
      </w:tr>
      <w:tr w14:paraId="5949C88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71" w:hRule="atLeast"/>
        </w:trPr>
        <w:tc>
          <w:tcPr>
            <w:tcW w:w="366" w:type="pct"/>
            <w:noWrap/>
            <w:vAlign w:val="center"/>
          </w:tcPr>
          <w:p w14:paraId="162F894B">
            <w:pPr>
              <w:spacing w:line="4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25</w:t>
            </w:r>
          </w:p>
        </w:tc>
        <w:tc>
          <w:tcPr>
            <w:tcW w:w="1997" w:type="pct"/>
            <w:noWrap/>
            <w:vAlign w:val="center"/>
          </w:tcPr>
          <w:p w14:paraId="35AC8BDD">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层门地坎</w:t>
            </w:r>
          </w:p>
        </w:tc>
        <w:tc>
          <w:tcPr>
            <w:tcW w:w="2636" w:type="pct"/>
            <w:noWrap/>
            <w:vAlign w:val="center"/>
          </w:tcPr>
          <w:p w14:paraId="3B8A2910">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清洁</w:t>
            </w:r>
          </w:p>
        </w:tc>
      </w:tr>
      <w:tr w14:paraId="6899330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8" w:hRule="atLeast"/>
        </w:trPr>
        <w:tc>
          <w:tcPr>
            <w:tcW w:w="366" w:type="pct"/>
            <w:noWrap/>
            <w:vAlign w:val="center"/>
          </w:tcPr>
          <w:p w14:paraId="1E762D70">
            <w:pPr>
              <w:spacing w:line="4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26</w:t>
            </w:r>
          </w:p>
        </w:tc>
        <w:tc>
          <w:tcPr>
            <w:tcW w:w="1997" w:type="pct"/>
            <w:noWrap/>
            <w:vAlign w:val="center"/>
          </w:tcPr>
          <w:p w14:paraId="08779FE5">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层门自动关门装置</w:t>
            </w:r>
          </w:p>
        </w:tc>
        <w:tc>
          <w:tcPr>
            <w:tcW w:w="2636" w:type="pct"/>
            <w:noWrap/>
            <w:vAlign w:val="center"/>
          </w:tcPr>
          <w:p w14:paraId="11BE3532">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正常</w:t>
            </w:r>
          </w:p>
        </w:tc>
      </w:tr>
      <w:tr w14:paraId="4F27637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8" w:hRule="atLeast"/>
        </w:trPr>
        <w:tc>
          <w:tcPr>
            <w:tcW w:w="366" w:type="pct"/>
            <w:tcBorders>
              <w:top w:val="single" w:color="auto" w:sz="6" w:space="0"/>
              <w:left w:val="single" w:color="auto" w:sz="12" w:space="0"/>
              <w:bottom w:val="single" w:color="auto" w:sz="6" w:space="0"/>
              <w:right w:val="single" w:color="auto" w:sz="6" w:space="0"/>
            </w:tcBorders>
            <w:noWrap/>
            <w:vAlign w:val="center"/>
          </w:tcPr>
          <w:p w14:paraId="7ACEDD72">
            <w:pPr>
              <w:spacing w:line="4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27</w:t>
            </w:r>
          </w:p>
        </w:tc>
        <w:tc>
          <w:tcPr>
            <w:tcW w:w="1997" w:type="pct"/>
            <w:tcBorders>
              <w:top w:val="single" w:color="auto" w:sz="6" w:space="0"/>
              <w:left w:val="single" w:color="auto" w:sz="6" w:space="0"/>
              <w:bottom w:val="single" w:color="auto" w:sz="6" w:space="0"/>
              <w:right w:val="single" w:color="auto" w:sz="6" w:space="0"/>
            </w:tcBorders>
            <w:noWrap/>
            <w:vAlign w:val="center"/>
          </w:tcPr>
          <w:p w14:paraId="753FD30C">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层门门锁自动复位</w:t>
            </w:r>
          </w:p>
        </w:tc>
        <w:tc>
          <w:tcPr>
            <w:tcW w:w="2636" w:type="pct"/>
            <w:tcBorders>
              <w:top w:val="single" w:color="auto" w:sz="6" w:space="0"/>
              <w:left w:val="single" w:color="auto" w:sz="6" w:space="0"/>
              <w:bottom w:val="single" w:color="auto" w:sz="6" w:space="0"/>
              <w:right w:val="single" w:color="auto" w:sz="12" w:space="0"/>
            </w:tcBorders>
            <w:noWrap/>
            <w:vAlign w:val="center"/>
          </w:tcPr>
          <w:p w14:paraId="76D04ED9">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用层门钥匙打开手动开锁装置释放后，层门门锁能自动复位</w:t>
            </w:r>
          </w:p>
        </w:tc>
      </w:tr>
      <w:tr w14:paraId="747A0B5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6" w:hRule="atLeast"/>
        </w:trPr>
        <w:tc>
          <w:tcPr>
            <w:tcW w:w="366" w:type="pct"/>
            <w:tcBorders>
              <w:top w:val="single" w:color="auto" w:sz="6" w:space="0"/>
              <w:left w:val="single" w:color="auto" w:sz="12" w:space="0"/>
              <w:bottom w:val="single" w:color="auto" w:sz="6" w:space="0"/>
              <w:right w:val="single" w:color="auto" w:sz="6" w:space="0"/>
            </w:tcBorders>
            <w:noWrap/>
            <w:vAlign w:val="center"/>
          </w:tcPr>
          <w:p w14:paraId="6F367998">
            <w:pPr>
              <w:spacing w:line="4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28</w:t>
            </w:r>
          </w:p>
        </w:tc>
        <w:tc>
          <w:tcPr>
            <w:tcW w:w="1997" w:type="pct"/>
            <w:tcBorders>
              <w:top w:val="single" w:color="auto" w:sz="6" w:space="0"/>
              <w:left w:val="single" w:color="auto" w:sz="6" w:space="0"/>
              <w:bottom w:val="single" w:color="auto" w:sz="6" w:space="0"/>
              <w:right w:val="single" w:color="auto" w:sz="6" w:space="0"/>
            </w:tcBorders>
            <w:noWrap/>
            <w:vAlign w:val="center"/>
          </w:tcPr>
          <w:p w14:paraId="36D14A8F">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层门门锁电气触点</w:t>
            </w:r>
          </w:p>
        </w:tc>
        <w:tc>
          <w:tcPr>
            <w:tcW w:w="2636" w:type="pct"/>
            <w:tcBorders>
              <w:top w:val="single" w:color="auto" w:sz="6" w:space="0"/>
              <w:left w:val="single" w:color="auto" w:sz="6" w:space="0"/>
              <w:bottom w:val="single" w:color="auto" w:sz="6" w:space="0"/>
              <w:right w:val="single" w:color="auto" w:sz="12" w:space="0"/>
            </w:tcBorders>
            <w:noWrap/>
            <w:vAlign w:val="center"/>
          </w:tcPr>
          <w:p w14:paraId="6883ABFF">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清洁</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 xml:space="preserve"> 触点接触良好，接线可靠</w:t>
            </w:r>
          </w:p>
        </w:tc>
      </w:tr>
      <w:tr w14:paraId="4B9AAA5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6" w:hRule="atLeast"/>
        </w:trPr>
        <w:tc>
          <w:tcPr>
            <w:tcW w:w="366" w:type="pct"/>
            <w:tcBorders>
              <w:top w:val="single" w:color="auto" w:sz="6" w:space="0"/>
              <w:left w:val="single" w:color="auto" w:sz="12" w:space="0"/>
              <w:bottom w:val="single" w:color="auto" w:sz="6" w:space="0"/>
              <w:right w:val="single" w:color="auto" w:sz="6" w:space="0"/>
            </w:tcBorders>
            <w:noWrap/>
            <w:vAlign w:val="center"/>
          </w:tcPr>
          <w:p w14:paraId="6BD7BCD8">
            <w:pPr>
              <w:spacing w:line="4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29</w:t>
            </w:r>
          </w:p>
        </w:tc>
        <w:tc>
          <w:tcPr>
            <w:tcW w:w="1997" w:type="pct"/>
            <w:tcBorders>
              <w:top w:val="single" w:color="auto" w:sz="6" w:space="0"/>
              <w:left w:val="single" w:color="auto" w:sz="6" w:space="0"/>
              <w:bottom w:val="single" w:color="auto" w:sz="6" w:space="0"/>
              <w:right w:val="single" w:color="auto" w:sz="6" w:space="0"/>
            </w:tcBorders>
            <w:noWrap/>
            <w:vAlign w:val="center"/>
          </w:tcPr>
          <w:p w14:paraId="24B21C0C">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层门锁紧元件啮合长度</w:t>
            </w:r>
          </w:p>
        </w:tc>
        <w:tc>
          <w:tcPr>
            <w:tcW w:w="2636" w:type="pct"/>
            <w:tcBorders>
              <w:top w:val="single" w:color="auto" w:sz="6" w:space="0"/>
              <w:left w:val="single" w:color="auto" w:sz="6" w:space="0"/>
              <w:bottom w:val="single" w:color="auto" w:sz="6" w:space="0"/>
              <w:right w:val="single" w:color="auto" w:sz="12" w:space="0"/>
            </w:tcBorders>
            <w:noWrap/>
            <w:vAlign w:val="center"/>
          </w:tcPr>
          <w:p w14:paraId="79C8D911">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不小于7mm</w:t>
            </w:r>
          </w:p>
        </w:tc>
      </w:tr>
      <w:tr w14:paraId="0B381AD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5" w:hRule="atLeast"/>
        </w:trPr>
        <w:tc>
          <w:tcPr>
            <w:tcW w:w="366" w:type="pct"/>
            <w:tcBorders>
              <w:top w:val="single" w:color="auto" w:sz="6" w:space="0"/>
              <w:left w:val="single" w:color="auto" w:sz="12" w:space="0"/>
              <w:bottom w:val="single" w:color="auto" w:sz="6" w:space="0"/>
              <w:right w:val="single" w:color="auto" w:sz="6" w:space="0"/>
            </w:tcBorders>
            <w:noWrap/>
            <w:vAlign w:val="center"/>
          </w:tcPr>
          <w:p w14:paraId="565955B1">
            <w:pPr>
              <w:spacing w:line="4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30</w:t>
            </w:r>
          </w:p>
        </w:tc>
        <w:tc>
          <w:tcPr>
            <w:tcW w:w="1997" w:type="pct"/>
            <w:tcBorders>
              <w:top w:val="single" w:color="auto" w:sz="6" w:space="0"/>
              <w:left w:val="single" w:color="auto" w:sz="6" w:space="0"/>
              <w:bottom w:val="single" w:color="auto" w:sz="6" w:space="0"/>
              <w:right w:val="single" w:color="auto" w:sz="6" w:space="0"/>
            </w:tcBorders>
            <w:noWrap/>
            <w:vAlign w:val="center"/>
          </w:tcPr>
          <w:p w14:paraId="09934964">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底坑环境</w:t>
            </w:r>
          </w:p>
        </w:tc>
        <w:tc>
          <w:tcPr>
            <w:tcW w:w="2636" w:type="pct"/>
            <w:tcBorders>
              <w:top w:val="single" w:color="auto" w:sz="6" w:space="0"/>
              <w:left w:val="single" w:color="auto" w:sz="6" w:space="0"/>
              <w:bottom w:val="single" w:color="auto" w:sz="6" w:space="0"/>
              <w:right w:val="single" w:color="auto" w:sz="12" w:space="0"/>
            </w:tcBorders>
            <w:noWrap/>
            <w:vAlign w:val="center"/>
          </w:tcPr>
          <w:p w14:paraId="520CC09F">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清洁，无渗水、积水，照明正常</w:t>
            </w:r>
          </w:p>
        </w:tc>
      </w:tr>
      <w:tr w14:paraId="0C221F9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atLeast"/>
        </w:trPr>
        <w:tc>
          <w:tcPr>
            <w:tcW w:w="366" w:type="pct"/>
            <w:tcBorders>
              <w:top w:val="single" w:color="auto" w:sz="6" w:space="0"/>
              <w:left w:val="single" w:color="auto" w:sz="12" w:space="0"/>
              <w:bottom w:val="single" w:color="auto" w:sz="12" w:space="0"/>
              <w:right w:val="single" w:color="auto" w:sz="6" w:space="0"/>
            </w:tcBorders>
            <w:noWrap/>
            <w:vAlign w:val="center"/>
          </w:tcPr>
          <w:p w14:paraId="22B91EC4">
            <w:pPr>
              <w:spacing w:line="4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31</w:t>
            </w:r>
          </w:p>
        </w:tc>
        <w:tc>
          <w:tcPr>
            <w:tcW w:w="1997" w:type="pct"/>
            <w:tcBorders>
              <w:top w:val="single" w:color="auto" w:sz="6" w:space="0"/>
              <w:left w:val="single" w:color="auto" w:sz="6" w:space="0"/>
              <w:bottom w:val="single" w:color="auto" w:sz="12" w:space="0"/>
              <w:right w:val="single" w:color="auto" w:sz="6" w:space="0"/>
            </w:tcBorders>
            <w:noWrap/>
            <w:vAlign w:val="center"/>
          </w:tcPr>
          <w:p w14:paraId="75736294">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底坑停止装置</w:t>
            </w:r>
          </w:p>
        </w:tc>
        <w:tc>
          <w:tcPr>
            <w:tcW w:w="2636" w:type="pct"/>
            <w:tcBorders>
              <w:top w:val="single" w:color="auto" w:sz="6" w:space="0"/>
              <w:left w:val="single" w:color="auto" w:sz="6" w:space="0"/>
              <w:bottom w:val="single" w:color="auto" w:sz="12" w:space="0"/>
              <w:right w:val="single" w:color="auto" w:sz="12" w:space="0"/>
            </w:tcBorders>
            <w:noWrap/>
            <w:vAlign w:val="center"/>
          </w:tcPr>
          <w:p w14:paraId="05B038F0">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工作正常</w:t>
            </w:r>
          </w:p>
        </w:tc>
      </w:tr>
    </w:tbl>
    <w:p w14:paraId="49B6F8EB">
      <w:pPr>
        <w:pStyle w:val="113"/>
        <w:spacing w:line="240" w:lineRule="auto"/>
        <w:ind w:firstLine="0" w:firstLineChars="0"/>
        <w:jc w:val="left"/>
        <w:rPr>
          <w:rFonts w:hint="eastAsia" w:ascii="宋体" w:hAnsi="宋体" w:eastAsia="宋体" w:cs="宋体"/>
          <w:color w:val="auto"/>
          <w:sz w:val="21"/>
          <w:szCs w:val="21"/>
          <w:highlight w:val="none"/>
        </w:rPr>
      </w:pPr>
    </w:p>
    <w:p w14:paraId="3A8E3B66">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（2）季度维保项目（内容）和要求</w:t>
      </w:r>
    </w:p>
    <w:tbl>
      <w:tblPr>
        <w:tblStyle w:val="37"/>
        <w:tblW w:w="5000"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546"/>
        <w:gridCol w:w="3332"/>
        <w:gridCol w:w="4644"/>
      </w:tblGrid>
      <w:tr w14:paraId="27A546D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357" w:type="pct"/>
            <w:noWrap/>
            <w:vAlign w:val="center"/>
          </w:tcPr>
          <w:p w14:paraId="3857C231">
            <w:pPr>
              <w:spacing w:line="360" w:lineRule="exact"/>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序号</w:t>
            </w:r>
          </w:p>
        </w:tc>
        <w:tc>
          <w:tcPr>
            <w:tcW w:w="2066" w:type="pct"/>
            <w:noWrap/>
            <w:vAlign w:val="center"/>
          </w:tcPr>
          <w:p w14:paraId="65A9EE90">
            <w:pPr>
              <w:spacing w:line="360" w:lineRule="exact"/>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维保项目（内容）</w:t>
            </w:r>
          </w:p>
        </w:tc>
        <w:tc>
          <w:tcPr>
            <w:tcW w:w="2577" w:type="pct"/>
            <w:noWrap/>
            <w:vAlign w:val="center"/>
          </w:tcPr>
          <w:p w14:paraId="6C4881ED">
            <w:pPr>
              <w:spacing w:line="360" w:lineRule="exact"/>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维保基本要求</w:t>
            </w:r>
          </w:p>
        </w:tc>
      </w:tr>
      <w:tr w14:paraId="4874627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79" w:hRule="atLeast"/>
        </w:trPr>
        <w:tc>
          <w:tcPr>
            <w:tcW w:w="357" w:type="pct"/>
            <w:noWrap/>
            <w:vAlign w:val="center"/>
          </w:tcPr>
          <w:p w14:paraId="43AB90A9">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2066" w:type="pct"/>
            <w:noWrap/>
            <w:vAlign w:val="center"/>
          </w:tcPr>
          <w:p w14:paraId="1DE0BED4">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减速机润滑油</w:t>
            </w:r>
          </w:p>
        </w:tc>
        <w:tc>
          <w:tcPr>
            <w:tcW w:w="2577" w:type="pct"/>
            <w:noWrap/>
            <w:vAlign w:val="center"/>
          </w:tcPr>
          <w:p w14:paraId="5041F6AE">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油量适宜，除蜗杆伸出端外均无渗漏</w:t>
            </w:r>
          </w:p>
        </w:tc>
      </w:tr>
      <w:tr w14:paraId="346EAE1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9" w:hRule="atLeast"/>
        </w:trPr>
        <w:tc>
          <w:tcPr>
            <w:tcW w:w="357" w:type="pct"/>
            <w:noWrap/>
            <w:vAlign w:val="center"/>
          </w:tcPr>
          <w:p w14:paraId="3FDFC199">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2066" w:type="pct"/>
            <w:noWrap/>
            <w:vAlign w:val="center"/>
          </w:tcPr>
          <w:p w14:paraId="43CCF0B2">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制动衬</w:t>
            </w:r>
          </w:p>
        </w:tc>
        <w:tc>
          <w:tcPr>
            <w:tcW w:w="2577" w:type="pct"/>
            <w:noWrap/>
            <w:vAlign w:val="center"/>
          </w:tcPr>
          <w:p w14:paraId="3D0E80F4">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清洁，磨损量不超过制造单位要求</w:t>
            </w:r>
          </w:p>
        </w:tc>
      </w:tr>
      <w:tr w14:paraId="79478D0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4" w:hRule="atLeast"/>
        </w:trPr>
        <w:tc>
          <w:tcPr>
            <w:tcW w:w="357" w:type="pct"/>
            <w:noWrap/>
            <w:vAlign w:val="center"/>
          </w:tcPr>
          <w:p w14:paraId="6EFC0A6F">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p>
        </w:tc>
        <w:tc>
          <w:tcPr>
            <w:tcW w:w="2066" w:type="pct"/>
            <w:noWrap/>
            <w:vAlign w:val="center"/>
          </w:tcPr>
          <w:p w14:paraId="0C115F41">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编码器</w:t>
            </w:r>
          </w:p>
        </w:tc>
        <w:tc>
          <w:tcPr>
            <w:tcW w:w="2577" w:type="pct"/>
            <w:noWrap/>
            <w:vAlign w:val="center"/>
          </w:tcPr>
          <w:p w14:paraId="17E0AD8C">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工作正常</w:t>
            </w:r>
          </w:p>
        </w:tc>
      </w:tr>
      <w:tr w14:paraId="31F1685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79" w:hRule="atLeast"/>
        </w:trPr>
        <w:tc>
          <w:tcPr>
            <w:tcW w:w="357" w:type="pct"/>
            <w:noWrap/>
            <w:vAlign w:val="center"/>
          </w:tcPr>
          <w:p w14:paraId="3CFE39D6">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w:t>
            </w:r>
          </w:p>
        </w:tc>
        <w:tc>
          <w:tcPr>
            <w:tcW w:w="2066" w:type="pct"/>
            <w:noWrap/>
            <w:vAlign w:val="center"/>
          </w:tcPr>
          <w:p w14:paraId="40EDAA8B">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选层器动静触点</w:t>
            </w:r>
          </w:p>
        </w:tc>
        <w:tc>
          <w:tcPr>
            <w:tcW w:w="2577" w:type="pct"/>
            <w:noWrap/>
            <w:vAlign w:val="center"/>
          </w:tcPr>
          <w:p w14:paraId="62CB3137">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清洁，无烧蚀</w:t>
            </w:r>
          </w:p>
        </w:tc>
      </w:tr>
      <w:tr w14:paraId="2CB93DD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357" w:type="pct"/>
            <w:noWrap/>
            <w:vAlign w:val="center"/>
          </w:tcPr>
          <w:p w14:paraId="37EF08A0">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2066" w:type="pct"/>
            <w:noWrap/>
            <w:vAlign w:val="center"/>
          </w:tcPr>
          <w:p w14:paraId="3C093517">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曳引轮槽、悬挂装置</w:t>
            </w:r>
          </w:p>
        </w:tc>
        <w:tc>
          <w:tcPr>
            <w:tcW w:w="2577" w:type="pct"/>
            <w:noWrap/>
            <w:vAlign w:val="center"/>
          </w:tcPr>
          <w:p w14:paraId="550BC50A">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清洁，无严重油腻，张力均匀，张力均匀，符合制造单位要求</w:t>
            </w:r>
          </w:p>
        </w:tc>
      </w:tr>
      <w:tr w14:paraId="1064C54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4" w:hRule="atLeast"/>
        </w:trPr>
        <w:tc>
          <w:tcPr>
            <w:tcW w:w="357" w:type="pct"/>
            <w:noWrap/>
            <w:vAlign w:val="center"/>
          </w:tcPr>
          <w:p w14:paraId="24ADC3F3">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w:t>
            </w:r>
          </w:p>
        </w:tc>
        <w:tc>
          <w:tcPr>
            <w:tcW w:w="2066" w:type="pct"/>
            <w:noWrap/>
            <w:vAlign w:val="center"/>
          </w:tcPr>
          <w:p w14:paraId="138E608F">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限速器轮槽、限速器钢丝绳</w:t>
            </w:r>
          </w:p>
        </w:tc>
        <w:tc>
          <w:tcPr>
            <w:tcW w:w="2577" w:type="pct"/>
            <w:noWrap/>
            <w:vAlign w:val="center"/>
          </w:tcPr>
          <w:p w14:paraId="60010036">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清洁，无严重油腻</w:t>
            </w:r>
          </w:p>
        </w:tc>
      </w:tr>
      <w:tr w14:paraId="190C39C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4" w:hRule="atLeast"/>
        </w:trPr>
        <w:tc>
          <w:tcPr>
            <w:tcW w:w="357" w:type="pct"/>
            <w:noWrap/>
            <w:vAlign w:val="center"/>
          </w:tcPr>
          <w:p w14:paraId="270DB46A">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w:t>
            </w:r>
          </w:p>
        </w:tc>
        <w:tc>
          <w:tcPr>
            <w:tcW w:w="2066" w:type="pct"/>
            <w:noWrap/>
            <w:vAlign w:val="center"/>
          </w:tcPr>
          <w:p w14:paraId="376BAD0E">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靴衬、滚轮</w:t>
            </w:r>
          </w:p>
        </w:tc>
        <w:tc>
          <w:tcPr>
            <w:tcW w:w="2577" w:type="pct"/>
            <w:noWrap/>
            <w:vAlign w:val="center"/>
          </w:tcPr>
          <w:p w14:paraId="5A9578B6">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清洁，磨损量不超过制造单位要求</w:t>
            </w:r>
          </w:p>
        </w:tc>
      </w:tr>
      <w:tr w14:paraId="60C7327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4" w:hRule="atLeast"/>
        </w:trPr>
        <w:tc>
          <w:tcPr>
            <w:tcW w:w="357" w:type="pct"/>
            <w:noWrap/>
            <w:vAlign w:val="center"/>
          </w:tcPr>
          <w:p w14:paraId="2ECF8D7B">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w:t>
            </w:r>
          </w:p>
        </w:tc>
        <w:tc>
          <w:tcPr>
            <w:tcW w:w="2066" w:type="pct"/>
            <w:noWrap/>
            <w:vAlign w:val="center"/>
          </w:tcPr>
          <w:p w14:paraId="15C079F8">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验证轿门关闭的电气安全装置</w:t>
            </w:r>
          </w:p>
        </w:tc>
        <w:tc>
          <w:tcPr>
            <w:tcW w:w="2577" w:type="pct"/>
            <w:noWrap/>
            <w:vAlign w:val="center"/>
          </w:tcPr>
          <w:p w14:paraId="32A602D0">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工作正常</w:t>
            </w:r>
          </w:p>
        </w:tc>
      </w:tr>
      <w:tr w14:paraId="03DF0E5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357" w:type="pct"/>
            <w:noWrap/>
            <w:vAlign w:val="center"/>
          </w:tcPr>
          <w:p w14:paraId="1BF4063F">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w:t>
            </w:r>
          </w:p>
        </w:tc>
        <w:tc>
          <w:tcPr>
            <w:tcW w:w="2066" w:type="pct"/>
            <w:noWrap/>
            <w:vAlign w:val="center"/>
          </w:tcPr>
          <w:p w14:paraId="65D03395">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层门、轿门系统中传动钢丝绳、链条、胶带</w:t>
            </w:r>
          </w:p>
        </w:tc>
        <w:tc>
          <w:tcPr>
            <w:tcW w:w="2577" w:type="pct"/>
            <w:noWrap/>
            <w:vAlign w:val="center"/>
          </w:tcPr>
          <w:p w14:paraId="6ADBE8DE">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按照制造单位要求进行清洁、调整</w:t>
            </w:r>
          </w:p>
        </w:tc>
      </w:tr>
      <w:tr w14:paraId="1BEF388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4" w:hRule="atLeast"/>
        </w:trPr>
        <w:tc>
          <w:tcPr>
            <w:tcW w:w="357" w:type="pct"/>
            <w:noWrap/>
            <w:vAlign w:val="center"/>
          </w:tcPr>
          <w:p w14:paraId="7EF25E67">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w:t>
            </w:r>
          </w:p>
        </w:tc>
        <w:tc>
          <w:tcPr>
            <w:tcW w:w="2066" w:type="pct"/>
            <w:noWrap/>
            <w:vAlign w:val="center"/>
          </w:tcPr>
          <w:p w14:paraId="36D04A34">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层门门导靴</w:t>
            </w:r>
          </w:p>
        </w:tc>
        <w:tc>
          <w:tcPr>
            <w:tcW w:w="2577" w:type="pct"/>
            <w:noWrap/>
            <w:vAlign w:val="center"/>
          </w:tcPr>
          <w:p w14:paraId="0FA8D262">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磨损量不超过制造单位要求</w:t>
            </w:r>
          </w:p>
        </w:tc>
      </w:tr>
      <w:tr w14:paraId="6E0DE2F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4" w:hRule="atLeast"/>
        </w:trPr>
        <w:tc>
          <w:tcPr>
            <w:tcW w:w="357" w:type="pct"/>
            <w:noWrap/>
            <w:vAlign w:val="center"/>
          </w:tcPr>
          <w:p w14:paraId="313871F1">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w:t>
            </w:r>
          </w:p>
        </w:tc>
        <w:tc>
          <w:tcPr>
            <w:tcW w:w="2066" w:type="pct"/>
            <w:noWrap/>
            <w:vAlign w:val="center"/>
          </w:tcPr>
          <w:p w14:paraId="43D105E6">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消防开关</w:t>
            </w:r>
          </w:p>
        </w:tc>
        <w:tc>
          <w:tcPr>
            <w:tcW w:w="2577" w:type="pct"/>
            <w:noWrap/>
            <w:vAlign w:val="center"/>
          </w:tcPr>
          <w:p w14:paraId="79F475C0">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工作正常，功能有效</w:t>
            </w:r>
          </w:p>
        </w:tc>
      </w:tr>
      <w:tr w14:paraId="4C87AEA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357" w:type="pct"/>
            <w:noWrap/>
            <w:vAlign w:val="center"/>
          </w:tcPr>
          <w:p w14:paraId="632E8090">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w:t>
            </w:r>
          </w:p>
        </w:tc>
        <w:tc>
          <w:tcPr>
            <w:tcW w:w="2066" w:type="pct"/>
            <w:noWrap/>
            <w:vAlign w:val="center"/>
          </w:tcPr>
          <w:p w14:paraId="1FEF332D">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耗能缓冲器</w:t>
            </w:r>
          </w:p>
        </w:tc>
        <w:tc>
          <w:tcPr>
            <w:tcW w:w="2577" w:type="pct"/>
            <w:noWrap/>
            <w:vAlign w:val="center"/>
          </w:tcPr>
          <w:p w14:paraId="6B43D69E">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电气安全装置功能有效，油量适宜，柱塞无锈蚀</w:t>
            </w:r>
          </w:p>
        </w:tc>
      </w:tr>
      <w:tr w14:paraId="44A8E0F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357" w:type="pct"/>
            <w:noWrap/>
            <w:vAlign w:val="center"/>
          </w:tcPr>
          <w:p w14:paraId="3D57111B">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13</w:t>
            </w:r>
          </w:p>
        </w:tc>
        <w:tc>
          <w:tcPr>
            <w:tcW w:w="2066" w:type="pct"/>
            <w:noWrap/>
            <w:vAlign w:val="center"/>
          </w:tcPr>
          <w:p w14:paraId="793145D4">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限速器张紧轮装置和电气安全装置</w:t>
            </w:r>
          </w:p>
        </w:tc>
        <w:tc>
          <w:tcPr>
            <w:tcW w:w="2577" w:type="pct"/>
            <w:noWrap/>
            <w:vAlign w:val="center"/>
          </w:tcPr>
          <w:p w14:paraId="1D083710">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工作正常</w:t>
            </w:r>
          </w:p>
        </w:tc>
      </w:tr>
    </w:tbl>
    <w:p w14:paraId="036D7E1A">
      <w:pPr>
        <w:spacing w:line="360" w:lineRule="exact"/>
        <w:ind w:firstLine="420" w:firstLineChars="200"/>
        <w:rPr>
          <w:rFonts w:hint="eastAsia" w:ascii="宋体" w:hAnsi="宋体" w:eastAsia="宋体" w:cs="宋体"/>
          <w:color w:val="auto"/>
          <w:sz w:val="21"/>
          <w:szCs w:val="21"/>
          <w:highlight w:val="none"/>
        </w:rPr>
      </w:pPr>
    </w:p>
    <w:p w14:paraId="1AD04636">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（3）半年维保项目（内容）和要求</w:t>
      </w:r>
    </w:p>
    <w:tbl>
      <w:tblPr>
        <w:tblStyle w:val="37"/>
        <w:tblW w:w="5000"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632"/>
        <w:gridCol w:w="3323"/>
        <w:gridCol w:w="4567"/>
      </w:tblGrid>
      <w:tr w14:paraId="69F6E30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1" w:hRule="atLeast"/>
        </w:trPr>
        <w:tc>
          <w:tcPr>
            <w:tcW w:w="356" w:type="pct"/>
            <w:noWrap/>
            <w:vAlign w:val="center"/>
          </w:tcPr>
          <w:p w14:paraId="10CB2257">
            <w:pPr>
              <w:spacing w:line="360" w:lineRule="exact"/>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序号</w:t>
            </w:r>
          </w:p>
        </w:tc>
        <w:tc>
          <w:tcPr>
            <w:tcW w:w="1860" w:type="pct"/>
            <w:noWrap/>
            <w:vAlign w:val="center"/>
          </w:tcPr>
          <w:p w14:paraId="6D93FAFB">
            <w:pPr>
              <w:spacing w:line="360" w:lineRule="exact"/>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维保项目（内容）</w:t>
            </w:r>
          </w:p>
        </w:tc>
        <w:tc>
          <w:tcPr>
            <w:tcW w:w="2784" w:type="pct"/>
            <w:noWrap/>
            <w:vAlign w:val="center"/>
          </w:tcPr>
          <w:p w14:paraId="6C1381BE">
            <w:pPr>
              <w:spacing w:line="360" w:lineRule="exact"/>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维保基本要求</w:t>
            </w:r>
          </w:p>
        </w:tc>
      </w:tr>
      <w:tr w14:paraId="3D3612D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2" w:hRule="atLeast"/>
        </w:trPr>
        <w:tc>
          <w:tcPr>
            <w:tcW w:w="356" w:type="pct"/>
            <w:noWrap/>
            <w:vAlign w:val="center"/>
          </w:tcPr>
          <w:p w14:paraId="1FB47D26">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860" w:type="pct"/>
            <w:noWrap/>
            <w:vAlign w:val="center"/>
          </w:tcPr>
          <w:p w14:paraId="04779075">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电动机与减速机联轴器</w:t>
            </w:r>
          </w:p>
        </w:tc>
        <w:tc>
          <w:tcPr>
            <w:tcW w:w="2784" w:type="pct"/>
            <w:noWrap/>
            <w:vAlign w:val="center"/>
          </w:tcPr>
          <w:p w14:paraId="0407B78C">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连接无松动，弹性元件外观良好，无老化等现象</w:t>
            </w:r>
          </w:p>
        </w:tc>
      </w:tr>
      <w:tr w14:paraId="7683C88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2" w:hRule="atLeast"/>
        </w:trPr>
        <w:tc>
          <w:tcPr>
            <w:tcW w:w="356" w:type="pct"/>
            <w:noWrap/>
            <w:vAlign w:val="center"/>
          </w:tcPr>
          <w:p w14:paraId="1A8E4CC3">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1860" w:type="pct"/>
            <w:noWrap/>
            <w:vAlign w:val="center"/>
          </w:tcPr>
          <w:p w14:paraId="68579E4F">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驱动轮、导向轮轴承部</w:t>
            </w:r>
          </w:p>
        </w:tc>
        <w:tc>
          <w:tcPr>
            <w:tcW w:w="2784" w:type="pct"/>
            <w:noWrap/>
            <w:vAlign w:val="center"/>
          </w:tcPr>
          <w:p w14:paraId="42D03BF9">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无异常声，无振动，润滑良好</w:t>
            </w:r>
          </w:p>
        </w:tc>
      </w:tr>
      <w:tr w14:paraId="3743BE4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2" w:hRule="atLeast"/>
        </w:trPr>
        <w:tc>
          <w:tcPr>
            <w:tcW w:w="356" w:type="pct"/>
            <w:noWrap/>
            <w:vAlign w:val="center"/>
          </w:tcPr>
          <w:p w14:paraId="71B2E173">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p>
        </w:tc>
        <w:tc>
          <w:tcPr>
            <w:tcW w:w="1860" w:type="pct"/>
            <w:noWrap/>
            <w:vAlign w:val="center"/>
          </w:tcPr>
          <w:p w14:paraId="111CDD3C">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曳引轮槽</w:t>
            </w:r>
          </w:p>
        </w:tc>
        <w:tc>
          <w:tcPr>
            <w:tcW w:w="2784" w:type="pct"/>
            <w:noWrap/>
            <w:vAlign w:val="center"/>
          </w:tcPr>
          <w:p w14:paraId="4B8E6867">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磨损量不超过制造单位要求</w:t>
            </w:r>
          </w:p>
        </w:tc>
      </w:tr>
      <w:tr w14:paraId="2ACA1AC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2" w:hRule="atLeast"/>
        </w:trPr>
        <w:tc>
          <w:tcPr>
            <w:tcW w:w="356" w:type="pct"/>
            <w:noWrap/>
            <w:vAlign w:val="center"/>
          </w:tcPr>
          <w:p w14:paraId="4E4C13EE">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w:t>
            </w:r>
          </w:p>
        </w:tc>
        <w:tc>
          <w:tcPr>
            <w:tcW w:w="1860" w:type="pct"/>
            <w:noWrap/>
            <w:vAlign w:val="center"/>
          </w:tcPr>
          <w:p w14:paraId="35EAC2DE">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制动器动作状态监测装置</w:t>
            </w:r>
          </w:p>
        </w:tc>
        <w:tc>
          <w:tcPr>
            <w:tcW w:w="2784" w:type="pct"/>
            <w:noWrap/>
            <w:vAlign w:val="center"/>
          </w:tcPr>
          <w:p w14:paraId="69867F53">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工作正常，制动器动作可靠</w:t>
            </w:r>
          </w:p>
        </w:tc>
      </w:tr>
      <w:tr w14:paraId="0E5DE69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2" w:hRule="atLeast"/>
        </w:trPr>
        <w:tc>
          <w:tcPr>
            <w:tcW w:w="356" w:type="pct"/>
            <w:noWrap/>
            <w:vAlign w:val="center"/>
          </w:tcPr>
          <w:p w14:paraId="7D704697">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1860" w:type="pct"/>
            <w:noWrap/>
            <w:vAlign w:val="center"/>
          </w:tcPr>
          <w:p w14:paraId="7AD23AB9">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控制柜内各接线端子</w:t>
            </w:r>
          </w:p>
        </w:tc>
        <w:tc>
          <w:tcPr>
            <w:tcW w:w="2784" w:type="pct"/>
            <w:noWrap/>
            <w:vAlign w:val="center"/>
          </w:tcPr>
          <w:p w14:paraId="2C39331B">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各接线紧固、整齐，线号齐全清晰</w:t>
            </w:r>
          </w:p>
        </w:tc>
      </w:tr>
      <w:tr w14:paraId="57B7CBC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2" w:hRule="atLeast"/>
        </w:trPr>
        <w:tc>
          <w:tcPr>
            <w:tcW w:w="356" w:type="pct"/>
            <w:noWrap/>
            <w:vAlign w:val="center"/>
          </w:tcPr>
          <w:p w14:paraId="23EB847F">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w:t>
            </w:r>
          </w:p>
        </w:tc>
        <w:tc>
          <w:tcPr>
            <w:tcW w:w="1860" w:type="pct"/>
            <w:noWrap/>
            <w:vAlign w:val="center"/>
          </w:tcPr>
          <w:p w14:paraId="2A8CA526">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控制柜各仪表</w:t>
            </w:r>
          </w:p>
        </w:tc>
        <w:tc>
          <w:tcPr>
            <w:tcW w:w="2784" w:type="pct"/>
            <w:noWrap/>
            <w:vAlign w:val="center"/>
          </w:tcPr>
          <w:p w14:paraId="3F587360">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显示正确</w:t>
            </w:r>
          </w:p>
        </w:tc>
      </w:tr>
      <w:tr w14:paraId="67C35D5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2" w:hRule="atLeast"/>
        </w:trPr>
        <w:tc>
          <w:tcPr>
            <w:tcW w:w="356" w:type="pct"/>
            <w:noWrap/>
            <w:vAlign w:val="center"/>
          </w:tcPr>
          <w:p w14:paraId="28096C09">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w:t>
            </w:r>
          </w:p>
        </w:tc>
        <w:tc>
          <w:tcPr>
            <w:tcW w:w="1860" w:type="pct"/>
            <w:noWrap/>
            <w:vAlign w:val="center"/>
          </w:tcPr>
          <w:p w14:paraId="140569E7">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井道、对重、轿顶各反绳轮轴承部</w:t>
            </w:r>
          </w:p>
        </w:tc>
        <w:tc>
          <w:tcPr>
            <w:tcW w:w="2784" w:type="pct"/>
            <w:noWrap/>
            <w:vAlign w:val="center"/>
          </w:tcPr>
          <w:p w14:paraId="2EA7661E">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无异常声，无振动，润滑良好</w:t>
            </w:r>
          </w:p>
        </w:tc>
      </w:tr>
      <w:tr w14:paraId="7817416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2" w:hRule="atLeast"/>
        </w:trPr>
        <w:tc>
          <w:tcPr>
            <w:tcW w:w="356" w:type="pct"/>
            <w:noWrap/>
            <w:vAlign w:val="center"/>
          </w:tcPr>
          <w:p w14:paraId="01E2BB3A">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w:t>
            </w:r>
          </w:p>
        </w:tc>
        <w:tc>
          <w:tcPr>
            <w:tcW w:w="1860" w:type="pct"/>
            <w:noWrap/>
            <w:vAlign w:val="center"/>
          </w:tcPr>
          <w:p w14:paraId="7F37452C">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曳引绳、补偿绳</w:t>
            </w:r>
          </w:p>
        </w:tc>
        <w:tc>
          <w:tcPr>
            <w:tcW w:w="2784" w:type="pct"/>
            <w:noWrap/>
            <w:vAlign w:val="center"/>
          </w:tcPr>
          <w:p w14:paraId="104DDE02">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磨损量、断丝数不超过要求</w:t>
            </w:r>
          </w:p>
        </w:tc>
      </w:tr>
      <w:tr w14:paraId="7F0F354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2" w:hRule="atLeast"/>
        </w:trPr>
        <w:tc>
          <w:tcPr>
            <w:tcW w:w="356" w:type="pct"/>
            <w:noWrap/>
            <w:vAlign w:val="center"/>
          </w:tcPr>
          <w:p w14:paraId="15FC8EAD">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w:t>
            </w:r>
          </w:p>
        </w:tc>
        <w:tc>
          <w:tcPr>
            <w:tcW w:w="1860" w:type="pct"/>
            <w:noWrap/>
            <w:vAlign w:val="center"/>
          </w:tcPr>
          <w:p w14:paraId="551CAE96">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曳引绳绳头组合</w:t>
            </w:r>
          </w:p>
        </w:tc>
        <w:tc>
          <w:tcPr>
            <w:tcW w:w="2784" w:type="pct"/>
            <w:noWrap/>
            <w:vAlign w:val="center"/>
          </w:tcPr>
          <w:p w14:paraId="473DC0B2">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螺母无松动</w:t>
            </w:r>
          </w:p>
        </w:tc>
      </w:tr>
      <w:tr w14:paraId="127AEE2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7" w:hRule="atLeast"/>
        </w:trPr>
        <w:tc>
          <w:tcPr>
            <w:tcW w:w="356" w:type="pct"/>
            <w:noWrap/>
            <w:vAlign w:val="center"/>
          </w:tcPr>
          <w:p w14:paraId="56B7EFE6">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w:t>
            </w:r>
          </w:p>
        </w:tc>
        <w:tc>
          <w:tcPr>
            <w:tcW w:w="1860" w:type="pct"/>
            <w:noWrap/>
            <w:vAlign w:val="center"/>
          </w:tcPr>
          <w:p w14:paraId="4A8D6238">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限速器钢丝绳</w:t>
            </w:r>
          </w:p>
        </w:tc>
        <w:tc>
          <w:tcPr>
            <w:tcW w:w="2784" w:type="pct"/>
            <w:noWrap/>
            <w:vAlign w:val="center"/>
          </w:tcPr>
          <w:p w14:paraId="78A88FA0">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磨损量、断丝数不超过制造单位要求</w:t>
            </w:r>
          </w:p>
        </w:tc>
      </w:tr>
      <w:tr w14:paraId="70E07B3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7" w:hRule="atLeast"/>
        </w:trPr>
        <w:tc>
          <w:tcPr>
            <w:tcW w:w="356" w:type="pct"/>
            <w:noWrap/>
            <w:vAlign w:val="center"/>
          </w:tcPr>
          <w:p w14:paraId="784B8D58">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w:t>
            </w:r>
          </w:p>
        </w:tc>
        <w:tc>
          <w:tcPr>
            <w:tcW w:w="1860" w:type="pct"/>
            <w:noWrap/>
            <w:vAlign w:val="center"/>
          </w:tcPr>
          <w:p w14:paraId="7D068EC3">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层门、轿门门扇</w:t>
            </w:r>
          </w:p>
        </w:tc>
        <w:tc>
          <w:tcPr>
            <w:tcW w:w="2784" w:type="pct"/>
            <w:noWrap/>
            <w:vAlign w:val="center"/>
          </w:tcPr>
          <w:p w14:paraId="027E21AC">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门扇各相关间隙符合标准</w:t>
            </w:r>
          </w:p>
        </w:tc>
      </w:tr>
      <w:tr w14:paraId="45491F5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7" w:hRule="atLeast"/>
        </w:trPr>
        <w:tc>
          <w:tcPr>
            <w:tcW w:w="356" w:type="pct"/>
            <w:noWrap/>
            <w:vAlign w:val="center"/>
          </w:tcPr>
          <w:p w14:paraId="1F2584ED">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w:t>
            </w:r>
          </w:p>
        </w:tc>
        <w:tc>
          <w:tcPr>
            <w:tcW w:w="1860" w:type="pct"/>
            <w:noWrap/>
            <w:vAlign w:val="center"/>
          </w:tcPr>
          <w:p w14:paraId="42247830">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轿门开门限制装置</w:t>
            </w:r>
          </w:p>
        </w:tc>
        <w:tc>
          <w:tcPr>
            <w:tcW w:w="2784" w:type="pct"/>
            <w:noWrap/>
            <w:vAlign w:val="center"/>
          </w:tcPr>
          <w:p w14:paraId="6CBC55FB">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工作正常</w:t>
            </w:r>
          </w:p>
        </w:tc>
      </w:tr>
      <w:tr w14:paraId="296325A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2" w:hRule="atLeast"/>
        </w:trPr>
        <w:tc>
          <w:tcPr>
            <w:tcW w:w="356" w:type="pct"/>
            <w:noWrap/>
            <w:vAlign w:val="center"/>
          </w:tcPr>
          <w:p w14:paraId="447C0A8A">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13</w:t>
            </w:r>
          </w:p>
        </w:tc>
        <w:tc>
          <w:tcPr>
            <w:tcW w:w="1860" w:type="pct"/>
            <w:noWrap/>
            <w:vAlign w:val="center"/>
          </w:tcPr>
          <w:p w14:paraId="795AD04E">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对重缓冲距</w:t>
            </w:r>
          </w:p>
        </w:tc>
        <w:tc>
          <w:tcPr>
            <w:tcW w:w="2784" w:type="pct"/>
            <w:noWrap/>
            <w:vAlign w:val="center"/>
          </w:tcPr>
          <w:p w14:paraId="001D6D2C">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符合标准</w:t>
            </w:r>
          </w:p>
        </w:tc>
      </w:tr>
      <w:tr w14:paraId="6B48A13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2" w:hRule="atLeast"/>
        </w:trPr>
        <w:tc>
          <w:tcPr>
            <w:tcW w:w="356" w:type="pct"/>
            <w:noWrap/>
            <w:vAlign w:val="center"/>
          </w:tcPr>
          <w:p w14:paraId="091BD756">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14</w:t>
            </w:r>
          </w:p>
        </w:tc>
        <w:tc>
          <w:tcPr>
            <w:tcW w:w="1860" w:type="pct"/>
            <w:noWrap/>
            <w:vAlign w:val="center"/>
          </w:tcPr>
          <w:p w14:paraId="06BA9A52">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补偿链（绳）与轿厢、对重接合处</w:t>
            </w:r>
          </w:p>
        </w:tc>
        <w:tc>
          <w:tcPr>
            <w:tcW w:w="2784" w:type="pct"/>
            <w:noWrap/>
            <w:vAlign w:val="center"/>
          </w:tcPr>
          <w:p w14:paraId="5995813D">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固定、无松动</w:t>
            </w:r>
          </w:p>
        </w:tc>
      </w:tr>
      <w:tr w14:paraId="061DFE5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3" w:hRule="atLeast"/>
        </w:trPr>
        <w:tc>
          <w:tcPr>
            <w:tcW w:w="356" w:type="pct"/>
            <w:noWrap/>
            <w:vAlign w:val="center"/>
          </w:tcPr>
          <w:p w14:paraId="19889DA8">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15</w:t>
            </w:r>
          </w:p>
        </w:tc>
        <w:tc>
          <w:tcPr>
            <w:tcW w:w="1860" w:type="pct"/>
            <w:noWrap/>
            <w:vAlign w:val="center"/>
          </w:tcPr>
          <w:p w14:paraId="677C2522">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上下极限开关</w:t>
            </w:r>
          </w:p>
        </w:tc>
        <w:tc>
          <w:tcPr>
            <w:tcW w:w="2784" w:type="pct"/>
            <w:noWrap/>
            <w:vAlign w:val="center"/>
          </w:tcPr>
          <w:p w14:paraId="637A2196">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工作正常</w:t>
            </w:r>
          </w:p>
        </w:tc>
      </w:tr>
    </w:tbl>
    <w:p w14:paraId="755F0816">
      <w:pPr>
        <w:pStyle w:val="113"/>
        <w:spacing w:line="360" w:lineRule="exact"/>
        <w:ind w:firstLine="0" w:firstLineChars="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（4）年度维保项目（内容）和要求</w:t>
      </w:r>
    </w:p>
    <w:tbl>
      <w:tblPr>
        <w:tblStyle w:val="37"/>
        <w:tblW w:w="5000"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38"/>
        <w:gridCol w:w="5078"/>
        <w:gridCol w:w="2806"/>
      </w:tblGrid>
      <w:tr w14:paraId="1F078B8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2" w:hRule="atLeast"/>
        </w:trPr>
        <w:tc>
          <w:tcPr>
            <w:tcW w:w="374" w:type="pct"/>
            <w:noWrap/>
            <w:vAlign w:val="center"/>
          </w:tcPr>
          <w:p w14:paraId="4489AC7C">
            <w:pPr>
              <w:spacing w:line="360" w:lineRule="exact"/>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序号</w:t>
            </w:r>
          </w:p>
        </w:tc>
        <w:tc>
          <w:tcPr>
            <w:tcW w:w="2979" w:type="pct"/>
            <w:noWrap/>
            <w:vAlign w:val="center"/>
          </w:tcPr>
          <w:p w14:paraId="0803F39D">
            <w:pPr>
              <w:spacing w:line="360" w:lineRule="exact"/>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维保项目（内容）</w:t>
            </w:r>
          </w:p>
        </w:tc>
        <w:tc>
          <w:tcPr>
            <w:tcW w:w="1646" w:type="pct"/>
            <w:noWrap/>
            <w:vAlign w:val="center"/>
          </w:tcPr>
          <w:p w14:paraId="7F4AEEE8">
            <w:pPr>
              <w:spacing w:line="360" w:lineRule="exact"/>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维保基本要求</w:t>
            </w:r>
          </w:p>
        </w:tc>
      </w:tr>
      <w:tr w14:paraId="6B33427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2" w:hRule="atLeast"/>
        </w:trPr>
        <w:tc>
          <w:tcPr>
            <w:tcW w:w="374" w:type="pct"/>
            <w:noWrap/>
            <w:vAlign w:val="center"/>
          </w:tcPr>
          <w:p w14:paraId="223E9192">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2979" w:type="pct"/>
            <w:noWrap/>
            <w:vAlign w:val="center"/>
          </w:tcPr>
          <w:p w14:paraId="3CBBFB07">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减速机润滑油</w:t>
            </w:r>
          </w:p>
        </w:tc>
        <w:tc>
          <w:tcPr>
            <w:tcW w:w="1646" w:type="pct"/>
            <w:noWrap/>
            <w:vAlign w:val="center"/>
          </w:tcPr>
          <w:p w14:paraId="5E1AACA5">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按照制造单位要求适时更换，保证油质符合要求</w:t>
            </w:r>
          </w:p>
        </w:tc>
      </w:tr>
      <w:tr w14:paraId="1462AFB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8" w:hRule="atLeast"/>
        </w:trPr>
        <w:tc>
          <w:tcPr>
            <w:tcW w:w="374" w:type="pct"/>
            <w:noWrap/>
            <w:vAlign w:val="center"/>
          </w:tcPr>
          <w:p w14:paraId="36261C0D">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2979" w:type="pct"/>
            <w:noWrap/>
            <w:vAlign w:val="center"/>
          </w:tcPr>
          <w:p w14:paraId="2C3C22E2">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控制柜接触器，继电器触点</w:t>
            </w:r>
          </w:p>
        </w:tc>
        <w:tc>
          <w:tcPr>
            <w:tcW w:w="1646" w:type="pct"/>
            <w:noWrap/>
            <w:vAlign w:val="center"/>
          </w:tcPr>
          <w:p w14:paraId="1B072A23">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接触良好</w:t>
            </w:r>
          </w:p>
        </w:tc>
      </w:tr>
      <w:tr w14:paraId="2F5327B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1" w:hRule="atLeast"/>
        </w:trPr>
        <w:tc>
          <w:tcPr>
            <w:tcW w:w="374" w:type="pct"/>
            <w:noWrap/>
            <w:vAlign w:val="center"/>
          </w:tcPr>
          <w:p w14:paraId="70A0994E">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p>
        </w:tc>
        <w:tc>
          <w:tcPr>
            <w:tcW w:w="2979" w:type="pct"/>
            <w:noWrap/>
            <w:vAlign w:val="center"/>
          </w:tcPr>
          <w:p w14:paraId="278B93A5">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制动器铁芯（柱塞）</w:t>
            </w:r>
          </w:p>
        </w:tc>
        <w:tc>
          <w:tcPr>
            <w:tcW w:w="1646" w:type="pct"/>
            <w:noWrap/>
            <w:vAlign w:val="center"/>
          </w:tcPr>
          <w:p w14:paraId="58A046A5">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进行清洁、润滑、检查，磨损量不超过制造单位要求</w:t>
            </w:r>
          </w:p>
        </w:tc>
      </w:tr>
      <w:tr w14:paraId="121575C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1" w:hRule="atLeast"/>
        </w:trPr>
        <w:tc>
          <w:tcPr>
            <w:tcW w:w="374" w:type="pct"/>
            <w:noWrap/>
            <w:vAlign w:val="center"/>
          </w:tcPr>
          <w:p w14:paraId="068FB8EE">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w:t>
            </w:r>
          </w:p>
        </w:tc>
        <w:tc>
          <w:tcPr>
            <w:tcW w:w="2979" w:type="pct"/>
            <w:noWrap/>
            <w:vAlign w:val="center"/>
          </w:tcPr>
          <w:p w14:paraId="35B38DA6">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制动器制动能力</w:t>
            </w:r>
          </w:p>
        </w:tc>
        <w:tc>
          <w:tcPr>
            <w:tcW w:w="1646" w:type="pct"/>
            <w:noWrap/>
            <w:vAlign w:val="center"/>
          </w:tcPr>
          <w:p w14:paraId="2E1E15DE">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符合制造单位要求，保持有足够的制动力，必要时进行轿厢125%额定载重量的制动试验</w:t>
            </w:r>
          </w:p>
        </w:tc>
      </w:tr>
      <w:tr w14:paraId="14F55FA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8" w:hRule="atLeast"/>
        </w:trPr>
        <w:tc>
          <w:tcPr>
            <w:tcW w:w="374" w:type="pct"/>
            <w:noWrap/>
            <w:vAlign w:val="center"/>
          </w:tcPr>
          <w:p w14:paraId="134DF341">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2979" w:type="pct"/>
            <w:noWrap/>
            <w:vAlign w:val="center"/>
          </w:tcPr>
          <w:p w14:paraId="447E938A">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导电回路绝缘性能测试</w:t>
            </w:r>
          </w:p>
        </w:tc>
        <w:tc>
          <w:tcPr>
            <w:tcW w:w="1646" w:type="pct"/>
            <w:noWrap/>
            <w:vAlign w:val="center"/>
          </w:tcPr>
          <w:p w14:paraId="6AFC50F1">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符合标准</w:t>
            </w:r>
          </w:p>
        </w:tc>
      </w:tr>
      <w:tr w14:paraId="7097F2C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406" w:hRule="atLeast"/>
        </w:trPr>
        <w:tc>
          <w:tcPr>
            <w:tcW w:w="374" w:type="pct"/>
            <w:tcBorders>
              <w:top w:val="single" w:color="auto" w:sz="6" w:space="0"/>
              <w:left w:val="single" w:color="auto" w:sz="12" w:space="0"/>
              <w:bottom w:val="single" w:color="auto" w:sz="6" w:space="0"/>
              <w:right w:val="single" w:color="auto" w:sz="6" w:space="0"/>
            </w:tcBorders>
            <w:noWrap/>
            <w:vAlign w:val="center"/>
          </w:tcPr>
          <w:p w14:paraId="2BB19CB9">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w:t>
            </w:r>
          </w:p>
        </w:tc>
        <w:tc>
          <w:tcPr>
            <w:tcW w:w="2979" w:type="pct"/>
            <w:tcBorders>
              <w:top w:val="single" w:color="auto" w:sz="6" w:space="0"/>
              <w:left w:val="single" w:color="auto" w:sz="6" w:space="0"/>
              <w:bottom w:val="single" w:color="auto" w:sz="6" w:space="0"/>
              <w:right w:val="single" w:color="auto" w:sz="6" w:space="0"/>
            </w:tcBorders>
            <w:noWrap/>
            <w:vAlign w:val="center"/>
          </w:tcPr>
          <w:p w14:paraId="6FAB526C">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限速器安全钳联动试验（对于使用年限不超过15年的限速器，每2年进行一次限速器动作速度校验；对于使用年限超过15年的限速器，每1年进行一次限速器动作速度校验</w:t>
            </w:r>
          </w:p>
        </w:tc>
        <w:tc>
          <w:tcPr>
            <w:tcW w:w="1646" w:type="pct"/>
            <w:tcBorders>
              <w:top w:val="single" w:color="auto" w:sz="6" w:space="0"/>
              <w:left w:val="single" w:color="auto" w:sz="6" w:space="0"/>
              <w:bottom w:val="single" w:color="auto" w:sz="6" w:space="0"/>
              <w:right w:val="single" w:color="auto" w:sz="12" w:space="0"/>
            </w:tcBorders>
            <w:noWrap/>
            <w:vAlign w:val="center"/>
          </w:tcPr>
          <w:p w14:paraId="68713C4B">
            <w:pPr>
              <w:spacing w:line="360" w:lineRule="exact"/>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工作正常</w:t>
            </w:r>
            <w:r>
              <w:rPr>
                <w:rFonts w:hint="eastAsia" w:ascii="宋体" w:hAnsi="宋体" w:cs="宋体"/>
                <w:color w:val="auto"/>
                <w:sz w:val="21"/>
                <w:szCs w:val="21"/>
                <w:highlight w:val="none"/>
                <w:lang w:eastAsia="zh-CN"/>
              </w:rPr>
              <w:t>（以项目现场的电梯使用时间为准）</w:t>
            </w:r>
          </w:p>
        </w:tc>
      </w:tr>
      <w:tr w14:paraId="045F45A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8" w:hRule="atLeast"/>
        </w:trPr>
        <w:tc>
          <w:tcPr>
            <w:tcW w:w="374" w:type="pct"/>
            <w:tcBorders>
              <w:top w:val="single" w:color="auto" w:sz="6" w:space="0"/>
              <w:left w:val="single" w:color="auto" w:sz="12" w:space="0"/>
              <w:bottom w:val="single" w:color="auto" w:sz="6" w:space="0"/>
              <w:right w:val="single" w:color="auto" w:sz="6" w:space="0"/>
            </w:tcBorders>
            <w:noWrap/>
            <w:vAlign w:val="center"/>
          </w:tcPr>
          <w:p w14:paraId="59D526D7">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w:t>
            </w:r>
          </w:p>
        </w:tc>
        <w:tc>
          <w:tcPr>
            <w:tcW w:w="2979" w:type="pct"/>
            <w:tcBorders>
              <w:top w:val="single" w:color="auto" w:sz="6" w:space="0"/>
              <w:left w:val="single" w:color="auto" w:sz="6" w:space="0"/>
              <w:bottom w:val="single" w:color="auto" w:sz="6" w:space="0"/>
              <w:right w:val="single" w:color="auto" w:sz="6" w:space="0"/>
            </w:tcBorders>
            <w:noWrap/>
            <w:vAlign w:val="center"/>
          </w:tcPr>
          <w:p w14:paraId="2F7D1D06">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上行超速保护装置动作试验</w:t>
            </w:r>
          </w:p>
        </w:tc>
        <w:tc>
          <w:tcPr>
            <w:tcW w:w="1646" w:type="pct"/>
            <w:tcBorders>
              <w:top w:val="single" w:color="auto" w:sz="6" w:space="0"/>
              <w:left w:val="single" w:color="auto" w:sz="6" w:space="0"/>
              <w:bottom w:val="single" w:color="auto" w:sz="6" w:space="0"/>
              <w:right w:val="single" w:color="auto" w:sz="12" w:space="0"/>
            </w:tcBorders>
            <w:noWrap/>
            <w:vAlign w:val="center"/>
          </w:tcPr>
          <w:p w14:paraId="3B641D23">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工作正常</w:t>
            </w:r>
          </w:p>
        </w:tc>
      </w:tr>
      <w:tr w14:paraId="7170CC5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8" w:hRule="atLeast"/>
        </w:trPr>
        <w:tc>
          <w:tcPr>
            <w:tcW w:w="374" w:type="pct"/>
            <w:tcBorders>
              <w:top w:val="single" w:color="auto" w:sz="6" w:space="0"/>
              <w:left w:val="single" w:color="auto" w:sz="12" w:space="0"/>
              <w:bottom w:val="single" w:color="auto" w:sz="6" w:space="0"/>
              <w:right w:val="single" w:color="auto" w:sz="6" w:space="0"/>
            </w:tcBorders>
            <w:noWrap/>
            <w:vAlign w:val="center"/>
          </w:tcPr>
          <w:p w14:paraId="5F50F333">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w:t>
            </w:r>
          </w:p>
        </w:tc>
        <w:tc>
          <w:tcPr>
            <w:tcW w:w="2979" w:type="pct"/>
            <w:tcBorders>
              <w:top w:val="single" w:color="auto" w:sz="6" w:space="0"/>
              <w:left w:val="single" w:color="auto" w:sz="6" w:space="0"/>
              <w:bottom w:val="single" w:color="auto" w:sz="6" w:space="0"/>
              <w:right w:val="single" w:color="auto" w:sz="6" w:space="0"/>
            </w:tcBorders>
            <w:noWrap/>
            <w:vAlign w:val="center"/>
          </w:tcPr>
          <w:p w14:paraId="0C8A0D8D">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轿厢意外移动保护装置动作试验</w:t>
            </w:r>
          </w:p>
        </w:tc>
        <w:tc>
          <w:tcPr>
            <w:tcW w:w="1646" w:type="pct"/>
            <w:tcBorders>
              <w:top w:val="single" w:color="auto" w:sz="6" w:space="0"/>
              <w:left w:val="single" w:color="auto" w:sz="6" w:space="0"/>
              <w:bottom w:val="single" w:color="auto" w:sz="6" w:space="0"/>
              <w:right w:val="single" w:color="auto" w:sz="12" w:space="0"/>
            </w:tcBorders>
            <w:noWrap/>
            <w:vAlign w:val="center"/>
          </w:tcPr>
          <w:p w14:paraId="451AD1D2">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工作正常</w:t>
            </w:r>
          </w:p>
        </w:tc>
      </w:tr>
      <w:tr w14:paraId="0F1FF74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1" w:hRule="atLeast"/>
        </w:trPr>
        <w:tc>
          <w:tcPr>
            <w:tcW w:w="374" w:type="pct"/>
            <w:tcBorders>
              <w:top w:val="single" w:color="auto" w:sz="6" w:space="0"/>
              <w:left w:val="single" w:color="auto" w:sz="12" w:space="0"/>
              <w:bottom w:val="single" w:color="auto" w:sz="6" w:space="0"/>
              <w:right w:val="single" w:color="auto" w:sz="6" w:space="0"/>
            </w:tcBorders>
            <w:noWrap/>
            <w:vAlign w:val="center"/>
          </w:tcPr>
          <w:p w14:paraId="4B1A68EE">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w:t>
            </w:r>
          </w:p>
        </w:tc>
        <w:tc>
          <w:tcPr>
            <w:tcW w:w="2979" w:type="pct"/>
            <w:tcBorders>
              <w:top w:val="single" w:color="auto" w:sz="6" w:space="0"/>
              <w:left w:val="single" w:color="auto" w:sz="6" w:space="0"/>
              <w:bottom w:val="single" w:color="auto" w:sz="6" w:space="0"/>
              <w:right w:val="single" w:color="auto" w:sz="6" w:space="0"/>
            </w:tcBorders>
            <w:noWrap/>
            <w:vAlign w:val="center"/>
          </w:tcPr>
          <w:p w14:paraId="3414F7F4">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轿顶、轿厢架、轿门及其附件安装螺栓</w:t>
            </w:r>
          </w:p>
        </w:tc>
        <w:tc>
          <w:tcPr>
            <w:tcW w:w="1646" w:type="pct"/>
            <w:tcBorders>
              <w:top w:val="single" w:color="auto" w:sz="6" w:space="0"/>
              <w:left w:val="single" w:color="auto" w:sz="6" w:space="0"/>
              <w:bottom w:val="single" w:color="auto" w:sz="6" w:space="0"/>
              <w:right w:val="single" w:color="auto" w:sz="12" w:space="0"/>
            </w:tcBorders>
            <w:noWrap/>
            <w:vAlign w:val="center"/>
          </w:tcPr>
          <w:p w14:paraId="1C59FB12">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紧固</w:t>
            </w:r>
          </w:p>
        </w:tc>
      </w:tr>
      <w:tr w14:paraId="0E69EC4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8" w:hRule="atLeast"/>
        </w:trPr>
        <w:tc>
          <w:tcPr>
            <w:tcW w:w="374" w:type="pct"/>
            <w:tcBorders>
              <w:top w:val="single" w:color="auto" w:sz="6" w:space="0"/>
              <w:left w:val="single" w:color="auto" w:sz="12" w:space="0"/>
              <w:bottom w:val="single" w:color="auto" w:sz="6" w:space="0"/>
              <w:right w:val="single" w:color="auto" w:sz="6" w:space="0"/>
            </w:tcBorders>
            <w:noWrap/>
            <w:vAlign w:val="center"/>
          </w:tcPr>
          <w:p w14:paraId="1F198B3B">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w:t>
            </w:r>
          </w:p>
        </w:tc>
        <w:tc>
          <w:tcPr>
            <w:tcW w:w="2979" w:type="pct"/>
            <w:tcBorders>
              <w:top w:val="single" w:color="auto" w:sz="6" w:space="0"/>
              <w:left w:val="single" w:color="auto" w:sz="6" w:space="0"/>
              <w:bottom w:val="single" w:color="auto" w:sz="6" w:space="0"/>
              <w:right w:val="single" w:color="auto" w:sz="6" w:space="0"/>
            </w:tcBorders>
            <w:noWrap/>
            <w:vAlign w:val="center"/>
          </w:tcPr>
          <w:p w14:paraId="1570FC22">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轿厢和对重的导轨支架</w:t>
            </w:r>
          </w:p>
        </w:tc>
        <w:tc>
          <w:tcPr>
            <w:tcW w:w="1646" w:type="pct"/>
            <w:tcBorders>
              <w:top w:val="single" w:color="auto" w:sz="6" w:space="0"/>
              <w:left w:val="single" w:color="auto" w:sz="6" w:space="0"/>
              <w:bottom w:val="single" w:color="auto" w:sz="6" w:space="0"/>
              <w:right w:val="single" w:color="auto" w:sz="12" w:space="0"/>
            </w:tcBorders>
            <w:noWrap/>
            <w:vAlign w:val="center"/>
          </w:tcPr>
          <w:p w14:paraId="5CE36B30">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固定，无松动 </w:t>
            </w:r>
          </w:p>
        </w:tc>
      </w:tr>
      <w:tr w14:paraId="1B344C5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7" w:hRule="atLeast"/>
        </w:trPr>
        <w:tc>
          <w:tcPr>
            <w:tcW w:w="374" w:type="pct"/>
            <w:tcBorders>
              <w:top w:val="single" w:color="auto" w:sz="6" w:space="0"/>
              <w:left w:val="single" w:color="auto" w:sz="12" w:space="0"/>
              <w:bottom w:val="single" w:color="auto" w:sz="6" w:space="0"/>
              <w:right w:val="single" w:color="auto" w:sz="6" w:space="0"/>
            </w:tcBorders>
            <w:noWrap/>
            <w:vAlign w:val="center"/>
          </w:tcPr>
          <w:p w14:paraId="242FA1BC">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w:t>
            </w:r>
          </w:p>
        </w:tc>
        <w:tc>
          <w:tcPr>
            <w:tcW w:w="2979" w:type="pct"/>
            <w:tcBorders>
              <w:top w:val="single" w:color="auto" w:sz="6" w:space="0"/>
              <w:left w:val="single" w:color="auto" w:sz="6" w:space="0"/>
              <w:bottom w:val="single" w:color="auto" w:sz="6" w:space="0"/>
              <w:right w:val="single" w:color="auto" w:sz="6" w:space="0"/>
            </w:tcBorders>
            <w:noWrap/>
            <w:vAlign w:val="center"/>
          </w:tcPr>
          <w:p w14:paraId="11A08AD1">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轿厢和对重的导轨</w:t>
            </w:r>
          </w:p>
        </w:tc>
        <w:tc>
          <w:tcPr>
            <w:tcW w:w="1646" w:type="pct"/>
            <w:tcBorders>
              <w:top w:val="single" w:color="auto" w:sz="6" w:space="0"/>
              <w:left w:val="single" w:color="auto" w:sz="6" w:space="0"/>
              <w:bottom w:val="single" w:color="auto" w:sz="6" w:space="0"/>
              <w:right w:val="single" w:color="auto" w:sz="12" w:space="0"/>
            </w:tcBorders>
            <w:noWrap/>
            <w:vAlign w:val="center"/>
          </w:tcPr>
          <w:p w14:paraId="2AB93A41">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清洁，压板牢固</w:t>
            </w:r>
          </w:p>
        </w:tc>
      </w:tr>
      <w:tr w14:paraId="1B878E5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8" w:hRule="atLeast"/>
        </w:trPr>
        <w:tc>
          <w:tcPr>
            <w:tcW w:w="374" w:type="pct"/>
            <w:tcBorders>
              <w:top w:val="single" w:color="auto" w:sz="6" w:space="0"/>
              <w:left w:val="single" w:color="auto" w:sz="12" w:space="0"/>
              <w:bottom w:val="single" w:color="auto" w:sz="6" w:space="0"/>
              <w:right w:val="single" w:color="auto" w:sz="6" w:space="0"/>
            </w:tcBorders>
            <w:noWrap/>
            <w:vAlign w:val="center"/>
          </w:tcPr>
          <w:p w14:paraId="5DDF10B8">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w:t>
            </w:r>
          </w:p>
        </w:tc>
        <w:tc>
          <w:tcPr>
            <w:tcW w:w="2979" w:type="pct"/>
            <w:tcBorders>
              <w:top w:val="single" w:color="auto" w:sz="6" w:space="0"/>
              <w:left w:val="single" w:color="auto" w:sz="6" w:space="0"/>
              <w:bottom w:val="single" w:color="auto" w:sz="6" w:space="0"/>
              <w:right w:val="single" w:color="auto" w:sz="6" w:space="0"/>
            </w:tcBorders>
            <w:noWrap/>
            <w:vAlign w:val="center"/>
          </w:tcPr>
          <w:p w14:paraId="0862F83B">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随行电缆</w:t>
            </w:r>
          </w:p>
        </w:tc>
        <w:tc>
          <w:tcPr>
            <w:tcW w:w="1646" w:type="pct"/>
            <w:tcBorders>
              <w:top w:val="single" w:color="auto" w:sz="6" w:space="0"/>
              <w:left w:val="single" w:color="auto" w:sz="6" w:space="0"/>
              <w:bottom w:val="single" w:color="auto" w:sz="6" w:space="0"/>
              <w:right w:val="single" w:color="auto" w:sz="12" w:space="0"/>
            </w:tcBorders>
            <w:noWrap/>
            <w:vAlign w:val="center"/>
          </w:tcPr>
          <w:p w14:paraId="27CF008A">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无损伤</w:t>
            </w:r>
          </w:p>
        </w:tc>
      </w:tr>
      <w:tr w14:paraId="1ACDD07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8" w:hRule="atLeast"/>
        </w:trPr>
        <w:tc>
          <w:tcPr>
            <w:tcW w:w="374" w:type="pct"/>
            <w:tcBorders>
              <w:top w:val="single" w:color="auto" w:sz="6" w:space="0"/>
              <w:left w:val="single" w:color="auto" w:sz="12" w:space="0"/>
              <w:bottom w:val="single" w:color="auto" w:sz="6" w:space="0"/>
              <w:right w:val="single" w:color="auto" w:sz="6" w:space="0"/>
            </w:tcBorders>
            <w:noWrap/>
            <w:vAlign w:val="center"/>
          </w:tcPr>
          <w:p w14:paraId="15E94141">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13</w:t>
            </w:r>
          </w:p>
        </w:tc>
        <w:tc>
          <w:tcPr>
            <w:tcW w:w="2979" w:type="pct"/>
            <w:tcBorders>
              <w:top w:val="single" w:color="auto" w:sz="6" w:space="0"/>
              <w:left w:val="single" w:color="auto" w:sz="6" w:space="0"/>
              <w:bottom w:val="single" w:color="auto" w:sz="6" w:space="0"/>
              <w:right w:val="single" w:color="auto" w:sz="6" w:space="0"/>
            </w:tcBorders>
            <w:noWrap/>
            <w:vAlign w:val="center"/>
          </w:tcPr>
          <w:p w14:paraId="4E44F191">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层门装置和地坎</w:t>
            </w:r>
          </w:p>
        </w:tc>
        <w:tc>
          <w:tcPr>
            <w:tcW w:w="1646" w:type="pct"/>
            <w:tcBorders>
              <w:top w:val="single" w:color="auto" w:sz="6" w:space="0"/>
              <w:left w:val="single" w:color="auto" w:sz="6" w:space="0"/>
              <w:bottom w:val="single" w:color="auto" w:sz="6" w:space="0"/>
              <w:right w:val="single" w:color="auto" w:sz="12" w:space="0"/>
            </w:tcBorders>
            <w:noWrap/>
            <w:vAlign w:val="center"/>
          </w:tcPr>
          <w:p w14:paraId="077744E5">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无影响正常使用的变形，各安装螺栓紧固</w:t>
            </w:r>
          </w:p>
        </w:tc>
      </w:tr>
      <w:tr w14:paraId="507DA85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8" w:hRule="atLeast"/>
        </w:trPr>
        <w:tc>
          <w:tcPr>
            <w:tcW w:w="374" w:type="pct"/>
            <w:tcBorders>
              <w:top w:val="single" w:color="auto" w:sz="6" w:space="0"/>
              <w:left w:val="single" w:color="auto" w:sz="12" w:space="0"/>
              <w:bottom w:val="single" w:color="auto" w:sz="6" w:space="0"/>
              <w:right w:val="single" w:color="auto" w:sz="6" w:space="0"/>
            </w:tcBorders>
            <w:noWrap/>
            <w:vAlign w:val="center"/>
          </w:tcPr>
          <w:p w14:paraId="46FC6C3E">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14</w:t>
            </w:r>
          </w:p>
        </w:tc>
        <w:tc>
          <w:tcPr>
            <w:tcW w:w="2979" w:type="pct"/>
            <w:tcBorders>
              <w:top w:val="single" w:color="auto" w:sz="6" w:space="0"/>
              <w:left w:val="single" w:color="auto" w:sz="6" w:space="0"/>
              <w:bottom w:val="single" w:color="auto" w:sz="6" w:space="0"/>
              <w:right w:val="single" w:color="auto" w:sz="6" w:space="0"/>
            </w:tcBorders>
            <w:noWrap/>
            <w:vAlign w:val="center"/>
          </w:tcPr>
          <w:p w14:paraId="0B475445">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轿厢称重装置</w:t>
            </w:r>
          </w:p>
        </w:tc>
        <w:tc>
          <w:tcPr>
            <w:tcW w:w="1646" w:type="pct"/>
            <w:tcBorders>
              <w:top w:val="single" w:color="auto" w:sz="6" w:space="0"/>
              <w:left w:val="single" w:color="auto" w:sz="6" w:space="0"/>
              <w:bottom w:val="single" w:color="auto" w:sz="6" w:space="0"/>
              <w:right w:val="single" w:color="auto" w:sz="12" w:space="0"/>
            </w:tcBorders>
            <w:noWrap/>
            <w:vAlign w:val="center"/>
          </w:tcPr>
          <w:p w14:paraId="74C1F91F">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准确有效</w:t>
            </w:r>
          </w:p>
        </w:tc>
      </w:tr>
      <w:tr w14:paraId="702324D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8" w:hRule="atLeast"/>
        </w:trPr>
        <w:tc>
          <w:tcPr>
            <w:tcW w:w="374" w:type="pct"/>
            <w:tcBorders>
              <w:top w:val="single" w:color="auto" w:sz="6" w:space="0"/>
              <w:left w:val="single" w:color="auto" w:sz="12" w:space="0"/>
              <w:bottom w:val="single" w:color="auto" w:sz="6" w:space="0"/>
              <w:right w:val="single" w:color="auto" w:sz="6" w:space="0"/>
            </w:tcBorders>
            <w:noWrap/>
            <w:vAlign w:val="center"/>
          </w:tcPr>
          <w:p w14:paraId="7843299B">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15</w:t>
            </w:r>
          </w:p>
        </w:tc>
        <w:tc>
          <w:tcPr>
            <w:tcW w:w="2979" w:type="pct"/>
            <w:tcBorders>
              <w:top w:val="single" w:color="auto" w:sz="6" w:space="0"/>
              <w:left w:val="single" w:color="auto" w:sz="6" w:space="0"/>
              <w:bottom w:val="single" w:color="auto" w:sz="6" w:space="0"/>
              <w:right w:val="single" w:color="auto" w:sz="6" w:space="0"/>
            </w:tcBorders>
            <w:noWrap/>
            <w:vAlign w:val="center"/>
          </w:tcPr>
          <w:p w14:paraId="74B7C773">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安全钳钳座</w:t>
            </w:r>
          </w:p>
        </w:tc>
        <w:tc>
          <w:tcPr>
            <w:tcW w:w="1646" w:type="pct"/>
            <w:tcBorders>
              <w:top w:val="single" w:color="auto" w:sz="6" w:space="0"/>
              <w:left w:val="single" w:color="auto" w:sz="6" w:space="0"/>
              <w:bottom w:val="single" w:color="auto" w:sz="6" w:space="0"/>
              <w:right w:val="single" w:color="auto" w:sz="12" w:space="0"/>
            </w:tcBorders>
            <w:noWrap/>
            <w:vAlign w:val="center"/>
          </w:tcPr>
          <w:p w14:paraId="5444D7AE">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固定，无松动</w:t>
            </w:r>
          </w:p>
        </w:tc>
      </w:tr>
      <w:tr w14:paraId="528A320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8" w:hRule="atLeast"/>
        </w:trPr>
        <w:tc>
          <w:tcPr>
            <w:tcW w:w="374" w:type="pct"/>
            <w:tcBorders>
              <w:top w:val="single" w:color="auto" w:sz="6" w:space="0"/>
              <w:left w:val="single" w:color="auto" w:sz="12" w:space="0"/>
              <w:bottom w:val="single" w:color="auto" w:sz="6" w:space="0"/>
              <w:right w:val="single" w:color="auto" w:sz="6" w:space="0"/>
            </w:tcBorders>
            <w:noWrap/>
            <w:vAlign w:val="center"/>
          </w:tcPr>
          <w:p w14:paraId="4E053A42">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16</w:t>
            </w:r>
          </w:p>
        </w:tc>
        <w:tc>
          <w:tcPr>
            <w:tcW w:w="2979" w:type="pct"/>
            <w:tcBorders>
              <w:top w:val="single" w:color="auto" w:sz="6" w:space="0"/>
              <w:left w:val="single" w:color="auto" w:sz="6" w:space="0"/>
              <w:bottom w:val="single" w:color="auto" w:sz="6" w:space="0"/>
              <w:right w:val="single" w:color="auto" w:sz="6" w:space="0"/>
            </w:tcBorders>
            <w:noWrap/>
            <w:vAlign w:val="center"/>
          </w:tcPr>
          <w:p w14:paraId="5E51CEDD">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轿底各安装螺栓</w:t>
            </w:r>
          </w:p>
        </w:tc>
        <w:tc>
          <w:tcPr>
            <w:tcW w:w="1646" w:type="pct"/>
            <w:tcBorders>
              <w:top w:val="single" w:color="auto" w:sz="6" w:space="0"/>
              <w:left w:val="single" w:color="auto" w:sz="6" w:space="0"/>
              <w:bottom w:val="single" w:color="auto" w:sz="6" w:space="0"/>
              <w:right w:val="single" w:color="auto" w:sz="12" w:space="0"/>
            </w:tcBorders>
            <w:noWrap/>
            <w:vAlign w:val="center"/>
          </w:tcPr>
          <w:p w14:paraId="2373EC2A">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紧固</w:t>
            </w:r>
          </w:p>
        </w:tc>
      </w:tr>
      <w:tr w14:paraId="1B89697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5" w:hRule="atLeast"/>
        </w:trPr>
        <w:tc>
          <w:tcPr>
            <w:tcW w:w="374" w:type="pct"/>
            <w:tcBorders>
              <w:top w:val="single" w:color="auto" w:sz="6" w:space="0"/>
              <w:left w:val="single" w:color="auto" w:sz="12" w:space="0"/>
              <w:bottom w:val="single" w:color="auto" w:sz="12" w:space="0"/>
              <w:right w:val="single" w:color="auto" w:sz="6" w:space="0"/>
            </w:tcBorders>
            <w:noWrap/>
            <w:vAlign w:val="center"/>
          </w:tcPr>
          <w:p w14:paraId="24949E81">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17</w:t>
            </w:r>
          </w:p>
        </w:tc>
        <w:tc>
          <w:tcPr>
            <w:tcW w:w="2979" w:type="pct"/>
            <w:tcBorders>
              <w:top w:val="single" w:color="auto" w:sz="6" w:space="0"/>
              <w:left w:val="single" w:color="auto" w:sz="6" w:space="0"/>
              <w:bottom w:val="single" w:color="auto" w:sz="12" w:space="0"/>
              <w:right w:val="single" w:color="auto" w:sz="6" w:space="0"/>
            </w:tcBorders>
            <w:noWrap/>
            <w:vAlign w:val="center"/>
          </w:tcPr>
          <w:p w14:paraId="04443D46">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缓冲器</w:t>
            </w:r>
          </w:p>
        </w:tc>
        <w:tc>
          <w:tcPr>
            <w:tcW w:w="1646" w:type="pct"/>
            <w:tcBorders>
              <w:top w:val="single" w:color="auto" w:sz="6" w:space="0"/>
              <w:left w:val="single" w:color="auto" w:sz="6" w:space="0"/>
              <w:bottom w:val="single" w:color="auto" w:sz="12" w:space="0"/>
              <w:right w:val="single" w:color="auto" w:sz="12" w:space="0"/>
            </w:tcBorders>
            <w:noWrap/>
            <w:vAlign w:val="center"/>
          </w:tcPr>
          <w:p w14:paraId="384AB939">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固定，无松动</w:t>
            </w:r>
          </w:p>
        </w:tc>
      </w:tr>
    </w:tbl>
    <w:p w14:paraId="2D8EBD96">
      <w:pPr>
        <w:spacing w:before="180" w:beforeLines="50" w:after="180" w:afterLines="50" w:line="360" w:lineRule="exact"/>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附件三：《服务质量检验标准及评分细则（电梯保养工作适用）》</w:t>
      </w:r>
    </w:p>
    <w:tbl>
      <w:tblPr>
        <w:tblStyle w:val="3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28"/>
        <w:gridCol w:w="4436"/>
        <w:gridCol w:w="1310"/>
        <w:gridCol w:w="2248"/>
      </w:tblGrid>
      <w:tr w14:paraId="298F61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5000" w:type="pct"/>
            <w:gridSpan w:val="4"/>
            <w:noWrap/>
            <w:vAlign w:val="center"/>
          </w:tcPr>
          <w:p w14:paraId="187AFFFF">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服务质量检验标准及评分细则（电梯保养工作适用）</w:t>
            </w:r>
          </w:p>
        </w:tc>
      </w:tr>
      <w:tr w14:paraId="63A1C8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455" w:type="pct"/>
            <w:noWrap/>
            <w:vAlign w:val="center"/>
          </w:tcPr>
          <w:p w14:paraId="6430AC94">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分类</w:t>
            </w:r>
          </w:p>
        </w:tc>
        <w:tc>
          <w:tcPr>
            <w:tcW w:w="1825" w:type="pct"/>
            <w:noWrap/>
            <w:vAlign w:val="center"/>
          </w:tcPr>
          <w:p w14:paraId="50D2693C">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检查标准</w:t>
            </w:r>
          </w:p>
        </w:tc>
        <w:tc>
          <w:tcPr>
            <w:tcW w:w="1157" w:type="pct"/>
            <w:noWrap/>
            <w:vAlign w:val="center"/>
          </w:tcPr>
          <w:p w14:paraId="288A9692">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检验方法</w:t>
            </w:r>
          </w:p>
        </w:tc>
        <w:tc>
          <w:tcPr>
            <w:tcW w:w="1561" w:type="pct"/>
            <w:noWrap/>
            <w:vAlign w:val="center"/>
          </w:tcPr>
          <w:p w14:paraId="369857F8">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评分标准</w:t>
            </w:r>
          </w:p>
        </w:tc>
      </w:tr>
      <w:tr w14:paraId="4244E9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5" w:type="pct"/>
            <w:vMerge w:val="restart"/>
            <w:noWrap/>
            <w:vAlign w:val="center"/>
          </w:tcPr>
          <w:p w14:paraId="3EDB3054">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电</w:t>
            </w:r>
          </w:p>
          <w:p w14:paraId="03B32B00">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梯</w:t>
            </w:r>
          </w:p>
          <w:p w14:paraId="07E84C0F">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机</w:t>
            </w:r>
          </w:p>
          <w:p w14:paraId="136AC52C">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房</w:t>
            </w:r>
          </w:p>
        </w:tc>
        <w:tc>
          <w:tcPr>
            <w:tcW w:w="1825" w:type="pct"/>
            <w:noWrap/>
            <w:vAlign w:val="center"/>
          </w:tcPr>
          <w:p w14:paraId="28422E80">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1﹑机房及设备清洁5S</w:t>
            </w:r>
          </w:p>
        </w:tc>
        <w:tc>
          <w:tcPr>
            <w:tcW w:w="1157" w:type="pct"/>
            <w:noWrap/>
            <w:vAlign w:val="center"/>
          </w:tcPr>
          <w:p w14:paraId="1F379AA9">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561" w:type="pct"/>
            <w:noWrap/>
            <w:vAlign w:val="center"/>
          </w:tcPr>
          <w:p w14:paraId="64A818B9">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单台机房不合格，扣0.2分</w:t>
            </w:r>
          </w:p>
        </w:tc>
      </w:tr>
      <w:tr w14:paraId="181CEC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trPr>
        <w:tc>
          <w:tcPr>
            <w:tcW w:w="455" w:type="pct"/>
            <w:vMerge w:val="continue"/>
            <w:noWrap/>
            <w:vAlign w:val="center"/>
          </w:tcPr>
          <w:p w14:paraId="7E4C3606">
            <w:pPr>
              <w:spacing w:line="360" w:lineRule="exact"/>
              <w:jc w:val="center"/>
              <w:rPr>
                <w:rFonts w:hint="eastAsia" w:ascii="宋体" w:hAnsi="宋体" w:eastAsia="宋体" w:cs="宋体"/>
                <w:color w:val="auto"/>
                <w:sz w:val="21"/>
                <w:szCs w:val="21"/>
                <w:highlight w:val="none"/>
              </w:rPr>
            </w:pPr>
          </w:p>
        </w:tc>
        <w:tc>
          <w:tcPr>
            <w:tcW w:w="1825" w:type="pct"/>
            <w:noWrap/>
            <w:vAlign w:val="center"/>
          </w:tcPr>
          <w:p w14:paraId="538D0420">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2﹑控制线路整齐有序</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连接紧固</w:t>
            </w:r>
          </w:p>
        </w:tc>
        <w:tc>
          <w:tcPr>
            <w:tcW w:w="1157" w:type="pct"/>
            <w:noWrap/>
            <w:vAlign w:val="center"/>
          </w:tcPr>
          <w:p w14:paraId="53EF0479">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561" w:type="pct"/>
            <w:noWrap/>
            <w:vAlign w:val="center"/>
          </w:tcPr>
          <w:p w14:paraId="06E0EC99">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单台机房不合格，扣0.2分</w:t>
            </w:r>
          </w:p>
        </w:tc>
      </w:tr>
      <w:tr w14:paraId="5B66AD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455" w:type="pct"/>
            <w:vMerge w:val="continue"/>
            <w:noWrap/>
            <w:vAlign w:val="center"/>
          </w:tcPr>
          <w:p w14:paraId="43C25BDC">
            <w:pPr>
              <w:spacing w:line="360" w:lineRule="exact"/>
              <w:jc w:val="center"/>
              <w:rPr>
                <w:rFonts w:hint="eastAsia" w:ascii="宋体" w:hAnsi="宋体" w:eastAsia="宋体" w:cs="宋体"/>
                <w:color w:val="auto"/>
                <w:sz w:val="21"/>
                <w:szCs w:val="21"/>
                <w:highlight w:val="none"/>
              </w:rPr>
            </w:pPr>
          </w:p>
        </w:tc>
        <w:tc>
          <w:tcPr>
            <w:tcW w:w="1825" w:type="pct"/>
            <w:noWrap/>
            <w:vAlign w:val="center"/>
          </w:tcPr>
          <w:p w14:paraId="0D08C63D">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3﹑控制柜相关运行指示正常</w:t>
            </w:r>
          </w:p>
        </w:tc>
        <w:tc>
          <w:tcPr>
            <w:tcW w:w="1157" w:type="pct"/>
            <w:noWrap/>
            <w:vAlign w:val="center"/>
          </w:tcPr>
          <w:p w14:paraId="1B0B0B0B">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561" w:type="pct"/>
            <w:noWrap/>
            <w:vAlign w:val="center"/>
          </w:tcPr>
          <w:p w14:paraId="057FAFA4">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单台机房不合格，扣0.2分</w:t>
            </w:r>
          </w:p>
        </w:tc>
      </w:tr>
      <w:tr w14:paraId="32ADD6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455" w:type="pct"/>
            <w:vMerge w:val="continue"/>
            <w:noWrap/>
            <w:vAlign w:val="center"/>
          </w:tcPr>
          <w:p w14:paraId="79DB4E81">
            <w:pPr>
              <w:spacing w:line="360" w:lineRule="exact"/>
              <w:jc w:val="center"/>
              <w:rPr>
                <w:rFonts w:hint="eastAsia" w:ascii="宋体" w:hAnsi="宋体" w:eastAsia="宋体" w:cs="宋体"/>
                <w:color w:val="auto"/>
                <w:sz w:val="21"/>
                <w:szCs w:val="21"/>
                <w:highlight w:val="none"/>
              </w:rPr>
            </w:pPr>
          </w:p>
        </w:tc>
        <w:tc>
          <w:tcPr>
            <w:tcW w:w="1825" w:type="pct"/>
            <w:noWrap/>
            <w:vAlign w:val="center"/>
          </w:tcPr>
          <w:p w14:paraId="3BFCC012">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4﹑与轿厢内的对讲系统运行正常</w:t>
            </w:r>
          </w:p>
        </w:tc>
        <w:tc>
          <w:tcPr>
            <w:tcW w:w="1157" w:type="pct"/>
            <w:noWrap/>
            <w:vAlign w:val="center"/>
          </w:tcPr>
          <w:p w14:paraId="7BC1C3CE">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561" w:type="pct"/>
            <w:noWrap/>
            <w:vAlign w:val="center"/>
          </w:tcPr>
          <w:p w14:paraId="17A49AD3">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单台梯不合格，扣0.2分</w:t>
            </w:r>
          </w:p>
        </w:tc>
      </w:tr>
      <w:tr w14:paraId="112F89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5" w:type="pct"/>
            <w:vMerge w:val="continue"/>
            <w:noWrap/>
            <w:vAlign w:val="center"/>
          </w:tcPr>
          <w:p w14:paraId="1E945A15">
            <w:pPr>
              <w:spacing w:line="360" w:lineRule="exact"/>
              <w:jc w:val="center"/>
              <w:rPr>
                <w:rFonts w:hint="eastAsia" w:ascii="宋体" w:hAnsi="宋体" w:eastAsia="宋体" w:cs="宋体"/>
                <w:color w:val="auto"/>
                <w:sz w:val="21"/>
                <w:szCs w:val="21"/>
                <w:highlight w:val="none"/>
              </w:rPr>
            </w:pPr>
          </w:p>
        </w:tc>
        <w:tc>
          <w:tcPr>
            <w:tcW w:w="1825" w:type="pct"/>
            <w:noWrap/>
            <w:vAlign w:val="center"/>
          </w:tcPr>
          <w:p w14:paraId="29F7C13B">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5﹑抱闸装置是否灵活</w:t>
            </w:r>
          </w:p>
        </w:tc>
        <w:tc>
          <w:tcPr>
            <w:tcW w:w="1157" w:type="pct"/>
            <w:noWrap/>
            <w:vAlign w:val="center"/>
          </w:tcPr>
          <w:p w14:paraId="54981FE9">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561" w:type="pct"/>
            <w:noWrap/>
            <w:vAlign w:val="center"/>
          </w:tcPr>
          <w:p w14:paraId="3662174B">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单台梯不合格，扣0.5分</w:t>
            </w:r>
          </w:p>
        </w:tc>
      </w:tr>
      <w:tr w14:paraId="11608C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5" w:type="pct"/>
            <w:vMerge w:val="continue"/>
            <w:noWrap/>
            <w:vAlign w:val="center"/>
          </w:tcPr>
          <w:p w14:paraId="018FBF20">
            <w:pPr>
              <w:spacing w:line="360" w:lineRule="exact"/>
              <w:jc w:val="center"/>
              <w:rPr>
                <w:rFonts w:hint="eastAsia" w:ascii="宋体" w:hAnsi="宋体" w:eastAsia="宋体" w:cs="宋体"/>
                <w:color w:val="auto"/>
                <w:sz w:val="21"/>
                <w:szCs w:val="21"/>
                <w:highlight w:val="none"/>
              </w:rPr>
            </w:pPr>
          </w:p>
        </w:tc>
        <w:tc>
          <w:tcPr>
            <w:tcW w:w="1825" w:type="pct"/>
            <w:noWrap/>
            <w:vAlign w:val="center"/>
          </w:tcPr>
          <w:p w14:paraId="57EA154D">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6﹑曵引机运行无</w:t>
            </w:r>
            <w:r>
              <w:rPr>
                <w:rFonts w:hint="eastAsia" w:ascii="宋体" w:hAnsi="宋体" w:cs="宋体"/>
                <w:color w:val="auto"/>
                <w:sz w:val="21"/>
                <w:szCs w:val="21"/>
                <w:highlight w:val="none"/>
                <w:lang w:eastAsia="zh-CN"/>
              </w:rPr>
              <w:t>明显</w:t>
            </w:r>
            <w:r>
              <w:rPr>
                <w:rFonts w:hint="eastAsia" w:ascii="宋体" w:hAnsi="宋体" w:eastAsia="宋体" w:cs="宋体"/>
                <w:color w:val="auto"/>
                <w:sz w:val="21"/>
                <w:szCs w:val="21"/>
                <w:highlight w:val="none"/>
              </w:rPr>
              <w:t>异响</w:t>
            </w:r>
          </w:p>
          <w:p w14:paraId="02A94B8B">
            <w:pPr>
              <w:spacing w:line="360" w:lineRule="exact"/>
              <w:ind w:firstLine="210" w:firstLineChars="1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（≦85db）﹑无严重漏油现象</w:t>
            </w:r>
          </w:p>
        </w:tc>
        <w:tc>
          <w:tcPr>
            <w:tcW w:w="1157" w:type="pct"/>
            <w:noWrap/>
            <w:vAlign w:val="center"/>
          </w:tcPr>
          <w:p w14:paraId="3297951C">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561" w:type="pct"/>
            <w:noWrap/>
            <w:vAlign w:val="center"/>
          </w:tcPr>
          <w:p w14:paraId="36804735">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单台梯不合格，扣0.2分</w:t>
            </w:r>
          </w:p>
        </w:tc>
      </w:tr>
      <w:tr w14:paraId="72DB7E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455" w:type="pct"/>
            <w:vMerge w:val="continue"/>
            <w:noWrap/>
            <w:vAlign w:val="center"/>
          </w:tcPr>
          <w:p w14:paraId="0E93F26F">
            <w:pPr>
              <w:spacing w:line="360" w:lineRule="exact"/>
              <w:jc w:val="center"/>
              <w:rPr>
                <w:rFonts w:hint="eastAsia" w:ascii="宋体" w:hAnsi="宋体" w:eastAsia="宋体" w:cs="宋体"/>
                <w:color w:val="auto"/>
                <w:sz w:val="21"/>
                <w:szCs w:val="21"/>
                <w:highlight w:val="none"/>
              </w:rPr>
            </w:pPr>
          </w:p>
        </w:tc>
        <w:tc>
          <w:tcPr>
            <w:tcW w:w="1825" w:type="pct"/>
            <w:noWrap/>
            <w:vAlign w:val="center"/>
          </w:tcPr>
          <w:p w14:paraId="138E80AC">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7﹑限速器开关动作有效</w:t>
            </w:r>
          </w:p>
        </w:tc>
        <w:tc>
          <w:tcPr>
            <w:tcW w:w="1157" w:type="pct"/>
            <w:noWrap/>
            <w:vAlign w:val="center"/>
          </w:tcPr>
          <w:p w14:paraId="72C15898">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561" w:type="pct"/>
            <w:noWrap/>
            <w:vAlign w:val="center"/>
          </w:tcPr>
          <w:p w14:paraId="62E45737">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每检查一处不合格，扣0.5分</w:t>
            </w:r>
          </w:p>
        </w:tc>
      </w:tr>
      <w:tr w14:paraId="351474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455" w:type="pct"/>
            <w:vMerge w:val="continue"/>
            <w:noWrap/>
            <w:vAlign w:val="center"/>
          </w:tcPr>
          <w:p w14:paraId="06ED568B">
            <w:pPr>
              <w:spacing w:line="360" w:lineRule="exact"/>
              <w:jc w:val="center"/>
              <w:rPr>
                <w:rFonts w:hint="eastAsia" w:ascii="宋体" w:hAnsi="宋体" w:eastAsia="宋体" w:cs="宋体"/>
                <w:color w:val="auto"/>
                <w:sz w:val="21"/>
                <w:szCs w:val="21"/>
                <w:highlight w:val="none"/>
              </w:rPr>
            </w:pPr>
          </w:p>
        </w:tc>
        <w:tc>
          <w:tcPr>
            <w:tcW w:w="1825" w:type="pct"/>
            <w:noWrap/>
            <w:vAlign w:val="center"/>
          </w:tcPr>
          <w:p w14:paraId="77D25DB2">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8﹑钢强楼层指示线标正确</w:t>
            </w:r>
          </w:p>
        </w:tc>
        <w:tc>
          <w:tcPr>
            <w:tcW w:w="1157" w:type="pct"/>
            <w:noWrap/>
            <w:vAlign w:val="center"/>
          </w:tcPr>
          <w:p w14:paraId="732B706A">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561" w:type="pct"/>
            <w:noWrap/>
            <w:vAlign w:val="center"/>
          </w:tcPr>
          <w:p w14:paraId="60A758FA">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单台梯不合格，扣0.5分</w:t>
            </w:r>
          </w:p>
        </w:tc>
      </w:tr>
      <w:tr w14:paraId="45F0AE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trPr>
        <w:tc>
          <w:tcPr>
            <w:tcW w:w="455" w:type="pct"/>
            <w:vMerge w:val="restart"/>
            <w:noWrap/>
            <w:vAlign w:val="center"/>
          </w:tcPr>
          <w:p w14:paraId="45569EA5">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轿</w:t>
            </w:r>
          </w:p>
          <w:p w14:paraId="147EC1DE">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厢</w:t>
            </w:r>
          </w:p>
        </w:tc>
        <w:tc>
          <w:tcPr>
            <w:tcW w:w="1825" w:type="pct"/>
            <w:noWrap/>
            <w:vAlign w:val="center"/>
          </w:tcPr>
          <w:p w14:paraId="73EF5AFB">
            <w:pPr>
              <w:spacing w:line="360" w:lineRule="exact"/>
              <w:ind w:left="210" w:hanging="210" w:hangingChars="1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9﹑电梯运行平稳无明显异响﹑抖动（按年检标准）</w:t>
            </w:r>
          </w:p>
        </w:tc>
        <w:tc>
          <w:tcPr>
            <w:tcW w:w="1157" w:type="pct"/>
            <w:noWrap/>
            <w:vAlign w:val="center"/>
          </w:tcPr>
          <w:p w14:paraId="7F884ABD">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561" w:type="pct"/>
            <w:noWrap/>
            <w:vAlign w:val="center"/>
          </w:tcPr>
          <w:p w14:paraId="7BA97ED0">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每检查一处不合格，扣0.5分</w:t>
            </w:r>
          </w:p>
        </w:tc>
      </w:tr>
      <w:tr w14:paraId="36D186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455" w:type="pct"/>
            <w:vMerge w:val="continue"/>
            <w:noWrap/>
            <w:vAlign w:val="center"/>
          </w:tcPr>
          <w:p w14:paraId="664CFCDE">
            <w:pPr>
              <w:spacing w:line="360" w:lineRule="exact"/>
              <w:jc w:val="center"/>
              <w:rPr>
                <w:rFonts w:hint="eastAsia" w:ascii="宋体" w:hAnsi="宋体" w:eastAsia="宋体" w:cs="宋体"/>
                <w:color w:val="auto"/>
                <w:sz w:val="21"/>
                <w:szCs w:val="21"/>
                <w:highlight w:val="none"/>
              </w:rPr>
            </w:pPr>
          </w:p>
        </w:tc>
        <w:tc>
          <w:tcPr>
            <w:tcW w:w="1825" w:type="pct"/>
            <w:noWrap/>
            <w:vAlign w:val="center"/>
          </w:tcPr>
          <w:p w14:paraId="10BB509F">
            <w:pPr>
              <w:spacing w:line="360" w:lineRule="exact"/>
              <w:ind w:left="420" w:hanging="420" w:hanging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10﹑轿厢照明﹑风扇维修及时性（报修后不超过2小时完成）</w:t>
            </w:r>
          </w:p>
        </w:tc>
        <w:tc>
          <w:tcPr>
            <w:tcW w:w="1157" w:type="pct"/>
            <w:noWrap/>
            <w:vAlign w:val="center"/>
          </w:tcPr>
          <w:p w14:paraId="7419F285">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561" w:type="pct"/>
            <w:noWrap/>
            <w:vAlign w:val="center"/>
          </w:tcPr>
          <w:p w14:paraId="3DDFB910">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单台梯不合格，扣0.2分</w:t>
            </w:r>
          </w:p>
        </w:tc>
      </w:tr>
      <w:tr w14:paraId="2ED660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455" w:type="pct"/>
            <w:vMerge w:val="continue"/>
            <w:noWrap/>
            <w:vAlign w:val="center"/>
          </w:tcPr>
          <w:p w14:paraId="7E3181BE">
            <w:pPr>
              <w:spacing w:line="360" w:lineRule="exact"/>
              <w:jc w:val="center"/>
              <w:rPr>
                <w:rFonts w:hint="eastAsia" w:ascii="宋体" w:hAnsi="宋体" w:eastAsia="宋体" w:cs="宋体"/>
                <w:color w:val="auto"/>
                <w:sz w:val="21"/>
                <w:szCs w:val="21"/>
                <w:highlight w:val="none"/>
              </w:rPr>
            </w:pPr>
          </w:p>
        </w:tc>
        <w:tc>
          <w:tcPr>
            <w:tcW w:w="1825" w:type="pct"/>
            <w:noWrap/>
            <w:vAlign w:val="center"/>
          </w:tcPr>
          <w:p w14:paraId="136D434C">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11﹑超载动作及报警装置正常</w:t>
            </w:r>
          </w:p>
        </w:tc>
        <w:tc>
          <w:tcPr>
            <w:tcW w:w="1157" w:type="pct"/>
            <w:noWrap/>
            <w:vAlign w:val="center"/>
          </w:tcPr>
          <w:p w14:paraId="048D3B70">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561" w:type="pct"/>
            <w:noWrap/>
            <w:vAlign w:val="center"/>
          </w:tcPr>
          <w:p w14:paraId="4D029190">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单台梯不合格，扣0.5分</w:t>
            </w:r>
          </w:p>
        </w:tc>
      </w:tr>
      <w:tr w14:paraId="6E3E0B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455" w:type="pct"/>
            <w:vMerge w:val="continue"/>
            <w:noWrap/>
            <w:vAlign w:val="center"/>
          </w:tcPr>
          <w:p w14:paraId="73AB0135">
            <w:pPr>
              <w:spacing w:line="360" w:lineRule="exact"/>
              <w:jc w:val="center"/>
              <w:rPr>
                <w:rFonts w:hint="eastAsia" w:ascii="宋体" w:hAnsi="宋体" w:eastAsia="宋体" w:cs="宋体"/>
                <w:color w:val="auto"/>
                <w:sz w:val="21"/>
                <w:szCs w:val="21"/>
                <w:highlight w:val="none"/>
              </w:rPr>
            </w:pPr>
          </w:p>
        </w:tc>
        <w:tc>
          <w:tcPr>
            <w:tcW w:w="1825" w:type="pct"/>
            <w:noWrap/>
            <w:vAlign w:val="center"/>
          </w:tcPr>
          <w:p w14:paraId="401EBFE4">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12﹑层门轨道内无杂﹑异物</w:t>
            </w:r>
          </w:p>
        </w:tc>
        <w:tc>
          <w:tcPr>
            <w:tcW w:w="1157" w:type="pct"/>
            <w:noWrap/>
            <w:vAlign w:val="center"/>
          </w:tcPr>
          <w:p w14:paraId="6B9E34FA">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561" w:type="pct"/>
            <w:noWrap/>
            <w:vAlign w:val="center"/>
          </w:tcPr>
          <w:p w14:paraId="03367B30">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每检查一处不合格，扣0.2分</w:t>
            </w:r>
          </w:p>
        </w:tc>
      </w:tr>
      <w:tr w14:paraId="181AC8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trPr>
        <w:tc>
          <w:tcPr>
            <w:tcW w:w="455" w:type="pct"/>
            <w:vMerge w:val="continue"/>
            <w:noWrap/>
            <w:vAlign w:val="center"/>
          </w:tcPr>
          <w:p w14:paraId="3FFB288C">
            <w:pPr>
              <w:spacing w:line="360" w:lineRule="exact"/>
              <w:jc w:val="center"/>
              <w:rPr>
                <w:rFonts w:hint="eastAsia" w:ascii="宋体" w:hAnsi="宋体" w:eastAsia="宋体" w:cs="宋体"/>
                <w:color w:val="auto"/>
                <w:sz w:val="21"/>
                <w:szCs w:val="21"/>
                <w:highlight w:val="none"/>
              </w:rPr>
            </w:pPr>
          </w:p>
        </w:tc>
        <w:tc>
          <w:tcPr>
            <w:tcW w:w="1825" w:type="pct"/>
            <w:noWrap/>
            <w:vAlign w:val="center"/>
          </w:tcPr>
          <w:p w14:paraId="1EA5732F">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13﹑轿门﹑层门保护装置动作有效</w:t>
            </w:r>
          </w:p>
        </w:tc>
        <w:tc>
          <w:tcPr>
            <w:tcW w:w="1157" w:type="pct"/>
            <w:noWrap/>
            <w:vAlign w:val="center"/>
          </w:tcPr>
          <w:p w14:paraId="0FF1F2CC">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561" w:type="pct"/>
            <w:noWrap/>
            <w:vAlign w:val="center"/>
          </w:tcPr>
          <w:p w14:paraId="648D4AFF">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每检查一处不合格，扣0.2分</w:t>
            </w:r>
          </w:p>
        </w:tc>
      </w:tr>
      <w:tr w14:paraId="60B8D1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455" w:type="pct"/>
            <w:vMerge w:val="continue"/>
            <w:noWrap/>
            <w:vAlign w:val="center"/>
          </w:tcPr>
          <w:p w14:paraId="1CA2B059">
            <w:pPr>
              <w:spacing w:line="360" w:lineRule="exact"/>
              <w:jc w:val="center"/>
              <w:rPr>
                <w:rFonts w:hint="eastAsia" w:ascii="宋体" w:hAnsi="宋体" w:eastAsia="宋体" w:cs="宋体"/>
                <w:color w:val="auto"/>
                <w:sz w:val="21"/>
                <w:szCs w:val="21"/>
                <w:highlight w:val="none"/>
              </w:rPr>
            </w:pPr>
          </w:p>
        </w:tc>
        <w:tc>
          <w:tcPr>
            <w:tcW w:w="1825" w:type="pct"/>
            <w:noWrap/>
            <w:vAlign w:val="center"/>
          </w:tcPr>
          <w:p w14:paraId="2E530400">
            <w:pPr>
              <w:spacing w:line="360" w:lineRule="exact"/>
              <w:ind w:left="420" w:hanging="420" w:hanging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14﹑轿厢平层准确﹑开门正常（误差≦15mm</w:t>
            </w:r>
            <w:r>
              <w:rPr>
                <w:rFonts w:hint="eastAsia" w:ascii="宋体" w:hAnsi="宋体" w:cs="宋体"/>
                <w:color w:val="auto"/>
                <w:sz w:val="21"/>
                <w:szCs w:val="21"/>
                <w:highlight w:val="none"/>
                <w:lang w:eastAsia="zh-CN"/>
              </w:rPr>
              <w:t>）</w:t>
            </w:r>
          </w:p>
        </w:tc>
        <w:tc>
          <w:tcPr>
            <w:tcW w:w="1157" w:type="pct"/>
            <w:noWrap/>
            <w:vAlign w:val="center"/>
          </w:tcPr>
          <w:p w14:paraId="4762F22C">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561" w:type="pct"/>
            <w:noWrap/>
            <w:vAlign w:val="center"/>
          </w:tcPr>
          <w:p w14:paraId="77DA1DB7">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单台梯不合格，扣0.2分</w:t>
            </w:r>
          </w:p>
        </w:tc>
      </w:tr>
      <w:tr w14:paraId="2F253E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455" w:type="pct"/>
            <w:vMerge w:val="continue"/>
            <w:noWrap/>
            <w:vAlign w:val="center"/>
          </w:tcPr>
          <w:p w14:paraId="0719E7A8">
            <w:pPr>
              <w:spacing w:line="360" w:lineRule="exact"/>
              <w:jc w:val="center"/>
              <w:rPr>
                <w:rFonts w:hint="eastAsia" w:ascii="宋体" w:hAnsi="宋体" w:eastAsia="宋体" w:cs="宋体"/>
                <w:color w:val="auto"/>
                <w:sz w:val="21"/>
                <w:szCs w:val="21"/>
                <w:highlight w:val="none"/>
              </w:rPr>
            </w:pPr>
          </w:p>
        </w:tc>
        <w:tc>
          <w:tcPr>
            <w:tcW w:w="1825" w:type="pct"/>
            <w:noWrap/>
            <w:vAlign w:val="center"/>
          </w:tcPr>
          <w:p w14:paraId="21D2BC71">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15﹑门锁完好﹑动作有效</w:t>
            </w:r>
          </w:p>
        </w:tc>
        <w:tc>
          <w:tcPr>
            <w:tcW w:w="1157" w:type="pct"/>
            <w:noWrap/>
            <w:vAlign w:val="center"/>
          </w:tcPr>
          <w:p w14:paraId="1062099E">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561" w:type="pct"/>
            <w:noWrap/>
            <w:vAlign w:val="center"/>
          </w:tcPr>
          <w:p w14:paraId="58F2F0A1">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单台梯不合格，扣0.5分</w:t>
            </w:r>
          </w:p>
        </w:tc>
      </w:tr>
      <w:tr w14:paraId="3BBE12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455" w:type="pct"/>
            <w:vMerge w:val="continue"/>
            <w:noWrap/>
            <w:vAlign w:val="center"/>
          </w:tcPr>
          <w:p w14:paraId="0E1A3909">
            <w:pPr>
              <w:spacing w:line="360" w:lineRule="exact"/>
              <w:jc w:val="center"/>
              <w:rPr>
                <w:rFonts w:hint="eastAsia" w:ascii="宋体" w:hAnsi="宋体" w:eastAsia="宋体" w:cs="宋体"/>
                <w:color w:val="auto"/>
                <w:sz w:val="21"/>
                <w:szCs w:val="21"/>
                <w:highlight w:val="none"/>
              </w:rPr>
            </w:pPr>
          </w:p>
        </w:tc>
        <w:tc>
          <w:tcPr>
            <w:tcW w:w="1825" w:type="pct"/>
            <w:noWrap/>
            <w:vAlign w:val="center"/>
          </w:tcPr>
          <w:p w14:paraId="344F08F5">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16﹑外呼板动作有效</w:t>
            </w:r>
          </w:p>
        </w:tc>
        <w:tc>
          <w:tcPr>
            <w:tcW w:w="1157" w:type="pct"/>
            <w:noWrap/>
            <w:vAlign w:val="center"/>
          </w:tcPr>
          <w:p w14:paraId="25568BB4">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561" w:type="pct"/>
            <w:noWrap/>
            <w:vAlign w:val="center"/>
          </w:tcPr>
          <w:p w14:paraId="0028F627">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每检查一处不合格，扣0.2分</w:t>
            </w:r>
          </w:p>
        </w:tc>
      </w:tr>
      <w:tr w14:paraId="76C87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455" w:type="pct"/>
            <w:vMerge w:val="continue"/>
            <w:noWrap/>
            <w:vAlign w:val="center"/>
          </w:tcPr>
          <w:p w14:paraId="1609D1DC">
            <w:pPr>
              <w:spacing w:line="360" w:lineRule="exact"/>
              <w:jc w:val="center"/>
              <w:rPr>
                <w:rFonts w:hint="eastAsia" w:ascii="宋体" w:hAnsi="宋体" w:eastAsia="宋体" w:cs="宋体"/>
                <w:color w:val="auto"/>
                <w:sz w:val="21"/>
                <w:szCs w:val="21"/>
                <w:highlight w:val="none"/>
              </w:rPr>
            </w:pPr>
          </w:p>
        </w:tc>
        <w:tc>
          <w:tcPr>
            <w:tcW w:w="1825" w:type="pct"/>
            <w:noWrap/>
            <w:vAlign w:val="center"/>
          </w:tcPr>
          <w:p w14:paraId="255863D1">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17﹑轿顶开关动作有效</w:t>
            </w:r>
          </w:p>
        </w:tc>
        <w:tc>
          <w:tcPr>
            <w:tcW w:w="1157" w:type="pct"/>
            <w:noWrap/>
            <w:vAlign w:val="center"/>
          </w:tcPr>
          <w:p w14:paraId="6FE1E908">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561" w:type="pct"/>
            <w:noWrap/>
            <w:vAlign w:val="center"/>
          </w:tcPr>
          <w:p w14:paraId="37BB9B6A">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每检查一处不合格，扣0.2分</w:t>
            </w:r>
          </w:p>
        </w:tc>
      </w:tr>
      <w:tr w14:paraId="1B9B69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455" w:type="pct"/>
            <w:vMerge w:val="restart"/>
            <w:noWrap/>
            <w:vAlign w:val="center"/>
          </w:tcPr>
          <w:p w14:paraId="2C237232">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井</w:t>
            </w:r>
          </w:p>
          <w:p w14:paraId="3F8C551F">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道</w:t>
            </w:r>
          </w:p>
        </w:tc>
        <w:tc>
          <w:tcPr>
            <w:tcW w:w="1825" w:type="pct"/>
            <w:noWrap/>
            <w:vAlign w:val="center"/>
          </w:tcPr>
          <w:p w14:paraId="66DD14FF">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18﹑安全钳﹑极限开关动作有效</w:t>
            </w:r>
          </w:p>
        </w:tc>
        <w:tc>
          <w:tcPr>
            <w:tcW w:w="1157" w:type="pct"/>
            <w:noWrap/>
            <w:vAlign w:val="center"/>
          </w:tcPr>
          <w:p w14:paraId="35311159">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561" w:type="pct"/>
            <w:noWrap/>
            <w:vAlign w:val="center"/>
          </w:tcPr>
          <w:p w14:paraId="35E1F47F">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每检查一处不合格，扣0.5分</w:t>
            </w:r>
          </w:p>
        </w:tc>
      </w:tr>
      <w:tr w14:paraId="23B00B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455" w:type="pct"/>
            <w:vMerge w:val="continue"/>
            <w:noWrap/>
            <w:vAlign w:val="center"/>
          </w:tcPr>
          <w:p w14:paraId="64B9DB35">
            <w:pPr>
              <w:spacing w:line="360" w:lineRule="exact"/>
              <w:jc w:val="center"/>
              <w:rPr>
                <w:rFonts w:hint="eastAsia" w:ascii="宋体" w:hAnsi="宋体" w:eastAsia="宋体" w:cs="宋体"/>
                <w:color w:val="auto"/>
                <w:sz w:val="21"/>
                <w:szCs w:val="21"/>
                <w:highlight w:val="none"/>
              </w:rPr>
            </w:pPr>
          </w:p>
        </w:tc>
        <w:tc>
          <w:tcPr>
            <w:tcW w:w="1825" w:type="pct"/>
            <w:noWrap/>
            <w:vAlign w:val="center"/>
          </w:tcPr>
          <w:p w14:paraId="3599866A">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19﹑底坑内安全开关动作有效</w:t>
            </w:r>
          </w:p>
        </w:tc>
        <w:tc>
          <w:tcPr>
            <w:tcW w:w="1157" w:type="pct"/>
            <w:noWrap/>
            <w:vAlign w:val="center"/>
          </w:tcPr>
          <w:p w14:paraId="3A79B284">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561" w:type="pct"/>
            <w:noWrap/>
            <w:vAlign w:val="center"/>
          </w:tcPr>
          <w:p w14:paraId="3AFA6C03">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每检查一处不合格，扣0.5分</w:t>
            </w:r>
          </w:p>
        </w:tc>
      </w:tr>
      <w:tr w14:paraId="1C75EB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455" w:type="pct"/>
            <w:vMerge w:val="continue"/>
            <w:noWrap/>
            <w:vAlign w:val="center"/>
          </w:tcPr>
          <w:p w14:paraId="253065E6">
            <w:pPr>
              <w:spacing w:line="360" w:lineRule="exact"/>
              <w:jc w:val="center"/>
              <w:rPr>
                <w:rFonts w:hint="eastAsia" w:ascii="宋体" w:hAnsi="宋体" w:eastAsia="宋体" w:cs="宋体"/>
                <w:color w:val="auto"/>
                <w:sz w:val="21"/>
                <w:szCs w:val="21"/>
                <w:highlight w:val="none"/>
              </w:rPr>
            </w:pPr>
          </w:p>
        </w:tc>
        <w:tc>
          <w:tcPr>
            <w:tcW w:w="1825" w:type="pct"/>
            <w:noWrap/>
            <w:vAlign w:val="center"/>
          </w:tcPr>
          <w:p w14:paraId="02BC4F5F">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20﹑轨道无明显油垢﹑无锈蚀</w:t>
            </w:r>
          </w:p>
        </w:tc>
        <w:tc>
          <w:tcPr>
            <w:tcW w:w="1157" w:type="pct"/>
            <w:noWrap/>
            <w:vAlign w:val="center"/>
          </w:tcPr>
          <w:p w14:paraId="6EA7230F">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561" w:type="pct"/>
            <w:noWrap/>
            <w:vAlign w:val="center"/>
          </w:tcPr>
          <w:p w14:paraId="11780EEE">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每检查一处不合格，扣0.2分</w:t>
            </w:r>
          </w:p>
        </w:tc>
      </w:tr>
      <w:tr w14:paraId="0A0AB7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455" w:type="pct"/>
            <w:vMerge w:val="continue"/>
            <w:noWrap/>
            <w:vAlign w:val="center"/>
          </w:tcPr>
          <w:p w14:paraId="74296CA8">
            <w:pPr>
              <w:spacing w:line="360" w:lineRule="exact"/>
              <w:jc w:val="center"/>
              <w:rPr>
                <w:rFonts w:hint="eastAsia" w:ascii="宋体" w:hAnsi="宋体" w:eastAsia="宋体" w:cs="宋体"/>
                <w:color w:val="auto"/>
                <w:sz w:val="21"/>
                <w:szCs w:val="21"/>
                <w:highlight w:val="none"/>
              </w:rPr>
            </w:pPr>
          </w:p>
        </w:tc>
        <w:tc>
          <w:tcPr>
            <w:tcW w:w="1825" w:type="pct"/>
            <w:noWrap/>
            <w:vAlign w:val="center"/>
          </w:tcPr>
          <w:p w14:paraId="6E7A21FD">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21﹑缓冲器复位开关动作有效</w:t>
            </w:r>
          </w:p>
        </w:tc>
        <w:tc>
          <w:tcPr>
            <w:tcW w:w="1157" w:type="pct"/>
            <w:noWrap/>
            <w:vAlign w:val="center"/>
          </w:tcPr>
          <w:p w14:paraId="63FF8F75">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561" w:type="pct"/>
            <w:noWrap/>
            <w:vAlign w:val="center"/>
          </w:tcPr>
          <w:p w14:paraId="0FCF6E7B">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每检查一处不合格，扣0.2分</w:t>
            </w:r>
          </w:p>
        </w:tc>
      </w:tr>
      <w:tr w14:paraId="36344A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455" w:type="pct"/>
            <w:vMerge w:val="continue"/>
            <w:noWrap/>
            <w:vAlign w:val="center"/>
          </w:tcPr>
          <w:p w14:paraId="0D946E8E">
            <w:pPr>
              <w:spacing w:line="360" w:lineRule="exact"/>
              <w:jc w:val="center"/>
              <w:rPr>
                <w:rFonts w:hint="eastAsia" w:ascii="宋体" w:hAnsi="宋体" w:eastAsia="宋体" w:cs="宋体"/>
                <w:color w:val="auto"/>
                <w:sz w:val="21"/>
                <w:szCs w:val="21"/>
                <w:highlight w:val="none"/>
              </w:rPr>
            </w:pPr>
          </w:p>
        </w:tc>
        <w:tc>
          <w:tcPr>
            <w:tcW w:w="1825" w:type="pct"/>
            <w:noWrap/>
            <w:vAlign w:val="center"/>
          </w:tcPr>
          <w:p w14:paraId="3E999CF7">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22﹑随行电缆无安全隐患</w:t>
            </w:r>
          </w:p>
        </w:tc>
        <w:tc>
          <w:tcPr>
            <w:tcW w:w="1157" w:type="pct"/>
            <w:noWrap/>
            <w:vAlign w:val="center"/>
          </w:tcPr>
          <w:p w14:paraId="1AB791DE">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561" w:type="pct"/>
            <w:noWrap/>
            <w:vAlign w:val="center"/>
          </w:tcPr>
          <w:p w14:paraId="7D6CF3B4">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每检查一处不合格，扣0.2分</w:t>
            </w:r>
          </w:p>
        </w:tc>
      </w:tr>
      <w:tr w14:paraId="751FFC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455" w:type="pct"/>
            <w:vMerge w:val="continue"/>
            <w:noWrap/>
            <w:vAlign w:val="center"/>
          </w:tcPr>
          <w:p w14:paraId="4789498D">
            <w:pPr>
              <w:spacing w:line="360" w:lineRule="exact"/>
              <w:jc w:val="center"/>
              <w:rPr>
                <w:rFonts w:hint="eastAsia" w:ascii="宋体" w:hAnsi="宋体" w:eastAsia="宋体" w:cs="宋体"/>
                <w:color w:val="auto"/>
                <w:sz w:val="21"/>
                <w:szCs w:val="21"/>
                <w:highlight w:val="none"/>
              </w:rPr>
            </w:pPr>
          </w:p>
        </w:tc>
        <w:tc>
          <w:tcPr>
            <w:tcW w:w="1825" w:type="pct"/>
            <w:noWrap/>
            <w:vAlign w:val="center"/>
          </w:tcPr>
          <w:p w14:paraId="28EB4CB0">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23﹑井道照明正常</w:t>
            </w:r>
          </w:p>
        </w:tc>
        <w:tc>
          <w:tcPr>
            <w:tcW w:w="1157" w:type="pct"/>
            <w:noWrap/>
            <w:vAlign w:val="center"/>
          </w:tcPr>
          <w:p w14:paraId="08A4071E">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561" w:type="pct"/>
            <w:noWrap/>
            <w:vAlign w:val="center"/>
          </w:tcPr>
          <w:p w14:paraId="6F9D34F6">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每检查一处不合格，扣0.2分</w:t>
            </w:r>
          </w:p>
        </w:tc>
      </w:tr>
      <w:tr w14:paraId="09DC1C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455" w:type="pct"/>
            <w:vMerge w:val="continue"/>
            <w:noWrap/>
            <w:vAlign w:val="center"/>
          </w:tcPr>
          <w:p w14:paraId="4E73CAB6">
            <w:pPr>
              <w:spacing w:line="360" w:lineRule="exact"/>
              <w:jc w:val="center"/>
              <w:rPr>
                <w:rFonts w:hint="eastAsia" w:ascii="宋体" w:hAnsi="宋体" w:eastAsia="宋体" w:cs="宋体"/>
                <w:color w:val="auto"/>
                <w:sz w:val="21"/>
                <w:szCs w:val="21"/>
                <w:highlight w:val="none"/>
              </w:rPr>
            </w:pPr>
          </w:p>
        </w:tc>
        <w:tc>
          <w:tcPr>
            <w:tcW w:w="1825" w:type="pct"/>
            <w:noWrap/>
            <w:vAlign w:val="center"/>
          </w:tcPr>
          <w:p w14:paraId="60476874">
            <w:pPr>
              <w:spacing w:line="360" w:lineRule="exact"/>
              <w:ind w:left="420" w:hanging="420" w:hanging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24﹑油杯油位正常（不低于1/3）﹑无明显漏油现象</w:t>
            </w:r>
          </w:p>
        </w:tc>
        <w:tc>
          <w:tcPr>
            <w:tcW w:w="1157" w:type="pct"/>
            <w:noWrap/>
            <w:vAlign w:val="center"/>
          </w:tcPr>
          <w:p w14:paraId="36D64529">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561" w:type="pct"/>
            <w:noWrap/>
            <w:vAlign w:val="center"/>
          </w:tcPr>
          <w:p w14:paraId="42D85050">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每检查一处不合格，扣0.2分</w:t>
            </w:r>
          </w:p>
        </w:tc>
      </w:tr>
      <w:tr w14:paraId="6C6702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455" w:type="pct"/>
            <w:vMerge w:val="continue"/>
            <w:noWrap/>
            <w:vAlign w:val="center"/>
          </w:tcPr>
          <w:p w14:paraId="66043518">
            <w:pPr>
              <w:spacing w:line="360" w:lineRule="exact"/>
              <w:jc w:val="center"/>
              <w:rPr>
                <w:rFonts w:hint="eastAsia" w:ascii="宋体" w:hAnsi="宋体" w:eastAsia="宋体" w:cs="宋体"/>
                <w:color w:val="auto"/>
                <w:sz w:val="21"/>
                <w:szCs w:val="21"/>
                <w:highlight w:val="none"/>
              </w:rPr>
            </w:pPr>
          </w:p>
        </w:tc>
        <w:tc>
          <w:tcPr>
            <w:tcW w:w="1825" w:type="pct"/>
            <w:noWrap/>
            <w:vAlign w:val="center"/>
          </w:tcPr>
          <w:p w14:paraId="253B398B">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25﹑补偿轮开关动作有效</w:t>
            </w:r>
          </w:p>
        </w:tc>
        <w:tc>
          <w:tcPr>
            <w:tcW w:w="1157" w:type="pct"/>
            <w:noWrap/>
            <w:vAlign w:val="center"/>
          </w:tcPr>
          <w:p w14:paraId="3FC31013">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561" w:type="pct"/>
            <w:noWrap/>
            <w:vAlign w:val="center"/>
          </w:tcPr>
          <w:p w14:paraId="5026D705">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每检查一处不合格，扣0.2分</w:t>
            </w:r>
          </w:p>
        </w:tc>
      </w:tr>
      <w:tr w14:paraId="3438A3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455" w:type="pct"/>
            <w:vMerge w:val="continue"/>
            <w:noWrap/>
            <w:vAlign w:val="center"/>
          </w:tcPr>
          <w:p w14:paraId="3D798D8C">
            <w:pPr>
              <w:spacing w:line="360" w:lineRule="exact"/>
              <w:jc w:val="center"/>
              <w:rPr>
                <w:rFonts w:hint="eastAsia" w:ascii="宋体" w:hAnsi="宋体" w:eastAsia="宋体" w:cs="宋体"/>
                <w:color w:val="auto"/>
                <w:sz w:val="21"/>
                <w:szCs w:val="21"/>
                <w:highlight w:val="none"/>
              </w:rPr>
            </w:pPr>
          </w:p>
        </w:tc>
        <w:tc>
          <w:tcPr>
            <w:tcW w:w="1825" w:type="pct"/>
            <w:noWrap/>
            <w:vAlign w:val="center"/>
          </w:tcPr>
          <w:p w14:paraId="7F2848CC">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26﹑对重﹑轨道</w:t>
            </w:r>
            <w:r>
              <w:rPr>
                <w:rFonts w:hint="eastAsia" w:ascii="宋体" w:hAnsi="宋体" w:cs="宋体"/>
                <w:color w:val="auto"/>
                <w:sz w:val="21"/>
                <w:szCs w:val="21"/>
                <w:highlight w:val="none"/>
                <w:lang w:eastAsia="zh-CN"/>
              </w:rPr>
              <w:t>线</w:t>
            </w:r>
            <w:r>
              <w:rPr>
                <w:rFonts w:hint="eastAsia" w:ascii="宋体" w:hAnsi="宋体" w:eastAsia="宋体" w:cs="宋体"/>
                <w:color w:val="auto"/>
                <w:sz w:val="21"/>
                <w:szCs w:val="21"/>
                <w:highlight w:val="none"/>
              </w:rPr>
              <w:t>等连接螺栓无松动</w:t>
            </w:r>
          </w:p>
        </w:tc>
        <w:tc>
          <w:tcPr>
            <w:tcW w:w="1157" w:type="pct"/>
            <w:noWrap/>
            <w:vAlign w:val="center"/>
          </w:tcPr>
          <w:p w14:paraId="37A18717">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561" w:type="pct"/>
            <w:noWrap/>
            <w:vAlign w:val="center"/>
          </w:tcPr>
          <w:p w14:paraId="58172559">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单台梯不合格，扣0.5分</w:t>
            </w:r>
          </w:p>
        </w:tc>
      </w:tr>
      <w:tr w14:paraId="7B173E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455" w:type="pct"/>
            <w:vMerge w:val="restart"/>
            <w:noWrap/>
            <w:vAlign w:val="center"/>
          </w:tcPr>
          <w:p w14:paraId="2F85F012">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其</w:t>
            </w:r>
          </w:p>
          <w:p w14:paraId="72D07951">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他</w:t>
            </w:r>
          </w:p>
        </w:tc>
        <w:tc>
          <w:tcPr>
            <w:tcW w:w="1825" w:type="pct"/>
            <w:noWrap/>
            <w:vAlign w:val="center"/>
          </w:tcPr>
          <w:p w14:paraId="1D0AAF8A">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27﹑按规定填写升降电梯保养单报告</w:t>
            </w:r>
          </w:p>
        </w:tc>
        <w:tc>
          <w:tcPr>
            <w:tcW w:w="1157" w:type="pct"/>
            <w:noWrap/>
            <w:vAlign w:val="center"/>
          </w:tcPr>
          <w:p w14:paraId="1CC6E864">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561" w:type="pct"/>
            <w:noWrap/>
            <w:vAlign w:val="center"/>
          </w:tcPr>
          <w:p w14:paraId="2ACF87DA">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单台梯不合格，扣0.5分</w:t>
            </w:r>
          </w:p>
        </w:tc>
      </w:tr>
      <w:tr w14:paraId="2FC7BF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455" w:type="pct"/>
            <w:vMerge w:val="continue"/>
            <w:noWrap/>
            <w:vAlign w:val="center"/>
          </w:tcPr>
          <w:p w14:paraId="534C2BCB">
            <w:pPr>
              <w:spacing w:line="360" w:lineRule="exact"/>
              <w:jc w:val="center"/>
              <w:rPr>
                <w:rFonts w:hint="eastAsia" w:ascii="宋体" w:hAnsi="宋体" w:eastAsia="宋体" w:cs="宋体"/>
                <w:color w:val="auto"/>
                <w:sz w:val="21"/>
                <w:szCs w:val="21"/>
                <w:highlight w:val="none"/>
              </w:rPr>
            </w:pPr>
          </w:p>
        </w:tc>
        <w:tc>
          <w:tcPr>
            <w:tcW w:w="1825" w:type="pct"/>
            <w:noWrap/>
            <w:vAlign w:val="center"/>
          </w:tcPr>
          <w:p w14:paraId="4F696ACF">
            <w:pPr>
              <w:spacing w:line="360" w:lineRule="exact"/>
              <w:ind w:left="420" w:hanging="420" w:hanging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28﹑没按规定的流程保养电梯而造成业户的投诉</w:t>
            </w:r>
          </w:p>
        </w:tc>
        <w:tc>
          <w:tcPr>
            <w:tcW w:w="1157" w:type="pct"/>
            <w:noWrap/>
            <w:vAlign w:val="center"/>
          </w:tcPr>
          <w:p w14:paraId="701AFCE2">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561" w:type="pct"/>
            <w:noWrap/>
            <w:vAlign w:val="center"/>
          </w:tcPr>
          <w:p w14:paraId="05D360E6">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单台梯不合格，扣0.5分</w:t>
            </w:r>
          </w:p>
        </w:tc>
      </w:tr>
      <w:tr w14:paraId="5E3907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455" w:type="pct"/>
            <w:vMerge w:val="continue"/>
            <w:noWrap/>
            <w:vAlign w:val="center"/>
          </w:tcPr>
          <w:p w14:paraId="11965A19">
            <w:pPr>
              <w:spacing w:line="360" w:lineRule="exact"/>
              <w:jc w:val="center"/>
              <w:rPr>
                <w:rFonts w:hint="eastAsia" w:ascii="宋体" w:hAnsi="宋体" w:eastAsia="宋体" w:cs="宋体"/>
                <w:color w:val="auto"/>
                <w:sz w:val="21"/>
                <w:szCs w:val="21"/>
                <w:highlight w:val="none"/>
              </w:rPr>
            </w:pPr>
          </w:p>
        </w:tc>
        <w:tc>
          <w:tcPr>
            <w:tcW w:w="1825" w:type="pct"/>
            <w:noWrap/>
            <w:vAlign w:val="center"/>
          </w:tcPr>
          <w:p w14:paraId="5DBA403D">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29﹑报修后不能按时到达维修</w:t>
            </w:r>
          </w:p>
        </w:tc>
        <w:tc>
          <w:tcPr>
            <w:tcW w:w="1157" w:type="pct"/>
            <w:noWrap/>
            <w:vAlign w:val="center"/>
          </w:tcPr>
          <w:p w14:paraId="2E498672">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561" w:type="pct"/>
            <w:noWrap/>
            <w:vAlign w:val="center"/>
          </w:tcPr>
          <w:p w14:paraId="5CF4F361">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每检查一处不合格，扣0.5分</w:t>
            </w:r>
          </w:p>
        </w:tc>
      </w:tr>
      <w:tr w14:paraId="5D1603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trPr>
        <w:tc>
          <w:tcPr>
            <w:tcW w:w="455" w:type="pct"/>
            <w:vMerge w:val="continue"/>
            <w:noWrap/>
            <w:vAlign w:val="center"/>
          </w:tcPr>
          <w:p w14:paraId="3440A6E7">
            <w:pPr>
              <w:spacing w:line="360" w:lineRule="exact"/>
              <w:jc w:val="center"/>
              <w:rPr>
                <w:rFonts w:hint="eastAsia" w:ascii="宋体" w:hAnsi="宋体" w:eastAsia="宋体" w:cs="宋体"/>
                <w:color w:val="auto"/>
                <w:sz w:val="21"/>
                <w:szCs w:val="21"/>
                <w:highlight w:val="none"/>
              </w:rPr>
            </w:pPr>
          </w:p>
        </w:tc>
        <w:tc>
          <w:tcPr>
            <w:tcW w:w="1825" w:type="pct"/>
            <w:noWrap/>
            <w:vAlign w:val="center"/>
          </w:tcPr>
          <w:p w14:paraId="19D527AA">
            <w:pPr>
              <w:spacing w:line="360" w:lineRule="exact"/>
              <w:ind w:left="420" w:hanging="420" w:hanging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30﹑保养或维修时未在每层明显位置放置警示牌（急修除外）</w:t>
            </w:r>
          </w:p>
        </w:tc>
        <w:tc>
          <w:tcPr>
            <w:tcW w:w="1157" w:type="pct"/>
            <w:noWrap/>
            <w:vAlign w:val="center"/>
          </w:tcPr>
          <w:p w14:paraId="0255EA21">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561" w:type="pct"/>
            <w:noWrap/>
            <w:vAlign w:val="center"/>
          </w:tcPr>
          <w:p w14:paraId="5EDA4E98">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单台梯不合格，扣0.2分</w:t>
            </w:r>
          </w:p>
        </w:tc>
      </w:tr>
      <w:tr w14:paraId="7EA818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455" w:type="pct"/>
            <w:vMerge w:val="continue"/>
            <w:noWrap/>
            <w:vAlign w:val="center"/>
          </w:tcPr>
          <w:p w14:paraId="1E1E9FDB">
            <w:pPr>
              <w:spacing w:line="360" w:lineRule="exact"/>
              <w:jc w:val="center"/>
              <w:rPr>
                <w:rFonts w:hint="eastAsia" w:ascii="宋体" w:hAnsi="宋体" w:eastAsia="宋体" w:cs="宋体"/>
                <w:color w:val="auto"/>
                <w:sz w:val="21"/>
                <w:szCs w:val="21"/>
                <w:highlight w:val="none"/>
              </w:rPr>
            </w:pPr>
          </w:p>
        </w:tc>
        <w:tc>
          <w:tcPr>
            <w:tcW w:w="1825" w:type="pct"/>
            <w:noWrap/>
            <w:vAlign w:val="center"/>
          </w:tcPr>
          <w:p w14:paraId="3007215E">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31﹑统一着装</w:t>
            </w:r>
          </w:p>
        </w:tc>
        <w:tc>
          <w:tcPr>
            <w:tcW w:w="1157" w:type="pct"/>
            <w:noWrap/>
            <w:vAlign w:val="center"/>
          </w:tcPr>
          <w:p w14:paraId="65A3D63C">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561" w:type="pct"/>
            <w:noWrap/>
            <w:vAlign w:val="center"/>
          </w:tcPr>
          <w:p w14:paraId="60E05F49">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每检查一处不合格，扣0.2分</w:t>
            </w:r>
          </w:p>
        </w:tc>
      </w:tr>
      <w:tr w14:paraId="650083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455" w:type="pct"/>
            <w:vMerge w:val="continue"/>
            <w:noWrap/>
            <w:vAlign w:val="center"/>
          </w:tcPr>
          <w:p w14:paraId="3F4336E9">
            <w:pPr>
              <w:spacing w:line="360" w:lineRule="exact"/>
              <w:jc w:val="center"/>
              <w:rPr>
                <w:rFonts w:hint="eastAsia" w:ascii="宋体" w:hAnsi="宋体" w:eastAsia="宋体" w:cs="宋体"/>
                <w:color w:val="auto"/>
                <w:sz w:val="21"/>
                <w:szCs w:val="21"/>
                <w:highlight w:val="none"/>
              </w:rPr>
            </w:pPr>
          </w:p>
        </w:tc>
        <w:tc>
          <w:tcPr>
            <w:tcW w:w="1825" w:type="pct"/>
            <w:noWrap/>
            <w:vAlign w:val="center"/>
          </w:tcPr>
          <w:p w14:paraId="12CD1441">
            <w:pPr>
              <w:spacing w:line="360" w:lineRule="exact"/>
              <w:ind w:left="420" w:hanging="420" w:hanging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32﹑保养时未能提前与项目负责人沟通</w:t>
            </w:r>
          </w:p>
        </w:tc>
        <w:tc>
          <w:tcPr>
            <w:tcW w:w="1157" w:type="pct"/>
            <w:noWrap/>
            <w:vAlign w:val="center"/>
          </w:tcPr>
          <w:p w14:paraId="2A4E8887">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561" w:type="pct"/>
            <w:noWrap/>
            <w:vAlign w:val="center"/>
          </w:tcPr>
          <w:p w14:paraId="7D8ED80D">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每一次的不合格，扣0.2分</w:t>
            </w:r>
          </w:p>
        </w:tc>
      </w:tr>
      <w:tr w14:paraId="28D35C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trPr>
        <w:tc>
          <w:tcPr>
            <w:tcW w:w="455" w:type="pct"/>
            <w:vMerge w:val="continue"/>
            <w:noWrap/>
            <w:vAlign w:val="center"/>
          </w:tcPr>
          <w:p w14:paraId="3C8F9456">
            <w:pPr>
              <w:spacing w:line="360" w:lineRule="exact"/>
              <w:jc w:val="center"/>
              <w:rPr>
                <w:rFonts w:hint="eastAsia" w:ascii="宋体" w:hAnsi="宋体" w:eastAsia="宋体" w:cs="宋体"/>
                <w:color w:val="auto"/>
                <w:sz w:val="21"/>
                <w:szCs w:val="21"/>
                <w:highlight w:val="none"/>
              </w:rPr>
            </w:pPr>
          </w:p>
        </w:tc>
        <w:tc>
          <w:tcPr>
            <w:tcW w:w="1825" w:type="pct"/>
            <w:noWrap/>
            <w:vAlign w:val="center"/>
          </w:tcPr>
          <w:p w14:paraId="720BBFE5">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33﹑抽查升降电梯保养报告单，检查项目中保养有弄虚作假的</w:t>
            </w:r>
          </w:p>
        </w:tc>
        <w:tc>
          <w:tcPr>
            <w:tcW w:w="1157" w:type="pct"/>
            <w:noWrap/>
            <w:vAlign w:val="center"/>
          </w:tcPr>
          <w:p w14:paraId="2B8AA551">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561" w:type="pct"/>
            <w:noWrap/>
            <w:vAlign w:val="center"/>
          </w:tcPr>
          <w:p w14:paraId="03F3D32C">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每检查一处不合格，扣0.5分</w:t>
            </w:r>
          </w:p>
        </w:tc>
      </w:tr>
      <w:tr w14:paraId="007326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455" w:type="pct"/>
            <w:vMerge w:val="continue"/>
            <w:noWrap/>
            <w:vAlign w:val="center"/>
          </w:tcPr>
          <w:p w14:paraId="609CE108">
            <w:pPr>
              <w:spacing w:line="360" w:lineRule="exact"/>
              <w:jc w:val="center"/>
              <w:rPr>
                <w:rFonts w:hint="eastAsia" w:ascii="宋体" w:hAnsi="宋体" w:eastAsia="宋体" w:cs="宋体"/>
                <w:color w:val="auto"/>
                <w:sz w:val="21"/>
                <w:szCs w:val="21"/>
                <w:highlight w:val="none"/>
              </w:rPr>
            </w:pPr>
          </w:p>
        </w:tc>
        <w:tc>
          <w:tcPr>
            <w:tcW w:w="1825" w:type="pct"/>
            <w:noWrap/>
            <w:vAlign w:val="center"/>
          </w:tcPr>
          <w:p w14:paraId="79BDCBB5">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34﹑按项目约定的人员编制运行</w:t>
            </w:r>
          </w:p>
        </w:tc>
        <w:tc>
          <w:tcPr>
            <w:tcW w:w="1157" w:type="pct"/>
            <w:noWrap/>
            <w:vAlign w:val="center"/>
          </w:tcPr>
          <w:p w14:paraId="7855C946">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561" w:type="pct"/>
            <w:noWrap/>
            <w:vAlign w:val="center"/>
          </w:tcPr>
          <w:p w14:paraId="754A33C3">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每缺编一人扣1分</w:t>
            </w:r>
          </w:p>
        </w:tc>
      </w:tr>
      <w:tr w14:paraId="4346BC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455" w:type="pct"/>
            <w:vMerge w:val="continue"/>
            <w:noWrap/>
            <w:vAlign w:val="center"/>
          </w:tcPr>
          <w:p w14:paraId="4537A506">
            <w:pPr>
              <w:spacing w:line="360" w:lineRule="exact"/>
              <w:jc w:val="center"/>
              <w:rPr>
                <w:rFonts w:hint="eastAsia" w:ascii="宋体" w:hAnsi="宋体" w:eastAsia="宋体" w:cs="宋体"/>
                <w:color w:val="auto"/>
                <w:sz w:val="21"/>
                <w:szCs w:val="21"/>
                <w:highlight w:val="none"/>
              </w:rPr>
            </w:pPr>
          </w:p>
        </w:tc>
        <w:tc>
          <w:tcPr>
            <w:tcW w:w="1825" w:type="pct"/>
            <w:noWrap/>
            <w:vAlign w:val="center"/>
          </w:tcPr>
          <w:p w14:paraId="20207CCE">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35﹑未经采购人同意，私自拆除部件</w:t>
            </w:r>
          </w:p>
        </w:tc>
        <w:tc>
          <w:tcPr>
            <w:tcW w:w="1157" w:type="pct"/>
            <w:noWrap/>
            <w:vAlign w:val="center"/>
          </w:tcPr>
          <w:p w14:paraId="1A8742D6">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561" w:type="pct"/>
            <w:noWrap/>
            <w:vAlign w:val="center"/>
          </w:tcPr>
          <w:p w14:paraId="3B4AE654">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每检查一处不合格</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扣1分</w:t>
            </w:r>
          </w:p>
        </w:tc>
      </w:tr>
      <w:tr w14:paraId="2A6D83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455" w:type="pct"/>
            <w:vMerge w:val="continue"/>
            <w:noWrap/>
            <w:vAlign w:val="center"/>
          </w:tcPr>
          <w:p w14:paraId="5250F7D8">
            <w:pPr>
              <w:spacing w:line="360" w:lineRule="exact"/>
              <w:jc w:val="center"/>
              <w:rPr>
                <w:rFonts w:hint="eastAsia" w:ascii="宋体" w:hAnsi="宋体" w:eastAsia="宋体" w:cs="宋体"/>
                <w:color w:val="auto"/>
                <w:sz w:val="21"/>
                <w:szCs w:val="21"/>
                <w:highlight w:val="none"/>
              </w:rPr>
            </w:pPr>
          </w:p>
        </w:tc>
        <w:tc>
          <w:tcPr>
            <w:tcW w:w="1825" w:type="pct"/>
            <w:noWrap/>
            <w:vAlign w:val="center"/>
          </w:tcPr>
          <w:p w14:paraId="5485480B">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36﹑按时按量保养电梯</w:t>
            </w:r>
          </w:p>
        </w:tc>
        <w:tc>
          <w:tcPr>
            <w:tcW w:w="1157" w:type="pct"/>
            <w:noWrap/>
            <w:vAlign w:val="center"/>
          </w:tcPr>
          <w:p w14:paraId="04231997">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561" w:type="pct"/>
            <w:noWrap/>
            <w:vAlign w:val="center"/>
          </w:tcPr>
          <w:p w14:paraId="54CC93EE">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每检查一处不合格</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扣0.5分</w:t>
            </w:r>
          </w:p>
        </w:tc>
      </w:tr>
      <w:tr w14:paraId="03BE40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455" w:type="pct"/>
            <w:vMerge w:val="continue"/>
            <w:noWrap/>
            <w:vAlign w:val="center"/>
          </w:tcPr>
          <w:p w14:paraId="6ED0EB2D">
            <w:pPr>
              <w:spacing w:line="360" w:lineRule="exact"/>
              <w:jc w:val="center"/>
              <w:rPr>
                <w:rFonts w:hint="eastAsia" w:ascii="宋体" w:hAnsi="宋体" w:eastAsia="宋体" w:cs="宋体"/>
                <w:color w:val="auto"/>
                <w:sz w:val="21"/>
                <w:szCs w:val="21"/>
                <w:highlight w:val="none"/>
              </w:rPr>
            </w:pPr>
          </w:p>
        </w:tc>
        <w:tc>
          <w:tcPr>
            <w:tcW w:w="1825" w:type="pct"/>
            <w:noWrap/>
            <w:vAlign w:val="center"/>
          </w:tcPr>
          <w:p w14:paraId="6212DC2C">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37﹑保证电梯检验合格证的有效</w:t>
            </w:r>
          </w:p>
        </w:tc>
        <w:tc>
          <w:tcPr>
            <w:tcW w:w="1157" w:type="pct"/>
            <w:noWrap/>
            <w:vAlign w:val="center"/>
          </w:tcPr>
          <w:p w14:paraId="4562E0B4">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561" w:type="pct"/>
            <w:noWrap/>
            <w:vAlign w:val="center"/>
          </w:tcPr>
          <w:p w14:paraId="7B8DC6AC">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每检查一处不合格</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扣5分</w:t>
            </w:r>
          </w:p>
        </w:tc>
      </w:tr>
    </w:tbl>
    <w:p w14:paraId="7CE0469D">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注</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1﹑</w:t>
      </w:r>
      <w:r>
        <w:rPr>
          <w:rFonts w:hint="eastAsia" w:ascii="宋体" w:hAnsi="宋体" w:cs="宋体"/>
          <w:color w:val="auto"/>
          <w:sz w:val="21"/>
          <w:szCs w:val="21"/>
          <w:highlight w:val="none"/>
          <w:lang w:eastAsia="zh-CN"/>
        </w:rPr>
        <w:t>涉及</w:t>
      </w:r>
      <w:r>
        <w:rPr>
          <w:rFonts w:hint="eastAsia" w:ascii="宋体" w:hAnsi="宋体" w:eastAsia="宋体" w:cs="宋体"/>
          <w:color w:val="auto"/>
          <w:sz w:val="21"/>
          <w:szCs w:val="21"/>
          <w:highlight w:val="none"/>
        </w:rPr>
        <w:t>检查人员操作权限外的检查内容</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必须由保养单位人员陪同检查</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严禁个人私自检查。</w:t>
      </w:r>
    </w:p>
    <w:p w14:paraId="7E1FF027">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2﹑对存在安全隐患或潜在隐患的区域时</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保养单位人员必须拒绝检查人员进入。</w:t>
      </w:r>
    </w:p>
    <w:p w14:paraId="085B97D6">
      <w:pPr>
        <w:ind w:firstLine="420" w:firstLineChars="200"/>
        <w:rPr>
          <w:color w:val="auto"/>
          <w:sz w:val="21"/>
          <w:szCs w:val="21"/>
          <w:highlight w:val="none"/>
        </w:rPr>
      </w:pPr>
      <w:r>
        <w:rPr>
          <w:rFonts w:hint="eastAsia" w:ascii="宋体" w:hAnsi="宋体" w:eastAsia="宋体" w:cs="宋体"/>
          <w:color w:val="auto"/>
          <w:sz w:val="21"/>
          <w:szCs w:val="21"/>
          <w:highlight w:val="none"/>
        </w:rPr>
        <w:t>3﹑保养单位人员必须提醒检查人员所要注意的安全隐患措施。</w:t>
      </w:r>
    </w:p>
    <w:p w14:paraId="42B58D7C">
      <w:pPr>
        <w:rPr>
          <w:rFonts w:hint="eastAsia"/>
          <w:color w:val="auto"/>
          <w:sz w:val="28"/>
          <w:szCs w:val="28"/>
          <w:highlight w:val="none"/>
        </w:rPr>
      </w:pPr>
      <w:bookmarkStart w:id="152" w:name="_Toc25012"/>
      <w:r>
        <w:rPr>
          <w:rFonts w:hint="eastAsia"/>
          <w:color w:val="auto"/>
          <w:sz w:val="28"/>
          <w:szCs w:val="28"/>
          <w:highlight w:val="none"/>
        </w:rPr>
        <w:br w:type="page"/>
      </w:r>
    </w:p>
    <w:p w14:paraId="1C646346">
      <w:pPr>
        <w:pStyle w:val="3"/>
        <w:jc w:val="center"/>
        <w:rPr>
          <w:color w:val="auto"/>
          <w:sz w:val="28"/>
          <w:szCs w:val="28"/>
          <w:highlight w:val="none"/>
        </w:rPr>
      </w:pPr>
      <w:r>
        <w:rPr>
          <w:rFonts w:hint="eastAsia"/>
          <w:color w:val="auto"/>
          <w:sz w:val="28"/>
          <w:szCs w:val="28"/>
          <w:highlight w:val="none"/>
        </w:rPr>
        <w:t>第五章 合同条款格式</w:t>
      </w:r>
      <w:bookmarkEnd w:id="152"/>
    </w:p>
    <w:p w14:paraId="2E5E15B5">
      <w:pPr>
        <w:pStyle w:val="17"/>
        <w:rPr>
          <w:color w:val="auto"/>
          <w:sz w:val="32"/>
          <w:szCs w:val="32"/>
          <w:highlight w:val="none"/>
        </w:rPr>
      </w:pPr>
    </w:p>
    <w:p w14:paraId="09E548CD">
      <w:pPr>
        <w:pStyle w:val="18"/>
        <w:rPr>
          <w:color w:val="auto"/>
          <w:highlight w:val="none"/>
        </w:rPr>
      </w:pPr>
    </w:p>
    <w:p w14:paraId="6DAE86FD">
      <w:pPr>
        <w:pStyle w:val="17"/>
        <w:rPr>
          <w:color w:val="auto"/>
          <w:highlight w:val="none"/>
        </w:rPr>
      </w:pPr>
    </w:p>
    <w:p w14:paraId="7948EF7A">
      <w:pPr>
        <w:jc w:val="center"/>
        <w:rPr>
          <w:rFonts w:eastAsia="黑体"/>
          <w:bCs/>
          <w:color w:val="auto"/>
          <w:sz w:val="44"/>
          <w:szCs w:val="21"/>
          <w:highlight w:val="none"/>
        </w:rPr>
      </w:pPr>
      <w:r>
        <w:rPr>
          <w:rFonts w:hint="eastAsia" w:eastAsia="黑体"/>
          <w:b/>
          <w:bCs/>
          <w:color w:val="auto"/>
          <w:sz w:val="44"/>
          <w:szCs w:val="44"/>
          <w:highlight w:val="none"/>
          <w:lang w:eastAsia="zh-CN"/>
        </w:rPr>
        <w:t>东鸿公司塘厦创智园2026年度电梯维保项目</w:t>
      </w:r>
      <w:r>
        <w:rPr>
          <w:rFonts w:hint="eastAsia" w:eastAsia="黑体"/>
          <w:b/>
          <w:bCs/>
          <w:color w:val="auto"/>
          <w:sz w:val="44"/>
          <w:szCs w:val="44"/>
          <w:highlight w:val="none"/>
        </w:rPr>
        <w:t>合同</w:t>
      </w:r>
    </w:p>
    <w:p w14:paraId="2756AAED">
      <w:pPr>
        <w:rPr>
          <w:color w:val="auto"/>
          <w:highlight w:val="none"/>
        </w:rPr>
      </w:pPr>
    </w:p>
    <w:p w14:paraId="2CD39847">
      <w:pPr>
        <w:tabs>
          <w:tab w:val="left" w:pos="180"/>
        </w:tabs>
        <w:spacing w:line="360" w:lineRule="auto"/>
        <w:ind w:left="210" w:leftChars="100"/>
        <w:rPr>
          <w:rFonts w:ascii="仿宋_GB2312"/>
          <w:color w:val="auto"/>
          <w:highlight w:val="none"/>
        </w:rPr>
      </w:pPr>
      <w:r>
        <w:rPr>
          <w:rFonts w:hint="eastAsia" w:ascii="仿宋_GB2312"/>
          <w:color w:val="auto"/>
          <w:highlight w:val="none"/>
        </w:rPr>
        <w:t xml:space="preserve">    </w:t>
      </w:r>
    </w:p>
    <w:p w14:paraId="6E9E00E8">
      <w:pPr>
        <w:rPr>
          <w:color w:val="auto"/>
          <w:highlight w:val="none"/>
        </w:rPr>
      </w:pPr>
    </w:p>
    <w:p w14:paraId="0778C9E0">
      <w:pPr>
        <w:rPr>
          <w:color w:val="auto"/>
          <w:highlight w:val="none"/>
        </w:rPr>
      </w:pPr>
    </w:p>
    <w:p w14:paraId="07B206A1">
      <w:pPr>
        <w:rPr>
          <w:color w:val="auto"/>
          <w:highlight w:val="none"/>
        </w:rPr>
      </w:pPr>
    </w:p>
    <w:p w14:paraId="49962275">
      <w:pPr>
        <w:rPr>
          <w:color w:val="auto"/>
          <w:highlight w:val="none"/>
        </w:rPr>
      </w:pPr>
    </w:p>
    <w:p w14:paraId="4AA84681">
      <w:pPr>
        <w:pStyle w:val="16"/>
        <w:rPr>
          <w:color w:val="auto"/>
          <w:sz w:val="30"/>
          <w:szCs w:val="30"/>
          <w:highlight w:val="none"/>
        </w:rPr>
      </w:pPr>
    </w:p>
    <w:p w14:paraId="122A731C">
      <w:pPr>
        <w:rPr>
          <w:color w:val="auto"/>
          <w:highlight w:val="none"/>
        </w:rPr>
      </w:pPr>
    </w:p>
    <w:p w14:paraId="0CCBFD5F">
      <w:pPr>
        <w:pStyle w:val="16"/>
        <w:jc w:val="both"/>
        <w:rPr>
          <w:color w:val="auto"/>
          <w:highlight w:val="none"/>
        </w:rPr>
      </w:pPr>
    </w:p>
    <w:p w14:paraId="3F2484F3">
      <w:pPr>
        <w:rPr>
          <w:color w:val="auto"/>
          <w:highlight w:val="none"/>
        </w:rPr>
      </w:pPr>
    </w:p>
    <w:p w14:paraId="62EE1808">
      <w:pPr>
        <w:tabs>
          <w:tab w:val="left" w:pos="180"/>
        </w:tabs>
        <w:spacing w:line="360" w:lineRule="auto"/>
        <w:rPr>
          <w:color w:val="auto"/>
          <w:highlight w:val="none"/>
        </w:rPr>
      </w:pPr>
    </w:p>
    <w:p w14:paraId="5F3BC93D">
      <w:pPr>
        <w:tabs>
          <w:tab w:val="left" w:pos="180"/>
        </w:tabs>
        <w:spacing w:line="360" w:lineRule="auto"/>
        <w:ind w:firstLine="1680" w:firstLineChars="800"/>
        <w:jc w:val="left"/>
        <w:rPr>
          <w:rFonts w:hint="eastAsia" w:eastAsia="宋体"/>
          <w:color w:val="auto"/>
          <w:highlight w:val="none"/>
          <w:lang w:eastAsia="zh-CN"/>
        </w:rPr>
      </w:pPr>
      <w:r>
        <w:rPr>
          <w:rFonts w:hint="eastAsia"/>
          <w:color w:val="auto"/>
          <w:highlight w:val="none"/>
        </w:rPr>
        <w:t>项目</w:t>
      </w:r>
      <w:r>
        <w:rPr>
          <w:color w:val="auto"/>
          <w:highlight w:val="none"/>
        </w:rPr>
        <w:t>名称</w:t>
      </w:r>
      <w:r>
        <w:rPr>
          <w:rFonts w:hint="eastAsia"/>
          <w:color w:val="auto"/>
          <w:highlight w:val="none"/>
        </w:rPr>
        <w:t>：</w:t>
      </w:r>
      <w:r>
        <w:rPr>
          <w:rFonts w:hint="eastAsia"/>
          <w:color w:val="auto"/>
          <w:highlight w:val="none"/>
          <w:u w:val="single"/>
          <w:lang w:eastAsia="zh-CN"/>
        </w:rPr>
        <w:t>东鸿公司塘厦创智园2026年度电梯维保项目</w:t>
      </w:r>
    </w:p>
    <w:p w14:paraId="7A06CCEA">
      <w:pPr>
        <w:tabs>
          <w:tab w:val="left" w:pos="180"/>
        </w:tabs>
        <w:spacing w:line="360" w:lineRule="auto"/>
        <w:ind w:firstLine="630" w:firstLineChars="300"/>
        <w:jc w:val="left"/>
        <w:rPr>
          <w:color w:val="auto"/>
          <w:highlight w:val="none"/>
        </w:rPr>
      </w:pPr>
    </w:p>
    <w:p w14:paraId="2A666239">
      <w:pPr>
        <w:tabs>
          <w:tab w:val="left" w:pos="180"/>
        </w:tabs>
        <w:spacing w:line="360" w:lineRule="auto"/>
        <w:ind w:firstLine="1680" w:firstLineChars="800"/>
        <w:jc w:val="left"/>
        <w:rPr>
          <w:rFonts w:hint="eastAsia" w:eastAsia="宋体"/>
          <w:color w:val="auto"/>
          <w:highlight w:val="none"/>
          <w:u w:val="single"/>
          <w:lang w:val="en-US" w:eastAsia="zh-CN"/>
        </w:rPr>
      </w:pPr>
      <w:r>
        <w:rPr>
          <w:rFonts w:hint="eastAsia"/>
          <w:color w:val="auto"/>
          <w:highlight w:val="none"/>
        </w:rPr>
        <w:t>甲方</w:t>
      </w:r>
      <w:r>
        <w:rPr>
          <w:color w:val="auto"/>
          <w:highlight w:val="none"/>
        </w:rPr>
        <w:t>：</w:t>
      </w:r>
      <w:r>
        <w:rPr>
          <w:rFonts w:hint="eastAsia"/>
          <w:color w:val="auto"/>
          <w:highlight w:val="none"/>
          <w:u w:val="single"/>
          <w:lang w:val="en-US" w:eastAsia="zh-CN"/>
        </w:rPr>
        <w:t xml:space="preserve"> </w:t>
      </w:r>
      <w:r>
        <w:rPr>
          <w:rFonts w:hint="eastAsia"/>
          <w:color w:val="auto"/>
          <w:highlight w:val="none"/>
          <w:u w:val="single"/>
          <w:lang w:eastAsia="zh-CN"/>
        </w:rPr>
        <w:t>广东东鸿物业发展有限公司</w:t>
      </w:r>
      <w:r>
        <w:rPr>
          <w:rFonts w:hint="eastAsia"/>
          <w:color w:val="auto"/>
          <w:highlight w:val="none"/>
          <w:u w:val="single"/>
          <w:lang w:val="en-US" w:eastAsia="zh-CN"/>
        </w:rPr>
        <w:t xml:space="preserve"> </w:t>
      </w:r>
    </w:p>
    <w:p w14:paraId="419E9CD8">
      <w:pPr>
        <w:tabs>
          <w:tab w:val="left" w:pos="180"/>
        </w:tabs>
        <w:spacing w:line="360" w:lineRule="auto"/>
        <w:ind w:left="210" w:leftChars="100" w:firstLine="420" w:firstLineChars="200"/>
        <w:jc w:val="left"/>
        <w:rPr>
          <w:color w:val="auto"/>
          <w:highlight w:val="none"/>
        </w:rPr>
      </w:pPr>
    </w:p>
    <w:p w14:paraId="5CF219B2">
      <w:pPr>
        <w:tabs>
          <w:tab w:val="left" w:pos="180"/>
        </w:tabs>
        <w:spacing w:line="360" w:lineRule="auto"/>
        <w:ind w:firstLine="1680" w:firstLineChars="800"/>
        <w:jc w:val="left"/>
        <w:rPr>
          <w:rFonts w:hint="default"/>
          <w:color w:val="auto"/>
          <w:highlight w:val="none"/>
          <w:lang w:val="en-US" w:eastAsia="zh-CN"/>
        </w:rPr>
      </w:pPr>
      <w:r>
        <w:rPr>
          <w:rFonts w:hint="eastAsia"/>
          <w:color w:val="auto"/>
          <w:highlight w:val="none"/>
        </w:rPr>
        <w:t>乙方</w:t>
      </w:r>
      <w:r>
        <w:rPr>
          <w:color w:val="auto"/>
          <w:highlight w:val="none"/>
        </w:rPr>
        <w:t>：</w:t>
      </w:r>
      <w:r>
        <w:rPr>
          <w:rFonts w:hint="eastAsia"/>
          <w:color w:val="auto"/>
          <w:highlight w:val="none"/>
          <w:u w:val="single"/>
          <w:lang w:val="en-US" w:eastAsia="zh-CN"/>
        </w:rPr>
        <w:t xml:space="preserve">                            </w:t>
      </w:r>
    </w:p>
    <w:p w14:paraId="4F29F3CA">
      <w:pPr>
        <w:tabs>
          <w:tab w:val="left" w:pos="180"/>
        </w:tabs>
        <w:spacing w:line="360" w:lineRule="auto"/>
        <w:ind w:left="210" w:leftChars="100" w:firstLine="1470" w:firstLineChars="700"/>
        <w:jc w:val="left"/>
        <w:rPr>
          <w:rFonts w:hint="eastAsia"/>
          <w:color w:val="auto"/>
          <w:szCs w:val="21"/>
          <w:highlight w:val="none"/>
        </w:rPr>
      </w:pPr>
    </w:p>
    <w:p w14:paraId="34DC59B4">
      <w:pPr>
        <w:tabs>
          <w:tab w:val="left" w:pos="180"/>
        </w:tabs>
        <w:spacing w:line="360" w:lineRule="auto"/>
        <w:ind w:left="210" w:leftChars="100" w:firstLine="1470" w:firstLineChars="700"/>
        <w:jc w:val="left"/>
        <w:rPr>
          <w:color w:val="auto"/>
          <w:szCs w:val="21"/>
          <w:highlight w:val="none"/>
        </w:rPr>
      </w:pPr>
      <w:r>
        <w:rPr>
          <w:rFonts w:hint="eastAsia"/>
          <w:color w:val="auto"/>
          <w:szCs w:val="21"/>
          <w:highlight w:val="none"/>
        </w:rPr>
        <w:t>签订日期：</w:t>
      </w:r>
      <w:r>
        <w:rPr>
          <w:color w:val="auto"/>
          <w:szCs w:val="21"/>
          <w:highlight w:val="none"/>
          <w:u w:val="single"/>
        </w:rPr>
        <w:t xml:space="preserve"> </w:t>
      </w:r>
      <w:r>
        <w:rPr>
          <w:rFonts w:hint="eastAsia"/>
          <w:color w:val="auto"/>
          <w:szCs w:val="21"/>
          <w:highlight w:val="none"/>
          <w:u w:val="single"/>
        </w:rPr>
        <w:t xml:space="preserve">  </w:t>
      </w:r>
      <w:r>
        <w:rPr>
          <w:rFonts w:hint="eastAsia"/>
          <w:color w:val="auto"/>
          <w:szCs w:val="21"/>
          <w:highlight w:val="none"/>
          <w:u w:val="single"/>
          <w:lang w:val="en-US" w:eastAsia="zh-CN"/>
        </w:rPr>
        <w:t xml:space="preserve">     </w:t>
      </w:r>
      <w:r>
        <w:rPr>
          <w:rFonts w:hint="eastAsia"/>
          <w:color w:val="auto"/>
          <w:szCs w:val="21"/>
          <w:highlight w:val="none"/>
          <w:u w:val="single"/>
        </w:rPr>
        <w:t xml:space="preserve">  </w:t>
      </w:r>
      <w:r>
        <w:rPr>
          <w:rFonts w:hint="eastAsia"/>
          <w:color w:val="auto"/>
          <w:szCs w:val="21"/>
          <w:highlight w:val="none"/>
        </w:rPr>
        <w:t>年</w:t>
      </w:r>
      <w:r>
        <w:rPr>
          <w:rFonts w:hint="eastAsia"/>
          <w:color w:val="auto"/>
          <w:szCs w:val="21"/>
          <w:highlight w:val="none"/>
          <w:u w:val="single"/>
        </w:rPr>
        <w:t xml:space="preserve">  </w:t>
      </w:r>
      <w:r>
        <w:rPr>
          <w:color w:val="auto"/>
          <w:szCs w:val="21"/>
          <w:highlight w:val="none"/>
          <w:u w:val="single"/>
        </w:rPr>
        <w:t xml:space="preserve"> </w:t>
      </w:r>
      <w:r>
        <w:rPr>
          <w:rFonts w:hint="eastAsia"/>
          <w:color w:val="auto"/>
          <w:szCs w:val="21"/>
          <w:highlight w:val="none"/>
          <w:u w:val="single"/>
          <w:lang w:val="en-US" w:eastAsia="zh-CN"/>
        </w:rPr>
        <w:t xml:space="preserve"> </w:t>
      </w:r>
      <w:r>
        <w:rPr>
          <w:rFonts w:hint="eastAsia"/>
          <w:color w:val="auto"/>
          <w:szCs w:val="21"/>
          <w:highlight w:val="none"/>
          <w:u w:val="single"/>
        </w:rPr>
        <w:t xml:space="preserve">  </w:t>
      </w:r>
      <w:r>
        <w:rPr>
          <w:rFonts w:hint="eastAsia"/>
          <w:color w:val="auto"/>
          <w:szCs w:val="21"/>
          <w:highlight w:val="none"/>
        </w:rPr>
        <w:t>月</w:t>
      </w:r>
      <w:r>
        <w:rPr>
          <w:rFonts w:hint="eastAsia"/>
          <w:color w:val="auto"/>
          <w:szCs w:val="21"/>
          <w:highlight w:val="none"/>
          <w:u w:val="single"/>
        </w:rPr>
        <w:t xml:space="preserve"> </w:t>
      </w:r>
      <w:r>
        <w:rPr>
          <w:rFonts w:hint="eastAsia"/>
          <w:color w:val="auto"/>
          <w:szCs w:val="21"/>
          <w:highlight w:val="none"/>
          <w:u w:val="single"/>
          <w:lang w:val="en-US" w:eastAsia="zh-CN"/>
        </w:rPr>
        <w:t xml:space="preserve">  </w:t>
      </w:r>
      <w:r>
        <w:rPr>
          <w:rFonts w:hint="eastAsia"/>
          <w:color w:val="auto"/>
          <w:szCs w:val="21"/>
          <w:highlight w:val="none"/>
          <w:u w:val="single"/>
        </w:rPr>
        <w:t xml:space="preserve">   </w:t>
      </w:r>
      <w:r>
        <w:rPr>
          <w:rFonts w:hint="eastAsia"/>
          <w:color w:val="auto"/>
          <w:szCs w:val="21"/>
          <w:highlight w:val="none"/>
        </w:rPr>
        <w:t>日</w:t>
      </w:r>
    </w:p>
    <w:p w14:paraId="6B9F90BD">
      <w:pPr>
        <w:spacing w:line="400" w:lineRule="exact"/>
        <w:jc w:val="center"/>
        <w:rPr>
          <w:rFonts w:hAnsi="宋体"/>
          <w:b/>
          <w:bCs/>
          <w:color w:val="auto"/>
          <w:sz w:val="36"/>
          <w:szCs w:val="36"/>
          <w:highlight w:val="none"/>
        </w:rPr>
      </w:pPr>
    </w:p>
    <w:p w14:paraId="5FC1C427">
      <w:pPr>
        <w:rPr>
          <w:rFonts w:hint="eastAsia" w:hAnsi="宋体"/>
          <w:b/>
          <w:bCs/>
          <w:color w:val="auto"/>
          <w:kern w:val="2"/>
          <w:sz w:val="22"/>
          <w:szCs w:val="22"/>
          <w:highlight w:val="none"/>
        </w:rPr>
      </w:pPr>
      <w:r>
        <w:rPr>
          <w:rFonts w:hint="eastAsia" w:hAnsi="宋体"/>
          <w:b/>
          <w:bCs/>
          <w:color w:val="auto"/>
          <w:kern w:val="2"/>
          <w:sz w:val="22"/>
          <w:szCs w:val="22"/>
          <w:highlight w:val="none"/>
        </w:rPr>
        <w:br w:type="page"/>
      </w:r>
    </w:p>
    <w:p w14:paraId="2D2CEB0A">
      <w:pPr>
        <w:spacing w:line="600" w:lineRule="exact"/>
        <w:jc w:val="center"/>
        <w:rPr>
          <w:rFonts w:ascii="宋体" w:hAnsi="宋体" w:cs="宋体"/>
          <w:color w:val="auto"/>
          <w:sz w:val="44"/>
          <w:szCs w:val="44"/>
          <w:highlight w:val="none"/>
        </w:rPr>
      </w:pPr>
      <w:r>
        <w:rPr>
          <w:rFonts w:hint="eastAsia" w:ascii="宋体" w:hAnsi="宋体" w:cs="宋体"/>
          <w:color w:val="auto"/>
          <w:sz w:val="36"/>
          <w:szCs w:val="36"/>
          <w:highlight w:val="none"/>
          <w:lang w:eastAsia="zh-CN"/>
        </w:rPr>
        <w:t>东鸿公司塘厦创智园2026年度电梯维保项目</w:t>
      </w:r>
      <w:r>
        <w:rPr>
          <w:rFonts w:hint="eastAsia" w:ascii="宋体" w:hAnsi="宋体" w:cs="宋体"/>
          <w:color w:val="auto"/>
          <w:sz w:val="36"/>
          <w:szCs w:val="36"/>
          <w:highlight w:val="none"/>
        </w:rPr>
        <w:t>合同</w:t>
      </w:r>
    </w:p>
    <w:p w14:paraId="5B5C05B1">
      <w:pPr>
        <w:spacing w:line="520" w:lineRule="exact"/>
        <w:ind w:firstLine="525" w:firstLineChars="25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本合同依据</w:t>
      </w:r>
      <w:r>
        <w:rPr>
          <w:rFonts w:hint="eastAsia" w:ascii="宋体" w:hAnsi="宋体" w:cs="宋体"/>
          <w:color w:val="auto"/>
          <w:sz w:val="21"/>
          <w:szCs w:val="21"/>
          <w:highlight w:val="none"/>
          <w:lang w:eastAsia="zh-CN"/>
        </w:rPr>
        <w:t>《电梯监督检验和定期检验规则》TSG T7001-2023、《电梯安装验收规范》（GB_T10060-2023）、《电梯制造与安装安全规范》（GB/T 7588.1—2020）、国家质检总局TSG T5002-2017 特种设备行业安全技术规范《电梯维护保养规则》</w:t>
      </w:r>
      <w:r>
        <w:rPr>
          <w:rFonts w:hint="eastAsia" w:ascii="宋体" w:hAnsi="宋体" w:eastAsia="宋体" w:cs="宋体"/>
          <w:color w:val="auto"/>
          <w:sz w:val="21"/>
          <w:szCs w:val="21"/>
          <w:highlight w:val="none"/>
        </w:rPr>
        <w:t>、《中华人民共和国民法典》等国家及行业法规制定</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如国家质检总局或相关主管部门发布最新标准的，以最新标准为准），保养内容及标准不得低于上述法规规定的内容及标准，合同内容与法规标准不一致的地方，按法规规定为标准。双方经友好协商，在清楚合同内容情况下，自愿达成如下协议：</w:t>
      </w:r>
    </w:p>
    <w:p w14:paraId="4DE6A30C">
      <w:pPr>
        <w:spacing w:line="520" w:lineRule="exact"/>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一、保养电梯数量、价款：共计</w:t>
      </w:r>
      <w:r>
        <w:rPr>
          <w:rFonts w:hint="eastAsia" w:ascii="宋体" w:hAnsi="宋体" w:cs="宋体"/>
          <w:b/>
          <w:color w:val="auto"/>
          <w:sz w:val="21"/>
          <w:szCs w:val="21"/>
          <w:highlight w:val="none"/>
          <w:lang w:val="en-US" w:eastAsia="zh-CN"/>
        </w:rPr>
        <w:t>5</w:t>
      </w:r>
      <w:r>
        <w:rPr>
          <w:rFonts w:hint="eastAsia" w:ascii="宋体" w:hAnsi="宋体" w:eastAsia="宋体" w:cs="宋体"/>
          <w:b/>
          <w:color w:val="auto"/>
          <w:sz w:val="21"/>
          <w:szCs w:val="21"/>
          <w:highlight w:val="none"/>
          <w:lang w:val="en-US" w:eastAsia="zh-CN"/>
        </w:rPr>
        <w:t>2</w:t>
      </w:r>
      <w:r>
        <w:rPr>
          <w:rFonts w:hint="eastAsia" w:ascii="宋体" w:hAnsi="宋体" w:eastAsia="宋体" w:cs="宋体"/>
          <w:b/>
          <w:color w:val="auto"/>
          <w:sz w:val="21"/>
          <w:szCs w:val="21"/>
          <w:highlight w:val="none"/>
        </w:rPr>
        <w:t>台</w:t>
      </w:r>
    </w:p>
    <w:tbl>
      <w:tblPr>
        <w:tblStyle w:val="37"/>
        <w:tblW w:w="5561" w:type="pct"/>
        <w:tblInd w:w="-37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17"/>
        <w:gridCol w:w="555"/>
        <w:gridCol w:w="1138"/>
        <w:gridCol w:w="948"/>
        <w:gridCol w:w="1042"/>
        <w:gridCol w:w="1046"/>
        <w:gridCol w:w="1596"/>
        <w:gridCol w:w="1558"/>
        <w:gridCol w:w="1079"/>
      </w:tblGrid>
      <w:tr w14:paraId="2E0925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2" w:hRule="atLeast"/>
        </w:trPr>
        <w:tc>
          <w:tcPr>
            <w:tcW w:w="27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A50D2C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序号</w:t>
            </w:r>
          </w:p>
        </w:tc>
        <w:tc>
          <w:tcPr>
            <w:tcW w:w="292"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38A85F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楼栋号</w:t>
            </w:r>
          </w:p>
        </w:tc>
        <w:tc>
          <w:tcPr>
            <w:tcW w:w="60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398599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设备编号</w:t>
            </w:r>
          </w:p>
        </w:tc>
        <w:tc>
          <w:tcPr>
            <w:tcW w:w="50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403B9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年审到期日期</w:t>
            </w:r>
          </w:p>
        </w:tc>
        <w:tc>
          <w:tcPr>
            <w:tcW w:w="54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DB9C2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限速器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校验时间</w:t>
            </w:r>
          </w:p>
        </w:tc>
        <w:tc>
          <w:tcPr>
            <w:tcW w:w="55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52416E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编号</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92DC0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起始保养时间</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DB236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结束保养时间</w:t>
            </w:r>
          </w:p>
        </w:tc>
        <w:tc>
          <w:tcPr>
            <w:tcW w:w="5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0A733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保养时限（月）</w:t>
            </w:r>
          </w:p>
        </w:tc>
      </w:tr>
      <w:tr w14:paraId="6D2475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1020A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292"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C6D88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1栋</w:t>
            </w: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9855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24KT041104</w:t>
            </w: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E5E1B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7月31日</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65CC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2024/4/9</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B1C0B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XO-CONIII</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E258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2026年7月14日</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0D71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2027年5月31日</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2E4F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10.55 </w:t>
            </w:r>
          </w:p>
        </w:tc>
      </w:tr>
      <w:tr w14:paraId="5F154C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26250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9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39DB3E">
            <w:pPr>
              <w:jc w:val="center"/>
              <w:rPr>
                <w:rFonts w:hint="eastAsia" w:ascii="宋体" w:hAnsi="宋体" w:eastAsia="宋体" w:cs="宋体"/>
                <w:i w:val="0"/>
                <w:iCs w:val="0"/>
                <w:color w:val="000000"/>
                <w:sz w:val="18"/>
                <w:szCs w:val="18"/>
                <w:u w:val="none"/>
              </w:rPr>
            </w:pP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BB28F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24KT030183</w:t>
            </w: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A353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highlight w:val="yellow"/>
                <w:u w:val="none"/>
                <w:lang w:val="en-US" w:eastAsia="zh-CN" w:bidi="ar"/>
              </w:rPr>
              <w:t>4月30日</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ED45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2024/1/25</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2FCF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XO-CONIII</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F2AB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2026年4月23日</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892C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2027年5月31日</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F410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13.25 </w:t>
            </w:r>
          </w:p>
        </w:tc>
      </w:tr>
      <w:tr w14:paraId="19337C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A80A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29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CCAD7">
            <w:pPr>
              <w:jc w:val="center"/>
              <w:rPr>
                <w:rFonts w:hint="eastAsia" w:ascii="宋体" w:hAnsi="宋体" w:eastAsia="宋体" w:cs="宋体"/>
                <w:i w:val="0"/>
                <w:iCs w:val="0"/>
                <w:color w:val="000000"/>
                <w:sz w:val="18"/>
                <w:szCs w:val="18"/>
                <w:u w:val="none"/>
              </w:rPr>
            </w:pP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DF4CE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24HT050215</w:t>
            </w: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FD67A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7月31日</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DEFF19">
            <w:pPr>
              <w:jc w:val="center"/>
              <w:rPr>
                <w:rFonts w:hint="eastAsia" w:ascii="宋体" w:hAnsi="宋体" w:eastAsia="宋体" w:cs="宋体"/>
                <w:i w:val="0"/>
                <w:iCs w:val="0"/>
                <w:color w:val="000000"/>
                <w:sz w:val="18"/>
                <w:szCs w:val="18"/>
                <w:u w:val="none"/>
              </w:rPr>
            </w:pP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1E86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XO-HTVF</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E481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2026年7月14日</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A0AB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2027年5月31日</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7466D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10.55 </w:t>
            </w:r>
          </w:p>
        </w:tc>
      </w:tr>
      <w:tr w14:paraId="570F2D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EA29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29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0BF3ED">
            <w:pPr>
              <w:jc w:val="center"/>
              <w:rPr>
                <w:rFonts w:hint="eastAsia" w:ascii="宋体" w:hAnsi="宋体" w:eastAsia="宋体" w:cs="宋体"/>
                <w:i w:val="0"/>
                <w:iCs w:val="0"/>
                <w:color w:val="000000"/>
                <w:sz w:val="18"/>
                <w:szCs w:val="18"/>
                <w:u w:val="none"/>
              </w:rPr>
            </w:pP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1D47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24HT030182</w:t>
            </w: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7DC8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highlight w:val="yellow"/>
                <w:u w:val="none"/>
                <w:lang w:val="en-US" w:eastAsia="zh-CN" w:bidi="ar"/>
              </w:rPr>
              <w:t>3月31日</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0AEA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2024/1/25</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0F0C1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XO-HTVF</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BE0D6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2026年3月31日</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4966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2027年5月31日</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863EA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14.01 </w:t>
            </w:r>
          </w:p>
        </w:tc>
      </w:tr>
      <w:tr w14:paraId="200E09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1DC0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29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FFAD24">
            <w:pPr>
              <w:jc w:val="center"/>
              <w:rPr>
                <w:rFonts w:hint="eastAsia" w:ascii="宋体" w:hAnsi="宋体" w:eastAsia="宋体" w:cs="宋体"/>
                <w:i w:val="0"/>
                <w:iCs w:val="0"/>
                <w:color w:val="000000"/>
                <w:sz w:val="18"/>
                <w:szCs w:val="18"/>
                <w:u w:val="none"/>
              </w:rPr>
            </w:pP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2FCD7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24HT050212</w:t>
            </w: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5B9F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7月31日</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DADF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2024/5/30</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01EE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XO-HTVF</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39E06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2026年7月14日</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0C243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2027年5月31日</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3494F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10.55 </w:t>
            </w:r>
          </w:p>
        </w:tc>
      </w:tr>
      <w:tr w14:paraId="233BD4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219A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292" w:type="pct"/>
            <w:vMerge w:val="restart"/>
            <w:tcBorders>
              <w:top w:val="nil"/>
              <w:left w:val="single" w:color="000000" w:sz="4" w:space="0"/>
              <w:bottom w:val="single" w:color="000000" w:sz="4" w:space="0"/>
              <w:right w:val="single" w:color="000000" w:sz="4" w:space="0"/>
            </w:tcBorders>
            <w:shd w:val="clear" w:color="auto" w:fill="auto"/>
            <w:noWrap/>
            <w:vAlign w:val="center"/>
          </w:tcPr>
          <w:p w14:paraId="1B380D6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2栋</w:t>
            </w:r>
          </w:p>
        </w:tc>
        <w:tc>
          <w:tcPr>
            <w:tcW w:w="60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73577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24KT060860</w:t>
            </w:r>
          </w:p>
        </w:tc>
        <w:tc>
          <w:tcPr>
            <w:tcW w:w="500" w:type="pct"/>
            <w:tcBorders>
              <w:top w:val="nil"/>
              <w:left w:val="single" w:color="000000" w:sz="4" w:space="0"/>
              <w:bottom w:val="single" w:color="000000" w:sz="4" w:space="0"/>
              <w:right w:val="single" w:color="000000" w:sz="4" w:space="0"/>
            </w:tcBorders>
            <w:shd w:val="clear" w:color="auto" w:fill="FFFFFF"/>
            <w:vAlign w:val="center"/>
          </w:tcPr>
          <w:p w14:paraId="1075863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8月31日</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08EDF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2024/5/30</w:t>
            </w:r>
          </w:p>
        </w:tc>
        <w:tc>
          <w:tcPr>
            <w:tcW w:w="551" w:type="pct"/>
            <w:tcBorders>
              <w:top w:val="nil"/>
              <w:left w:val="single" w:color="000000" w:sz="4" w:space="0"/>
              <w:bottom w:val="single" w:color="000000" w:sz="4" w:space="0"/>
              <w:right w:val="single" w:color="000000" w:sz="4" w:space="0"/>
            </w:tcBorders>
            <w:shd w:val="clear" w:color="auto" w:fill="auto"/>
            <w:vAlign w:val="center"/>
          </w:tcPr>
          <w:p w14:paraId="74887F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XO-CONIII</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FA1E7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2026年8月14日</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5BEB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2027年5月31日</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4400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9.53 </w:t>
            </w:r>
          </w:p>
        </w:tc>
      </w:tr>
      <w:tr w14:paraId="1E4CC3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3EACF5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292" w:type="pct"/>
            <w:vMerge w:val="continue"/>
            <w:tcBorders>
              <w:top w:val="nil"/>
              <w:left w:val="single" w:color="000000" w:sz="4" w:space="0"/>
              <w:bottom w:val="single" w:color="000000" w:sz="4" w:space="0"/>
              <w:right w:val="single" w:color="000000" w:sz="4" w:space="0"/>
            </w:tcBorders>
            <w:shd w:val="clear" w:color="auto" w:fill="auto"/>
            <w:noWrap/>
            <w:vAlign w:val="center"/>
          </w:tcPr>
          <w:p w14:paraId="5A38F1FB">
            <w:pPr>
              <w:jc w:val="center"/>
              <w:rPr>
                <w:rFonts w:hint="eastAsia" w:ascii="宋体" w:hAnsi="宋体" w:eastAsia="宋体" w:cs="宋体"/>
                <w:i w:val="0"/>
                <w:iCs w:val="0"/>
                <w:color w:val="000000"/>
                <w:sz w:val="18"/>
                <w:szCs w:val="18"/>
                <w:u w:val="none"/>
              </w:rPr>
            </w:pP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C3EF9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24KT060861</w:t>
            </w:r>
          </w:p>
        </w:tc>
        <w:tc>
          <w:tcPr>
            <w:tcW w:w="500" w:type="pct"/>
            <w:tcBorders>
              <w:top w:val="nil"/>
              <w:left w:val="single" w:color="000000" w:sz="4" w:space="0"/>
              <w:bottom w:val="single" w:color="000000" w:sz="4" w:space="0"/>
              <w:right w:val="single" w:color="000000" w:sz="4" w:space="0"/>
            </w:tcBorders>
            <w:shd w:val="clear" w:color="auto" w:fill="FFFFFF"/>
            <w:vAlign w:val="center"/>
          </w:tcPr>
          <w:p w14:paraId="436EF31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8月31日</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EF5B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2025/5/18</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5F253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XO-CONIII</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EB060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2026年8月14日</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E209B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2027年5月31日</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C271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9.53 </w:t>
            </w:r>
          </w:p>
        </w:tc>
      </w:tr>
      <w:tr w14:paraId="664D0F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59281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292" w:type="pct"/>
            <w:vMerge w:val="continue"/>
            <w:tcBorders>
              <w:top w:val="nil"/>
              <w:left w:val="single" w:color="000000" w:sz="4" w:space="0"/>
              <w:bottom w:val="single" w:color="000000" w:sz="4" w:space="0"/>
              <w:right w:val="single" w:color="000000" w:sz="4" w:space="0"/>
            </w:tcBorders>
            <w:shd w:val="clear" w:color="auto" w:fill="auto"/>
            <w:noWrap/>
            <w:vAlign w:val="center"/>
          </w:tcPr>
          <w:p w14:paraId="05C49CF3">
            <w:pPr>
              <w:jc w:val="center"/>
              <w:rPr>
                <w:rFonts w:hint="eastAsia" w:ascii="宋体" w:hAnsi="宋体" w:eastAsia="宋体" w:cs="宋体"/>
                <w:i w:val="0"/>
                <w:iCs w:val="0"/>
                <w:color w:val="000000"/>
                <w:sz w:val="18"/>
                <w:szCs w:val="18"/>
                <w:u w:val="none"/>
              </w:rPr>
            </w:pP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69E8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24HT060833</w:t>
            </w:r>
          </w:p>
        </w:tc>
        <w:tc>
          <w:tcPr>
            <w:tcW w:w="50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EE8FE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7月31日</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F2175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2024/6/1</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CB63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XO-HTVF</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0C0AB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2026年7月28日</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FCDD2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2027年5月31日</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6393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10.09 </w:t>
            </w:r>
          </w:p>
        </w:tc>
      </w:tr>
      <w:tr w14:paraId="347146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8FC89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w:t>
            </w:r>
          </w:p>
        </w:tc>
        <w:tc>
          <w:tcPr>
            <w:tcW w:w="292" w:type="pct"/>
            <w:vMerge w:val="continue"/>
            <w:tcBorders>
              <w:top w:val="nil"/>
              <w:left w:val="single" w:color="000000" w:sz="4" w:space="0"/>
              <w:bottom w:val="single" w:color="000000" w:sz="4" w:space="0"/>
              <w:right w:val="single" w:color="000000" w:sz="4" w:space="0"/>
            </w:tcBorders>
            <w:shd w:val="clear" w:color="auto" w:fill="auto"/>
            <w:noWrap/>
            <w:vAlign w:val="center"/>
          </w:tcPr>
          <w:p w14:paraId="52A0A3F4">
            <w:pPr>
              <w:jc w:val="center"/>
              <w:rPr>
                <w:rFonts w:hint="eastAsia" w:ascii="宋体" w:hAnsi="宋体" w:eastAsia="宋体" w:cs="宋体"/>
                <w:i w:val="0"/>
                <w:iCs w:val="0"/>
                <w:color w:val="000000"/>
                <w:sz w:val="18"/>
                <w:szCs w:val="18"/>
                <w:u w:val="none"/>
              </w:rPr>
            </w:pP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ABB54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24HT060840</w:t>
            </w:r>
          </w:p>
        </w:tc>
        <w:tc>
          <w:tcPr>
            <w:tcW w:w="500" w:type="pct"/>
            <w:tcBorders>
              <w:top w:val="nil"/>
              <w:left w:val="single" w:color="000000" w:sz="4" w:space="0"/>
              <w:bottom w:val="single" w:color="000000" w:sz="4" w:space="0"/>
              <w:right w:val="single" w:color="000000" w:sz="4" w:space="0"/>
            </w:tcBorders>
            <w:shd w:val="clear" w:color="auto" w:fill="FFFFFF"/>
            <w:vAlign w:val="center"/>
          </w:tcPr>
          <w:p w14:paraId="4E1C883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8月31日</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04CB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2024/6/1</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2404B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XO-HTVF</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40C0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2026年8月14日</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3F256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2027年5月31日</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548F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9.53 </w:t>
            </w:r>
          </w:p>
        </w:tc>
      </w:tr>
      <w:tr w14:paraId="53216D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A36F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292" w:type="pct"/>
            <w:vMerge w:val="continue"/>
            <w:tcBorders>
              <w:top w:val="nil"/>
              <w:left w:val="single" w:color="000000" w:sz="4" w:space="0"/>
              <w:bottom w:val="single" w:color="000000" w:sz="4" w:space="0"/>
              <w:right w:val="single" w:color="000000" w:sz="4" w:space="0"/>
            </w:tcBorders>
            <w:shd w:val="clear" w:color="auto" w:fill="auto"/>
            <w:noWrap/>
            <w:vAlign w:val="center"/>
          </w:tcPr>
          <w:p w14:paraId="3494CAC0">
            <w:pPr>
              <w:jc w:val="center"/>
              <w:rPr>
                <w:rFonts w:hint="eastAsia" w:ascii="宋体" w:hAnsi="宋体" w:eastAsia="宋体" w:cs="宋体"/>
                <w:i w:val="0"/>
                <w:iCs w:val="0"/>
                <w:color w:val="000000"/>
                <w:sz w:val="18"/>
                <w:szCs w:val="18"/>
                <w:u w:val="none"/>
              </w:rPr>
            </w:pP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8A0E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24HT060841</w:t>
            </w:r>
          </w:p>
        </w:tc>
        <w:tc>
          <w:tcPr>
            <w:tcW w:w="500" w:type="pct"/>
            <w:tcBorders>
              <w:top w:val="nil"/>
              <w:left w:val="single" w:color="000000" w:sz="4" w:space="0"/>
              <w:bottom w:val="single" w:color="000000" w:sz="4" w:space="0"/>
              <w:right w:val="single" w:color="000000" w:sz="4" w:space="0"/>
            </w:tcBorders>
            <w:shd w:val="clear" w:color="auto" w:fill="FFFFFF"/>
            <w:vAlign w:val="center"/>
          </w:tcPr>
          <w:p w14:paraId="4101CB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8月31日</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65C9E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2024/6/1</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B3BE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XO-HTVF</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E4C0E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2026年8月14日</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9F9C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2027年5月31日</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64C5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9.53 </w:t>
            </w:r>
          </w:p>
        </w:tc>
      </w:tr>
      <w:tr w14:paraId="7390AA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CEB19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w:t>
            </w:r>
          </w:p>
        </w:tc>
        <w:tc>
          <w:tcPr>
            <w:tcW w:w="292" w:type="pct"/>
            <w:vMerge w:val="restart"/>
            <w:tcBorders>
              <w:top w:val="single" w:color="000000" w:sz="4" w:space="0"/>
              <w:left w:val="single" w:color="000000" w:sz="4" w:space="0"/>
              <w:bottom w:val="nil"/>
              <w:right w:val="single" w:color="000000" w:sz="4" w:space="0"/>
            </w:tcBorders>
            <w:shd w:val="clear" w:color="auto" w:fill="auto"/>
            <w:noWrap/>
            <w:vAlign w:val="center"/>
          </w:tcPr>
          <w:p w14:paraId="4E68B5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3栋</w:t>
            </w: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706CF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24KT060854</w:t>
            </w:r>
          </w:p>
        </w:tc>
        <w:tc>
          <w:tcPr>
            <w:tcW w:w="500" w:type="pct"/>
            <w:tcBorders>
              <w:top w:val="nil"/>
              <w:left w:val="single" w:color="000000" w:sz="4" w:space="0"/>
              <w:bottom w:val="single" w:color="000000" w:sz="4" w:space="0"/>
              <w:right w:val="single" w:color="000000" w:sz="4" w:space="0"/>
            </w:tcBorders>
            <w:shd w:val="clear" w:color="auto" w:fill="FFFFFF"/>
            <w:vAlign w:val="center"/>
          </w:tcPr>
          <w:p w14:paraId="62F4E2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8月31日</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501A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2024/5/30</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D8B64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XO-CONIII</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512B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2026年8月14日</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CA51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2027年5月31日</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9E38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9.53 </w:t>
            </w:r>
          </w:p>
        </w:tc>
      </w:tr>
      <w:tr w14:paraId="14210D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985C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292" w:type="pct"/>
            <w:vMerge w:val="continue"/>
            <w:tcBorders>
              <w:top w:val="single" w:color="000000" w:sz="4" w:space="0"/>
              <w:left w:val="single" w:color="000000" w:sz="4" w:space="0"/>
              <w:bottom w:val="nil"/>
              <w:right w:val="single" w:color="000000" w:sz="4" w:space="0"/>
            </w:tcBorders>
            <w:shd w:val="clear" w:color="auto" w:fill="auto"/>
            <w:noWrap/>
            <w:vAlign w:val="center"/>
          </w:tcPr>
          <w:p w14:paraId="12F2AA79">
            <w:pPr>
              <w:jc w:val="center"/>
              <w:rPr>
                <w:rFonts w:hint="eastAsia" w:ascii="宋体" w:hAnsi="宋体" w:eastAsia="宋体" w:cs="宋体"/>
                <w:i w:val="0"/>
                <w:iCs w:val="0"/>
                <w:color w:val="000000"/>
                <w:sz w:val="18"/>
                <w:szCs w:val="18"/>
                <w:u w:val="none"/>
              </w:rPr>
            </w:pP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1519B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24KT060855</w:t>
            </w:r>
          </w:p>
        </w:tc>
        <w:tc>
          <w:tcPr>
            <w:tcW w:w="500" w:type="pct"/>
            <w:tcBorders>
              <w:top w:val="nil"/>
              <w:left w:val="single" w:color="000000" w:sz="4" w:space="0"/>
              <w:bottom w:val="single" w:color="000000" w:sz="4" w:space="0"/>
              <w:right w:val="single" w:color="000000" w:sz="4" w:space="0"/>
            </w:tcBorders>
            <w:shd w:val="clear" w:color="auto" w:fill="FFFFFF"/>
            <w:vAlign w:val="center"/>
          </w:tcPr>
          <w:p w14:paraId="6BE9C4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8月31日</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F5A78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2024/5/30</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5657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XO-CONIII</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2AE0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2026年8月14日</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1DEE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2027年5月31日</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E821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9.53 </w:t>
            </w:r>
          </w:p>
        </w:tc>
      </w:tr>
      <w:tr w14:paraId="7A3B3E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EE04D1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w:t>
            </w:r>
          </w:p>
        </w:tc>
        <w:tc>
          <w:tcPr>
            <w:tcW w:w="292" w:type="pct"/>
            <w:vMerge w:val="continue"/>
            <w:tcBorders>
              <w:top w:val="single" w:color="000000" w:sz="4" w:space="0"/>
              <w:left w:val="single" w:color="000000" w:sz="4" w:space="0"/>
              <w:bottom w:val="nil"/>
              <w:right w:val="single" w:color="000000" w:sz="4" w:space="0"/>
            </w:tcBorders>
            <w:shd w:val="clear" w:color="auto" w:fill="auto"/>
            <w:noWrap/>
            <w:vAlign w:val="center"/>
          </w:tcPr>
          <w:p w14:paraId="5C01EEEB">
            <w:pPr>
              <w:jc w:val="center"/>
              <w:rPr>
                <w:rFonts w:hint="eastAsia" w:ascii="宋体" w:hAnsi="宋体" w:eastAsia="宋体" w:cs="宋体"/>
                <w:i w:val="0"/>
                <w:iCs w:val="0"/>
                <w:color w:val="000000"/>
                <w:sz w:val="18"/>
                <w:szCs w:val="18"/>
                <w:u w:val="none"/>
              </w:rPr>
            </w:pP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2EC3D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24HT060838</w:t>
            </w:r>
          </w:p>
        </w:tc>
        <w:tc>
          <w:tcPr>
            <w:tcW w:w="500" w:type="pct"/>
            <w:tcBorders>
              <w:top w:val="nil"/>
              <w:left w:val="single" w:color="000000" w:sz="4" w:space="0"/>
              <w:bottom w:val="single" w:color="000000" w:sz="4" w:space="0"/>
              <w:right w:val="single" w:color="000000" w:sz="4" w:space="0"/>
            </w:tcBorders>
            <w:shd w:val="clear" w:color="auto" w:fill="FFFFFF"/>
            <w:vAlign w:val="center"/>
          </w:tcPr>
          <w:p w14:paraId="6732F1A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8月31日</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D978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2024/6/1</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B0E7D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XO-HTVF</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E1918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2026年8月14日</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0A49E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2027年5月31日</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2ED8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9.53 </w:t>
            </w:r>
          </w:p>
        </w:tc>
      </w:tr>
      <w:tr w14:paraId="3FFE93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4816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w:t>
            </w:r>
          </w:p>
        </w:tc>
        <w:tc>
          <w:tcPr>
            <w:tcW w:w="292" w:type="pct"/>
            <w:vMerge w:val="continue"/>
            <w:tcBorders>
              <w:top w:val="single" w:color="000000" w:sz="4" w:space="0"/>
              <w:left w:val="single" w:color="000000" w:sz="4" w:space="0"/>
              <w:bottom w:val="nil"/>
              <w:right w:val="single" w:color="000000" w:sz="4" w:space="0"/>
            </w:tcBorders>
            <w:shd w:val="clear" w:color="auto" w:fill="auto"/>
            <w:noWrap/>
            <w:vAlign w:val="center"/>
          </w:tcPr>
          <w:p w14:paraId="57ABFBD7">
            <w:pPr>
              <w:jc w:val="center"/>
              <w:rPr>
                <w:rFonts w:hint="eastAsia" w:ascii="宋体" w:hAnsi="宋体" w:eastAsia="宋体" w:cs="宋体"/>
                <w:i w:val="0"/>
                <w:iCs w:val="0"/>
                <w:color w:val="000000"/>
                <w:sz w:val="18"/>
                <w:szCs w:val="18"/>
                <w:u w:val="none"/>
              </w:rPr>
            </w:pP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1D29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24HT060834</w:t>
            </w:r>
          </w:p>
        </w:tc>
        <w:tc>
          <w:tcPr>
            <w:tcW w:w="50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430979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7月31日</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015E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2024/6/1</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D99A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XO-HTVF</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89FB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2026年7月28日</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24AB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2027年5月31日</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39306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10.09 </w:t>
            </w:r>
          </w:p>
        </w:tc>
      </w:tr>
      <w:tr w14:paraId="3CC513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FFB5EA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292" w:type="pct"/>
            <w:vMerge w:val="continue"/>
            <w:tcBorders>
              <w:top w:val="single" w:color="000000" w:sz="4" w:space="0"/>
              <w:left w:val="single" w:color="000000" w:sz="4" w:space="0"/>
              <w:bottom w:val="nil"/>
              <w:right w:val="single" w:color="000000" w:sz="4" w:space="0"/>
            </w:tcBorders>
            <w:shd w:val="clear" w:color="auto" w:fill="auto"/>
            <w:noWrap/>
            <w:vAlign w:val="center"/>
          </w:tcPr>
          <w:p w14:paraId="31EC3715">
            <w:pPr>
              <w:jc w:val="center"/>
              <w:rPr>
                <w:rFonts w:hint="eastAsia" w:ascii="宋体" w:hAnsi="宋体" w:eastAsia="宋体" w:cs="宋体"/>
                <w:i w:val="0"/>
                <w:iCs w:val="0"/>
                <w:color w:val="000000"/>
                <w:sz w:val="18"/>
                <w:szCs w:val="18"/>
                <w:u w:val="none"/>
              </w:rPr>
            </w:pP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AA301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24HT060839</w:t>
            </w:r>
          </w:p>
        </w:tc>
        <w:tc>
          <w:tcPr>
            <w:tcW w:w="500" w:type="pct"/>
            <w:tcBorders>
              <w:top w:val="nil"/>
              <w:left w:val="single" w:color="000000" w:sz="4" w:space="0"/>
              <w:bottom w:val="single" w:color="000000" w:sz="4" w:space="0"/>
              <w:right w:val="single" w:color="000000" w:sz="4" w:space="0"/>
            </w:tcBorders>
            <w:shd w:val="clear" w:color="auto" w:fill="FFFFFF"/>
            <w:vAlign w:val="center"/>
          </w:tcPr>
          <w:p w14:paraId="4D230C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8月31日</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F97E2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2024/6/1</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78808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XO-HTVF</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B0B96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2026年8月14日</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0B3C2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2027年5月31日</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C37A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9.53 </w:t>
            </w:r>
          </w:p>
        </w:tc>
      </w:tr>
      <w:tr w14:paraId="07DE31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1E7B1A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w:t>
            </w:r>
          </w:p>
        </w:tc>
        <w:tc>
          <w:tcPr>
            <w:tcW w:w="292" w:type="pct"/>
            <w:vMerge w:val="restart"/>
            <w:tcBorders>
              <w:top w:val="single" w:color="000000" w:sz="4" w:space="0"/>
              <w:left w:val="single" w:color="000000" w:sz="4" w:space="0"/>
              <w:bottom w:val="nil"/>
              <w:right w:val="single" w:color="000000" w:sz="4" w:space="0"/>
            </w:tcBorders>
            <w:shd w:val="clear" w:color="auto" w:fill="auto"/>
            <w:noWrap/>
            <w:vAlign w:val="center"/>
          </w:tcPr>
          <w:p w14:paraId="6D8D588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4栋</w:t>
            </w: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7C0B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24KT060856</w:t>
            </w:r>
          </w:p>
        </w:tc>
        <w:tc>
          <w:tcPr>
            <w:tcW w:w="500" w:type="pct"/>
            <w:tcBorders>
              <w:top w:val="nil"/>
              <w:left w:val="single" w:color="000000" w:sz="4" w:space="0"/>
              <w:bottom w:val="single" w:color="000000" w:sz="4" w:space="0"/>
              <w:right w:val="single" w:color="000000" w:sz="4" w:space="0"/>
            </w:tcBorders>
            <w:shd w:val="clear" w:color="auto" w:fill="FFFFFF"/>
            <w:vAlign w:val="center"/>
          </w:tcPr>
          <w:p w14:paraId="057DBA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8月31日</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C71A8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2024/5/30</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4C439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XO-CONIII</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96B6E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2026年8月14日</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2A71E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2027年5月31日</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FFE0C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9.53 </w:t>
            </w:r>
          </w:p>
        </w:tc>
      </w:tr>
      <w:tr w14:paraId="4DCF05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AA55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w:t>
            </w:r>
          </w:p>
        </w:tc>
        <w:tc>
          <w:tcPr>
            <w:tcW w:w="292" w:type="pct"/>
            <w:vMerge w:val="continue"/>
            <w:tcBorders>
              <w:top w:val="single" w:color="000000" w:sz="4" w:space="0"/>
              <w:left w:val="single" w:color="000000" w:sz="4" w:space="0"/>
              <w:bottom w:val="nil"/>
              <w:right w:val="single" w:color="000000" w:sz="4" w:space="0"/>
            </w:tcBorders>
            <w:shd w:val="clear" w:color="auto" w:fill="auto"/>
            <w:noWrap/>
            <w:vAlign w:val="center"/>
          </w:tcPr>
          <w:p w14:paraId="3BCBBA44">
            <w:pPr>
              <w:jc w:val="center"/>
              <w:rPr>
                <w:rFonts w:hint="eastAsia" w:ascii="宋体" w:hAnsi="宋体" w:eastAsia="宋体" w:cs="宋体"/>
                <w:i w:val="0"/>
                <w:iCs w:val="0"/>
                <w:color w:val="000000"/>
                <w:sz w:val="18"/>
                <w:szCs w:val="18"/>
                <w:u w:val="none"/>
              </w:rPr>
            </w:pP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F16D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24HT060832</w:t>
            </w:r>
          </w:p>
        </w:tc>
        <w:tc>
          <w:tcPr>
            <w:tcW w:w="50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8983B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7月31日</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0422A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2024/6/1</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C05B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XO-HTVF</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21E4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2026年7月28日</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8EDDC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2027年5月31日</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B3191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10.09 </w:t>
            </w:r>
          </w:p>
        </w:tc>
      </w:tr>
      <w:tr w14:paraId="34C86A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ECCDCE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w:t>
            </w:r>
          </w:p>
        </w:tc>
        <w:tc>
          <w:tcPr>
            <w:tcW w:w="292" w:type="pct"/>
            <w:vMerge w:val="continue"/>
            <w:tcBorders>
              <w:top w:val="single" w:color="000000" w:sz="4" w:space="0"/>
              <w:left w:val="single" w:color="000000" w:sz="4" w:space="0"/>
              <w:bottom w:val="nil"/>
              <w:right w:val="single" w:color="000000" w:sz="4" w:space="0"/>
            </w:tcBorders>
            <w:shd w:val="clear" w:color="auto" w:fill="auto"/>
            <w:noWrap/>
            <w:vAlign w:val="center"/>
          </w:tcPr>
          <w:p w14:paraId="373A056D">
            <w:pPr>
              <w:jc w:val="center"/>
              <w:rPr>
                <w:rFonts w:hint="eastAsia" w:ascii="宋体" w:hAnsi="宋体" w:eastAsia="宋体" w:cs="宋体"/>
                <w:i w:val="0"/>
                <w:iCs w:val="0"/>
                <w:color w:val="000000"/>
                <w:sz w:val="18"/>
                <w:szCs w:val="18"/>
                <w:u w:val="none"/>
              </w:rPr>
            </w:pP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A8FA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24HT060843</w:t>
            </w:r>
          </w:p>
        </w:tc>
        <w:tc>
          <w:tcPr>
            <w:tcW w:w="500" w:type="pct"/>
            <w:tcBorders>
              <w:top w:val="nil"/>
              <w:left w:val="single" w:color="000000" w:sz="4" w:space="0"/>
              <w:bottom w:val="single" w:color="000000" w:sz="4" w:space="0"/>
              <w:right w:val="single" w:color="000000" w:sz="4" w:space="0"/>
            </w:tcBorders>
            <w:shd w:val="clear" w:color="auto" w:fill="FFFFFF"/>
            <w:vAlign w:val="center"/>
          </w:tcPr>
          <w:p w14:paraId="1527328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8月31日</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FBFDD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2024/6/1</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F3A4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XO-HTVF</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9EE2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2026年8月14日</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9B6B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2027年5月31日</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A66A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9.53 </w:t>
            </w:r>
          </w:p>
        </w:tc>
      </w:tr>
      <w:tr w14:paraId="5380ED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7D5B9F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w:t>
            </w:r>
          </w:p>
        </w:tc>
        <w:tc>
          <w:tcPr>
            <w:tcW w:w="292" w:type="pct"/>
            <w:vMerge w:val="continue"/>
            <w:tcBorders>
              <w:top w:val="single" w:color="000000" w:sz="4" w:space="0"/>
              <w:left w:val="single" w:color="000000" w:sz="4" w:space="0"/>
              <w:bottom w:val="nil"/>
              <w:right w:val="single" w:color="000000" w:sz="4" w:space="0"/>
            </w:tcBorders>
            <w:shd w:val="clear" w:color="auto" w:fill="auto"/>
            <w:noWrap/>
            <w:vAlign w:val="center"/>
          </w:tcPr>
          <w:p w14:paraId="6033824F">
            <w:pPr>
              <w:jc w:val="center"/>
              <w:rPr>
                <w:rFonts w:hint="eastAsia" w:ascii="宋体" w:hAnsi="宋体" w:eastAsia="宋体" w:cs="宋体"/>
                <w:i w:val="0"/>
                <w:iCs w:val="0"/>
                <w:color w:val="000000"/>
                <w:sz w:val="18"/>
                <w:szCs w:val="18"/>
                <w:u w:val="none"/>
              </w:rPr>
            </w:pP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B8820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24HT060842</w:t>
            </w:r>
          </w:p>
        </w:tc>
        <w:tc>
          <w:tcPr>
            <w:tcW w:w="500" w:type="pct"/>
            <w:tcBorders>
              <w:top w:val="nil"/>
              <w:left w:val="single" w:color="000000" w:sz="4" w:space="0"/>
              <w:bottom w:val="single" w:color="000000" w:sz="4" w:space="0"/>
              <w:right w:val="single" w:color="000000" w:sz="4" w:space="0"/>
            </w:tcBorders>
            <w:shd w:val="clear" w:color="auto" w:fill="FFFFFF"/>
            <w:vAlign w:val="center"/>
          </w:tcPr>
          <w:p w14:paraId="601E21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8月31日</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93B31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2024/6/1</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DC0D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XO-HTVF</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3A54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2026年8月14日</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9243C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2027年5月31日</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BE0CB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9.53 </w:t>
            </w:r>
          </w:p>
        </w:tc>
      </w:tr>
      <w:tr w14:paraId="462CC3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225351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292" w:type="pct"/>
            <w:vMerge w:val="restart"/>
            <w:tcBorders>
              <w:top w:val="single" w:color="000000" w:sz="4" w:space="0"/>
              <w:left w:val="single" w:color="000000" w:sz="4" w:space="0"/>
              <w:bottom w:val="nil"/>
              <w:right w:val="single" w:color="000000" w:sz="4" w:space="0"/>
            </w:tcBorders>
            <w:shd w:val="clear" w:color="auto" w:fill="auto"/>
            <w:noWrap/>
            <w:vAlign w:val="center"/>
          </w:tcPr>
          <w:p w14:paraId="1B6615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5栋</w:t>
            </w: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FAC74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24KT060857</w:t>
            </w:r>
          </w:p>
        </w:tc>
        <w:tc>
          <w:tcPr>
            <w:tcW w:w="500" w:type="pct"/>
            <w:tcBorders>
              <w:top w:val="nil"/>
              <w:left w:val="single" w:color="000000" w:sz="4" w:space="0"/>
              <w:bottom w:val="single" w:color="000000" w:sz="4" w:space="0"/>
              <w:right w:val="single" w:color="000000" w:sz="4" w:space="0"/>
            </w:tcBorders>
            <w:shd w:val="clear" w:color="auto" w:fill="FFFFFF"/>
            <w:vAlign w:val="center"/>
          </w:tcPr>
          <w:p w14:paraId="1A1E62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8月31日</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BF6B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2024/5/30</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474F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XO-CONIII</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87C23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2026年8月14日</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F5298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2027年5月31日</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A616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9.53 </w:t>
            </w:r>
          </w:p>
        </w:tc>
      </w:tr>
      <w:tr w14:paraId="6703A5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A2029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w:t>
            </w:r>
          </w:p>
        </w:tc>
        <w:tc>
          <w:tcPr>
            <w:tcW w:w="292" w:type="pct"/>
            <w:vMerge w:val="continue"/>
            <w:tcBorders>
              <w:top w:val="single" w:color="000000" w:sz="4" w:space="0"/>
              <w:left w:val="single" w:color="000000" w:sz="4" w:space="0"/>
              <w:bottom w:val="nil"/>
              <w:right w:val="single" w:color="000000" w:sz="4" w:space="0"/>
            </w:tcBorders>
            <w:shd w:val="clear" w:color="auto" w:fill="auto"/>
            <w:noWrap/>
            <w:vAlign w:val="center"/>
          </w:tcPr>
          <w:p w14:paraId="1A39FAB8">
            <w:pPr>
              <w:jc w:val="center"/>
              <w:rPr>
                <w:rFonts w:hint="eastAsia" w:ascii="宋体" w:hAnsi="宋体" w:eastAsia="宋体" w:cs="宋体"/>
                <w:i w:val="0"/>
                <w:iCs w:val="0"/>
                <w:color w:val="000000"/>
                <w:sz w:val="18"/>
                <w:szCs w:val="18"/>
                <w:u w:val="none"/>
              </w:rPr>
            </w:pP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721CE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24HT060837</w:t>
            </w:r>
          </w:p>
        </w:tc>
        <w:tc>
          <w:tcPr>
            <w:tcW w:w="50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E4F8B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7月31日</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7F96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2024/6/1</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ED25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XO-HTVF</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ED44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2026年7月28日</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77754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2027年5月31日</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BBD7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10.09 </w:t>
            </w:r>
          </w:p>
        </w:tc>
      </w:tr>
      <w:tr w14:paraId="05E66C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1976F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w:t>
            </w:r>
          </w:p>
        </w:tc>
        <w:tc>
          <w:tcPr>
            <w:tcW w:w="292" w:type="pct"/>
            <w:vMerge w:val="continue"/>
            <w:tcBorders>
              <w:top w:val="single" w:color="000000" w:sz="4" w:space="0"/>
              <w:left w:val="single" w:color="000000" w:sz="4" w:space="0"/>
              <w:bottom w:val="nil"/>
              <w:right w:val="single" w:color="000000" w:sz="4" w:space="0"/>
            </w:tcBorders>
            <w:shd w:val="clear" w:color="auto" w:fill="auto"/>
            <w:noWrap/>
            <w:vAlign w:val="center"/>
          </w:tcPr>
          <w:p w14:paraId="0A90C2AF">
            <w:pPr>
              <w:jc w:val="center"/>
              <w:rPr>
                <w:rFonts w:hint="eastAsia" w:ascii="宋体" w:hAnsi="宋体" w:eastAsia="宋体" w:cs="宋体"/>
                <w:i w:val="0"/>
                <w:iCs w:val="0"/>
                <w:color w:val="000000"/>
                <w:sz w:val="18"/>
                <w:szCs w:val="18"/>
                <w:u w:val="none"/>
              </w:rPr>
            </w:pP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F5757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24HT060844</w:t>
            </w:r>
          </w:p>
        </w:tc>
        <w:tc>
          <w:tcPr>
            <w:tcW w:w="500" w:type="pct"/>
            <w:tcBorders>
              <w:top w:val="nil"/>
              <w:left w:val="single" w:color="000000" w:sz="4" w:space="0"/>
              <w:bottom w:val="single" w:color="000000" w:sz="4" w:space="0"/>
              <w:right w:val="single" w:color="000000" w:sz="4" w:space="0"/>
            </w:tcBorders>
            <w:shd w:val="clear" w:color="auto" w:fill="FFFFFF"/>
            <w:vAlign w:val="center"/>
          </w:tcPr>
          <w:p w14:paraId="7D7184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8月31日</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F00A9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2024/6/1</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24CE1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XO-HTVF</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E78BC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2026年8月14日</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CA19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2027年5月31日</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E6C8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9.53 </w:t>
            </w:r>
          </w:p>
        </w:tc>
      </w:tr>
      <w:tr w14:paraId="0F1AB2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EE21C8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w:t>
            </w:r>
          </w:p>
        </w:tc>
        <w:tc>
          <w:tcPr>
            <w:tcW w:w="292" w:type="pct"/>
            <w:vMerge w:val="continue"/>
            <w:tcBorders>
              <w:top w:val="single" w:color="000000" w:sz="4" w:space="0"/>
              <w:left w:val="single" w:color="000000" w:sz="4" w:space="0"/>
              <w:bottom w:val="nil"/>
              <w:right w:val="single" w:color="000000" w:sz="4" w:space="0"/>
            </w:tcBorders>
            <w:shd w:val="clear" w:color="auto" w:fill="auto"/>
            <w:noWrap/>
            <w:vAlign w:val="center"/>
          </w:tcPr>
          <w:p w14:paraId="76BCF5AA">
            <w:pPr>
              <w:jc w:val="center"/>
              <w:rPr>
                <w:rFonts w:hint="eastAsia" w:ascii="宋体" w:hAnsi="宋体" w:eastAsia="宋体" w:cs="宋体"/>
                <w:i w:val="0"/>
                <w:iCs w:val="0"/>
                <w:color w:val="000000"/>
                <w:sz w:val="18"/>
                <w:szCs w:val="18"/>
                <w:u w:val="none"/>
              </w:rPr>
            </w:pP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07E8A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24HT060847</w:t>
            </w:r>
          </w:p>
        </w:tc>
        <w:tc>
          <w:tcPr>
            <w:tcW w:w="500" w:type="pct"/>
            <w:tcBorders>
              <w:top w:val="nil"/>
              <w:left w:val="single" w:color="000000" w:sz="4" w:space="0"/>
              <w:bottom w:val="single" w:color="000000" w:sz="4" w:space="0"/>
              <w:right w:val="single" w:color="000000" w:sz="4" w:space="0"/>
            </w:tcBorders>
            <w:shd w:val="clear" w:color="auto" w:fill="FFFFFF"/>
            <w:vAlign w:val="center"/>
          </w:tcPr>
          <w:p w14:paraId="088BA8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8月31日</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D12D6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2024/6/1</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D8AC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XO-HTVF</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43AC0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2026年8月14日</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AA01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2027年5月31日</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EE4F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9.53 </w:t>
            </w:r>
          </w:p>
        </w:tc>
      </w:tr>
      <w:tr w14:paraId="6402A0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DBD40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w:t>
            </w:r>
          </w:p>
        </w:tc>
        <w:tc>
          <w:tcPr>
            <w:tcW w:w="292"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27E5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6栋</w:t>
            </w: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7037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24KT060859</w:t>
            </w:r>
          </w:p>
        </w:tc>
        <w:tc>
          <w:tcPr>
            <w:tcW w:w="500" w:type="pct"/>
            <w:tcBorders>
              <w:top w:val="nil"/>
              <w:left w:val="single" w:color="000000" w:sz="4" w:space="0"/>
              <w:bottom w:val="single" w:color="000000" w:sz="4" w:space="0"/>
              <w:right w:val="single" w:color="000000" w:sz="4" w:space="0"/>
            </w:tcBorders>
            <w:shd w:val="clear" w:color="auto" w:fill="FFFFFF"/>
            <w:vAlign w:val="center"/>
          </w:tcPr>
          <w:p w14:paraId="5C7C8FC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8月31日</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9C1D8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2024/5/30</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A0F14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XO-CONIII</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CBF9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2026年8月14日</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DCB2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2027年5月31日</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DD86D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9.53 </w:t>
            </w:r>
          </w:p>
        </w:tc>
      </w:tr>
      <w:tr w14:paraId="23EE5C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AB5421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w:t>
            </w:r>
          </w:p>
        </w:tc>
        <w:tc>
          <w:tcPr>
            <w:tcW w:w="29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C4D458">
            <w:pPr>
              <w:jc w:val="center"/>
              <w:rPr>
                <w:rFonts w:hint="eastAsia" w:ascii="宋体" w:hAnsi="宋体" w:eastAsia="宋体" w:cs="宋体"/>
                <w:i w:val="0"/>
                <w:iCs w:val="0"/>
                <w:color w:val="000000"/>
                <w:sz w:val="18"/>
                <w:szCs w:val="18"/>
                <w:u w:val="none"/>
              </w:rPr>
            </w:pP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DBCF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24HT060835</w:t>
            </w:r>
          </w:p>
        </w:tc>
        <w:tc>
          <w:tcPr>
            <w:tcW w:w="50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21CAFA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7月31日</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6DD9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2024/6/1</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6D31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XO-HTVF</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927F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2026年7月28日</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83D1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2027年5月31日</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6D5A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10.09 </w:t>
            </w:r>
          </w:p>
        </w:tc>
      </w:tr>
      <w:tr w14:paraId="3DC196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B348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w:t>
            </w:r>
          </w:p>
        </w:tc>
        <w:tc>
          <w:tcPr>
            <w:tcW w:w="29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857C3D">
            <w:pPr>
              <w:jc w:val="center"/>
              <w:rPr>
                <w:rFonts w:hint="eastAsia" w:ascii="宋体" w:hAnsi="宋体" w:eastAsia="宋体" w:cs="宋体"/>
                <w:i w:val="0"/>
                <w:iCs w:val="0"/>
                <w:color w:val="000000"/>
                <w:sz w:val="18"/>
                <w:szCs w:val="18"/>
                <w:u w:val="none"/>
              </w:rPr>
            </w:pP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4E63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24HT060845</w:t>
            </w:r>
          </w:p>
        </w:tc>
        <w:tc>
          <w:tcPr>
            <w:tcW w:w="500" w:type="pct"/>
            <w:tcBorders>
              <w:top w:val="nil"/>
              <w:left w:val="single" w:color="000000" w:sz="4" w:space="0"/>
              <w:bottom w:val="single" w:color="000000" w:sz="4" w:space="0"/>
              <w:right w:val="single" w:color="000000" w:sz="4" w:space="0"/>
            </w:tcBorders>
            <w:shd w:val="clear" w:color="auto" w:fill="FFFFFF"/>
            <w:vAlign w:val="center"/>
          </w:tcPr>
          <w:p w14:paraId="3F01D5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8月31日</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6136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2024/6/1</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7EB9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XO-HTVF</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8A8EE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2026年8月14日</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EF4C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2027年5月31日</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E21A9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9.53 </w:t>
            </w:r>
          </w:p>
        </w:tc>
      </w:tr>
      <w:tr w14:paraId="403068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301D7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w:t>
            </w:r>
          </w:p>
        </w:tc>
        <w:tc>
          <w:tcPr>
            <w:tcW w:w="29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7F8B87">
            <w:pPr>
              <w:jc w:val="center"/>
              <w:rPr>
                <w:rFonts w:hint="eastAsia" w:ascii="宋体" w:hAnsi="宋体" w:eastAsia="宋体" w:cs="宋体"/>
                <w:i w:val="0"/>
                <w:iCs w:val="0"/>
                <w:color w:val="000000"/>
                <w:sz w:val="18"/>
                <w:szCs w:val="18"/>
                <w:u w:val="none"/>
              </w:rPr>
            </w:pP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1088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24HT060848</w:t>
            </w:r>
          </w:p>
        </w:tc>
        <w:tc>
          <w:tcPr>
            <w:tcW w:w="500" w:type="pct"/>
            <w:tcBorders>
              <w:top w:val="nil"/>
              <w:left w:val="single" w:color="000000" w:sz="4" w:space="0"/>
              <w:bottom w:val="single" w:color="000000" w:sz="4" w:space="0"/>
              <w:right w:val="single" w:color="000000" w:sz="4" w:space="0"/>
            </w:tcBorders>
            <w:shd w:val="clear" w:color="auto" w:fill="FFFFFF"/>
            <w:vAlign w:val="center"/>
          </w:tcPr>
          <w:p w14:paraId="1CD17D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8月31日</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2565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2024/6/1</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2053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XO-HTVF</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10432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2026年8月14日</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F18E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2027年5月31日</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5798F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9.53 </w:t>
            </w:r>
          </w:p>
        </w:tc>
      </w:tr>
      <w:tr w14:paraId="33FAC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DC2AC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w:t>
            </w:r>
          </w:p>
        </w:tc>
        <w:tc>
          <w:tcPr>
            <w:tcW w:w="292"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E119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7栋</w:t>
            </w: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D7BAB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24KT060858</w:t>
            </w:r>
          </w:p>
        </w:tc>
        <w:tc>
          <w:tcPr>
            <w:tcW w:w="50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429D0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8月31日</w:t>
            </w:r>
          </w:p>
        </w:tc>
        <w:tc>
          <w:tcPr>
            <w:tcW w:w="549" w:type="pct"/>
            <w:tcBorders>
              <w:top w:val="single" w:color="000000" w:sz="4" w:space="0"/>
              <w:left w:val="single" w:color="000000" w:sz="4" w:space="0"/>
              <w:bottom w:val="nil"/>
              <w:right w:val="single" w:color="000000" w:sz="4" w:space="0"/>
            </w:tcBorders>
            <w:shd w:val="clear" w:color="auto" w:fill="auto"/>
            <w:noWrap/>
            <w:vAlign w:val="center"/>
          </w:tcPr>
          <w:p w14:paraId="527523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2024/5/30</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1C03A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XO-CONIII</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B20B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2026年8月14日</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00BF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2027年5月31日</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EBB8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9.53 </w:t>
            </w:r>
          </w:p>
        </w:tc>
      </w:tr>
      <w:tr w14:paraId="272F2C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BBF38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w:t>
            </w:r>
          </w:p>
        </w:tc>
        <w:tc>
          <w:tcPr>
            <w:tcW w:w="29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F06397">
            <w:pPr>
              <w:jc w:val="center"/>
              <w:rPr>
                <w:rFonts w:hint="eastAsia" w:ascii="宋体" w:hAnsi="宋体" w:eastAsia="宋体" w:cs="宋体"/>
                <w:i w:val="0"/>
                <w:iCs w:val="0"/>
                <w:color w:val="000000"/>
                <w:sz w:val="18"/>
                <w:szCs w:val="18"/>
                <w:u w:val="none"/>
              </w:rPr>
            </w:pP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1C7BE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24HT060836</w:t>
            </w:r>
          </w:p>
        </w:tc>
        <w:tc>
          <w:tcPr>
            <w:tcW w:w="50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29137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8月1日</w:t>
            </w:r>
          </w:p>
        </w:tc>
        <w:tc>
          <w:tcPr>
            <w:tcW w:w="5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20A0F3">
            <w:pPr>
              <w:rPr>
                <w:rFonts w:hint="eastAsia" w:ascii="宋体" w:hAnsi="宋体" w:eastAsia="宋体" w:cs="宋体"/>
                <w:i w:val="0"/>
                <w:iCs w:val="0"/>
                <w:color w:val="000000"/>
                <w:sz w:val="32"/>
                <w:szCs w:val="32"/>
                <w:u w:val="none"/>
              </w:rPr>
            </w:pP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7EDBD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XO-HTVF</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9EAB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2026年7月28日</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8663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2027年5月31日</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3A67F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10.09 </w:t>
            </w:r>
          </w:p>
        </w:tc>
      </w:tr>
      <w:tr w14:paraId="273D38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4E0A7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29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0EAC04">
            <w:pPr>
              <w:jc w:val="center"/>
              <w:rPr>
                <w:rFonts w:hint="eastAsia" w:ascii="宋体" w:hAnsi="宋体" w:eastAsia="宋体" w:cs="宋体"/>
                <w:i w:val="0"/>
                <w:iCs w:val="0"/>
                <w:color w:val="000000"/>
                <w:sz w:val="18"/>
                <w:szCs w:val="18"/>
                <w:u w:val="none"/>
              </w:rPr>
            </w:pP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705A6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24HT060846</w:t>
            </w:r>
          </w:p>
        </w:tc>
        <w:tc>
          <w:tcPr>
            <w:tcW w:w="50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DA5DCA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8月31日</w:t>
            </w:r>
          </w:p>
        </w:tc>
        <w:tc>
          <w:tcPr>
            <w:tcW w:w="549" w:type="pct"/>
            <w:tcBorders>
              <w:top w:val="nil"/>
              <w:left w:val="single" w:color="000000" w:sz="4" w:space="0"/>
              <w:bottom w:val="single" w:color="000000" w:sz="4" w:space="0"/>
              <w:right w:val="single" w:color="000000" w:sz="4" w:space="0"/>
            </w:tcBorders>
            <w:shd w:val="clear" w:color="auto" w:fill="auto"/>
            <w:noWrap/>
            <w:vAlign w:val="center"/>
          </w:tcPr>
          <w:p w14:paraId="6FB10FE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2024/6/1</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2E63E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XO-HTVF</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366E1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2026年8月14日</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69313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2027年5月31日</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90F2A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9.53 </w:t>
            </w:r>
          </w:p>
        </w:tc>
      </w:tr>
      <w:tr w14:paraId="560364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69E2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31</w:t>
            </w:r>
          </w:p>
        </w:tc>
        <w:tc>
          <w:tcPr>
            <w:tcW w:w="29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A75A5A">
            <w:pPr>
              <w:jc w:val="center"/>
              <w:rPr>
                <w:rFonts w:hint="eastAsia" w:ascii="宋体" w:hAnsi="宋体" w:eastAsia="宋体" w:cs="宋体"/>
                <w:i w:val="0"/>
                <w:iCs w:val="0"/>
                <w:color w:val="000000"/>
                <w:sz w:val="18"/>
                <w:szCs w:val="18"/>
                <w:u w:val="none"/>
              </w:rPr>
            </w:pP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4A681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24HT060849</w:t>
            </w:r>
          </w:p>
        </w:tc>
        <w:tc>
          <w:tcPr>
            <w:tcW w:w="500" w:type="pct"/>
            <w:tcBorders>
              <w:top w:val="nil"/>
              <w:left w:val="single" w:color="000000" w:sz="4" w:space="0"/>
              <w:bottom w:val="single" w:color="000000" w:sz="4" w:space="0"/>
              <w:right w:val="single" w:color="000000" w:sz="4" w:space="0"/>
            </w:tcBorders>
            <w:shd w:val="clear" w:color="auto" w:fill="FFFFFF"/>
            <w:vAlign w:val="center"/>
          </w:tcPr>
          <w:p w14:paraId="50635A9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8月31日</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B7E1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2024/6/1</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3DAB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XO-HTVF</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7523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2026年8月14日</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E7BDA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2027年5月31日</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5238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9.53 </w:t>
            </w:r>
          </w:p>
        </w:tc>
      </w:tr>
      <w:tr w14:paraId="463F08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190163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w:t>
            </w:r>
          </w:p>
        </w:tc>
        <w:tc>
          <w:tcPr>
            <w:tcW w:w="292" w:type="pct"/>
            <w:vMerge w:val="restart"/>
            <w:tcBorders>
              <w:top w:val="single" w:color="000000" w:sz="4" w:space="0"/>
              <w:left w:val="single" w:color="000000" w:sz="4" w:space="0"/>
              <w:bottom w:val="nil"/>
              <w:right w:val="single" w:color="000000" w:sz="4" w:space="0"/>
            </w:tcBorders>
            <w:shd w:val="clear" w:color="auto" w:fill="auto"/>
            <w:noWrap/>
            <w:vAlign w:val="center"/>
          </w:tcPr>
          <w:p w14:paraId="05FEA51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8栋</w:t>
            </w: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CF846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24KT070643</w:t>
            </w:r>
          </w:p>
        </w:tc>
        <w:tc>
          <w:tcPr>
            <w:tcW w:w="500" w:type="pct"/>
            <w:tcBorders>
              <w:top w:val="nil"/>
              <w:left w:val="single" w:color="000000" w:sz="4" w:space="0"/>
              <w:bottom w:val="single" w:color="000000" w:sz="4" w:space="0"/>
              <w:right w:val="single" w:color="000000" w:sz="4" w:space="0"/>
            </w:tcBorders>
            <w:shd w:val="clear" w:color="auto" w:fill="FFFFFF"/>
            <w:vAlign w:val="center"/>
          </w:tcPr>
          <w:p w14:paraId="1EF3D0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8月31日</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8075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2024/7/3</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6CDF3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XO-CONIII</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1FF2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2026年8月29日</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14918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2027年5月31日</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95A3B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9.04 </w:t>
            </w:r>
          </w:p>
        </w:tc>
      </w:tr>
      <w:tr w14:paraId="255A1D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904BB8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33</w:t>
            </w:r>
          </w:p>
        </w:tc>
        <w:tc>
          <w:tcPr>
            <w:tcW w:w="292" w:type="pct"/>
            <w:vMerge w:val="continue"/>
            <w:tcBorders>
              <w:top w:val="single" w:color="000000" w:sz="4" w:space="0"/>
              <w:left w:val="single" w:color="000000" w:sz="4" w:space="0"/>
              <w:bottom w:val="nil"/>
              <w:right w:val="single" w:color="000000" w:sz="4" w:space="0"/>
            </w:tcBorders>
            <w:shd w:val="clear" w:color="auto" w:fill="auto"/>
            <w:noWrap/>
            <w:vAlign w:val="center"/>
          </w:tcPr>
          <w:p w14:paraId="1C27E005">
            <w:pPr>
              <w:jc w:val="center"/>
              <w:rPr>
                <w:rFonts w:hint="eastAsia" w:ascii="宋体" w:hAnsi="宋体" w:eastAsia="宋体" w:cs="宋体"/>
                <w:i w:val="0"/>
                <w:iCs w:val="0"/>
                <w:color w:val="000000"/>
                <w:sz w:val="18"/>
                <w:szCs w:val="18"/>
                <w:u w:val="none"/>
              </w:rPr>
            </w:pP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11A8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24KT070645</w:t>
            </w:r>
          </w:p>
        </w:tc>
        <w:tc>
          <w:tcPr>
            <w:tcW w:w="500" w:type="pct"/>
            <w:tcBorders>
              <w:top w:val="nil"/>
              <w:left w:val="single" w:color="000000" w:sz="4" w:space="0"/>
              <w:bottom w:val="single" w:color="000000" w:sz="4" w:space="0"/>
              <w:right w:val="single" w:color="000000" w:sz="4" w:space="0"/>
            </w:tcBorders>
            <w:shd w:val="clear" w:color="auto" w:fill="FFFFFF"/>
            <w:vAlign w:val="center"/>
          </w:tcPr>
          <w:p w14:paraId="0857A1A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8月31日</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5F19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2024/7/3</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168C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XO-CONIII</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3017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2026年8月29日</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90EA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2027年5月31日</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EC938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9.04 </w:t>
            </w:r>
          </w:p>
        </w:tc>
      </w:tr>
      <w:tr w14:paraId="2CDF5E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51620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34</w:t>
            </w:r>
          </w:p>
        </w:tc>
        <w:tc>
          <w:tcPr>
            <w:tcW w:w="292" w:type="pct"/>
            <w:vMerge w:val="continue"/>
            <w:tcBorders>
              <w:top w:val="single" w:color="000000" w:sz="4" w:space="0"/>
              <w:left w:val="single" w:color="000000" w:sz="4" w:space="0"/>
              <w:bottom w:val="nil"/>
              <w:right w:val="single" w:color="000000" w:sz="4" w:space="0"/>
            </w:tcBorders>
            <w:shd w:val="clear" w:color="auto" w:fill="auto"/>
            <w:noWrap/>
            <w:vAlign w:val="center"/>
          </w:tcPr>
          <w:p w14:paraId="442E9056">
            <w:pPr>
              <w:jc w:val="center"/>
              <w:rPr>
                <w:rFonts w:hint="eastAsia" w:ascii="宋体" w:hAnsi="宋体" w:eastAsia="宋体" w:cs="宋体"/>
                <w:i w:val="0"/>
                <w:iCs w:val="0"/>
                <w:color w:val="000000"/>
                <w:sz w:val="18"/>
                <w:szCs w:val="18"/>
                <w:u w:val="none"/>
              </w:rPr>
            </w:pP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2356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24HT070644</w:t>
            </w:r>
          </w:p>
        </w:tc>
        <w:tc>
          <w:tcPr>
            <w:tcW w:w="500" w:type="pct"/>
            <w:tcBorders>
              <w:top w:val="nil"/>
              <w:left w:val="single" w:color="000000" w:sz="4" w:space="0"/>
              <w:bottom w:val="single" w:color="000000" w:sz="4" w:space="0"/>
              <w:right w:val="single" w:color="000000" w:sz="4" w:space="0"/>
            </w:tcBorders>
            <w:shd w:val="clear" w:color="auto" w:fill="FFFFFF"/>
            <w:vAlign w:val="center"/>
          </w:tcPr>
          <w:p w14:paraId="2D56E9B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8月31日</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C7059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2024/7/3</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7850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XO-HTVF</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4C97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2026年8月29日</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541B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2027年5月31日</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E66AC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9.04 </w:t>
            </w:r>
          </w:p>
        </w:tc>
      </w:tr>
      <w:tr w14:paraId="520140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66B03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w:t>
            </w:r>
          </w:p>
        </w:tc>
        <w:tc>
          <w:tcPr>
            <w:tcW w:w="292" w:type="pct"/>
            <w:vMerge w:val="continue"/>
            <w:tcBorders>
              <w:top w:val="single" w:color="000000" w:sz="4" w:space="0"/>
              <w:left w:val="single" w:color="000000" w:sz="4" w:space="0"/>
              <w:bottom w:val="nil"/>
              <w:right w:val="single" w:color="000000" w:sz="4" w:space="0"/>
            </w:tcBorders>
            <w:shd w:val="clear" w:color="auto" w:fill="auto"/>
            <w:noWrap/>
            <w:vAlign w:val="center"/>
          </w:tcPr>
          <w:p w14:paraId="4F128BC7">
            <w:pPr>
              <w:jc w:val="center"/>
              <w:rPr>
                <w:rFonts w:hint="eastAsia" w:ascii="宋体" w:hAnsi="宋体" w:eastAsia="宋体" w:cs="宋体"/>
                <w:i w:val="0"/>
                <w:iCs w:val="0"/>
                <w:color w:val="000000"/>
                <w:sz w:val="18"/>
                <w:szCs w:val="18"/>
                <w:u w:val="none"/>
              </w:rPr>
            </w:pP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CD401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24HT070642</w:t>
            </w:r>
          </w:p>
        </w:tc>
        <w:tc>
          <w:tcPr>
            <w:tcW w:w="50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0376D4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9月30日</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65DA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2024/7/3</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3EFA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XO-HTVF</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C233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2026年8月29日</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D501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2027年5月31日</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1F43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9.04 </w:t>
            </w:r>
          </w:p>
        </w:tc>
      </w:tr>
      <w:tr w14:paraId="3C751D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68AC6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36</w:t>
            </w:r>
          </w:p>
        </w:tc>
        <w:tc>
          <w:tcPr>
            <w:tcW w:w="292" w:type="pct"/>
            <w:vMerge w:val="continue"/>
            <w:tcBorders>
              <w:top w:val="single" w:color="000000" w:sz="4" w:space="0"/>
              <w:left w:val="single" w:color="000000" w:sz="4" w:space="0"/>
              <w:bottom w:val="nil"/>
              <w:right w:val="single" w:color="000000" w:sz="4" w:space="0"/>
            </w:tcBorders>
            <w:shd w:val="clear" w:color="auto" w:fill="auto"/>
            <w:noWrap/>
            <w:vAlign w:val="center"/>
          </w:tcPr>
          <w:p w14:paraId="60FE59EA">
            <w:pPr>
              <w:jc w:val="center"/>
              <w:rPr>
                <w:rFonts w:hint="eastAsia" w:ascii="宋体" w:hAnsi="宋体" w:eastAsia="宋体" w:cs="宋体"/>
                <w:i w:val="0"/>
                <w:iCs w:val="0"/>
                <w:color w:val="000000"/>
                <w:sz w:val="18"/>
                <w:szCs w:val="18"/>
                <w:u w:val="none"/>
              </w:rPr>
            </w:pP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B7E4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24HT070646</w:t>
            </w:r>
          </w:p>
        </w:tc>
        <w:tc>
          <w:tcPr>
            <w:tcW w:w="50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1B56A8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9月30日</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32D9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2024/7/9</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EE00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XO-HTVF</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122B6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2026年8月29日</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A2C0A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2027年5月31日</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0503D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9.04 </w:t>
            </w:r>
          </w:p>
        </w:tc>
      </w:tr>
      <w:tr w14:paraId="79A9AC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62AA8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37</w:t>
            </w:r>
          </w:p>
        </w:tc>
        <w:tc>
          <w:tcPr>
            <w:tcW w:w="292" w:type="pct"/>
            <w:vMerge w:val="restart"/>
            <w:tcBorders>
              <w:top w:val="single" w:color="000000" w:sz="4" w:space="0"/>
              <w:left w:val="single" w:color="000000" w:sz="4" w:space="0"/>
              <w:bottom w:val="nil"/>
              <w:right w:val="single" w:color="000000" w:sz="4" w:space="0"/>
            </w:tcBorders>
            <w:shd w:val="clear" w:color="auto" w:fill="auto"/>
            <w:noWrap/>
            <w:vAlign w:val="center"/>
          </w:tcPr>
          <w:p w14:paraId="6E869E1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9栋</w:t>
            </w: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372F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24KT050183</w:t>
            </w:r>
          </w:p>
        </w:tc>
        <w:tc>
          <w:tcPr>
            <w:tcW w:w="50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7580EF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7月31日</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4E41C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2024/4/9</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7A421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XO-CONIII</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7660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2026年7月11日</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BB645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2027年5月31日</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8EC8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10.65 </w:t>
            </w:r>
          </w:p>
        </w:tc>
      </w:tr>
      <w:tr w14:paraId="61E083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4BD357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38</w:t>
            </w:r>
          </w:p>
        </w:tc>
        <w:tc>
          <w:tcPr>
            <w:tcW w:w="292" w:type="pct"/>
            <w:vMerge w:val="continue"/>
            <w:tcBorders>
              <w:top w:val="single" w:color="000000" w:sz="4" w:space="0"/>
              <w:left w:val="single" w:color="000000" w:sz="4" w:space="0"/>
              <w:bottom w:val="nil"/>
              <w:right w:val="single" w:color="000000" w:sz="4" w:space="0"/>
            </w:tcBorders>
            <w:shd w:val="clear" w:color="auto" w:fill="auto"/>
            <w:noWrap/>
            <w:vAlign w:val="center"/>
          </w:tcPr>
          <w:p w14:paraId="41D36950">
            <w:pPr>
              <w:jc w:val="center"/>
              <w:rPr>
                <w:rFonts w:hint="eastAsia" w:ascii="宋体" w:hAnsi="宋体" w:eastAsia="宋体" w:cs="宋体"/>
                <w:i w:val="0"/>
                <w:iCs w:val="0"/>
                <w:color w:val="000000"/>
                <w:sz w:val="18"/>
                <w:szCs w:val="18"/>
                <w:u w:val="none"/>
              </w:rPr>
            </w:pP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8D9E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24KT050184</w:t>
            </w:r>
          </w:p>
        </w:tc>
        <w:tc>
          <w:tcPr>
            <w:tcW w:w="50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095334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7月31日</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96890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2024/4/9</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4371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XO-CONIII</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8764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2026年7月11日</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EA92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2027年5月31日</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8B77C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10.65 </w:t>
            </w:r>
          </w:p>
        </w:tc>
      </w:tr>
      <w:tr w14:paraId="5DCBB3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8168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39</w:t>
            </w:r>
          </w:p>
        </w:tc>
        <w:tc>
          <w:tcPr>
            <w:tcW w:w="292" w:type="pct"/>
            <w:vMerge w:val="continue"/>
            <w:tcBorders>
              <w:top w:val="single" w:color="000000" w:sz="4" w:space="0"/>
              <w:left w:val="single" w:color="000000" w:sz="4" w:space="0"/>
              <w:bottom w:val="nil"/>
              <w:right w:val="single" w:color="000000" w:sz="4" w:space="0"/>
            </w:tcBorders>
            <w:shd w:val="clear" w:color="auto" w:fill="auto"/>
            <w:noWrap/>
            <w:vAlign w:val="center"/>
          </w:tcPr>
          <w:p w14:paraId="0DD0F519">
            <w:pPr>
              <w:jc w:val="center"/>
              <w:rPr>
                <w:rFonts w:hint="eastAsia" w:ascii="宋体" w:hAnsi="宋体" w:eastAsia="宋体" w:cs="宋体"/>
                <w:i w:val="0"/>
                <w:iCs w:val="0"/>
                <w:color w:val="000000"/>
                <w:sz w:val="18"/>
                <w:szCs w:val="18"/>
                <w:u w:val="none"/>
              </w:rPr>
            </w:pP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E5DC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24HT050213</w:t>
            </w:r>
          </w:p>
        </w:tc>
        <w:tc>
          <w:tcPr>
            <w:tcW w:w="50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273E0A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7月31日</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A6136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2024/4/16</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375EC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XO-HTVF</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B47C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2026年7月11日</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A41A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2027年5月31日</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9323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10.65 </w:t>
            </w:r>
          </w:p>
        </w:tc>
      </w:tr>
      <w:tr w14:paraId="3716F9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FFA22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w:t>
            </w:r>
          </w:p>
        </w:tc>
        <w:tc>
          <w:tcPr>
            <w:tcW w:w="292" w:type="pct"/>
            <w:vMerge w:val="continue"/>
            <w:tcBorders>
              <w:top w:val="single" w:color="000000" w:sz="4" w:space="0"/>
              <w:left w:val="single" w:color="000000" w:sz="4" w:space="0"/>
              <w:bottom w:val="nil"/>
              <w:right w:val="single" w:color="000000" w:sz="4" w:space="0"/>
            </w:tcBorders>
            <w:shd w:val="clear" w:color="auto" w:fill="auto"/>
            <w:noWrap/>
            <w:vAlign w:val="center"/>
          </w:tcPr>
          <w:p w14:paraId="31A463DC">
            <w:pPr>
              <w:jc w:val="center"/>
              <w:rPr>
                <w:rFonts w:hint="eastAsia" w:ascii="宋体" w:hAnsi="宋体" w:eastAsia="宋体" w:cs="宋体"/>
                <w:i w:val="0"/>
                <w:iCs w:val="0"/>
                <w:color w:val="000000"/>
                <w:sz w:val="18"/>
                <w:szCs w:val="18"/>
                <w:u w:val="none"/>
              </w:rPr>
            </w:pP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5CD52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24HT050214</w:t>
            </w:r>
          </w:p>
        </w:tc>
        <w:tc>
          <w:tcPr>
            <w:tcW w:w="50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939314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7月31日</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5C145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2024/4/16</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B94B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XO-HTVF</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3655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2026年7月15日</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3EF30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2027年5月31日</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7EB04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10.52 </w:t>
            </w:r>
          </w:p>
        </w:tc>
      </w:tr>
      <w:tr w14:paraId="51317A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54994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w:t>
            </w:r>
          </w:p>
        </w:tc>
        <w:tc>
          <w:tcPr>
            <w:tcW w:w="292" w:type="pct"/>
            <w:vMerge w:val="continue"/>
            <w:tcBorders>
              <w:top w:val="single" w:color="000000" w:sz="4" w:space="0"/>
              <w:left w:val="single" w:color="000000" w:sz="4" w:space="0"/>
              <w:bottom w:val="nil"/>
              <w:right w:val="single" w:color="000000" w:sz="4" w:space="0"/>
            </w:tcBorders>
            <w:shd w:val="clear" w:color="auto" w:fill="auto"/>
            <w:noWrap/>
            <w:vAlign w:val="center"/>
          </w:tcPr>
          <w:p w14:paraId="473B6C03">
            <w:pPr>
              <w:jc w:val="center"/>
              <w:rPr>
                <w:rFonts w:hint="eastAsia" w:ascii="宋体" w:hAnsi="宋体" w:eastAsia="宋体" w:cs="宋体"/>
                <w:i w:val="0"/>
                <w:iCs w:val="0"/>
                <w:color w:val="000000"/>
                <w:sz w:val="18"/>
                <w:szCs w:val="18"/>
                <w:u w:val="none"/>
              </w:rPr>
            </w:pP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D410A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24HT050216</w:t>
            </w:r>
          </w:p>
        </w:tc>
        <w:tc>
          <w:tcPr>
            <w:tcW w:w="50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3AB0F8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7月31日</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C6DD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2024/4/16</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BA7E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XO-HTVF</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7B763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2026年7月11日</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F4E0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2027年5月31日</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C9A15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10.65 </w:t>
            </w:r>
          </w:p>
        </w:tc>
      </w:tr>
      <w:tr w14:paraId="321A7E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BD121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42</w:t>
            </w:r>
          </w:p>
        </w:tc>
        <w:tc>
          <w:tcPr>
            <w:tcW w:w="292" w:type="pct"/>
            <w:vMerge w:val="continue"/>
            <w:tcBorders>
              <w:top w:val="single" w:color="000000" w:sz="4" w:space="0"/>
              <w:left w:val="single" w:color="000000" w:sz="4" w:space="0"/>
              <w:bottom w:val="nil"/>
              <w:right w:val="single" w:color="000000" w:sz="4" w:space="0"/>
            </w:tcBorders>
            <w:shd w:val="clear" w:color="auto" w:fill="auto"/>
            <w:noWrap/>
            <w:vAlign w:val="center"/>
          </w:tcPr>
          <w:p w14:paraId="0357D41C">
            <w:pPr>
              <w:jc w:val="center"/>
              <w:rPr>
                <w:rFonts w:hint="eastAsia" w:ascii="宋体" w:hAnsi="宋体" w:eastAsia="宋体" w:cs="宋体"/>
                <w:i w:val="0"/>
                <w:iCs w:val="0"/>
                <w:color w:val="000000"/>
                <w:sz w:val="18"/>
                <w:szCs w:val="18"/>
                <w:u w:val="none"/>
              </w:rPr>
            </w:pP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139E3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24HT050217</w:t>
            </w:r>
          </w:p>
        </w:tc>
        <w:tc>
          <w:tcPr>
            <w:tcW w:w="50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E22500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7月31日</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18D86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2024/4/16</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8129C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XO-HTVF</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0315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2026年7月15日</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447E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2027年5月31日</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047AE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10.52 </w:t>
            </w:r>
          </w:p>
        </w:tc>
      </w:tr>
      <w:tr w14:paraId="5EC51E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07746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w:t>
            </w:r>
          </w:p>
        </w:tc>
        <w:tc>
          <w:tcPr>
            <w:tcW w:w="292" w:type="pct"/>
            <w:vMerge w:val="restart"/>
            <w:tcBorders>
              <w:top w:val="single" w:color="000000" w:sz="4" w:space="0"/>
              <w:left w:val="single" w:color="000000" w:sz="4" w:space="0"/>
              <w:bottom w:val="nil"/>
              <w:right w:val="single" w:color="000000" w:sz="4" w:space="0"/>
            </w:tcBorders>
            <w:shd w:val="clear" w:color="auto" w:fill="auto"/>
            <w:noWrap/>
            <w:vAlign w:val="center"/>
          </w:tcPr>
          <w:p w14:paraId="4841C5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10栋</w:t>
            </w: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942AC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24KT050186</w:t>
            </w:r>
          </w:p>
        </w:tc>
        <w:tc>
          <w:tcPr>
            <w:tcW w:w="50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7131F8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7月31日</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EC9A8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2024/4/9</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793C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XO-CONIII</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89327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2026年7月11日</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581A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2027年5月31日</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C223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10.65 </w:t>
            </w:r>
          </w:p>
        </w:tc>
      </w:tr>
      <w:tr w14:paraId="4772C7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04A5A3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44</w:t>
            </w:r>
          </w:p>
        </w:tc>
        <w:tc>
          <w:tcPr>
            <w:tcW w:w="292" w:type="pct"/>
            <w:vMerge w:val="continue"/>
            <w:tcBorders>
              <w:top w:val="single" w:color="000000" w:sz="4" w:space="0"/>
              <w:left w:val="single" w:color="000000" w:sz="4" w:space="0"/>
              <w:bottom w:val="nil"/>
              <w:right w:val="single" w:color="000000" w:sz="4" w:space="0"/>
            </w:tcBorders>
            <w:shd w:val="clear" w:color="auto" w:fill="auto"/>
            <w:noWrap/>
            <w:vAlign w:val="center"/>
          </w:tcPr>
          <w:p w14:paraId="7C25F0C6">
            <w:pPr>
              <w:jc w:val="center"/>
              <w:rPr>
                <w:rFonts w:hint="eastAsia" w:ascii="宋体" w:hAnsi="宋体" w:eastAsia="宋体" w:cs="宋体"/>
                <w:i w:val="0"/>
                <w:iCs w:val="0"/>
                <w:color w:val="000000"/>
                <w:sz w:val="18"/>
                <w:szCs w:val="18"/>
                <w:u w:val="none"/>
              </w:rPr>
            </w:pP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E69B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24KT050185</w:t>
            </w:r>
          </w:p>
        </w:tc>
        <w:tc>
          <w:tcPr>
            <w:tcW w:w="50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C63F7A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7月31日</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B8BD8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2024/4/9</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B5ED9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XO-CONIII</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C4A2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2026年7月11日</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0A68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2027年5月31日</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6F65E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10.65 </w:t>
            </w:r>
          </w:p>
        </w:tc>
      </w:tr>
      <w:tr w14:paraId="0BDC00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84B40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45</w:t>
            </w:r>
          </w:p>
        </w:tc>
        <w:tc>
          <w:tcPr>
            <w:tcW w:w="292" w:type="pct"/>
            <w:vMerge w:val="continue"/>
            <w:tcBorders>
              <w:top w:val="single" w:color="000000" w:sz="4" w:space="0"/>
              <w:left w:val="single" w:color="000000" w:sz="4" w:space="0"/>
              <w:bottom w:val="nil"/>
              <w:right w:val="single" w:color="000000" w:sz="4" w:space="0"/>
            </w:tcBorders>
            <w:shd w:val="clear" w:color="auto" w:fill="auto"/>
            <w:noWrap/>
            <w:vAlign w:val="center"/>
          </w:tcPr>
          <w:p w14:paraId="543AA1E7">
            <w:pPr>
              <w:jc w:val="center"/>
              <w:rPr>
                <w:rFonts w:hint="eastAsia" w:ascii="宋体" w:hAnsi="宋体" w:eastAsia="宋体" w:cs="宋体"/>
                <w:i w:val="0"/>
                <w:iCs w:val="0"/>
                <w:color w:val="000000"/>
                <w:sz w:val="18"/>
                <w:szCs w:val="18"/>
                <w:u w:val="none"/>
              </w:rPr>
            </w:pP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41E2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24HT050218</w:t>
            </w:r>
          </w:p>
        </w:tc>
        <w:tc>
          <w:tcPr>
            <w:tcW w:w="50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C18DD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7月31日</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329FA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2024/4/16</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3623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XO-HTVF</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4B849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2026年7月14日</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3891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2027年5月31日</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7B424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10.55 </w:t>
            </w:r>
          </w:p>
        </w:tc>
      </w:tr>
      <w:tr w14:paraId="532783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FDC3EB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46</w:t>
            </w:r>
          </w:p>
        </w:tc>
        <w:tc>
          <w:tcPr>
            <w:tcW w:w="292" w:type="pct"/>
            <w:vMerge w:val="continue"/>
            <w:tcBorders>
              <w:top w:val="single" w:color="000000" w:sz="4" w:space="0"/>
              <w:left w:val="single" w:color="000000" w:sz="4" w:space="0"/>
              <w:bottom w:val="nil"/>
              <w:right w:val="single" w:color="000000" w:sz="4" w:space="0"/>
            </w:tcBorders>
            <w:shd w:val="clear" w:color="auto" w:fill="auto"/>
            <w:noWrap/>
            <w:vAlign w:val="center"/>
          </w:tcPr>
          <w:p w14:paraId="6271EA6D">
            <w:pPr>
              <w:jc w:val="center"/>
              <w:rPr>
                <w:rFonts w:hint="eastAsia" w:ascii="宋体" w:hAnsi="宋体" w:eastAsia="宋体" w:cs="宋体"/>
                <w:i w:val="0"/>
                <w:iCs w:val="0"/>
                <w:color w:val="000000"/>
                <w:sz w:val="18"/>
                <w:szCs w:val="18"/>
                <w:u w:val="none"/>
              </w:rPr>
            </w:pP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7FA8F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24HT050219</w:t>
            </w:r>
          </w:p>
        </w:tc>
        <w:tc>
          <w:tcPr>
            <w:tcW w:w="50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8D7D8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7月31日</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AE996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2024/4/16</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E51F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XO-HTVF</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1997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2026年7月14日</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EA18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2027年5月31日</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45BEA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10.55 </w:t>
            </w:r>
          </w:p>
        </w:tc>
      </w:tr>
      <w:tr w14:paraId="6088E3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4C11E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47</w:t>
            </w:r>
          </w:p>
        </w:tc>
        <w:tc>
          <w:tcPr>
            <w:tcW w:w="292" w:type="pct"/>
            <w:vMerge w:val="continue"/>
            <w:tcBorders>
              <w:top w:val="single" w:color="000000" w:sz="4" w:space="0"/>
              <w:left w:val="single" w:color="000000" w:sz="4" w:space="0"/>
              <w:bottom w:val="nil"/>
              <w:right w:val="single" w:color="000000" w:sz="4" w:space="0"/>
            </w:tcBorders>
            <w:shd w:val="clear" w:color="auto" w:fill="auto"/>
            <w:noWrap/>
            <w:vAlign w:val="center"/>
          </w:tcPr>
          <w:p w14:paraId="47264D5A">
            <w:pPr>
              <w:jc w:val="center"/>
              <w:rPr>
                <w:rFonts w:hint="eastAsia" w:ascii="宋体" w:hAnsi="宋体" w:eastAsia="宋体" w:cs="宋体"/>
                <w:i w:val="0"/>
                <w:iCs w:val="0"/>
                <w:color w:val="000000"/>
                <w:sz w:val="18"/>
                <w:szCs w:val="18"/>
                <w:u w:val="none"/>
              </w:rPr>
            </w:pP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DE9D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24HT050220</w:t>
            </w:r>
          </w:p>
        </w:tc>
        <w:tc>
          <w:tcPr>
            <w:tcW w:w="50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7311E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7月31日</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ED5A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2024/4/16</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01AE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XO-HTVF</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EB1B2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2026年7月24日</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7AF33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2027年5月31日</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FCC0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10.22 </w:t>
            </w:r>
          </w:p>
        </w:tc>
      </w:tr>
      <w:tr w14:paraId="57564D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0584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48</w:t>
            </w:r>
          </w:p>
        </w:tc>
        <w:tc>
          <w:tcPr>
            <w:tcW w:w="292" w:type="pct"/>
            <w:vMerge w:val="continue"/>
            <w:tcBorders>
              <w:top w:val="single" w:color="000000" w:sz="4" w:space="0"/>
              <w:left w:val="single" w:color="000000" w:sz="4" w:space="0"/>
              <w:bottom w:val="nil"/>
              <w:right w:val="single" w:color="000000" w:sz="4" w:space="0"/>
            </w:tcBorders>
            <w:shd w:val="clear" w:color="auto" w:fill="auto"/>
            <w:noWrap/>
            <w:vAlign w:val="center"/>
          </w:tcPr>
          <w:p w14:paraId="6D237008">
            <w:pPr>
              <w:jc w:val="center"/>
              <w:rPr>
                <w:rFonts w:hint="eastAsia" w:ascii="宋体" w:hAnsi="宋体" w:eastAsia="宋体" w:cs="宋体"/>
                <w:i w:val="0"/>
                <w:iCs w:val="0"/>
                <w:color w:val="000000"/>
                <w:sz w:val="18"/>
                <w:szCs w:val="18"/>
                <w:u w:val="none"/>
              </w:rPr>
            </w:pP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D765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24HT050221</w:t>
            </w:r>
          </w:p>
        </w:tc>
        <w:tc>
          <w:tcPr>
            <w:tcW w:w="50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2A13FE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7月31日</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2EA0B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2024/4/16</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0BE61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XO-HTVF</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75AA1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2026年7月24日</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471D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2027年5月31日</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BDE09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10.22 </w:t>
            </w:r>
          </w:p>
        </w:tc>
      </w:tr>
      <w:tr w14:paraId="68D883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3114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49</w:t>
            </w:r>
          </w:p>
        </w:tc>
        <w:tc>
          <w:tcPr>
            <w:tcW w:w="292"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183F0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11栋</w:t>
            </w: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C337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24KT080319</w:t>
            </w:r>
          </w:p>
        </w:tc>
        <w:tc>
          <w:tcPr>
            <w:tcW w:w="50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6EC63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10月31日</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9FE20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2024/7/29</w:t>
            </w:r>
          </w:p>
        </w:tc>
        <w:tc>
          <w:tcPr>
            <w:tcW w:w="55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FF7E84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XO-CONIII</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4CDF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2026年10月21日</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B4397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2027年5月31日</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5FC5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7.30 </w:t>
            </w:r>
          </w:p>
        </w:tc>
      </w:tr>
      <w:tr w14:paraId="7805C5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9A7333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w:t>
            </w:r>
          </w:p>
        </w:tc>
        <w:tc>
          <w:tcPr>
            <w:tcW w:w="29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255A9D">
            <w:pPr>
              <w:jc w:val="center"/>
              <w:rPr>
                <w:rFonts w:hint="eastAsia" w:ascii="宋体" w:hAnsi="宋体" w:eastAsia="宋体" w:cs="宋体"/>
                <w:i w:val="0"/>
                <w:iCs w:val="0"/>
                <w:color w:val="000000"/>
                <w:sz w:val="18"/>
                <w:szCs w:val="18"/>
                <w:u w:val="none"/>
              </w:rPr>
            </w:pP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E329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24KT080320</w:t>
            </w:r>
          </w:p>
        </w:tc>
        <w:tc>
          <w:tcPr>
            <w:tcW w:w="50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169C3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10月31日</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F6C4E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2024/7/29</w:t>
            </w:r>
          </w:p>
        </w:tc>
        <w:tc>
          <w:tcPr>
            <w:tcW w:w="55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C18B4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XO-CONIII</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E54C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2026年10月21日</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9D56A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2027年5月31日</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F733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7.30 </w:t>
            </w:r>
          </w:p>
        </w:tc>
      </w:tr>
      <w:tr w14:paraId="1C9DC1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41E50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51</w:t>
            </w:r>
          </w:p>
        </w:tc>
        <w:tc>
          <w:tcPr>
            <w:tcW w:w="29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D06567">
            <w:pPr>
              <w:jc w:val="center"/>
              <w:rPr>
                <w:rFonts w:hint="eastAsia" w:ascii="宋体" w:hAnsi="宋体" w:eastAsia="宋体" w:cs="宋体"/>
                <w:i w:val="0"/>
                <w:iCs w:val="0"/>
                <w:color w:val="000000"/>
                <w:sz w:val="18"/>
                <w:szCs w:val="18"/>
                <w:u w:val="none"/>
              </w:rPr>
            </w:pP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A16E0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24KT080322</w:t>
            </w:r>
          </w:p>
        </w:tc>
        <w:tc>
          <w:tcPr>
            <w:tcW w:w="50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1FECB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10月31日</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B2300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2024/7/29</w:t>
            </w:r>
          </w:p>
        </w:tc>
        <w:tc>
          <w:tcPr>
            <w:tcW w:w="55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21AC6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XO-CONIII</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727D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2026年10月21日</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B4ADF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2027年5月31日</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4010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7.30 </w:t>
            </w:r>
          </w:p>
        </w:tc>
      </w:tr>
      <w:tr w14:paraId="170D0B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5933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52</w:t>
            </w:r>
          </w:p>
        </w:tc>
        <w:tc>
          <w:tcPr>
            <w:tcW w:w="29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7FD0BB">
            <w:pPr>
              <w:jc w:val="center"/>
              <w:rPr>
                <w:rFonts w:hint="eastAsia" w:ascii="宋体" w:hAnsi="宋体" w:eastAsia="宋体" w:cs="宋体"/>
                <w:i w:val="0"/>
                <w:iCs w:val="0"/>
                <w:color w:val="000000"/>
                <w:sz w:val="18"/>
                <w:szCs w:val="18"/>
                <w:u w:val="none"/>
              </w:rPr>
            </w:pP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6430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24KT080321</w:t>
            </w:r>
          </w:p>
        </w:tc>
        <w:tc>
          <w:tcPr>
            <w:tcW w:w="50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32B469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10月31日</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4403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2024/7/29</w:t>
            </w:r>
          </w:p>
        </w:tc>
        <w:tc>
          <w:tcPr>
            <w:tcW w:w="55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B80A1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XO-CONIII</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B3074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2026年10月21日</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52772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2027年5月31日</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E360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7.30 </w:t>
            </w:r>
          </w:p>
        </w:tc>
      </w:tr>
    </w:tbl>
    <w:p w14:paraId="79B1E343">
      <w:pPr>
        <w:spacing w:line="520" w:lineRule="exact"/>
        <w:ind w:firstLine="420" w:firstLineChars="200"/>
        <w:rPr>
          <w:rFonts w:hint="eastAsia" w:ascii="宋体" w:hAnsi="宋体" w:eastAsia="宋体" w:cs="宋体"/>
          <w:color w:val="auto"/>
          <w:sz w:val="21"/>
          <w:szCs w:val="21"/>
          <w:highlight w:val="none"/>
          <w:lang w:eastAsia="zh-CN"/>
        </w:rPr>
      </w:pPr>
    </w:p>
    <w:p w14:paraId="4800997F">
      <w:pPr>
        <w:spacing w:line="520" w:lineRule="exact"/>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1、本合同价款总额为：￥</w:t>
      </w:r>
      <w:r>
        <w:rPr>
          <w:rFonts w:hint="eastAsia" w:ascii="宋体" w:hAnsi="宋体" w:cs="宋体"/>
          <w:color w:val="auto"/>
          <w:sz w:val="21"/>
          <w:szCs w:val="21"/>
          <w:highlight w:val="none"/>
          <w:u w:val="single"/>
          <w:lang w:val="en-US" w:eastAsia="zh-CN"/>
        </w:rPr>
        <w:t xml:space="preserve">       </w:t>
      </w:r>
      <w:r>
        <w:rPr>
          <w:rFonts w:hint="eastAsia" w:ascii="宋体" w:hAnsi="宋体" w:cs="宋体"/>
          <w:color w:val="auto"/>
          <w:sz w:val="21"/>
          <w:szCs w:val="21"/>
          <w:highlight w:val="none"/>
          <w:lang w:val="en-US" w:eastAsia="zh-CN"/>
        </w:rPr>
        <w:t xml:space="preserve">元（大写人民币：     ），增值税率为 </w:t>
      </w:r>
      <w:r>
        <w:rPr>
          <w:rFonts w:hint="eastAsia" w:ascii="宋体" w:hAnsi="宋体" w:cs="宋体"/>
          <w:color w:val="auto"/>
          <w:sz w:val="21"/>
          <w:szCs w:val="21"/>
          <w:highlight w:val="none"/>
          <w:u w:val="single"/>
          <w:lang w:val="en-US" w:eastAsia="zh-CN"/>
        </w:rPr>
        <w:t xml:space="preserve">   %</w:t>
      </w:r>
      <w:r>
        <w:rPr>
          <w:rFonts w:hint="eastAsia" w:ascii="宋体" w:hAnsi="宋体" w:cs="宋体"/>
          <w:color w:val="auto"/>
          <w:sz w:val="21"/>
          <w:szCs w:val="21"/>
          <w:highlight w:val="none"/>
          <w:lang w:val="en-US" w:eastAsia="zh-CN"/>
        </w:rPr>
        <w:t xml:space="preserve">，不含税金额为：￥ </w:t>
      </w:r>
      <w:r>
        <w:rPr>
          <w:rFonts w:hint="eastAsia" w:ascii="宋体" w:hAnsi="宋体" w:cs="宋体"/>
          <w:color w:val="auto"/>
          <w:sz w:val="21"/>
          <w:szCs w:val="21"/>
          <w:highlight w:val="none"/>
          <w:u w:val="single"/>
          <w:lang w:val="en-US" w:eastAsia="zh-CN"/>
        </w:rPr>
        <w:t xml:space="preserve">    </w:t>
      </w:r>
      <w:r>
        <w:rPr>
          <w:rFonts w:hint="eastAsia" w:ascii="宋体" w:hAnsi="宋体" w:cs="宋体"/>
          <w:color w:val="auto"/>
          <w:sz w:val="21"/>
          <w:szCs w:val="21"/>
          <w:highlight w:val="none"/>
          <w:lang w:val="en-US" w:eastAsia="zh-CN"/>
        </w:rPr>
        <w:t>元（大写人民币：    ），</w:t>
      </w:r>
      <w:r>
        <w:rPr>
          <w:rFonts w:hint="eastAsia" w:ascii="宋体" w:hAnsi="宋体" w:eastAsia="宋体" w:cs="宋体"/>
          <w:color w:val="auto"/>
          <w:sz w:val="21"/>
          <w:szCs w:val="21"/>
          <w:highlight w:val="none"/>
        </w:rPr>
        <w:t>以上价格应包含电梯保养费、电梯安全责任保险费、电梯限速器校验费及所有零件更换的人工费用；在合同服务期间内，</w:t>
      </w:r>
      <w:r>
        <w:rPr>
          <w:rFonts w:hint="eastAsia" w:ascii="宋体" w:hAnsi="宋体" w:eastAsia="宋体" w:cs="宋体"/>
          <w:color w:val="auto"/>
          <w:szCs w:val="21"/>
          <w:highlight w:val="none"/>
        </w:rPr>
        <w:t>因维修所需</w:t>
      </w:r>
      <w:r>
        <w:rPr>
          <w:rFonts w:hint="eastAsia" w:ascii="宋体" w:hAnsi="宋体" w:eastAsia="宋体" w:cs="宋体"/>
          <w:color w:val="auto"/>
          <w:szCs w:val="21"/>
          <w:highlight w:val="none"/>
          <w:lang w:val="en-US" w:eastAsia="zh-CN"/>
        </w:rPr>
        <w:t>单台电梯的</w:t>
      </w:r>
      <w:r>
        <w:rPr>
          <w:rFonts w:hint="eastAsia" w:ascii="宋体" w:hAnsi="宋体" w:cs="宋体"/>
          <w:color w:val="auto"/>
          <w:szCs w:val="21"/>
          <w:highlight w:val="none"/>
          <w:lang w:eastAsia="zh-CN"/>
        </w:rPr>
        <w:t>3000</w:t>
      </w:r>
      <w:r>
        <w:rPr>
          <w:rFonts w:hint="eastAsia" w:ascii="宋体" w:hAnsi="宋体" w:eastAsia="宋体" w:cs="宋体"/>
          <w:color w:val="auto"/>
          <w:szCs w:val="21"/>
          <w:highlight w:val="none"/>
        </w:rPr>
        <w:t>元</w:t>
      </w:r>
      <w:r>
        <w:rPr>
          <w:rFonts w:hint="eastAsia" w:ascii="宋体" w:hAnsi="宋体" w:cs="宋体"/>
          <w:color w:val="auto"/>
          <w:szCs w:val="21"/>
          <w:highlight w:val="none"/>
          <w:lang w:val="en-US" w:eastAsia="zh-CN"/>
        </w:rPr>
        <w:t>以内的</w:t>
      </w:r>
      <w:r>
        <w:rPr>
          <w:rFonts w:hint="eastAsia" w:ascii="宋体" w:hAnsi="宋体" w:eastAsia="宋体" w:cs="宋体"/>
          <w:color w:val="auto"/>
          <w:szCs w:val="21"/>
          <w:highlight w:val="none"/>
        </w:rPr>
        <w:t>单个材料零配件费用</w:t>
      </w:r>
      <w:r>
        <w:rPr>
          <w:rFonts w:hint="eastAsia" w:ascii="宋体" w:hAnsi="宋体" w:eastAsia="宋体" w:cs="宋体"/>
          <w:color w:val="auto"/>
          <w:sz w:val="21"/>
          <w:szCs w:val="21"/>
          <w:highlight w:val="none"/>
        </w:rPr>
        <w:t>由乙方承担。</w:t>
      </w:r>
    </w:p>
    <w:p w14:paraId="3A66F2F4">
      <w:pPr>
        <w:spacing w:line="520" w:lineRule="exact"/>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rPr>
        <w:t>当发生以下情形之一时，乙方另行提供所需的配件型号等信息并报价，若甲乙双方对工程、配件、试验等费用报价存在异议，甲方有权邀请第三方对相关费用进行评估报价，若费用明显低于乙方报价费用，甲方可直接交由第三方负责，乙方不得有异议。</w:t>
      </w:r>
    </w:p>
    <w:p w14:paraId="08F0605F">
      <w:pPr>
        <w:spacing w:line="520" w:lineRule="exact"/>
        <w:ind w:firstLine="420" w:firstLineChars="200"/>
        <w:rPr>
          <w:rFonts w:hint="eastAsia" w:ascii="宋体" w:hAnsi="宋体" w:eastAsia="宋体" w:cs="宋体"/>
          <w:color w:val="auto"/>
          <w:sz w:val="21"/>
          <w:szCs w:val="21"/>
          <w:highlight w:val="none"/>
        </w:rPr>
      </w:pPr>
      <w:r>
        <w:rPr>
          <w:rFonts w:hint="default" w:ascii="Calibri" w:hAnsi="Calibri" w:cs="Calibri"/>
          <w:color w:val="auto"/>
          <w:sz w:val="21"/>
          <w:szCs w:val="21"/>
          <w:highlight w:val="none"/>
          <w:lang w:eastAsia="zh-CN"/>
        </w:rPr>
        <w:t>①</w:t>
      </w:r>
      <w:r>
        <w:rPr>
          <w:rFonts w:hint="eastAsia" w:ascii="宋体" w:hAnsi="宋体" w:cs="宋体"/>
          <w:color w:val="auto"/>
          <w:sz w:val="21"/>
          <w:szCs w:val="21"/>
          <w:highlight w:val="none"/>
          <w:lang w:eastAsia="zh-CN"/>
        </w:rPr>
        <w:t>.</w:t>
      </w:r>
      <w:r>
        <w:rPr>
          <w:rFonts w:hint="eastAsia" w:ascii="宋体" w:hAnsi="宋体" w:eastAsia="宋体" w:cs="宋体"/>
          <w:color w:val="auto"/>
          <w:szCs w:val="21"/>
          <w:highlight w:val="none"/>
          <w:lang w:val="en-US" w:eastAsia="zh-CN"/>
        </w:rPr>
        <w:t>单台电梯的</w:t>
      </w:r>
      <w:r>
        <w:rPr>
          <w:rFonts w:hint="eastAsia" w:ascii="宋体" w:hAnsi="宋体" w:cs="宋体"/>
          <w:color w:val="auto"/>
          <w:sz w:val="21"/>
          <w:szCs w:val="21"/>
          <w:highlight w:val="none"/>
          <w:lang w:eastAsia="zh-CN"/>
        </w:rPr>
        <w:t>3000</w:t>
      </w:r>
      <w:r>
        <w:rPr>
          <w:rFonts w:hint="eastAsia" w:ascii="宋体" w:hAnsi="宋体" w:eastAsia="宋体" w:cs="宋体"/>
          <w:color w:val="auto"/>
          <w:sz w:val="21"/>
          <w:szCs w:val="21"/>
          <w:highlight w:val="none"/>
        </w:rPr>
        <w:t>元以上配件材料需要更换时；</w:t>
      </w:r>
    </w:p>
    <w:p w14:paraId="432CF9FE">
      <w:pPr>
        <w:spacing w:line="520" w:lineRule="exact"/>
        <w:ind w:firstLine="420" w:firstLineChars="200"/>
        <w:rPr>
          <w:rFonts w:hint="eastAsia" w:ascii="宋体" w:hAnsi="宋体" w:eastAsia="宋体" w:cs="宋体"/>
          <w:color w:val="auto"/>
          <w:sz w:val="21"/>
          <w:szCs w:val="21"/>
          <w:highlight w:val="none"/>
        </w:rPr>
      </w:pPr>
      <w:r>
        <w:rPr>
          <w:rFonts w:hint="default" w:ascii="Calibri" w:hAnsi="Calibri" w:cs="Calibri"/>
          <w:color w:val="auto"/>
          <w:sz w:val="21"/>
          <w:szCs w:val="21"/>
          <w:highlight w:val="none"/>
          <w:lang w:eastAsia="zh-CN"/>
        </w:rPr>
        <w:t>②</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政府规定5年1次的125% 载荷试验；</w:t>
      </w:r>
    </w:p>
    <w:p w14:paraId="158FE0E1">
      <w:pPr>
        <w:spacing w:line="520" w:lineRule="exact"/>
        <w:ind w:firstLine="420" w:firstLineChars="200"/>
        <w:rPr>
          <w:rFonts w:hint="eastAsia" w:ascii="宋体" w:hAnsi="宋体" w:eastAsia="宋体" w:cs="宋体"/>
          <w:color w:val="auto"/>
          <w:sz w:val="21"/>
          <w:szCs w:val="21"/>
          <w:highlight w:val="none"/>
        </w:rPr>
      </w:pPr>
      <w:r>
        <w:rPr>
          <w:rFonts w:hint="default" w:ascii="Calibri" w:hAnsi="Calibri" w:cs="Calibri"/>
          <w:color w:val="auto"/>
          <w:sz w:val="21"/>
          <w:szCs w:val="21"/>
          <w:highlight w:val="none"/>
          <w:lang w:eastAsia="zh-CN"/>
        </w:rPr>
        <w:t>③</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应甲方要求对电梯进行升级改造。</w:t>
      </w:r>
    </w:p>
    <w:p w14:paraId="4770AB41">
      <w:pPr>
        <w:pStyle w:val="2"/>
        <w:rPr>
          <w:rFonts w:hint="eastAsia"/>
          <w:b w:val="0"/>
          <w:bCs w:val="0"/>
          <w:color w:val="auto"/>
          <w:highlight w:val="none"/>
        </w:rPr>
      </w:pPr>
      <w:r>
        <w:rPr>
          <w:rFonts w:hint="eastAsia" w:ascii="宋体" w:hAnsi="宋体" w:eastAsia="宋体" w:cs="宋体"/>
          <w:b w:val="0"/>
          <w:bCs w:val="0"/>
          <w:color w:val="auto"/>
          <w:sz w:val="21"/>
          <w:szCs w:val="21"/>
          <w:highlight w:val="none"/>
          <w:lang w:eastAsia="zh-CN"/>
        </w:rPr>
        <w:t>以上情况</w:t>
      </w:r>
      <w:r>
        <w:rPr>
          <w:rFonts w:hint="eastAsia" w:ascii="宋体" w:hAnsi="宋体" w:eastAsia="宋体" w:cs="宋体"/>
          <w:b w:val="0"/>
          <w:bCs w:val="0"/>
          <w:color w:val="auto"/>
          <w:sz w:val="21"/>
          <w:szCs w:val="21"/>
          <w:highlight w:val="none"/>
        </w:rPr>
        <w:t>经甲方批准同意后按</w:t>
      </w:r>
      <w:r>
        <w:rPr>
          <w:rFonts w:hint="eastAsia" w:ascii="宋体" w:hAnsi="宋体" w:eastAsia="宋体" w:cs="宋体"/>
          <w:b w:val="0"/>
          <w:bCs w:val="0"/>
          <w:color w:val="auto"/>
          <w:sz w:val="21"/>
          <w:szCs w:val="21"/>
          <w:highlight w:val="none"/>
          <w:lang w:eastAsia="zh-CN"/>
        </w:rPr>
        <w:t>约定</w:t>
      </w:r>
      <w:r>
        <w:rPr>
          <w:rFonts w:hint="eastAsia" w:ascii="宋体" w:hAnsi="宋体" w:eastAsia="宋体" w:cs="宋体"/>
          <w:b w:val="0"/>
          <w:bCs w:val="0"/>
          <w:color w:val="auto"/>
          <w:sz w:val="21"/>
          <w:szCs w:val="21"/>
          <w:highlight w:val="none"/>
        </w:rPr>
        <w:t>要求施工</w:t>
      </w:r>
      <w:r>
        <w:rPr>
          <w:rFonts w:hint="eastAsia" w:ascii="宋体" w:hAnsi="宋体" w:eastAsia="宋体" w:cs="宋体"/>
          <w:b w:val="0"/>
          <w:bCs w:val="0"/>
          <w:color w:val="auto"/>
          <w:sz w:val="21"/>
          <w:szCs w:val="21"/>
          <w:highlight w:val="none"/>
          <w:lang w:eastAsia="zh-CN"/>
        </w:rPr>
        <w:t>和验收</w:t>
      </w:r>
      <w:r>
        <w:rPr>
          <w:rFonts w:hint="eastAsia" w:ascii="宋体" w:hAnsi="宋体" w:eastAsia="宋体" w:cs="宋体"/>
          <w:b w:val="0"/>
          <w:bCs w:val="0"/>
          <w:color w:val="auto"/>
          <w:sz w:val="21"/>
          <w:szCs w:val="21"/>
          <w:highlight w:val="none"/>
        </w:rPr>
        <w:t>。</w:t>
      </w:r>
    </w:p>
    <w:p w14:paraId="4C9B9ACD">
      <w:pPr>
        <w:spacing w:line="520" w:lineRule="exact"/>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二、保养起止时间：</w:t>
      </w:r>
    </w:p>
    <w:p w14:paraId="59F23441">
      <w:pPr>
        <w:spacing w:line="520" w:lineRule="exact"/>
        <w:ind w:firstLine="413" w:firstLineChars="196"/>
        <w:rPr>
          <w:rFonts w:hint="eastAsia" w:ascii="宋体" w:hAnsi="宋体" w:eastAsia="宋体" w:cs="宋体"/>
          <w:b/>
          <w:color w:val="auto"/>
          <w:sz w:val="21"/>
          <w:szCs w:val="21"/>
          <w:highlight w:val="none"/>
        </w:rPr>
      </w:pPr>
      <w:r>
        <w:rPr>
          <w:rFonts w:hint="eastAsia" w:ascii="宋体" w:hAnsi="宋体" w:cs="宋体"/>
          <w:b/>
          <w:color w:val="auto"/>
          <w:sz w:val="21"/>
          <w:szCs w:val="21"/>
          <w:highlight w:val="none"/>
          <w:u w:val="single"/>
          <w:lang w:val="en-US" w:eastAsia="zh-CN"/>
        </w:rPr>
        <w:t>12个月（按每台电梯实际维保起始日，按考核结果据实结算服务费用）。</w:t>
      </w:r>
    </w:p>
    <w:p w14:paraId="7DA73029">
      <w:pPr>
        <w:spacing w:line="520" w:lineRule="exact"/>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三、保养范围、内容及要求：</w:t>
      </w:r>
    </w:p>
    <w:p w14:paraId="1FF3A644">
      <w:pPr>
        <w:spacing w:line="400" w:lineRule="exact"/>
        <w:ind w:firstLine="316" w:firstLineChars="150"/>
        <w:rPr>
          <w:rFonts w:hint="eastAsia" w:ascii="宋体" w:hAnsi="宋体" w:eastAsia="宋体" w:cs="宋体"/>
          <w:b/>
          <w:bCs/>
          <w:color w:val="auto"/>
          <w:sz w:val="21"/>
          <w:szCs w:val="21"/>
          <w:highlight w:val="none"/>
          <w:u w:val="single"/>
        </w:rPr>
      </w:pPr>
      <w:r>
        <w:rPr>
          <w:rFonts w:hint="eastAsia" w:ascii="宋体" w:hAnsi="宋体" w:eastAsia="宋体" w:cs="宋体"/>
          <w:b/>
          <w:color w:val="auto"/>
          <w:sz w:val="21"/>
          <w:szCs w:val="21"/>
          <w:highlight w:val="none"/>
        </w:rPr>
        <w:t xml:space="preserve"> </w:t>
      </w:r>
      <w:r>
        <w:rPr>
          <w:rFonts w:hint="eastAsia" w:ascii="宋体" w:hAnsi="宋体" w:eastAsia="宋体" w:cs="宋体"/>
          <w:b/>
          <w:bCs/>
          <w:color w:val="auto"/>
          <w:sz w:val="21"/>
          <w:szCs w:val="21"/>
          <w:highlight w:val="none"/>
          <w:u w:val="single"/>
        </w:rPr>
        <w:t>以国家质检总局TSG T5002-2017 特种设备行业安全技术规范《电梯维护保养规则》曳引与强制驱动电梯维护保养项目（月/季/年度内容）和要求为标准</w:t>
      </w:r>
      <w:r>
        <w:rPr>
          <w:rFonts w:hint="eastAsia" w:ascii="宋体" w:hAnsi="宋体" w:cs="宋体"/>
          <w:b/>
          <w:bCs/>
          <w:color w:val="auto"/>
          <w:sz w:val="21"/>
          <w:szCs w:val="21"/>
          <w:highlight w:val="none"/>
          <w:u w:val="single"/>
          <w:lang w:eastAsia="zh-CN"/>
        </w:rPr>
        <w:t>（</w:t>
      </w:r>
      <w:r>
        <w:rPr>
          <w:rFonts w:hint="eastAsia" w:ascii="宋体" w:hAnsi="宋体" w:cs="宋体"/>
          <w:b/>
          <w:bCs/>
          <w:color w:val="auto"/>
          <w:sz w:val="21"/>
          <w:szCs w:val="21"/>
          <w:highlight w:val="none"/>
          <w:u w:val="single"/>
          <w:lang w:val="en-US" w:eastAsia="zh-CN"/>
        </w:rPr>
        <w:t>如国家质检总局或相关主管部门发布最新标准的，以最新标准为准）</w:t>
      </w:r>
      <w:r>
        <w:rPr>
          <w:rFonts w:hint="eastAsia" w:ascii="宋体" w:hAnsi="宋体" w:eastAsia="宋体" w:cs="宋体"/>
          <w:b/>
          <w:bCs/>
          <w:color w:val="auto"/>
          <w:sz w:val="21"/>
          <w:szCs w:val="21"/>
          <w:highlight w:val="none"/>
          <w:u w:val="single"/>
        </w:rPr>
        <w:t>，具体但不限于以下内容：</w:t>
      </w:r>
    </w:p>
    <w:p w14:paraId="201CD7FD">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1.</w:t>
      </w:r>
      <w:r>
        <w:rPr>
          <w:rFonts w:hint="eastAsia" w:ascii="宋体" w:hAnsi="宋体" w:eastAsia="宋体" w:cs="宋体"/>
          <w:color w:val="auto"/>
          <w:sz w:val="21"/>
          <w:szCs w:val="21"/>
          <w:highlight w:val="none"/>
        </w:rPr>
        <w:t>乙方保养的范围：负责清理、</w:t>
      </w:r>
      <w:r>
        <w:rPr>
          <w:rFonts w:hint="eastAsia" w:ascii="宋体" w:hAnsi="宋体" w:cs="宋体"/>
          <w:color w:val="auto"/>
          <w:sz w:val="21"/>
          <w:szCs w:val="21"/>
          <w:highlight w:val="none"/>
          <w:lang w:eastAsia="zh-CN"/>
        </w:rPr>
        <w:t>润滑</w:t>
      </w:r>
      <w:r>
        <w:rPr>
          <w:rFonts w:hint="eastAsia" w:ascii="宋体" w:hAnsi="宋体" w:eastAsia="宋体" w:cs="宋体"/>
          <w:color w:val="auto"/>
          <w:sz w:val="21"/>
          <w:szCs w:val="21"/>
          <w:highlight w:val="none"/>
        </w:rPr>
        <w:t>、检查、调整、修理在电梯井道内及机房内 属于电梯设备与装置以及所有控制、指示、运行零部件。定期检查与测试机械、 电器设备及安全装置。</w:t>
      </w:r>
    </w:p>
    <w:p w14:paraId="628DFE10">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2.</w:t>
      </w:r>
      <w:r>
        <w:rPr>
          <w:rFonts w:hint="eastAsia" w:ascii="宋体" w:hAnsi="宋体" w:eastAsia="宋体" w:cs="宋体"/>
          <w:color w:val="auto"/>
          <w:sz w:val="21"/>
          <w:szCs w:val="21"/>
          <w:highlight w:val="none"/>
        </w:rPr>
        <w:t>保养合同期内，</w:t>
      </w:r>
      <w:r>
        <w:rPr>
          <w:rFonts w:hint="eastAsia" w:ascii="宋体" w:hAnsi="宋体" w:cs="宋体"/>
          <w:color w:val="auto"/>
          <w:sz w:val="21"/>
          <w:szCs w:val="21"/>
          <w:highlight w:val="none"/>
          <w:lang w:val="en-US" w:eastAsia="zh-CN"/>
        </w:rPr>
        <w:t>乙方人员</w:t>
      </w:r>
      <w:r>
        <w:rPr>
          <w:rFonts w:hint="eastAsia" w:ascii="宋体" w:hAnsi="宋体" w:eastAsia="宋体" w:cs="宋体"/>
          <w:color w:val="auto"/>
          <w:sz w:val="21"/>
          <w:szCs w:val="21"/>
          <w:highlight w:val="none"/>
        </w:rPr>
        <w:t>须持证上岗，须派2名以上持具有种类为电梯作业，项目代号为T的《特种设备作业人员证》或《特种设备安全管理和作业人员证》证书）的技术人员进驻现场（上述2名技术人员考勤归属</w:t>
      </w:r>
      <w:r>
        <w:rPr>
          <w:rFonts w:hint="eastAsia" w:ascii="宋体" w:hAnsi="宋体" w:cs="宋体"/>
          <w:color w:val="auto"/>
          <w:sz w:val="21"/>
          <w:szCs w:val="21"/>
          <w:highlight w:val="none"/>
          <w:lang w:val="en-US" w:eastAsia="zh-CN"/>
        </w:rPr>
        <w:t>甲方</w:t>
      </w:r>
      <w:r>
        <w:rPr>
          <w:rFonts w:hint="eastAsia" w:ascii="宋体" w:hAnsi="宋体" w:eastAsia="宋体" w:cs="宋体"/>
          <w:color w:val="auto"/>
          <w:sz w:val="21"/>
          <w:szCs w:val="21"/>
          <w:highlight w:val="none"/>
        </w:rPr>
        <w:t>管理），对</w:t>
      </w:r>
      <w:r>
        <w:rPr>
          <w:rFonts w:hint="eastAsia" w:ascii="宋体" w:hAnsi="宋体" w:cs="宋体"/>
          <w:color w:val="auto"/>
          <w:sz w:val="21"/>
          <w:szCs w:val="21"/>
          <w:highlight w:val="none"/>
          <w:lang w:val="en-US" w:eastAsia="zh-CN"/>
        </w:rPr>
        <w:t>甲方</w:t>
      </w:r>
      <w:r>
        <w:rPr>
          <w:rFonts w:hint="eastAsia" w:ascii="宋体" w:hAnsi="宋体" w:eastAsia="宋体" w:cs="宋体"/>
          <w:color w:val="auto"/>
          <w:sz w:val="21"/>
          <w:szCs w:val="21"/>
          <w:highlight w:val="none"/>
        </w:rPr>
        <w:t>的电梯进行保养维护工作，每台电梯每月至少进行两次全面保养，且全面保养时至少派2名以上技术人员实施。如合同期内需更换技术人员，须提供上述证书</w:t>
      </w:r>
      <w:r>
        <w:rPr>
          <w:rFonts w:hint="eastAsia" w:ascii="宋体" w:hAnsi="宋体" w:cs="宋体"/>
          <w:color w:val="auto"/>
          <w:sz w:val="21"/>
          <w:szCs w:val="21"/>
          <w:highlight w:val="none"/>
          <w:lang w:eastAsia="zh-CN"/>
        </w:rPr>
        <w:t>人员</w:t>
      </w:r>
      <w:r>
        <w:rPr>
          <w:rFonts w:hint="eastAsia" w:ascii="宋体" w:hAnsi="宋体" w:eastAsia="宋体" w:cs="宋体"/>
          <w:color w:val="auto"/>
          <w:sz w:val="21"/>
          <w:szCs w:val="21"/>
          <w:highlight w:val="none"/>
        </w:rPr>
        <w:t>且经得</w:t>
      </w:r>
      <w:r>
        <w:rPr>
          <w:rFonts w:hint="eastAsia" w:ascii="宋体" w:hAnsi="宋体" w:cs="宋体"/>
          <w:color w:val="auto"/>
          <w:sz w:val="21"/>
          <w:szCs w:val="21"/>
          <w:highlight w:val="none"/>
          <w:lang w:val="en-US" w:eastAsia="zh-CN"/>
        </w:rPr>
        <w:t>甲方</w:t>
      </w:r>
      <w:r>
        <w:rPr>
          <w:rFonts w:hint="eastAsia" w:ascii="宋体" w:hAnsi="宋体" w:eastAsia="宋体" w:cs="宋体"/>
          <w:color w:val="auto"/>
          <w:sz w:val="21"/>
          <w:szCs w:val="21"/>
          <w:highlight w:val="none"/>
        </w:rPr>
        <w:t>书面同意后方可更换。</w:t>
      </w:r>
    </w:p>
    <w:p w14:paraId="2B8E3471">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3.</w:t>
      </w:r>
      <w:r>
        <w:rPr>
          <w:rFonts w:hint="eastAsia" w:ascii="宋体" w:hAnsi="宋体" w:eastAsia="宋体" w:cs="宋体"/>
          <w:color w:val="auto"/>
          <w:sz w:val="21"/>
          <w:szCs w:val="21"/>
          <w:highlight w:val="none"/>
        </w:rPr>
        <w:t>乙方需对</w:t>
      </w:r>
      <w:r>
        <w:rPr>
          <w:rFonts w:hint="eastAsia" w:ascii="宋体" w:hAnsi="宋体" w:cs="宋体"/>
          <w:color w:val="auto"/>
          <w:sz w:val="21"/>
          <w:szCs w:val="21"/>
          <w:highlight w:val="none"/>
          <w:lang w:val="en-US" w:eastAsia="zh-CN"/>
        </w:rPr>
        <w:t>5</w:t>
      </w:r>
      <w:r>
        <w:rPr>
          <w:rFonts w:hint="eastAsia" w:ascii="宋体" w:hAnsi="宋体" w:eastAsia="宋体" w:cs="宋体"/>
          <w:color w:val="auto"/>
          <w:sz w:val="21"/>
          <w:szCs w:val="21"/>
          <w:highlight w:val="none"/>
          <w:lang w:val="en-US" w:eastAsia="zh-CN"/>
        </w:rPr>
        <w:t>2台</w:t>
      </w:r>
      <w:r>
        <w:rPr>
          <w:rFonts w:hint="eastAsia" w:ascii="宋体" w:hAnsi="宋体" w:eastAsia="宋体" w:cs="宋体"/>
          <w:color w:val="auto"/>
          <w:sz w:val="21"/>
          <w:szCs w:val="21"/>
          <w:highlight w:val="none"/>
        </w:rPr>
        <w:t>电梯进行每天一次巡检、现场签到并记录问题项报甲方；每月由乙方安排技术专家对所保养的电梯进行一次全面检查，重点检查安全装置、保护开关、电脑控制板，对电梯的安全运行状况做出评估报告（</w:t>
      </w:r>
      <w:r>
        <w:rPr>
          <w:rFonts w:hint="eastAsia" w:ascii="宋体" w:hAnsi="宋体" w:eastAsia="宋体" w:cs="宋体"/>
          <w:color w:val="auto"/>
          <w:sz w:val="21"/>
          <w:szCs w:val="21"/>
          <w:highlight w:val="none"/>
          <w:u w:val="single"/>
        </w:rPr>
        <w:t>评估报告需加盖公章）</w:t>
      </w:r>
      <w:r>
        <w:rPr>
          <w:rFonts w:hint="eastAsia" w:ascii="宋体" w:hAnsi="宋体" w:eastAsia="宋体" w:cs="宋体"/>
          <w:color w:val="auto"/>
          <w:sz w:val="21"/>
          <w:szCs w:val="21"/>
          <w:highlight w:val="none"/>
        </w:rPr>
        <w:t>，并交与甲方保存，并做好每台电梯保养记录，建档备查。</w:t>
      </w:r>
    </w:p>
    <w:p w14:paraId="08EAE676">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4.</w:t>
      </w:r>
      <w:r>
        <w:rPr>
          <w:rFonts w:hint="eastAsia" w:ascii="宋体" w:hAnsi="宋体" w:eastAsia="宋体" w:cs="宋体"/>
          <w:color w:val="auto"/>
          <w:sz w:val="21"/>
          <w:szCs w:val="21"/>
          <w:highlight w:val="none"/>
        </w:rPr>
        <w:t>乙方保养的内容及要求除满足下述规定外，还应符合国家电梯安全运行标准。在履行合同期间，如因保养不良而造成安全装置及保护开关没动作而造成安全事故，乙方须承担全部责任及损失。</w:t>
      </w:r>
    </w:p>
    <w:p w14:paraId="23696BB7">
      <w:pPr>
        <w:spacing w:line="400" w:lineRule="exact"/>
        <w:ind w:firstLine="422" w:firstLineChars="200"/>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4.1每天的例行巡检保养的内容和要求</w:t>
      </w:r>
    </w:p>
    <w:p w14:paraId="53558ECE">
      <w:pPr>
        <w:spacing w:line="400" w:lineRule="exact"/>
        <w:ind w:firstLine="316" w:firstLineChars="150"/>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u w:val="single"/>
        </w:rPr>
        <w:t>按国家质检总局TSG T5002-2017 特种设备行业安全技术规范《电梯维护保养规则》所要求内容为标准实施，不限于以下列出的范围。</w:t>
      </w:r>
    </w:p>
    <w:p w14:paraId="6261C883">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r>
        <w:rPr>
          <w:rFonts w:hint="eastAsia" w:ascii="宋体" w:hAnsi="宋体" w:cs="宋体"/>
          <w:color w:val="auto"/>
          <w:sz w:val="21"/>
          <w:szCs w:val="21"/>
          <w:highlight w:val="none"/>
          <w:lang w:eastAsia="zh-CN"/>
        </w:rPr>
        <w:t>）检</w:t>
      </w:r>
      <w:r>
        <w:rPr>
          <w:rFonts w:hint="eastAsia" w:ascii="宋体" w:hAnsi="宋体" w:eastAsia="宋体" w:cs="宋体"/>
          <w:color w:val="auto"/>
          <w:sz w:val="21"/>
          <w:szCs w:val="21"/>
          <w:highlight w:val="none"/>
        </w:rPr>
        <w:t>查轿厢按钮和停车按钮动作是否灵活可靠，操纵箱按钮灯是否明亮。</w:t>
      </w:r>
    </w:p>
    <w:p w14:paraId="7F381FE1">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cs="宋体"/>
          <w:color w:val="auto"/>
          <w:sz w:val="21"/>
          <w:szCs w:val="21"/>
          <w:highlight w:val="none"/>
          <w:lang w:eastAsia="zh-CN"/>
        </w:rPr>
        <w:t>）检</w:t>
      </w:r>
      <w:r>
        <w:rPr>
          <w:rFonts w:hint="eastAsia" w:ascii="宋体" w:hAnsi="宋体" w:eastAsia="宋体" w:cs="宋体"/>
          <w:color w:val="auto"/>
          <w:sz w:val="21"/>
          <w:szCs w:val="21"/>
          <w:highlight w:val="none"/>
        </w:rPr>
        <w:t>查轿厢照明亮度是否达到标准，厅外和厢内显示是否正常，方向箭头是否正确，蜂鸣器能否正常鸣响。</w:t>
      </w:r>
    </w:p>
    <w:p w14:paraId="3F2E7ED0">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（3）平层机构：主要检查平层的准确度，标准为：层门地坎和轿门地坎的高度差为0---3mm。</w:t>
      </w:r>
    </w:p>
    <w:p w14:paraId="6082B92E">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（4）检查开关门是否正常，有无异常声响，安全触板开关是否灵活可靠，力矩</w:t>
      </w:r>
      <w:r>
        <w:rPr>
          <w:rFonts w:hint="eastAsia" w:ascii="宋体" w:hAnsi="宋体" w:cs="宋体"/>
          <w:color w:val="auto"/>
          <w:sz w:val="21"/>
          <w:szCs w:val="21"/>
          <w:highlight w:val="none"/>
          <w:lang w:eastAsia="zh-CN"/>
        </w:rPr>
        <w:t>扭转</w:t>
      </w:r>
      <w:r>
        <w:rPr>
          <w:rFonts w:hint="eastAsia" w:ascii="宋体" w:hAnsi="宋体" w:eastAsia="宋体" w:cs="宋体"/>
          <w:color w:val="auto"/>
          <w:sz w:val="21"/>
          <w:szCs w:val="21"/>
          <w:highlight w:val="none"/>
        </w:rPr>
        <w:t>开关是否灵活。</w:t>
      </w:r>
    </w:p>
    <w:p w14:paraId="591FFA71">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（5）厅门：用机械钥匙打开门联锁，电梯是否停止运行，松开钥匙后门联锁能否自动复位，必要时进行调整和更换。</w:t>
      </w:r>
    </w:p>
    <w:p w14:paraId="27418BBA">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（6）检查门导轨中有无污物，要及时清理。</w:t>
      </w:r>
    </w:p>
    <w:p w14:paraId="015C8243">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检查制动器的工作情况：松闸时制动瓦和制动轮之间间隙是否均匀，四角是否同时离开制动轮，间隙最好保持在0.25---0.5毫米之间，不得超过0.7毫米。制动时两侧闸瓦和制动轮接触面积应达到80%，如磨损严重应及时调整和更换。</w:t>
      </w:r>
    </w:p>
    <w:p w14:paraId="1E87E066">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（8）曳引机和电动机：曳引机的油位是否在油位线上，必要时添加润滑油。</w:t>
      </w:r>
    </w:p>
    <w:p w14:paraId="55073548">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（9）接触器：检查触头衔铁接触情况是否良好，是否有污垢灰尘。</w:t>
      </w:r>
    </w:p>
    <w:p w14:paraId="7414FEBD">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（10）检查驱动电动机有无异常噪声和过热现象，制动器线圈温升不超过60度。</w:t>
      </w:r>
    </w:p>
    <w:p w14:paraId="58C5648A">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（11）变频器（或大功率模块）冷却分机工作是否正常。</w:t>
      </w:r>
    </w:p>
    <w:p w14:paraId="7E66BDA2">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（12）检查控制柜元件、电子板工作是否正常，温度是否正常、有无异味、异音。</w:t>
      </w:r>
    </w:p>
    <w:p w14:paraId="2618928B">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（13）检查微机及变频器故障记录，定期抄录并清除故障码（适用VVVF电梯每月保养的内容和要求（含周保养项目））</w:t>
      </w:r>
    </w:p>
    <w:p w14:paraId="21EB2A35">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（14）电磁制动器的动作检查、清洁。</w:t>
      </w:r>
    </w:p>
    <w:p w14:paraId="1883FF26">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（15）应急通讯装置的检查：机房和轿厢，轿厢 与监控中心对讲是否清晰畅通。</w:t>
      </w:r>
    </w:p>
    <w:p w14:paraId="0E42ECD7">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（16）门机减速齿轮的油面检查及导轨油杯的油量检查，少于1/3必须加油。</w:t>
      </w:r>
    </w:p>
    <w:p w14:paraId="7E1F4967">
      <w:pPr>
        <w:spacing w:line="400" w:lineRule="exact"/>
        <w:ind w:firstLine="422" w:firstLineChars="200"/>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4.2每季度保养的内容和标准</w:t>
      </w:r>
    </w:p>
    <w:p w14:paraId="3E61B90A">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轮涡杆减速箱及电动机轴承端润滑是否正常；下置式涡杆传动油面应能浸没涡杆齿高，但以不超过涡杆中心线为限，以免发生渗漏。减速箱在运行时不得有杂音、冲击和异常的震动。箱内油温不得高于85度，轴承温升不得高于60度，否则应停机检查原因。检查涡轮涡杆的轴向游隙，由于电梯频繁的换向运行，涡杆传动时产生的推力由轴承承受，轴承磨损后，涡杆的轴向游隙就会增大超标。调整标准为：涡杆轴向游隙0.1---0.15mm涡轮轴向游隙0.02---0.04mm。</w:t>
      </w:r>
    </w:p>
    <w:p w14:paraId="3C01FB57">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曳引钢丝绳及限速器钢丝绳的检查：当钢丝绳上出现断股及单丝磨损或腐蚀达到原来直径的10%以上时，钢丝绳应报废。检查五根曳引钢丝绳的张紧程度是否一致，相互差值应在5%以内，外侧两根应略紧于中间两根，目的是防止外侧的钢丝绳脱槽。</w:t>
      </w:r>
    </w:p>
    <w:p w14:paraId="60D32500">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（3）继电器，接触器，旋转编码器等工作是否正常。</w:t>
      </w:r>
    </w:p>
    <w:p w14:paraId="3F57834B">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（4）检查门的操作，调节和清洁门驱动装置的部件；包括关门机链条，门悬挂渡轮，安全触板，弹簧。清洁轿门，门导轨。如门扇下坠后与地坎间隙小于4mm时应更换门滑轮。</w:t>
      </w:r>
    </w:p>
    <w:p w14:paraId="661FC5C2">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（5）检查全部门刀和门锁滚轮之间的间隙与直线度的情况。检查标准：门刀与层门地坎之间应有5---8mm 的间隙。</w:t>
      </w:r>
    </w:p>
    <w:p w14:paraId="7EB29263">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（6）检查全部厅门门锁和开关触点是否完好。</w:t>
      </w:r>
    </w:p>
    <w:p w14:paraId="74B61BFD">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（7）检查对重装置和补偿链：液压式缓冲器缓冲越层标准为150---400mm，检查补偿链是否拖地，消音装置是否完好。</w:t>
      </w:r>
    </w:p>
    <w:p w14:paraId="32C2BF66">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（8）检查轿厢对重导靴的磨损情况和安全钳与导轨之间的间隙：靴衬每侧的磨损大于1mm时应更换靴衬，安全钳与导轨之间的间隙为3---5mm。</w:t>
      </w:r>
    </w:p>
    <w:p w14:paraId="584B3262">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（9）检查轿厢内操纵箱背面的接线是否牢固及中间接线箱内部的检查。</w:t>
      </w:r>
    </w:p>
    <w:p w14:paraId="0C92271C">
      <w:pPr>
        <w:tabs>
          <w:tab w:val="left" w:pos="3299"/>
        </w:tabs>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（10）检查紧急照明装置。</w:t>
      </w:r>
      <w:r>
        <w:rPr>
          <w:rFonts w:hint="eastAsia" w:ascii="宋体" w:hAnsi="宋体" w:eastAsia="宋体" w:cs="宋体"/>
          <w:color w:val="auto"/>
          <w:sz w:val="21"/>
          <w:szCs w:val="21"/>
          <w:highlight w:val="none"/>
        </w:rPr>
        <w:tab/>
      </w:r>
    </w:p>
    <w:p w14:paraId="6E358285">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（11）检查并调整电梯的性能包括启动、运行、减速和停止状态下的舒适感。</w:t>
      </w:r>
    </w:p>
    <w:p w14:paraId="72FFAC18">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（12）缓冲器固定情况和锈蚀情况，各张紧轮的润滑和检查以及各安全回路的检查，必要时可作试验。</w:t>
      </w:r>
    </w:p>
    <w:p w14:paraId="7E072652">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（13）强迫换速开关、极限动作开关、终端极限开关的动作检查。</w:t>
      </w:r>
    </w:p>
    <w:p w14:paraId="63186AD2">
      <w:pPr>
        <w:spacing w:line="400" w:lineRule="exact"/>
        <w:ind w:firstLine="422" w:firstLineChars="200"/>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4.3年度检查内容及要求</w:t>
      </w:r>
    </w:p>
    <w:p w14:paraId="4659F243">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（1）调换开关门继电器的触头。</w:t>
      </w:r>
    </w:p>
    <w:p w14:paraId="0F724DED">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（2）调换上下方向接触器的触头。</w:t>
      </w:r>
    </w:p>
    <w:p w14:paraId="5D747EB0">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（3）仔细检查控制柜内所有接触器，继电器的触头 。如有灼迹、拉毛等现象要给予更换或修复。</w:t>
      </w:r>
    </w:p>
    <w:p w14:paraId="1558A121">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（4）调整曳引钢丝绳的张紧均匀程度。</w:t>
      </w:r>
    </w:p>
    <w:p w14:paraId="46B62CFB">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（5）检查限速器的动作速度是否正确，安全钳是否能可靠动作，必要时可作试验。</w:t>
      </w:r>
    </w:p>
    <w:p w14:paraId="4077CC70">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（6）调换厅门轿门的滚轮。</w:t>
      </w:r>
    </w:p>
    <w:p w14:paraId="2F77EB21">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（7）调换开关门机构的易损件。</w:t>
      </w:r>
    </w:p>
    <w:p w14:paraId="59234EE3">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（8）仔细检查和调整安全回路中各开关触点的工作情况，打开开关、试验开关是否起作用。</w:t>
      </w:r>
    </w:p>
    <w:p w14:paraId="1630B0C1">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（9）检测电梯的绝缘电阻 ：动力电路为不小于0.5兆欧。</w:t>
      </w:r>
    </w:p>
    <w:p w14:paraId="2C16D940">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（10）每年视情况用激光校规仪检测导轨的直线度和垂直度。两主导轨垂直度偏差2MM，两副导轨垂直度偏差为2MM。</w:t>
      </w:r>
    </w:p>
    <w:p w14:paraId="33D2305A">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（11）每年一次用震动仪检测电梯运行的平稳性。</w:t>
      </w:r>
    </w:p>
    <w:p w14:paraId="41ABBA65">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（12）曳引机及电机轴承、限速器、反绳轮检查、润滑（每年必须注一次黄油）。</w:t>
      </w:r>
    </w:p>
    <w:p w14:paraId="3A944F86">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（13）本年度更换一次曳引机齿轮油（涡杆涡轮油）</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三年为一个周期</w:t>
      </w:r>
      <w:r>
        <w:rPr>
          <w:rFonts w:hint="eastAsia" w:ascii="宋体" w:hAnsi="宋体" w:cs="宋体"/>
          <w:color w:val="auto"/>
          <w:sz w:val="21"/>
          <w:szCs w:val="21"/>
          <w:highlight w:val="none"/>
          <w:lang w:eastAsia="zh-CN"/>
        </w:rPr>
        <w:t>）</w:t>
      </w:r>
    </w:p>
    <w:p w14:paraId="503A70D5">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（14）本年度更换一次门机齿轮箱的润滑油（钙钠基润滑脂）。</w:t>
      </w:r>
    </w:p>
    <w:p w14:paraId="0D35102F">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（15）本年度紧固一次导轨撑架和对重导轨架螺栓</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五年为一个周期</w:t>
      </w:r>
      <w:r>
        <w:rPr>
          <w:rFonts w:hint="eastAsia" w:ascii="宋体" w:hAnsi="宋体" w:cs="宋体"/>
          <w:color w:val="auto"/>
          <w:sz w:val="21"/>
          <w:szCs w:val="21"/>
          <w:highlight w:val="none"/>
          <w:lang w:eastAsia="zh-CN"/>
        </w:rPr>
        <w:t>）</w:t>
      </w:r>
    </w:p>
    <w:p w14:paraId="1561EA0B">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（16）本年度紧固一次导轨和对重的导轨连接板的螺母</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五年为一个周期</w:t>
      </w:r>
      <w:r>
        <w:rPr>
          <w:rFonts w:hint="eastAsia" w:ascii="宋体" w:hAnsi="宋体" w:cs="宋体"/>
          <w:color w:val="auto"/>
          <w:sz w:val="21"/>
          <w:szCs w:val="21"/>
          <w:highlight w:val="none"/>
          <w:lang w:eastAsia="zh-CN"/>
        </w:rPr>
        <w:t>）</w:t>
      </w:r>
    </w:p>
    <w:p w14:paraId="4C2FB733">
      <w:pPr>
        <w:pStyle w:val="2"/>
        <w:keepNext/>
        <w:keepLines/>
        <w:pageBreakBefore w:val="0"/>
        <w:widowControl w:val="0"/>
        <w:kinsoku/>
        <w:wordWrap/>
        <w:overflowPunct/>
        <w:topLinePunct w:val="0"/>
        <w:autoSpaceDE/>
        <w:autoSpaceDN/>
        <w:bidi w:val="0"/>
        <w:adjustRightInd/>
        <w:snapToGrid/>
        <w:spacing w:before="0" w:after="0" w:line="440" w:lineRule="exact"/>
        <w:textAlignment w:val="auto"/>
        <w:rPr>
          <w:rFonts w:hint="eastAsia" w:eastAsia="宋体"/>
          <w:color w:val="auto"/>
          <w:highlight w:val="none"/>
          <w:lang w:val="en-US" w:eastAsia="zh-CN"/>
        </w:rPr>
      </w:pPr>
      <w:r>
        <w:rPr>
          <w:rFonts w:hint="eastAsia" w:ascii="宋体" w:hAnsi="宋体" w:eastAsia="宋体" w:cs="宋体"/>
          <w:color w:val="auto"/>
          <w:sz w:val="21"/>
          <w:szCs w:val="21"/>
          <w:highlight w:val="none"/>
          <w:lang w:eastAsia="zh-CN"/>
        </w:rPr>
        <w:t>注：第</w:t>
      </w:r>
      <w:r>
        <w:rPr>
          <w:rFonts w:hint="eastAsia" w:ascii="宋体" w:hAnsi="宋体" w:eastAsia="宋体" w:cs="宋体"/>
          <w:color w:val="auto"/>
          <w:sz w:val="21"/>
          <w:szCs w:val="21"/>
          <w:highlight w:val="none"/>
        </w:rPr>
        <w:t>（11）</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（16）</w:t>
      </w:r>
      <w:r>
        <w:rPr>
          <w:rFonts w:hint="eastAsia" w:ascii="宋体" w:hAnsi="宋体" w:eastAsia="宋体" w:cs="宋体"/>
          <w:color w:val="auto"/>
          <w:sz w:val="21"/>
          <w:szCs w:val="21"/>
          <w:highlight w:val="none"/>
          <w:lang w:eastAsia="zh-CN"/>
        </w:rPr>
        <w:t>小点维保周期，以本项目现场的电梯使用时间为准。</w:t>
      </w:r>
    </w:p>
    <w:p w14:paraId="75717E05">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5.</w:t>
      </w:r>
      <w:r>
        <w:rPr>
          <w:rFonts w:hint="eastAsia" w:ascii="宋体" w:hAnsi="宋体" w:eastAsia="宋体" w:cs="宋体"/>
          <w:color w:val="auto"/>
          <w:sz w:val="21"/>
          <w:szCs w:val="21"/>
          <w:highlight w:val="none"/>
        </w:rPr>
        <w:t>乙方应确保在合同期内所有损坏、异常磨损、存在隐患的电梯零件、部件得到及时更换维修。对上面所列工作中的任一零件予以更换，必须是原品牌电梯公司认可，并由甲方确认的、崭新的一级品零件。</w:t>
      </w:r>
    </w:p>
    <w:p w14:paraId="79705E96">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6.</w:t>
      </w:r>
      <w:r>
        <w:rPr>
          <w:rFonts w:hint="eastAsia" w:ascii="宋体" w:hAnsi="宋体" w:eastAsia="宋体" w:cs="宋体"/>
          <w:color w:val="auto"/>
          <w:sz w:val="21"/>
          <w:szCs w:val="21"/>
          <w:highlight w:val="none"/>
        </w:rPr>
        <w:t>乙方对上述电梯提供24小时全天候的紧急故障处理，甲方发现电梯在正常使用中发生故障时，应立即通知乙方，乙方应在接到通知后5分钟内派员到达现场进行处理。</w:t>
      </w:r>
    </w:p>
    <w:p w14:paraId="380C9436">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7.</w:t>
      </w:r>
      <w:r>
        <w:rPr>
          <w:rFonts w:hint="eastAsia" w:ascii="宋体" w:hAnsi="宋体" w:eastAsia="宋体" w:cs="宋体"/>
          <w:color w:val="auto"/>
          <w:sz w:val="21"/>
          <w:szCs w:val="21"/>
          <w:highlight w:val="none"/>
        </w:rPr>
        <w:t>为了确保设备的正常运行和安全使用，乙方必须按保养计划和保养项目（见附件一《保养计划》和《保养项目表》）每月对单个设备进行全面保养检查2次以上，每次保养均应填写保养记录卡并由</w:t>
      </w:r>
      <w:r>
        <w:rPr>
          <w:rFonts w:hint="eastAsia" w:ascii="宋体" w:hAnsi="宋体" w:cs="宋体"/>
          <w:color w:val="auto"/>
          <w:sz w:val="21"/>
          <w:szCs w:val="21"/>
          <w:highlight w:val="none"/>
          <w:lang w:val="en-US" w:eastAsia="zh-CN"/>
        </w:rPr>
        <w:t>甲</w:t>
      </w:r>
      <w:r>
        <w:rPr>
          <w:rFonts w:hint="eastAsia" w:ascii="宋体" w:hAnsi="宋体" w:eastAsia="宋体" w:cs="宋体"/>
          <w:color w:val="auto"/>
          <w:sz w:val="21"/>
          <w:szCs w:val="21"/>
          <w:highlight w:val="none"/>
        </w:rPr>
        <w:t>方验收人员签字确认。</w:t>
      </w:r>
    </w:p>
    <w:p w14:paraId="7414A7D4">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8.</w:t>
      </w:r>
      <w:r>
        <w:rPr>
          <w:rFonts w:hint="eastAsia" w:ascii="宋体" w:hAnsi="宋体" w:eastAsia="宋体" w:cs="宋体"/>
          <w:color w:val="auto"/>
          <w:sz w:val="21"/>
          <w:szCs w:val="21"/>
          <w:highlight w:val="none"/>
        </w:rPr>
        <w:t>乙方须按照本合同（附件二）《服务质量检验标准及评分细则（电梯保养工作适用）》对电梯实施保养和维护。如未达到此评分细则，按以下方案进行考核：</w:t>
      </w:r>
    </w:p>
    <w:p w14:paraId="4EBF165B">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（1）考核检验时应由甲、乙双方人员共同参与，如果乙方提供电梯保养不符合合同及评分细则要求，甲方有权按照标准进行扣分。</w:t>
      </w:r>
    </w:p>
    <w:p w14:paraId="1CED99D7">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（2）甲方根据《服务质量检验标准及评分细则（电梯保养工作适用）》中，乙方当月考核分值低于9</w:t>
      </w:r>
      <w:r>
        <w:rPr>
          <w:rFonts w:hint="eastAsia" w:ascii="宋体" w:hAnsi="宋体" w:cs="宋体"/>
          <w:color w:val="auto"/>
          <w:sz w:val="21"/>
          <w:szCs w:val="21"/>
          <w:highlight w:val="none"/>
          <w:lang w:val="en-US" w:eastAsia="zh-CN"/>
        </w:rPr>
        <w:t>0</w:t>
      </w:r>
      <w:r>
        <w:rPr>
          <w:rFonts w:hint="eastAsia" w:ascii="宋体" w:hAnsi="宋体" w:eastAsia="宋体" w:cs="宋体"/>
          <w:color w:val="auto"/>
          <w:sz w:val="21"/>
          <w:szCs w:val="21"/>
          <w:highlight w:val="none"/>
        </w:rPr>
        <w:t>分，每0.1分扣乙方电梯维保费1</w:t>
      </w:r>
      <w:r>
        <w:rPr>
          <w:rFonts w:hint="eastAsia" w:ascii="宋体" w:hAnsi="宋体" w:cs="宋体"/>
          <w:color w:val="auto"/>
          <w:sz w:val="21"/>
          <w:szCs w:val="21"/>
          <w:highlight w:val="none"/>
          <w:lang w:val="en-US" w:eastAsia="zh-CN"/>
        </w:rPr>
        <w:t>0</w:t>
      </w:r>
      <w:r>
        <w:rPr>
          <w:rFonts w:hint="eastAsia" w:ascii="宋体" w:hAnsi="宋体" w:eastAsia="宋体" w:cs="宋体"/>
          <w:color w:val="auto"/>
          <w:sz w:val="21"/>
          <w:szCs w:val="21"/>
          <w:highlight w:val="none"/>
        </w:rPr>
        <w:t>元，乙方连续两个月考核得分少于8</w:t>
      </w:r>
      <w:r>
        <w:rPr>
          <w:rFonts w:hint="eastAsia" w:ascii="宋体" w:hAnsi="宋体" w:cs="宋体"/>
          <w:color w:val="auto"/>
          <w:sz w:val="21"/>
          <w:szCs w:val="21"/>
          <w:highlight w:val="none"/>
          <w:lang w:val="en-US" w:eastAsia="zh-CN"/>
        </w:rPr>
        <w:t>0</w:t>
      </w:r>
      <w:r>
        <w:rPr>
          <w:rFonts w:hint="eastAsia" w:ascii="宋体" w:hAnsi="宋体" w:eastAsia="宋体" w:cs="宋体"/>
          <w:color w:val="auto"/>
          <w:sz w:val="21"/>
          <w:szCs w:val="21"/>
          <w:highlight w:val="none"/>
        </w:rPr>
        <w:t>分的，甲方有权随时单方解除合同</w:t>
      </w:r>
      <w:r>
        <w:rPr>
          <w:rFonts w:hint="eastAsia" w:ascii="宋体" w:hAnsi="宋体" w:cs="宋体"/>
          <w:color w:val="auto"/>
          <w:sz w:val="21"/>
          <w:szCs w:val="21"/>
          <w:highlight w:val="none"/>
          <w:lang w:eastAsia="zh-CN"/>
        </w:rPr>
        <w:t>且无须承担</w:t>
      </w:r>
      <w:r>
        <w:rPr>
          <w:rFonts w:hint="eastAsia" w:ascii="宋体" w:hAnsi="宋体" w:eastAsia="宋体" w:cs="宋体"/>
          <w:color w:val="auto"/>
          <w:sz w:val="21"/>
          <w:szCs w:val="21"/>
          <w:highlight w:val="none"/>
        </w:rPr>
        <w:t>违约</w:t>
      </w:r>
      <w:r>
        <w:rPr>
          <w:rFonts w:hint="eastAsia" w:ascii="宋体" w:hAnsi="宋体" w:cs="宋体"/>
          <w:color w:val="auto"/>
          <w:sz w:val="21"/>
          <w:szCs w:val="21"/>
          <w:highlight w:val="none"/>
          <w:lang w:eastAsia="zh-CN"/>
        </w:rPr>
        <w:t>责任</w:t>
      </w:r>
      <w:r>
        <w:rPr>
          <w:rFonts w:hint="eastAsia" w:ascii="宋体" w:hAnsi="宋体" w:eastAsia="宋体" w:cs="宋体"/>
          <w:color w:val="auto"/>
          <w:sz w:val="21"/>
          <w:szCs w:val="21"/>
          <w:highlight w:val="none"/>
        </w:rPr>
        <w:t>。</w:t>
      </w:r>
    </w:p>
    <w:p w14:paraId="4D5F97A0">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r>
        <w:rPr>
          <w:rFonts w:hint="eastAsia" w:ascii="宋体" w:hAnsi="宋体" w:cs="宋体"/>
          <w:color w:val="auto"/>
          <w:sz w:val="21"/>
          <w:szCs w:val="21"/>
          <w:highlight w:val="none"/>
          <w:lang w:eastAsia="zh-CN"/>
        </w:rPr>
        <w:t>项目</w:t>
      </w:r>
      <w:r>
        <w:rPr>
          <w:rFonts w:hint="eastAsia" w:ascii="宋体" w:hAnsi="宋体" w:eastAsia="宋体" w:cs="宋体"/>
          <w:color w:val="auto"/>
          <w:sz w:val="21"/>
          <w:szCs w:val="21"/>
          <w:highlight w:val="none"/>
        </w:rPr>
        <w:t>客户满意度低于分值低于9</w:t>
      </w:r>
      <w:r>
        <w:rPr>
          <w:rFonts w:hint="eastAsia" w:ascii="宋体" w:hAnsi="宋体" w:cs="宋体"/>
          <w:color w:val="auto"/>
          <w:sz w:val="21"/>
          <w:szCs w:val="21"/>
          <w:highlight w:val="none"/>
          <w:lang w:val="en-US" w:eastAsia="zh-CN"/>
        </w:rPr>
        <w:t>0</w:t>
      </w:r>
      <w:r>
        <w:rPr>
          <w:rFonts w:hint="eastAsia" w:ascii="宋体" w:hAnsi="宋体" w:eastAsia="宋体" w:cs="宋体"/>
          <w:color w:val="auto"/>
          <w:sz w:val="21"/>
          <w:szCs w:val="21"/>
          <w:highlight w:val="none"/>
        </w:rPr>
        <w:t>分（每半年调查一次结算一次）；每</w:t>
      </w:r>
      <w:r>
        <w:rPr>
          <w:rFonts w:hint="eastAsia" w:ascii="宋体" w:hAnsi="宋体" w:eastAsia="宋体" w:cs="宋体"/>
          <w:color w:val="auto"/>
          <w:sz w:val="21"/>
          <w:szCs w:val="21"/>
          <w:highlight w:val="none"/>
          <w:u w:val="single"/>
        </w:rPr>
        <w:t>0.5</w:t>
      </w:r>
      <w:r>
        <w:rPr>
          <w:rFonts w:hint="eastAsia" w:ascii="宋体" w:hAnsi="宋体" w:eastAsia="宋体" w:cs="宋体"/>
          <w:color w:val="auto"/>
          <w:sz w:val="21"/>
          <w:szCs w:val="21"/>
          <w:highlight w:val="none"/>
        </w:rPr>
        <w:t>分，扣</w:t>
      </w:r>
      <w:r>
        <w:rPr>
          <w:rFonts w:hint="eastAsia" w:ascii="宋体" w:hAnsi="宋体" w:cs="宋体"/>
          <w:b/>
          <w:color w:val="auto"/>
          <w:sz w:val="21"/>
          <w:szCs w:val="21"/>
          <w:highlight w:val="none"/>
          <w:u w:val="single"/>
          <w:lang w:val="en-US" w:eastAsia="zh-CN"/>
        </w:rPr>
        <w:t>2</w:t>
      </w:r>
      <w:r>
        <w:rPr>
          <w:rFonts w:hint="eastAsia" w:ascii="宋体" w:hAnsi="宋体" w:eastAsia="宋体" w:cs="宋体"/>
          <w:b/>
          <w:color w:val="auto"/>
          <w:sz w:val="21"/>
          <w:szCs w:val="21"/>
          <w:highlight w:val="none"/>
          <w:u w:val="single"/>
        </w:rPr>
        <w:t>00元</w:t>
      </w:r>
      <w:r>
        <w:rPr>
          <w:rFonts w:hint="eastAsia" w:ascii="宋体" w:hAnsi="宋体" w:eastAsia="宋体" w:cs="宋体"/>
          <w:color w:val="auto"/>
          <w:sz w:val="21"/>
          <w:szCs w:val="21"/>
          <w:highlight w:val="none"/>
        </w:rPr>
        <w:t>，以此类推。</w:t>
      </w:r>
    </w:p>
    <w:p w14:paraId="54626499">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（4）电梯维修、故障、及时性、投诉约定：</w:t>
      </w:r>
    </w:p>
    <w:p w14:paraId="3997FA1D">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①乙方对电梯故障须及时处理，若同一</w:t>
      </w:r>
      <w:r>
        <w:rPr>
          <w:rFonts w:hint="eastAsia" w:ascii="宋体" w:hAnsi="宋体" w:cs="宋体"/>
          <w:color w:val="auto"/>
          <w:sz w:val="21"/>
          <w:szCs w:val="21"/>
          <w:highlight w:val="none"/>
          <w:lang w:eastAsia="zh-CN"/>
        </w:rPr>
        <w:t>台电梯同一</w:t>
      </w:r>
      <w:r>
        <w:rPr>
          <w:rFonts w:hint="eastAsia" w:ascii="宋体" w:hAnsi="宋体" w:eastAsia="宋体" w:cs="宋体"/>
          <w:color w:val="auto"/>
          <w:sz w:val="21"/>
          <w:szCs w:val="21"/>
          <w:highlight w:val="none"/>
        </w:rPr>
        <w:t>故障在一月内出现三次，甲方有权扣除</w:t>
      </w:r>
      <w:r>
        <w:rPr>
          <w:rFonts w:hint="eastAsia" w:ascii="宋体" w:hAnsi="宋体" w:cs="宋体"/>
          <w:color w:val="auto"/>
          <w:sz w:val="21"/>
          <w:szCs w:val="21"/>
          <w:highlight w:val="none"/>
          <w:lang w:eastAsia="zh-CN"/>
        </w:rPr>
        <w:t>该</w:t>
      </w:r>
      <w:r>
        <w:rPr>
          <w:rFonts w:hint="eastAsia" w:ascii="宋体" w:hAnsi="宋体" w:eastAsia="宋体" w:cs="宋体"/>
          <w:color w:val="auto"/>
          <w:sz w:val="21"/>
          <w:szCs w:val="21"/>
          <w:highlight w:val="none"/>
        </w:rPr>
        <w:t>电梯月维保费的</w:t>
      </w:r>
      <w:r>
        <w:rPr>
          <w:rFonts w:hint="eastAsia" w:ascii="宋体" w:hAnsi="宋体" w:cs="宋体"/>
          <w:color w:val="auto"/>
          <w:sz w:val="21"/>
          <w:szCs w:val="21"/>
          <w:highlight w:val="none"/>
          <w:lang w:val="en-US" w:eastAsia="zh-CN"/>
        </w:rPr>
        <w:t>5</w:t>
      </w:r>
      <w:r>
        <w:rPr>
          <w:rFonts w:hint="eastAsia" w:ascii="宋体" w:hAnsi="宋体" w:eastAsia="宋体" w:cs="宋体"/>
          <w:color w:val="auto"/>
          <w:sz w:val="21"/>
          <w:szCs w:val="21"/>
          <w:highlight w:val="none"/>
        </w:rPr>
        <w:t>0％，且电梯需重复更换相同零配件的，费用由乙方自行负责；</w:t>
      </w:r>
    </w:p>
    <w:p w14:paraId="7DF9FFDB">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②电梯使用高峰时间内，因保养不当，出现不能运行的故障次数，每月每部电梯不超过一次（人为或停电除外）；如有超过的，甲方有权扣除当月电梯总维保费的</w:t>
      </w:r>
      <w:r>
        <w:rPr>
          <w:rFonts w:hint="eastAsia" w:ascii="宋体" w:hAnsi="宋体" w:cs="宋体"/>
          <w:color w:val="auto"/>
          <w:sz w:val="21"/>
          <w:szCs w:val="21"/>
          <w:highlight w:val="none"/>
          <w:lang w:val="en-US" w:eastAsia="zh-CN"/>
        </w:rPr>
        <w:t>5</w:t>
      </w:r>
      <w:r>
        <w:rPr>
          <w:rFonts w:hint="eastAsia" w:ascii="宋体" w:hAnsi="宋体" w:eastAsia="宋体" w:cs="宋体"/>
          <w:color w:val="auto"/>
          <w:sz w:val="21"/>
          <w:szCs w:val="21"/>
          <w:highlight w:val="none"/>
        </w:rPr>
        <w:t>％。</w:t>
      </w:r>
    </w:p>
    <w:p w14:paraId="172CF325">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③电梯出现因故障困人，乙方人员未按合同规定5分钟到达现场处理的，扣当月电梯总维保费</w:t>
      </w:r>
      <w:r>
        <w:rPr>
          <w:rFonts w:hint="eastAsia" w:ascii="宋体" w:hAnsi="宋体" w:cs="宋体"/>
          <w:color w:val="auto"/>
          <w:sz w:val="21"/>
          <w:szCs w:val="21"/>
          <w:highlight w:val="none"/>
          <w:lang w:val="en-US" w:eastAsia="zh-CN"/>
        </w:rPr>
        <w:t>5</w:t>
      </w:r>
      <w:r>
        <w:rPr>
          <w:rFonts w:hint="eastAsia" w:ascii="宋体" w:hAnsi="宋体" w:eastAsia="宋体" w:cs="宋体"/>
          <w:color w:val="auto"/>
          <w:sz w:val="21"/>
          <w:szCs w:val="21"/>
          <w:highlight w:val="none"/>
        </w:rPr>
        <w:t xml:space="preserve">%； </w:t>
      </w:r>
    </w:p>
    <w:p w14:paraId="677F4C71">
      <w:pPr>
        <w:spacing w:line="400" w:lineRule="exact"/>
        <w:ind w:firstLine="420" w:firstLineChars="200"/>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④电梯困人、滑梯</w:t>
      </w:r>
      <w:r>
        <w:rPr>
          <w:rFonts w:hint="eastAsia" w:ascii="宋体" w:hAnsi="宋体" w:cs="宋体"/>
          <w:color w:val="auto"/>
          <w:sz w:val="21"/>
          <w:szCs w:val="21"/>
          <w:highlight w:val="none"/>
          <w:lang w:eastAsia="zh-CN"/>
        </w:rPr>
        <w:t>等</w:t>
      </w:r>
      <w:r>
        <w:rPr>
          <w:rFonts w:hint="eastAsia" w:ascii="宋体" w:hAnsi="宋体" w:eastAsia="宋体" w:cs="宋体"/>
          <w:color w:val="auto"/>
          <w:sz w:val="21"/>
          <w:szCs w:val="21"/>
          <w:highlight w:val="none"/>
        </w:rPr>
        <w:t>引起使用方有效投诉的，甲方有权按每次投诉500元/次的标准对乙方进行扣款，</w:t>
      </w:r>
      <w:r>
        <w:rPr>
          <w:rFonts w:hint="eastAsia" w:ascii="宋体" w:hAnsi="宋体" w:cs="宋体"/>
          <w:color w:val="auto"/>
          <w:sz w:val="21"/>
          <w:szCs w:val="21"/>
          <w:highlight w:val="none"/>
          <w:lang w:eastAsia="zh-CN"/>
        </w:rPr>
        <w:t>同一月内出现</w:t>
      </w:r>
      <w:r>
        <w:rPr>
          <w:rFonts w:hint="eastAsia" w:ascii="宋体" w:hAnsi="宋体" w:cs="宋体"/>
          <w:color w:val="auto"/>
          <w:sz w:val="21"/>
          <w:szCs w:val="21"/>
          <w:highlight w:val="none"/>
          <w:lang w:val="en-US" w:eastAsia="zh-CN"/>
        </w:rPr>
        <w:t>3次或以上有效投诉的，</w:t>
      </w:r>
      <w:r>
        <w:rPr>
          <w:rFonts w:hint="eastAsia" w:ascii="宋体" w:hAnsi="宋体" w:eastAsia="宋体" w:cs="宋体"/>
          <w:color w:val="auto"/>
          <w:sz w:val="21"/>
          <w:szCs w:val="21"/>
          <w:highlight w:val="none"/>
        </w:rPr>
        <w:t>乙方</w:t>
      </w:r>
      <w:r>
        <w:rPr>
          <w:rFonts w:hint="eastAsia" w:ascii="宋体" w:hAnsi="宋体" w:cs="宋体"/>
          <w:color w:val="auto"/>
          <w:sz w:val="21"/>
          <w:szCs w:val="21"/>
          <w:highlight w:val="none"/>
          <w:lang w:eastAsia="zh-CN"/>
        </w:rPr>
        <w:t>需按要求提供整改报告，连续</w:t>
      </w:r>
      <w:r>
        <w:rPr>
          <w:rFonts w:hint="eastAsia" w:ascii="宋体" w:hAnsi="宋体" w:cs="宋体"/>
          <w:color w:val="auto"/>
          <w:sz w:val="21"/>
          <w:szCs w:val="21"/>
          <w:highlight w:val="none"/>
          <w:lang w:val="en-US" w:eastAsia="zh-CN"/>
        </w:rPr>
        <w:t>3个月出现以上情形的，</w:t>
      </w:r>
      <w:r>
        <w:rPr>
          <w:rFonts w:hint="eastAsia" w:ascii="宋体" w:hAnsi="宋体" w:eastAsia="宋体" w:cs="宋体"/>
          <w:color w:val="auto"/>
          <w:sz w:val="21"/>
          <w:szCs w:val="21"/>
          <w:highlight w:val="none"/>
        </w:rPr>
        <w:t>甲方有权随时单方解除合同</w:t>
      </w:r>
      <w:r>
        <w:rPr>
          <w:rFonts w:hint="eastAsia" w:ascii="宋体" w:hAnsi="宋体" w:cs="宋体"/>
          <w:color w:val="auto"/>
          <w:sz w:val="21"/>
          <w:szCs w:val="21"/>
          <w:highlight w:val="none"/>
          <w:lang w:eastAsia="zh-CN"/>
        </w:rPr>
        <w:t>且无须承担</w:t>
      </w:r>
      <w:r>
        <w:rPr>
          <w:rFonts w:hint="eastAsia" w:ascii="宋体" w:hAnsi="宋体" w:eastAsia="宋体" w:cs="宋体"/>
          <w:color w:val="auto"/>
          <w:sz w:val="21"/>
          <w:szCs w:val="21"/>
          <w:highlight w:val="none"/>
        </w:rPr>
        <w:t>违约</w:t>
      </w:r>
      <w:r>
        <w:rPr>
          <w:rFonts w:hint="eastAsia" w:ascii="宋体" w:hAnsi="宋体" w:cs="宋体"/>
          <w:color w:val="auto"/>
          <w:sz w:val="21"/>
          <w:szCs w:val="21"/>
          <w:highlight w:val="none"/>
          <w:lang w:eastAsia="zh-CN"/>
        </w:rPr>
        <w:t>责任</w:t>
      </w:r>
      <w:r>
        <w:rPr>
          <w:rFonts w:hint="eastAsia" w:ascii="宋体" w:hAnsi="宋体" w:eastAsia="宋体" w:cs="宋体"/>
          <w:color w:val="auto"/>
          <w:sz w:val="21"/>
          <w:szCs w:val="21"/>
          <w:highlight w:val="none"/>
        </w:rPr>
        <w:t>。</w:t>
      </w:r>
    </w:p>
    <w:p w14:paraId="53AF6D3A">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⑤若乙方提供的报障热线打不通时一切后果由乙方负责承担，若在规定时间内不能到达现场，按甲方拨打乙方电话时间计时为标准，扣款</w:t>
      </w: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rPr>
        <w:t>00元/次。</w:t>
      </w:r>
    </w:p>
    <w:p w14:paraId="1FE5F4B2">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（5）乙方合同服务期间内，需实施考勤打卡制（一天四次）必须保证在工作期间人员出勤率达100%，甲方将不定期进行抽查、核对。如有弄虚作假不实之处，扣除当月电梯</w:t>
      </w:r>
      <w:r>
        <w:rPr>
          <w:rFonts w:hint="eastAsia" w:ascii="宋体" w:hAnsi="宋体" w:cs="宋体"/>
          <w:color w:val="auto"/>
          <w:sz w:val="21"/>
          <w:szCs w:val="21"/>
          <w:highlight w:val="none"/>
          <w:lang w:eastAsia="zh-CN"/>
        </w:rPr>
        <w:t>总</w:t>
      </w:r>
      <w:r>
        <w:rPr>
          <w:rFonts w:hint="eastAsia" w:ascii="宋体" w:hAnsi="宋体" w:eastAsia="宋体" w:cs="宋体"/>
          <w:color w:val="auto"/>
          <w:sz w:val="21"/>
          <w:szCs w:val="21"/>
          <w:highlight w:val="none"/>
        </w:rPr>
        <w:t>维保费</w:t>
      </w: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rPr>
        <w:t>0%，情节严重者，甲方有权终止合同。</w:t>
      </w:r>
    </w:p>
    <w:p w14:paraId="02E0EE2F">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（6）本协议在以下情况对乙方不考核：</w:t>
      </w:r>
    </w:p>
    <w:p w14:paraId="66131F8E">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①设备因人为原因、自然灾害或运行环境恶劣（电梯进水等）而造成后果的。</w:t>
      </w:r>
    </w:p>
    <w:p w14:paraId="41996494">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②设备部件磨损、损坏，乙方书面告知甲方的，须甲方协助处理的。</w:t>
      </w:r>
    </w:p>
    <w:p w14:paraId="49DE3B74">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③其他非乙方责任的。</w:t>
      </w:r>
    </w:p>
    <w:p w14:paraId="2C93D6C6">
      <w:pPr>
        <w:spacing w:line="520" w:lineRule="exact"/>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四、付款方式：</w:t>
      </w:r>
    </w:p>
    <w:p w14:paraId="32C3A2DF">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1.</w:t>
      </w:r>
      <w:r>
        <w:rPr>
          <w:rFonts w:hint="eastAsia" w:ascii="宋体" w:hAnsi="宋体" w:eastAsia="宋体" w:cs="宋体"/>
          <w:color w:val="auto"/>
          <w:sz w:val="21"/>
          <w:szCs w:val="21"/>
          <w:highlight w:val="none"/>
        </w:rPr>
        <w:t>维修保养费支付期为月结，按考核结果计费。每月末由乙方开出与本合同税率一致的、合法正式的增值税专用发票，甲方确认无误后在二十个工作日内支付，付款方式为银行转账。</w:t>
      </w:r>
    </w:p>
    <w:p w14:paraId="4B4C447D">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2.</w:t>
      </w:r>
      <w:r>
        <w:rPr>
          <w:rFonts w:hint="eastAsia" w:ascii="宋体" w:hAnsi="宋体" w:eastAsia="宋体" w:cs="宋体"/>
          <w:color w:val="auto"/>
          <w:sz w:val="21"/>
          <w:szCs w:val="21"/>
          <w:highlight w:val="none"/>
        </w:rPr>
        <w:t>按照现行税收政策规定，每次付款前，乙方必须提供合法有效、与本合同总价款条款中增值税税率一致的增值税专用发票给甲方，否则甲方有权拒绝付款且不构成违约；在甲方除支付质保金外的最后一期款项前，乙方须连同当期支付款项发票和质保金发票一并提交给甲方；若后续出现质保问题，按照质保责任和条款，部分或全部扣除质保金的，不退还相应金额的发票。若合同执行期间，遇国家税务政策调整所引起的合同价格变化，按照不含税价格调整结算价格。</w:t>
      </w:r>
    </w:p>
    <w:p w14:paraId="18CF6D62">
      <w:pPr>
        <w:spacing w:line="520" w:lineRule="exact"/>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五、双方责任：</w:t>
      </w:r>
    </w:p>
    <w:p w14:paraId="421A3520">
      <w:pPr>
        <w:spacing w:line="400" w:lineRule="exact"/>
        <w:ind w:firstLine="422" w:firstLineChars="200"/>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甲方：</w:t>
      </w:r>
    </w:p>
    <w:p w14:paraId="0880155F">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1.</w:t>
      </w:r>
      <w:r>
        <w:rPr>
          <w:rFonts w:hint="eastAsia" w:ascii="宋体" w:hAnsi="宋体" w:eastAsia="宋体" w:cs="宋体"/>
          <w:color w:val="auto"/>
          <w:sz w:val="21"/>
          <w:szCs w:val="21"/>
          <w:highlight w:val="none"/>
        </w:rPr>
        <w:t>甲方应在乙方的员工不违反甲方保安管理规定的情况下，提供出入机房、大堂、层门和设备所在区域的条件。</w:t>
      </w:r>
    </w:p>
    <w:p w14:paraId="6A59B01F">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2.</w:t>
      </w:r>
      <w:r>
        <w:rPr>
          <w:rFonts w:hint="eastAsia" w:ascii="宋体" w:hAnsi="宋体" w:eastAsia="宋体" w:cs="宋体"/>
          <w:color w:val="auto"/>
          <w:sz w:val="21"/>
          <w:szCs w:val="21"/>
          <w:highlight w:val="none"/>
        </w:rPr>
        <w:t>甲方需定期配合乙方进行轿顶、门操作扳、轿门和厅门的地坎、门榍、井道、地坑和机房的清洁工作。如井底遇水淹时，应及时排除并采取措施预防漏水或渗水。在甲方需要时，乙方应给予技术指导。甲方要求乙方进行电梯装修、翻新、改造时，乙方应免费提供技术支持，以保证采用最新的技术为甲方的电梯进行免费升级，但相关材料费用由甲方负担。</w:t>
      </w:r>
    </w:p>
    <w:p w14:paraId="14070EE4">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3.</w:t>
      </w:r>
      <w:r>
        <w:rPr>
          <w:rFonts w:hint="eastAsia" w:ascii="宋体" w:hAnsi="宋体" w:eastAsia="宋体" w:cs="宋体"/>
          <w:color w:val="auto"/>
          <w:sz w:val="21"/>
          <w:szCs w:val="21"/>
          <w:highlight w:val="none"/>
        </w:rPr>
        <w:t>在保养期间，除合同另有约定外，甲方不得委托其它单位或个人（包括乙方的人员）进行保养。如因乙方技术实力不足而不能解决的维修保养问题或乙方故意拖延维修保养（超过约定时间2天），甲方可邀请其他公司进行维修保养，费用从乙方维保费中扣除。</w:t>
      </w:r>
    </w:p>
    <w:p w14:paraId="2682AF95">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4.</w:t>
      </w:r>
      <w:r>
        <w:rPr>
          <w:rFonts w:hint="eastAsia" w:ascii="宋体" w:hAnsi="宋体" w:eastAsia="宋体" w:cs="宋体"/>
          <w:color w:val="auto"/>
          <w:sz w:val="21"/>
          <w:szCs w:val="21"/>
          <w:highlight w:val="none"/>
        </w:rPr>
        <w:t>所有合理报价工程、配件，乙方有义务以书面形式将详细情况陈述阐明，交与甲方，若甲乙双方对工程、配件等费用报价存在异议，甲方有权邀请第三方对相关费用进行评估报价，若费用明显低于乙方报价费用，甲方可直接将工程、维修交由第三方负责处理，乙方不得有异议。</w:t>
      </w:r>
    </w:p>
    <w:p w14:paraId="49F2CC46">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5.</w:t>
      </w:r>
      <w:r>
        <w:rPr>
          <w:rFonts w:hint="eastAsia" w:ascii="宋体" w:hAnsi="宋体" w:eastAsia="宋体" w:cs="宋体"/>
          <w:color w:val="auto"/>
          <w:sz w:val="21"/>
          <w:szCs w:val="21"/>
          <w:highlight w:val="none"/>
        </w:rPr>
        <w:t>如乙方违反《</w:t>
      </w:r>
      <w:r>
        <w:rPr>
          <w:rFonts w:hint="eastAsia" w:ascii="宋体" w:hAnsi="宋体" w:cs="宋体"/>
          <w:color w:val="auto"/>
          <w:sz w:val="21"/>
          <w:szCs w:val="21"/>
          <w:highlight w:val="none"/>
          <w:lang w:eastAsia="zh-CN"/>
        </w:rPr>
        <w:t>中华人民共和国劳动法</w:t>
      </w:r>
      <w:r>
        <w:rPr>
          <w:rFonts w:hint="eastAsia" w:ascii="宋体" w:hAnsi="宋体" w:eastAsia="宋体" w:cs="宋体"/>
          <w:color w:val="auto"/>
          <w:sz w:val="21"/>
          <w:szCs w:val="21"/>
          <w:highlight w:val="none"/>
        </w:rPr>
        <w:t>》、《</w:t>
      </w:r>
      <w:r>
        <w:rPr>
          <w:rFonts w:hint="eastAsia" w:ascii="宋体" w:hAnsi="宋体" w:cs="宋体"/>
          <w:color w:val="auto"/>
          <w:sz w:val="21"/>
          <w:szCs w:val="21"/>
          <w:highlight w:val="none"/>
          <w:lang w:eastAsia="zh-CN"/>
        </w:rPr>
        <w:t>中华人民共和国劳动合同法</w:t>
      </w:r>
      <w:r>
        <w:rPr>
          <w:rFonts w:hint="eastAsia" w:ascii="宋体" w:hAnsi="宋体" w:eastAsia="宋体" w:cs="宋体"/>
          <w:color w:val="auto"/>
          <w:sz w:val="21"/>
          <w:szCs w:val="21"/>
          <w:highlight w:val="none"/>
        </w:rPr>
        <w:t>》及其相关法律法规的行为，或与所服务区域内乙方派遣的员工发生劳动关系及其他法律关系纠纷时，或因其它原因乙方派遣的员工在服务区域内滋事、罢工、干扰甲方正常办公及服务时，以及对甲方管理项目环境质量造成严重影响时，甲方有权单方解除合同，</w:t>
      </w:r>
      <w:r>
        <w:rPr>
          <w:rFonts w:hint="eastAsia" w:ascii="宋体" w:hAnsi="宋体" w:cs="宋体"/>
          <w:color w:val="auto"/>
          <w:sz w:val="21"/>
          <w:szCs w:val="21"/>
          <w:highlight w:val="none"/>
          <w:lang w:eastAsia="zh-CN"/>
        </w:rPr>
        <w:t>且</w:t>
      </w:r>
      <w:r>
        <w:rPr>
          <w:rFonts w:hint="eastAsia" w:ascii="宋体" w:hAnsi="宋体" w:eastAsia="宋体" w:cs="宋体"/>
          <w:color w:val="auto"/>
          <w:sz w:val="21"/>
          <w:szCs w:val="21"/>
          <w:highlight w:val="none"/>
        </w:rPr>
        <w:t>乙方须向甲方支付违约金（不少于一个月的电梯维保服务费）。</w:t>
      </w:r>
    </w:p>
    <w:p w14:paraId="52C649F4">
      <w:pPr>
        <w:spacing w:line="400" w:lineRule="exact"/>
        <w:ind w:firstLine="422" w:firstLineChars="200"/>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乙方：</w:t>
      </w:r>
    </w:p>
    <w:p w14:paraId="592BCD96">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1.</w:t>
      </w:r>
      <w:r>
        <w:rPr>
          <w:rFonts w:hint="eastAsia" w:ascii="宋体" w:hAnsi="宋体" w:eastAsia="宋体" w:cs="宋体"/>
          <w:color w:val="auto"/>
          <w:sz w:val="21"/>
          <w:szCs w:val="21"/>
          <w:highlight w:val="none"/>
        </w:rPr>
        <w:t>乙方必须服从甲方的</w:t>
      </w:r>
      <w:r>
        <w:rPr>
          <w:rFonts w:hint="eastAsia" w:ascii="宋体" w:hAnsi="宋体" w:cs="宋体"/>
          <w:color w:val="auto"/>
          <w:sz w:val="21"/>
          <w:szCs w:val="21"/>
          <w:highlight w:val="none"/>
          <w:lang w:eastAsia="zh-CN"/>
        </w:rPr>
        <w:t>监督管理</w:t>
      </w:r>
      <w:r>
        <w:rPr>
          <w:rFonts w:hint="eastAsia" w:ascii="宋体" w:hAnsi="宋体" w:eastAsia="宋体" w:cs="宋体"/>
          <w:color w:val="auto"/>
          <w:sz w:val="21"/>
          <w:szCs w:val="21"/>
          <w:highlight w:val="none"/>
        </w:rPr>
        <w:t>，并服从甲方有关工程技术人员对电梯保养工作的监督检查。</w:t>
      </w:r>
    </w:p>
    <w:p w14:paraId="4598BB28">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2.</w:t>
      </w:r>
      <w:r>
        <w:rPr>
          <w:rFonts w:hint="eastAsia" w:ascii="宋体" w:hAnsi="宋体" w:eastAsia="宋体" w:cs="宋体"/>
          <w:color w:val="auto"/>
          <w:sz w:val="21"/>
          <w:szCs w:val="21"/>
          <w:highlight w:val="none"/>
        </w:rPr>
        <w:t>保养期间内，乙方应随时听取甲方对设备运行状况的反映，对不正常的运行状况，应做认真分析与纠正。应定期对电梯设备的所有项目进行检查，并视情况进行调整、检修、润滑，以维持甲方电梯安全运行。如乙方发现电梯工作的环境（如电源参数、温度、湿度）不利于电梯工作时，应立即与甲方协商解决。</w:t>
      </w:r>
    </w:p>
    <w:p w14:paraId="725B7BF8">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3.</w:t>
      </w:r>
      <w:r>
        <w:rPr>
          <w:rFonts w:hint="eastAsia" w:ascii="宋体" w:hAnsi="宋体" w:eastAsia="宋体" w:cs="宋体"/>
          <w:color w:val="auto"/>
          <w:sz w:val="21"/>
          <w:szCs w:val="21"/>
          <w:highlight w:val="none"/>
        </w:rPr>
        <w:t>乙方应根据甲方的电梯情况制定年度保养计划、月度保养计划，并交甲方。在保养期间内，应按规定进行保养，每次保养工作完成后，乙方保养人员应请甲方人员在“电梯保养维修报告书”上签认；如乙方保养人员没有按规定的时间和保养项目进行保养，因保养不良造成甲方的电梯故障，乙方应负责免费修复。</w:t>
      </w:r>
    </w:p>
    <w:p w14:paraId="5B03962B">
      <w:pPr>
        <w:spacing w:line="400" w:lineRule="exact"/>
        <w:ind w:firstLine="420" w:firstLineChars="200"/>
        <w:rPr>
          <w:rFonts w:hint="eastAsia" w:ascii="宋体" w:hAnsi="宋体" w:cs="宋体"/>
          <w:color w:val="auto"/>
          <w:sz w:val="21"/>
          <w:szCs w:val="21"/>
          <w:highlight w:val="none"/>
          <w:lang w:eastAsia="zh-CN"/>
        </w:rPr>
      </w:pPr>
      <w:r>
        <w:rPr>
          <w:rFonts w:hint="eastAsia" w:ascii="宋体" w:hAnsi="宋体" w:cs="宋体"/>
          <w:color w:val="auto"/>
          <w:sz w:val="21"/>
          <w:szCs w:val="21"/>
          <w:highlight w:val="none"/>
          <w:lang w:eastAsia="zh-CN"/>
        </w:rPr>
        <w:t>4.</w:t>
      </w:r>
      <w:r>
        <w:rPr>
          <w:rFonts w:hint="eastAsia" w:ascii="宋体" w:hAnsi="宋体" w:eastAsia="宋体" w:cs="宋体"/>
          <w:color w:val="auto"/>
          <w:sz w:val="21"/>
          <w:szCs w:val="21"/>
          <w:highlight w:val="none"/>
        </w:rPr>
        <w:t>乙方在检查电梯时，提出维修项目，如确认需维修（超过四小时或需超过两人以上的维修工作）和更换零件时乙方应以书面形式通知甲方。甲方提出维修项目、预定更换期限，其工作应委托乙方处理；常规配件，乙方必需24小时内更换完毕，大型配件如电脑主板、曳引机应在甲方确认后</w:t>
      </w:r>
      <w:r>
        <w:rPr>
          <w:rFonts w:hint="eastAsia" w:ascii="宋体" w:hAnsi="宋体" w:cs="宋体"/>
          <w:color w:val="auto"/>
          <w:sz w:val="21"/>
          <w:szCs w:val="21"/>
          <w:highlight w:val="none"/>
          <w:lang w:val="en-US" w:eastAsia="zh-CN"/>
        </w:rPr>
        <w:t>6</w:t>
      </w:r>
      <w:r>
        <w:rPr>
          <w:rFonts w:hint="eastAsia" w:ascii="宋体" w:hAnsi="宋体" w:eastAsia="宋体" w:cs="宋体"/>
          <w:color w:val="auto"/>
          <w:sz w:val="21"/>
          <w:szCs w:val="21"/>
          <w:highlight w:val="none"/>
        </w:rPr>
        <w:t>天内更换完毕。大型配件在维修或更换过程中，乙方须提供备用件，确保设备的能正常运行。</w:t>
      </w:r>
      <w:r>
        <w:rPr>
          <w:rFonts w:hint="eastAsia" w:ascii="宋体" w:hAnsi="宋体" w:cs="宋体"/>
          <w:color w:val="auto"/>
          <w:sz w:val="21"/>
          <w:szCs w:val="21"/>
          <w:highlight w:val="none"/>
          <w:lang w:eastAsia="zh-CN"/>
        </w:rPr>
        <w:t>如</w:t>
      </w:r>
      <w:r>
        <w:rPr>
          <w:rFonts w:hint="eastAsia" w:ascii="宋体" w:hAnsi="宋体" w:eastAsia="宋体" w:cs="宋体"/>
          <w:color w:val="auto"/>
          <w:sz w:val="21"/>
          <w:szCs w:val="21"/>
          <w:highlight w:val="none"/>
        </w:rPr>
        <w:t>乙方</w:t>
      </w:r>
      <w:r>
        <w:rPr>
          <w:rFonts w:hint="eastAsia" w:ascii="宋体" w:hAnsi="宋体" w:cs="宋体"/>
          <w:color w:val="auto"/>
          <w:sz w:val="21"/>
          <w:szCs w:val="21"/>
          <w:highlight w:val="none"/>
          <w:lang w:eastAsia="zh-CN"/>
        </w:rPr>
        <w:t>为达到经济目的，虚报维修项目或经鉴定属恶意损坏电梯正常运行的，除立即终止合同外，</w:t>
      </w:r>
      <w:r>
        <w:rPr>
          <w:rFonts w:hint="eastAsia" w:ascii="宋体" w:hAnsi="宋体" w:eastAsia="宋体" w:cs="宋体"/>
          <w:color w:val="auto"/>
          <w:sz w:val="21"/>
          <w:szCs w:val="21"/>
          <w:highlight w:val="none"/>
        </w:rPr>
        <w:t>产生的维修费、配件费及导致的损失</w:t>
      </w:r>
      <w:r>
        <w:rPr>
          <w:rFonts w:hint="eastAsia" w:ascii="宋体" w:hAnsi="宋体" w:cs="宋体"/>
          <w:color w:val="auto"/>
          <w:sz w:val="21"/>
          <w:szCs w:val="21"/>
          <w:highlight w:val="none"/>
          <w:lang w:eastAsia="zh-CN"/>
        </w:rPr>
        <w:t>由</w:t>
      </w:r>
      <w:r>
        <w:rPr>
          <w:rFonts w:hint="eastAsia" w:ascii="宋体" w:hAnsi="宋体" w:eastAsia="宋体" w:cs="宋体"/>
          <w:color w:val="auto"/>
          <w:sz w:val="21"/>
          <w:szCs w:val="21"/>
          <w:highlight w:val="none"/>
        </w:rPr>
        <w:t>乙方</w:t>
      </w:r>
      <w:r>
        <w:rPr>
          <w:rFonts w:hint="eastAsia" w:ascii="宋体" w:hAnsi="宋体" w:cs="宋体"/>
          <w:color w:val="auto"/>
          <w:sz w:val="21"/>
          <w:szCs w:val="21"/>
          <w:highlight w:val="none"/>
          <w:lang w:eastAsia="zh-CN"/>
        </w:rPr>
        <w:t>承担，并处以该费用的</w:t>
      </w:r>
      <w:r>
        <w:rPr>
          <w:rFonts w:hint="eastAsia" w:ascii="宋体" w:hAnsi="宋体" w:cs="宋体"/>
          <w:color w:val="auto"/>
          <w:sz w:val="21"/>
          <w:szCs w:val="21"/>
          <w:highlight w:val="none"/>
          <w:lang w:val="en-US" w:eastAsia="zh-CN"/>
        </w:rPr>
        <w:t>3</w:t>
      </w:r>
      <w:r>
        <w:rPr>
          <w:rFonts w:hint="eastAsia" w:ascii="宋体" w:hAnsi="宋体" w:cs="宋体"/>
          <w:color w:val="auto"/>
          <w:sz w:val="21"/>
          <w:szCs w:val="21"/>
          <w:highlight w:val="none"/>
          <w:lang w:eastAsia="zh-CN"/>
        </w:rPr>
        <w:t>倍罚金。</w:t>
      </w:r>
    </w:p>
    <w:p w14:paraId="52399CB9">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5.</w:t>
      </w:r>
      <w:r>
        <w:rPr>
          <w:rFonts w:hint="eastAsia" w:ascii="宋体" w:hAnsi="宋体" w:eastAsia="宋体" w:cs="宋体"/>
          <w:color w:val="auto"/>
          <w:sz w:val="21"/>
          <w:szCs w:val="21"/>
          <w:highlight w:val="none"/>
        </w:rPr>
        <w:t>在合同服务期间内，因维修所需的</w:t>
      </w:r>
      <w:r>
        <w:rPr>
          <w:rFonts w:hint="eastAsia" w:ascii="宋体" w:hAnsi="宋体" w:cs="宋体"/>
          <w:color w:val="auto"/>
          <w:sz w:val="21"/>
          <w:szCs w:val="21"/>
          <w:highlight w:val="none"/>
          <w:lang w:eastAsia="zh-CN"/>
        </w:rPr>
        <w:t>3000</w:t>
      </w:r>
      <w:r>
        <w:rPr>
          <w:rFonts w:hint="eastAsia" w:ascii="宋体" w:hAnsi="宋体" w:eastAsia="宋体" w:cs="宋体"/>
          <w:color w:val="auto"/>
          <w:sz w:val="21"/>
          <w:szCs w:val="21"/>
          <w:highlight w:val="none"/>
        </w:rPr>
        <w:t>元及以下单个材料零配件费用由乙方承担。若乙方对部分更换的零配件报价费用高于</w:t>
      </w:r>
      <w:r>
        <w:rPr>
          <w:rFonts w:hint="eastAsia" w:ascii="宋体" w:hAnsi="宋体" w:cs="宋体"/>
          <w:color w:val="auto"/>
          <w:sz w:val="21"/>
          <w:szCs w:val="21"/>
          <w:highlight w:val="none"/>
          <w:lang w:eastAsia="zh-CN"/>
        </w:rPr>
        <w:t>3000</w:t>
      </w:r>
      <w:r>
        <w:rPr>
          <w:rFonts w:hint="eastAsia" w:ascii="宋体" w:hAnsi="宋体" w:eastAsia="宋体" w:cs="宋体"/>
          <w:color w:val="auto"/>
          <w:sz w:val="21"/>
          <w:szCs w:val="21"/>
          <w:highlight w:val="none"/>
        </w:rPr>
        <w:t>元，经甲方询价比价后发现该零配件市场报价费用明显低于</w:t>
      </w:r>
      <w:r>
        <w:rPr>
          <w:rFonts w:hint="eastAsia" w:ascii="宋体" w:hAnsi="宋体" w:cs="宋体"/>
          <w:color w:val="auto"/>
          <w:sz w:val="21"/>
          <w:szCs w:val="21"/>
          <w:highlight w:val="none"/>
          <w:lang w:eastAsia="zh-CN"/>
        </w:rPr>
        <w:t>3000</w:t>
      </w:r>
      <w:r>
        <w:rPr>
          <w:rFonts w:hint="eastAsia" w:ascii="宋体" w:hAnsi="宋体" w:eastAsia="宋体" w:cs="宋体"/>
          <w:color w:val="auto"/>
          <w:sz w:val="21"/>
          <w:szCs w:val="21"/>
          <w:highlight w:val="none"/>
        </w:rPr>
        <w:t>元，甲方有权</w:t>
      </w:r>
      <w:r>
        <w:rPr>
          <w:rFonts w:hint="eastAsia" w:ascii="宋体" w:hAnsi="宋体" w:cs="宋体"/>
          <w:color w:val="auto"/>
          <w:sz w:val="21"/>
          <w:szCs w:val="21"/>
          <w:highlight w:val="none"/>
          <w:lang w:val="en-US" w:eastAsia="zh-CN"/>
        </w:rPr>
        <w:t>委托</w:t>
      </w:r>
      <w:r>
        <w:rPr>
          <w:rFonts w:hint="eastAsia" w:ascii="宋体" w:hAnsi="宋体" w:eastAsia="宋体" w:cs="宋体"/>
          <w:color w:val="auto"/>
          <w:sz w:val="21"/>
          <w:szCs w:val="21"/>
          <w:highlight w:val="none"/>
        </w:rPr>
        <w:t>第三方进行维修，相关费用直接从</w:t>
      </w:r>
      <w:r>
        <w:rPr>
          <w:rFonts w:hint="eastAsia" w:ascii="宋体" w:hAnsi="宋体" w:cs="宋体"/>
          <w:color w:val="auto"/>
          <w:sz w:val="21"/>
          <w:szCs w:val="21"/>
          <w:highlight w:val="none"/>
          <w:lang w:val="en-US" w:eastAsia="zh-CN"/>
        </w:rPr>
        <w:t>乙方</w:t>
      </w:r>
      <w:r>
        <w:rPr>
          <w:rFonts w:hint="eastAsia" w:ascii="宋体" w:hAnsi="宋体" w:eastAsia="宋体" w:cs="宋体"/>
          <w:color w:val="auto"/>
          <w:sz w:val="21"/>
          <w:szCs w:val="21"/>
          <w:highlight w:val="none"/>
        </w:rPr>
        <w:t>当月维保费用中扣除。</w:t>
      </w:r>
    </w:p>
    <w:p w14:paraId="224AE455">
      <w:pPr>
        <w:spacing w:line="400" w:lineRule="exact"/>
        <w:ind w:firstLine="420" w:firstLineChars="200"/>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eastAsia="zh-CN"/>
        </w:rPr>
        <w:t>6.</w:t>
      </w:r>
      <w:r>
        <w:rPr>
          <w:rFonts w:hint="eastAsia" w:ascii="宋体" w:hAnsi="宋体" w:cs="宋体"/>
          <w:color w:val="auto"/>
          <w:sz w:val="21"/>
          <w:szCs w:val="21"/>
          <w:highlight w:val="none"/>
          <w:lang w:val="en-US" w:eastAsia="zh-CN"/>
        </w:rPr>
        <w:t>合同内须保养的</w:t>
      </w:r>
      <w:r>
        <w:rPr>
          <w:rFonts w:hint="eastAsia" w:ascii="宋体" w:hAnsi="宋体" w:eastAsia="宋体" w:cs="宋体"/>
          <w:color w:val="auto"/>
          <w:sz w:val="21"/>
          <w:szCs w:val="21"/>
          <w:highlight w:val="none"/>
        </w:rPr>
        <w:t>电梯，由乙方负责按时向市技术监督局特种设备质量安全检测所申报办理电梯安全年检手续，保证取得《电梯准运合格证》，保养期内如属乙方保养不良而需复检的，检测费用则由乙方承担。乙方对上述电梯每年进行一次负荷调校试验</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并承担相关费用。</w:t>
      </w:r>
      <w:r>
        <w:rPr>
          <w:rFonts w:hint="eastAsia" w:ascii="宋体" w:hAnsi="宋体" w:eastAsia="宋体" w:cs="宋体"/>
          <w:color w:val="auto"/>
          <w:sz w:val="21"/>
          <w:szCs w:val="21"/>
          <w:highlight w:val="none"/>
        </w:rPr>
        <w:t>合同签订后，乙方应向甲方提交合同期内的电梯保养计划，上述资料均由甲方存档备查，确保电梯得到全面的清洁、润滑、调整。</w:t>
      </w:r>
    </w:p>
    <w:p w14:paraId="1FF2EBAC">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7.</w:t>
      </w:r>
      <w:r>
        <w:rPr>
          <w:rFonts w:hint="eastAsia" w:ascii="宋体" w:hAnsi="宋体" w:eastAsia="宋体" w:cs="宋体"/>
          <w:color w:val="auto"/>
          <w:sz w:val="21"/>
          <w:szCs w:val="21"/>
          <w:highlight w:val="none"/>
        </w:rPr>
        <w:t>保养项目，乙方不得以任何理由转包给第三者进行（包括个人）维修保养，一经发现，视为违约。</w:t>
      </w:r>
    </w:p>
    <w:p w14:paraId="202AE9F4">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8.</w:t>
      </w:r>
      <w:r>
        <w:rPr>
          <w:rFonts w:hint="eastAsia" w:ascii="宋体" w:hAnsi="宋体" w:eastAsia="宋体" w:cs="宋体"/>
          <w:color w:val="auto"/>
          <w:sz w:val="21"/>
          <w:szCs w:val="21"/>
          <w:highlight w:val="none"/>
        </w:rPr>
        <w:t>乙方必须委派具有相应资格的从业人员为甲方提供服务并作好员工的安全生产教育，承担安全生产及有关法律责任。</w:t>
      </w:r>
    </w:p>
    <w:p w14:paraId="181F7E46">
      <w:pPr>
        <w:spacing w:line="400" w:lineRule="exact"/>
        <w:ind w:firstLine="420" w:firstLineChars="200"/>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eastAsia="zh-CN"/>
        </w:rPr>
        <w:t>9.</w:t>
      </w:r>
      <w:r>
        <w:rPr>
          <w:rFonts w:hint="eastAsia" w:ascii="宋体" w:hAnsi="宋体" w:eastAsia="宋体" w:cs="宋体"/>
          <w:color w:val="auto"/>
          <w:sz w:val="21"/>
          <w:szCs w:val="21"/>
          <w:highlight w:val="none"/>
        </w:rPr>
        <w:t>乙方对本项目必须配备</w:t>
      </w: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名</w:t>
      </w:r>
      <w:r>
        <w:rPr>
          <w:rFonts w:hint="eastAsia" w:ascii="宋体" w:hAnsi="宋体" w:eastAsia="宋体" w:cs="宋体"/>
          <w:color w:val="auto"/>
          <w:sz w:val="21"/>
          <w:szCs w:val="21"/>
          <w:highlight w:val="none"/>
          <w:lang w:eastAsia="zh-CN"/>
        </w:rPr>
        <w:t>以上</w:t>
      </w:r>
      <w:r>
        <w:rPr>
          <w:rFonts w:hint="eastAsia" w:ascii="宋体" w:hAnsi="宋体" w:cs="宋体"/>
          <w:color w:val="auto"/>
          <w:sz w:val="21"/>
          <w:szCs w:val="21"/>
          <w:highlight w:val="none"/>
          <w:lang w:val="en-US" w:eastAsia="zh-CN"/>
        </w:rPr>
        <w:t>技术</w:t>
      </w:r>
      <w:r>
        <w:rPr>
          <w:rFonts w:hint="eastAsia" w:ascii="宋体" w:hAnsi="宋体" w:eastAsia="宋体" w:cs="宋体"/>
          <w:color w:val="auto"/>
          <w:sz w:val="21"/>
          <w:szCs w:val="21"/>
          <w:highlight w:val="none"/>
        </w:rPr>
        <w:t>人员，</w:t>
      </w:r>
      <w:r>
        <w:rPr>
          <w:rFonts w:hint="eastAsia" w:ascii="宋体" w:hAnsi="宋体" w:cs="宋体"/>
          <w:color w:val="auto"/>
          <w:sz w:val="21"/>
          <w:szCs w:val="21"/>
          <w:highlight w:val="none"/>
          <w:lang w:val="en-US" w:eastAsia="zh-CN"/>
        </w:rPr>
        <w:t>技术</w:t>
      </w:r>
      <w:r>
        <w:rPr>
          <w:rFonts w:hint="eastAsia" w:ascii="宋体" w:hAnsi="宋体" w:eastAsia="宋体" w:cs="宋体"/>
          <w:color w:val="auto"/>
          <w:sz w:val="21"/>
          <w:szCs w:val="21"/>
          <w:highlight w:val="none"/>
        </w:rPr>
        <w:t>人员必须是中标服务单位的正式员工，在乙方任职不低于</w:t>
      </w:r>
      <w:r>
        <w:rPr>
          <w:rFonts w:hint="eastAsia" w:ascii="宋体" w:hAnsi="宋体" w:cs="宋体"/>
          <w:color w:val="auto"/>
          <w:sz w:val="21"/>
          <w:szCs w:val="21"/>
          <w:highlight w:val="none"/>
          <w:lang w:val="en-US" w:eastAsia="zh-CN"/>
        </w:rPr>
        <w:t>半</w:t>
      </w:r>
      <w:r>
        <w:rPr>
          <w:rFonts w:hint="eastAsia" w:ascii="宋体" w:hAnsi="宋体" w:eastAsia="宋体" w:cs="宋体"/>
          <w:color w:val="auto"/>
          <w:sz w:val="21"/>
          <w:szCs w:val="21"/>
          <w:highlight w:val="none"/>
        </w:rPr>
        <w:t>年，配备2名</w:t>
      </w:r>
      <w:r>
        <w:rPr>
          <w:rFonts w:hint="eastAsia" w:ascii="宋体" w:hAnsi="宋体" w:cs="宋体"/>
          <w:color w:val="auto"/>
          <w:sz w:val="21"/>
          <w:szCs w:val="21"/>
          <w:highlight w:val="none"/>
          <w:lang w:val="en-US" w:eastAsia="zh-CN"/>
        </w:rPr>
        <w:t>技术</w:t>
      </w:r>
      <w:r>
        <w:rPr>
          <w:rFonts w:hint="eastAsia" w:ascii="宋体" w:hAnsi="宋体" w:eastAsia="宋体" w:cs="宋体"/>
          <w:color w:val="auto"/>
          <w:sz w:val="21"/>
          <w:szCs w:val="21"/>
          <w:highlight w:val="none"/>
        </w:rPr>
        <w:t>人员必须在服务项目现场24小时固定驻点。</w:t>
      </w:r>
      <w:r>
        <w:rPr>
          <w:rFonts w:hint="eastAsia" w:ascii="宋体" w:hAnsi="宋体" w:cs="宋体"/>
          <w:color w:val="auto"/>
          <w:sz w:val="21"/>
          <w:szCs w:val="21"/>
          <w:highlight w:val="none"/>
          <w:lang w:val="en-US" w:eastAsia="zh-CN"/>
        </w:rPr>
        <w:t>技术人员名字：</w:t>
      </w:r>
      <w:r>
        <w:rPr>
          <w:rFonts w:hint="eastAsia" w:ascii="宋体" w:hAnsi="宋体" w:eastAsia="宋体" w:cs="宋体"/>
          <w:b/>
          <w:bCs/>
          <w:color w:val="auto"/>
          <w:sz w:val="21"/>
          <w:szCs w:val="21"/>
          <w:highlight w:val="none"/>
          <w:u w:val="single"/>
        </w:rPr>
        <w:t xml:space="preserve">     </w:t>
      </w:r>
      <w:r>
        <w:rPr>
          <w:rFonts w:hint="eastAsia" w:ascii="宋体" w:hAnsi="宋体" w:cs="宋体"/>
          <w:color w:val="auto"/>
          <w:sz w:val="21"/>
          <w:szCs w:val="21"/>
          <w:highlight w:val="none"/>
          <w:lang w:val="en-US" w:eastAsia="zh-CN"/>
        </w:rPr>
        <w:t>，证书名称：</w:t>
      </w:r>
      <w:r>
        <w:rPr>
          <w:rFonts w:hint="eastAsia" w:ascii="宋体" w:hAnsi="宋体" w:eastAsia="宋体" w:cs="宋体"/>
          <w:b/>
          <w:bCs/>
          <w:color w:val="auto"/>
          <w:sz w:val="21"/>
          <w:szCs w:val="21"/>
          <w:highlight w:val="none"/>
          <w:u w:val="single"/>
        </w:rPr>
        <w:t xml:space="preserve">     </w:t>
      </w:r>
      <w:r>
        <w:rPr>
          <w:rFonts w:hint="eastAsia" w:ascii="宋体" w:hAnsi="宋体" w:eastAsia="宋体" w:cs="宋体"/>
          <w:b/>
          <w:bCs/>
          <w:color w:val="auto"/>
          <w:sz w:val="21"/>
          <w:szCs w:val="21"/>
          <w:highlight w:val="none"/>
          <w:u w:val="single"/>
          <w:lang w:val="en-US" w:eastAsia="zh-CN"/>
        </w:rPr>
        <w:t xml:space="preserve">  ；</w:t>
      </w:r>
      <w:r>
        <w:rPr>
          <w:rFonts w:hint="eastAsia" w:ascii="宋体" w:hAnsi="宋体" w:cs="宋体"/>
          <w:color w:val="auto"/>
          <w:sz w:val="21"/>
          <w:szCs w:val="21"/>
          <w:highlight w:val="none"/>
          <w:lang w:val="en-US" w:eastAsia="zh-CN"/>
        </w:rPr>
        <w:t>技术人员名字：</w:t>
      </w:r>
      <w:r>
        <w:rPr>
          <w:rFonts w:hint="eastAsia" w:ascii="宋体" w:hAnsi="宋体" w:eastAsia="宋体" w:cs="宋体"/>
          <w:b/>
          <w:bCs/>
          <w:color w:val="auto"/>
          <w:sz w:val="21"/>
          <w:szCs w:val="21"/>
          <w:highlight w:val="none"/>
          <w:u w:val="single"/>
        </w:rPr>
        <w:t xml:space="preserve">     </w:t>
      </w:r>
      <w:r>
        <w:rPr>
          <w:rFonts w:hint="eastAsia" w:ascii="宋体" w:hAnsi="宋体" w:cs="宋体"/>
          <w:color w:val="auto"/>
          <w:sz w:val="21"/>
          <w:szCs w:val="21"/>
          <w:highlight w:val="none"/>
          <w:lang w:val="en-US" w:eastAsia="zh-CN"/>
        </w:rPr>
        <w:t>，证书名称：</w:t>
      </w:r>
      <w:r>
        <w:rPr>
          <w:rFonts w:hint="eastAsia" w:ascii="宋体" w:hAnsi="宋体" w:eastAsia="宋体" w:cs="宋体"/>
          <w:b/>
          <w:bCs/>
          <w:color w:val="auto"/>
          <w:sz w:val="21"/>
          <w:szCs w:val="21"/>
          <w:highlight w:val="none"/>
          <w:u w:val="single"/>
        </w:rPr>
        <w:t xml:space="preserve">     </w:t>
      </w:r>
      <w:r>
        <w:rPr>
          <w:rFonts w:hint="eastAsia" w:ascii="宋体" w:hAnsi="宋体" w:eastAsia="宋体" w:cs="宋体"/>
          <w:b/>
          <w:bCs/>
          <w:color w:val="auto"/>
          <w:sz w:val="21"/>
          <w:szCs w:val="21"/>
          <w:highlight w:val="none"/>
          <w:u w:val="single"/>
          <w:lang w:val="en-US" w:eastAsia="zh-CN"/>
        </w:rPr>
        <w:t xml:space="preserve">  </w:t>
      </w:r>
      <w:r>
        <w:rPr>
          <w:rFonts w:hint="eastAsia" w:ascii="宋体" w:hAnsi="宋体" w:cs="宋体"/>
          <w:color w:val="auto"/>
          <w:sz w:val="21"/>
          <w:szCs w:val="21"/>
          <w:highlight w:val="none"/>
          <w:lang w:val="en-US" w:eastAsia="zh-CN"/>
        </w:rPr>
        <w:t>。</w:t>
      </w:r>
    </w:p>
    <w:p w14:paraId="647E771D">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10.</w:t>
      </w:r>
      <w:r>
        <w:rPr>
          <w:rFonts w:hint="eastAsia" w:ascii="宋体" w:hAnsi="宋体" w:eastAsia="宋体" w:cs="宋体"/>
          <w:color w:val="auto"/>
          <w:sz w:val="21"/>
          <w:szCs w:val="21"/>
          <w:highlight w:val="none"/>
        </w:rPr>
        <w:t>本项目乙方</w:t>
      </w:r>
      <w:r>
        <w:rPr>
          <w:rFonts w:hint="eastAsia" w:ascii="宋体" w:hAnsi="宋体" w:cs="宋体"/>
          <w:color w:val="auto"/>
          <w:sz w:val="21"/>
          <w:szCs w:val="21"/>
          <w:highlight w:val="none"/>
          <w:lang w:val="en-US" w:eastAsia="zh-CN"/>
        </w:rPr>
        <w:t>授权代表</w:t>
      </w:r>
      <w:r>
        <w:rPr>
          <w:rFonts w:hint="eastAsia" w:ascii="宋体" w:hAnsi="宋体" w:eastAsia="宋体" w:cs="宋体"/>
          <w:color w:val="auto"/>
          <w:sz w:val="21"/>
          <w:szCs w:val="21"/>
          <w:highlight w:val="none"/>
        </w:rPr>
        <w:t>为：</w:t>
      </w:r>
      <w:r>
        <w:rPr>
          <w:rFonts w:hint="eastAsia" w:ascii="宋体" w:hAnsi="宋体" w:eastAsia="宋体" w:cs="宋体"/>
          <w:color w:val="auto"/>
          <w:sz w:val="21"/>
          <w:szCs w:val="21"/>
          <w:highlight w:val="none"/>
          <w:u w:val="single"/>
        </w:rPr>
        <w:t xml:space="preserve"> </w:t>
      </w:r>
      <w:r>
        <w:rPr>
          <w:rFonts w:hint="eastAsia" w:ascii="宋体" w:hAnsi="宋体" w:eastAsia="宋体" w:cs="宋体"/>
          <w:b/>
          <w:bCs/>
          <w:color w:val="auto"/>
          <w:sz w:val="21"/>
          <w:szCs w:val="21"/>
          <w:highlight w:val="none"/>
          <w:u w:val="single"/>
        </w:rPr>
        <w:t xml:space="preserve">          </w:t>
      </w:r>
      <w:r>
        <w:rPr>
          <w:rFonts w:hint="eastAsia" w:ascii="宋体" w:hAnsi="宋体" w:eastAsia="宋体" w:cs="宋体"/>
          <w:color w:val="auto"/>
          <w:sz w:val="21"/>
          <w:szCs w:val="21"/>
          <w:highlight w:val="none"/>
        </w:rPr>
        <w:t xml:space="preserve">  （联系电话</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 xml:space="preserve"> </w:t>
      </w:r>
      <w:r>
        <w:rPr>
          <w:rFonts w:hint="eastAsia" w:ascii="宋体" w:hAnsi="宋体" w:eastAsia="宋体" w:cs="宋体"/>
          <w:color w:val="auto"/>
          <w:sz w:val="21"/>
          <w:szCs w:val="21"/>
          <w:highlight w:val="none"/>
          <w:u w:val="single"/>
        </w:rPr>
        <w:t xml:space="preserve">  </w:t>
      </w:r>
      <w:r>
        <w:rPr>
          <w:rFonts w:hint="eastAsia" w:ascii="宋体" w:hAnsi="宋体" w:eastAsia="宋体" w:cs="宋体"/>
          <w:b/>
          <w:bCs/>
          <w:color w:val="auto"/>
          <w:sz w:val="21"/>
          <w:szCs w:val="21"/>
          <w:highlight w:val="none"/>
          <w:u w:val="single"/>
        </w:rPr>
        <w:t xml:space="preserve">              </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 xml:space="preserve">  身份证号码：</w:t>
      </w:r>
      <w:r>
        <w:rPr>
          <w:rFonts w:hint="eastAsia" w:ascii="宋体" w:hAnsi="宋体" w:eastAsia="宋体" w:cs="宋体"/>
          <w:color w:val="auto"/>
          <w:sz w:val="21"/>
          <w:szCs w:val="21"/>
          <w:highlight w:val="none"/>
          <w:u w:val="single"/>
        </w:rPr>
        <w:t xml:space="preserve"> </w:t>
      </w:r>
      <w:r>
        <w:rPr>
          <w:rFonts w:hint="eastAsia" w:ascii="宋体" w:hAnsi="宋体" w:eastAsia="宋体" w:cs="宋体"/>
          <w:b/>
          <w:bCs/>
          <w:color w:val="auto"/>
          <w:sz w:val="21"/>
          <w:szCs w:val="21"/>
          <w:highlight w:val="none"/>
          <w:u w:val="single"/>
        </w:rPr>
        <w:t xml:space="preserve">                                   </w:t>
      </w:r>
      <w:r>
        <w:rPr>
          <w:rFonts w:hint="eastAsia" w:ascii="宋体" w:hAnsi="宋体" w:eastAsia="宋体" w:cs="宋体"/>
          <w:color w:val="auto"/>
          <w:sz w:val="21"/>
          <w:szCs w:val="21"/>
          <w:highlight w:val="none"/>
        </w:rPr>
        <w:t>），</w:t>
      </w:r>
      <w:r>
        <w:rPr>
          <w:rFonts w:hint="eastAsia" w:ascii="宋体" w:hAnsi="宋体" w:cs="宋体"/>
          <w:color w:val="auto"/>
          <w:sz w:val="21"/>
          <w:szCs w:val="21"/>
          <w:highlight w:val="none"/>
          <w:lang w:val="en-US" w:eastAsia="zh-CN"/>
        </w:rPr>
        <w:t>该</w:t>
      </w:r>
      <w:r>
        <w:rPr>
          <w:rFonts w:hint="eastAsia" w:ascii="宋体" w:hAnsi="宋体" w:eastAsia="宋体" w:cs="宋体"/>
          <w:color w:val="auto"/>
          <w:sz w:val="21"/>
          <w:szCs w:val="21"/>
          <w:highlight w:val="none"/>
        </w:rPr>
        <w:t>授权</w:t>
      </w:r>
      <w:r>
        <w:rPr>
          <w:rFonts w:hint="eastAsia" w:ascii="宋体" w:hAnsi="宋体" w:cs="宋体"/>
          <w:color w:val="auto"/>
          <w:sz w:val="21"/>
          <w:szCs w:val="21"/>
          <w:highlight w:val="none"/>
          <w:lang w:val="en-US" w:eastAsia="zh-CN"/>
        </w:rPr>
        <w:t>代表</w:t>
      </w:r>
      <w:r>
        <w:rPr>
          <w:rFonts w:hint="eastAsia" w:ascii="宋体" w:hAnsi="宋体" w:eastAsia="宋体" w:cs="宋体"/>
          <w:color w:val="auto"/>
          <w:sz w:val="21"/>
          <w:szCs w:val="21"/>
          <w:highlight w:val="none"/>
        </w:rPr>
        <w:t>全权处理与本项目相关的一切事务。</w:t>
      </w:r>
    </w:p>
    <w:p w14:paraId="30C09AC8">
      <w:pPr>
        <w:spacing w:line="400" w:lineRule="exact"/>
        <w:ind w:firstLine="420" w:firstLineChars="200"/>
        <w:rPr>
          <w:rFonts w:hint="eastAsia" w:ascii="宋体" w:hAnsi="宋体" w:eastAsia="宋体" w:cs="宋体"/>
          <w:color w:val="auto"/>
          <w:sz w:val="21"/>
          <w:szCs w:val="21"/>
          <w:highlight w:val="none"/>
          <w:lang w:eastAsia="zh-CN"/>
        </w:rPr>
      </w:pPr>
      <w:r>
        <w:rPr>
          <w:rFonts w:hint="eastAsia" w:ascii="宋体" w:hAnsi="宋体" w:cs="宋体"/>
          <w:color w:val="auto"/>
          <w:sz w:val="21"/>
          <w:szCs w:val="21"/>
          <w:highlight w:val="none"/>
          <w:lang w:eastAsia="zh-CN"/>
        </w:rPr>
        <w:t>11.</w:t>
      </w:r>
      <w:r>
        <w:rPr>
          <w:rFonts w:hint="eastAsia" w:ascii="宋体" w:hAnsi="宋体" w:eastAsia="宋体" w:cs="宋体"/>
          <w:color w:val="auto"/>
          <w:sz w:val="21"/>
          <w:szCs w:val="21"/>
          <w:highlight w:val="none"/>
        </w:rPr>
        <w:t>委托电梯保养服务物业项目的物业管理工作不再由甲方负责时，则本合同解除，甲方无需负任何责任，乙方不得向甲方索赔</w:t>
      </w:r>
      <w:r>
        <w:rPr>
          <w:rFonts w:hint="eastAsia" w:ascii="宋体" w:hAnsi="宋体" w:cs="宋体"/>
          <w:color w:val="auto"/>
          <w:sz w:val="21"/>
          <w:szCs w:val="21"/>
          <w:highlight w:val="none"/>
          <w:lang w:eastAsia="zh-CN"/>
        </w:rPr>
        <w:t>。</w:t>
      </w:r>
    </w:p>
    <w:p w14:paraId="3FD577ED">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12.</w:t>
      </w:r>
      <w:r>
        <w:rPr>
          <w:rFonts w:hint="eastAsia" w:ascii="宋体" w:hAnsi="宋体" w:eastAsia="宋体" w:cs="宋体"/>
          <w:color w:val="auto"/>
          <w:sz w:val="21"/>
          <w:szCs w:val="21"/>
          <w:highlight w:val="none"/>
        </w:rPr>
        <w:t>乙方员工上班期间需无条件服从甲方安排，若乙方工作人员不服从甲方工作人员工作安排，或与甲方员工发生争吵的，扣除当月电梯保养服务费的</w:t>
      </w: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0%</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与甲方员工发生打架斗殴行为扣除当月服务费的30%。</w:t>
      </w:r>
    </w:p>
    <w:p w14:paraId="5828207B">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13.</w:t>
      </w:r>
      <w:r>
        <w:rPr>
          <w:rFonts w:hint="eastAsia" w:ascii="宋体" w:hAnsi="宋体" w:eastAsia="宋体" w:cs="宋体"/>
          <w:color w:val="auto"/>
          <w:sz w:val="21"/>
          <w:szCs w:val="21"/>
          <w:highlight w:val="none"/>
        </w:rPr>
        <w:t>乙方工作人员在工作期间与甲方顾客发生争吵，扣除当月电梯保养</w:t>
      </w:r>
      <w:r>
        <w:rPr>
          <w:rFonts w:hint="eastAsia" w:ascii="宋体" w:hAnsi="宋体" w:cs="宋体"/>
          <w:color w:val="auto"/>
          <w:sz w:val="21"/>
          <w:szCs w:val="21"/>
          <w:highlight w:val="none"/>
          <w:lang w:eastAsia="zh-CN"/>
        </w:rPr>
        <w:t>总</w:t>
      </w:r>
      <w:r>
        <w:rPr>
          <w:rFonts w:hint="eastAsia" w:ascii="宋体" w:hAnsi="宋体" w:eastAsia="宋体" w:cs="宋体"/>
          <w:color w:val="auto"/>
          <w:sz w:val="21"/>
          <w:szCs w:val="21"/>
          <w:highlight w:val="none"/>
        </w:rPr>
        <w:t>服务费用的20%，乙方应立刻将该员工调离服务区域；</w:t>
      </w:r>
    </w:p>
    <w:p w14:paraId="17A6E905">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14.</w:t>
      </w:r>
      <w:r>
        <w:rPr>
          <w:rFonts w:hint="eastAsia" w:ascii="宋体" w:hAnsi="宋体" w:eastAsia="宋体" w:cs="宋体"/>
          <w:color w:val="auto"/>
          <w:sz w:val="21"/>
          <w:szCs w:val="21"/>
          <w:highlight w:val="none"/>
        </w:rPr>
        <w:t>乙方每月25日向甲方提供下月《电梯保养工作计划表》，每月5日前提供上月《电梯保养服务质量整改报告》，如未按期扣除当月电梯保养服务费的10%。</w:t>
      </w:r>
    </w:p>
    <w:p w14:paraId="149A9A6F">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15.</w:t>
      </w:r>
      <w:r>
        <w:rPr>
          <w:rFonts w:hint="eastAsia" w:ascii="宋体" w:hAnsi="宋体" w:eastAsia="宋体" w:cs="宋体"/>
          <w:color w:val="auto"/>
          <w:sz w:val="21"/>
          <w:szCs w:val="21"/>
          <w:highlight w:val="none"/>
        </w:rPr>
        <w:t>乙方派驻甲方现场工作人员入</w:t>
      </w:r>
      <w:r>
        <w:rPr>
          <w:rFonts w:hint="eastAsia" w:ascii="宋体" w:hAnsi="宋体" w:cs="宋体"/>
          <w:color w:val="auto"/>
          <w:sz w:val="21"/>
          <w:szCs w:val="21"/>
          <w:highlight w:val="none"/>
          <w:lang w:val="en-US" w:eastAsia="zh-CN"/>
        </w:rPr>
        <w:t>场</w:t>
      </w:r>
      <w:r>
        <w:rPr>
          <w:rFonts w:hint="eastAsia" w:ascii="宋体" w:hAnsi="宋体" w:eastAsia="宋体" w:cs="宋体"/>
          <w:color w:val="auto"/>
          <w:sz w:val="21"/>
          <w:szCs w:val="21"/>
          <w:highlight w:val="none"/>
        </w:rPr>
        <w:t>三天内需将员工个人档案、电梯操作证等报甲方项目备案，逾期每出现1人扣除当月电梯保养服务费10%。</w:t>
      </w:r>
    </w:p>
    <w:p w14:paraId="604255FB">
      <w:pPr>
        <w:spacing w:line="520" w:lineRule="exact"/>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六、违约责任</w:t>
      </w:r>
    </w:p>
    <w:p w14:paraId="0895AFFD">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1.</w:t>
      </w:r>
      <w:r>
        <w:rPr>
          <w:rFonts w:hint="eastAsia" w:ascii="宋体" w:hAnsi="宋体" w:eastAsia="宋体" w:cs="宋体"/>
          <w:color w:val="auto"/>
          <w:sz w:val="21"/>
          <w:szCs w:val="21"/>
          <w:highlight w:val="none"/>
        </w:rPr>
        <w:t>甲方有权督促乙方人员严格执行保养项目，如没有按规定项目进行保养，有权拒签保养报告书中的用户签名。乙方违反本合同规定，不按时保养电梯，或因保养不良造成电梯故障时须负责无偿修复。情况严重时，甲方应书面向乙方提出警告，如仍不改进，甲方有权终止合同，乙方须赔偿由此而造成甲方的经济损失，并承担因此导致的人员伤害责任。如乙方未按要求时间修复的，甲方除直接扣除全部修复及损失费用外，乙方还需支付当月维保费用10%的作为违约金。</w:t>
      </w:r>
    </w:p>
    <w:p w14:paraId="70C8F4E1">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rPr>
        <w:t>乙方不按合同约定进行电梯维护保养，或甲方有三次以上对乙方的电梯保养有书面的不满意见时或发生电梯安全事故造成人员人身损害或伤亡时，甲方有权随时终止合同，并有权另行委托其他第三方对电梯进行维修保养，而且要求乙方支付合同总额的20%作为违约金。</w:t>
      </w:r>
    </w:p>
    <w:p w14:paraId="2E275777">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3.</w:t>
      </w:r>
      <w:r>
        <w:rPr>
          <w:rFonts w:hint="eastAsia" w:ascii="宋体" w:hAnsi="宋体" w:eastAsia="宋体" w:cs="宋体"/>
          <w:color w:val="auto"/>
          <w:sz w:val="21"/>
          <w:szCs w:val="21"/>
          <w:highlight w:val="none"/>
        </w:rPr>
        <w:t>电梯故障维修分为小修（急修）、中修、大修三类。一般小修（急修）应在甲方人员报告后当日的2－6小时内解决；中修应在接甲方人员报告后1－3天内解决；大修应在接甲方人员报告后最迟不超过6天内解决，如乙方未能按规定时限内完成维修，甲方可邀请第三方公司进行维修，产生的维修费、配件费及导致的损失直接从乙方当月维保费用中扣除，如确有困难乙方可在经甲方同意后，适当延长时限，否则甲方有权对乙方作出扣除故障电梯当月维保金总额的20％处理。</w:t>
      </w:r>
    </w:p>
    <w:p w14:paraId="15129346">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4.</w:t>
      </w:r>
      <w:r>
        <w:rPr>
          <w:rFonts w:hint="eastAsia" w:ascii="宋体" w:hAnsi="宋体" w:eastAsia="宋体" w:cs="宋体"/>
          <w:color w:val="auto"/>
          <w:sz w:val="21"/>
          <w:szCs w:val="21"/>
          <w:highlight w:val="none"/>
        </w:rPr>
        <w:t>因电梯保养原因导致电梯检验检测不合格的，乙方应当承担电梯复验费用。</w:t>
      </w:r>
    </w:p>
    <w:p w14:paraId="16CFE968">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5.</w:t>
      </w:r>
      <w:r>
        <w:rPr>
          <w:rFonts w:hint="eastAsia" w:ascii="宋体" w:hAnsi="宋体" w:eastAsia="宋体" w:cs="宋体"/>
          <w:color w:val="auto"/>
          <w:sz w:val="21"/>
          <w:szCs w:val="21"/>
          <w:highlight w:val="none"/>
        </w:rPr>
        <w:t>因电梯保养原因导致人身伤亡或设备损坏、丢失的，以及因电梯故障造成的人员伤亡等，由乙方承担全部责任。</w:t>
      </w:r>
    </w:p>
    <w:p w14:paraId="379C24B2">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6.</w:t>
      </w:r>
      <w:r>
        <w:rPr>
          <w:rFonts w:hint="eastAsia" w:ascii="宋体" w:hAnsi="宋体" w:eastAsia="宋体" w:cs="宋体"/>
          <w:color w:val="auto"/>
          <w:sz w:val="21"/>
          <w:szCs w:val="21"/>
          <w:highlight w:val="none"/>
        </w:rPr>
        <w:t>乙方人员发生安全事故乙方应及时</w:t>
      </w:r>
      <w:r>
        <w:rPr>
          <w:rFonts w:hint="eastAsia" w:ascii="宋体" w:hAnsi="宋体" w:cs="宋体"/>
          <w:color w:val="auto"/>
          <w:sz w:val="21"/>
          <w:szCs w:val="21"/>
          <w:highlight w:val="none"/>
          <w:lang w:val="en-US" w:eastAsia="zh-CN"/>
        </w:rPr>
        <w:t>且</w:t>
      </w:r>
      <w:r>
        <w:rPr>
          <w:rFonts w:hint="eastAsia" w:ascii="宋体" w:hAnsi="宋体" w:eastAsia="宋体" w:cs="宋体"/>
          <w:color w:val="auto"/>
          <w:sz w:val="21"/>
          <w:szCs w:val="21"/>
          <w:highlight w:val="none"/>
        </w:rPr>
        <w:t>妥善解决，否则</w:t>
      </w:r>
      <w:r>
        <w:rPr>
          <w:rFonts w:hint="eastAsia" w:ascii="宋体" w:hAnsi="宋体" w:cs="宋体"/>
          <w:color w:val="auto"/>
          <w:sz w:val="21"/>
          <w:szCs w:val="21"/>
          <w:highlight w:val="none"/>
          <w:lang w:val="en-US" w:eastAsia="zh-CN"/>
        </w:rPr>
        <w:t>须</w:t>
      </w:r>
      <w:r>
        <w:rPr>
          <w:rFonts w:hint="eastAsia" w:ascii="宋体" w:hAnsi="宋体" w:eastAsia="宋体" w:cs="宋体"/>
          <w:color w:val="auto"/>
          <w:sz w:val="21"/>
          <w:szCs w:val="21"/>
          <w:highlight w:val="none"/>
        </w:rPr>
        <w:t>乙方按合同总金额的15%支付违约金</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如由此</w:t>
      </w:r>
      <w:r>
        <w:rPr>
          <w:rFonts w:hint="eastAsia" w:ascii="宋体" w:hAnsi="宋体" w:eastAsia="宋体" w:cs="宋体"/>
          <w:color w:val="auto"/>
          <w:sz w:val="21"/>
          <w:szCs w:val="21"/>
          <w:highlight w:val="none"/>
        </w:rPr>
        <w:t>导致甲方</w:t>
      </w:r>
      <w:r>
        <w:rPr>
          <w:rFonts w:hint="eastAsia" w:ascii="宋体" w:hAnsi="宋体" w:cs="宋体"/>
          <w:color w:val="auto"/>
          <w:sz w:val="21"/>
          <w:szCs w:val="21"/>
          <w:highlight w:val="none"/>
          <w:lang w:val="en-US" w:eastAsia="zh-CN"/>
        </w:rPr>
        <w:t>需</w:t>
      </w:r>
      <w:r>
        <w:rPr>
          <w:rFonts w:hint="eastAsia" w:ascii="宋体" w:hAnsi="宋体" w:eastAsia="宋体" w:cs="宋体"/>
          <w:color w:val="auto"/>
          <w:sz w:val="21"/>
          <w:szCs w:val="21"/>
          <w:highlight w:val="none"/>
        </w:rPr>
        <w:t>垫付赔偿款项的，甲方有权从应付合同款中扣除或要求乙方返还，且乙方须按合同金额的30%支付违约金。</w:t>
      </w:r>
    </w:p>
    <w:p w14:paraId="61A5E89A">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7.</w:t>
      </w:r>
      <w:r>
        <w:rPr>
          <w:rFonts w:hint="eastAsia" w:ascii="宋体" w:hAnsi="宋体" w:eastAsia="宋体" w:cs="宋体"/>
          <w:color w:val="auto"/>
          <w:sz w:val="21"/>
          <w:szCs w:val="21"/>
          <w:highlight w:val="none"/>
        </w:rPr>
        <w:t>合同履行中发生的任何争议，双方应通过协商方式解决，若通过协商方式无法解决的，应通过法律途径解决；乙方不得采用组织员工上访、围攻甲方等非法方式，否则视为乙方严重违约，甲方有权单方解除合同，乙方按合同总金额的30%向甲方承担违约责任。</w:t>
      </w:r>
    </w:p>
    <w:p w14:paraId="1AF311D0">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8.</w:t>
      </w:r>
      <w:r>
        <w:rPr>
          <w:rFonts w:hint="eastAsia" w:ascii="宋体" w:hAnsi="宋体" w:eastAsia="宋体" w:cs="宋体"/>
          <w:color w:val="auto"/>
          <w:sz w:val="21"/>
          <w:szCs w:val="21"/>
          <w:highlight w:val="none"/>
        </w:rPr>
        <w:t>因乙方违约而应向甲方支付的违约金或其他损失赔偿的款项，甲方有权从应付项目款项或质量保证金中直接扣除，不够抵扣的，乙方应</w:t>
      </w:r>
      <w:r>
        <w:rPr>
          <w:rFonts w:hint="eastAsia" w:ascii="宋体" w:hAnsi="宋体" w:cs="宋体"/>
          <w:color w:val="auto"/>
          <w:sz w:val="21"/>
          <w:szCs w:val="21"/>
          <w:highlight w:val="none"/>
          <w:lang w:eastAsia="zh-CN"/>
        </w:rPr>
        <w:t>按</w:t>
      </w:r>
      <w:r>
        <w:rPr>
          <w:rFonts w:hint="eastAsia" w:ascii="宋体" w:hAnsi="宋体" w:eastAsia="宋体" w:cs="宋体"/>
          <w:color w:val="auto"/>
          <w:sz w:val="21"/>
          <w:szCs w:val="21"/>
          <w:highlight w:val="none"/>
        </w:rPr>
        <w:t>时向甲方偿付。</w:t>
      </w:r>
    </w:p>
    <w:p w14:paraId="11397ADD">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9.</w:t>
      </w:r>
      <w:r>
        <w:rPr>
          <w:rFonts w:hint="eastAsia" w:ascii="宋体" w:hAnsi="宋体" w:eastAsia="宋体" w:cs="宋体"/>
          <w:color w:val="auto"/>
          <w:sz w:val="21"/>
          <w:szCs w:val="21"/>
          <w:highlight w:val="none"/>
        </w:rPr>
        <w:t>因乙方发生任何违约行为或合同履约评定为不合格的，甲方将把乙方列入黑名单，禁止参加甲方所有新项目的招投标或其他方式的采购活动。</w:t>
      </w:r>
    </w:p>
    <w:p w14:paraId="2C258BF8">
      <w:pPr>
        <w:spacing w:line="600" w:lineRule="exact"/>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lang w:eastAsia="zh-CN"/>
        </w:rPr>
        <w:t>七</w:t>
      </w:r>
      <w:r>
        <w:rPr>
          <w:rFonts w:hint="eastAsia" w:ascii="宋体" w:hAnsi="宋体" w:eastAsia="宋体" w:cs="宋体"/>
          <w:b/>
          <w:color w:val="auto"/>
          <w:sz w:val="21"/>
          <w:szCs w:val="21"/>
          <w:highlight w:val="none"/>
        </w:rPr>
        <w:t>、仲裁、起诉</w:t>
      </w:r>
    </w:p>
    <w:p w14:paraId="1F5E5522">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本合同如有争议。应由甲、乙双方协商解决，如调解不成，任何一方可向甲方所在地东莞市人民法院起诉。守约方为解决争议所支出的诉讼费、保全费、保险费、律师费等费用由违约方承担。</w:t>
      </w:r>
    </w:p>
    <w:p w14:paraId="3A758B45">
      <w:pPr>
        <w:spacing w:line="600" w:lineRule="exact"/>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lang w:eastAsia="zh-CN"/>
        </w:rPr>
        <w:t>八</w:t>
      </w:r>
      <w:r>
        <w:rPr>
          <w:rFonts w:hint="eastAsia" w:ascii="宋体" w:hAnsi="宋体" w:eastAsia="宋体" w:cs="宋体"/>
          <w:b/>
          <w:color w:val="auto"/>
          <w:sz w:val="21"/>
          <w:szCs w:val="21"/>
          <w:highlight w:val="none"/>
        </w:rPr>
        <w:t>、其他约定事项：</w:t>
      </w:r>
    </w:p>
    <w:p w14:paraId="27031DD2">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1.</w:t>
      </w:r>
      <w:r>
        <w:rPr>
          <w:rFonts w:hint="eastAsia" w:ascii="宋体" w:hAnsi="宋体" w:eastAsia="宋体" w:cs="宋体"/>
          <w:color w:val="auto"/>
          <w:sz w:val="21"/>
          <w:szCs w:val="21"/>
          <w:highlight w:val="none"/>
        </w:rPr>
        <w:t>乙方应免费为甲方相关技术人员提供技术培训。乙方应免费配合甲方每年2次的消防演练。</w:t>
      </w:r>
    </w:p>
    <w:p w14:paraId="41C768C1">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2.</w:t>
      </w:r>
      <w:r>
        <w:rPr>
          <w:rFonts w:hint="eastAsia" w:ascii="宋体" w:hAnsi="宋体" w:eastAsia="宋体" w:cs="宋体"/>
          <w:color w:val="auto"/>
          <w:sz w:val="21"/>
          <w:szCs w:val="21"/>
          <w:highlight w:val="none"/>
        </w:rPr>
        <w:t>甲方严禁自己的任何员工接受乙方的礼品、娱乐性招待、金钱或其他形式的馈赠。乙方不得有任何馈赠或贿赂甲方人员的行为，否则，甲方视为乙方违约，并有权立即解除本合同。</w:t>
      </w:r>
    </w:p>
    <w:p w14:paraId="2C0A7BF6">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3.</w:t>
      </w:r>
      <w:r>
        <w:rPr>
          <w:rFonts w:hint="eastAsia" w:ascii="宋体" w:hAnsi="宋体" w:eastAsia="宋体" w:cs="宋体"/>
          <w:color w:val="auto"/>
          <w:sz w:val="21"/>
          <w:szCs w:val="21"/>
          <w:highlight w:val="none"/>
        </w:rPr>
        <w:t>维护保养记录是记载电梯运行、维护、保养的依据。每台电梯均应当建立独立的维护保养记录。维护保养记录应当一式两份，甲乙双方各保存一份，保存时间为2 年。普通维修、重大维修、改造协议与抢修记录均应当与维护保养记录一并保存。</w:t>
      </w:r>
    </w:p>
    <w:p w14:paraId="6F6B7E06">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4.</w:t>
      </w:r>
      <w:r>
        <w:rPr>
          <w:rFonts w:hint="eastAsia" w:ascii="宋体" w:hAnsi="宋体" w:eastAsia="宋体" w:cs="宋体"/>
          <w:color w:val="auto"/>
          <w:sz w:val="21"/>
          <w:szCs w:val="21"/>
          <w:highlight w:val="none"/>
        </w:rPr>
        <w:t>合同</w:t>
      </w:r>
      <w:r>
        <w:rPr>
          <w:rFonts w:hint="eastAsia" w:ascii="宋体" w:hAnsi="宋体" w:eastAsia="宋体" w:cs="宋体"/>
          <w:color w:val="auto"/>
          <w:sz w:val="21"/>
          <w:szCs w:val="21"/>
          <w:highlight w:val="none"/>
          <w:u w:val="single"/>
        </w:rPr>
        <w:t xml:space="preserve"> 1 </w:t>
      </w:r>
      <w:r>
        <w:rPr>
          <w:rFonts w:hint="eastAsia" w:ascii="宋体" w:hAnsi="宋体" w:eastAsia="宋体" w:cs="宋体"/>
          <w:color w:val="auto"/>
          <w:sz w:val="21"/>
          <w:szCs w:val="21"/>
          <w:highlight w:val="none"/>
        </w:rPr>
        <w:t>式</w:t>
      </w:r>
      <w:r>
        <w:rPr>
          <w:rFonts w:hint="eastAsia" w:ascii="宋体" w:hAnsi="宋体" w:eastAsia="宋体" w:cs="宋体"/>
          <w:color w:val="auto"/>
          <w:sz w:val="21"/>
          <w:szCs w:val="21"/>
          <w:highlight w:val="none"/>
          <w:u w:val="single"/>
        </w:rPr>
        <w:t xml:space="preserve">  </w:t>
      </w:r>
      <w:r>
        <w:rPr>
          <w:rFonts w:hint="eastAsia" w:ascii="宋体" w:hAnsi="宋体" w:cs="宋体"/>
          <w:color w:val="auto"/>
          <w:sz w:val="21"/>
          <w:szCs w:val="21"/>
          <w:highlight w:val="none"/>
          <w:u w:val="single"/>
          <w:lang w:val="en-US" w:eastAsia="zh-CN"/>
        </w:rPr>
        <w:t>4</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份，甲执</w:t>
      </w:r>
      <w:r>
        <w:rPr>
          <w:rFonts w:hint="eastAsia" w:ascii="宋体" w:hAnsi="宋体" w:eastAsia="宋体" w:cs="宋体"/>
          <w:color w:val="auto"/>
          <w:sz w:val="21"/>
          <w:szCs w:val="21"/>
          <w:highlight w:val="none"/>
          <w:u w:val="single"/>
        </w:rPr>
        <w:t xml:space="preserve">  2  </w:t>
      </w:r>
      <w:r>
        <w:rPr>
          <w:rFonts w:hint="eastAsia" w:ascii="宋体" w:hAnsi="宋体" w:eastAsia="宋体" w:cs="宋体"/>
          <w:color w:val="auto"/>
          <w:sz w:val="21"/>
          <w:szCs w:val="21"/>
          <w:highlight w:val="none"/>
        </w:rPr>
        <w:t>份、乙方执</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u w:val="single"/>
          <w:lang w:val="en-US" w:eastAsia="zh-CN"/>
        </w:rPr>
        <w:t>2</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份</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每份均具有同等法律效力。</w:t>
      </w:r>
    </w:p>
    <w:p w14:paraId="5371FAB2">
      <w:pPr>
        <w:spacing w:line="400" w:lineRule="exact"/>
        <w:ind w:firstLine="420" w:firstLineChars="200"/>
        <w:rPr>
          <w:rFonts w:hint="eastAsia" w:ascii="宋体" w:hAnsi="宋体" w:eastAsia="宋体" w:cs="宋体"/>
          <w:color w:val="auto"/>
          <w:sz w:val="21"/>
          <w:szCs w:val="21"/>
          <w:highlight w:val="none"/>
        </w:rPr>
      </w:pPr>
    </w:p>
    <w:p w14:paraId="5335E836">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附件（共4件）：</w:t>
      </w:r>
    </w:p>
    <w:p w14:paraId="72F9C8B4">
      <w:pPr>
        <w:spacing w:line="400" w:lineRule="exact"/>
        <w:ind w:firstLine="840" w:firstLineChars="4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附件一《保养计划》和《保养项目表》</w:t>
      </w:r>
    </w:p>
    <w:p w14:paraId="5DB8E165">
      <w:pPr>
        <w:spacing w:line="400" w:lineRule="exact"/>
        <w:ind w:firstLine="840" w:firstLineChars="4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附件二《服务质量检验标准及评分细则（电梯保养工作适用）》</w:t>
      </w:r>
    </w:p>
    <w:p w14:paraId="7FE0946B">
      <w:pPr>
        <w:spacing w:line="400" w:lineRule="exact"/>
        <w:ind w:firstLine="840" w:firstLineChars="4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附件三《施工安全承诺书》</w:t>
      </w:r>
    </w:p>
    <w:p w14:paraId="005547D5">
      <w:pPr>
        <w:spacing w:line="400" w:lineRule="exact"/>
        <w:ind w:firstLine="840" w:firstLineChars="4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附件四：阳光合作协议</w:t>
      </w:r>
    </w:p>
    <w:p w14:paraId="62ABD342">
      <w:pP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 xml:space="preserve">     </w:t>
      </w:r>
    </w:p>
    <w:p w14:paraId="55A44B43">
      <w:pPr>
        <w:rPr>
          <w:rFonts w:hint="eastAsia" w:ascii="宋体" w:hAnsi="宋体" w:eastAsia="宋体" w:cs="宋体"/>
          <w:b/>
          <w:color w:val="auto"/>
          <w:sz w:val="21"/>
          <w:szCs w:val="21"/>
          <w:highlight w:val="none"/>
        </w:rPr>
      </w:pPr>
    </w:p>
    <w:p w14:paraId="34D5B719">
      <w:pP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 xml:space="preserve">甲方（盖章）：广东东鸿物业发展有限公司          乙方（盖章）： </w:t>
      </w:r>
    </w:p>
    <w:p w14:paraId="2C820355">
      <w:pPr>
        <w:rPr>
          <w:rFonts w:hint="eastAsia" w:ascii="宋体" w:hAnsi="宋体" w:eastAsia="宋体" w:cs="宋体"/>
          <w:b/>
          <w:color w:val="auto"/>
          <w:sz w:val="21"/>
          <w:szCs w:val="21"/>
          <w:highlight w:val="none"/>
        </w:rPr>
      </w:pPr>
    </w:p>
    <w:p w14:paraId="693C0ACA">
      <w:pP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法定代表</w:t>
      </w:r>
      <w:r>
        <w:rPr>
          <w:rFonts w:hint="eastAsia" w:ascii="宋体" w:hAnsi="宋体" w:cs="宋体"/>
          <w:b/>
          <w:color w:val="auto"/>
          <w:sz w:val="21"/>
          <w:szCs w:val="21"/>
          <w:highlight w:val="none"/>
          <w:lang w:eastAsia="zh-CN"/>
        </w:rPr>
        <w:t>（</w:t>
      </w:r>
      <w:r>
        <w:rPr>
          <w:rFonts w:hint="eastAsia" w:ascii="宋体" w:hAnsi="宋体" w:eastAsia="宋体" w:cs="宋体"/>
          <w:b/>
          <w:color w:val="auto"/>
          <w:sz w:val="21"/>
          <w:szCs w:val="21"/>
          <w:highlight w:val="none"/>
        </w:rPr>
        <w:t>签字</w:t>
      </w:r>
      <w:r>
        <w:rPr>
          <w:rFonts w:hint="eastAsia" w:ascii="宋体" w:hAnsi="宋体" w:cs="宋体"/>
          <w:b/>
          <w:color w:val="auto"/>
          <w:sz w:val="21"/>
          <w:szCs w:val="21"/>
          <w:highlight w:val="none"/>
          <w:lang w:eastAsia="zh-CN"/>
        </w:rPr>
        <w:t>）</w:t>
      </w:r>
      <w:r>
        <w:rPr>
          <w:rFonts w:hint="eastAsia" w:ascii="宋体" w:hAnsi="宋体" w:eastAsia="宋体" w:cs="宋体"/>
          <w:b/>
          <w:color w:val="auto"/>
          <w:sz w:val="21"/>
          <w:szCs w:val="21"/>
          <w:highlight w:val="none"/>
        </w:rPr>
        <w:t>：                               法定代表</w:t>
      </w:r>
      <w:r>
        <w:rPr>
          <w:rFonts w:hint="eastAsia" w:ascii="宋体" w:hAnsi="宋体" w:cs="宋体"/>
          <w:b/>
          <w:color w:val="auto"/>
          <w:sz w:val="21"/>
          <w:szCs w:val="21"/>
          <w:highlight w:val="none"/>
          <w:lang w:eastAsia="zh-CN"/>
        </w:rPr>
        <w:t>（</w:t>
      </w:r>
      <w:r>
        <w:rPr>
          <w:rFonts w:hint="eastAsia" w:ascii="宋体" w:hAnsi="宋体" w:eastAsia="宋体" w:cs="宋体"/>
          <w:b/>
          <w:color w:val="auto"/>
          <w:sz w:val="21"/>
          <w:szCs w:val="21"/>
          <w:highlight w:val="none"/>
        </w:rPr>
        <w:t>签字</w:t>
      </w:r>
      <w:r>
        <w:rPr>
          <w:rFonts w:hint="eastAsia" w:ascii="宋体" w:hAnsi="宋体" w:cs="宋体"/>
          <w:b/>
          <w:color w:val="auto"/>
          <w:sz w:val="21"/>
          <w:szCs w:val="21"/>
          <w:highlight w:val="none"/>
          <w:lang w:eastAsia="zh-CN"/>
        </w:rPr>
        <w:t>）</w:t>
      </w:r>
      <w:r>
        <w:rPr>
          <w:rFonts w:hint="eastAsia" w:ascii="宋体" w:hAnsi="宋体" w:eastAsia="宋体" w:cs="宋体"/>
          <w:b/>
          <w:color w:val="auto"/>
          <w:sz w:val="21"/>
          <w:szCs w:val="21"/>
          <w:highlight w:val="none"/>
        </w:rPr>
        <w:t>：</w:t>
      </w:r>
    </w:p>
    <w:p w14:paraId="25CB8EDD">
      <w:pPr>
        <w:spacing w:line="240" w:lineRule="exact"/>
        <w:ind w:firstLine="632" w:firstLineChars="300"/>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 xml:space="preserve">                                                      </w:t>
      </w:r>
    </w:p>
    <w:p w14:paraId="3D4A6552">
      <w:pP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电话：0769-22889201                            电话：</w:t>
      </w:r>
    </w:p>
    <w:p w14:paraId="74A539D1">
      <w:pPr>
        <w:ind w:firstLine="3479" w:firstLineChars="1650"/>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 xml:space="preserve">              </w:t>
      </w:r>
      <w:r>
        <w:rPr>
          <w:rFonts w:hint="eastAsia" w:ascii="宋体" w:hAnsi="宋体" w:cs="宋体"/>
          <w:b/>
          <w:color w:val="auto"/>
          <w:sz w:val="21"/>
          <w:szCs w:val="21"/>
          <w:highlight w:val="none"/>
          <w:lang w:eastAsia="zh-CN"/>
        </w:rPr>
        <w:t>账户名</w:t>
      </w:r>
      <w:r>
        <w:rPr>
          <w:rFonts w:hint="eastAsia" w:ascii="宋体" w:hAnsi="宋体" w:eastAsia="宋体" w:cs="宋体"/>
          <w:b/>
          <w:color w:val="auto"/>
          <w:sz w:val="21"/>
          <w:szCs w:val="21"/>
          <w:highlight w:val="none"/>
        </w:rPr>
        <w:t>：</w:t>
      </w:r>
    </w:p>
    <w:p w14:paraId="4B079F97">
      <w:pPr>
        <w:spacing w:line="240" w:lineRule="exact"/>
        <w:ind w:firstLine="3689" w:firstLineChars="1750"/>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ab/>
      </w:r>
      <w:r>
        <w:rPr>
          <w:rFonts w:hint="eastAsia" w:ascii="宋体" w:hAnsi="宋体" w:eastAsia="宋体" w:cs="宋体"/>
          <w:b/>
          <w:color w:val="auto"/>
          <w:sz w:val="21"/>
          <w:szCs w:val="21"/>
          <w:highlight w:val="none"/>
        </w:rPr>
        <w:t xml:space="preserve">      开户银行： </w:t>
      </w:r>
    </w:p>
    <w:p w14:paraId="22A1B0A7">
      <w:pPr>
        <w:ind w:firstLine="3373" w:firstLineChars="1600"/>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 xml:space="preserve">               账号：</w:t>
      </w:r>
    </w:p>
    <w:p w14:paraId="2398D858">
      <w:pPr>
        <w:rPr>
          <w:rFonts w:hint="eastAsia" w:ascii="宋体" w:hAnsi="宋体" w:eastAsia="宋体" w:cs="宋体"/>
          <w:b/>
          <w:color w:val="auto"/>
          <w:sz w:val="21"/>
          <w:szCs w:val="21"/>
          <w:highlight w:val="none"/>
        </w:rPr>
      </w:pPr>
    </w:p>
    <w:p w14:paraId="13F8B3BA">
      <w:pPr>
        <w:ind w:firstLine="4427" w:firstLineChars="2100"/>
        <w:rPr>
          <w:rFonts w:hint="eastAsia" w:ascii="宋体" w:hAnsi="宋体" w:eastAsia="宋体" w:cs="宋体"/>
          <w:b/>
          <w:color w:val="auto"/>
          <w:sz w:val="21"/>
          <w:szCs w:val="21"/>
          <w:highlight w:val="none"/>
          <w:u w:val="single"/>
        </w:rPr>
      </w:pPr>
      <w:r>
        <w:rPr>
          <w:rFonts w:hint="eastAsia" w:ascii="宋体" w:hAnsi="宋体" w:eastAsia="宋体" w:cs="宋体"/>
          <w:b/>
          <w:color w:val="auto"/>
          <w:sz w:val="21"/>
          <w:szCs w:val="21"/>
          <w:highlight w:val="none"/>
        </w:rPr>
        <w:t>签约时间：</w:t>
      </w:r>
      <w:r>
        <w:rPr>
          <w:rFonts w:hint="eastAsia" w:ascii="宋体" w:hAnsi="宋体" w:eastAsia="宋体" w:cs="宋体"/>
          <w:b/>
          <w:color w:val="auto"/>
          <w:sz w:val="21"/>
          <w:szCs w:val="21"/>
          <w:highlight w:val="none"/>
          <w:u w:val="single"/>
        </w:rPr>
        <w:t xml:space="preserve">        </w:t>
      </w:r>
      <w:r>
        <w:rPr>
          <w:rFonts w:hint="eastAsia" w:ascii="宋体" w:hAnsi="宋体" w:eastAsia="宋体" w:cs="宋体"/>
          <w:b/>
          <w:color w:val="auto"/>
          <w:sz w:val="21"/>
          <w:szCs w:val="21"/>
          <w:highlight w:val="none"/>
        </w:rPr>
        <w:t>年</w:t>
      </w:r>
      <w:r>
        <w:rPr>
          <w:rFonts w:hint="eastAsia" w:ascii="宋体" w:hAnsi="宋体" w:eastAsia="宋体" w:cs="宋体"/>
          <w:b/>
          <w:color w:val="auto"/>
          <w:sz w:val="21"/>
          <w:szCs w:val="21"/>
          <w:highlight w:val="none"/>
          <w:u w:val="single"/>
        </w:rPr>
        <w:t xml:space="preserve">     </w:t>
      </w:r>
      <w:r>
        <w:rPr>
          <w:rFonts w:hint="eastAsia" w:ascii="宋体" w:hAnsi="宋体" w:eastAsia="宋体" w:cs="宋体"/>
          <w:b/>
          <w:color w:val="auto"/>
          <w:sz w:val="21"/>
          <w:szCs w:val="21"/>
          <w:highlight w:val="none"/>
        </w:rPr>
        <w:t>月</w:t>
      </w:r>
      <w:r>
        <w:rPr>
          <w:rFonts w:hint="eastAsia" w:ascii="宋体" w:hAnsi="宋体" w:eastAsia="宋体" w:cs="宋体"/>
          <w:b/>
          <w:color w:val="auto"/>
          <w:sz w:val="21"/>
          <w:szCs w:val="21"/>
          <w:highlight w:val="none"/>
          <w:u w:val="single"/>
        </w:rPr>
        <w:t xml:space="preserve">      </w:t>
      </w:r>
    </w:p>
    <w:p w14:paraId="563D810D">
      <w:pP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br w:type="page"/>
      </w:r>
    </w:p>
    <w:p w14:paraId="10AA9865">
      <w:pP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附件一：《保养项目表》和《保养计划》</w:t>
      </w:r>
    </w:p>
    <w:p w14:paraId="23634F28">
      <w:pPr>
        <w:spacing w:line="320" w:lineRule="exact"/>
        <w:ind w:firstLine="630" w:firstLineChars="3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（1）半月维保项目（内容）和要求</w:t>
      </w:r>
    </w:p>
    <w:tbl>
      <w:tblPr>
        <w:tblStyle w:val="37"/>
        <w:tblW w:w="5000"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426"/>
        <w:gridCol w:w="3577"/>
        <w:gridCol w:w="4519"/>
      </w:tblGrid>
      <w:tr w14:paraId="40CBA2A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6" w:hRule="atLeast"/>
        </w:trPr>
        <w:tc>
          <w:tcPr>
            <w:tcW w:w="388" w:type="dxa"/>
            <w:noWrap/>
            <w:vAlign w:val="center"/>
          </w:tcPr>
          <w:p w14:paraId="2E354738">
            <w:pPr>
              <w:spacing w:line="360" w:lineRule="exact"/>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序号</w:t>
            </w:r>
          </w:p>
        </w:tc>
        <w:tc>
          <w:tcPr>
            <w:tcW w:w="3594" w:type="dxa"/>
            <w:noWrap/>
            <w:vAlign w:val="center"/>
          </w:tcPr>
          <w:p w14:paraId="15D1000F">
            <w:pPr>
              <w:spacing w:line="360" w:lineRule="exact"/>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维保项目（内容）</w:t>
            </w:r>
          </w:p>
        </w:tc>
        <w:tc>
          <w:tcPr>
            <w:tcW w:w="4540" w:type="dxa"/>
            <w:noWrap/>
            <w:vAlign w:val="center"/>
          </w:tcPr>
          <w:p w14:paraId="4A84F5B7">
            <w:pPr>
              <w:spacing w:line="360" w:lineRule="exact"/>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维保基本要求</w:t>
            </w:r>
          </w:p>
        </w:tc>
      </w:tr>
      <w:tr w14:paraId="2EF7DA9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6" w:hRule="atLeast"/>
        </w:trPr>
        <w:tc>
          <w:tcPr>
            <w:tcW w:w="388" w:type="dxa"/>
            <w:noWrap/>
            <w:vAlign w:val="center"/>
          </w:tcPr>
          <w:p w14:paraId="3407EE98">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3594" w:type="dxa"/>
            <w:noWrap/>
            <w:vAlign w:val="center"/>
          </w:tcPr>
          <w:p w14:paraId="0DFCDE6E">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机房、滑轮间环境</w:t>
            </w:r>
          </w:p>
        </w:tc>
        <w:tc>
          <w:tcPr>
            <w:tcW w:w="4540" w:type="dxa"/>
            <w:noWrap/>
            <w:vAlign w:val="center"/>
          </w:tcPr>
          <w:p w14:paraId="06921BF4">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清洁，门窗完好、照明正常 </w:t>
            </w:r>
          </w:p>
        </w:tc>
      </w:tr>
      <w:tr w14:paraId="37F6853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388" w:type="dxa"/>
            <w:noWrap/>
            <w:vAlign w:val="center"/>
          </w:tcPr>
          <w:p w14:paraId="7770D76B">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3594" w:type="dxa"/>
            <w:noWrap/>
            <w:vAlign w:val="center"/>
          </w:tcPr>
          <w:p w14:paraId="1A4A9B78">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手动紧急操作装置</w:t>
            </w:r>
          </w:p>
        </w:tc>
        <w:tc>
          <w:tcPr>
            <w:tcW w:w="4540" w:type="dxa"/>
            <w:noWrap/>
            <w:vAlign w:val="center"/>
          </w:tcPr>
          <w:p w14:paraId="332A1AE6">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齐全，在指定位置</w:t>
            </w:r>
          </w:p>
        </w:tc>
      </w:tr>
      <w:tr w14:paraId="36A1ADA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5" w:hRule="atLeast"/>
        </w:trPr>
        <w:tc>
          <w:tcPr>
            <w:tcW w:w="388" w:type="dxa"/>
            <w:noWrap/>
            <w:vAlign w:val="center"/>
          </w:tcPr>
          <w:p w14:paraId="3C72EBDC">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p>
        </w:tc>
        <w:tc>
          <w:tcPr>
            <w:tcW w:w="3594" w:type="dxa"/>
            <w:noWrap/>
            <w:vAlign w:val="center"/>
          </w:tcPr>
          <w:p w14:paraId="71F3AE77">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驱动总机</w:t>
            </w:r>
          </w:p>
        </w:tc>
        <w:tc>
          <w:tcPr>
            <w:tcW w:w="4540" w:type="dxa"/>
            <w:noWrap/>
            <w:vAlign w:val="center"/>
          </w:tcPr>
          <w:p w14:paraId="495175D9">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运行时无异常振动和异常声响</w:t>
            </w:r>
          </w:p>
        </w:tc>
      </w:tr>
      <w:tr w14:paraId="3D17F68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5" w:hRule="atLeast"/>
        </w:trPr>
        <w:tc>
          <w:tcPr>
            <w:tcW w:w="388" w:type="dxa"/>
            <w:noWrap/>
            <w:vAlign w:val="center"/>
          </w:tcPr>
          <w:p w14:paraId="46C67A63">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w:t>
            </w:r>
          </w:p>
        </w:tc>
        <w:tc>
          <w:tcPr>
            <w:tcW w:w="3594" w:type="dxa"/>
            <w:noWrap/>
            <w:vAlign w:val="center"/>
          </w:tcPr>
          <w:p w14:paraId="6912F2AF">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制动器各销轴部位</w:t>
            </w:r>
          </w:p>
        </w:tc>
        <w:tc>
          <w:tcPr>
            <w:tcW w:w="4540" w:type="dxa"/>
            <w:noWrap/>
            <w:vAlign w:val="center"/>
          </w:tcPr>
          <w:p w14:paraId="0BD1D979">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润滑，动作灵活</w:t>
            </w:r>
          </w:p>
        </w:tc>
      </w:tr>
      <w:tr w14:paraId="7E3056D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8" w:hRule="atLeast"/>
        </w:trPr>
        <w:tc>
          <w:tcPr>
            <w:tcW w:w="388" w:type="dxa"/>
            <w:noWrap/>
            <w:vAlign w:val="center"/>
          </w:tcPr>
          <w:p w14:paraId="3C91764C">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3594" w:type="dxa"/>
            <w:noWrap/>
            <w:vAlign w:val="center"/>
          </w:tcPr>
          <w:p w14:paraId="24B7DBE3">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制动器间隙</w:t>
            </w:r>
          </w:p>
        </w:tc>
        <w:tc>
          <w:tcPr>
            <w:tcW w:w="4540" w:type="dxa"/>
            <w:noWrap/>
            <w:vAlign w:val="center"/>
          </w:tcPr>
          <w:p w14:paraId="47607AEF">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打开时制动衬与制动轮不应发生摩擦，间隙值符合制造单位要求</w:t>
            </w:r>
          </w:p>
        </w:tc>
      </w:tr>
      <w:tr w14:paraId="51D14F0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7" w:hRule="atLeast"/>
        </w:trPr>
        <w:tc>
          <w:tcPr>
            <w:tcW w:w="388" w:type="dxa"/>
            <w:noWrap/>
            <w:vAlign w:val="center"/>
          </w:tcPr>
          <w:p w14:paraId="65DB0156">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w:t>
            </w:r>
          </w:p>
        </w:tc>
        <w:tc>
          <w:tcPr>
            <w:tcW w:w="3594" w:type="dxa"/>
            <w:noWrap/>
            <w:vAlign w:val="center"/>
          </w:tcPr>
          <w:p w14:paraId="35CAA7B9">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制动器作为轿厢意外移动保护制造制停子系统时的自监测</w:t>
            </w:r>
          </w:p>
        </w:tc>
        <w:tc>
          <w:tcPr>
            <w:tcW w:w="4540" w:type="dxa"/>
            <w:noWrap/>
            <w:vAlign w:val="center"/>
          </w:tcPr>
          <w:p w14:paraId="26C9097C">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制动力人工方式检测符合使用维护说明书要求；制动力自监测系统有记录</w:t>
            </w:r>
          </w:p>
        </w:tc>
      </w:tr>
      <w:tr w14:paraId="62B85EA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5" w:hRule="atLeast"/>
        </w:trPr>
        <w:tc>
          <w:tcPr>
            <w:tcW w:w="388" w:type="dxa"/>
            <w:noWrap/>
            <w:vAlign w:val="center"/>
          </w:tcPr>
          <w:p w14:paraId="768979D9">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w:t>
            </w:r>
          </w:p>
        </w:tc>
        <w:tc>
          <w:tcPr>
            <w:tcW w:w="3594" w:type="dxa"/>
            <w:noWrap/>
            <w:vAlign w:val="center"/>
          </w:tcPr>
          <w:p w14:paraId="45049549">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编码器</w:t>
            </w:r>
          </w:p>
        </w:tc>
        <w:tc>
          <w:tcPr>
            <w:tcW w:w="4540" w:type="dxa"/>
            <w:noWrap/>
            <w:vAlign w:val="center"/>
          </w:tcPr>
          <w:p w14:paraId="316F9829">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清洁，安装牢固</w:t>
            </w:r>
          </w:p>
        </w:tc>
      </w:tr>
      <w:tr w14:paraId="03C8A6D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5" w:hRule="atLeast"/>
        </w:trPr>
        <w:tc>
          <w:tcPr>
            <w:tcW w:w="388" w:type="dxa"/>
            <w:noWrap/>
            <w:vAlign w:val="center"/>
          </w:tcPr>
          <w:p w14:paraId="00327B44">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w:t>
            </w:r>
          </w:p>
        </w:tc>
        <w:tc>
          <w:tcPr>
            <w:tcW w:w="3594" w:type="dxa"/>
            <w:noWrap/>
            <w:vAlign w:val="center"/>
          </w:tcPr>
          <w:p w14:paraId="65BAB1B5">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限速器各销轴部位</w:t>
            </w:r>
          </w:p>
        </w:tc>
        <w:tc>
          <w:tcPr>
            <w:tcW w:w="4540" w:type="dxa"/>
            <w:noWrap/>
            <w:vAlign w:val="center"/>
          </w:tcPr>
          <w:p w14:paraId="30DAE88E">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润滑，转动灵活；电气开关正常</w:t>
            </w:r>
          </w:p>
        </w:tc>
      </w:tr>
      <w:tr w14:paraId="44733E7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5" w:hRule="atLeast"/>
        </w:trPr>
        <w:tc>
          <w:tcPr>
            <w:tcW w:w="388" w:type="dxa"/>
            <w:noWrap/>
            <w:vAlign w:val="center"/>
          </w:tcPr>
          <w:p w14:paraId="42917E0A">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w:t>
            </w:r>
          </w:p>
        </w:tc>
        <w:tc>
          <w:tcPr>
            <w:tcW w:w="3594" w:type="dxa"/>
            <w:noWrap/>
            <w:vAlign w:val="center"/>
          </w:tcPr>
          <w:p w14:paraId="343BF11E">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层门和轿门旁路装置</w:t>
            </w:r>
          </w:p>
        </w:tc>
        <w:tc>
          <w:tcPr>
            <w:tcW w:w="4540" w:type="dxa"/>
            <w:noWrap/>
            <w:vAlign w:val="center"/>
          </w:tcPr>
          <w:p w14:paraId="66E1CCA3">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工作正常</w:t>
            </w:r>
          </w:p>
        </w:tc>
      </w:tr>
      <w:tr w14:paraId="612F938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2" w:hRule="atLeast"/>
        </w:trPr>
        <w:tc>
          <w:tcPr>
            <w:tcW w:w="388" w:type="dxa"/>
            <w:noWrap/>
            <w:vAlign w:val="center"/>
          </w:tcPr>
          <w:p w14:paraId="37745286">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w:t>
            </w:r>
          </w:p>
        </w:tc>
        <w:tc>
          <w:tcPr>
            <w:tcW w:w="3594" w:type="dxa"/>
            <w:noWrap/>
            <w:vAlign w:val="center"/>
          </w:tcPr>
          <w:p w14:paraId="6C8572DA">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紧急电动运行</w:t>
            </w:r>
          </w:p>
        </w:tc>
        <w:tc>
          <w:tcPr>
            <w:tcW w:w="4540" w:type="dxa"/>
            <w:noWrap/>
            <w:vAlign w:val="center"/>
          </w:tcPr>
          <w:p w14:paraId="697A6343">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工作正常</w:t>
            </w:r>
          </w:p>
        </w:tc>
      </w:tr>
      <w:tr w14:paraId="0344D11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8" w:hRule="atLeast"/>
        </w:trPr>
        <w:tc>
          <w:tcPr>
            <w:tcW w:w="388" w:type="dxa"/>
            <w:noWrap/>
            <w:vAlign w:val="center"/>
          </w:tcPr>
          <w:p w14:paraId="255D680F">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w:t>
            </w:r>
          </w:p>
        </w:tc>
        <w:tc>
          <w:tcPr>
            <w:tcW w:w="3594" w:type="dxa"/>
            <w:noWrap/>
            <w:vAlign w:val="center"/>
          </w:tcPr>
          <w:p w14:paraId="3A303D9E">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轿顶</w:t>
            </w:r>
          </w:p>
        </w:tc>
        <w:tc>
          <w:tcPr>
            <w:tcW w:w="4540" w:type="dxa"/>
            <w:noWrap/>
            <w:vAlign w:val="center"/>
          </w:tcPr>
          <w:p w14:paraId="61B4924D">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清洁，防护拦安全可靠</w:t>
            </w:r>
          </w:p>
        </w:tc>
      </w:tr>
      <w:tr w14:paraId="2B7310E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5" w:hRule="atLeast"/>
        </w:trPr>
        <w:tc>
          <w:tcPr>
            <w:tcW w:w="388" w:type="dxa"/>
            <w:noWrap/>
            <w:vAlign w:val="center"/>
          </w:tcPr>
          <w:p w14:paraId="7AA5A010">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w:t>
            </w:r>
          </w:p>
        </w:tc>
        <w:tc>
          <w:tcPr>
            <w:tcW w:w="3594" w:type="dxa"/>
            <w:noWrap/>
            <w:vAlign w:val="center"/>
          </w:tcPr>
          <w:p w14:paraId="2F0298E5">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轿顶检修开关、停止装置</w:t>
            </w:r>
          </w:p>
        </w:tc>
        <w:tc>
          <w:tcPr>
            <w:tcW w:w="4540" w:type="dxa"/>
            <w:noWrap/>
            <w:vAlign w:val="center"/>
          </w:tcPr>
          <w:p w14:paraId="4388B681">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工作正常</w:t>
            </w:r>
          </w:p>
        </w:tc>
      </w:tr>
      <w:tr w14:paraId="16B6478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5" w:hRule="atLeast"/>
        </w:trPr>
        <w:tc>
          <w:tcPr>
            <w:tcW w:w="388" w:type="dxa"/>
            <w:noWrap/>
            <w:vAlign w:val="center"/>
          </w:tcPr>
          <w:p w14:paraId="57619F74">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13</w:t>
            </w:r>
          </w:p>
        </w:tc>
        <w:tc>
          <w:tcPr>
            <w:tcW w:w="3594" w:type="dxa"/>
            <w:noWrap/>
            <w:vAlign w:val="center"/>
          </w:tcPr>
          <w:p w14:paraId="459454D5">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导靴上油杯</w:t>
            </w:r>
          </w:p>
        </w:tc>
        <w:tc>
          <w:tcPr>
            <w:tcW w:w="4540" w:type="dxa"/>
            <w:noWrap/>
            <w:vAlign w:val="center"/>
          </w:tcPr>
          <w:p w14:paraId="35DBCB52">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吸油毛毡齐全，油量适宜，油杯无泄漏</w:t>
            </w:r>
          </w:p>
        </w:tc>
      </w:tr>
      <w:tr w14:paraId="69F7AA4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5" w:hRule="atLeast"/>
        </w:trPr>
        <w:tc>
          <w:tcPr>
            <w:tcW w:w="388" w:type="dxa"/>
            <w:noWrap/>
            <w:vAlign w:val="center"/>
          </w:tcPr>
          <w:p w14:paraId="6F43FD9F">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14</w:t>
            </w:r>
          </w:p>
        </w:tc>
        <w:tc>
          <w:tcPr>
            <w:tcW w:w="3594" w:type="dxa"/>
            <w:noWrap/>
            <w:vAlign w:val="center"/>
          </w:tcPr>
          <w:p w14:paraId="7ED96786">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对重/平衡重块及其压板</w:t>
            </w:r>
          </w:p>
        </w:tc>
        <w:tc>
          <w:tcPr>
            <w:tcW w:w="4540" w:type="dxa"/>
            <w:noWrap/>
            <w:vAlign w:val="center"/>
          </w:tcPr>
          <w:p w14:paraId="5EDAC4E6">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对重/平衡重块无松动，压板紧固</w:t>
            </w:r>
          </w:p>
        </w:tc>
      </w:tr>
      <w:tr w14:paraId="4C2A9B4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5" w:hRule="atLeast"/>
        </w:trPr>
        <w:tc>
          <w:tcPr>
            <w:tcW w:w="388" w:type="dxa"/>
            <w:noWrap/>
            <w:vAlign w:val="center"/>
          </w:tcPr>
          <w:p w14:paraId="46178EB3">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15</w:t>
            </w:r>
          </w:p>
        </w:tc>
        <w:tc>
          <w:tcPr>
            <w:tcW w:w="3594" w:type="dxa"/>
            <w:noWrap/>
            <w:vAlign w:val="center"/>
          </w:tcPr>
          <w:p w14:paraId="3F895AAF">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井道照明</w:t>
            </w:r>
          </w:p>
        </w:tc>
        <w:tc>
          <w:tcPr>
            <w:tcW w:w="4540" w:type="dxa"/>
            <w:noWrap/>
            <w:vAlign w:val="center"/>
          </w:tcPr>
          <w:p w14:paraId="778F4452">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齐全、正常</w:t>
            </w:r>
          </w:p>
        </w:tc>
      </w:tr>
      <w:tr w14:paraId="3209388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5" w:hRule="atLeast"/>
        </w:trPr>
        <w:tc>
          <w:tcPr>
            <w:tcW w:w="388" w:type="dxa"/>
            <w:noWrap/>
            <w:vAlign w:val="center"/>
          </w:tcPr>
          <w:p w14:paraId="7B0C4D66">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16</w:t>
            </w:r>
          </w:p>
        </w:tc>
        <w:tc>
          <w:tcPr>
            <w:tcW w:w="3594" w:type="dxa"/>
            <w:noWrap/>
            <w:vAlign w:val="center"/>
          </w:tcPr>
          <w:p w14:paraId="462D8FFC">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轿厢照明、风扇、应急照明</w:t>
            </w:r>
          </w:p>
        </w:tc>
        <w:tc>
          <w:tcPr>
            <w:tcW w:w="4540" w:type="dxa"/>
            <w:noWrap/>
            <w:vAlign w:val="center"/>
          </w:tcPr>
          <w:p w14:paraId="73C8CE6A">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工作正常</w:t>
            </w:r>
          </w:p>
        </w:tc>
      </w:tr>
      <w:tr w14:paraId="5DBC75E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0" w:hRule="atLeast"/>
        </w:trPr>
        <w:tc>
          <w:tcPr>
            <w:tcW w:w="388" w:type="dxa"/>
            <w:noWrap/>
            <w:vAlign w:val="center"/>
          </w:tcPr>
          <w:p w14:paraId="57D1F6C6">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17</w:t>
            </w:r>
          </w:p>
        </w:tc>
        <w:tc>
          <w:tcPr>
            <w:tcW w:w="3594" w:type="dxa"/>
            <w:noWrap/>
            <w:vAlign w:val="center"/>
          </w:tcPr>
          <w:p w14:paraId="6C545A32">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轿厢检修开关、停止装置</w:t>
            </w:r>
          </w:p>
        </w:tc>
        <w:tc>
          <w:tcPr>
            <w:tcW w:w="4540" w:type="dxa"/>
            <w:noWrap/>
            <w:vAlign w:val="center"/>
          </w:tcPr>
          <w:p w14:paraId="49A70854">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工作正常</w:t>
            </w:r>
          </w:p>
        </w:tc>
      </w:tr>
      <w:tr w14:paraId="6BEE93D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5" w:hRule="atLeast"/>
        </w:trPr>
        <w:tc>
          <w:tcPr>
            <w:tcW w:w="388" w:type="dxa"/>
            <w:noWrap/>
            <w:vAlign w:val="center"/>
          </w:tcPr>
          <w:p w14:paraId="27E24429">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18</w:t>
            </w:r>
          </w:p>
        </w:tc>
        <w:tc>
          <w:tcPr>
            <w:tcW w:w="3594" w:type="dxa"/>
            <w:noWrap/>
            <w:vAlign w:val="center"/>
          </w:tcPr>
          <w:p w14:paraId="77FA41EF">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轿内报警装置、对讲系统</w:t>
            </w:r>
          </w:p>
        </w:tc>
        <w:tc>
          <w:tcPr>
            <w:tcW w:w="4540" w:type="dxa"/>
            <w:noWrap/>
            <w:vAlign w:val="center"/>
          </w:tcPr>
          <w:p w14:paraId="0ED38052">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工作正常</w:t>
            </w:r>
          </w:p>
        </w:tc>
      </w:tr>
      <w:tr w14:paraId="2CC482F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0" w:hRule="atLeast"/>
        </w:trPr>
        <w:tc>
          <w:tcPr>
            <w:tcW w:w="388" w:type="dxa"/>
            <w:noWrap/>
            <w:vAlign w:val="center"/>
          </w:tcPr>
          <w:p w14:paraId="55AF32CF">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19</w:t>
            </w:r>
          </w:p>
        </w:tc>
        <w:tc>
          <w:tcPr>
            <w:tcW w:w="3594" w:type="dxa"/>
            <w:noWrap/>
            <w:vAlign w:val="center"/>
          </w:tcPr>
          <w:p w14:paraId="02D966A4">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轿内显示、指令按钮、IC卡系统</w:t>
            </w:r>
          </w:p>
        </w:tc>
        <w:tc>
          <w:tcPr>
            <w:tcW w:w="4540" w:type="dxa"/>
            <w:noWrap/>
            <w:vAlign w:val="center"/>
          </w:tcPr>
          <w:p w14:paraId="6221088F">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齐全、有效</w:t>
            </w:r>
          </w:p>
        </w:tc>
      </w:tr>
      <w:tr w14:paraId="50494D8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8" w:hRule="atLeast"/>
        </w:trPr>
        <w:tc>
          <w:tcPr>
            <w:tcW w:w="388" w:type="dxa"/>
            <w:noWrap/>
            <w:vAlign w:val="center"/>
          </w:tcPr>
          <w:p w14:paraId="171D1B2F">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20</w:t>
            </w:r>
          </w:p>
        </w:tc>
        <w:tc>
          <w:tcPr>
            <w:tcW w:w="3594" w:type="dxa"/>
            <w:noWrap/>
            <w:vAlign w:val="center"/>
          </w:tcPr>
          <w:p w14:paraId="389AF901">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轿门安全装置（安全触板，光幕、光电等）</w:t>
            </w:r>
          </w:p>
        </w:tc>
        <w:tc>
          <w:tcPr>
            <w:tcW w:w="4540" w:type="dxa"/>
            <w:noWrap/>
            <w:vAlign w:val="center"/>
          </w:tcPr>
          <w:p w14:paraId="54956F1C">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功能有效</w:t>
            </w:r>
          </w:p>
        </w:tc>
      </w:tr>
      <w:tr w14:paraId="6639FE6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5" w:hRule="atLeast"/>
        </w:trPr>
        <w:tc>
          <w:tcPr>
            <w:tcW w:w="388" w:type="dxa"/>
            <w:noWrap/>
            <w:vAlign w:val="center"/>
          </w:tcPr>
          <w:p w14:paraId="17B70CD3">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21</w:t>
            </w:r>
          </w:p>
        </w:tc>
        <w:tc>
          <w:tcPr>
            <w:tcW w:w="3594" w:type="dxa"/>
            <w:noWrap/>
            <w:vAlign w:val="center"/>
          </w:tcPr>
          <w:p w14:paraId="1872FC93">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轿门门锁电气触点</w:t>
            </w:r>
          </w:p>
        </w:tc>
        <w:tc>
          <w:tcPr>
            <w:tcW w:w="4540" w:type="dxa"/>
            <w:noWrap/>
            <w:vAlign w:val="center"/>
          </w:tcPr>
          <w:p w14:paraId="1FEFCFD4">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清洁</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 xml:space="preserve"> 触点接触良好，接线可靠</w:t>
            </w:r>
          </w:p>
        </w:tc>
      </w:tr>
      <w:tr w14:paraId="36F8236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5" w:hRule="atLeast"/>
        </w:trPr>
        <w:tc>
          <w:tcPr>
            <w:tcW w:w="388" w:type="dxa"/>
            <w:noWrap/>
            <w:vAlign w:val="center"/>
          </w:tcPr>
          <w:p w14:paraId="36703DD9">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22</w:t>
            </w:r>
          </w:p>
        </w:tc>
        <w:tc>
          <w:tcPr>
            <w:tcW w:w="3594" w:type="dxa"/>
            <w:noWrap/>
            <w:vAlign w:val="center"/>
          </w:tcPr>
          <w:p w14:paraId="43D60F80">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轿门运行</w:t>
            </w:r>
          </w:p>
        </w:tc>
        <w:tc>
          <w:tcPr>
            <w:tcW w:w="4540" w:type="dxa"/>
            <w:noWrap/>
            <w:vAlign w:val="center"/>
          </w:tcPr>
          <w:p w14:paraId="5CFA41CB">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开启和关闭工作正常</w:t>
            </w:r>
          </w:p>
        </w:tc>
      </w:tr>
      <w:tr w14:paraId="287A4C9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5" w:hRule="atLeast"/>
        </w:trPr>
        <w:tc>
          <w:tcPr>
            <w:tcW w:w="388" w:type="dxa"/>
            <w:noWrap/>
            <w:vAlign w:val="center"/>
          </w:tcPr>
          <w:p w14:paraId="5644DA78">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23</w:t>
            </w:r>
          </w:p>
        </w:tc>
        <w:tc>
          <w:tcPr>
            <w:tcW w:w="3594" w:type="dxa"/>
            <w:noWrap/>
            <w:vAlign w:val="center"/>
          </w:tcPr>
          <w:p w14:paraId="3757FA06">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轿厢平层精度</w:t>
            </w:r>
          </w:p>
        </w:tc>
        <w:tc>
          <w:tcPr>
            <w:tcW w:w="4540" w:type="dxa"/>
            <w:noWrap/>
            <w:vAlign w:val="center"/>
          </w:tcPr>
          <w:p w14:paraId="5A7AA242">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符合标准</w:t>
            </w:r>
          </w:p>
        </w:tc>
      </w:tr>
      <w:tr w14:paraId="350401E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8" w:hRule="atLeast"/>
        </w:trPr>
        <w:tc>
          <w:tcPr>
            <w:tcW w:w="388" w:type="dxa"/>
            <w:noWrap/>
            <w:vAlign w:val="center"/>
          </w:tcPr>
          <w:p w14:paraId="6B721C81">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24</w:t>
            </w:r>
          </w:p>
        </w:tc>
        <w:tc>
          <w:tcPr>
            <w:tcW w:w="3594" w:type="dxa"/>
            <w:noWrap/>
            <w:vAlign w:val="center"/>
          </w:tcPr>
          <w:p w14:paraId="5A968A89">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层站召唤、层楼显示</w:t>
            </w:r>
          </w:p>
        </w:tc>
        <w:tc>
          <w:tcPr>
            <w:tcW w:w="4540" w:type="dxa"/>
            <w:noWrap/>
            <w:vAlign w:val="center"/>
          </w:tcPr>
          <w:p w14:paraId="730B29A8">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齐全、有效</w:t>
            </w:r>
          </w:p>
        </w:tc>
      </w:tr>
      <w:tr w14:paraId="5E1B0A9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71" w:hRule="atLeast"/>
        </w:trPr>
        <w:tc>
          <w:tcPr>
            <w:tcW w:w="388" w:type="dxa"/>
            <w:noWrap/>
            <w:vAlign w:val="center"/>
          </w:tcPr>
          <w:p w14:paraId="15F5823E">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25</w:t>
            </w:r>
          </w:p>
        </w:tc>
        <w:tc>
          <w:tcPr>
            <w:tcW w:w="3594" w:type="dxa"/>
            <w:noWrap/>
            <w:vAlign w:val="center"/>
          </w:tcPr>
          <w:p w14:paraId="694A328A">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层门地坎</w:t>
            </w:r>
          </w:p>
        </w:tc>
        <w:tc>
          <w:tcPr>
            <w:tcW w:w="4540" w:type="dxa"/>
            <w:noWrap/>
            <w:vAlign w:val="center"/>
          </w:tcPr>
          <w:p w14:paraId="115A01CE">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清洁</w:t>
            </w:r>
          </w:p>
        </w:tc>
      </w:tr>
      <w:tr w14:paraId="7930534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8" w:hRule="atLeast"/>
        </w:trPr>
        <w:tc>
          <w:tcPr>
            <w:tcW w:w="388" w:type="dxa"/>
            <w:noWrap/>
            <w:vAlign w:val="center"/>
          </w:tcPr>
          <w:p w14:paraId="7AA0E508">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26</w:t>
            </w:r>
          </w:p>
        </w:tc>
        <w:tc>
          <w:tcPr>
            <w:tcW w:w="3594" w:type="dxa"/>
            <w:noWrap/>
            <w:vAlign w:val="center"/>
          </w:tcPr>
          <w:p w14:paraId="48A12062">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层门自动关门装置</w:t>
            </w:r>
          </w:p>
        </w:tc>
        <w:tc>
          <w:tcPr>
            <w:tcW w:w="4540" w:type="dxa"/>
            <w:noWrap/>
            <w:vAlign w:val="center"/>
          </w:tcPr>
          <w:p w14:paraId="6023D989">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正常</w:t>
            </w:r>
          </w:p>
        </w:tc>
      </w:tr>
      <w:tr w14:paraId="0862BDB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8" w:hRule="atLeast"/>
        </w:trPr>
        <w:tc>
          <w:tcPr>
            <w:tcW w:w="388" w:type="dxa"/>
            <w:tcBorders>
              <w:top w:val="single" w:color="auto" w:sz="6" w:space="0"/>
              <w:left w:val="single" w:color="auto" w:sz="12" w:space="0"/>
              <w:bottom w:val="single" w:color="auto" w:sz="6" w:space="0"/>
              <w:right w:val="single" w:color="auto" w:sz="6" w:space="0"/>
            </w:tcBorders>
            <w:noWrap/>
            <w:vAlign w:val="center"/>
          </w:tcPr>
          <w:p w14:paraId="4E8B80D2">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27</w:t>
            </w:r>
          </w:p>
        </w:tc>
        <w:tc>
          <w:tcPr>
            <w:tcW w:w="3594" w:type="dxa"/>
            <w:tcBorders>
              <w:top w:val="single" w:color="auto" w:sz="6" w:space="0"/>
              <w:left w:val="single" w:color="auto" w:sz="6" w:space="0"/>
              <w:bottom w:val="single" w:color="auto" w:sz="6" w:space="0"/>
              <w:right w:val="single" w:color="auto" w:sz="6" w:space="0"/>
            </w:tcBorders>
            <w:noWrap/>
            <w:vAlign w:val="center"/>
          </w:tcPr>
          <w:p w14:paraId="060DE55B">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层门门锁自动复位</w:t>
            </w:r>
          </w:p>
        </w:tc>
        <w:tc>
          <w:tcPr>
            <w:tcW w:w="4540" w:type="dxa"/>
            <w:tcBorders>
              <w:top w:val="single" w:color="auto" w:sz="6" w:space="0"/>
              <w:left w:val="single" w:color="auto" w:sz="6" w:space="0"/>
              <w:bottom w:val="single" w:color="auto" w:sz="6" w:space="0"/>
              <w:right w:val="single" w:color="auto" w:sz="12" w:space="0"/>
            </w:tcBorders>
            <w:noWrap/>
            <w:vAlign w:val="center"/>
          </w:tcPr>
          <w:p w14:paraId="5F005E8B">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用层门钥匙打开手动开锁装置释放后，层门门锁能自动复位</w:t>
            </w:r>
          </w:p>
        </w:tc>
      </w:tr>
      <w:tr w14:paraId="1C7DE33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6" w:hRule="atLeast"/>
        </w:trPr>
        <w:tc>
          <w:tcPr>
            <w:tcW w:w="388" w:type="dxa"/>
            <w:tcBorders>
              <w:top w:val="single" w:color="auto" w:sz="6" w:space="0"/>
              <w:left w:val="single" w:color="auto" w:sz="12" w:space="0"/>
              <w:bottom w:val="single" w:color="auto" w:sz="6" w:space="0"/>
              <w:right w:val="single" w:color="auto" w:sz="6" w:space="0"/>
            </w:tcBorders>
            <w:noWrap/>
            <w:vAlign w:val="center"/>
          </w:tcPr>
          <w:p w14:paraId="52979859">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28</w:t>
            </w:r>
          </w:p>
        </w:tc>
        <w:tc>
          <w:tcPr>
            <w:tcW w:w="3594" w:type="dxa"/>
            <w:tcBorders>
              <w:top w:val="single" w:color="auto" w:sz="6" w:space="0"/>
              <w:left w:val="single" w:color="auto" w:sz="6" w:space="0"/>
              <w:bottom w:val="single" w:color="auto" w:sz="6" w:space="0"/>
              <w:right w:val="single" w:color="auto" w:sz="6" w:space="0"/>
            </w:tcBorders>
            <w:noWrap/>
            <w:vAlign w:val="center"/>
          </w:tcPr>
          <w:p w14:paraId="717C1EB8">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层门门锁电气触点</w:t>
            </w:r>
          </w:p>
        </w:tc>
        <w:tc>
          <w:tcPr>
            <w:tcW w:w="4540" w:type="dxa"/>
            <w:tcBorders>
              <w:top w:val="single" w:color="auto" w:sz="6" w:space="0"/>
              <w:left w:val="single" w:color="auto" w:sz="6" w:space="0"/>
              <w:bottom w:val="single" w:color="auto" w:sz="6" w:space="0"/>
              <w:right w:val="single" w:color="auto" w:sz="12" w:space="0"/>
            </w:tcBorders>
            <w:noWrap/>
            <w:vAlign w:val="center"/>
          </w:tcPr>
          <w:p w14:paraId="67D2EA74">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清洁</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 xml:space="preserve"> 触点接触良好，接线可靠</w:t>
            </w:r>
          </w:p>
        </w:tc>
      </w:tr>
      <w:tr w14:paraId="3F238C1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6" w:hRule="atLeast"/>
        </w:trPr>
        <w:tc>
          <w:tcPr>
            <w:tcW w:w="388" w:type="dxa"/>
            <w:tcBorders>
              <w:top w:val="single" w:color="auto" w:sz="6" w:space="0"/>
              <w:left w:val="single" w:color="auto" w:sz="12" w:space="0"/>
              <w:bottom w:val="single" w:color="auto" w:sz="6" w:space="0"/>
              <w:right w:val="single" w:color="auto" w:sz="6" w:space="0"/>
            </w:tcBorders>
            <w:noWrap/>
            <w:vAlign w:val="center"/>
          </w:tcPr>
          <w:p w14:paraId="655CA97D">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29</w:t>
            </w:r>
          </w:p>
        </w:tc>
        <w:tc>
          <w:tcPr>
            <w:tcW w:w="3594" w:type="dxa"/>
            <w:tcBorders>
              <w:top w:val="single" w:color="auto" w:sz="6" w:space="0"/>
              <w:left w:val="single" w:color="auto" w:sz="6" w:space="0"/>
              <w:bottom w:val="single" w:color="auto" w:sz="6" w:space="0"/>
              <w:right w:val="single" w:color="auto" w:sz="6" w:space="0"/>
            </w:tcBorders>
            <w:noWrap/>
            <w:vAlign w:val="center"/>
          </w:tcPr>
          <w:p w14:paraId="200B4A15">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层门锁紧元件啮合长度</w:t>
            </w:r>
          </w:p>
        </w:tc>
        <w:tc>
          <w:tcPr>
            <w:tcW w:w="4540" w:type="dxa"/>
            <w:tcBorders>
              <w:top w:val="single" w:color="auto" w:sz="6" w:space="0"/>
              <w:left w:val="single" w:color="auto" w:sz="6" w:space="0"/>
              <w:bottom w:val="single" w:color="auto" w:sz="6" w:space="0"/>
              <w:right w:val="single" w:color="auto" w:sz="12" w:space="0"/>
            </w:tcBorders>
            <w:noWrap/>
            <w:vAlign w:val="center"/>
          </w:tcPr>
          <w:p w14:paraId="5F7DD95B">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不小于7mm</w:t>
            </w:r>
          </w:p>
        </w:tc>
      </w:tr>
      <w:tr w14:paraId="6B2A996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5" w:hRule="atLeast"/>
        </w:trPr>
        <w:tc>
          <w:tcPr>
            <w:tcW w:w="388" w:type="dxa"/>
            <w:tcBorders>
              <w:top w:val="single" w:color="auto" w:sz="6" w:space="0"/>
              <w:left w:val="single" w:color="auto" w:sz="12" w:space="0"/>
              <w:bottom w:val="single" w:color="auto" w:sz="6" w:space="0"/>
              <w:right w:val="single" w:color="auto" w:sz="6" w:space="0"/>
            </w:tcBorders>
            <w:noWrap/>
            <w:vAlign w:val="center"/>
          </w:tcPr>
          <w:p w14:paraId="5BB588D9">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30</w:t>
            </w:r>
          </w:p>
        </w:tc>
        <w:tc>
          <w:tcPr>
            <w:tcW w:w="3594" w:type="dxa"/>
            <w:tcBorders>
              <w:top w:val="single" w:color="auto" w:sz="6" w:space="0"/>
              <w:left w:val="single" w:color="auto" w:sz="6" w:space="0"/>
              <w:bottom w:val="single" w:color="auto" w:sz="6" w:space="0"/>
              <w:right w:val="single" w:color="auto" w:sz="6" w:space="0"/>
            </w:tcBorders>
            <w:noWrap/>
            <w:vAlign w:val="center"/>
          </w:tcPr>
          <w:p w14:paraId="01C5DF42">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底坑环境</w:t>
            </w:r>
          </w:p>
        </w:tc>
        <w:tc>
          <w:tcPr>
            <w:tcW w:w="4540" w:type="dxa"/>
            <w:tcBorders>
              <w:top w:val="single" w:color="auto" w:sz="6" w:space="0"/>
              <w:left w:val="single" w:color="auto" w:sz="6" w:space="0"/>
              <w:bottom w:val="single" w:color="auto" w:sz="6" w:space="0"/>
              <w:right w:val="single" w:color="auto" w:sz="12" w:space="0"/>
            </w:tcBorders>
            <w:noWrap/>
            <w:vAlign w:val="center"/>
          </w:tcPr>
          <w:p w14:paraId="70EF230A">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清洁，无渗水、积水，照明正常</w:t>
            </w:r>
          </w:p>
        </w:tc>
      </w:tr>
      <w:tr w14:paraId="2902937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atLeast"/>
        </w:trPr>
        <w:tc>
          <w:tcPr>
            <w:tcW w:w="388" w:type="dxa"/>
            <w:tcBorders>
              <w:top w:val="single" w:color="auto" w:sz="6" w:space="0"/>
              <w:left w:val="single" w:color="auto" w:sz="12" w:space="0"/>
              <w:bottom w:val="single" w:color="auto" w:sz="12" w:space="0"/>
              <w:right w:val="single" w:color="auto" w:sz="6" w:space="0"/>
            </w:tcBorders>
            <w:noWrap/>
            <w:vAlign w:val="center"/>
          </w:tcPr>
          <w:p w14:paraId="77399353">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31</w:t>
            </w:r>
          </w:p>
        </w:tc>
        <w:tc>
          <w:tcPr>
            <w:tcW w:w="3594" w:type="dxa"/>
            <w:tcBorders>
              <w:top w:val="single" w:color="auto" w:sz="6" w:space="0"/>
              <w:left w:val="single" w:color="auto" w:sz="6" w:space="0"/>
              <w:bottom w:val="single" w:color="auto" w:sz="12" w:space="0"/>
              <w:right w:val="single" w:color="auto" w:sz="6" w:space="0"/>
            </w:tcBorders>
            <w:noWrap/>
            <w:vAlign w:val="center"/>
          </w:tcPr>
          <w:p w14:paraId="4B27B71A">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底坑停止装置</w:t>
            </w:r>
          </w:p>
        </w:tc>
        <w:tc>
          <w:tcPr>
            <w:tcW w:w="4540" w:type="dxa"/>
            <w:tcBorders>
              <w:top w:val="single" w:color="auto" w:sz="6" w:space="0"/>
              <w:left w:val="single" w:color="auto" w:sz="6" w:space="0"/>
              <w:bottom w:val="single" w:color="auto" w:sz="12" w:space="0"/>
              <w:right w:val="single" w:color="auto" w:sz="12" w:space="0"/>
            </w:tcBorders>
            <w:noWrap/>
            <w:vAlign w:val="center"/>
          </w:tcPr>
          <w:p w14:paraId="0B0271EC">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工作正常</w:t>
            </w:r>
          </w:p>
        </w:tc>
      </w:tr>
    </w:tbl>
    <w:p w14:paraId="5E5794EE">
      <w:pPr>
        <w:rPr>
          <w:rFonts w:hint="eastAsia" w:ascii="宋体" w:hAnsi="宋体" w:eastAsia="宋体" w:cs="宋体"/>
          <w:color w:val="auto"/>
          <w:sz w:val="21"/>
          <w:szCs w:val="21"/>
          <w:highlight w:val="none"/>
        </w:rPr>
      </w:pPr>
    </w:p>
    <w:p w14:paraId="2AD53C2C">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（2）季度维保项目（内容）和要求</w:t>
      </w:r>
    </w:p>
    <w:tbl>
      <w:tblPr>
        <w:tblStyle w:val="37"/>
        <w:tblW w:w="5000"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474"/>
        <w:gridCol w:w="3362"/>
        <w:gridCol w:w="4686"/>
      </w:tblGrid>
      <w:tr w14:paraId="293EDA3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79" w:hRule="atLeast"/>
        </w:trPr>
        <w:tc>
          <w:tcPr>
            <w:tcW w:w="474" w:type="dxa"/>
            <w:noWrap/>
            <w:vAlign w:val="center"/>
          </w:tcPr>
          <w:p w14:paraId="65D907A8">
            <w:pPr>
              <w:spacing w:line="360" w:lineRule="exact"/>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序号</w:t>
            </w:r>
          </w:p>
        </w:tc>
        <w:tc>
          <w:tcPr>
            <w:tcW w:w="3362" w:type="dxa"/>
            <w:noWrap/>
            <w:vAlign w:val="center"/>
          </w:tcPr>
          <w:p w14:paraId="5ABF8975">
            <w:pPr>
              <w:spacing w:line="360" w:lineRule="exact"/>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维保项目（内容）</w:t>
            </w:r>
          </w:p>
        </w:tc>
        <w:tc>
          <w:tcPr>
            <w:tcW w:w="4686" w:type="dxa"/>
            <w:noWrap/>
            <w:vAlign w:val="center"/>
          </w:tcPr>
          <w:p w14:paraId="4A7D7A77">
            <w:pPr>
              <w:spacing w:line="360" w:lineRule="exact"/>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维保基本要求</w:t>
            </w:r>
          </w:p>
        </w:tc>
      </w:tr>
      <w:tr w14:paraId="0BA23C0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79" w:hRule="atLeast"/>
        </w:trPr>
        <w:tc>
          <w:tcPr>
            <w:tcW w:w="474" w:type="dxa"/>
            <w:noWrap/>
            <w:vAlign w:val="center"/>
          </w:tcPr>
          <w:p w14:paraId="7DC803CB">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3362" w:type="dxa"/>
            <w:noWrap/>
            <w:vAlign w:val="center"/>
          </w:tcPr>
          <w:p w14:paraId="1BD7994F">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减速机润滑油</w:t>
            </w:r>
          </w:p>
        </w:tc>
        <w:tc>
          <w:tcPr>
            <w:tcW w:w="4686" w:type="dxa"/>
            <w:noWrap/>
            <w:vAlign w:val="center"/>
          </w:tcPr>
          <w:p w14:paraId="560E5A2C">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油量适宜，除蜗杆伸出端外均无渗漏</w:t>
            </w:r>
          </w:p>
        </w:tc>
      </w:tr>
      <w:tr w14:paraId="7D2EFFC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9" w:hRule="atLeast"/>
        </w:trPr>
        <w:tc>
          <w:tcPr>
            <w:tcW w:w="474" w:type="dxa"/>
            <w:noWrap/>
            <w:vAlign w:val="center"/>
          </w:tcPr>
          <w:p w14:paraId="65236DB3">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3362" w:type="dxa"/>
            <w:noWrap/>
            <w:vAlign w:val="center"/>
          </w:tcPr>
          <w:p w14:paraId="243C571D">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制动衬</w:t>
            </w:r>
          </w:p>
        </w:tc>
        <w:tc>
          <w:tcPr>
            <w:tcW w:w="4686" w:type="dxa"/>
            <w:noWrap/>
            <w:vAlign w:val="center"/>
          </w:tcPr>
          <w:p w14:paraId="5CA2FF26">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清洁，磨损量不超过制造单位要求</w:t>
            </w:r>
          </w:p>
        </w:tc>
      </w:tr>
      <w:tr w14:paraId="069DB98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4" w:hRule="atLeast"/>
        </w:trPr>
        <w:tc>
          <w:tcPr>
            <w:tcW w:w="474" w:type="dxa"/>
            <w:noWrap/>
            <w:vAlign w:val="center"/>
          </w:tcPr>
          <w:p w14:paraId="2DA77EE1">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p>
        </w:tc>
        <w:tc>
          <w:tcPr>
            <w:tcW w:w="3362" w:type="dxa"/>
            <w:noWrap/>
            <w:vAlign w:val="center"/>
          </w:tcPr>
          <w:p w14:paraId="3D563836">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编码器</w:t>
            </w:r>
          </w:p>
        </w:tc>
        <w:tc>
          <w:tcPr>
            <w:tcW w:w="4686" w:type="dxa"/>
            <w:noWrap/>
            <w:vAlign w:val="center"/>
          </w:tcPr>
          <w:p w14:paraId="3E664F74">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工作正常</w:t>
            </w:r>
          </w:p>
        </w:tc>
      </w:tr>
      <w:tr w14:paraId="2CB88A8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79" w:hRule="atLeast"/>
        </w:trPr>
        <w:tc>
          <w:tcPr>
            <w:tcW w:w="474" w:type="dxa"/>
            <w:noWrap/>
            <w:vAlign w:val="center"/>
          </w:tcPr>
          <w:p w14:paraId="408B3D72">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w:t>
            </w:r>
          </w:p>
        </w:tc>
        <w:tc>
          <w:tcPr>
            <w:tcW w:w="3362" w:type="dxa"/>
            <w:noWrap/>
            <w:vAlign w:val="center"/>
          </w:tcPr>
          <w:p w14:paraId="63CFB93F">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选层器动静触点</w:t>
            </w:r>
          </w:p>
        </w:tc>
        <w:tc>
          <w:tcPr>
            <w:tcW w:w="4686" w:type="dxa"/>
            <w:noWrap/>
            <w:vAlign w:val="center"/>
          </w:tcPr>
          <w:p w14:paraId="19B81CFD">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清洁，无烧蚀</w:t>
            </w:r>
          </w:p>
        </w:tc>
      </w:tr>
      <w:tr w14:paraId="2787B27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474" w:type="dxa"/>
            <w:noWrap/>
            <w:vAlign w:val="center"/>
          </w:tcPr>
          <w:p w14:paraId="17595A2D">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3362" w:type="dxa"/>
            <w:noWrap/>
            <w:vAlign w:val="center"/>
          </w:tcPr>
          <w:p w14:paraId="34D457B8">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曳引轮槽、悬挂装置</w:t>
            </w:r>
          </w:p>
        </w:tc>
        <w:tc>
          <w:tcPr>
            <w:tcW w:w="4686" w:type="dxa"/>
            <w:noWrap/>
            <w:vAlign w:val="center"/>
          </w:tcPr>
          <w:p w14:paraId="72CA4A76">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清洁，无严重油腻，张力均匀，张力均匀，符合制造单位要求</w:t>
            </w:r>
          </w:p>
        </w:tc>
      </w:tr>
      <w:tr w14:paraId="7061D5E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4" w:hRule="atLeast"/>
        </w:trPr>
        <w:tc>
          <w:tcPr>
            <w:tcW w:w="474" w:type="dxa"/>
            <w:noWrap/>
            <w:vAlign w:val="center"/>
          </w:tcPr>
          <w:p w14:paraId="513BB1CE">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w:t>
            </w:r>
          </w:p>
        </w:tc>
        <w:tc>
          <w:tcPr>
            <w:tcW w:w="3362" w:type="dxa"/>
            <w:noWrap/>
            <w:vAlign w:val="center"/>
          </w:tcPr>
          <w:p w14:paraId="791CE28B">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限速器轮槽、限速器钢丝绳</w:t>
            </w:r>
          </w:p>
        </w:tc>
        <w:tc>
          <w:tcPr>
            <w:tcW w:w="4686" w:type="dxa"/>
            <w:noWrap/>
            <w:vAlign w:val="center"/>
          </w:tcPr>
          <w:p w14:paraId="3E115E19">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清洁，无严重油腻</w:t>
            </w:r>
          </w:p>
        </w:tc>
      </w:tr>
      <w:tr w14:paraId="2E8138C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4" w:hRule="atLeast"/>
        </w:trPr>
        <w:tc>
          <w:tcPr>
            <w:tcW w:w="474" w:type="dxa"/>
            <w:noWrap/>
            <w:vAlign w:val="center"/>
          </w:tcPr>
          <w:p w14:paraId="787741F9">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w:t>
            </w:r>
          </w:p>
        </w:tc>
        <w:tc>
          <w:tcPr>
            <w:tcW w:w="3362" w:type="dxa"/>
            <w:noWrap/>
            <w:vAlign w:val="center"/>
          </w:tcPr>
          <w:p w14:paraId="778800A0">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靴衬、滚轮</w:t>
            </w:r>
          </w:p>
        </w:tc>
        <w:tc>
          <w:tcPr>
            <w:tcW w:w="4686" w:type="dxa"/>
            <w:noWrap/>
            <w:vAlign w:val="center"/>
          </w:tcPr>
          <w:p w14:paraId="31555868">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清洁，磨损量不超过制造单位要求</w:t>
            </w:r>
          </w:p>
        </w:tc>
      </w:tr>
      <w:tr w14:paraId="15D3964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4" w:hRule="atLeast"/>
        </w:trPr>
        <w:tc>
          <w:tcPr>
            <w:tcW w:w="474" w:type="dxa"/>
            <w:noWrap/>
            <w:vAlign w:val="center"/>
          </w:tcPr>
          <w:p w14:paraId="46EC946E">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w:t>
            </w:r>
          </w:p>
        </w:tc>
        <w:tc>
          <w:tcPr>
            <w:tcW w:w="3362" w:type="dxa"/>
            <w:noWrap/>
            <w:vAlign w:val="center"/>
          </w:tcPr>
          <w:p w14:paraId="34D9CEEE">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验证轿门关闭的电气安全装置</w:t>
            </w:r>
          </w:p>
        </w:tc>
        <w:tc>
          <w:tcPr>
            <w:tcW w:w="4686" w:type="dxa"/>
            <w:noWrap/>
            <w:vAlign w:val="center"/>
          </w:tcPr>
          <w:p w14:paraId="3DDD1A8F">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工作正常</w:t>
            </w:r>
          </w:p>
        </w:tc>
      </w:tr>
      <w:tr w14:paraId="0B55E92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474" w:type="dxa"/>
            <w:noWrap/>
            <w:vAlign w:val="center"/>
          </w:tcPr>
          <w:p w14:paraId="639325E0">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w:t>
            </w:r>
          </w:p>
        </w:tc>
        <w:tc>
          <w:tcPr>
            <w:tcW w:w="3362" w:type="dxa"/>
            <w:noWrap/>
            <w:vAlign w:val="center"/>
          </w:tcPr>
          <w:p w14:paraId="3220FFC5">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层门、轿门系统中传动钢丝绳、链条、胶带</w:t>
            </w:r>
          </w:p>
        </w:tc>
        <w:tc>
          <w:tcPr>
            <w:tcW w:w="4686" w:type="dxa"/>
            <w:noWrap/>
            <w:vAlign w:val="center"/>
          </w:tcPr>
          <w:p w14:paraId="3F28BE82">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按照制造单位要求进行清洁、调整</w:t>
            </w:r>
          </w:p>
        </w:tc>
      </w:tr>
      <w:tr w14:paraId="7D3FBB0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4" w:hRule="atLeast"/>
        </w:trPr>
        <w:tc>
          <w:tcPr>
            <w:tcW w:w="474" w:type="dxa"/>
            <w:noWrap/>
            <w:vAlign w:val="center"/>
          </w:tcPr>
          <w:p w14:paraId="1C80A890">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w:t>
            </w:r>
          </w:p>
        </w:tc>
        <w:tc>
          <w:tcPr>
            <w:tcW w:w="3362" w:type="dxa"/>
            <w:noWrap/>
            <w:vAlign w:val="center"/>
          </w:tcPr>
          <w:p w14:paraId="11FA5311">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层门门导靴</w:t>
            </w:r>
          </w:p>
        </w:tc>
        <w:tc>
          <w:tcPr>
            <w:tcW w:w="4686" w:type="dxa"/>
            <w:noWrap/>
            <w:vAlign w:val="center"/>
          </w:tcPr>
          <w:p w14:paraId="1B1B9882">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磨损量不超过制造单位要求</w:t>
            </w:r>
          </w:p>
        </w:tc>
      </w:tr>
      <w:tr w14:paraId="1B715A8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4" w:hRule="atLeast"/>
        </w:trPr>
        <w:tc>
          <w:tcPr>
            <w:tcW w:w="474" w:type="dxa"/>
            <w:noWrap/>
            <w:vAlign w:val="center"/>
          </w:tcPr>
          <w:p w14:paraId="179A5727">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w:t>
            </w:r>
          </w:p>
        </w:tc>
        <w:tc>
          <w:tcPr>
            <w:tcW w:w="3362" w:type="dxa"/>
            <w:noWrap/>
            <w:vAlign w:val="center"/>
          </w:tcPr>
          <w:p w14:paraId="46758B7E">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消防开关</w:t>
            </w:r>
          </w:p>
        </w:tc>
        <w:tc>
          <w:tcPr>
            <w:tcW w:w="4686" w:type="dxa"/>
            <w:noWrap/>
            <w:vAlign w:val="center"/>
          </w:tcPr>
          <w:p w14:paraId="655A2B21">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工作正常，功能有效</w:t>
            </w:r>
          </w:p>
        </w:tc>
      </w:tr>
      <w:tr w14:paraId="2867456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474" w:type="dxa"/>
            <w:noWrap/>
            <w:vAlign w:val="center"/>
          </w:tcPr>
          <w:p w14:paraId="250EAD84">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w:t>
            </w:r>
          </w:p>
        </w:tc>
        <w:tc>
          <w:tcPr>
            <w:tcW w:w="3362" w:type="dxa"/>
            <w:noWrap/>
            <w:vAlign w:val="center"/>
          </w:tcPr>
          <w:p w14:paraId="61D7E98B">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耗能缓冲器</w:t>
            </w:r>
          </w:p>
        </w:tc>
        <w:tc>
          <w:tcPr>
            <w:tcW w:w="4686" w:type="dxa"/>
            <w:noWrap/>
            <w:vAlign w:val="center"/>
          </w:tcPr>
          <w:p w14:paraId="6890DD3D">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电气安全装置功能有效，油量适宜，柱塞无锈蚀</w:t>
            </w:r>
          </w:p>
        </w:tc>
      </w:tr>
      <w:tr w14:paraId="0C81C25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474" w:type="dxa"/>
            <w:noWrap/>
            <w:vAlign w:val="center"/>
          </w:tcPr>
          <w:p w14:paraId="331F846C">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13</w:t>
            </w:r>
          </w:p>
        </w:tc>
        <w:tc>
          <w:tcPr>
            <w:tcW w:w="3362" w:type="dxa"/>
            <w:noWrap/>
            <w:vAlign w:val="center"/>
          </w:tcPr>
          <w:p w14:paraId="243B1F74">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限速器张紧轮装置和电气安全装置</w:t>
            </w:r>
          </w:p>
        </w:tc>
        <w:tc>
          <w:tcPr>
            <w:tcW w:w="4686" w:type="dxa"/>
            <w:noWrap/>
            <w:vAlign w:val="center"/>
          </w:tcPr>
          <w:p w14:paraId="25B8529D">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工作正常</w:t>
            </w:r>
          </w:p>
        </w:tc>
      </w:tr>
    </w:tbl>
    <w:p w14:paraId="3F2E56CC">
      <w:pPr>
        <w:rPr>
          <w:rFonts w:hint="eastAsia" w:ascii="宋体" w:hAnsi="宋体" w:eastAsia="宋体" w:cs="宋体"/>
          <w:color w:val="auto"/>
          <w:sz w:val="21"/>
          <w:szCs w:val="21"/>
          <w:highlight w:val="none"/>
        </w:rPr>
      </w:pPr>
    </w:p>
    <w:p w14:paraId="69D058FD">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（3）半年维保项目（内容）和要求</w:t>
      </w:r>
    </w:p>
    <w:tbl>
      <w:tblPr>
        <w:tblStyle w:val="37"/>
        <w:tblW w:w="5000"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631"/>
        <w:gridCol w:w="3348"/>
        <w:gridCol w:w="4543"/>
      </w:tblGrid>
      <w:tr w14:paraId="54920E1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2" w:hRule="atLeast"/>
        </w:trPr>
        <w:tc>
          <w:tcPr>
            <w:tcW w:w="631" w:type="dxa"/>
            <w:noWrap/>
            <w:vAlign w:val="center"/>
          </w:tcPr>
          <w:p w14:paraId="6064A7CD">
            <w:pPr>
              <w:spacing w:line="360" w:lineRule="exact"/>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序号</w:t>
            </w:r>
          </w:p>
        </w:tc>
        <w:tc>
          <w:tcPr>
            <w:tcW w:w="3348" w:type="dxa"/>
            <w:noWrap/>
            <w:vAlign w:val="center"/>
          </w:tcPr>
          <w:p w14:paraId="5EE9D3EB">
            <w:pPr>
              <w:spacing w:line="360" w:lineRule="exact"/>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维保项目（内容）</w:t>
            </w:r>
          </w:p>
        </w:tc>
        <w:tc>
          <w:tcPr>
            <w:tcW w:w="4543" w:type="dxa"/>
            <w:noWrap/>
            <w:vAlign w:val="center"/>
          </w:tcPr>
          <w:p w14:paraId="1BAE3970">
            <w:pPr>
              <w:spacing w:line="360" w:lineRule="exact"/>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维保基本要求</w:t>
            </w:r>
          </w:p>
        </w:tc>
      </w:tr>
      <w:tr w14:paraId="6FDCC3C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2" w:hRule="atLeast"/>
        </w:trPr>
        <w:tc>
          <w:tcPr>
            <w:tcW w:w="631" w:type="dxa"/>
            <w:noWrap/>
            <w:vAlign w:val="center"/>
          </w:tcPr>
          <w:p w14:paraId="64B9CE20">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3348" w:type="dxa"/>
            <w:noWrap/>
            <w:vAlign w:val="center"/>
          </w:tcPr>
          <w:p w14:paraId="319A23EC">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电动机与减速机联轴器</w:t>
            </w:r>
          </w:p>
        </w:tc>
        <w:tc>
          <w:tcPr>
            <w:tcW w:w="4543" w:type="dxa"/>
            <w:noWrap/>
            <w:vAlign w:val="center"/>
          </w:tcPr>
          <w:p w14:paraId="1D048A58">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连接无松动，弹性元件外观良好，无老化等现象</w:t>
            </w:r>
          </w:p>
        </w:tc>
      </w:tr>
      <w:tr w14:paraId="7D03D13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2" w:hRule="atLeast"/>
        </w:trPr>
        <w:tc>
          <w:tcPr>
            <w:tcW w:w="631" w:type="dxa"/>
            <w:noWrap/>
            <w:vAlign w:val="center"/>
          </w:tcPr>
          <w:p w14:paraId="5032509E">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3348" w:type="dxa"/>
            <w:noWrap/>
            <w:vAlign w:val="center"/>
          </w:tcPr>
          <w:p w14:paraId="14426B91">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驱动轮、导向轮轴承部</w:t>
            </w:r>
          </w:p>
        </w:tc>
        <w:tc>
          <w:tcPr>
            <w:tcW w:w="4543" w:type="dxa"/>
            <w:noWrap/>
            <w:vAlign w:val="center"/>
          </w:tcPr>
          <w:p w14:paraId="1115C082">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无异常声，无振动，润滑良好</w:t>
            </w:r>
          </w:p>
        </w:tc>
      </w:tr>
      <w:tr w14:paraId="0F58ADF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2" w:hRule="atLeast"/>
        </w:trPr>
        <w:tc>
          <w:tcPr>
            <w:tcW w:w="631" w:type="dxa"/>
            <w:noWrap/>
            <w:vAlign w:val="center"/>
          </w:tcPr>
          <w:p w14:paraId="6BC71E13">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p>
        </w:tc>
        <w:tc>
          <w:tcPr>
            <w:tcW w:w="3348" w:type="dxa"/>
            <w:noWrap/>
            <w:vAlign w:val="center"/>
          </w:tcPr>
          <w:p w14:paraId="51F26621">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曳引轮槽</w:t>
            </w:r>
          </w:p>
        </w:tc>
        <w:tc>
          <w:tcPr>
            <w:tcW w:w="4543" w:type="dxa"/>
            <w:noWrap/>
            <w:vAlign w:val="center"/>
          </w:tcPr>
          <w:p w14:paraId="49AC689C">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磨损量不超过制造单位要求</w:t>
            </w:r>
          </w:p>
        </w:tc>
      </w:tr>
      <w:tr w14:paraId="452B6F1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2" w:hRule="atLeast"/>
        </w:trPr>
        <w:tc>
          <w:tcPr>
            <w:tcW w:w="631" w:type="dxa"/>
            <w:noWrap/>
            <w:vAlign w:val="center"/>
          </w:tcPr>
          <w:p w14:paraId="4476C4AE">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w:t>
            </w:r>
          </w:p>
        </w:tc>
        <w:tc>
          <w:tcPr>
            <w:tcW w:w="3348" w:type="dxa"/>
            <w:noWrap/>
            <w:vAlign w:val="center"/>
          </w:tcPr>
          <w:p w14:paraId="40A55AB1">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制动器动作状态监测装置</w:t>
            </w:r>
          </w:p>
        </w:tc>
        <w:tc>
          <w:tcPr>
            <w:tcW w:w="4543" w:type="dxa"/>
            <w:noWrap/>
            <w:vAlign w:val="center"/>
          </w:tcPr>
          <w:p w14:paraId="6A46D473">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工作正常，制动器动作可靠</w:t>
            </w:r>
          </w:p>
        </w:tc>
      </w:tr>
      <w:tr w14:paraId="59FC238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2" w:hRule="atLeast"/>
        </w:trPr>
        <w:tc>
          <w:tcPr>
            <w:tcW w:w="631" w:type="dxa"/>
            <w:noWrap/>
            <w:vAlign w:val="center"/>
          </w:tcPr>
          <w:p w14:paraId="2543D266">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3348" w:type="dxa"/>
            <w:noWrap/>
            <w:vAlign w:val="center"/>
          </w:tcPr>
          <w:p w14:paraId="4F898062">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控制柜内各接线端子</w:t>
            </w:r>
          </w:p>
        </w:tc>
        <w:tc>
          <w:tcPr>
            <w:tcW w:w="4543" w:type="dxa"/>
            <w:noWrap/>
            <w:vAlign w:val="center"/>
          </w:tcPr>
          <w:p w14:paraId="22A8A5F0">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各接线紧固、整齐，线号齐全清晰</w:t>
            </w:r>
          </w:p>
        </w:tc>
      </w:tr>
      <w:tr w14:paraId="5A4516F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2" w:hRule="atLeast"/>
        </w:trPr>
        <w:tc>
          <w:tcPr>
            <w:tcW w:w="631" w:type="dxa"/>
            <w:noWrap/>
            <w:vAlign w:val="center"/>
          </w:tcPr>
          <w:p w14:paraId="39258C28">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w:t>
            </w:r>
          </w:p>
        </w:tc>
        <w:tc>
          <w:tcPr>
            <w:tcW w:w="3348" w:type="dxa"/>
            <w:noWrap/>
            <w:vAlign w:val="center"/>
          </w:tcPr>
          <w:p w14:paraId="45ED4C74">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控制柜各仪表</w:t>
            </w:r>
          </w:p>
        </w:tc>
        <w:tc>
          <w:tcPr>
            <w:tcW w:w="4543" w:type="dxa"/>
            <w:noWrap/>
            <w:vAlign w:val="center"/>
          </w:tcPr>
          <w:p w14:paraId="5BF606BE">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显示正确</w:t>
            </w:r>
          </w:p>
        </w:tc>
      </w:tr>
      <w:tr w14:paraId="721BFD2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2" w:hRule="atLeast"/>
        </w:trPr>
        <w:tc>
          <w:tcPr>
            <w:tcW w:w="631" w:type="dxa"/>
            <w:noWrap/>
            <w:vAlign w:val="center"/>
          </w:tcPr>
          <w:p w14:paraId="0F48C113">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w:t>
            </w:r>
          </w:p>
        </w:tc>
        <w:tc>
          <w:tcPr>
            <w:tcW w:w="3348" w:type="dxa"/>
            <w:noWrap/>
            <w:vAlign w:val="center"/>
          </w:tcPr>
          <w:p w14:paraId="3CBAF965">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井道、对重、轿顶各反绳轮轴承部</w:t>
            </w:r>
          </w:p>
        </w:tc>
        <w:tc>
          <w:tcPr>
            <w:tcW w:w="4543" w:type="dxa"/>
            <w:noWrap/>
            <w:vAlign w:val="center"/>
          </w:tcPr>
          <w:p w14:paraId="0110379C">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无异常声，无振动，润滑良好</w:t>
            </w:r>
          </w:p>
        </w:tc>
      </w:tr>
      <w:tr w14:paraId="7D48D1F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2" w:hRule="atLeast"/>
        </w:trPr>
        <w:tc>
          <w:tcPr>
            <w:tcW w:w="631" w:type="dxa"/>
            <w:noWrap/>
            <w:vAlign w:val="center"/>
          </w:tcPr>
          <w:p w14:paraId="7B6322BB">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w:t>
            </w:r>
          </w:p>
        </w:tc>
        <w:tc>
          <w:tcPr>
            <w:tcW w:w="3348" w:type="dxa"/>
            <w:noWrap/>
            <w:vAlign w:val="center"/>
          </w:tcPr>
          <w:p w14:paraId="32C26C65">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曳引绳、补偿绳</w:t>
            </w:r>
          </w:p>
        </w:tc>
        <w:tc>
          <w:tcPr>
            <w:tcW w:w="4543" w:type="dxa"/>
            <w:noWrap/>
            <w:vAlign w:val="center"/>
          </w:tcPr>
          <w:p w14:paraId="15F0DF92">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磨损量、断丝数不超过要求</w:t>
            </w:r>
          </w:p>
        </w:tc>
      </w:tr>
      <w:tr w14:paraId="7463ACC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2" w:hRule="atLeast"/>
        </w:trPr>
        <w:tc>
          <w:tcPr>
            <w:tcW w:w="631" w:type="dxa"/>
            <w:noWrap/>
            <w:vAlign w:val="center"/>
          </w:tcPr>
          <w:p w14:paraId="4BBC2A09">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w:t>
            </w:r>
          </w:p>
        </w:tc>
        <w:tc>
          <w:tcPr>
            <w:tcW w:w="3348" w:type="dxa"/>
            <w:noWrap/>
            <w:vAlign w:val="center"/>
          </w:tcPr>
          <w:p w14:paraId="6858E944">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曳引绳绳头组合</w:t>
            </w:r>
          </w:p>
        </w:tc>
        <w:tc>
          <w:tcPr>
            <w:tcW w:w="4543" w:type="dxa"/>
            <w:noWrap/>
            <w:vAlign w:val="center"/>
          </w:tcPr>
          <w:p w14:paraId="6CA19FED">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螺母无松动</w:t>
            </w:r>
          </w:p>
        </w:tc>
      </w:tr>
      <w:tr w14:paraId="6A23F74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7" w:hRule="atLeast"/>
        </w:trPr>
        <w:tc>
          <w:tcPr>
            <w:tcW w:w="631" w:type="dxa"/>
            <w:noWrap/>
            <w:vAlign w:val="center"/>
          </w:tcPr>
          <w:p w14:paraId="15F9FCE8">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w:t>
            </w:r>
          </w:p>
        </w:tc>
        <w:tc>
          <w:tcPr>
            <w:tcW w:w="3348" w:type="dxa"/>
            <w:noWrap/>
            <w:vAlign w:val="center"/>
          </w:tcPr>
          <w:p w14:paraId="152E1754">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限速器钢丝绳</w:t>
            </w:r>
          </w:p>
        </w:tc>
        <w:tc>
          <w:tcPr>
            <w:tcW w:w="4543" w:type="dxa"/>
            <w:noWrap/>
            <w:vAlign w:val="center"/>
          </w:tcPr>
          <w:p w14:paraId="204DEE32">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磨损量、断丝数不超过制造单位要求</w:t>
            </w:r>
          </w:p>
        </w:tc>
      </w:tr>
      <w:tr w14:paraId="4ECD7B9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7" w:hRule="atLeast"/>
        </w:trPr>
        <w:tc>
          <w:tcPr>
            <w:tcW w:w="631" w:type="dxa"/>
            <w:noWrap/>
            <w:vAlign w:val="center"/>
          </w:tcPr>
          <w:p w14:paraId="7AC06459">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w:t>
            </w:r>
          </w:p>
        </w:tc>
        <w:tc>
          <w:tcPr>
            <w:tcW w:w="3348" w:type="dxa"/>
            <w:noWrap/>
            <w:vAlign w:val="center"/>
          </w:tcPr>
          <w:p w14:paraId="75A54E02">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层门、轿门门扇</w:t>
            </w:r>
          </w:p>
        </w:tc>
        <w:tc>
          <w:tcPr>
            <w:tcW w:w="4543" w:type="dxa"/>
            <w:noWrap/>
            <w:vAlign w:val="center"/>
          </w:tcPr>
          <w:p w14:paraId="0F87690E">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门扇各相关间隙符合标准</w:t>
            </w:r>
          </w:p>
        </w:tc>
      </w:tr>
      <w:tr w14:paraId="6A3340E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7" w:hRule="atLeast"/>
        </w:trPr>
        <w:tc>
          <w:tcPr>
            <w:tcW w:w="631" w:type="dxa"/>
            <w:noWrap/>
            <w:vAlign w:val="center"/>
          </w:tcPr>
          <w:p w14:paraId="2658C675">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w:t>
            </w:r>
          </w:p>
        </w:tc>
        <w:tc>
          <w:tcPr>
            <w:tcW w:w="3348" w:type="dxa"/>
            <w:noWrap/>
            <w:vAlign w:val="center"/>
          </w:tcPr>
          <w:p w14:paraId="500E7998">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轿门开门限制装置</w:t>
            </w:r>
          </w:p>
        </w:tc>
        <w:tc>
          <w:tcPr>
            <w:tcW w:w="4543" w:type="dxa"/>
            <w:noWrap/>
            <w:vAlign w:val="center"/>
          </w:tcPr>
          <w:p w14:paraId="2290D666">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工作正常</w:t>
            </w:r>
          </w:p>
        </w:tc>
      </w:tr>
      <w:tr w14:paraId="0AF3A53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2" w:hRule="atLeast"/>
        </w:trPr>
        <w:tc>
          <w:tcPr>
            <w:tcW w:w="631" w:type="dxa"/>
            <w:noWrap/>
            <w:vAlign w:val="center"/>
          </w:tcPr>
          <w:p w14:paraId="19B5FAA8">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13</w:t>
            </w:r>
          </w:p>
        </w:tc>
        <w:tc>
          <w:tcPr>
            <w:tcW w:w="3348" w:type="dxa"/>
            <w:noWrap/>
            <w:vAlign w:val="center"/>
          </w:tcPr>
          <w:p w14:paraId="78789F5A">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对重缓冲距</w:t>
            </w:r>
          </w:p>
        </w:tc>
        <w:tc>
          <w:tcPr>
            <w:tcW w:w="4543" w:type="dxa"/>
            <w:noWrap/>
            <w:vAlign w:val="center"/>
          </w:tcPr>
          <w:p w14:paraId="0832998A">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符合标准</w:t>
            </w:r>
          </w:p>
        </w:tc>
      </w:tr>
      <w:tr w14:paraId="5327013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2" w:hRule="atLeast"/>
        </w:trPr>
        <w:tc>
          <w:tcPr>
            <w:tcW w:w="631" w:type="dxa"/>
            <w:noWrap/>
            <w:vAlign w:val="center"/>
          </w:tcPr>
          <w:p w14:paraId="44B67B77">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14</w:t>
            </w:r>
          </w:p>
        </w:tc>
        <w:tc>
          <w:tcPr>
            <w:tcW w:w="3348" w:type="dxa"/>
            <w:noWrap/>
            <w:vAlign w:val="center"/>
          </w:tcPr>
          <w:p w14:paraId="46A5B29D">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补偿链（绳）与轿厢、对重接合处</w:t>
            </w:r>
          </w:p>
        </w:tc>
        <w:tc>
          <w:tcPr>
            <w:tcW w:w="4543" w:type="dxa"/>
            <w:noWrap/>
            <w:vAlign w:val="center"/>
          </w:tcPr>
          <w:p w14:paraId="2221EAF8">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固定、无松动</w:t>
            </w:r>
          </w:p>
        </w:tc>
      </w:tr>
      <w:tr w14:paraId="622610E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3" w:hRule="atLeast"/>
        </w:trPr>
        <w:tc>
          <w:tcPr>
            <w:tcW w:w="631" w:type="dxa"/>
            <w:noWrap/>
            <w:vAlign w:val="center"/>
          </w:tcPr>
          <w:p w14:paraId="64196C00">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15</w:t>
            </w:r>
          </w:p>
        </w:tc>
        <w:tc>
          <w:tcPr>
            <w:tcW w:w="3348" w:type="dxa"/>
            <w:noWrap/>
            <w:vAlign w:val="center"/>
          </w:tcPr>
          <w:p w14:paraId="13556B98">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上下极限开关</w:t>
            </w:r>
          </w:p>
        </w:tc>
        <w:tc>
          <w:tcPr>
            <w:tcW w:w="4543" w:type="dxa"/>
            <w:noWrap/>
            <w:vAlign w:val="center"/>
          </w:tcPr>
          <w:p w14:paraId="0D566760">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工作正常</w:t>
            </w:r>
          </w:p>
        </w:tc>
      </w:tr>
    </w:tbl>
    <w:p w14:paraId="6E647CF4">
      <w:pPr>
        <w:spacing w:line="360" w:lineRule="exact"/>
        <w:rPr>
          <w:rFonts w:hint="eastAsia" w:ascii="宋体" w:hAnsi="宋体" w:eastAsia="宋体" w:cs="宋体"/>
          <w:color w:val="auto"/>
          <w:sz w:val="21"/>
          <w:szCs w:val="21"/>
          <w:highlight w:val="none"/>
        </w:rPr>
      </w:pPr>
    </w:p>
    <w:p w14:paraId="52222164">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（4）年度维保项目（内容）和要求</w:t>
      </w:r>
    </w:p>
    <w:tbl>
      <w:tblPr>
        <w:tblStyle w:val="37"/>
        <w:tblW w:w="5000"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95"/>
        <w:gridCol w:w="4843"/>
        <w:gridCol w:w="2784"/>
      </w:tblGrid>
      <w:tr w14:paraId="25DD45E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2" w:hRule="atLeast"/>
        </w:trPr>
        <w:tc>
          <w:tcPr>
            <w:tcW w:w="895" w:type="dxa"/>
            <w:noWrap/>
            <w:vAlign w:val="center"/>
          </w:tcPr>
          <w:p w14:paraId="5A651710">
            <w:pPr>
              <w:spacing w:line="360" w:lineRule="exact"/>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序号</w:t>
            </w:r>
          </w:p>
        </w:tc>
        <w:tc>
          <w:tcPr>
            <w:tcW w:w="4843" w:type="dxa"/>
            <w:noWrap/>
            <w:vAlign w:val="center"/>
          </w:tcPr>
          <w:p w14:paraId="645F3647">
            <w:pPr>
              <w:spacing w:line="360" w:lineRule="exact"/>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维保项目（内容）</w:t>
            </w:r>
          </w:p>
        </w:tc>
        <w:tc>
          <w:tcPr>
            <w:tcW w:w="2784" w:type="dxa"/>
            <w:noWrap/>
            <w:vAlign w:val="center"/>
          </w:tcPr>
          <w:p w14:paraId="644614B7">
            <w:pPr>
              <w:spacing w:line="360" w:lineRule="exact"/>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维保基本要求</w:t>
            </w:r>
          </w:p>
        </w:tc>
      </w:tr>
      <w:tr w14:paraId="3E0A5F0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2" w:hRule="atLeast"/>
        </w:trPr>
        <w:tc>
          <w:tcPr>
            <w:tcW w:w="895" w:type="dxa"/>
            <w:noWrap/>
            <w:vAlign w:val="center"/>
          </w:tcPr>
          <w:p w14:paraId="11B414D2">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4843" w:type="dxa"/>
            <w:noWrap/>
            <w:vAlign w:val="center"/>
          </w:tcPr>
          <w:p w14:paraId="1FDDEB72">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减速机润滑油</w:t>
            </w:r>
          </w:p>
        </w:tc>
        <w:tc>
          <w:tcPr>
            <w:tcW w:w="2784" w:type="dxa"/>
            <w:noWrap/>
            <w:vAlign w:val="center"/>
          </w:tcPr>
          <w:p w14:paraId="1439DAC6">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按照制造单位要求适时更换，保证油质符合要求</w:t>
            </w:r>
          </w:p>
        </w:tc>
      </w:tr>
      <w:tr w14:paraId="22050AF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8" w:hRule="atLeast"/>
        </w:trPr>
        <w:tc>
          <w:tcPr>
            <w:tcW w:w="895" w:type="dxa"/>
            <w:noWrap/>
            <w:vAlign w:val="center"/>
          </w:tcPr>
          <w:p w14:paraId="4A08A511">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4843" w:type="dxa"/>
            <w:noWrap/>
            <w:vAlign w:val="center"/>
          </w:tcPr>
          <w:p w14:paraId="76D673F7">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控制柜接触器，继电器触点</w:t>
            </w:r>
          </w:p>
        </w:tc>
        <w:tc>
          <w:tcPr>
            <w:tcW w:w="2784" w:type="dxa"/>
            <w:noWrap/>
            <w:vAlign w:val="center"/>
          </w:tcPr>
          <w:p w14:paraId="1460101F">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接触良好</w:t>
            </w:r>
          </w:p>
        </w:tc>
      </w:tr>
      <w:tr w14:paraId="34164F8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1" w:hRule="atLeast"/>
        </w:trPr>
        <w:tc>
          <w:tcPr>
            <w:tcW w:w="895" w:type="dxa"/>
            <w:noWrap/>
            <w:vAlign w:val="center"/>
          </w:tcPr>
          <w:p w14:paraId="142554AE">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p>
        </w:tc>
        <w:tc>
          <w:tcPr>
            <w:tcW w:w="4843" w:type="dxa"/>
            <w:noWrap/>
            <w:vAlign w:val="center"/>
          </w:tcPr>
          <w:p w14:paraId="493E4956">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制动器铁芯（柱塞）</w:t>
            </w:r>
          </w:p>
        </w:tc>
        <w:tc>
          <w:tcPr>
            <w:tcW w:w="2784" w:type="dxa"/>
            <w:noWrap/>
            <w:vAlign w:val="center"/>
          </w:tcPr>
          <w:p w14:paraId="6319E900">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进行清洁、润滑、检查，磨损量不超过制造单位要求</w:t>
            </w:r>
          </w:p>
        </w:tc>
      </w:tr>
      <w:tr w14:paraId="3989340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1" w:hRule="atLeast"/>
        </w:trPr>
        <w:tc>
          <w:tcPr>
            <w:tcW w:w="895" w:type="dxa"/>
            <w:noWrap/>
            <w:vAlign w:val="center"/>
          </w:tcPr>
          <w:p w14:paraId="229B3F87">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w:t>
            </w:r>
          </w:p>
        </w:tc>
        <w:tc>
          <w:tcPr>
            <w:tcW w:w="4843" w:type="dxa"/>
            <w:noWrap/>
            <w:vAlign w:val="center"/>
          </w:tcPr>
          <w:p w14:paraId="131FF8B4">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制动器制动能力</w:t>
            </w:r>
          </w:p>
        </w:tc>
        <w:tc>
          <w:tcPr>
            <w:tcW w:w="2784" w:type="dxa"/>
            <w:noWrap/>
            <w:vAlign w:val="center"/>
          </w:tcPr>
          <w:p w14:paraId="58470D38">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符合制造单位要求，保持有足够的制动力，必要时进行轿厢125%额定载重量的制动试验</w:t>
            </w:r>
          </w:p>
        </w:tc>
      </w:tr>
      <w:tr w14:paraId="09A5016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8" w:hRule="atLeast"/>
        </w:trPr>
        <w:tc>
          <w:tcPr>
            <w:tcW w:w="895" w:type="dxa"/>
            <w:noWrap/>
            <w:vAlign w:val="center"/>
          </w:tcPr>
          <w:p w14:paraId="37ADA20B">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4843" w:type="dxa"/>
            <w:noWrap/>
            <w:vAlign w:val="center"/>
          </w:tcPr>
          <w:p w14:paraId="07843737">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导电回路绝缘性能测试</w:t>
            </w:r>
          </w:p>
        </w:tc>
        <w:tc>
          <w:tcPr>
            <w:tcW w:w="2784" w:type="dxa"/>
            <w:noWrap/>
            <w:vAlign w:val="center"/>
          </w:tcPr>
          <w:p w14:paraId="198DAC64">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符合标准</w:t>
            </w:r>
          </w:p>
        </w:tc>
      </w:tr>
      <w:tr w14:paraId="042DE3E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52" w:hRule="atLeast"/>
        </w:trPr>
        <w:tc>
          <w:tcPr>
            <w:tcW w:w="895" w:type="dxa"/>
            <w:tcBorders>
              <w:top w:val="single" w:color="auto" w:sz="6" w:space="0"/>
              <w:left w:val="single" w:color="auto" w:sz="12" w:space="0"/>
              <w:bottom w:val="single" w:color="auto" w:sz="6" w:space="0"/>
              <w:right w:val="single" w:color="auto" w:sz="6" w:space="0"/>
            </w:tcBorders>
            <w:noWrap/>
            <w:vAlign w:val="center"/>
          </w:tcPr>
          <w:p w14:paraId="56ECA9C3">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w:t>
            </w:r>
          </w:p>
        </w:tc>
        <w:tc>
          <w:tcPr>
            <w:tcW w:w="4843" w:type="dxa"/>
            <w:tcBorders>
              <w:top w:val="single" w:color="auto" w:sz="6" w:space="0"/>
              <w:left w:val="single" w:color="auto" w:sz="6" w:space="0"/>
              <w:bottom w:val="single" w:color="auto" w:sz="6" w:space="0"/>
              <w:right w:val="single" w:color="auto" w:sz="6" w:space="0"/>
            </w:tcBorders>
            <w:noWrap/>
            <w:vAlign w:val="center"/>
          </w:tcPr>
          <w:p w14:paraId="2D96EFEA">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限速器安全钳联动试验（对于使用年限不超过15年的限速器，每2年进行一次限速器动作速度校验；对于使用年限超过15年的限速器，每1年进行一次限速器动作速度校验</w:t>
            </w:r>
          </w:p>
        </w:tc>
        <w:tc>
          <w:tcPr>
            <w:tcW w:w="2784" w:type="dxa"/>
            <w:tcBorders>
              <w:top w:val="single" w:color="auto" w:sz="6" w:space="0"/>
              <w:left w:val="single" w:color="auto" w:sz="6" w:space="0"/>
              <w:bottom w:val="single" w:color="auto" w:sz="6" w:space="0"/>
              <w:right w:val="single" w:color="auto" w:sz="12" w:space="0"/>
            </w:tcBorders>
            <w:noWrap/>
            <w:vAlign w:val="center"/>
          </w:tcPr>
          <w:p w14:paraId="3E46FD17">
            <w:pPr>
              <w:spacing w:line="360" w:lineRule="exact"/>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工作正常</w:t>
            </w:r>
            <w:r>
              <w:rPr>
                <w:rFonts w:hint="eastAsia" w:ascii="宋体" w:hAnsi="宋体" w:cs="宋体"/>
                <w:color w:val="auto"/>
                <w:sz w:val="21"/>
                <w:szCs w:val="21"/>
                <w:highlight w:val="none"/>
                <w:lang w:eastAsia="zh-CN"/>
              </w:rPr>
              <w:t>（以本项目现场电梯的使用时间为准）</w:t>
            </w:r>
          </w:p>
        </w:tc>
      </w:tr>
      <w:tr w14:paraId="3FEF591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8" w:hRule="atLeast"/>
        </w:trPr>
        <w:tc>
          <w:tcPr>
            <w:tcW w:w="895" w:type="dxa"/>
            <w:tcBorders>
              <w:top w:val="single" w:color="auto" w:sz="6" w:space="0"/>
              <w:left w:val="single" w:color="auto" w:sz="12" w:space="0"/>
              <w:bottom w:val="single" w:color="auto" w:sz="6" w:space="0"/>
              <w:right w:val="single" w:color="auto" w:sz="6" w:space="0"/>
            </w:tcBorders>
            <w:noWrap/>
            <w:vAlign w:val="center"/>
          </w:tcPr>
          <w:p w14:paraId="3E936FA2">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w:t>
            </w:r>
          </w:p>
        </w:tc>
        <w:tc>
          <w:tcPr>
            <w:tcW w:w="4843" w:type="dxa"/>
            <w:tcBorders>
              <w:top w:val="single" w:color="auto" w:sz="6" w:space="0"/>
              <w:left w:val="single" w:color="auto" w:sz="6" w:space="0"/>
              <w:bottom w:val="single" w:color="auto" w:sz="6" w:space="0"/>
              <w:right w:val="single" w:color="auto" w:sz="6" w:space="0"/>
            </w:tcBorders>
            <w:noWrap/>
            <w:vAlign w:val="center"/>
          </w:tcPr>
          <w:p w14:paraId="2F872950">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上行超速保护装置动作试验</w:t>
            </w:r>
          </w:p>
        </w:tc>
        <w:tc>
          <w:tcPr>
            <w:tcW w:w="2784" w:type="dxa"/>
            <w:tcBorders>
              <w:top w:val="single" w:color="auto" w:sz="6" w:space="0"/>
              <w:left w:val="single" w:color="auto" w:sz="6" w:space="0"/>
              <w:bottom w:val="single" w:color="auto" w:sz="6" w:space="0"/>
              <w:right w:val="single" w:color="auto" w:sz="12" w:space="0"/>
            </w:tcBorders>
            <w:noWrap/>
            <w:vAlign w:val="center"/>
          </w:tcPr>
          <w:p w14:paraId="761CE18B">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工作正常</w:t>
            </w:r>
          </w:p>
        </w:tc>
      </w:tr>
      <w:tr w14:paraId="0CD47C3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8" w:hRule="atLeast"/>
        </w:trPr>
        <w:tc>
          <w:tcPr>
            <w:tcW w:w="895" w:type="dxa"/>
            <w:tcBorders>
              <w:top w:val="single" w:color="auto" w:sz="6" w:space="0"/>
              <w:left w:val="single" w:color="auto" w:sz="12" w:space="0"/>
              <w:bottom w:val="single" w:color="auto" w:sz="6" w:space="0"/>
              <w:right w:val="single" w:color="auto" w:sz="6" w:space="0"/>
            </w:tcBorders>
            <w:noWrap/>
            <w:vAlign w:val="center"/>
          </w:tcPr>
          <w:p w14:paraId="2F374E0D">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w:t>
            </w:r>
          </w:p>
        </w:tc>
        <w:tc>
          <w:tcPr>
            <w:tcW w:w="4843" w:type="dxa"/>
            <w:tcBorders>
              <w:top w:val="single" w:color="auto" w:sz="6" w:space="0"/>
              <w:left w:val="single" w:color="auto" w:sz="6" w:space="0"/>
              <w:bottom w:val="single" w:color="auto" w:sz="6" w:space="0"/>
              <w:right w:val="single" w:color="auto" w:sz="6" w:space="0"/>
            </w:tcBorders>
            <w:noWrap/>
            <w:vAlign w:val="center"/>
          </w:tcPr>
          <w:p w14:paraId="2A886186">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轿厢意外移动保护装置动作试验</w:t>
            </w:r>
          </w:p>
        </w:tc>
        <w:tc>
          <w:tcPr>
            <w:tcW w:w="2784" w:type="dxa"/>
            <w:tcBorders>
              <w:top w:val="single" w:color="auto" w:sz="6" w:space="0"/>
              <w:left w:val="single" w:color="auto" w:sz="6" w:space="0"/>
              <w:bottom w:val="single" w:color="auto" w:sz="6" w:space="0"/>
              <w:right w:val="single" w:color="auto" w:sz="12" w:space="0"/>
            </w:tcBorders>
            <w:noWrap/>
            <w:vAlign w:val="center"/>
          </w:tcPr>
          <w:p w14:paraId="0F8DAB0F">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工作正常</w:t>
            </w:r>
          </w:p>
        </w:tc>
      </w:tr>
      <w:tr w14:paraId="0BC12FA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1" w:hRule="atLeast"/>
        </w:trPr>
        <w:tc>
          <w:tcPr>
            <w:tcW w:w="895" w:type="dxa"/>
            <w:tcBorders>
              <w:top w:val="single" w:color="auto" w:sz="6" w:space="0"/>
              <w:left w:val="single" w:color="auto" w:sz="12" w:space="0"/>
              <w:bottom w:val="single" w:color="auto" w:sz="6" w:space="0"/>
              <w:right w:val="single" w:color="auto" w:sz="6" w:space="0"/>
            </w:tcBorders>
            <w:noWrap/>
            <w:vAlign w:val="center"/>
          </w:tcPr>
          <w:p w14:paraId="7C2072B9">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w:t>
            </w:r>
          </w:p>
        </w:tc>
        <w:tc>
          <w:tcPr>
            <w:tcW w:w="4843" w:type="dxa"/>
            <w:tcBorders>
              <w:top w:val="single" w:color="auto" w:sz="6" w:space="0"/>
              <w:left w:val="single" w:color="auto" w:sz="6" w:space="0"/>
              <w:bottom w:val="single" w:color="auto" w:sz="6" w:space="0"/>
              <w:right w:val="single" w:color="auto" w:sz="6" w:space="0"/>
            </w:tcBorders>
            <w:noWrap/>
            <w:vAlign w:val="center"/>
          </w:tcPr>
          <w:p w14:paraId="4EAF73A2">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轿顶、轿厢架、轿门及其附件安装螺栓</w:t>
            </w:r>
          </w:p>
        </w:tc>
        <w:tc>
          <w:tcPr>
            <w:tcW w:w="2784" w:type="dxa"/>
            <w:tcBorders>
              <w:top w:val="single" w:color="auto" w:sz="6" w:space="0"/>
              <w:left w:val="single" w:color="auto" w:sz="6" w:space="0"/>
              <w:bottom w:val="single" w:color="auto" w:sz="6" w:space="0"/>
              <w:right w:val="single" w:color="auto" w:sz="12" w:space="0"/>
            </w:tcBorders>
            <w:noWrap/>
            <w:vAlign w:val="center"/>
          </w:tcPr>
          <w:p w14:paraId="4CE11250">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紧固</w:t>
            </w:r>
          </w:p>
        </w:tc>
      </w:tr>
      <w:tr w14:paraId="5E73D6F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8" w:hRule="atLeast"/>
        </w:trPr>
        <w:tc>
          <w:tcPr>
            <w:tcW w:w="895" w:type="dxa"/>
            <w:tcBorders>
              <w:top w:val="single" w:color="auto" w:sz="6" w:space="0"/>
              <w:left w:val="single" w:color="auto" w:sz="12" w:space="0"/>
              <w:bottom w:val="single" w:color="auto" w:sz="6" w:space="0"/>
              <w:right w:val="single" w:color="auto" w:sz="6" w:space="0"/>
            </w:tcBorders>
            <w:noWrap/>
            <w:vAlign w:val="center"/>
          </w:tcPr>
          <w:p w14:paraId="6C025211">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w:t>
            </w:r>
          </w:p>
        </w:tc>
        <w:tc>
          <w:tcPr>
            <w:tcW w:w="4843" w:type="dxa"/>
            <w:tcBorders>
              <w:top w:val="single" w:color="auto" w:sz="6" w:space="0"/>
              <w:left w:val="single" w:color="auto" w:sz="6" w:space="0"/>
              <w:bottom w:val="single" w:color="auto" w:sz="6" w:space="0"/>
              <w:right w:val="single" w:color="auto" w:sz="6" w:space="0"/>
            </w:tcBorders>
            <w:noWrap/>
            <w:vAlign w:val="center"/>
          </w:tcPr>
          <w:p w14:paraId="3E50E7E6">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轿厢和对重的导轨支架</w:t>
            </w:r>
          </w:p>
        </w:tc>
        <w:tc>
          <w:tcPr>
            <w:tcW w:w="2784" w:type="dxa"/>
            <w:tcBorders>
              <w:top w:val="single" w:color="auto" w:sz="6" w:space="0"/>
              <w:left w:val="single" w:color="auto" w:sz="6" w:space="0"/>
              <w:bottom w:val="single" w:color="auto" w:sz="6" w:space="0"/>
              <w:right w:val="single" w:color="auto" w:sz="12" w:space="0"/>
            </w:tcBorders>
            <w:noWrap/>
            <w:vAlign w:val="center"/>
          </w:tcPr>
          <w:p w14:paraId="39E0D44E">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固定，无松动 </w:t>
            </w:r>
          </w:p>
        </w:tc>
      </w:tr>
      <w:tr w14:paraId="48E6B16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7" w:hRule="atLeast"/>
        </w:trPr>
        <w:tc>
          <w:tcPr>
            <w:tcW w:w="895" w:type="dxa"/>
            <w:tcBorders>
              <w:top w:val="single" w:color="auto" w:sz="6" w:space="0"/>
              <w:left w:val="single" w:color="auto" w:sz="12" w:space="0"/>
              <w:bottom w:val="single" w:color="auto" w:sz="6" w:space="0"/>
              <w:right w:val="single" w:color="auto" w:sz="6" w:space="0"/>
            </w:tcBorders>
            <w:noWrap/>
            <w:vAlign w:val="center"/>
          </w:tcPr>
          <w:p w14:paraId="3385FAB3">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w:t>
            </w:r>
          </w:p>
        </w:tc>
        <w:tc>
          <w:tcPr>
            <w:tcW w:w="4843" w:type="dxa"/>
            <w:tcBorders>
              <w:top w:val="single" w:color="auto" w:sz="6" w:space="0"/>
              <w:left w:val="single" w:color="auto" w:sz="6" w:space="0"/>
              <w:bottom w:val="single" w:color="auto" w:sz="6" w:space="0"/>
              <w:right w:val="single" w:color="auto" w:sz="6" w:space="0"/>
            </w:tcBorders>
            <w:noWrap/>
            <w:vAlign w:val="center"/>
          </w:tcPr>
          <w:p w14:paraId="7936FFAA">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轿厢和对重的导轨</w:t>
            </w:r>
          </w:p>
        </w:tc>
        <w:tc>
          <w:tcPr>
            <w:tcW w:w="2784" w:type="dxa"/>
            <w:tcBorders>
              <w:top w:val="single" w:color="auto" w:sz="6" w:space="0"/>
              <w:left w:val="single" w:color="auto" w:sz="6" w:space="0"/>
              <w:bottom w:val="single" w:color="auto" w:sz="6" w:space="0"/>
              <w:right w:val="single" w:color="auto" w:sz="12" w:space="0"/>
            </w:tcBorders>
            <w:noWrap/>
            <w:vAlign w:val="center"/>
          </w:tcPr>
          <w:p w14:paraId="7CE70463">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清洁，压板牢固</w:t>
            </w:r>
          </w:p>
        </w:tc>
      </w:tr>
      <w:tr w14:paraId="6EB3DAA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8" w:hRule="atLeast"/>
        </w:trPr>
        <w:tc>
          <w:tcPr>
            <w:tcW w:w="895" w:type="dxa"/>
            <w:tcBorders>
              <w:top w:val="single" w:color="auto" w:sz="6" w:space="0"/>
              <w:left w:val="single" w:color="auto" w:sz="12" w:space="0"/>
              <w:bottom w:val="single" w:color="auto" w:sz="6" w:space="0"/>
              <w:right w:val="single" w:color="auto" w:sz="6" w:space="0"/>
            </w:tcBorders>
            <w:noWrap/>
            <w:vAlign w:val="center"/>
          </w:tcPr>
          <w:p w14:paraId="1C224C7A">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w:t>
            </w:r>
          </w:p>
        </w:tc>
        <w:tc>
          <w:tcPr>
            <w:tcW w:w="4843" w:type="dxa"/>
            <w:tcBorders>
              <w:top w:val="single" w:color="auto" w:sz="6" w:space="0"/>
              <w:left w:val="single" w:color="auto" w:sz="6" w:space="0"/>
              <w:bottom w:val="single" w:color="auto" w:sz="6" w:space="0"/>
              <w:right w:val="single" w:color="auto" w:sz="6" w:space="0"/>
            </w:tcBorders>
            <w:noWrap/>
            <w:vAlign w:val="center"/>
          </w:tcPr>
          <w:p w14:paraId="00811EC6">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随行电缆</w:t>
            </w:r>
          </w:p>
        </w:tc>
        <w:tc>
          <w:tcPr>
            <w:tcW w:w="2784" w:type="dxa"/>
            <w:tcBorders>
              <w:top w:val="single" w:color="auto" w:sz="6" w:space="0"/>
              <w:left w:val="single" w:color="auto" w:sz="6" w:space="0"/>
              <w:bottom w:val="single" w:color="auto" w:sz="6" w:space="0"/>
              <w:right w:val="single" w:color="auto" w:sz="12" w:space="0"/>
            </w:tcBorders>
            <w:noWrap/>
            <w:vAlign w:val="center"/>
          </w:tcPr>
          <w:p w14:paraId="78F8C3F5">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无损伤</w:t>
            </w:r>
          </w:p>
        </w:tc>
      </w:tr>
      <w:tr w14:paraId="0DD33DB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8" w:hRule="atLeast"/>
        </w:trPr>
        <w:tc>
          <w:tcPr>
            <w:tcW w:w="895" w:type="dxa"/>
            <w:tcBorders>
              <w:top w:val="single" w:color="auto" w:sz="6" w:space="0"/>
              <w:left w:val="single" w:color="auto" w:sz="12" w:space="0"/>
              <w:bottom w:val="single" w:color="auto" w:sz="6" w:space="0"/>
              <w:right w:val="single" w:color="auto" w:sz="6" w:space="0"/>
            </w:tcBorders>
            <w:noWrap/>
            <w:vAlign w:val="center"/>
          </w:tcPr>
          <w:p w14:paraId="1F0C30C9">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13</w:t>
            </w:r>
          </w:p>
        </w:tc>
        <w:tc>
          <w:tcPr>
            <w:tcW w:w="4843" w:type="dxa"/>
            <w:tcBorders>
              <w:top w:val="single" w:color="auto" w:sz="6" w:space="0"/>
              <w:left w:val="single" w:color="auto" w:sz="6" w:space="0"/>
              <w:bottom w:val="single" w:color="auto" w:sz="6" w:space="0"/>
              <w:right w:val="single" w:color="auto" w:sz="6" w:space="0"/>
            </w:tcBorders>
            <w:noWrap/>
            <w:vAlign w:val="center"/>
          </w:tcPr>
          <w:p w14:paraId="26753028">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层门装置和地坎</w:t>
            </w:r>
          </w:p>
        </w:tc>
        <w:tc>
          <w:tcPr>
            <w:tcW w:w="2784" w:type="dxa"/>
            <w:tcBorders>
              <w:top w:val="single" w:color="auto" w:sz="6" w:space="0"/>
              <w:left w:val="single" w:color="auto" w:sz="6" w:space="0"/>
              <w:bottom w:val="single" w:color="auto" w:sz="6" w:space="0"/>
              <w:right w:val="single" w:color="auto" w:sz="12" w:space="0"/>
            </w:tcBorders>
            <w:noWrap/>
            <w:vAlign w:val="center"/>
          </w:tcPr>
          <w:p w14:paraId="656F8465">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无影响正常使用的变形，各安装螺栓紧固</w:t>
            </w:r>
          </w:p>
        </w:tc>
      </w:tr>
      <w:tr w14:paraId="47FE6C2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8" w:hRule="atLeast"/>
        </w:trPr>
        <w:tc>
          <w:tcPr>
            <w:tcW w:w="895" w:type="dxa"/>
            <w:tcBorders>
              <w:top w:val="single" w:color="auto" w:sz="6" w:space="0"/>
              <w:left w:val="single" w:color="auto" w:sz="12" w:space="0"/>
              <w:bottom w:val="single" w:color="auto" w:sz="6" w:space="0"/>
              <w:right w:val="single" w:color="auto" w:sz="6" w:space="0"/>
            </w:tcBorders>
            <w:noWrap/>
            <w:vAlign w:val="center"/>
          </w:tcPr>
          <w:p w14:paraId="32921C41">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14</w:t>
            </w:r>
          </w:p>
        </w:tc>
        <w:tc>
          <w:tcPr>
            <w:tcW w:w="4843" w:type="dxa"/>
            <w:tcBorders>
              <w:top w:val="single" w:color="auto" w:sz="6" w:space="0"/>
              <w:left w:val="single" w:color="auto" w:sz="6" w:space="0"/>
              <w:bottom w:val="single" w:color="auto" w:sz="6" w:space="0"/>
              <w:right w:val="single" w:color="auto" w:sz="6" w:space="0"/>
            </w:tcBorders>
            <w:noWrap/>
            <w:vAlign w:val="center"/>
          </w:tcPr>
          <w:p w14:paraId="173719A2">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轿厢称重装置</w:t>
            </w:r>
          </w:p>
        </w:tc>
        <w:tc>
          <w:tcPr>
            <w:tcW w:w="2784" w:type="dxa"/>
            <w:tcBorders>
              <w:top w:val="single" w:color="auto" w:sz="6" w:space="0"/>
              <w:left w:val="single" w:color="auto" w:sz="6" w:space="0"/>
              <w:bottom w:val="single" w:color="auto" w:sz="6" w:space="0"/>
              <w:right w:val="single" w:color="auto" w:sz="12" w:space="0"/>
            </w:tcBorders>
            <w:noWrap/>
            <w:vAlign w:val="center"/>
          </w:tcPr>
          <w:p w14:paraId="5616B9DF">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准确有效</w:t>
            </w:r>
          </w:p>
        </w:tc>
      </w:tr>
      <w:tr w14:paraId="7803520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8" w:hRule="atLeast"/>
        </w:trPr>
        <w:tc>
          <w:tcPr>
            <w:tcW w:w="895" w:type="dxa"/>
            <w:tcBorders>
              <w:top w:val="single" w:color="auto" w:sz="6" w:space="0"/>
              <w:left w:val="single" w:color="auto" w:sz="12" w:space="0"/>
              <w:bottom w:val="single" w:color="auto" w:sz="6" w:space="0"/>
              <w:right w:val="single" w:color="auto" w:sz="6" w:space="0"/>
            </w:tcBorders>
            <w:noWrap/>
            <w:vAlign w:val="center"/>
          </w:tcPr>
          <w:p w14:paraId="6E885B3F">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15</w:t>
            </w:r>
          </w:p>
        </w:tc>
        <w:tc>
          <w:tcPr>
            <w:tcW w:w="4843" w:type="dxa"/>
            <w:tcBorders>
              <w:top w:val="single" w:color="auto" w:sz="6" w:space="0"/>
              <w:left w:val="single" w:color="auto" w:sz="6" w:space="0"/>
              <w:bottom w:val="single" w:color="auto" w:sz="6" w:space="0"/>
              <w:right w:val="single" w:color="auto" w:sz="6" w:space="0"/>
            </w:tcBorders>
            <w:noWrap/>
            <w:vAlign w:val="center"/>
          </w:tcPr>
          <w:p w14:paraId="4202A9AA">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安全钳钳座</w:t>
            </w:r>
          </w:p>
        </w:tc>
        <w:tc>
          <w:tcPr>
            <w:tcW w:w="2784" w:type="dxa"/>
            <w:tcBorders>
              <w:top w:val="single" w:color="auto" w:sz="6" w:space="0"/>
              <w:left w:val="single" w:color="auto" w:sz="6" w:space="0"/>
              <w:bottom w:val="single" w:color="auto" w:sz="6" w:space="0"/>
              <w:right w:val="single" w:color="auto" w:sz="12" w:space="0"/>
            </w:tcBorders>
            <w:noWrap/>
            <w:vAlign w:val="center"/>
          </w:tcPr>
          <w:p w14:paraId="6E863B6D">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固定，无松动</w:t>
            </w:r>
          </w:p>
        </w:tc>
      </w:tr>
      <w:tr w14:paraId="4462583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8" w:hRule="atLeast"/>
        </w:trPr>
        <w:tc>
          <w:tcPr>
            <w:tcW w:w="895" w:type="dxa"/>
            <w:tcBorders>
              <w:top w:val="single" w:color="auto" w:sz="6" w:space="0"/>
              <w:left w:val="single" w:color="auto" w:sz="12" w:space="0"/>
              <w:bottom w:val="single" w:color="auto" w:sz="6" w:space="0"/>
              <w:right w:val="single" w:color="auto" w:sz="6" w:space="0"/>
            </w:tcBorders>
            <w:noWrap/>
            <w:vAlign w:val="center"/>
          </w:tcPr>
          <w:p w14:paraId="129A7892">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16</w:t>
            </w:r>
          </w:p>
        </w:tc>
        <w:tc>
          <w:tcPr>
            <w:tcW w:w="4843" w:type="dxa"/>
            <w:tcBorders>
              <w:top w:val="single" w:color="auto" w:sz="6" w:space="0"/>
              <w:left w:val="single" w:color="auto" w:sz="6" w:space="0"/>
              <w:bottom w:val="single" w:color="auto" w:sz="6" w:space="0"/>
              <w:right w:val="single" w:color="auto" w:sz="6" w:space="0"/>
            </w:tcBorders>
            <w:noWrap/>
            <w:vAlign w:val="center"/>
          </w:tcPr>
          <w:p w14:paraId="6409F253">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轿底各安装螺栓</w:t>
            </w:r>
          </w:p>
        </w:tc>
        <w:tc>
          <w:tcPr>
            <w:tcW w:w="2784" w:type="dxa"/>
            <w:tcBorders>
              <w:top w:val="single" w:color="auto" w:sz="6" w:space="0"/>
              <w:left w:val="single" w:color="auto" w:sz="6" w:space="0"/>
              <w:bottom w:val="single" w:color="auto" w:sz="6" w:space="0"/>
              <w:right w:val="single" w:color="auto" w:sz="12" w:space="0"/>
            </w:tcBorders>
            <w:noWrap/>
            <w:vAlign w:val="center"/>
          </w:tcPr>
          <w:p w14:paraId="4C2C1F91">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紧固</w:t>
            </w:r>
          </w:p>
        </w:tc>
      </w:tr>
      <w:tr w14:paraId="60120E5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5" w:hRule="atLeast"/>
        </w:trPr>
        <w:tc>
          <w:tcPr>
            <w:tcW w:w="895" w:type="dxa"/>
            <w:tcBorders>
              <w:top w:val="single" w:color="auto" w:sz="6" w:space="0"/>
              <w:left w:val="single" w:color="auto" w:sz="12" w:space="0"/>
              <w:bottom w:val="single" w:color="auto" w:sz="12" w:space="0"/>
              <w:right w:val="single" w:color="auto" w:sz="6" w:space="0"/>
            </w:tcBorders>
            <w:noWrap/>
            <w:vAlign w:val="center"/>
          </w:tcPr>
          <w:p w14:paraId="6CFDAB6A">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17</w:t>
            </w:r>
          </w:p>
        </w:tc>
        <w:tc>
          <w:tcPr>
            <w:tcW w:w="4843" w:type="dxa"/>
            <w:tcBorders>
              <w:top w:val="single" w:color="auto" w:sz="6" w:space="0"/>
              <w:left w:val="single" w:color="auto" w:sz="6" w:space="0"/>
              <w:bottom w:val="single" w:color="auto" w:sz="12" w:space="0"/>
              <w:right w:val="single" w:color="auto" w:sz="6" w:space="0"/>
            </w:tcBorders>
            <w:noWrap/>
            <w:vAlign w:val="center"/>
          </w:tcPr>
          <w:p w14:paraId="3DE80AF5">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缓冲器</w:t>
            </w:r>
          </w:p>
        </w:tc>
        <w:tc>
          <w:tcPr>
            <w:tcW w:w="2784" w:type="dxa"/>
            <w:tcBorders>
              <w:top w:val="single" w:color="auto" w:sz="6" w:space="0"/>
              <w:left w:val="single" w:color="auto" w:sz="6" w:space="0"/>
              <w:bottom w:val="single" w:color="auto" w:sz="12" w:space="0"/>
              <w:right w:val="single" w:color="auto" w:sz="12" w:space="0"/>
            </w:tcBorders>
            <w:noWrap/>
            <w:vAlign w:val="center"/>
          </w:tcPr>
          <w:p w14:paraId="3AD51923">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固定，无松动</w:t>
            </w:r>
          </w:p>
        </w:tc>
      </w:tr>
    </w:tbl>
    <w:p w14:paraId="035645DE">
      <w:pPr>
        <w:rPr>
          <w:rFonts w:hint="eastAsia" w:ascii="宋体" w:hAnsi="宋体" w:eastAsia="宋体" w:cs="宋体"/>
          <w:color w:val="auto"/>
          <w:sz w:val="21"/>
          <w:szCs w:val="21"/>
          <w:highlight w:val="none"/>
        </w:rPr>
      </w:pPr>
    </w:p>
    <w:p w14:paraId="18643635">
      <w:pPr>
        <w:rPr>
          <w:rFonts w:hint="eastAsia" w:ascii="宋体" w:hAnsi="宋体" w:eastAsia="宋体" w:cs="宋体"/>
          <w:b/>
          <w:color w:val="auto"/>
          <w:sz w:val="21"/>
          <w:szCs w:val="21"/>
          <w:highlight w:val="none"/>
        </w:rPr>
      </w:pPr>
    </w:p>
    <w:p w14:paraId="1AF985C4">
      <w:pPr>
        <w:rPr>
          <w:rFonts w:hint="eastAsia" w:ascii="宋体" w:hAnsi="宋体" w:eastAsia="宋体" w:cs="宋体"/>
          <w:b/>
          <w:color w:val="auto"/>
          <w:sz w:val="21"/>
          <w:szCs w:val="21"/>
          <w:highlight w:val="none"/>
        </w:rPr>
      </w:pPr>
    </w:p>
    <w:p w14:paraId="29452E0C">
      <w:pPr>
        <w:rPr>
          <w:rFonts w:hint="eastAsia" w:ascii="宋体" w:hAnsi="宋体" w:eastAsia="宋体" w:cs="宋体"/>
          <w:b/>
          <w:color w:val="auto"/>
          <w:sz w:val="21"/>
          <w:szCs w:val="21"/>
          <w:highlight w:val="none"/>
        </w:rPr>
      </w:pPr>
    </w:p>
    <w:p w14:paraId="0A9119BA">
      <w:pPr>
        <w:rPr>
          <w:rFonts w:hint="eastAsia" w:ascii="宋体" w:hAnsi="宋体" w:eastAsia="宋体" w:cs="宋体"/>
          <w:b/>
          <w:color w:val="auto"/>
          <w:sz w:val="21"/>
          <w:szCs w:val="21"/>
          <w:highlight w:val="none"/>
        </w:rPr>
      </w:pPr>
    </w:p>
    <w:p w14:paraId="15936FF2">
      <w:pP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br w:type="page"/>
      </w:r>
    </w:p>
    <w:p w14:paraId="0161F50B">
      <w:pP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附件二：《服务质量检验标准及评分细则（电梯保养工作适用）》</w:t>
      </w:r>
    </w:p>
    <w:tbl>
      <w:tblPr>
        <w:tblStyle w:val="3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3"/>
        <w:gridCol w:w="5214"/>
        <w:gridCol w:w="960"/>
        <w:gridCol w:w="1705"/>
      </w:tblGrid>
      <w:tr w14:paraId="47D434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5000" w:type="pct"/>
            <w:gridSpan w:val="4"/>
            <w:noWrap/>
            <w:vAlign w:val="center"/>
          </w:tcPr>
          <w:p w14:paraId="33E1FBD3">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服务质量检验标准及评分细则（电梯保养工作适用）</w:t>
            </w:r>
          </w:p>
        </w:tc>
      </w:tr>
      <w:tr w14:paraId="23CB10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452" w:type="pct"/>
            <w:shd w:val="clear" w:color="auto" w:fill="95B3D7"/>
            <w:noWrap/>
            <w:vAlign w:val="center"/>
          </w:tcPr>
          <w:p w14:paraId="303A3329">
            <w:pPr>
              <w:spacing w:line="360" w:lineRule="exact"/>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分类</w:t>
            </w:r>
          </w:p>
        </w:tc>
        <w:tc>
          <w:tcPr>
            <w:tcW w:w="1938" w:type="pct"/>
            <w:shd w:val="clear" w:color="auto" w:fill="95B3D7"/>
            <w:noWrap/>
            <w:vAlign w:val="center"/>
          </w:tcPr>
          <w:p w14:paraId="52FD1D61">
            <w:pPr>
              <w:spacing w:line="360" w:lineRule="exact"/>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检查标准</w:t>
            </w:r>
          </w:p>
        </w:tc>
        <w:tc>
          <w:tcPr>
            <w:tcW w:w="903" w:type="pct"/>
            <w:shd w:val="clear" w:color="auto" w:fill="95B3D7"/>
            <w:noWrap/>
            <w:vAlign w:val="center"/>
          </w:tcPr>
          <w:p w14:paraId="5AF29B5B">
            <w:pPr>
              <w:spacing w:line="360" w:lineRule="exact"/>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检验方法</w:t>
            </w:r>
          </w:p>
        </w:tc>
        <w:tc>
          <w:tcPr>
            <w:tcW w:w="1705" w:type="pct"/>
            <w:shd w:val="clear" w:color="auto" w:fill="95B3D7"/>
            <w:noWrap/>
            <w:vAlign w:val="center"/>
          </w:tcPr>
          <w:p w14:paraId="347AFB75">
            <w:pPr>
              <w:spacing w:line="360" w:lineRule="exact"/>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评分标准</w:t>
            </w:r>
          </w:p>
        </w:tc>
      </w:tr>
      <w:tr w14:paraId="64D0D3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452" w:type="pct"/>
            <w:vMerge w:val="restart"/>
            <w:noWrap/>
            <w:vAlign w:val="center"/>
          </w:tcPr>
          <w:p w14:paraId="5E13A49C">
            <w:pPr>
              <w:spacing w:line="360" w:lineRule="exact"/>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仪容</w:t>
            </w:r>
          </w:p>
          <w:p w14:paraId="6CB807BC">
            <w:pPr>
              <w:spacing w:line="360" w:lineRule="exact"/>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仪表</w:t>
            </w:r>
          </w:p>
        </w:tc>
        <w:tc>
          <w:tcPr>
            <w:tcW w:w="1938" w:type="pct"/>
            <w:noWrap/>
            <w:vAlign w:val="center"/>
          </w:tcPr>
          <w:p w14:paraId="10559C92">
            <w:pPr>
              <w:spacing w:line="360" w:lineRule="exact"/>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1.</w:t>
            </w:r>
            <w:r>
              <w:rPr>
                <w:rFonts w:hint="eastAsia" w:ascii="宋体" w:hAnsi="宋体" w:eastAsia="宋体" w:cs="宋体"/>
                <w:color w:val="auto"/>
                <w:sz w:val="21"/>
                <w:szCs w:val="21"/>
                <w:highlight w:val="none"/>
              </w:rPr>
              <w:t>上班穿工作服，戴工作牌，上班不穿拖鞋，不抽烟；</w:t>
            </w:r>
          </w:p>
        </w:tc>
        <w:tc>
          <w:tcPr>
            <w:tcW w:w="903" w:type="pct"/>
            <w:noWrap/>
            <w:vAlign w:val="center"/>
          </w:tcPr>
          <w:p w14:paraId="16B60BFD">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708EF633">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每发现一处不符合要求扣0.5分</w:t>
            </w:r>
          </w:p>
        </w:tc>
      </w:tr>
      <w:tr w14:paraId="0B5398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52" w:type="pct"/>
            <w:vMerge w:val="continue"/>
            <w:noWrap/>
            <w:vAlign w:val="center"/>
          </w:tcPr>
          <w:p w14:paraId="3423B53B">
            <w:pPr>
              <w:spacing w:line="360" w:lineRule="exact"/>
              <w:jc w:val="center"/>
              <w:rPr>
                <w:rFonts w:hint="eastAsia" w:ascii="宋体" w:hAnsi="宋体" w:eastAsia="宋体" w:cs="宋体"/>
                <w:b/>
                <w:bCs/>
                <w:color w:val="auto"/>
                <w:sz w:val="21"/>
                <w:szCs w:val="21"/>
                <w:highlight w:val="none"/>
              </w:rPr>
            </w:pPr>
          </w:p>
        </w:tc>
        <w:tc>
          <w:tcPr>
            <w:tcW w:w="1938" w:type="pct"/>
            <w:noWrap/>
            <w:vAlign w:val="center"/>
          </w:tcPr>
          <w:p w14:paraId="46E01DF2">
            <w:pPr>
              <w:spacing w:line="360" w:lineRule="exact"/>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2.</w:t>
            </w:r>
            <w:r>
              <w:rPr>
                <w:rFonts w:hint="eastAsia" w:ascii="宋体" w:hAnsi="宋体" w:eastAsia="宋体" w:cs="宋体"/>
                <w:color w:val="auto"/>
                <w:sz w:val="21"/>
                <w:szCs w:val="21"/>
                <w:highlight w:val="none"/>
              </w:rPr>
              <w:t>上下班时，手不放在衣口袋内，手不搭肩挽背；</w:t>
            </w:r>
          </w:p>
        </w:tc>
        <w:tc>
          <w:tcPr>
            <w:tcW w:w="903" w:type="pct"/>
            <w:noWrap/>
            <w:vAlign w:val="center"/>
          </w:tcPr>
          <w:p w14:paraId="1057BA4A">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6111B969">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每发现一处不符合要求扣0.5分</w:t>
            </w:r>
          </w:p>
        </w:tc>
      </w:tr>
      <w:tr w14:paraId="7484FD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452" w:type="pct"/>
            <w:vMerge w:val="continue"/>
            <w:noWrap/>
            <w:vAlign w:val="center"/>
          </w:tcPr>
          <w:p w14:paraId="37F7DCAD">
            <w:pPr>
              <w:spacing w:line="360" w:lineRule="exact"/>
              <w:jc w:val="center"/>
              <w:rPr>
                <w:rFonts w:hint="eastAsia" w:ascii="宋体" w:hAnsi="宋体" w:eastAsia="宋体" w:cs="宋体"/>
                <w:b/>
                <w:bCs/>
                <w:color w:val="auto"/>
                <w:sz w:val="21"/>
                <w:szCs w:val="21"/>
                <w:highlight w:val="none"/>
              </w:rPr>
            </w:pPr>
          </w:p>
        </w:tc>
        <w:tc>
          <w:tcPr>
            <w:tcW w:w="1938" w:type="pct"/>
            <w:noWrap/>
            <w:vAlign w:val="center"/>
          </w:tcPr>
          <w:p w14:paraId="4BB70564">
            <w:pPr>
              <w:spacing w:line="360" w:lineRule="exact"/>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3.</w:t>
            </w:r>
            <w:r>
              <w:rPr>
                <w:rFonts w:hint="eastAsia" w:ascii="宋体" w:hAnsi="宋体" w:eastAsia="宋体" w:cs="宋体"/>
                <w:color w:val="auto"/>
                <w:sz w:val="21"/>
                <w:szCs w:val="21"/>
                <w:highlight w:val="none"/>
              </w:rPr>
              <w:t>精神饱满，仪表整洁，不蓬头散发；</w:t>
            </w:r>
          </w:p>
        </w:tc>
        <w:tc>
          <w:tcPr>
            <w:tcW w:w="903" w:type="pct"/>
            <w:noWrap/>
            <w:vAlign w:val="center"/>
          </w:tcPr>
          <w:p w14:paraId="6F383139">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520B632C">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每发现一处不符合要求扣0.5分</w:t>
            </w:r>
          </w:p>
        </w:tc>
      </w:tr>
      <w:tr w14:paraId="234E72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452" w:type="pct"/>
            <w:vMerge w:val="restart"/>
            <w:noWrap/>
            <w:vAlign w:val="center"/>
          </w:tcPr>
          <w:p w14:paraId="346038D5">
            <w:pPr>
              <w:spacing w:line="360" w:lineRule="exact"/>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服务态度</w:t>
            </w:r>
          </w:p>
        </w:tc>
        <w:tc>
          <w:tcPr>
            <w:tcW w:w="1938" w:type="pct"/>
            <w:noWrap/>
            <w:vAlign w:val="center"/>
          </w:tcPr>
          <w:p w14:paraId="7E269FD8">
            <w:pPr>
              <w:spacing w:line="360" w:lineRule="exact"/>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1.</w:t>
            </w:r>
            <w:r>
              <w:rPr>
                <w:rFonts w:hint="eastAsia" w:ascii="宋体" w:hAnsi="宋体" w:eastAsia="宋体" w:cs="宋体"/>
                <w:color w:val="auto"/>
                <w:sz w:val="21"/>
                <w:szCs w:val="21"/>
                <w:highlight w:val="none"/>
              </w:rPr>
              <w:t>使用规范文明礼貌用语；</w:t>
            </w:r>
          </w:p>
        </w:tc>
        <w:tc>
          <w:tcPr>
            <w:tcW w:w="903" w:type="pct"/>
            <w:noWrap/>
            <w:vAlign w:val="center"/>
          </w:tcPr>
          <w:p w14:paraId="545CA1F6">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52F8689A">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每发现一处不符合要求扣0.5分</w:t>
            </w:r>
          </w:p>
        </w:tc>
      </w:tr>
      <w:tr w14:paraId="4C221D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452" w:type="pct"/>
            <w:vMerge w:val="continue"/>
            <w:noWrap/>
            <w:vAlign w:val="center"/>
          </w:tcPr>
          <w:p w14:paraId="661B807B">
            <w:pPr>
              <w:jc w:val="center"/>
              <w:rPr>
                <w:rFonts w:hint="eastAsia" w:ascii="宋体" w:hAnsi="宋体" w:eastAsia="宋体" w:cs="宋体"/>
                <w:color w:val="auto"/>
                <w:sz w:val="21"/>
                <w:szCs w:val="21"/>
                <w:highlight w:val="none"/>
              </w:rPr>
            </w:pPr>
          </w:p>
        </w:tc>
        <w:tc>
          <w:tcPr>
            <w:tcW w:w="1938" w:type="pct"/>
            <w:noWrap/>
            <w:vAlign w:val="center"/>
          </w:tcPr>
          <w:p w14:paraId="4AAF0F87">
            <w:pPr>
              <w:spacing w:line="360" w:lineRule="exact"/>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2.</w:t>
            </w:r>
            <w:r>
              <w:rPr>
                <w:rFonts w:hint="eastAsia" w:ascii="宋体" w:hAnsi="宋体" w:eastAsia="宋体" w:cs="宋体"/>
                <w:color w:val="auto"/>
                <w:sz w:val="21"/>
                <w:szCs w:val="21"/>
                <w:highlight w:val="none"/>
              </w:rPr>
              <w:t>服务态度端正</w:t>
            </w:r>
            <w:r>
              <w:rPr>
                <w:rFonts w:hint="eastAsia" w:ascii="宋体" w:hAnsi="宋体" w:cs="宋体"/>
                <w:color w:val="auto"/>
                <w:sz w:val="21"/>
                <w:szCs w:val="21"/>
                <w:highlight w:val="none"/>
                <w:lang w:eastAsia="zh-CN"/>
              </w:rPr>
              <w:t>，具</w:t>
            </w:r>
            <w:r>
              <w:rPr>
                <w:rFonts w:hint="eastAsia" w:ascii="宋体" w:hAnsi="宋体" w:eastAsia="宋体" w:cs="宋体"/>
                <w:color w:val="auto"/>
                <w:sz w:val="21"/>
                <w:szCs w:val="21"/>
                <w:highlight w:val="none"/>
              </w:rPr>
              <w:t>有良好的职业道德；</w:t>
            </w:r>
          </w:p>
        </w:tc>
        <w:tc>
          <w:tcPr>
            <w:tcW w:w="903" w:type="pct"/>
            <w:noWrap/>
            <w:vAlign w:val="center"/>
          </w:tcPr>
          <w:p w14:paraId="231D5388">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2A2CA80F">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每发现一处不符合要求扣0.5分</w:t>
            </w:r>
          </w:p>
        </w:tc>
      </w:tr>
      <w:tr w14:paraId="7DB392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452" w:type="pct"/>
            <w:vMerge w:val="continue"/>
            <w:noWrap/>
            <w:vAlign w:val="center"/>
          </w:tcPr>
          <w:p w14:paraId="73E93B0C">
            <w:pPr>
              <w:jc w:val="center"/>
              <w:rPr>
                <w:rFonts w:hint="eastAsia" w:ascii="宋体" w:hAnsi="宋体" w:eastAsia="宋体" w:cs="宋体"/>
                <w:color w:val="auto"/>
                <w:sz w:val="21"/>
                <w:szCs w:val="21"/>
                <w:highlight w:val="none"/>
              </w:rPr>
            </w:pPr>
          </w:p>
        </w:tc>
        <w:tc>
          <w:tcPr>
            <w:tcW w:w="1938" w:type="pct"/>
            <w:noWrap/>
            <w:vAlign w:val="center"/>
          </w:tcPr>
          <w:p w14:paraId="57BF9943">
            <w:pPr>
              <w:spacing w:line="360" w:lineRule="exact"/>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3.</w:t>
            </w:r>
            <w:r>
              <w:rPr>
                <w:rFonts w:hint="eastAsia" w:ascii="宋体" w:hAnsi="宋体" w:eastAsia="宋体" w:cs="宋体"/>
                <w:color w:val="auto"/>
                <w:sz w:val="21"/>
                <w:szCs w:val="21"/>
                <w:highlight w:val="none"/>
              </w:rPr>
              <w:t>办事认真负责，有较强的奉献精神；</w:t>
            </w:r>
          </w:p>
        </w:tc>
        <w:tc>
          <w:tcPr>
            <w:tcW w:w="903" w:type="pct"/>
            <w:noWrap/>
            <w:vAlign w:val="center"/>
          </w:tcPr>
          <w:p w14:paraId="34A4482B">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1EFD0A20">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每发现一处不符合要求扣0.5分</w:t>
            </w:r>
          </w:p>
        </w:tc>
      </w:tr>
      <w:tr w14:paraId="4C7C47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452" w:type="pct"/>
            <w:vMerge w:val="continue"/>
            <w:noWrap/>
            <w:vAlign w:val="center"/>
          </w:tcPr>
          <w:p w14:paraId="53589D57">
            <w:pPr>
              <w:jc w:val="center"/>
              <w:rPr>
                <w:rFonts w:hint="eastAsia" w:ascii="宋体" w:hAnsi="宋体" w:eastAsia="宋体" w:cs="宋体"/>
                <w:color w:val="auto"/>
                <w:sz w:val="21"/>
                <w:szCs w:val="21"/>
                <w:highlight w:val="none"/>
              </w:rPr>
            </w:pPr>
          </w:p>
        </w:tc>
        <w:tc>
          <w:tcPr>
            <w:tcW w:w="1938" w:type="pct"/>
            <w:noWrap/>
            <w:vAlign w:val="center"/>
          </w:tcPr>
          <w:p w14:paraId="6A40CE9B">
            <w:pPr>
              <w:spacing w:line="360" w:lineRule="exact"/>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4.</w:t>
            </w:r>
            <w:r>
              <w:rPr>
                <w:rFonts w:hint="eastAsia" w:ascii="宋体" w:hAnsi="宋体" w:eastAsia="宋体" w:cs="宋体"/>
                <w:color w:val="auto"/>
                <w:sz w:val="21"/>
                <w:szCs w:val="21"/>
                <w:highlight w:val="none"/>
              </w:rPr>
              <w:t>服从甲方现场安排；</w:t>
            </w:r>
          </w:p>
        </w:tc>
        <w:tc>
          <w:tcPr>
            <w:tcW w:w="903" w:type="pct"/>
            <w:noWrap/>
            <w:vAlign w:val="center"/>
          </w:tcPr>
          <w:p w14:paraId="6FEFFE4E">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6C68F3FC">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每发现一处不符合要求扣0.5分</w:t>
            </w:r>
          </w:p>
        </w:tc>
      </w:tr>
      <w:tr w14:paraId="47FBE6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452" w:type="pct"/>
            <w:vMerge w:val="continue"/>
            <w:noWrap/>
            <w:vAlign w:val="center"/>
          </w:tcPr>
          <w:p w14:paraId="42E582C1">
            <w:pPr>
              <w:jc w:val="center"/>
              <w:rPr>
                <w:rFonts w:hint="eastAsia" w:ascii="宋体" w:hAnsi="宋体" w:eastAsia="宋体" w:cs="宋体"/>
                <w:color w:val="auto"/>
                <w:sz w:val="21"/>
                <w:szCs w:val="21"/>
                <w:highlight w:val="none"/>
              </w:rPr>
            </w:pPr>
          </w:p>
        </w:tc>
        <w:tc>
          <w:tcPr>
            <w:tcW w:w="1938" w:type="pct"/>
            <w:noWrap/>
            <w:vAlign w:val="center"/>
          </w:tcPr>
          <w:p w14:paraId="72867541">
            <w:pPr>
              <w:spacing w:line="360" w:lineRule="exact"/>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5.</w:t>
            </w:r>
            <w:r>
              <w:rPr>
                <w:rFonts w:hint="eastAsia" w:ascii="宋体" w:hAnsi="宋体" w:eastAsia="宋体" w:cs="宋体"/>
                <w:color w:val="auto"/>
                <w:sz w:val="21"/>
                <w:szCs w:val="21"/>
                <w:highlight w:val="none"/>
              </w:rPr>
              <w:t>文明服务，礼貌待人；</w:t>
            </w:r>
          </w:p>
        </w:tc>
        <w:tc>
          <w:tcPr>
            <w:tcW w:w="903" w:type="pct"/>
            <w:noWrap/>
            <w:vAlign w:val="center"/>
          </w:tcPr>
          <w:p w14:paraId="7522D55D">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7CD66809">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每发现一处不符合要求扣0.5分</w:t>
            </w:r>
          </w:p>
        </w:tc>
      </w:tr>
      <w:tr w14:paraId="046C6F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452" w:type="pct"/>
            <w:vMerge w:val="continue"/>
            <w:noWrap/>
            <w:vAlign w:val="center"/>
          </w:tcPr>
          <w:p w14:paraId="2BC4B8D7">
            <w:pPr>
              <w:jc w:val="center"/>
              <w:rPr>
                <w:rFonts w:hint="eastAsia" w:ascii="宋体" w:hAnsi="宋体" w:eastAsia="宋体" w:cs="宋体"/>
                <w:color w:val="auto"/>
                <w:sz w:val="21"/>
                <w:szCs w:val="21"/>
                <w:highlight w:val="none"/>
              </w:rPr>
            </w:pPr>
          </w:p>
        </w:tc>
        <w:tc>
          <w:tcPr>
            <w:tcW w:w="1938" w:type="pct"/>
            <w:noWrap/>
            <w:vAlign w:val="center"/>
          </w:tcPr>
          <w:p w14:paraId="56F2F718">
            <w:pPr>
              <w:spacing w:line="360" w:lineRule="exact"/>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6.</w:t>
            </w:r>
            <w:r>
              <w:rPr>
                <w:rFonts w:hint="eastAsia" w:ascii="宋体" w:hAnsi="宋体" w:eastAsia="宋体" w:cs="宋体"/>
                <w:color w:val="auto"/>
                <w:sz w:val="21"/>
                <w:szCs w:val="21"/>
                <w:highlight w:val="none"/>
              </w:rPr>
              <w:t>维修及时性配合，未按合同约定时间到达处理；</w:t>
            </w:r>
          </w:p>
        </w:tc>
        <w:tc>
          <w:tcPr>
            <w:tcW w:w="903" w:type="pct"/>
            <w:noWrap/>
            <w:vAlign w:val="center"/>
          </w:tcPr>
          <w:p w14:paraId="20C8925A">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66A81755">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每发现一处不符合要求扣0.5分</w:t>
            </w:r>
          </w:p>
        </w:tc>
      </w:tr>
      <w:tr w14:paraId="190884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452" w:type="pct"/>
            <w:vMerge w:val="restart"/>
            <w:noWrap/>
            <w:vAlign w:val="center"/>
          </w:tcPr>
          <w:p w14:paraId="43C64431">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工作纪律</w:t>
            </w:r>
          </w:p>
        </w:tc>
        <w:tc>
          <w:tcPr>
            <w:tcW w:w="1938" w:type="pct"/>
            <w:noWrap/>
            <w:vAlign w:val="center"/>
          </w:tcPr>
          <w:p w14:paraId="179662E5">
            <w:pPr>
              <w:spacing w:line="360" w:lineRule="exact"/>
              <w:rPr>
                <w:rFonts w:hint="eastAsia" w:ascii="宋体" w:hAnsi="宋体" w:eastAsia="宋体" w:cs="宋体"/>
                <w:b/>
                <w:bCs/>
                <w:color w:val="auto"/>
                <w:sz w:val="21"/>
                <w:szCs w:val="21"/>
                <w:highlight w:val="none"/>
              </w:rPr>
            </w:pPr>
            <w:r>
              <w:rPr>
                <w:rFonts w:hint="eastAsia" w:ascii="宋体" w:hAnsi="宋体" w:cs="宋体"/>
                <w:color w:val="auto"/>
                <w:sz w:val="21"/>
                <w:szCs w:val="21"/>
                <w:highlight w:val="none"/>
                <w:lang w:eastAsia="zh-CN"/>
              </w:rPr>
              <w:t>1.</w:t>
            </w:r>
            <w:r>
              <w:rPr>
                <w:rFonts w:hint="eastAsia" w:ascii="宋体" w:hAnsi="宋体" w:eastAsia="宋体" w:cs="宋体"/>
                <w:color w:val="auto"/>
                <w:sz w:val="21"/>
                <w:szCs w:val="21"/>
                <w:highlight w:val="none"/>
              </w:rPr>
              <w:t>按时签到各种表格；</w:t>
            </w:r>
          </w:p>
        </w:tc>
        <w:tc>
          <w:tcPr>
            <w:tcW w:w="903" w:type="pct"/>
            <w:noWrap/>
            <w:vAlign w:val="center"/>
          </w:tcPr>
          <w:p w14:paraId="441A95DC">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543BC88D">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每发现一处不符合要求扣0.5分</w:t>
            </w:r>
          </w:p>
        </w:tc>
      </w:tr>
      <w:tr w14:paraId="099257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452" w:type="pct"/>
            <w:vMerge w:val="continue"/>
            <w:noWrap/>
            <w:vAlign w:val="center"/>
          </w:tcPr>
          <w:p w14:paraId="5493BF5D">
            <w:pPr>
              <w:jc w:val="center"/>
              <w:rPr>
                <w:rFonts w:hint="eastAsia" w:ascii="宋体" w:hAnsi="宋体" w:eastAsia="宋体" w:cs="宋体"/>
                <w:color w:val="auto"/>
                <w:sz w:val="21"/>
                <w:szCs w:val="21"/>
                <w:highlight w:val="none"/>
              </w:rPr>
            </w:pPr>
          </w:p>
        </w:tc>
        <w:tc>
          <w:tcPr>
            <w:tcW w:w="1938" w:type="pct"/>
            <w:noWrap/>
            <w:vAlign w:val="center"/>
          </w:tcPr>
          <w:p w14:paraId="2AADF835">
            <w:pPr>
              <w:spacing w:line="360" w:lineRule="exact"/>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2.</w:t>
            </w:r>
            <w:r>
              <w:rPr>
                <w:rFonts w:hint="eastAsia" w:ascii="宋体" w:hAnsi="宋体" w:eastAsia="宋体" w:cs="宋体"/>
                <w:color w:val="auto"/>
                <w:sz w:val="21"/>
                <w:szCs w:val="21"/>
                <w:highlight w:val="none"/>
              </w:rPr>
              <w:t>服务期间，不做与本职工作无关的事；</w:t>
            </w:r>
          </w:p>
        </w:tc>
        <w:tc>
          <w:tcPr>
            <w:tcW w:w="903" w:type="pct"/>
            <w:noWrap/>
            <w:vAlign w:val="center"/>
          </w:tcPr>
          <w:p w14:paraId="7C6CAE8C">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2DFBBBB4">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每发现一处不符合要求扣0.5分</w:t>
            </w:r>
          </w:p>
        </w:tc>
      </w:tr>
      <w:tr w14:paraId="39EC6A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452" w:type="pct"/>
            <w:vMerge w:val="continue"/>
            <w:noWrap/>
            <w:vAlign w:val="center"/>
          </w:tcPr>
          <w:p w14:paraId="3AB6A9D3">
            <w:pPr>
              <w:jc w:val="center"/>
              <w:rPr>
                <w:rFonts w:hint="eastAsia" w:ascii="宋体" w:hAnsi="宋体" w:eastAsia="宋体" w:cs="宋体"/>
                <w:color w:val="auto"/>
                <w:sz w:val="21"/>
                <w:szCs w:val="21"/>
                <w:highlight w:val="none"/>
              </w:rPr>
            </w:pPr>
          </w:p>
        </w:tc>
        <w:tc>
          <w:tcPr>
            <w:tcW w:w="1938" w:type="pct"/>
            <w:noWrap/>
            <w:vAlign w:val="center"/>
          </w:tcPr>
          <w:p w14:paraId="02A55268">
            <w:pPr>
              <w:spacing w:line="360" w:lineRule="exact"/>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3.</w:t>
            </w:r>
            <w:r>
              <w:rPr>
                <w:rFonts w:hint="eastAsia" w:ascii="宋体" w:hAnsi="宋体" w:eastAsia="宋体" w:cs="宋体"/>
                <w:color w:val="auto"/>
                <w:sz w:val="21"/>
                <w:szCs w:val="21"/>
                <w:highlight w:val="none"/>
              </w:rPr>
              <w:t>不损坏公共及私人设施、物品；</w:t>
            </w:r>
          </w:p>
        </w:tc>
        <w:tc>
          <w:tcPr>
            <w:tcW w:w="903" w:type="pct"/>
            <w:noWrap/>
            <w:vAlign w:val="center"/>
          </w:tcPr>
          <w:p w14:paraId="447E6823">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5459D836">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每发现一处不符合要求扣0.5分</w:t>
            </w:r>
          </w:p>
        </w:tc>
      </w:tr>
      <w:tr w14:paraId="1CBB44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452" w:type="pct"/>
            <w:vMerge w:val="continue"/>
            <w:noWrap/>
            <w:vAlign w:val="center"/>
          </w:tcPr>
          <w:p w14:paraId="170CB5FE">
            <w:pPr>
              <w:jc w:val="center"/>
              <w:rPr>
                <w:rFonts w:hint="eastAsia" w:ascii="宋体" w:hAnsi="宋体" w:eastAsia="宋体" w:cs="宋体"/>
                <w:color w:val="auto"/>
                <w:sz w:val="21"/>
                <w:szCs w:val="21"/>
                <w:highlight w:val="none"/>
              </w:rPr>
            </w:pPr>
          </w:p>
        </w:tc>
        <w:tc>
          <w:tcPr>
            <w:tcW w:w="1938" w:type="pct"/>
            <w:noWrap/>
            <w:vAlign w:val="center"/>
          </w:tcPr>
          <w:p w14:paraId="5776B587">
            <w:pPr>
              <w:spacing w:line="360" w:lineRule="exact"/>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4.</w:t>
            </w:r>
            <w:r>
              <w:rPr>
                <w:rFonts w:hint="eastAsia" w:ascii="宋体" w:hAnsi="宋体" w:eastAsia="宋体" w:cs="宋体"/>
                <w:color w:val="auto"/>
                <w:sz w:val="21"/>
                <w:szCs w:val="21"/>
                <w:highlight w:val="none"/>
              </w:rPr>
              <w:t>每月按时提交电梯维保工作计划，如有变动及时通知；</w:t>
            </w:r>
          </w:p>
        </w:tc>
        <w:tc>
          <w:tcPr>
            <w:tcW w:w="903" w:type="pct"/>
            <w:noWrap/>
            <w:vAlign w:val="center"/>
          </w:tcPr>
          <w:p w14:paraId="56A3D141">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66324404">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每发现一处不符合要求扣0.5分</w:t>
            </w:r>
          </w:p>
        </w:tc>
      </w:tr>
      <w:tr w14:paraId="08C26B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452" w:type="pct"/>
            <w:vMerge w:val="continue"/>
            <w:noWrap/>
            <w:vAlign w:val="center"/>
          </w:tcPr>
          <w:p w14:paraId="3CAE404E">
            <w:pPr>
              <w:jc w:val="center"/>
              <w:rPr>
                <w:rFonts w:hint="eastAsia" w:ascii="宋体" w:hAnsi="宋体" w:eastAsia="宋体" w:cs="宋体"/>
                <w:color w:val="auto"/>
                <w:sz w:val="21"/>
                <w:szCs w:val="21"/>
                <w:highlight w:val="none"/>
              </w:rPr>
            </w:pPr>
          </w:p>
        </w:tc>
        <w:tc>
          <w:tcPr>
            <w:tcW w:w="1938" w:type="pct"/>
            <w:noWrap/>
            <w:vAlign w:val="center"/>
          </w:tcPr>
          <w:p w14:paraId="5F804DE9">
            <w:pPr>
              <w:spacing w:line="360" w:lineRule="exact"/>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5.</w:t>
            </w:r>
            <w:r>
              <w:rPr>
                <w:rFonts w:hint="eastAsia" w:ascii="宋体" w:hAnsi="宋体" w:eastAsia="宋体" w:cs="宋体"/>
                <w:color w:val="auto"/>
                <w:sz w:val="21"/>
                <w:szCs w:val="21"/>
                <w:highlight w:val="none"/>
              </w:rPr>
              <w:t>上下班时，实施考勤打卡制（一日四次）。</w:t>
            </w:r>
          </w:p>
        </w:tc>
        <w:tc>
          <w:tcPr>
            <w:tcW w:w="903" w:type="pct"/>
            <w:noWrap/>
            <w:vAlign w:val="center"/>
          </w:tcPr>
          <w:p w14:paraId="42E0072A">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5F17EEBF">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每发现一处不符合要求扣0.5分</w:t>
            </w:r>
          </w:p>
        </w:tc>
      </w:tr>
      <w:tr w14:paraId="642369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452" w:type="pct"/>
            <w:vMerge w:val="continue"/>
            <w:noWrap/>
            <w:vAlign w:val="center"/>
          </w:tcPr>
          <w:p w14:paraId="3635E5B9">
            <w:pPr>
              <w:jc w:val="center"/>
              <w:rPr>
                <w:rFonts w:hint="eastAsia" w:ascii="宋体" w:hAnsi="宋体" w:eastAsia="宋体" w:cs="宋体"/>
                <w:color w:val="auto"/>
                <w:sz w:val="21"/>
                <w:szCs w:val="21"/>
                <w:highlight w:val="none"/>
              </w:rPr>
            </w:pPr>
          </w:p>
        </w:tc>
        <w:tc>
          <w:tcPr>
            <w:tcW w:w="1938" w:type="pct"/>
            <w:noWrap/>
            <w:vAlign w:val="center"/>
          </w:tcPr>
          <w:p w14:paraId="5E102751">
            <w:pPr>
              <w:spacing w:line="360" w:lineRule="exact"/>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6.</w:t>
            </w:r>
            <w:r>
              <w:rPr>
                <w:rFonts w:hint="eastAsia" w:ascii="宋体" w:hAnsi="宋体" w:eastAsia="宋体" w:cs="宋体"/>
                <w:color w:val="auto"/>
                <w:sz w:val="21"/>
                <w:szCs w:val="21"/>
                <w:highlight w:val="none"/>
              </w:rPr>
              <w:t>人员外出，未经甲方同意擅自脱岗、离岗</w:t>
            </w:r>
          </w:p>
        </w:tc>
        <w:tc>
          <w:tcPr>
            <w:tcW w:w="903" w:type="pct"/>
            <w:noWrap/>
            <w:vAlign w:val="center"/>
          </w:tcPr>
          <w:p w14:paraId="36BC91A1">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19966DD8">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每发现一处不符合要求扣5分</w:t>
            </w:r>
          </w:p>
        </w:tc>
      </w:tr>
      <w:tr w14:paraId="1B6DFB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452" w:type="pct"/>
            <w:vMerge w:val="continue"/>
            <w:noWrap/>
            <w:vAlign w:val="center"/>
          </w:tcPr>
          <w:p w14:paraId="2A759011">
            <w:pPr>
              <w:jc w:val="center"/>
              <w:rPr>
                <w:rFonts w:hint="eastAsia" w:ascii="宋体" w:hAnsi="宋体" w:eastAsia="宋体" w:cs="宋体"/>
                <w:color w:val="auto"/>
                <w:sz w:val="21"/>
                <w:szCs w:val="21"/>
                <w:highlight w:val="none"/>
              </w:rPr>
            </w:pPr>
          </w:p>
        </w:tc>
        <w:tc>
          <w:tcPr>
            <w:tcW w:w="1938" w:type="pct"/>
            <w:noWrap/>
            <w:vAlign w:val="center"/>
          </w:tcPr>
          <w:p w14:paraId="4F8B595A">
            <w:pPr>
              <w:spacing w:line="360" w:lineRule="exact"/>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7.</w:t>
            </w:r>
            <w:r>
              <w:rPr>
                <w:rFonts w:hint="eastAsia" w:ascii="宋体" w:hAnsi="宋体" w:eastAsia="宋体" w:cs="宋体"/>
                <w:color w:val="auto"/>
                <w:sz w:val="21"/>
                <w:szCs w:val="21"/>
                <w:highlight w:val="none"/>
              </w:rPr>
              <w:t>上班迟到或早退</w:t>
            </w:r>
          </w:p>
        </w:tc>
        <w:tc>
          <w:tcPr>
            <w:tcW w:w="903" w:type="pct"/>
            <w:noWrap/>
            <w:vAlign w:val="center"/>
          </w:tcPr>
          <w:p w14:paraId="4CE9E8D0">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404DA521">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每发现一处不符合要求扣0.5分</w:t>
            </w:r>
          </w:p>
        </w:tc>
      </w:tr>
      <w:tr w14:paraId="394531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0" w:hRule="atLeast"/>
          <w:jc w:val="center"/>
        </w:trPr>
        <w:tc>
          <w:tcPr>
            <w:tcW w:w="452" w:type="pct"/>
            <w:noWrap/>
            <w:vAlign w:val="center"/>
          </w:tcPr>
          <w:p w14:paraId="355A816E">
            <w:pPr>
              <w:spacing w:line="360" w:lineRule="exact"/>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服务意识</w:t>
            </w:r>
          </w:p>
        </w:tc>
        <w:tc>
          <w:tcPr>
            <w:tcW w:w="1938" w:type="pct"/>
            <w:noWrap/>
            <w:vAlign w:val="center"/>
          </w:tcPr>
          <w:p w14:paraId="5CA6620B">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工作用具、物品收拾整齐，无随处堆放现象；维修保养杂物立即清除运走，不能放于园区地面或垃圾桶内；</w:t>
            </w:r>
          </w:p>
        </w:tc>
        <w:tc>
          <w:tcPr>
            <w:tcW w:w="903" w:type="pct"/>
            <w:noWrap/>
            <w:vAlign w:val="center"/>
          </w:tcPr>
          <w:p w14:paraId="7C929AD6">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27B236A6">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每发现一处不符合要求扣0.5分</w:t>
            </w:r>
          </w:p>
        </w:tc>
      </w:tr>
      <w:tr w14:paraId="62504B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452" w:type="pct"/>
            <w:vMerge w:val="restart"/>
            <w:noWrap/>
            <w:vAlign w:val="center"/>
          </w:tcPr>
          <w:p w14:paraId="57997B73">
            <w:pPr>
              <w:spacing w:line="360" w:lineRule="exact"/>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项目安全</w:t>
            </w:r>
          </w:p>
        </w:tc>
        <w:tc>
          <w:tcPr>
            <w:tcW w:w="1938" w:type="pct"/>
            <w:noWrap/>
            <w:vAlign w:val="center"/>
          </w:tcPr>
          <w:p w14:paraId="32C62AE8">
            <w:pPr>
              <w:spacing w:line="360" w:lineRule="exact"/>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1.</w:t>
            </w:r>
            <w:r>
              <w:rPr>
                <w:rFonts w:hint="eastAsia" w:ascii="宋体" w:hAnsi="宋体" w:eastAsia="宋体" w:cs="宋体"/>
                <w:color w:val="auto"/>
                <w:sz w:val="21"/>
                <w:szCs w:val="21"/>
                <w:highlight w:val="none"/>
              </w:rPr>
              <w:t>对重点部位的安全控制，未进行控制</w:t>
            </w:r>
          </w:p>
        </w:tc>
        <w:tc>
          <w:tcPr>
            <w:tcW w:w="903" w:type="pct"/>
            <w:noWrap/>
            <w:vAlign w:val="center"/>
          </w:tcPr>
          <w:p w14:paraId="77BBCBDF">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62D29445">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每发现一处不符合要求扣0.5分</w:t>
            </w:r>
          </w:p>
        </w:tc>
      </w:tr>
      <w:tr w14:paraId="7185F5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atLeast"/>
          <w:jc w:val="center"/>
        </w:trPr>
        <w:tc>
          <w:tcPr>
            <w:tcW w:w="452" w:type="pct"/>
            <w:vMerge w:val="continue"/>
            <w:noWrap/>
            <w:vAlign w:val="center"/>
          </w:tcPr>
          <w:p w14:paraId="2ECAF4DB">
            <w:pPr>
              <w:jc w:val="center"/>
              <w:rPr>
                <w:rFonts w:hint="eastAsia" w:ascii="宋体" w:hAnsi="宋体" w:eastAsia="宋体" w:cs="宋体"/>
                <w:color w:val="auto"/>
                <w:sz w:val="21"/>
                <w:szCs w:val="21"/>
                <w:highlight w:val="none"/>
              </w:rPr>
            </w:pPr>
          </w:p>
        </w:tc>
        <w:tc>
          <w:tcPr>
            <w:tcW w:w="1938" w:type="pct"/>
            <w:noWrap/>
            <w:vAlign w:val="center"/>
          </w:tcPr>
          <w:p w14:paraId="1876C392">
            <w:pPr>
              <w:spacing w:line="360" w:lineRule="exact"/>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2.</w:t>
            </w:r>
            <w:r>
              <w:rPr>
                <w:rFonts w:hint="eastAsia" w:ascii="宋体" w:hAnsi="宋体" w:eastAsia="宋体" w:cs="宋体"/>
                <w:color w:val="auto"/>
                <w:sz w:val="21"/>
                <w:szCs w:val="21"/>
                <w:highlight w:val="none"/>
              </w:rPr>
              <w:t>安全管制记录，无控制记录或记录不齐全</w:t>
            </w:r>
          </w:p>
        </w:tc>
        <w:tc>
          <w:tcPr>
            <w:tcW w:w="903" w:type="pct"/>
            <w:noWrap/>
            <w:vAlign w:val="center"/>
          </w:tcPr>
          <w:p w14:paraId="4A708055">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4798FB1A">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每发现一处不符合要求扣0.5分</w:t>
            </w:r>
          </w:p>
        </w:tc>
      </w:tr>
      <w:tr w14:paraId="28651A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2" w:type="pct"/>
            <w:vMerge w:val="restart"/>
            <w:noWrap/>
            <w:vAlign w:val="center"/>
          </w:tcPr>
          <w:p w14:paraId="2F01F849">
            <w:pPr>
              <w:spacing w:line="360" w:lineRule="exact"/>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电梯</w:t>
            </w:r>
          </w:p>
          <w:p w14:paraId="4748D551">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机房</w:t>
            </w:r>
          </w:p>
        </w:tc>
        <w:tc>
          <w:tcPr>
            <w:tcW w:w="1938" w:type="pct"/>
            <w:noWrap/>
            <w:vAlign w:val="center"/>
          </w:tcPr>
          <w:p w14:paraId="71D363C3">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1﹑机房及设备清洁5S</w:t>
            </w:r>
          </w:p>
        </w:tc>
        <w:tc>
          <w:tcPr>
            <w:tcW w:w="903" w:type="pct"/>
            <w:noWrap/>
            <w:vAlign w:val="center"/>
          </w:tcPr>
          <w:p w14:paraId="6AA537CD">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5D9A107C">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单台机房不合格，扣0.5分</w:t>
            </w:r>
          </w:p>
        </w:tc>
      </w:tr>
      <w:tr w14:paraId="10A299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452" w:type="pct"/>
            <w:vMerge w:val="continue"/>
            <w:noWrap/>
            <w:vAlign w:val="center"/>
          </w:tcPr>
          <w:p w14:paraId="0F458475">
            <w:pPr>
              <w:jc w:val="center"/>
              <w:rPr>
                <w:rFonts w:hint="eastAsia" w:ascii="宋体" w:hAnsi="宋体" w:eastAsia="宋体" w:cs="宋体"/>
                <w:color w:val="auto"/>
                <w:sz w:val="21"/>
                <w:szCs w:val="21"/>
                <w:highlight w:val="none"/>
              </w:rPr>
            </w:pPr>
          </w:p>
        </w:tc>
        <w:tc>
          <w:tcPr>
            <w:tcW w:w="1938" w:type="pct"/>
            <w:noWrap/>
            <w:vAlign w:val="center"/>
          </w:tcPr>
          <w:p w14:paraId="6A187733">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2﹑控制线路整齐有序</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连接紧固</w:t>
            </w:r>
          </w:p>
        </w:tc>
        <w:tc>
          <w:tcPr>
            <w:tcW w:w="903" w:type="pct"/>
            <w:noWrap/>
            <w:vAlign w:val="center"/>
          </w:tcPr>
          <w:p w14:paraId="1EDFC333">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155BB004">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单台机房不合格，扣0.5分</w:t>
            </w:r>
          </w:p>
        </w:tc>
      </w:tr>
      <w:tr w14:paraId="5F985F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452" w:type="pct"/>
            <w:vMerge w:val="continue"/>
            <w:noWrap/>
            <w:vAlign w:val="center"/>
          </w:tcPr>
          <w:p w14:paraId="52179949">
            <w:pPr>
              <w:jc w:val="center"/>
              <w:rPr>
                <w:rFonts w:hint="eastAsia" w:ascii="宋体" w:hAnsi="宋体" w:eastAsia="宋体" w:cs="宋体"/>
                <w:color w:val="auto"/>
                <w:sz w:val="21"/>
                <w:szCs w:val="21"/>
                <w:highlight w:val="none"/>
              </w:rPr>
            </w:pPr>
          </w:p>
        </w:tc>
        <w:tc>
          <w:tcPr>
            <w:tcW w:w="1938" w:type="pct"/>
            <w:noWrap/>
            <w:vAlign w:val="center"/>
          </w:tcPr>
          <w:p w14:paraId="2786346D">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3﹑控制柜相关运行指示正常</w:t>
            </w:r>
          </w:p>
        </w:tc>
        <w:tc>
          <w:tcPr>
            <w:tcW w:w="903" w:type="pct"/>
            <w:noWrap/>
            <w:vAlign w:val="center"/>
          </w:tcPr>
          <w:p w14:paraId="22E3EBF6">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4AECA358">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单台机房不合格，扣0.5分</w:t>
            </w:r>
          </w:p>
        </w:tc>
      </w:tr>
      <w:tr w14:paraId="392772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452" w:type="pct"/>
            <w:vMerge w:val="continue"/>
            <w:noWrap/>
            <w:vAlign w:val="center"/>
          </w:tcPr>
          <w:p w14:paraId="142964ED">
            <w:pPr>
              <w:jc w:val="center"/>
              <w:rPr>
                <w:rFonts w:hint="eastAsia" w:ascii="宋体" w:hAnsi="宋体" w:eastAsia="宋体" w:cs="宋体"/>
                <w:color w:val="auto"/>
                <w:sz w:val="21"/>
                <w:szCs w:val="21"/>
                <w:highlight w:val="none"/>
              </w:rPr>
            </w:pPr>
          </w:p>
        </w:tc>
        <w:tc>
          <w:tcPr>
            <w:tcW w:w="1938" w:type="pct"/>
            <w:noWrap/>
            <w:vAlign w:val="center"/>
          </w:tcPr>
          <w:p w14:paraId="6ABF39CB">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4﹑与轿厢内的对讲系统运行正常</w:t>
            </w:r>
          </w:p>
        </w:tc>
        <w:tc>
          <w:tcPr>
            <w:tcW w:w="903" w:type="pct"/>
            <w:noWrap/>
            <w:vAlign w:val="center"/>
          </w:tcPr>
          <w:p w14:paraId="0BE80842">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71C6932C">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单台梯不合格，扣0.5分</w:t>
            </w:r>
          </w:p>
        </w:tc>
      </w:tr>
      <w:tr w14:paraId="22A37D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2" w:type="pct"/>
            <w:vMerge w:val="continue"/>
            <w:noWrap/>
            <w:vAlign w:val="center"/>
          </w:tcPr>
          <w:p w14:paraId="1CB6E8B9">
            <w:pPr>
              <w:jc w:val="center"/>
              <w:rPr>
                <w:rFonts w:hint="eastAsia" w:ascii="宋体" w:hAnsi="宋体" w:eastAsia="宋体" w:cs="宋体"/>
                <w:color w:val="auto"/>
                <w:sz w:val="21"/>
                <w:szCs w:val="21"/>
                <w:highlight w:val="none"/>
              </w:rPr>
            </w:pPr>
          </w:p>
        </w:tc>
        <w:tc>
          <w:tcPr>
            <w:tcW w:w="1938" w:type="pct"/>
            <w:noWrap/>
            <w:vAlign w:val="center"/>
          </w:tcPr>
          <w:p w14:paraId="795B1187">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5﹑抱闸装置是否灵活</w:t>
            </w:r>
          </w:p>
        </w:tc>
        <w:tc>
          <w:tcPr>
            <w:tcW w:w="903" w:type="pct"/>
            <w:noWrap/>
            <w:vAlign w:val="center"/>
          </w:tcPr>
          <w:p w14:paraId="52DB7F3F">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529DA702">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单台梯不合格，扣0.5分</w:t>
            </w:r>
          </w:p>
        </w:tc>
      </w:tr>
      <w:tr w14:paraId="492C8F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2" w:type="pct"/>
            <w:vMerge w:val="continue"/>
            <w:noWrap/>
            <w:vAlign w:val="center"/>
          </w:tcPr>
          <w:p w14:paraId="3E7331ED">
            <w:pPr>
              <w:jc w:val="center"/>
              <w:rPr>
                <w:rFonts w:hint="eastAsia" w:ascii="宋体" w:hAnsi="宋体" w:eastAsia="宋体" w:cs="宋体"/>
                <w:color w:val="auto"/>
                <w:sz w:val="21"/>
                <w:szCs w:val="21"/>
                <w:highlight w:val="none"/>
              </w:rPr>
            </w:pPr>
          </w:p>
        </w:tc>
        <w:tc>
          <w:tcPr>
            <w:tcW w:w="1938" w:type="pct"/>
            <w:noWrap/>
            <w:vAlign w:val="center"/>
          </w:tcPr>
          <w:p w14:paraId="6FA9232D">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6﹑曵引机运行无明显展异响</w:t>
            </w:r>
          </w:p>
          <w:p w14:paraId="4240A0B0">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（≦85db）﹑无严重漏油现象</w:t>
            </w:r>
          </w:p>
        </w:tc>
        <w:tc>
          <w:tcPr>
            <w:tcW w:w="903" w:type="pct"/>
            <w:noWrap/>
            <w:vAlign w:val="center"/>
          </w:tcPr>
          <w:p w14:paraId="1247F527">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0CE483C9">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单台梯不合格，扣0.2分</w:t>
            </w:r>
          </w:p>
        </w:tc>
      </w:tr>
      <w:tr w14:paraId="30549C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452" w:type="pct"/>
            <w:vMerge w:val="continue"/>
            <w:noWrap/>
            <w:vAlign w:val="center"/>
          </w:tcPr>
          <w:p w14:paraId="7E951207">
            <w:pPr>
              <w:jc w:val="center"/>
              <w:rPr>
                <w:rFonts w:hint="eastAsia" w:ascii="宋体" w:hAnsi="宋体" w:eastAsia="宋体" w:cs="宋体"/>
                <w:color w:val="auto"/>
                <w:sz w:val="21"/>
                <w:szCs w:val="21"/>
                <w:highlight w:val="none"/>
              </w:rPr>
            </w:pPr>
          </w:p>
        </w:tc>
        <w:tc>
          <w:tcPr>
            <w:tcW w:w="1938" w:type="pct"/>
            <w:noWrap/>
            <w:vAlign w:val="center"/>
          </w:tcPr>
          <w:p w14:paraId="0C810551">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7﹑限速器开关动作有效</w:t>
            </w:r>
          </w:p>
        </w:tc>
        <w:tc>
          <w:tcPr>
            <w:tcW w:w="903" w:type="pct"/>
            <w:noWrap/>
            <w:vAlign w:val="center"/>
          </w:tcPr>
          <w:p w14:paraId="4E7BFE82">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66596AFE">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每检查一处不合格，扣0.5分</w:t>
            </w:r>
          </w:p>
        </w:tc>
      </w:tr>
      <w:tr w14:paraId="24D67B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452" w:type="pct"/>
            <w:vMerge w:val="continue"/>
            <w:noWrap/>
            <w:vAlign w:val="center"/>
          </w:tcPr>
          <w:p w14:paraId="04AB34DE">
            <w:pPr>
              <w:jc w:val="center"/>
              <w:rPr>
                <w:rFonts w:hint="eastAsia" w:ascii="宋体" w:hAnsi="宋体" w:eastAsia="宋体" w:cs="宋体"/>
                <w:color w:val="auto"/>
                <w:sz w:val="21"/>
                <w:szCs w:val="21"/>
                <w:highlight w:val="none"/>
              </w:rPr>
            </w:pPr>
          </w:p>
        </w:tc>
        <w:tc>
          <w:tcPr>
            <w:tcW w:w="1938" w:type="pct"/>
            <w:noWrap/>
            <w:vAlign w:val="center"/>
          </w:tcPr>
          <w:p w14:paraId="58708F23">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8﹑钢强楼层指示线标正确</w:t>
            </w:r>
          </w:p>
        </w:tc>
        <w:tc>
          <w:tcPr>
            <w:tcW w:w="903" w:type="pct"/>
            <w:noWrap/>
            <w:vAlign w:val="center"/>
          </w:tcPr>
          <w:p w14:paraId="24FFBCE7">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67739814">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单台梯不合格，扣0.5分</w:t>
            </w:r>
          </w:p>
        </w:tc>
      </w:tr>
      <w:tr w14:paraId="67A507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452" w:type="pct"/>
            <w:vMerge w:val="continue"/>
            <w:noWrap/>
            <w:vAlign w:val="center"/>
          </w:tcPr>
          <w:p w14:paraId="10023E8E">
            <w:pPr>
              <w:jc w:val="center"/>
              <w:rPr>
                <w:rFonts w:hint="eastAsia" w:ascii="宋体" w:hAnsi="宋体" w:eastAsia="宋体" w:cs="宋体"/>
                <w:color w:val="auto"/>
                <w:sz w:val="21"/>
                <w:szCs w:val="21"/>
                <w:highlight w:val="none"/>
              </w:rPr>
            </w:pPr>
          </w:p>
        </w:tc>
        <w:tc>
          <w:tcPr>
            <w:tcW w:w="1938" w:type="pct"/>
            <w:noWrap/>
            <w:vAlign w:val="center"/>
          </w:tcPr>
          <w:p w14:paraId="22E983CE">
            <w:pPr>
              <w:spacing w:line="360" w:lineRule="exact"/>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9.</w:t>
            </w:r>
            <w:r>
              <w:rPr>
                <w:rFonts w:hint="eastAsia" w:ascii="宋体" w:hAnsi="宋体" w:eastAsia="宋体" w:cs="宋体"/>
                <w:color w:val="auto"/>
                <w:sz w:val="21"/>
                <w:szCs w:val="21"/>
                <w:highlight w:val="none"/>
              </w:rPr>
              <w:t>电梯机房每日巡查签到</w:t>
            </w:r>
          </w:p>
        </w:tc>
        <w:tc>
          <w:tcPr>
            <w:tcW w:w="903" w:type="pct"/>
            <w:noWrap/>
            <w:vAlign w:val="center"/>
          </w:tcPr>
          <w:p w14:paraId="7AA136F9">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70AA553E">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每检查一处不合格，扣1分</w:t>
            </w:r>
          </w:p>
        </w:tc>
      </w:tr>
      <w:tr w14:paraId="30D72B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452" w:type="pct"/>
            <w:vMerge w:val="restart"/>
            <w:noWrap/>
            <w:vAlign w:val="center"/>
          </w:tcPr>
          <w:p w14:paraId="2D15B192">
            <w:pPr>
              <w:spacing w:line="360" w:lineRule="exact"/>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轿</w:t>
            </w:r>
          </w:p>
          <w:p w14:paraId="3DA23A55">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厢</w:t>
            </w:r>
          </w:p>
        </w:tc>
        <w:tc>
          <w:tcPr>
            <w:tcW w:w="1938" w:type="pct"/>
            <w:noWrap/>
            <w:vAlign w:val="center"/>
          </w:tcPr>
          <w:p w14:paraId="1889F79D">
            <w:pPr>
              <w:spacing w:line="360" w:lineRule="exact"/>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1.</w:t>
            </w:r>
            <w:r>
              <w:rPr>
                <w:rFonts w:hint="eastAsia" w:ascii="宋体" w:hAnsi="宋体" w:eastAsia="宋体" w:cs="宋体"/>
                <w:color w:val="auto"/>
                <w:sz w:val="21"/>
                <w:szCs w:val="21"/>
                <w:highlight w:val="none"/>
              </w:rPr>
              <w:t>电梯运行平稳无明显异响﹑抖动（按年检标准）</w:t>
            </w:r>
          </w:p>
        </w:tc>
        <w:tc>
          <w:tcPr>
            <w:tcW w:w="903" w:type="pct"/>
            <w:noWrap/>
            <w:vAlign w:val="center"/>
          </w:tcPr>
          <w:p w14:paraId="241755D1">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79E0C692">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每检查一处不合格，扣0.5分</w:t>
            </w:r>
          </w:p>
        </w:tc>
      </w:tr>
      <w:tr w14:paraId="6394D1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jc w:val="center"/>
        </w:trPr>
        <w:tc>
          <w:tcPr>
            <w:tcW w:w="452" w:type="pct"/>
            <w:vMerge w:val="continue"/>
            <w:noWrap/>
            <w:vAlign w:val="center"/>
          </w:tcPr>
          <w:p w14:paraId="3C6ACDCE">
            <w:pPr>
              <w:jc w:val="center"/>
              <w:rPr>
                <w:rFonts w:hint="eastAsia" w:ascii="宋体" w:hAnsi="宋体" w:eastAsia="宋体" w:cs="宋体"/>
                <w:color w:val="auto"/>
                <w:sz w:val="21"/>
                <w:szCs w:val="21"/>
                <w:highlight w:val="none"/>
              </w:rPr>
            </w:pPr>
          </w:p>
        </w:tc>
        <w:tc>
          <w:tcPr>
            <w:tcW w:w="1938" w:type="pct"/>
            <w:noWrap/>
            <w:vAlign w:val="center"/>
          </w:tcPr>
          <w:p w14:paraId="69C68455">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2﹑轿厢照明﹑风扇维修及时性（报修后不超过2小时完成）</w:t>
            </w:r>
          </w:p>
        </w:tc>
        <w:tc>
          <w:tcPr>
            <w:tcW w:w="903" w:type="pct"/>
            <w:noWrap/>
            <w:vAlign w:val="center"/>
          </w:tcPr>
          <w:p w14:paraId="3FACDC97">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093D7C48">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单台梯不合格，扣0.2分</w:t>
            </w:r>
          </w:p>
        </w:tc>
      </w:tr>
      <w:tr w14:paraId="5C3059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452" w:type="pct"/>
            <w:vMerge w:val="continue"/>
            <w:noWrap/>
            <w:vAlign w:val="center"/>
          </w:tcPr>
          <w:p w14:paraId="4F3447B0">
            <w:pPr>
              <w:jc w:val="center"/>
              <w:rPr>
                <w:rFonts w:hint="eastAsia" w:ascii="宋体" w:hAnsi="宋体" w:eastAsia="宋体" w:cs="宋体"/>
                <w:color w:val="auto"/>
                <w:sz w:val="21"/>
                <w:szCs w:val="21"/>
                <w:highlight w:val="none"/>
              </w:rPr>
            </w:pPr>
          </w:p>
        </w:tc>
        <w:tc>
          <w:tcPr>
            <w:tcW w:w="1938" w:type="pct"/>
            <w:noWrap/>
            <w:vAlign w:val="center"/>
          </w:tcPr>
          <w:p w14:paraId="6F1F152D">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3﹑超载动作及报警装置正常</w:t>
            </w:r>
          </w:p>
        </w:tc>
        <w:tc>
          <w:tcPr>
            <w:tcW w:w="903" w:type="pct"/>
            <w:noWrap/>
            <w:vAlign w:val="center"/>
          </w:tcPr>
          <w:p w14:paraId="7ABE1606">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35F6D9C5">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单台梯不合格，扣0.5分</w:t>
            </w:r>
          </w:p>
        </w:tc>
      </w:tr>
      <w:tr w14:paraId="44DF60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452" w:type="pct"/>
            <w:vMerge w:val="continue"/>
            <w:noWrap/>
            <w:vAlign w:val="center"/>
          </w:tcPr>
          <w:p w14:paraId="6B04A390">
            <w:pPr>
              <w:jc w:val="center"/>
              <w:rPr>
                <w:rFonts w:hint="eastAsia" w:ascii="宋体" w:hAnsi="宋体" w:eastAsia="宋体" w:cs="宋体"/>
                <w:color w:val="auto"/>
                <w:sz w:val="21"/>
                <w:szCs w:val="21"/>
                <w:highlight w:val="none"/>
              </w:rPr>
            </w:pPr>
          </w:p>
        </w:tc>
        <w:tc>
          <w:tcPr>
            <w:tcW w:w="1938" w:type="pct"/>
            <w:noWrap/>
            <w:vAlign w:val="center"/>
          </w:tcPr>
          <w:p w14:paraId="2DC327B3">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4﹑层门轨道内无杂﹑异物</w:t>
            </w:r>
          </w:p>
        </w:tc>
        <w:tc>
          <w:tcPr>
            <w:tcW w:w="903" w:type="pct"/>
            <w:noWrap/>
            <w:vAlign w:val="center"/>
          </w:tcPr>
          <w:p w14:paraId="14BB71E4">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77D4C09C">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每检查一处不合格，扣0.2分</w:t>
            </w:r>
          </w:p>
        </w:tc>
      </w:tr>
      <w:tr w14:paraId="117DD7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452" w:type="pct"/>
            <w:vMerge w:val="continue"/>
            <w:noWrap/>
            <w:vAlign w:val="center"/>
          </w:tcPr>
          <w:p w14:paraId="35708DB4">
            <w:pPr>
              <w:jc w:val="center"/>
              <w:rPr>
                <w:rFonts w:hint="eastAsia" w:ascii="宋体" w:hAnsi="宋体" w:eastAsia="宋体" w:cs="宋体"/>
                <w:color w:val="auto"/>
                <w:sz w:val="21"/>
                <w:szCs w:val="21"/>
                <w:highlight w:val="none"/>
              </w:rPr>
            </w:pPr>
          </w:p>
        </w:tc>
        <w:tc>
          <w:tcPr>
            <w:tcW w:w="1938" w:type="pct"/>
            <w:noWrap/>
            <w:vAlign w:val="center"/>
          </w:tcPr>
          <w:p w14:paraId="7844DB07">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5﹑轿门﹑层门保护装置动作有效</w:t>
            </w:r>
          </w:p>
        </w:tc>
        <w:tc>
          <w:tcPr>
            <w:tcW w:w="903" w:type="pct"/>
            <w:noWrap/>
            <w:vAlign w:val="center"/>
          </w:tcPr>
          <w:p w14:paraId="31D543BD">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5AB1547C">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每检查一处不合格，扣0.2分</w:t>
            </w:r>
          </w:p>
        </w:tc>
      </w:tr>
      <w:tr w14:paraId="71E8D4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jc w:val="center"/>
        </w:trPr>
        <w:tc>
          <w:tcPr>
            <w:tcW w:w="452" w:type="pct"/>
            <w:vMerge w:val="continue"/>
            <w:noWrap/>
            <w:vAlign w:val="center"/>
          </w:tcPr>
          <w:p w14:paraId="54758181">
            <w:pPr>
              <w:jc w:val="center"/>
              <w:rPr>
                <w:rFonts w:hint="eastAsia" w:ascii="宋体" w:hAnsi="宋体" w:eastAsia="宋体" w:cs="宋体"/>
                <w:color w:val="auto"/>
                <w:sz w:val="21"/>
                <w:szCs w:val="21"/>
                <w:highlight w:val="none"/>
              </w:rPr>
            </w:pPr>
          </w:p>
        </w:tc>
        <w:tc>
          <w:tcPr>
            <w:tcW w:w="1938" w:type="pct"/>
            <w:noWrap/>
            <w:vAlign w:val="center"/>
          </w:tcPr>
          <w:p w14:paraId="513E9D7B">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6﹑轿厢平层准确﹑开门正常（误差≦15mm</w:t>
            </w:r>
            <w:r>
              <w:rPr>
                <w:rFonts w:hint="eastAsia" w:ascii="宋体" w:hAnsi="宋体" w:cs="宋体"/>
                <w:color w:val="auto"/>
                <w:sz w:val="21"/>
                <w:szCs w:val="21"/>
                <w:highlight w:val="none"/>
                <w:lang w:eastAsia="zh-CN"/>
              </w:rPr>
              <w:t>）</w:t>
            </w:r>
          </w:p>
        </w:tc>
        <w:tc>
          <w:tcPr>
            <w:tcW w:w="903" w:type="pct"/>
            <w:noWrap/>
            <w:vAlign w:val="center"/>
          </w:tcPr>
          <w:p w14:paraId="00101D8D">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529965DB">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单台梯不合格，扣0.2分</w:t>
            </w:r>
          </w:p>
        </w:tc>
      </w:tr>
      <w:tr w14:paraId="556D0D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452" w:type="pct"/>
            <w:vMerge w:val="continue"/>
            <w:noWrap/>
            <w:vAlign w:val="center"/>
          </w:tcPr>
          <w:p w14:paraId="5FC534C7">
            <w:pPr>
              <w:jc w:val="center"/>
              <w:rPr>
                <w:rFonts w:hint="eastAsia" w:ascii="宋体" w:hAnsi="宋体" w:eastAsia="宋体" w:cs="宋体"/>
                <w:color w:val="auto"/>
                <w:sz w:val="21"/>
                <w:szCs w:val="21"/>
                <w:highlight w:val="none"/>
              </w:rPr>
            </w:pPr>
          </w:p>
        </w:tc>
        <w:tc>
          <w:tcPr>
            <w:tcW w:w="1938" w:type="pct"/>
            <w:noWrap/>
            <w:vAlign w:val="center"/>
          </w:tcPr>
          <w:p w14:paraId="00F2148E">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7﹑门锁完好﹑动作有效</w:t>
            </w:r>
          </w:p>
        </w:tc>
        <w:tc>
          <w:tcPr>
            <w:tcW w:w="903" w:type="pct"/>
            <w:noWrap/>
            <w:vAlign w:val="center"/>
          </w:tcPr>
          <w:p w14:paraId="1BB3145E">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57DE83D2">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单台梯不合格，扣0.5分</w:t>
            </w:r>
          </w:p>
        </w:tc>
      </w:tr>
      <w:tr w14:paraId="4CCDF0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452" w:type="pct"/>
            <w:vMerge w:val="continue"/>
            <w:noWrap/>
            <w:vAlign w:val="center"/>
          </w:tcPr>
          <w:p w14:paraId="45C64F5A">
            <w:pPr>
              <w:jc w:val="center"/>
              <w:rPr>
                <w:rFonts w:hint="eastAsia" w:ascii="宋体" w:hAnsi="宋体" w:eastAsia="宋体" w:cs="宋体"/>
                <w:color w:val="auto"/>
                <w:sz w:val="21"/>
                <w:szCs w:val="21"/>
                <w:highlight w:val="none"/>
              </w:rPr>
            </w:pPr>
          </w:p>
        </w:tc>
        <w:tc>
          <w:tcPr>
            <w:tcW w:w="1938" w:type="pct"/>
            <w:noWrap/>
            <w:vAlign w:val="center"/>
          </w:tcPr>
          <w:p w14:paraId="26B65DC2">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8﹑外呼板动作有效</w:t>
            </w:r>
          </w:p>
        </w:tc>
        <w:tc>
          <w:tcPr>
            <w:tcW w:w="903" w:type="pct"/>
            <w:noWrap/>
            <w:vAlign w:val="center"/>
          </w:tcPr>
          <w:p w14:paraId="2456E120">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1FE6F388">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每检查一处不合格，扣0.2分</w:t>
            </w:r>
          </w:p>
        </w:tc>
      </w:tr>
      <w:tr w14:paraId="0ADC52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452" w:type="pct"/>
            <w:vMerge w:val="continue"/>
            <w:noWrap/>
            <w:vAlign w:val="center"/>
          </w:tcPr>
          <w:p w14:paraId="0E8063FC">
            <w:pPr>
              <w:jc w:val="center"/>
              <w:rPr>
                <w:rFonts w:hint="eastAsia" w:ascii="宋体" w:hAnsi="宋体" w:eastAsia="宋体" w:cs="宋体"/>
                <w:color w:val="auto"/>
                <w:sz w:val="21"/>
                <w:szCs w:val="21"/>
                <w:highlight w:val="none"/>
              </w:rPr>
            </w:pPr>
          </w:p>
        </w:tc>
        <w:tc>
          <w:tcPr>
            <w:tcW w:w="1938" w:type="pct"/>
            <w:noWrap/>
            <w:vAlign w:val="center"/>
          </w:tcPr>
          <w:p w14:paraId="2492DB4D">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9﹑轿顶开关动作有效</w:t>
            </w:r>
          </w:p>
        </w:tc>
        <w:tc>
          <w:tcPr>
            <w:tcW w:w="903" w:type="pct"/>
            <w:noWrap/>
            <w:vAlign w:val="center"/>
          </w:tcPr>
          <w:p w14:paraId="306C5127">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485843A9">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每检查一处不合格，扣0.2分</w:t>
            </w:r>
          </w:p>
        </w:tc>
      </w:tr>
      <w:tr w14:paraId="6A13FC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452" w:type="pct"/>
            <w:vMerge w:val="restart"/>
            <w:noWrap/>
            <w:vAlign w:val="center"/>
          </w:tcPr>
          <w:p w14:paraId="21BC559C">
            <w:pPr>
              <w:spacing w:line="360" w:lineRule="exact"/>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井</w:t>
            </w:r>
          </w:p>
          <w:p w14:paraId="36FEDEC4">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道</w:t>
            </w:r>
          </w:p>
        </w:tc>
        <w:tc>
          <w:tcPr>
            <w:tcW w:w="1938" w:type="pct"/>
            <w:noWrap/>
            <w:vAlign w:val="center"/>
          </w:tcPr>
          <w:p w14:paraId="6392BB46">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1﹑安全钳﹑极限开关动作有效</w:t>
            </w:r>
          </w:p>
        </w:tc>
        <w:tc>
          <w:tcPr>
            <w:tcW w:w="903" w:type="pct"/>
            <w:noWrap/>
            <w:vAlign w:val="center"/>
          </w:tcPr>
          <w:p w14:paraId="21E121F5">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03498897">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每检查一处不合格，扣0.5分</w:t>
            </w:r>
          </w:p>
        </w:tc>
      </w:tr>
      <w:tr w14:paraId="777F64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452" w:type="pct"/>
            <w:vMerge w:val="continue"/>
            <w:noWrap/>
            <w:vAlign w:val="center"/>
          </w:tcPr>
          <w:p w14:paraId="1D5DB41E">
            <w:pPr>
              <w:jc w:val="center"/>
              <w:rPr>
                <w:rFonts w:hint="eastAsia" w:ascii="宋体" w:hAnsi="宋体" w:eastAsia="宋体" w:cs="宋体"/>
                <w:color w:val="auto"/>
                <w:sz w:val="21"/>
                <w:szCs w:val="21"/>
                <w:highlight w:val="none"/>
              </w:rPr>
            </w:pPr>
          </w:p>
        </w:tc>
        <w:tc>
          <w:tcPr>
            <w:tcW w:w="1938" w:type="pct"/>
            <w:noWrap/>
            <w:vAlign w:val="center"/>
          </w:tcPr>
          <w:p w14:paraId="55107522">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2﹑底坑内安全开关动作有效</w:t>
            </w:r>
          </w:p>
        </w:tc>
        <w:tc>
          <w:tcPr>
            <w:tcW w:w="903" w:type="pct"/>
            <w:noWrap/>
            <w:vAlign w:val="center"/>
          </w:tcPr>
          <w:p w14:paraId="73C355A5">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2D5AB775">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每检查一处不合格，扣0.5分</w:t>
            </w:r>
          </w:p>
        </w:tc>
      </w:tr>
      <w:tr w14:paraId="2741A2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452" w:type="pct"/>
            <w:vMerge w:val="continue"/>
            <w:noWrap/>
            <w:vAlign w:val="center"/>
          </w:tcPr>
          <w:p w14:paraId="4D32429F">
            <w:pPr>
              <w:jc w:val="center"/>
              <w:rPr>
                <w:rFonts w:hint="eastAsia" w:ascii="宋体" w:hAnsi="宋体" w:eastAsia="宋体" w:cs="宋体"/>
                <w:color w:val="auto"/>
                <w:sz w:val="21"/>
                <w:szCs w:val="21"/>
                <w:highlight w:val="none"/>
              </w:rPr>
            </w:pPr>
          </w:p>
        </w:tc>
        <w:tc>
          <w:tcPr>
            <w:tcW w:w="1938" w:type="pct"/>
            <w:noWrap/>
            <w:vAlign w:val="center"/>
          </w:tcPr>
          <w:p w14:paraId="3A8598EA">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3﹑轨道无明显油垢﹑无锈蚀</w:t>
            </w:r>
          </w:p>
        </w:tc>
        <w:tc>
          <w:tcPr>
            <w:tcW w:w="903" w:type="pct"/>
            <w:noWrap/>
            <w:vAlign w:val="center"/>
          </w:tcPr>
          <w:p w14:paraId="217BD4CB">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42D2294F">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每检查一处不合格，扣0.2分</w:t>
            </w:r>
          </w:p>
        </w:tc>
      </w:tr>
      <w:tr w14:paraId="373B50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452" w:type="pct"/>
            <w:vMerge w:val="continue"/>
            <w:noWrap/>
            <w:vAlign w:val="center"/>
          </w:tcPr>
          <w:p w14:paraId="5B3E9DBA">
            <w:pPr>
              <w:jc w:val="center"/>
              <w:rPr>
                <w:rFonts w:hint="eastAsia" w:ascii="宋体" w:hAnsi="宋体" w:eastAsia="宋体" w:cs="宋体"/>
                <w:color w:val="auto"/>
                <w:sz w:val="21"/>
                <w:szCs w:val="21"/>
                <w:highlight w:val="none"/>
              </w:rPr>
            </w:pPr>
          </w:p>
        </w:tc>
        <w:tc>
          <w:tcPr>
            <w:tcW w:w="1938" w:type="pct"/>
            <w:noWrap/>
            <w:vAlign w:val="center"/>
          </w:tcPr>
          <w:p w14:paraId="6AB38F8B">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4﹑缓冲器复位开关动作有效</w:t>
            </w:r>
          </w:p>
        </w:tc>
        <w:tc>
          <w:tcPr>
            <w:tcW w:w="903" w:type="pct"/>
            <w:noWrap/>
            <w:vAlign w:val="center"/>
          </w:tcPr>
          <w:p w14:paraId="43DF1525">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0DF550B6">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每检查一处不合格，扣0.2分</w:t>
            </w:r>
          </w:p>
        </w:tc>
      </w:tr>
      <w:tr w14:paraId="439EC0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452" w:type="pct"/>
            <w:vMerge w:val="continue"/>
            <w:noWrap/>
            <w:vAlign w:val="center"/>
          </w:tcPr>
          <w:p w14:paraId="5415E668">
            <w:pPr>
              <w:jc w:val="center"/>
              <w:rPr>
                <w:rFonts w:hint="eastAsia" w:ascii="宋体" w:hAnsi="宋体" w:eastAsia="宋体" w:cs="宋体"/>
                <w:color w:val="auto"/>
                <w:sz w:val="21"/>
                <w:szCs w:val="21"/>
                <w:highlight w:val="none"/>
              </w:rPr>
            </w:pPr>
          </w:p>
        </w:tc>
        <w:tc>
          <w:tcPr>
            <w:tcW w:w="1938" w:type="pct"/>
            <w:noWrap/>
            <w:vAlign w:val="center"/>
          </w:tcPr>
          <w:p w14:paraId="7C6B5728">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5﹑随行电缆无安全隐患</w:t>
            </w:r>
          </w:p>
        </w:tc>
        <w:tc>
          <w:tcPr>
            <w:tcW w:w="903" w:type="pct"/>
            <w:noWrap/>
            <w:vAlign w:val="center"/>
          </w:tcPr>
          <w:p w14:paraId="34CF8B5C">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6D6E975B">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每检查一处不合格，扣0.2分</w:t>
            </w:r>
          </w:p>
        </w:tc>
      </w:tr>
      <w:tr w14:paraId="7C8010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452" w:type="pct"/>
            <w:vMerge w:val="continue"/>
            <w:noWrap/>
            <w:vAlign w:val="center"/>
          </w:tcPr>
          <w:p w14:paraId="78F75D35">
            <w:pPr>
              <w:jc w:val="center"/>
              <w:rPr>
                <w:rFonts w:hint="eastAsia" w:ascii="宋体" w:hAnsi="宋体" w:eastAsia="宋体" w:cs="宋体"/>
                <w:color w:val="auto"/>
                <w:sz w:val="21"/>
                <w:szCs w:val="21"/>
                <w:highlight w:val="none"/>
              </w:rPr>
            </w:pPr>
          </w:p>
        </w:tc>
        <w:tc>
          <w:tcPr>
            <w:tcW w:w="1938" w:type="pct"/>
            <w:noWrap/>
            <w:vAlign w:val="center"/>
          </w:tcPr>
          <w:p w14:paraId="72007432">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6﹑井道照明正常</w:t>
            </w:r>
          </w:p>
        </w:tc>
        <w:tc>
          <w:tcPr>
            <w:tcW w:w="903" w:type="pct"/>
            <w:noWrap/>
            <w:vAlign w:val="center"/>
          </w:tcPr>
          <w:p w14:paraId="35903ACC">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617D8FBA">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每检查一处不合格，扣0.2分</w:t>
            </w:r>
          </w:p>
        </w:tc>
      </w:tr>
      <w:tr w14:paraId="5EC839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452" w:type="pct"/>
            <w:vMerge w:val="continue"/>
            <w:noWrap/>
            <w:vAlign w:val="center"/>
          </w:tcPr>
          <w:p w14:paraId="0B35B9E5">
            <w:pPr>
              <w:jc w:val="center"/>
              <w:rPr>
                <w:rFonts w:hint="eastAsia" w:ascii="宋体" w:hAnsi="宋体" w:eastAsia="宋体" w:cs="宋体"/>
                <w:color w:val="auto"/>
                <w:sz w:val="21"/>
                <w:szCs w:val="21"/>
                <w:highlight w:val="none"/>
              </w:rPr>
            </w:pPr>
          </w:p>
        </w:tc>
        <w:tc>
          <w:tcPr>
            <w:tcW w:w="1938" w:type="pct"/>
            <w:noWrap/>
            <w:vAlign w:val="center"/>
          </w:tcPr>
          <w:p w14:paraId="6B2DB0A9">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7﹑油杯油位正常（不低于1/3）﹑无明显漏油现象</w:t>
            </w:r>
          </w:p>
        </w:tc>
        <w:tc>
          <w:tcPr>
            <w:tcW w:w="903" w:type="pct"/>
            <w:noWrap/>
            <w:vAlign w:val="center"/>
          </w:tcPr>
          <w:p w14:paraId="55B40247">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4C2FE54A">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每检查一处不合格，扣0.2分</w:t>
            </w:r>
          </w:p>
        </w:tc>
      </w:tr>
      <w:tr w14:paraId="4073E0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452" w:type="pct"/>
            <w:vMerge w:val="continue"/>
            <w:noWrap/>
            <w:vAlign w:val="center"/>
          </w:tcPr>
          <w:p w14:paraId="5DB9593D">
            <w:pPr>
              <w:jc w:val="center"/>
              <w:rPr>
                <w:rFonts w:hint="eastAsia" w:ascii="宋体" w:hAnsi="宋体" w:eastAsia="宋体" w:cs="宋体"/>
                <w:color w:val="auto"/>
                <w:sz w:val="21"/>
                <w:szCs w:val="21"/>
                <w:highlight w:val="none"/>
              </w:rPr>
            </w:pPr>
          </w:p>
        </w:tc>
        <w:tc>
          <w:tcPr>
            <w:tcW w:w="1938" w:type="pct"/>
            <w:noWrap/>
            <w:vAlign w:val="center"/>
          </w:tcPr>
          <w:p w14:paraId="71E4D999">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8﹑补偿轮开关动作有效</w:t>
            </w:r>
          </w:p>
        </w:tc>
        <w:tc>
          <w:tcPr>
            <w:tcW w:w="903" w:type="pct"/>
            <w:noWrap/>
            <w:vAlign w:val="center"/>
          </w:tcPr>
          <w:p w14:paraId="0081D969">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3346140F">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每检查一处不合格，扣0.2分</w:t>
            </w:r>
          </w:p>
        </w:tc>
      </w:tr>
      <w:tr w14:paraId="6E2D43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452" w:type="pct"/>
            <w:vMerge w:val="continue"/>
            <w:noWrap/>
            <w:vAlign w:val="center"/>
          </w:tcPr>
          <w:p w14:paraId="3D8B4A85">
            <w:pPr>
              <w:jc w:val="center"/>
              <w:rPr>
                <w:rFonts w:hint="eastAsia" w:ascii="宋体" w:hAnsi="宋体" w:eastAsia="宋体" w:cs="宋体"/>
                <w:color w:val="auto"/>
                <w:sz w:val="21"/>
                <w:szCs w:val="21"/>
                <w:highlight w:val="none"/>
              </w:rPr>
            </w:pPr>
          </w:p>
        </w:tc>
        <w:tc>
          <w:tcPr>
            <w:tcW w:w="1938" w:type="pct"/>
            <w:noWrap/>
            <w:vAlign w:val="center"/>
          </w:tcPr>
          <w:p w14:paraId="5BC91348">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9﹑对重﹑轨道先等连接螺栓无松动</w:t>
            </w:r>
          </w:p>
        </w:tc>
        <w:tc>
          <w:tcPr>
            <w:tcW w:w="903" w:type="pct"/>
            <w:noWrap/>
            <w:vAlign w:val="center"/>
          </w:tcPr>
          <w:p w14:paraId="424431EC">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50D152AD">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单台梯不合格，扣0.5分</w:t>
            </w:r>
          </w:p>
        </w:tc>
      </w:tr>
      <w:tr w14:paraId="5E29A0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452" w:type="pct"/>
            <w:vMerge w:val="restart"/>
            <w:noWrap/>
            <w:vAlign w:val="center"/>
          </w:tcPr>
          <w:p w14:paraId="312EA256">
            <w:pPr>
              <w:spacing w:line="360" w:lineRule="exact"/>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其</w:t>
            </w:r>
          </w:p>
          <w:p w14:paraId="32B3500B">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他</w:t>
            </w:r>
          </w:p>
        </w:tc>
        <w:tc>
          <w:tcPr>
            <w:tcW w:w="1938" w:type="pct"/>
            <w:noWrap/>
            <w:vAlign w:val="center"/>
          </w:tcPr>
          <w:p w14:paraId="485D6FBC">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1﹑按规定填写升降电梯保养单报告</w:t>
            </w:r>
          </w:p>
        </w:tc>
        <w:tc>
          <w:tcPr>
            <w:tcW w:w="903" w:type="pct"/>
            <w:noWrap/>
            <w:vAlign w:val="center"/>
          </w:tcPr>
          <w:p w14:paraId="34BD381A">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3CADEBFC">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单台梯不合格，扣0.5分</w:t>
            </w:r>
          </w:p>
        </w:tc>
      </w:tr>
      <w:tr w14:paraId="2849AD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452" w:type="pct"/>
            <w:vMerge w:val="continue"/>
            <w:noWrap/>
            <w:vAlign w:val="center"/>
          </w:tcPr>
          <w:p w14:paraId="4C0FA4A8">
            <w:pPr>
              <w:jc w:val="center"/>
              <w:rPr>
                <w:rFonts w:hint="eastAsia" w:ascii="宋体" w:hAnsi="宋体" w:eastAsia="宋体" w:cs="宋体"/>
                <w:color w:val="auto"/>
                <w:sz w:val="21"/>
                <w:szCs w:val="21"/>
                <w:highlight w:val="none"/>
              </w:rPr>
            </w:pPr>
          </w:p>
        </w:tc>
        <w:tc>
          <w:tcPr>
            <w:tcW w:w="1938" w:type="pct"/>
            <w:noWrap/>
            <w:vAlign w:val="center"/>
          </w:tcPr>
          <w:p w14:paraId="2B9785E1">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2﹑没按规定的流程保养电梯而造成业户的投诉</w:t>
            </w:r>
          </w:p>
        </w:tc>
        <w:tc>
          <w:tcPr>
            <w:tcW w:w="903" w:type="pct"/>
            <w:noWrap/>
            <w:vAlign w:val="center"/>
          </w:tcPr>
          <w:p w14:paraId="4E692051">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21E3896D">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单台梯不合格，扣0.5分</w:t>
            </w:r>
          </w:p>
        </w:tc>
      </w:tr>
      <w:tr w14:paraId="458D5C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452" w:type="pct"/>
            <w:vMerge w:val="continue"/>
            <w:noWrap/>
            <w:vAlign w:val="center"/>
          </w:tcPr>
          <w:p w14:paraId="36E6FB87">
            <w:pPr>
              <w:jc w:val="center"/>
              <w:rPr>
                <w:rFonts w:hint="eastAsia" w:ascii="宋体" w:hAnsi="宋体" w:eastAsia="宋体" w:cs="宋体"/>
                <w:color w:val="auto"/>
                <w:sz w:val="21"/>
                <w:szCs w:val="21"/>
                <w:highlight w:val="none"/>
              </w:rPr>
            </w:pPr>
          </w:p>
        </w:tc>
        <w:tc>
          <w:tcPr>
            <w:tcW w:w="1938" w:type="pct"/>
            <w:noWrap/>
            <w:vAlign w:val="center"/>
          </w:tcPr>
          <w:p w14:paraId="34DD1412">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3﹑报修后不能按时到达维修</w:t>
            </w:r>
          </w:p>
        </w:tc>
        <w:tc>
          <w:tcPr>
            <w:tcW w:w="903" w:type="pct"/>
            <w:noWrap/>
            <w:vAlign w:val="center"/>
          </w:tcPr>
          <w:p w14:paraId="3160669E">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2DE8C435">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每检查一处不合格，扣0.5分</w:t>
            </w:r>
          </w:p>
        </w:tc>
      </w:tr>
      <w:tr w14:paraId="6F3AD4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jc w:val="center"/>
        </w:trPr>
        <w:tc>
          <w:tcPr>
            <w:tcW w:w="452" w:type="pct"/>
            <w:vMerge w:val="continue"/>
            <w:noWrap/>
            <w:vAlign w:val="center"/>
          </w:tcPr>
          <w:p w14:paraId="5FBF4DCF">
            <w:pPr>
              <w:jc w:val="center"/>
              <w:rPr>
                <w:rFonts w:hint="eastAsia" w:ascii="宋体" w:hAnsi="宋体" w:eastAsia="宋体" w:cs="宋体"/>
                <w:color w:val="auto"/>
                <w:sz w:val="21"/>
                <w:szCs w:val="21"/>
                <w:highlight w:val="none"/>
              </w:rPr>
            </w:pPr>
          </w:p>
        </w:tc>
        <w:tc>
          <w:tcPr>
            <w:tcW w:w="1938" w:type="pct"/>
            <w:noWrap/>
            <w:vAlign w:val="center"/>
          </w:tcPr>
          <w:p w14:paraId="133F5CE8">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4﹑保养或维修时未在每层明显位置放置警示牌（急修除外）</w:t>
            </w:r>
          </w:p>
        </w:tc>
        <w:tc>
          <w:tcPr>
            <w:tcW w:w="903" w:type="pct"/>
            <w:noWrap/>
            <w:vAlign w:val="center"/>
          </w:tcPr>
          <w:p w14:paraId="4A2EB559">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16F512A5">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单台梯不合格，扣0.2分</w:t>
            </w:r>
          </w:p>
        </w:tc>
      </w:tr>
      <w:tr w14:paraId="71DD64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452" w:type="pct"/>
            <w:vMerge w:val="continue"/>
            <w:noWrap/>
            <w:vAlign w:val="center"/>
          </w:tcPr>
          <w:p w14:paraId="16460D6A">
            <w:pPr>
              <w:jc w:val="center"/>
              <w:rPr>
                <w:rFonts w:hint="eastAsia" w:ascii="宋体" w:hAnsi="宋体" w:eastAsia="宋体" w:cs="宋体"/>
                <w:color w:val="auto"/>
                <w:sz w:val="21"/>
                <w:szCs w:val="21"/>
                <w:highlight w:val="none"/>
              </w:rPr>
            </w:pPr>
          </w:p>
        </w:tc>
        <w:tc>
          <w:tcPr>
            <w:tcW w:w="1938" w:type="pct"/>
            <w:noWrap/>
            <w:vAlign w:val="center"/>
          </w:tcPr>
          <w:p w14:paraId="75AC179B">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5﹑统一着装</w:t>
            </w:r>
          </w:p>
        </w:tc>
        <w:tc>
          <w:tcPr>
            <w:tcW w:w="903" w:type="pct"/>
            <w:noWrap/>
            <w:vAlign w:val="center"/>
          </w:tcPr>
          <w:p w14:paraId="0EEBE6C4">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68E13E36">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每检查一处不合格，扣0.2分</w:t>
            </w:r>
          </w:p>
        </w:tc>
      </w:tr>
      <w:tr w14:paraId="4AB767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452" w:type="pct"/>
            <w:vMerge w:val="continue"/>
            <w:noWrap/>
            <w:vAlign w:val="center"/>
          </w:tcPr>
          <w:p w14:paraId="1BB6B39F">
            <w:pPr>
              <w:jc w:val="center"/>
              <w:rPr>
                <w:rFonts w:hint="eastAsia" w:ascii="宋体" w:hAnsi="宋体" w:eastAsia="宋体" w:cs="宋体"/>
                <w:color w:val="auto"/>
                <w:sz w:val="21"/>
                <w:szCs w:val="21"/>
                <w:highlight w:val="none"/>
              </w:rPr>
            </w:pPr>
          </w:p>
        </w:tc>
        <w:tc>
          <w:tcPr>
            <w:tcW w:w="1938" w:type="pct"/>
            <w:noWrap/>
            <w:vAlign w:val="center"/>
          </w:tcPr>
          <w:p w14:paraId="5FEBF4DD">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6﹑保养时未能提前与项目负责人沟通</w:t>
            </w:r>
          </w:p>
        </w:tc>
        <w:tc>
          <w:tcPr>
            <w:tcW w:w="903" w:type="pct"/>
            <w:noWrap/>
            <w:vAlign w:val="center"/>
          </w:tcPr>
          <w:p w14:paraId="49036819">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05F40E58">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每一次的不合格，扣0.2分</w:t>
            </w:r>
          </w:p>
        </w:tc>
      </w:tr>
      <w:tr w14:paraId="6E100F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jc w:val="center"/>
        </w:trPr>
        <w:tc>
          <w:tcPr>
            <w:tcW w:w="452" w:type="pct"/>
            <w:vMerge w:val="continue"/>
            <w:noWrap/>
            <w:vAlign w:val="center"/>
          </w:tcPr>
          <w:p w14:paraId="5DC6E7D7">
            <w:pPr>
              <w:jc w:val="center"/>
              <w:rPr>
                <w:rFonts w:hint="eastAsia" w:ascii="宋体" w:hAnsi="宋体" w:eastAsia="宋体" w:cs="宋体"/>
                <w:color w:val="auto"/>
                <w:sz w:val="21"/>
                <w:szCs w:val="21"/>
                <w:highlight w:val="none"/>
              </w:rPr>
            </w:pPr>
          </w:p>
        </w:tc>
        <w:tc>
          <w:tcPr>
            <w:tcW w:w="1938" w:type="pct"/>
            <w:noWrap/>
            <w:vAlign w:val="center"/>
          </w:tcPr>
          <w:p w14:paraId="4141C621">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7﹑抽查升降电梯保养报告单，检查项目中保养有弄虚作假的</w:t>
            </w:r>
          </w:p>
        </w:tc>
        <w:tc>
          <w:tcPr>
            <w:tcW w:w="903" w:type="pct"/>
            <w:noWrap/>
            <w:vAlign w:val="center"/>
          </w:tcPr>
          <w:p w14:paraId="02B1FAA1">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677286CC">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每检查一处不合格，扣0.5分</w:t>
            </w:r>
          </w:p>
        </w:tc>
      </w:tr>
      <w:tr w14:paraId="77775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jc w:val="center"/>
        </w:trPr>
        <w:tc>
          <w:tcPr>
            <w:tcW w:w="452" w:type="pct"/>
            <w:vMerge w:val="continue"/>
            <w:noWrap/>
            <w:vAlign w:val="center"/>
          </w:tcPr>
          <w:p w14:paraId="354DC9B1">
            <w:pPr>
              <w:jc w:val="center"/>
              <w:rPr>
                <w:rFonts w:hint="eastAsia" w:ascii="宋体" w:hAnsi="宋体" w:eastAsia="宋体" w:cs="宋体"/>
                <w:color w:val="auto"/>
                <w:sz w:val="21"/>
                <w:szCs w:val="21"/>
                <w:highlight w:val="none"/>
              </w:rPr>
            </w:pPr>
          </w:p>
        </w:tc>
        <w:tc>
          <w:tcPr>
            <w:tcW w:w="1938" w:type="pct"/>
            <w:noWrap/>
            <w:vAlign w:val="center"/>
          </w:tcPr>
          <w:p w14:paraId="1F2BB0E0">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8﹑按项目约定的人员编制运行</w:t>
            </w:r>
          </w:p>
        </w:tc>
        <w:tc>
          <w:tcPr>
            <w:tcW w:w="903" w:type="pct"/>
            <w:noWrap/>
            <w:vAlign w:val="center"/>
          </w:tcPr>
          <w:p w14:paraId="662086AF">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4EA5596E">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每缺编一人扣1分</w:t>
            </w:r>
          </w:p>
        </w:tc>
      </w:tr>
      <w:tr w14:paraId="66BE02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452" w:type="pct"/>
            <w:vMerge w:val="continue"/>
            <w:noWrap/>
            <w:vAlign w:val="center"/>
          </w:tcPr>
          <w:p w14:paraId="250EC1D8">
            <w:pPr>
              <w:jc w:val="center"/>
              <w:rPr>
                <w:rFonts w:hint="eastAsia" w:ascii="宋体" w:hAnsi="宋体" w:eastAsia="宋体" w:cs="宋体"/>
                <w:color w:val="auto"/>
                <w:sz w:val="21"/>
                <w:szCs w:val="21"/>
                <w:highlight w:val="none"/>
              </w:rPr>
            </w:pPr>
          </w:p>
        </w:tc>
        <w:tc>
          <w:tcPr>
            <w:tcW w:w="1938" w:type="pct"/>
            <w:noWrap/>
            <w:vAlign w:val="center"/>
          </w:tcPr>
          <w:p w14:paraId="3B17E2FB">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9﹑未经甲方同意，私自拆除部件</w:t>
            </w:r>
          </w:p>
        </w:tc>
        <w:tc>
          <w:tcPr>
            <w:tcW w:w="903" w:type="pct"/>
            <w:noWrap/>
            <w:vAlign w:val="center"/>
          </w:tcPr>
          <w:p w14:paraId="44EE1D28">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660FE551">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每检查一处不合格</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扣1分</w:t>
            </w:r>
          </w:p>
        </w:tc>
      </w:tr>
      <w:tr w14:paraId="1DB541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452" w:type="pct"/>
            <w:vMerge w:val="continue"/>
            <w:noWrap/>
            <w:vAlign w:val="center"/>
          </w:tcPr>
          <w:p w14:paraId="754C384A">
            <w:pPr>
              <w:jc w:val="center"/>
              <w:rPr>
                <w:rFonts w:hint="eastAsia" w:ascii="宋体" w:hAnsi="宋体" w:eastAsia="宋体" w:cs="宋体"/>
                <w:color w:val="auto"/>
                <w:sz w:val="21"/>
                <w:szCs w:val="21"/>
                <w:highlight w:val="none"/>
              </w:rPr>
            </w:pPr>
          </w:p>
        </w:tc>
        <w:tc>
          <w:tcPr>
            <w:tcW w:w="1938" w:type="pct"/>
            <w:noWrap/>
            <w:vAlign w:val="center"/>
          </w:tcPr>
          <w:p w14:paraId="1F11ADC7">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10﹑按时按量保养电梯</w:t>
            </w:r>
          </w:p>
        </w:tc>
        <w:tc>
          <w:tcPr>
            <w:tcW w:w="903" w:type="pct"/>
            <w:noWrap/>
            <w:vAlign w:val="center"/>
          </w:tcPr>
          <w:p w14:paraId="6FD2AB58">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68A099E3">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每检查一处不合格</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扣0.5分</w:t>
            </w:r>
          </w:p>
        </w:tc>
      </w:tr>
      <w:tr w14:paraId="065971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452" w:type="pct"/>
            <w:vMerge w:val="continue"/>
            <w:noWrap/>
            <w:vAlign w:val="center"/>
          </w:tcPr>
          <w:p w14:paraId="4F83AACC">
            <w:pPr>
              <w:jc w:val="center"/>
              <w:rPr>
                <w:rFonts w:hint="eastAsia" w:ascii="宋体" w:hAnsi="宋体" w:eastAsia="宋体" w:cs="宋体"/>
                <w:color w:val="auto"/>
                <w:sz w:val="21"/>
                <w:szCs w:val="21"/>
                <w:highlight w:val="none"/>
              </w:rPr>
            </w:pPr>
          </w:p>
        </w:tc>
        <w:tc>
          <w:tcPr>
            <w:tcW w:w="1938" w:type="pct"/>
            <w:noWrap/>
            <w:vAlign w:val="center"/>
          </w:tcPr>
          <w:p w14:paraId="34702664">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11﹑保证电梯检验合格证的有效</w:t>
            </w:r>
          </w:p>
        </w:tc>
        <w:tc>
          <w:tcPr>
            <w:tcW w:w="903" w:type="pct"/>
            <w:noWrap/>
            <w:vAlign w:val="center"/>
          </w:tcPr>
          <w:p w14:paraId="5A298271">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69517968">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每检查一处不合格</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扣5分</w:t>
            </w:r>
          </w:p>
        </w:tc>
      </w:tr>
      <w:tr w14:paraId="121238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452" w:type="pct"/>
            <w:vMerge w:val="continue"/>
            <w:noWrap/>
            <w:vAlign w:val="center"/>
          </w:tcPr>
          <w:p w14:paraId="67EB571F">
            <w:pPr>
              <w:jc w:val="center"/>
              <w:rPr>
                <w:rFonts w:hint="eastAsia" w:ascii="宋体" w:hAnsi="宋体" w:eastAsia="宋体" w:cs="宋体"/>
                <w:color w:val="auto"/>
                <w:sz w:val="21"/>
                <w:szCs w:val="21"/>
                <w:highlight w:val="none"/>
              </w:rPr>
            </w:pPr>
          </w:p>
        </w:tc>
        <w:tc>
          <w:tcPr>
            <w:tcW w:w="1938" w:type="pct"/>
            <w:noWrap/>
            <w:vAlign w:val="center"/>
          </w:tcPr>
          <w:p w14:paraId="5529461C">
            <w:pPr>
              <w:spacing w:line="360" w:lineRule="exact"/>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12.</w:t>
            </w:r>
            <w:r>
              <w:rPr>
                <w:rFonts w:hint="eastAsia" w:ascii="宋体" w:hAnsi="宋体" w:eastAsia="宋体" w:cs="宋体"/>
                <w:color w:val="auto"/>
                <w:sz w:val="21"/>
                <w:szCs w:val="21"/>
                <w:highlight w:val="none"/>
              </w:rPr>
              <w:t>特种设备使用标志，过期为及时更换</w:t>
            </w:r>
          </w:p>
        </w:tc>
        <w:tc>
          <w:tcPr>
            <w:tcW w:w="903" w:type="pct"/>
            <w:noWrap/>
            <w:vAlign w:val="center"/>
          </w:tcPr>
          <w:p w14:paraId="274DCEBB">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3C132348">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单台梯不合格，扣1分</w:t>
            </w:r>
          </w:p>
        </w:tc>
      </w:tr>
      <w:tr w14:paraId="69FBD4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452" w:type="pct"/>
            <w:vMerge w:val="continue"/>
            <w:noWrap/>
            <w:vAlign w:val="center"/>
          </w:tcPr>
          <w:p w14:paraId="4BDCE551">
            <w:pPr>
              <w:jc w:val="center"/>
              <w:rPr>
                <w:rFonts w:hint="eastAsia" w:ascii="宋体" w:hAnsi="宋体" w:eastAsia="宋体" w:cs="宋体"/>
                <w:color w:val="auto"/>
                <w:sz w:val="21"/>
                <w:szCs w:val="21"/>
                <w:highlight w:val="none"/>
              </w:rPr>
            </w:pPr>
          </w:p>
        </w:tc>
        <w:tc>
          <w:tcPr>
            <w:tcW w:w="1938" w:type="pct"/>
            <w:noWrap/>
            <w:vAlign w:val="center"/>
          </w:tcPr>
          <w:p w14:paraId="377391A5">
            <w:pPr>
              <w:spacing w:line="360" w:lineRule="exact"/>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13.</w:t>
            </w:r>
            <w:r>
              <w:rPr>
                <w:rFonts w:hint="eastAsia" w:ascii="宋体" w:hAnsi="宋体" w:eastAsia="宋体" w:cs="宋体"/>
                <w:color w:val="auto"/>
                <w:sz w:val="21"/>
                <w:szCs w:val="21"/>
                <w:highlight w:val="none"/>
              </w:rPr>
              <w:t>保养卡过期未及时更换</w:t>
            </w:r>
          </w:p>
        </w:tc>
        <w:tc>
          <w:tcPr>
            <w:tcW w:w="903" w:type="pct"/>
            <w:noWrap/>
            <w:vAlign w:val="center"/>
          </w:tcPr>
          <w:p w14:paraId="4C1F46FA">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5CA95B55">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单台梯不合格，扣1分</w:t>
            </w:r>
          </w:p>
        </w:tc>
      </w:tr>
      <w:tr w14:paraId="565800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452" w:type="pct"/>
            <w:vMerge w:val="continue"/>
            <w:noWrap/>
            <w:vAlign w:val="center"/>
          </w:tcPr>
          <w:p w14:paraId="725DC0FF">
            <w:pPr>
              <w:jc w:val="center"/>
              <w:rPr>
                <w:rFonts w:hint="eastAsia" w:ascii="宋体" w:hAnsi="宋体" w:eastAsia="宋体" w:cs="宋体"/>
                <w:color w:val="auto"/>
                <w:sz w:val="21"/>
                <w:szCs w:val="21"/>
                <w:highlight w:val="none"/>
              </w:rPr>
            </w:pPr>
          </w:p>
        </w:tc>
        <w:tc>
          <w:tcPr>
            <w:tcW w:w="1938" w:type="pct"/>
            <w:noWrap/>
            <w:vAlign w:val="center"/>
          </w:tcPr>
          <w:p w14:paraId="4DFE9514">
            <w:pPr>
              <w:spacing w:line="360" w:lineRule="exact"/>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14.</w:t>
            </w:r>
            <w:r>
              <w:rPr>
                <w:rFonts w:hint="eastAsia" w:ascii="宋体" w:hAnsi="宋体" w:eastAsia="宋体" w:cs="宋体"/>
                <w:color w:val="auto"/>
                <w:sz w:val="21"/>
                <w:szCs w:val="21"/>
                <w:highlight w:val="none"/>
              </w:rPr>
              <w:t>按时每月25号前提交下月保养计划</w:t>
            </w:r>
          </w:p>
        </w:tc>
        <w:tc>
          <w:tcPr>
            <w:tcW w:w="903" w:type="pct"/>
            <w:noWrap/>
            <w:vAlign w:val="center"/>
          </w:tcPr>
          <w:p w14:paraId="111E35AD">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638B452A">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未能按时提交，扣1分</w:t>
            </w:r>
          </w:p>
        </w:tc>
      </w:tr>
      <w:tr w14:paraId="7300A0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452" w:type="pct"/>
            <w:vMerge w:val="continue"/>
            <w:noWrap/>
            <w:vAlign w:val="center"/>
          </w:tcPr>
          <w:p w14:paraId="77985C23">
            <w:pPr>
              <w:jc w:val="center"/>
              <w:rPr>
                <w:rFonts w:hint="eastAsia" w:ascii="宋体" w:hAnsi="宋体" w:eastAsia="宋体" w:cs="宋体"/>
                <w:color w:val="auto"/>
                <w:sz w:val="21"/>
                <w:szCs w:val="21"/>
                <w:highlight w:val="none"/>
              </w:rPr>
            </w:pPr>
          </w:p>
        </w:tc>
        <w:tc>
          <w:tcPr>
            <w:tcW w:w="1938" w:type="pct"/>
            <w:noWrap/>
            <w:vAlign w:val="center"/>
          </w:tcPr>
          <w:p w14:paraId="7CDDAD1A">
            <w:pPr>
              <w:spacing w:line="360" w:lineRule="exact"/>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15.</w:t>
            </w:r>
            <w:r>
              <w:rPr>
                <w:rFonts w:hint="eastAsia" w:ascii="宋体" w:hAnsi="宋体" w:eastAsia="宋体" w:cs="宋体"/>
                <w:color w:val="auto"/>
                <w:sz w:val="21"/>
                <w:szCs w:val="21"/>
                <w:highlight w:val="none"/>
              </w:rPr>
              <w:t>保养单每半月提交一次（每月15号、30号）</w:t>
            </w:r>
          </w:p>
        </w:tc>
        <w:tc>
          <w:tcPr>
            <w:tcW w:w="903" w:type="pct"/>
            <w:noWrap/>
            <w:vAlign w:val="center"/>
          </w:tcPr>
          <w:p w14:paraId="64331CC2">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3509641F">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未能按时提交，扣1分/次</w:t>
            </w:r>
          </w:p>
        </w:tc>
      </w:tr>
      <w:tr w14:paraId="09C51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452" w:type="pct"/>
            <w:vMerge w:val="continue"/>
            <w:noWrap/>
            <w:vAlign w:val="center"/>
          </w:tcPr>
          <w:p w14:paraId="00C7924C">
            <w:pPr>
              <w:jc w:val="center"/>
              <w:rPr>
                <w:rFonts w:hint="eastAsia" w:ascii="宋体" w:hAnsi="宋体" w:eastAsia="宋体" w:cs="宋体"/>
                <w:color w:val="auto"/>
                <w:sz w:val="21"/>
                <w:szCs w:val="21"/>
                <w:highlight w:val="none"/>
              </w:rPr>
            </w:pPr>
          </w:p>
        </w:tc>
        <w:tc>
          <w:tcPr>
            <w:tcW w:w="1938" w:type="pct"/>
            <w:noWrap/>
            <w:vAlign w:val="center"/>
          </w:tcPr>
          <w:p w14:paraId="03648E00">
            <w:pPr>
              <w:spacing w:line="360" w:lineRule="exact"/>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16.</w:t>
            </w:r>
            <w:r>
              <w:rPr>
                <w:rFonts w:hint="eastAsia" w:ascii="宋体" w:hAnsi="宋体" w:eastAsia="宋体" w:cs="宋体"/>
                <w:color w:val="auto"/>
                <w:sz w:val="21"/>
                <w:szCs w:val="21"/>
                <w:highlight w:val="none"/>
              </w:rPr>
              <w:t>电梯全部需投保，投保日期需有效</w:t>
            </w:r>
          </w:p>
        </w:tc>
        <w:tc>
          <w:tcPr>
            <w:tcW w:w="903" w:type="pct"/>
            <w:noWrap/>
            <w:vAlign w:val="center"/>
          </w:tcPr>
          <w:p w14:paraId="6DD17C8E">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732BFBD7">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单台梯不合格，扣1分</w:t>
            </w:r>
          </w:p>
        </w:tc>
      </w:tr>
    </w:tbl>
    <w:p w14:paraId="61890607">
      <w:pPr>
        <w:spacing w:line="360" w:lineRule="exact"/>
        <w:rPr>
          <w:rFonts w:hint="eastAsia" w:ascii="宋体" w:hAnsi="宋体" w:eastAsia="宋体" w:cs="宋体"/>
          <w:color w:val="auto"/>
          <w:sz w:val="21"/>
          <w:szCs w:val="21"/>
          <w:highlight w:val="none"/>
        </w:rPr>
      </w:pPr>
    </w:p>
    <w:p w14:paraId="05671296">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注</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 xml:space="preserve">  </w:t>
      </w:r>
    </w:p>
    <w:p w14:paraId="27728FFB">
      <w:pPr>
        <w:spacing w:line="48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1﹑涉及到检查人员操作权限外的检查内容</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必须由保养单位人员陪同检查</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严禁个人私自检查。</w:t>
      </w:r>
    </w:p>
    <w:p w14:paraId="629A7064">
      <w:pPr>
        <w:spacing w:line="48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2﹑对存在安全隐患或潜在隐患的区域时</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保养单位人员必须拒绝检查人员进入。</w:t>
      </w:r>
    </w:p>
    <w:p w14:paraId="23DD5B7D">
      <w:pPr>
        <w:spacing w:line="48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3﹑保养单位人员必须提醒检查人员所要注意的安全隐患措施。</w:t>
      </w:r>
    </w:p>
    <w:p w14:paraId="4B81604A">
      <w:pPr>
        <w:spacing w:line="48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4﹑扣罚单以</w:t>
      </w:r>
      <w:r>
        <w:rPr>
          <w:rFonts w:hint="eastAsia" w:ascii="宋体" w:hAnsi="宋体" w:cs="宋体"/>
          <w:color w:val="auto"/>
          <w:sz w:val="21"/>
          <w:szCs w:val="21"/>
          <w:highlight w:val="none"/>
          <w:lang w:eastAsia="zh-CN"/>
        </w:rPr>
        <w:t>采购人</w:t>
      </w:r>
      <w:r>
        <w:rPr>
          <w:rFonts w:hint="eastAsia" w:ascii="宋体" w:hAnsi="宋体" w:eastAsia="宋体" w:cs="宋体"/>
          <w:color w:val="auto"/>
          <w:sz w:val="21"/>
          <w:szCs w:val="21"/>
          <w:highlight w:val="none"/>
        </w:rPr>
        <w:t>所用的考核检查表来发放</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并由</w:t>
      </w:r>
      <w:r>
        <w:rPr>
          <w:rFonts w:hint="eastAsia" w:ascii="宋体" w:hAnsi="宋体" w:cs="宋体"/>
          <w:color w:val="auto"/>
          <w:sz w:val="21"/>
          <w:szCs w:val="21"/>
          <w:highlight w:val="none"/>
          <w:lang w:eastAsia="zh-CN"/>
        </w:rPr>
        <w:t>本项目现场</w:t>
      </w:r>
      <w:r>
        <w:rPr>
          <w:rFonts w:hint="eastAsia" w:ascii="宋体" w:hAnsi="宋体" w:eastAsia="宋体" w:cs="宋体"/>
          <w:color w:val="auto"/>
          <w:sz w:val="21"/>
          <w:szCs w:val="21"/>
          <w:highlight w:val="none"/>
        </w:rPr>
        <w:t>负责人签发。</w:t>
      </w:r>
    </w:p>
    <w:p w14:paraId="6CAE9D39">
      <w:pPr>
        <w:ind w:firstLine="525" w:firstLineChars="250"/>
        <w:rPr>
          <w:rFonts w:hint="eastAsia" w:ascii="宋体" w:hAnsi="宋体" w:eastAsia="宋体" w:cs="宋体"/>
          <w:color w:val="auto"/>
          <w:sz w:val="21"/>
          <w:szCs w:val="21"/>
          <w:highlight w:val="none"/>
        </w:rPr>
      </w:pPr>
    </w:p>
    <w:p w14:paraId="05AD0AD0">
      <w:pPr>
        <w:ind w:firstLine="525" w:firstLineChars="250"/>
        <w:rPr>
          <w:rFonts w:hint="eastAsia" w:ascii="宋体" w:hAnsi="宋体" w:eastAsia="宋体" w:cs="宋体"/>
          <w:color w:val="auto"/>
          <w:sz w:val="21"/>
          <w:szCs w:val="21"/>
          <w:highlight w:val="none"/>
        </w:rPr>
      </w:pPr>
    </w:p>
    <w:p w14:paraId="3C92EB04">
      <w:pPr>
        <w:ind w:firstLine="525" w:firstLineChars="250"/>
        <w:rPr>
          <w:rFonts w:hint="eastAsia" w:ascii="宋体" w:hAnsi="宋体" w:eastAsia="宋体" w:cs="宋体"/>
          <w:color w:val="auto"/>
          <w:sz w:val="21"/>
          <w:szCs w:val="21"/>
          <w:highlight w:val="none"/>
        </w:rPr>
      </w:pPr>
    </w:p>
    <w:p w14:paraId="0C95E55F">
      <w:pPr>
        <w:ind w:firstLine="525" w:firstLineChars="250"/>
        <w:rPr>
          <w:rFonts w:hint="eastAsia" w:ascii="宋体" w:hAnsi="宋体" w:eastAsia="宋体" w:cs="宋体"/>
          <w:color w:val="auto"/>
          <w:sz w:val="21"/>
          <w:szCs w:val="21"/>
          <w:highlight w:val="none"/>
        </w:rPr>
      </w:pPr>
    </w:p>
    <w:p w14:paraId="25BC6AAB">
      <w:pP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br w:type="page"/>
      </w:r>
      <w:r>
        <w:rPr>
          <w:rFonts w:hint="eastAsia" w:ascii="宋体" w:hAnsi="宋体" w:eastAsia="宋体" w:cs="宋体"/>
          <w:b/>
          <w:color w:val="auto"/>
          <w:sz w:val="21"/>
          <w:szCs w:val="21"/>
          <w:highlight w:val="none"/>
        </w:rPr>
        <w:t>附件三：</w:t>
      </w:r>
      <w:r>
        <w:rPr>
          <w:rFonts w:hint="eastAsia" w:ascii="宋体" w:hAnsi="宋体" w:eastAsia="宋体" w:cs="宋体"/>
          <w:b/>
          <w:color w:val="auto"/>
          <w:sz w:val="21"/>
          <w:szCs w:val="21"/>
          <w:highlight w:val="none"/>
          <w:lang w:eastAsia="zh-CN"/>
        </w:rPr>
        <w:t>服务</w:t>
      </w:r>
      <w:r>
        <w:rPr>
          <w:rFonts w:hint="eastAsia" w:ascii="宋体" w:hAnsi="宋体" w:eastAsia="宋体" w:cs="宋体"/>
          <w:b/>
          <w:color w:val="auto"/>
          <w:sz w:val="21"/>
          <w:szCs w:val="21"/>
          <w:highlight w:val="none"/>
        </w:rPr>
        <w:t>安全和环保承诺书</w:t>
      </w:r>
    </w:p>
    <w:p w14:paraId="1D5717F7">
      <w:pPr>
        <w:spacing w:line="48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为保障</w:t>
      </w:r>
      <w:r>
        <w:rPr>
          <w:rFonts w:hint="eastAsia" w:ascii="宋体" w:hAnsi="宋体" w:eastAsia="宋体" w:cs="宋体"/>
          <w:color w:val="auto"/>
          <w:sz w:val="21"/>
          <w:szCs w:val="21"/>
          <w:highlight w:val="none"/>
          <w:lang w:eastAsia="zh-CN"/>
        </w:rPr>
        <w:t>服务</w:t>
      </w:r>
      <w:r>
        <w:rPr>
          <w:rFonts w:hint="eastAsia" w:ascii="宋体" w:hAnsi="宋体" w:eastAsia="宋体" w:cs="宋体"/>
          <w:color w:val="auto"/>
          <w:sz w:val="21"/>
          <w:szCs w:val="21"/>
          <w:highlight w:val="none"/>
        </w:rPr>
        <w:t>安全，我司承诺本次项目</w:t>
      </w:r>
      <w:r>
        <w:rPr>
          <w:rFonts w:hint="eastAsia" w:ascii="宋体" w:hAnsi="宋体" w:eastAsia="宋体" w:cs="宋体"/>
          <w:color w:val="auto"/>
          <w:sz w:val="21"/>
          <w:szCs w:val="21"/>
          <w:highlight w:val="none"/>
          <w:lang w:eastAsia="zh-CN"/>
        </w:rPr>
        <w:t>服务合同</w:t>
      </w:r>
      <w:r>
        <w:rPr>
          <w:rFonts w:hint="eastAsia" w:ascii="宋体" w:hAnsi="宋体" w:eastAsia="宋体" w:cs="宋体"/>
          <w:color w:val="auto"/>
          <w:sz w:val="21"/>
          <w:szCs w:val="21"/>
          <w:highlight w:val="none"/>
        </w:rPr>
        <w:t>范围内的安全管理承诺责任如下：</w:t>
      </w:r>
    </w:p>
    <w:p w14:paraId="6FEFCFA0">
      <w:pPr>
        <w:spacing w:line="48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一、承诺建立健全安全管理机构，加强安全技术管理，按国家有关规定配备与本次合同相符合的专业技术人员、安全管理人员和特种作业人员，人员持证作业，人证相符</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不使用未经培训或培训不合格的人员上岗施工。</w:t>
      </w:r>
    </w:p>
    <w:p w14:paraId="662E7C95">
      <w:pPr>
        <w:spacing w:line="48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二、承诺在</w:t>
      </w:r>
      <w:r>
        <w:rPr>
          <w:rFonts w:hint="eastAsia" w:ascii="宋体" w:hAnsi="宋体" w:eastAsia="宋体" w:cs="宋体"/>
          <w:color w:val="auto"/>
          <w:sz w:val="21"/>
          <w:szCs w:val="21"/>
          <w:highlight w:val="none"/>
          <w:lang w:eastAsia="zh-CN"/>
        </w:rPr>
        <w:t>合同服务</w:t>
      </w:r>
      <w:r>
        <w:rPr>
          <w:rFonts w:hint="eastAsia" w:ascii="宋体" w:hAnsi="宋体" w:eastAsia="宋体" w:cs="宋体"/>
          <w:color w:val="auto"/>
          <w:sz w:val="21"/>
          <w:szCs w:val="21"/>
          <w:highlight w:val="none"/>
        </w:rPr>
        <w:t>期间，严格按安全生产要求，依照《安全生产法规》内容，明确安全责任，做好安全施工组织和预防措施，服从采购方和相关部门的日常管理和检查。日常监管人员发现有重大不安全因素时，随时有权要求</w:t>
      </w:r>
      <w:r>
        <w:rPr>
          <w:rFonts w:hint="eastAsia" w:ascii="宋体" w:hAnsi="宋体" w:eastAsia="宋体" w:cs="宋体"/>
          <w:color w:val="auto"/>
          <w:sz w:val="21"/>
          <w:szCs w:val="21"/>
          <w:highlight w:val="none"/>
          <w:lang w:eastAsia="zh-CN"/>
        </w:rPr>
        <w:t>服务</w:t>
      </w:r>
      <w:r>
        <w:rPr>
          <w:rFonts w:hint="eastAsia" w:ascii="宋体" w:hAnsi="宋体" w:eastAsia="宋体" w:cs="宋体"/>
          <w:color w:val="auto"/>
          <w:sz w:val="21"/>
          <w:szCs w:val="21"/>
          <w:highlight w:val="none"/>
        </w:rPr>
        <w:t>方停工整改，</w:t>
      </w:r>
      <w:r>
        <w:rPr>
          <w:rFonts w:hint="eastAsia" w:ascii="宋体" w:hAnsi="宋体" w:eastAsia="宋体" w:cs="宋体"/>
          <w:color w:val="auto"/>
          <w:sz w:val="21"/>
          <w:szCs w:val="21"/>
          <w:highlight w:val="none"/>
          <w:lang w:eastAsia="zh-CN"/>
        </w:rPr>
        <w:t>服务</w:t>
      </w:r>
      <w:r>
        <w:rPr>
          <w:rFonts w:hint="eastAsia" w:ascii="宋体" w:hAnsi="宋体" w:eastAsia="宋体" w:cs="宋体"/>
          <w:color w:val="auto"/>
          <w:sz w:val="21"/>
          <w:szCs w:val="21"/>
          <w:highlight w:val="none"/>
        </w:rPr>
        <w:t>方不得继续违章操作强行施工。</w:t>
      </w:r>
    </w:p>
    <w:p w14:paraId="5C50CA92">
      <w:pPr>
        <w:spacing w:line="48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三、承诺对本单位</w:t>
      </w:r>
      <w:r>
        <w:rPr>
          <w:rFonts w:hint="eastAsia" w:ascii="宋体" w:hAnsi="宋体" w:eastAsia="宋体" w:cs="宋体"/>
          <w:color w:val="auto"/>
          <w:sz w:val="21"/>
          <w:szCs w:val="21"/>
          <w:highlight w:val="none"/>
          <w:lang w:eastAsia="zh-CN"/>
        </w:rPr>
        <w:t>服务</w:t>
      </w:r>
      <w:r>
        <w:rPr>
          <w:rFonts w:hint="eastAsia" w:ascii="宋体" w:hAnsi="宋体" w:eastAsia="宋体" w:cs="宋体"/>
          <w:color w:val="auto"/>
          <w:sz w:val="21"/>
          <w:szCs w:val="21"/>
          <w:highlight w:val="none"/>
        </w:rPr>
        <w:t>人员进行安全教育并对</w:t>
      </w:r>
      <w:r>
        <w:rPr>
          <w:rFonts w:hint="eastAsia" w:ascii="宋体" w:hAnsi="宋体" w:eastAsia="宋体" w:cs="宋体"/>
          <w:color w:val="auto"/>
          <w:sz w:val="21"/>
          <w:szCs w:val="21"/>
          <w:highlight w:val="none"/>
          <w:lang w:eastAsia="zh-CN"/>
        </w:rPr>
        <w:t>服务</w:t>
      </w:r>
      <w:r>
        <w:rPr>
          <w:rFonts w:hint="eastAsia" w:ascii="宋体" w:hAnsi="宋体" w:eastAsia="宋体" w:cs="宋体"/>
          <w:color w:val="auto"/>
          <w:sz w:val="21"/>
          <w:szCs w:val="21"/>
          <w:highlight w:val="none"/>
        </w:rPr>
        <w:t>人员承担全部安全责任。有健全的安全管理制度和培训教育记录，保证</w:t>
      </w:r>
      <w:r>
        <w:rPr>
          <w:rFonts w:hint="eastAsia" w:ascii="宋体" w:hAnsi="宋体" w:eastAsia="宋体" w:cs="宋体"/>
          <w:color w:val="auto"/>
          <w:sz w:val="21"/>
          <w:szCs w:val="21"/>
          <w:highlight w:val="none"/>
          <w:lang w:eastAsia="zh-CN"/>
        </w:rPr>
        <w:t>服务</w:t>
      </w:r>
      <w:r>
        <w:rPr>
          <w:rFonts w:hint="eastAsia" w:ascii="宋体" w:hAnsi="宋体" w:eastAsia="宋体" w:cs="宋体"/>
          <w:color w:val="auto"/>
          <w:sz w:val="21"/>
          <w:szCs w:val="21"/>
          <w:highlight w:val="none"/>
        </w:rPr>
        <w:t>人员应严格按安全标准组织施工，并随时接受行业安全检查人员依法实施的监督检查，采取必要的安全防护措施，消除事故隐患。合同</w:t>
      </w:r>
      <w:r>
        <w:rPr>
          <w:rFonts w:hint="eastAsia" w:ascii="宋体" w:hAnsi="宋体" w:eastAsia="宋体" w:cs="宋体"/>
          <w:color w:val="auto"/>
          <w:sz w:val="21"/>
          <w:szCs w:val="21"/>
          <w:highlight w:val="none"/>
          <w:lang w:eastAsia="zh-CN"/>
        </w:rPr>
        <w:t>服务</w:t>
      </w:r>
      <w:r>
        <w:rPr>
          <w:rFonts w:hint="eastAsia" w:ascii="宋体" w:hAnsi="宋体" w:eastAsia="宋体" w:cs="宋体"/>
          <w:color w:val="auto"/>
          <w:sz w:val="21"/>
          <w:szCs w:val="21"/>
          <w:highlight w:val="none"/>
        </w:rPr>
        <w:t>期间，在</w:t>
      </w:r>
      <w:r>
        <w:rPr>
          <w:rFonts w:hint="eastAsia" w:ascii="宋体" w:hAnsi="宋体" w:eastAsia="宋体" w:cs="宋体"/>
          <w:color w:val="auto"/>
          <w:sz w:val="21"/>
          <w:szCs w:val="21"/>
          <w:highlight w:val="none"/>
          <w:lang w:eastAsia="zh-CN"/>
        </w:rPr>
        <w:t>合同约定</w:t>
      </w:r>
      <w:r>
        <w:rPr>
          <w:rFonts w:hint="eastAsia" w:ascii="宋体" w:hAnsi="宋体" w:eastAsia="宋体" w:cs="宋体"/>
          <w:color w:val="auto"/>
          <w:sz w:val="21"/>
          <w:szCs w:val="21"/>
          <w:highlight w:val="none"/>
        </w:rPr>
        <w:t>范围内引起的一切事故的责任和因此发生的费用，均由</w:t>
      </w:r>
      <w:r>
        <w:rPr>
          <w:rFonts w:hint="eastAsia" w:ascii="宋体" w:hAnsi="宋体" w:eastAsia="宋体" w:cs="宋体"/>
          <w:color w:val="auto"/>
          <w:sz w:val="21"/>
          <w:szCs w:val="21"/>
          <w:highlight w:val="none"/>
          <w:lang w:eastAsia="zh-CN"/>
        </w:rPr>
        <w:t>服务</w:t>
      </w:r>
      <w:r>
        <w:rPr>
          <w:rFonts w:hint="eastAsia" w:ascii="宋体" w:hAnsi="宋体" w:eastAsia="宋体" w:cs="宋体"/>
          <w:color w:val="auto"/>
          <w:sz w:val="21"/>
          <w:szCs w:val="21"/>
          <w:highlight w:val="none"/>
        </w:rPr>
        <w:t>方自行承担。</w:t>
      </w:r>
    </w:p>
    <w:p w14:paraId="5C28C5AE">
      <w:pPr>
        <w:spacing w:line="48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四、承诺</w:t>
      </w:r>
      <w:r>
        <w:rPr>
          <w:rFonts w:hint="eastAsia" w:ascii="宋体" w:hAnsi="宋体" w:eastAsia="宋体" w:cs="宋体"/>
          <w:color w:val="auto"/>
          <w:sz w:val="21"/>
          <w:szCs w:val="21"/>
          <w:highlight w:val="none"/>
          <w:lang w:eastAsia="zh-CN"/>
        </w:rPr>
        <w:t>合同服务</w:t>
      </w:r>
      <w:r>
        <w:rPr>
          <w:rFonts w:hint="eastAsia" w:ascii="宋体" w:hAnsi="宋体" w:eastAsia="宋体" w:cs="宋体"/>
          <w:color w:val="auto"/>
          <w:sz w:val="21"/>
          <w:szCs w:val="21"/>
          <w:highlight w:val="none"/>
        </w:rPr>
        <w:t>期间不影响周边人员、交通安全、环境安全。对本单位</w:t>
      </w:r>
      <w:r>
        <w:rPr>
          <w:rFonts w:hint="eastAsia" w:ascii="宋体" w:hAnsi="宋体" w:eastAsia="宋体" w:cs="宋体"/>
          <w:color w:val="auto"/>
          <w:sz w:val="21"/>
          <w:szCs w:val="21"/>
          <w:highlight w:val="none"/>
          <w:lang w:eastAsia="zh-CN"/>
        </w:rPr>
        <w:t>服务</w:t>
      </w:r>
      <w:r>
        <w:rPr>
          <w:rFonts w:hint="eastAsia" w:ascii="宋体" w:hAnsi="宋体" w:eastAsia="宋体" w:cs="宋体"/>
          <w:color w:val="auto"/>
          <w:sz w:val="21"/>
          <w:szCs w:val="21"/>
          <w:highlight w:val="none"/>
        </w:rPr>
        <w:t>人员造成的一切不良影响负全部责任。</w:t>
      </w:r>
    </w:p>
    <w:p w14:paraId="742895A5">
      <w:pPr>
        <w:spacing w:line="48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五、承诺在本项目</w:t>
      </w:r>
      <w:r>
        <w:rPr>
          <w:rFonts w:hint="eastAsia" w:ascii="宋体" w:hAnsi="宋体" w:eastAsia="宋体" w:cs="宋体"/>
          <w:color w:val="auto"/>
          <w:sz w:val="21"/>
          <w:szCs w:val="21"/>
          <w:highlight w:val="none"/>
          <w:lang w:eastAsia="zh-CN"/>
        </w:rPr>
        <w:t>服务</w:t>
      </w:r>
      <w:r>
        <w:rPr>
          <w:rFonts w:hint="eastAsia" w:ascii="宋体" w:hAnsi="宋体" w:eastAsia="宋体" w:cs="宋体"/>
          <w:color w:val="auto"/>
          <w:sz w:val="21"/>
          <w:szCs w:val="21"/>
          <w:highlight w:val="none"/>
        </w:rPr>
        <w:t>范围内及</w:t>
      </w:r>
      <w:r>
        <w:rPr>
          <w:rFonts w:hint="eastAsia" w:ascii="宋体" w:hAnsi="宋体" w:eastAsia="宋体" w:cs="宋体"/>
          <w:color w:val="auto"/>
          <w:sz w:val="21"/>
          <w:szCs w:val="21"/>
          <w:highlight w:val="none"/>
          <w:lang w:eastAsia="zh-CN"/>
        </w:rPr>
        <w:t>服务</w:t>
      </w:r>
      <w:r>
        <w:rPr>
          <w:rFonts w:hint="eastAsia" w:ascii="宋体" w:hAnsi="宋体" w:eastAsia="宋体" w:cs="宋体"/>
          <w:color w:val="auto"/>
          <w:sz w:val="21"/>
          <w:szCs w:val="21"/>
          <w:highlight w:val="none"/>
        </w:rPr>
        <w:t>期间，未经采购方书面同意，不得擅自进行合同内容范围外的</w:t>
      </w:r>
      <w:r>
        <w:rPr>
          <w:rFonts w:hint="eastAsia" w:ascii="宋体" w:hAnsi="宋体" w:eastAsia="宋体" w:cs="宋体"/>
          <w:color w:val="auto"/>
          <w:sz w:val="21"/>
          <w:szCs w:val="21"/>
          <w:highlight w:val="none"/>
          <w:lang w:eastAsia="zh-CN"/>
        </w:rPr>
        <w:t>作业</w:t>
      </w:r>
      <w:r>
        <w:rPr>
          <w:rFonts w:hint="eastAsia" w:ascii="宋体" w:hAnsi="宋体" w:eastAsia="宋体" w:cs="宋体"/>
          <w:color w:val="auto"/>
          <w:sz w:val="21"/>
          <w:szCs w:val="21"/>
          <w:highlight w:val="none"/>
        </w:rPr>
        <w:t>，如因此造成</w:t>
      </w:r>
      <w:r>
        <w:rPr>
          <w:rFonts w:hint="eastAsia" w:ascii="宋体" w:hAnsi="宋体" w:eastAsia="宋体" w:cs="宋体"/>
          <w:color w:val="auto"/>
          <w:sz w:val="21"/>
          <w:szCs w:val="21"/>
          <w:highlight w:val="none"/>
          <w:lang w:eastAsia="zh-CN"/>
        </w:rPr>
        <w:t>服务</w:t>
      </w:r>
      <w:r>
        <w:rPr>
          <w:rFonts w:hint="eastAsia" w:ascii="宋体" w:hAnsi="宋体" w:eastAsia="宋体" w:cs="宋体"/>
          <w:color w:val="auto"/>
          <w:sz w:val="21"/>
          <w:szCs w:val="21"/>
          <w:highlight w:val="none"/>
        </w:rPr>
        <w:t>方人员发生伤亡等安全事故，应由</w:t>
      </w:r>
      <w:r>
        <w:rPr>
          <w:rFonts w:hint="eastAsia" w:ascii="宋体" w:hAnsi="宋体" w:eastAsia="宋体" w:cs="宋体"/>
          <w:color w:val="auto"/>
          <w:sz w:val="21"/>
          <w:szCs w:val="21"/>
          <w:highlight w:val="none"/>
          <w:lang w:eastAsia="zh-CN"/>
        </w:rPr>
        <w:t>服务</w:t>
      </w:r>
      <w:r>
        <w:rPr>
          <w:rFonts w:hint="eastAsia" w:ascii="宋体" w:hAnsi="宋体" w:eastAsia="宋体" w:cs="宋体"/>
          <w:color w:val="auto"/>
          <w:sz w:val="21"/>
          <w:szCs w:val="21"/>
          <w:highlight w:val="none"/>
        </w:rPr>
        <w:t>方承担全部责任，采购方不承担任何责任。如果因此造成采购方或任何第三方人身伤害、财产损失的，</w:t>
      </w:r>
      <w:r>
        <w:rPr>
          <w:rFonts w:hint="eastAsia" w:ascii="宋体" w:hAnsi="宋体" w:eastAsia="宋体" w:cs="宋体"/>
          <w:color w:val="auto"/>
          <w:sz w:val="21"/>
          <w:szCs w:val="21"/>
          <w:highlight w:val="none"/>
          <w:lang w:eastAsia="zh-CN"/>
        </w:rPr>
        <w:t>服务</w:t>
      </w:r>
      <w:r>
        <w:rPr>
          <w:rFonts w:hint="eastAsia" w:ascii="宋体" w:hAnsi="宋体" w:eastAsia="宋体" w:cs="宋体"/>
          <w:color w:val="auto"/>
          <w:sz w:val="21"/>
          <w:szCs w:val="21"/>
          <w:highlight w:val="none"/>
        </w:rPr>
        <w:t>方应承担赔偿责任。如采购方因此代为垫付赔偿，有权向</w:t>
      </w:r>
      <w:r>
        <w:rPr>
          <w:rFonts w:hint="eastAsia" w:ascii="宋体" w:hAnsi="宋体" w:eastAsia="宋体" w:cs="宋体"/>
          <w:color w:val="auto"/>
          <w:sz w:val="21"/>
          <w:szCs w:val="21"/>
          <w:highlight w:val="none"/>
          <w:lang w:eastAsia="zh-CN"/>
        </w:rPr>
        <w:t>服务</w:t>
      </w:r>
      <w:r>
        <w:rPr>
          <w:rFonts w:hint="eastAsia" w:ascii="宋体" w:hAnsi="宋体" w:eastAsia="宋体" w:cs="宋体"/>
          <w:color w:val="auto"/>
          <w:sz w:val="21"/>
          <w:szCs w:val="21"/>
          <w:highlight w:val="none"/>
        </w:rPr>
        <w:t>方追偿，包括但不限于赔偿款、诉讼费、律师费、鉴定费、保管费、差旅费等。</w:t>
      </w:r>
    </w:p>
    <w:p w14:paraId="25D32536">
      <w:pPr>
        <w:spacing w:line="48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六、承诺在合同服务范围内及</w:t>
      </w:r>
      <w:r>
        <w:rPr>
          <w:rFonts w:hint="eastAsia" w:ascii="宋体" w:hAnsi="宋体" w:eastAsia="宋体" w:cs="宋体"/>
          <w:color w:val="auto"/>
          <w:sz w:val="21"/>
          <w:szCs w:val="21"/>
          <w:highlight w:val="none"/>
          <w:lang w:eastAsia="zh-CN"/>
        </w:rPr>
        <w:t>服务</w:t>
      </w:r>
      <w:r>
        <w:rPr>
          <w:rFonts w:hint="eastAsia" w:ascii="宋体" w:hAnsi="宋体" w:eastAsia="宋体" w:cs="宋体"/>
          <w:color w:val="auto"/>
          <w:sz w:val="21"/>
          <w:szCs w:val="21"/>
          <w:highlight w:val="none"/>
        </w:rPr>
        <w:t>期间，因提供合同服务和施工而产生的噪音、废水、废气、废弃物</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特别是危险废弃物</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或垃圾，承诺方将按国家有关环保法规自行处理，不超出国家排放标准要求或留置在服务现场及不污染现场环境，如因未按上述约定处理而导致第三方财产损失、采购方被处罚或其他后果的，由承诺方负全部责任并负责赔偿直接和间接损失。</w:t>
      </w:r>
    </w:p>
    <w:p w14:paraId="4BD739F7">
      <w:pPr>
        <w:spacing w:line="48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七、安全问题包括但不仅限于上述情况，如有未尽详细事宜，参照国家相关法律法规、合同条款和本承诺书的条款执行。</w:t>
      </w:r>
    </w:p>
    <w:p w14:paraId="382DF150">
      <w:pPr>
        <w:spacing w:line="48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服务（</w:t>
      </w:r>
      <w:r>
        <w:rPr>
          <w:rFonts w:hint="eastAsia" w:ascii="宋体" w:hAnsi="宋体" w:eastAsia="宋体" w:cs="宋体"/>
          <w:color w:val="auto"/>
          <w:sz w:val="21"/>
          <w:szCs w:val="21"/>
          <w:highlight w:val="none"/>
        </w:rPr>
        <w:t>承诺</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方名称</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加盖公章</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                  法定代表人（授权代表）：</w:t>
      </w:r>
    </w:p>
    <w:p w14:paraId="70C5A84C">
      <w:pPr>
        <w:spacing w:line="48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日期：     年    月    日</w:t>
      </w:r>
    </w:p>
    <w:p w14:paraId="1D7427E5">
      <w:pPr>
        <w:rPr>
          <w:rFonts w:hint="eastAsia" w:ascii="宋体" w:hAnsi="宋体" w:eastAsia="宋体" w:cs="宋体"/>
          <w:b/>
          <w:color w:val="auto"/>
          <w:sz w:val="21"/>
          <w:szCs w:val="21"/>
          <w:highlight w:val="none"/>
        </w:rPr>
      </w:pPr>
    </w:p>
    <w:p w14:paraId="270E63AA">
      <w:pPr>
        <w:rPr>
          <w:rFonts w:hint="eastAsia" w:ascii="宋体" w:hAnsi="宋体" w:eastAsia="宋体" w:cs="宋体"/>
          <w:b/>
          <w:color w:val="auto"/>
          <w:sz w:val="21"/>
          <w:szCs w:val="21"/>
          <w:highlight w:val="none"/>
        </w:rPr>
      </w:pPr>
    </w:p>
    <w:p w14:paraId="42D1DDDA">
      <w:pP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附件四：阳光合作协议</w:t>
      </w:r>
    </w:p>
    <w:p w14:paraId="2F53CD6A">
      <w:pPr>
        <w:ind w:firstLine="422" w:firstLineChars="200"/>
        <w:jc w:val="center"/>
        <w:rPr>
          <w:rFonts w:hint="eastAsia" w:ascii="宋体" w:hAnsi="宋体" w:eastAsia="宋体" w:cs="宋体"/>
          <w:b/>
          <w:color w:val="auto"/>
          <w:sz w:val="21"/>
          <w:szCs w:val="21"/>
          <w:highlight w:val="none"/>
        </w:rPr>
      </w:pPr>
    </w:p>
    <w:p w14:paraId="22065AF2">
      <w:pPr>
        <w:spacing w:before="180" w:beforeLines="50" w:after="180" w:afterLines="50"/>
        <w:ind w:firstLine="420" w:firstLineChars="200"/>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甲方：广东东鸿物业发展有限公司 </w:t>
      </w:r>
    </w:p>
    <w:p w14:paraId="7F79AF22">
      <w:pPr>
        <w:pStyle w:val="16"/>
        <w:rPr>
          <w:rFonts w:hint="eastAsia" w:ascii="宋体" w:hAnsi="宋体" w:eastAsia="宋体" w:cs="宋体"/>
          <w:color w:val="auto"/>
          <w:sz w:val="21"/>
          <w:szCs w:val="21"/>
          <w:highlight w:val="none"/>
        </w:rPr>
      </w:pPr>
    </w:p>
    <w:p w14:paraId="63235B49">
      <w:pPr>
        <w:spacing w:before="180" w:beforeLines="50" w:after="180" w:afterLines="50"/>
        <w:ind w:firstLine="420" w:firstLineChars="200"/>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乙方： </w:t>
      </w:r>
    </w:p>
    <w:p w14:paraId="5C946696">
      <w:pPr>
        <w:pStyle w:val="16"/>
        <w:rPr>
          <w:rFonts w:hint="eastAsia" w:ascii="宋体" w:hAnsi="宋体" w:eastAsia="宋体" w:cs="宋体"/>
          <w:color w:val="auto"/>
          <w:sz w:val="21"/>
          <w:szCs w:val="21"/>
          <w:highlight w:val="none"/>
        </w:rPr>
      </w:pPr>
    </w:p>
    <w:p w14:paraId="1CEDD6E0">
      <w:pPr>
        <w:spacing w:before="180" w:beforeLines="50" w:after="180" w:afterLines="50"/>
        <w:ind w:firstLine="420" w:firstLineChars="200"/>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甲乙双方于</w:t>
      </w:r>
      <w:r>
        <w:rPr>
          <w:rFonts w:hint="eastAsia" w:ascii="宋体" w:hAnsi="宋体" w:eastAsia="宋体" w:cs="宋体"/>
          <w:color w:val="auto"/>
          <w:sz w:val="21"/>
          <w:szCs w:val="21"/>
          <w:highlight w:val="none"/>
          <w:u w:val="single"/>
        </w:rPr>
        <w:t xml:space="preserve">      年     月     </w:t>
      </w:r>
      <w:r>
        <w:rPr>
          <w:rFonts w:hint="eastAsia" w:ascii="宋体" w:hAnsi="宋体" w:eastAsia="宋体" w:cs="宋体"/>
          <w:color w:val="auto"/>
          <w:sz w:val="21"/>
          <w:szCs w:val="21"/>
          <w:highlight w:val="none"/>
        </w:rPr>
        <w:t>日签署了</w:t>
      </w:r>
      <w:r>
        <w:rPr>
          <w:rFonts w:hint="eastAsia" w:ascii="宋体" w:hAnsi="宋体" w:cs="宋体"/>
          <w:color w:val="auto"/>
          <w:sz w:val="21"/>
          <w:szCs w:val="21"/>
          <w:highlight w:val="none"/>
          <w:lang w:eastAsia="zh-CN"/>
        </w:rPr>
        <w:t>《     合同》（以下简称“原合同”）</w:t>
      </w:r>
      <w:r>
        <w:rPr>
          <w:rFonts w:hint="eastAsia" w:ascii="宋体" w:hAnsi="宋体" w:eastAsia="宋体" w:cs="宋体"/>
          <w:color w:val="auto"/>
          <w:sz w:val="21"/>
          <w:szCs w:val="21"/>
          <w:highlight w:val="none"/>
        </w:rPr>
        <w:t>，为加强双方阳光合作，保证职员职业安全，甲乙双方经协商签订本协议并作为双方共同遵守的阳光合作行为准则。</w:t>
      </w:r>
    </w:p>
    <w:p w14:paraId="2F19CE50">
      <w:pPr>
        <w:spacing w:before="180" w:beforeLines="50" w:after="180" w:afterLines="50"/>
        <w:ind w:left="420" w:leftChars="200"/>
        <w:contextualSpacing/>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一、甲方责任</w:t>
      </w:r>
    </w:p>
    <w:p w14:paraId="02502558">
      <w:pPr>
        <w:spacing w:before="180" w:beforeLines="50" w:after="180" w:afterLines="50"/>
        <w:ind w:left="105" w:leftChars="50" w:firstLine="420" w:firstLineChars="200"/>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1.甲方有责任向乙方介绍本单位有关采购管理通用原则和本协议的规定。</w:t>
      </w:r>
    </w:p>
    <w:p w14:paraId="3033F760">
      <w:pPr>
        <w:spacing w:before="180" w:beforeLines="50" w:after="180" w:afterLines="50"/>
        <w:ind w:left="105" w:leftChars="50" w:firstLine="420" w:firstLineChars="200"/>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2.甲方有责任对本单位相关人员进行阳光合作教育。</w:t>
      </w:r>
    </w:p>
    <w:p w14:paraId="7C306E53">
      <w:pPr>
        <w:spacing w:before="180" w:beforeLines="50" w:after="180" w:afterLines="50"/>
        <w:ind w:left="105" w:leftChars="50" w:firstLine="420" w:firstLineChars="200"/>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3.甲方人员应严格遵守本单位有关阳光合作管理的规定，不得接受乙方任何形式的回扣、实物、现金、有价证券、礼券等有价物品，不得参加乙方提供的旅游或其他可能影响职务行为公正履行的活动。 </w:t>
      </w:r>
    </w:p>
    <w:p w14:paraId="098439EE">
      <w:pPr>
        <w:spacing w:before="180" w:beforeLines="50" w:after="180" w:afterLines="50"/>
        <w:ind w:left="105" w:leftChars="50" w:firstLine="420" w:firstLineChars="200"/>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4.甲方人员如违反阳光合作管理制度及本协议规定，甲方视情节轻重、影响大小给予行政及经济处罚。</w:t>
      </w:r>
    </w:p>
    <w:p w14:paraId="3365673F">
      <w:pPr>
        <w:spacing w:before="180" w:beforeLines="50" w:after="180" w:afterLines="50"/>
        <w:ind w:left="105" w:leftChars="50" w:firstLine="420" w:firstLineChars="200"/>
        <w:contextualSpacing/>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5.</w:t>
      </w:r>
      <w:r>
        <w:rPr>
          <w:rFonts w:hint="eastAsia" w:ascii="宋体" w:hAnsi="宋体" w:eastAsia="宋体" w:cs="宋体"/>
          <w:color w:val="auto"/>
          <w:sz w:val="21"/>
          <w:szCs w:val="21"/>
          <w:highlight w:val="none"/>
        </w:rPr>
        <w:t>对于乙方举报甲方人员违反阳光合作规定的情况，甲方应及时进行调查，根据调查情况进行处理，并将调查结果向乙方反馈。</w:t>
      </w:r>
    </w:p>
    <w:p w14:paraId="03CFB6AA">
      <w:pPr>
        <w:spacing w:before="180" w:beforeLines="50" w:after="180" w:afterLines="50"/>
        <w:ind w:left="105" w:leftChars="50" w:firstLine="420" w:firstLineChars="200"/>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6.接受举报的一方应为举报方保密，不得对举报方进行报复，对举报属实和严格遵守《阳光合作协议》的合作方，在同等条件下给予后续合作的优先权。</w:t>
      </w:r>
    </w:p>
    <w:p w14:paraId="3A0438B2">
      <w:pPr>
        <w:spacing w:before="180" w:beforeLines="50" w:after="180" w:afterLines="50"/>
        <w:ind w:left="420" w:leftChars="200"/>
        <w:contextualSpacing/>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二、乙方责任</w:t>
      </w:r>
    </w:p>
    <w:p w14:paraId="37FA6966">
      <w:pPr>
        <w:spacing w:before="180" w:beforeLines="50" w:after="180" w:afterLines="50"/>
        <w:ind w:left="105" w:leftChars="50" w:firstLine="420" w:firstLineChars="200"/>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1.乙方应保证乙方人员了解甲方有关采购管理通用原则和及本协议的规定，并遵照执行。</w:t>
      </w:r>
    </w:p>
    <w:p w14:paraId="00DF4611">
      <w:pPr>
        <w:spacing w:before="180" w:beforeLines="50" w:after="180" w:afterLines="50"/>
        <w:ind w:left="105" w:leftChars="50" w:firstLine="420" w:firstLineChars="200"/>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2.乙方不得以任何形式给予甲方人员回扣、赠送实物、现金、有价证券、礼券等有价物品或提供旅游等其他可能影响职务行为公正履行的活动（以下统称“财物”）。</w:t>
      </w:r>
    </w:p>
    <w:p w14:paraId="34B738F3">
      <w:pPr>
        <w:spacing w:before="180" w:beforeLines="50" w:after="180" w:afterLines="50"/>
        <w:ind w:left="105" w:leftChars="50" w:firstLine="420" w:firstLineChars="200"/>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3.乙方有责任接受甲方对乙方在合作期间阳光合作管理执行情况的监督，并对甲方相关调查工作主动配合。</w:t>
      </w:r>
    </w:p>
    <w:p w14:paraId="050DCBCF">
      <w:pPr>
        <w:spacing w:before="180" w:beforeLines="50" w:after="180" w:afterLines="50"/>
        <w:ind w:left="105" w:leftChars="50" w:firstLine="420" w:firstLineChars="200"/>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乙方有义务就甲方人员任何形式的索取或收受财物行为及时向甲方（直接联系人为东莞实业投资控股集团有限公司纪检监察部）举报。如乙方或其人员向甲方人员给予财物，或甲方人员向乙方索取财物，乙方满足其要求并且未向甲方举报的，一经查实（包括但不限于被甲方核实属实，或者被司法机关或第三方核实属实的），甲方将在内部通报；乙方除应向甲方赔偿由此给甲方造成的损失外，乙方还应向甲方支付相当于原合同总价的10%的违约金，并对乙方知情不报人员进行相应处罚；连续出现2次及以上类似情况或者如因乙方在合作期间贿赂甲方人员，被司法机关立案查处核实属实的，甲方有权解除原合同，如甲方解除原合同的，则乙方应退还甲方所支付的所有款项并按原合同与本合同约定承担违约责任，且五年之内不得作为东实集团（东莞实业投资控股集团有限公司及下属子公司）合格供应商。</w:t>
      </w:r>
    </w:p>
    <w:p w14:paraId="32C3FC4E">
      <w:pPr>
        <w:spacing w:before="180" w:beforeLines="50" w:after="180" w:afterLines="50"/>
        <w:ind w:left="105" w:leftChars="50" w:firstLine="420" w:firstLineChars="200"/>
        <w:contextualSpacing/>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5.</w:t>
      </w:r>
      <w:r>
        <w:rPr>
          <w:rFonts w:hint="eastAsia" w:ascii="宋体" w:hAnsi="宋体" w:eastAsia="宋体" w:cs="宋体"/>
          <w:color w:val="auto"/>
          <w:sz w:val="21"/>
          <w:szCs w:val="21"/>
          <w:highlight w:val="none"/>
        </w:rPr>
        <w:t xml:space="preserve">甲方接受乙方实名或匿名举报，保证为举报者的信息保密，常设举报部门及电话： </w:t>
      </w:r>
    </w:p>
    <w:p w14:paraId="455C69A7">
      <w:pPr>
        <w:spacing w:before="180" w:beforeLines="50" w:after="180" w:afterLines="50"/>
        <w:ind w:left="105" w:leftChars="50" w:firstLine="420" w:firstLineChars="200"/>
        <w:contextualSpacing/>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举报受理部门：东莞实业投资控股集团有限公司</w:t>
      </w:r>
      <w:r>
        <w:rPr>
          <w:rFonts w:hint="eastAsia" w:ascii="宋体" w:hAnsi="宋体" w:eastAsia="宋体" w:cs="宋体"/>
          <w:color w:val="auto"/>
          <w:sz w:val="21"/>
          <w:szCs w:val="21"/>
          <w:highlight w:val="none"/>
          <w:lang w:eastAsia="zh-CN"/>
        </w:rPr>
        <w:t>风控法务部</w:t>
      </w:r>
    </w:p>
    <w:p w14:paraId="69B79D7B">
      <w:pPr>
        <w:spacing w:before="180" w:beforeLines="50" w:after="180" w:afterLines="50"/>
        <w:ind w:left="105" w:leftChars="50" w:firstLine="420" w:firstLineChars="200"/>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东实集团举报邮箱：dgsyxf@163.com</w:t>
      </w:r>
    </w:p>
    <w:p w14:paraId="5FED8F49">
      <w:pPr>
        <w:spacing w:before="180" w:beforeLines="50" w:after="180" w:afterLines="50"/>
        <w:ind w:left="105" w:leftChars="50" w:firstLine="420" w:firstLineChars="200"/>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东实集团举报电话：0769-28820703（周一至周五9:00-12:00和14:00-18:00）</w:t>
      </w:r>
    </w:p>
    <w:p w14:paraId="02596596">
      <w:pPr>
        <w:spacing w:before="180" w:beforeLines="50" w:after="180" w:afterLines="50"/>
        <w:ind w:left="105" w:leftChars="50" w:firstLine="420" w:firstLineChars="200"/>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邮寄地址：东莞市东城区八一路1号机关二号大院9号楼，东莞实业投资控股集团有限公司</w:t>
      </w:r>
      <w:r>
        <w:rPr>
          <w:rFonts w:hint="eastAsia" w:ascii="宋体" w:hAnsi="宋体" w:eastAsia="宋体" w:cs="宋体"/>
          <w:color w:val="auto"/>
          <w:sz w:val="21"/>
          <w:szCs w:val="21"/>
          <w:highlight w:val="none"/>
          <w:lang w:eastAsia="zh-CN"/>
        </w:rPr>
        <w:t>风控法务部</w:t>
      </w:r>
      <w:r>
        <w:rPr>
          <w:rFonts w:hint="eastAsia" w:ascii="宋体" w:hAnsi="宋体" w:eastAsia="宋体" w:cs="宋体"/>
          <w:color w:val="auto"/>
          <w:sz w:val="21"/>
          <w:szCs w:val="21"/>
          <w:highlight w:val="none"/>
        </w:rPr>
        <w:t>收，邮编523000。</w:t>
      </w:r>
    </w:p>
    <w:p w14:paraId="43DD8134">
      <w:pPr>
        <w:spacing w:before="180" w:beforeLines="50" w:after="180" w:afterLines="50"/>
        <w:ind w:left="420" w:leftChars="200"/>
        <w:contextualSpacing/>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三、其他</w:t>
      </w:r>
    </w:p>
    <w:p w14:paraId="01076C34">
      <w:pPr>
        <w:spacing w:before="180" w:beforeLines="50" w:after="180" w:afterLines="50"/>
        <w:ind w:left="105" w:leftChars="50" w:firstLine="420" w:firstLineChars="200"/>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1.本协议是原合同的补充协议，与原合同有同等法律效力。</w:t>
      </w:r>
    </w:p>
    <w:p w14:paraId="0EFC1174">
      <w:pPr>
        <w:spacing w:before="180" w:beforeLines="50" w:after="180" w:afterLines="50"/>
        <w:ind w:left="105" w:leftChars="50" w:firstLine="420" w:firstLineChars="200"/>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2.本协议一式叁份，甲方执贰份，乙方执壹份</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具有同等法律效力。</w:t>
      </w:r>
    </w:p>
    <w:p w14:paraId="22FAF202">
      <w:pPr>
        <w:spacing w:before="180" w:beforeLines="50" w:after="180" w:afterLines="50"/>
        <w:ind w:left="105" w:leftChars="50" w:firstLine="420" w:firstLineChars="200"/>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3.本协议经双方签署后生效。</w:t>
      </w:r>
    </w:p>
    <w:p w14:paraId="2F139B34">
      <w:pPr>
        <w:pStyle w:val="16"/>
        <w:rPr>
          <w:rFonts w:hint="eastAsia" w:ascii="宋体" w:hAnsi="宋体" w:eastAsia="宋体" w:cs="宋体"/>
          <w:color w:val="auto"/>
          <w:sz w:val="21"/>
          <w:szCs w:val="21"/>
          <w:highlight w:val="none"/>
        </w:rPr>
      </w:pPr>
    </w:p>
    <w:p w14:paraId="44AEC9A9">
      <w:pPr>
        <w:spacing w:before="180" w:beforeLines="50" w:after="180" w:afterLines="50"/>
        <w:ind w:firstLine="420" w:firstLineChars="200"/>
        <w:contextualSpacing/>
        <w:rPr>
          <w:rFonts w:hint="eastAsia" w:ascii="宋体" w:hAnsi="宋体" w:eastAsia="宋体" w:cs="宋体"/>
          <w:color w:val="auto"/>
          <w:sz w:val="21"/>
          <w:szCs w:val="21"/>
          <w:highlight w:val="none"/>
        </w:rPr>
      </w:pPr>
    </w:p>
    <w:p w14:paraId="66D6BC11">
      <w:pPr>
        <w:spacing w:before="180" w:beforeLines="50" w:after="180" w:afterLines="50"/>
        <w:ind w:firstLine="420" w:firstLineChars="200"/>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甲方（盖章）：                      乙方（盖章）： </w:t>
      </w:r>
    </w:p>
    <w:p w14:paraId="7C95C1C8">
      <w:pPr>
        <w:spacing w:before="180" w:beforeLines="50" w:after="180" w:afterLines="50"/>
        <w:ind w:firstLine="420" w:firstLineChars="200"/>
        <w:contextualSpacing/>
        <w:rPr>
          <w:rFonts w:hint="eastAsia" w:ascii="宋体" w:hAnsi="宋体" w:eastAsia="宋体" w:cs="宋体"/>
          <w:color w:val="auto"/>
          <w:sz w:val="21"/>
          <w:szCs w:val="21"/>
          <w:highlight w:val="none"/>
        </w:rPr>
      </w:pPr>
    </w:p>
    <w:p w14:paraId="4B20E1F4">
      <w:pPr>
        <w:spacing w:before="180" w:beforeLines="50" w:after="180" w:afterLines="50"/>
        <w:ind w:firstLine="420" w:firstLineChars="200"/>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法定代表人（授权代表）：</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t xml:space="preserve">      法定代表人（授权代表）：</w:t>
      </w:r>
    </w:p>
    <w:p w14:paraId="6B214E0D">
      <w:pPr>
        <w:spacing w:before="180" w:beforeLines="50" w:after="180" w:afterLines="50"/>
        <w:ind w:firstLine="420" w:firstLineChars="200"/>
        <w:contextualSpacing/>
        <w:rPr>
          <w:rFonts w:hint="eastAsia" w:ascii="宋体" w:hAnsi="宋体" w:eastAsia="宋体" w:cs="宋体"/>
          <w:color w:val="auto"/>
          <w:sz w:val="21"/>
          <w:szCs w:val="21"/>
          <w:highlight w:val="none"/>
        </w:rPr>
      </w:pPr>
    </w:p>
    <w:p w14:paraId="1357256A">
      <w:pPr>
        <w:spacing w:before="180" w:beforeLines="50" w:after="180" w:afterLines="50"/>
        <w:ind w:firstLine="420" w:firstLineChars="200"/>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签约日期：   年   月   日</w:t>
      </w:r>
      <w:bookmarkStart w:id="153" w:name="现场签证通知单"/>
      <w:bookmarkEnd w:id="153"/>
      <w:bookmarkStart w:id="154" w:name="设计变更通知单"/>
      <w:bookmarkEnd w:id="154"/>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t xml:space="preserve">       签约日期：   年   月   日</w:t>
      </w:r>
    </w:p>
    <w:p w14:paraId="148683B8">
      <w:pPr>
        <w:rPr>
          <w:color w:val="auto"/>
          <w:highlight w:val="none"/>
        </w:rPr>
      </w:pPr>
    </w:p>
    <w:p w14:paraId="1E5A9FEB">
      <w:pPr>
        <w:widowControl/>
        <w:jc w:val="left"/>
        <w:rPr>
          <w:rFonts w:ascii="宋体" w:hAnsi="宋体"/>
          <w:b/>
          <w:bCs/>
          <w:color w:val="auto"/>
          <w:kern w:val="44"/>
          <w:sz w:val="28"/>
          <w:szCs w:val="28"/>
          <w:highlight w:val="none"/>
        </w:rPr>
      </w:pPr>
      <w:r>
        <w:rPr>
          <w:rFonts w:ascii="宋体" w:hAnsi="宋体"/>
          <w:color w:val="auto"/>
          <w:sz w:val="28"/>
          <w:szCs w:val="28"/>
          <w:highlight w:val="none"/>
        </w:rPr>
        <w:br w:type="page"/>
      </w:r>
    </w:p>
    <w:p w14:paraId="01BDAECC">
      <w:pPr>
        <w:pStyle w:val="3"/>
        <w:jc w:val="center"/>
        <w:rPr>
          <w:rFonts w:ascii="宋体" w:hAnsi="宋体"/>
          <w:color w:val="auto"/>
          <w:sz w:val="28"/>
          <w:szCs w:val="28"/>
          <w:highlight w:val="none"/>
        </w:rPr>
      </w:pPr>
      <w:bookmarkStart w:id="155" w:name="_Toc13179"/>
      <w:r>
        <w:rPr>
          <w:rFonts w:hint="eastAsia" w:ascii="宋体" w:hAnsi="宋体"/>
          <w:color w:val="auto"/>
          <w:sz w:val="28"/>
          <w:szCs w:val="28"/>
          <w:highlight w:val="none"/>
        </w:rPr>
        <w:t>第六章 响应文件格式</w:t>
      </w:r>
      <w:bookmarkEnd w:id="137"/>
      <w:bookmarkEnd w:id="138"/>
      <w:bookmarkEnd w:id="139"/>
      <w:bookmarkEnd w:id="140"/>
      <w:bookmarkEnd w:id="155"/>
    </w:p>
    <w:p w14:paraId="2F77504B">
      <w:pPr>
        <w:jc w:val="center"/>
        <w:rPr>
          <w:rFonts w:ascii="黑体" w:hAnsi="宋体" w:eastAsia="黑体"/>
          <w:color w:val="auto"/>
          <w:sz w:val="32"/>
          <w:szCs w:val="32"/>
          <w:highlight w:val="none"/>
        </w:rPr>
      </w:pPr>
    </w:p>
    <w:p w14:paraId="153BDDB1">
      <w:pPr>
        <w:jc w:val="center"/>
        <w:rPr>
          <w:rFonts w:ascii="黑体" w:hAnsi="宋体" w:eastAsia="黑体"/>
          <w:color w:val="auto"/>
          <w:sz w:val="32"/>
          <w:szCs w:val="32"/>
          <w:highlight w:val="none"/>
        </w:rPr>
      </w:pPr>
    </w:p>
    <w:p w14:paraId="1CC8975F">
      <w:pPr>
        <w:jc w:val="center"/>
        <w:rPr>
          <w:rFonts w:ascii="黑体" w:hAnsi="宋体" w:eastAsia="黑体"/>
          <w:color w:val="auto"/>
          <w:sz w:val="32"/>
          <w:szCs w:val="32"/>
          <w:highlight w:val="none"/>
        </w:rPr>
      </w:pPr>
    </w:p>
    <w:p w14:paraId="298972E1">
      <w:pPr>
        <w:jc w:val="center"/>
        <w:rPr>
          <w:rFonts w:ascii="黑体" w:hAnsi="宋体" w:eastAsia="黑体"/>
          <w:color w:val="auto"/>
          <w:sz w:val="32"/>
          <w:szCs w:val="32"/>
          <w:highlight w:val="none"/>
        </w:rPr>
      </w:pPr>
    </w:p>
    <w:p w14:paraId="3A02CB44">
      <w:pPr>
        <w:jc w:val="center"/>
        <w:rPr>
          <w:rFonts w:ascii="黑体" w:hAnsi="宋体" w:eastAsia="黑体"/>
          <w:color w:val="auto"/>
          <w:sz w:val="32"/>
          <w:szCs w:val="32"/>
          <w:highlight w:val="none"/>
        </w:rPr>
      </w:pPr>
    </w:p>
    <w:p w14:paraId="7C35585B">
      <w:pPr>
        <w:jc w:val="center"/>
        <w:rPr>
          <w:rFonts w:ascii="黑体" w:hAnsi="宋体" w:eastAsia="黑体"/>
          <w:color w:val="auto"/>
          <w:sz w:val="32"/>
          <w:szCs w:val="32"/>
          <w:highlight w:val="none"/>
        </w:rPr>
      </w:pPr>
    </w:p>
    <w:p w14:paraId="28E42000">
      <w:pPr>
        <w:jc w:val="center"/>
        <w:rPr>
          <w:rFonts w:ascii="黑体" w:hAnsi="宋体" w:eastAsia="黑体"/>
          <w:color w:val="auto"/>
          <w:sz w:val="32"/>
          <w:szCs w:val="32"/>
          <w:highlight w:val="none"/>
        </w:rPr>
      </w:pPr>
    </w:p>
    <w:p w14:paraId="3CD30E68">
      <w:pPr>
        <w:jc w:val="center"/>
        <w:rPr>
          <w:rFonts w:ascii="黑体" w:hAnsi="宋体" w:eastAsia="黑体"/>
          <w:color w:val="auto"/>
          <w:sz w:val="32"/>
          <w:szCs w:val="32"/>
          <w:highlight w:val="none"/>
        </w:rPr>
      </w:pPr>
    </w:p>
    <w:p w14:paraId="64D87FA5">
      <w:pPr>
        <w:jc w:val="center"/>
        <w:rPr>
          <w:rFonts w:ascii="黑体" w:hAnsi="宋体" w:eastAsia="黑体"/>
          <w:color w:val="auto"/>
          <w:sz w:val="32"/>
          <w:szCs w:val="32"/>
          <w:highlight w:val="none"/>
        </w:rPr>
      </w:pPr>
    </w:p>
    <w:p w14:paraId="5B735657">
      <w:pPr>
        <w:jc w:val="center"/>
        <w:rPr>
          <w:rFonts w:ascii="黑体" w:hAnsi="宋体" w:eastAsia="黑体"/>
          <w:color w:val="auto"/>
          <w:sz w:val="32"/>
          <w:szCs w:val="32"/>
          <w:highlight w:val="none"/>
        </w:rPr>
      </w:pPr>
    </w:p>
    <w:p w14:paraId="769DB69B">
      <w:pPr>
        <w:jc w:val="center"/>
        <w:rPr>
          <w:rFonts w:ascii="黑体" w:hAnsi="宋体" w:eastAsia="黑体"/>
          <w:color w:val="auto"/>
          <w:sz w:val="32"/>
          <w:szCs w:val="32"/>
          <w:highlight w:val="none"/>
        </w:rPr>
      </w:pPr>
    </w:p>
    <w:p w14:paraId="355C510E">
      <w:pPr>
        <w:jc w:val="center"/>
        <w:rPr>
          <w:rFonts w:ascii="黑体" w:hAnsi="宋体" w:eastAsia="黑体"/>
          <w:color w:val="auto"/>
          <w:sz w:val="32"/>
          <w:szCs w:val="32"/>
          <w:highlight w:val="none"/>
        </w:rPr>
      </w:pPr>
    </w:p>
    <w:p w14:paraId="1DB47A10">
      <w:pPr>
        <w:jc w:val="center"/>
        <w:rPr>
          <w:rFonts w:ascii="黑体" w:hAnsi="宋体" w:eastAsia="黑体"/>
          <w:color w:val="auto"/>
          <w:sz w:val="32"/>
          <w:szCs w:val="32"/>
          <w:highlight w:val="none"/>
        </w:rPr>
      </w:pPr>
    </w:p>
    <w:p w14:paraId="78B65E38">
      <w:pPr>
        <w:jc w:val="center"/>
        <w:rPr>
          <w:rFonts w:ascii="黑体" w:hAnsi="宋体" w:eastAsia="黑体"/>
          <w:color w:val="auto"/>
          <w:sz w:val="32"/>
          <w:szCs w:val="32"/>
          <w:highlight w:val="none"/>
        </w:rPr>
      </w:pPr>
    </w:p>
    <w:p w14:paraId="3341F5CD">
      <w:pPr>
        <w:jc w:val="center"/>
        <w:rPr>
          <w:rFonts w:ascii="黑体" w:hAnsi="宋体" w:eastAsia="黑体"/>
          <w:color w:val="auto"/>
          <w:sz w:val="32"/>
          <w:szCs w:val="32"/>
          <w:highlight w:val="none"/>
        </w:rPr>
      </w:pPr>
    </w:p>
    <w:p w14:paraId="574E9223">
      <w:pPr>
        <w:jc w:val="center"/>
        <w:rPr>
          <w:rFonts w:ascii="黑体" w:hAnsi="宋体" w:eastAsia="黑体"/>
          <w:color w:val="auto"/>
          <w:sz w:val="32"/>
          <w:szCs w:val="32"/>
          <w:highlight w:val="none"/>
        </w:rPr>
      </w:pPr>
    </w:p>
    <w:p w14:paraId="2F67DB46">
      <w:pPr>
        <w:jc w:val="center"/>
        <w:rPr>
          <w:rFonts w:ascii="黑体" w:hAnsi="宋体" w:eastAsia="黑体"/>
          <w:color w:val="auto"/>
          <w:sz w:val="32"/>
          <w:szCs w:val="32"/>
          <w:highlight w:val="none"/>
        </w:rPr>
      </w:pPr>
    </w:p>
    <w:p w14:paraId="4471078C">
      <w:pPr>
        <w:jc w:val="center"/>
        <w:rPr>
          <w:rFonts w:ascii="黑体" w:hAnsi="宋体" w:eastAsia="黑体"/>
          <w:color w:val="auto"/>
          <w:sz w:val="32"/>
          <w:szCs w:val="32"/>
          <w:highlight w:val="none"/>
        </w:rPr>
      </w:pPr>
    </w:p>
    <w:p w14:paraId="7D041BB9">
      <w:pPr>
        <w:jc w:val="center"/>
        <w:rPr>
          <w:rFonts w:ascii="黑体" w:hAnsi="宋体" w:eastAsia="黑体"/>
          <w:color w:val="auto"/>
          <w:sz w:val="32"/>
          <w:szCs w:val="32"/>
          <w:highlight w:val="none"/>
        </w:rPr>
      </w:pPr>
    </w:p>
    <w:p w14:paraId="55C9AF00">
      <w:pPr>
        <w:jc w:val="center"/>
        <w:rPr>
          <w:rFonts w:ascii="黑体" w:hAnsi="宋体" w:eastAsia="黑体"/>
          <w:color w:val="auto"/>
          <w:sz w:val="32"/>
          <w:szCs w:val="32"/>
          <w:highlight w:val="none"/>
        </w:rPr>
      </w:pPr>
    </w:p>
    <w:p w14:paraId="2D5D8E7F">
      <w:pPr>
        <w:spacing w:line="480" w:lineRule="auto"/>
        <w:rPr>
          <w:rFonts w:eastAsia="黑体"/>
          <w:color w:val="auto"/>
          <w:sz w:val="20"/>
          <w:szCs w:val="20"/>
          <w:highlight w:val="none"/>
        </w:rPr>
      </w:pPr>
    </w:p>
    <w:p w14:paraId="19C4724B">
      <w:pPr>
        <w:spacing w:line="480" w:lineRule="auto"/>
        <w:jc w:val="center"/>
        <w:rPr>
          <w:rFonts w:eastAsia="黑体"/>
          <w:color w:val="auto"/>
          <w:sz w:val="20"/>
          <w:szCs w:val="20"/>
          <w:highlight w:val="none"/>
        </w:rPr>
      </w:pPr>
      <w:r>
        <w:rPr>
          <w:rFonts w:hint="eastAsia" w:eastAsia="黑体"/>
          <w:color w:val="auto"/>
          <w:sz w:val="28"/>
          <w:szCs w:val="28"/>
          <w:highlight w:val="none"/>
          <w:u w:val="single"/>
        </w:rPr>
        <w:t xml:space="preserve">    </w:t>
      </w:r>
      <w:r>
        <w:rPr>
          <w:rFonts w:eastAsia="黑体"/>
          <w:color w:val="auto"/>
          <w:sz w:val="28"/>
          <w:szCs w:val="28"/>
          <w:highlight w:val="none"/>
          <w:u w:val="single"/>
        </w:rPr>
        <w:t>（项目名称）</w:t>
      </w:r>
      <w:r>
        <w:rPr>
          <w:rFonts w:hint="eastAsia" w:eastAsia="黑体"/>
          <w:color w:val="auto"/>
          <w:sz w:val="28"/>
          <w:szCs w:val="28"/>
          <w:highlight w:val="none"/>
          <w:u w:val="single"/>
        </w:rPr>
        <w:t xml:space="preserve"> </w:t>
      </w:r>
      <w:r>
        <w:rPr>
          <w:rFonts w:eastAsia="黑体"/>
          <w:color w:val="auto"/>
          <w:sz w:val="28"/>
          <w:szCs w:val="28"/>
          <w:highlight w:val="none"/>
          <w:u w:val="single"/>
        </w:rPr>
        <w:t xml:space="preserve">  </w:t>
      </w:r>
    </w:p>
    <w:p w14:paraId="711AF017">
      <w:pPr>
        <w:spacing w:line="480" w:lineRule="auto"/>
        <w:jc w:val="center"/>
        <w:rPr>
          <w:rFonts w:eastAsia="黑体"/>
          <w:color w:val="auto"/>
          <w:sz w:val="20"/>
          <w:szCs w:val="20"/>
          <w:highlight w:val="none"/>
        </w:rPr>
      </w:pPr>
    </w:p>
    <w:p w14:paraId="77B36E5B">
      <w:pPr>
        <w:spacing w:line="480" w:lineRule="auto"/>
        <w:jc w:val="center"/>
        <w:rPr>
          <w:rFonts w:eastAsia="黑体"/>
          <w:color w:val="auto"/>
          <w:sz w:val="20"/>
          <w:szCs w:val="20"/>
          <w:highlight w:val="none"/>
        </w:rPr>
      </w:pPr>
    </w:p>
    <w:p w14:paraId="308989E6">
      <w:pPr>
        <w:spacing w:line="480" w:lineRule="auto"/>
        <w:jc w:val="center"/>
        <w:rPr>
          <w:rFonts w:hint="eastAsia" w:ascii="宋体" w:hAnsi="宋体"/>
          <w:b/>
          <w:color w:val="auto"/>
          <w:sz w:val="52"/>
          <w:szCs w:val="52"/>
          <w:highlight w:val="none"/>
        </w:rPr>
      </w:pPr>
      <w:r>
        <w:rPr>
          <w:rFonts w:hint="eastAsia" w:ascii="宋体" w:hAnsi="宋体"/>
          <w:b/>
          <w:color w:val="auto"/>
          <w:sz w:val="52"/>
          <w:szCs w:val="52"/>
          <w:highlight w:val="none"/>
        </w:rPr>
        <w:t>商</w:t>
      </w:r>
      <w:r>
        <w:rPr>
          <w:rFonts w:hint="eastAsia" w:ascii="宋体" w:hAnsi="宋体"/>
          <w:b/>
          <w:color w:val="auto"/>
          <w:sz w:val="52"/>
          <w:szCs w:val="52"/>
          <w:highlight w:val="none"/>
          <w:lang w:val="en-US" w:eastAsia="zh-CN"/>
        </w:rPr>
        <w:t xml:space="preserve"> </w:t>
      </w:r>
      <w:r>
        <w:rPr>
          <w:rFonts w:hint="eastAsia" w:ascii="宋体" w:hAnsi="宋体"/>
          <w:b/>
          <w:color w:val="auto"/>
          <w:sz w:val="52"/>
          <w:szCs w:val="52"/>
          <w:highlight w:val="none"/>
        </w:rPr>
        <w:t>务</w:t>
      </w:r>
      <w:r>
        <w:rPr>
          <w:rFonts w:hint="eastAsia" w:ascii="宋体" w:hAnsi="宋体"/>
          <w:b/>
          <w:color w:val="auto"/>
          <w:sz w:val="52"/>
          <w:szCs w:val="52"/>
          <w:highlight w:val="none"/>
          <w:lang w:val="en-US" w:eastAsia="zh-CN"/>
        </w:rPr>
        <w:t xml:space="preserve"> </w:t>
      </w:r>
      <w:r>
        <w:rPr>
          <w:rFonts w:hint="eastAsia" w:ascii="宋体" w:hAnsi="宋体"/>
          <w:b/>
          <w:color w:val="auto"/>
          <w:sz w:val="52"/>
          <w:szCs w:val="52"/>
          <w:highlight w:val="none"/>
        </w:rPr>
        <w:t>技</w:t>
      </w:r>
      <w:r>
        <w:rPr>
          <w:rFonts w:hint="eastAsia" w:ascii="宋体" w:hAnsi="宋体"/>
          <w:b/>
          <w:color w:val="auto"/>
          <w:sz w:val="52"/>
          <w:szCs w:val="52"/>
          <w:highlight w:val="none"/>
          <w:lang w:val="en-US" w:eastAsia="zh-CN"/>
        </w:rPr>
        <w:t xml:space="preserve"> </w:t>
      </w:r>
      <w:r>
        <w:rPr>
          <w:rFonts w:hint="eastAsia" w:ascii="宋体" w:hAnsi="宋体"/>
          <w:b/>
          <w:color w:val="auto"/>
          <w:sz w:val="52"/>
          <w:szCs w:val="52"/>
          <w:highlight w:val="none"/>
        </w:rPr>
        <w:t>术</w:t>
      </w:r>
    </w:p>
    <w:p w14:paraId="537B7EB1">
      <w:pPr>
        <w:spacing w:line="480" w:lineRule="auto"/>
        <w:jc w:val="center"/>
        <w:rPr>
          <w:rFonts w:ascii="宋体" w:hAnsi="宋体"/>
          <w:b/>
          <w:color w:val="auto"/>
          <w:sz w:val="52"/>
          <w:szCs w:val="52"/>
          <w:highlight w:val="none"/>
        </w:rPr>
      </w:pPr>
      <w:r>
        <w:rPr>
          <w:rFonts w:hint="eastAsia" w:ascii="宋体" w:hAnsi="宋体"/>
          <w:b/>
          <w:color w:val="auto"/>
          <w:sz w:val="52"/>
          <w:szCs w:val="52"/>
          <w:highlight w:val="none"/>
        </w:rPr>
        <w:t>响</w:t>
      </w:r>
      <w:r>
        <w:rPr>
          <w:rFonts w:ascii="宋体" w:hAnsi="宋体"/>
          <w:b/>
          <w:color w:val="auto"/>
          <w:sz w:val="52"/>
          <w:szCs w:val="52"/>
          <w:highlight w:val="none"/>
        </w:rPr>
        <w:t xml:space="preserve">  </w:t>
      </w:r>
      <w:r>
        <w:rPr>
          <w:rFonts w:hint="eastAsia" w:ascii="宋体" w:hAnsi="宋体"/>
          <w:b/>
          <w:color w:val="auto"/>
          <w:sz w:val="52"/>
          <w:szCs w:val="52"/>
          <w:highlight w:val="none"/>
        </w:rPr>
        <w:t>应</w:t>
      </w:r>
      <w:r>
        <w:rPr>
          <w:rFonts w:ascii="宋体" w:hAnsi="宋体"/>
          <w:b/>
          <w:color w:val="auto"/>
          <w:sz w:val="52"/>
          <w:szCs w:val="52"/>
          <w:highlight w:val="none"/>
        </w:rPr>
        <w:t xml:space="preserve">  文  件</w:t>
      </w:r>
    </w:p>
    <w:p w14:paraId="6CF22076">
      <w:pPr>
        <w:jc w:val="center"/>
        <w:rPr>
          <w:rFonts w:eastAsia="黑体"/>
          <w:color w:val="auto"/>
          <w:sz w:val="28"/>
          <w:szCs w:val="28"/>
          <w:highlight w:val="none"/>
        </w:rPr>
      </w:pPr>
    </w:p>
    <w:p w14:paraId="5B08737F">
      <w:pPr>
        <w:rPr>
          <w:rFonts w:eastAsia="黑体"/>
          <w:color w:val="auto"/>
          <w:sz w:val="28"/>
          <w:szCs w:val="28"/>
          <w:highlight w:val="none"/>
        </w:rPr>
      </w:pPr>
    </w:p>
    <w:p w14:paraId="16B77A4B">
      <w:pPr>
        <w:jc w:val="center"/>
        <w:rPr>
          <w:rFonts w:ascii="黑体" w:eastAsia="黑体"/>
          <w:color w:val="auto"/>
          <w:sz w:val="72"/>
          <w:szCs w:val="72"/>
          <w:highlight w:val="none"/>
        </w:rPr>
      </w:pPr>
      <w:r>
        <w:rPr>
          <w:rFonts w:hint="eastAsia" w:ascii="黑体" w:eastAsia="黑体"/>
          <w:color w:val="auto"/>
          <w:sz w:val="72"/>
          <w:szCs w:val="72"/>
          <w:highlight w:val="none"/>
        </w:rPr>
        <w:t>（单独装订成册）</w:t>
      </w:r>
    </w:p>
    <w:p w14:paraId="52310BEB">
      <w:pPr>
        <w:rPr>
          <w:rFonts w:eastAsia="黑体"/>
          <w:color w:val="auto"/>
          <w:sz w:val="28"/>
          <w:szCs w:val="28"/>
          <w:highlight w:val="none"/>
        </w:rPr>
      </w:pPr>
    </w:p>
    <w:p w14:paraId="78096FE1">
      <w:pPr>
        <w:rPr>
          <w:rFonts w:eastAsia="黑体"/>
          <w:color w:val="auto"/>
          <w:sz w:val="28"/>
          <w:szCs w:val="28"/>
          <w:highlight w:val="none"/>
        </w:rPr>
      </w:pPr>
    </w:p>
    <w:p w14:paraId="57CB6DD3">
      <w:pPr>
        <w:rPr>
          <w:rFonts w:eastAsia="黑体"/>
          <w:color w:val="auto"/>
          <w:sz w:val="28"/>
          <w:szCs w:val="28"/>
          <w:highlight w:val="none"/>
        </w:rPr>
      </w:pPr>
    </w:p>
    <w:p w14:paraId="1FCA6EF4">
      <w:pPr>
        <w:rPr>
          <w:rFonts w:eastAsia="黑体"/>
          <w:color w:val="auto"/>
          <w:sz w:val="28"/>
          <w:szCs w:val="28"/>
          <w:highlight w:val="none"/>
        </w:rPr>
      </w:pPr>
    </w:p>
    <w:p w14:paraId="2206E66B">
      <w:pPr>
        <w:rPr>
          <w:rFonts w:eastAsia="黑体"/>
          <w:color w:val="auto"/>
          <w:sz w:val="28"/>
          <w:szCs w:val="28"/>
          <w:highlight w:val="none"/>
        </w:rPr>
      </w:pPr>
    </w:p>
    <w:p w14:paraId="6AB06E17">
      <w:pPr>
        <w:rPr>
          <w:rFonts w:eastAsia="黑体"/>
          <w:color w:val="auto"/>
          <w:sz w:val="28"/>
          <w:szCs w:val="28"/>
          <w:highlight w:val="none"/>
        </w:rPr>
      </w:pPr>
    </w:p>
    <w:p w14:paraId="7FD16BDC">
      <w:pPr>
        <w:rPr>
          <w:rFonts w:eastAsia="黑体"/>
          <w:color w:val="auto"/>
          <w:sz w:val="28"/>
          <w:szCs w:val="28"/>
          <w:highlight w:val="none"/>
        </w:rPr>
      </w:pPr>
    </w:p>
    <w:p w14:paraId="620CD544">
      <w:pPr>
        <w:spacing w:line="360" w:lineRule="auto"/>
        <w:jc w:val="center"/>
        <w:rPr>
          <w:rFonts w:eastAsia="黑体"/>
          <w:color w:val="auto"/>
          <w:sz w:val="28"/>
          <w:szCs w:val="28"/>
          <w:highlight w:val="none"/>
          <w:u w:val="single"/>
        </w:rPr>
      </w:pPr>
      <w:r>
        <w:rPr>
          <w:rFonts w:eastAsia="黑体"/>
          <w:color w:val="auto"/>
          <w:sz w:val="28"/>
          <w:szCs w:val="28"/>
          <w:highlight w:val="none"/>
        </w:rPr>
        <w:t>响应人：</w:t>
      </w:r>
      <w:r>
        <w:rPr>
          <w:rFonts w:eastAsia="黑体"/>
          <w:color w:val="auto"/>
          <w:sz w:val="28"/>
          <w:szCs w:val="28"/>
          <w:highlight w:val="none"/>
          <w:u w:val="single"/>
        </w:rPr>
        <w:t xml:space="preserve">                </w:t>
      </w:r>
      <w:r>
        <w:rPr>
          <w:rFonts w:hint="eastAsia" w:eastAsia="黑体"/>
          <w:color w:val="auto"/>
          <w:sz w:val="28"/>
          <w:szCs w:val="28"/>
          <w:highlight w:val="none"/>
          <w:u w:val="single"/>
        </w:rPr>
        <w:t xml:space="preserve"> </w:t>
      </w:r>
      <w:r>
        <w:rPr>
          <w:rFonts w:eastAsia="黑体"/>
          <w:color w:val="auto"/>
          <w:sz w:val="28"/>
          <w:szCs w:val="28"/>
          <w:highlight w:val="none"/>
          <w:u w:val="single"/>
        </w:rPr>
        <w:t xml:space="preserve">      </w:t>
      </w:r>
      <w:r>
        <w:rPr>
          <w:rFonts w:eastAsia="黑体"/>
          <w:color w:val="auto"/>
          <w:sz w:val="28"/>
          <w:szCs w:val="28"/>
          <w:highlight w:val="none"/>
        </w:rPr>
        <w:t>（盖单位</w:t>
      </w:r>
      <w:r>
        <w:rPr>
          <w:rFonts w:hint="eastAsia" w:eastAsia="黑体"/>
          <w:color w:val="auto"/>
          <w:sz w:val="28"/>
          <w:szCs w:val="28"/>
          <w:highlight w:val="none"/>
        </w:rPr>
        <w:t>公</w:t>
      </w:r>
      <w:r>
        <w:rPr>
          <w:rFonts w:eastAsia="黑体"/>
          <w:color w:val="auto"/>
          <w:sz w:val="28"/>
          <w:szCs w:val="28"/>
          <w:highlight w:val="none"/>
        </w:rPr>
        <w:t>章）</w:t>
      </w:r>
    </w:p>
    <w:p w14:paraId="6817C857">
      <w:pPr>
        <w:spacing w:line="360" w:lineRule="auto"/>
        <w:jc w:val="center"/>
        <w:rPr>
          <w:rFonts w:eastAsia="黑体"/>
          <w:color w:val="auto"/>
          <w:sz w:val="28"/>
          <w:szCs w:val="28"/>
          <w:highlight w:val="none"/>
        </w:rPr>
      </w:pPr>
      <w:r>
        <w:rPr>
          <w:rFonts w:eastAsia="黑体"/>
          <w:color w:val="auto"/>
          <w:sz w:val="28"/>
          <w:szCs w:val="28"/>
          <w:highlight w:val="none"/>
        </w:rPr>
        <w:t>法定代表人或其委托代理人：</w:t>
      </w:r>
      <w:r>
        <w:rPr>
          <w:rFonts w:eastAsia="黑体"/>
          <w:color w:val="auto"/>
          <w:sz w:val="28"/>
          <w:szCs w:val="28"/>
          <w:highlight w:val="none"/>
          <w:u w:val="single"/>
        </w:rPr>
        <w:t xml:space="preserve">         </w:t>
      </w:r>
      <w:r>
        <w:rPr>
          <w:rFonts w:eastAsia="黑体"/>
          <w:color w:val="auto"/>
          <w:sz w:val="28"/>
          <w:szCs w:val="28"/>
          <w:highlight w:val="none"/>
        </w:rPr>
        <w:t>（签字）</w:t>
      </w:r>
    </w:p>
    <w:p w14:paraId="3B33A832">
      <w:pPr>
        <w:spacing w:line="360" w:lineRule="auto"/>
        <w:jc w:val="center"/>
        <w:rPr>
          <w:rFonts w:eastAsia="黑体"/>
          <w:color w:val="auto"/>
          <w:sz w:val="28"/>
          <w:szCs w:val="28"/>
          <w:highlight w:val="none"/>
        </w:rPr>
      </w:pPr>
      <w:r>
        <w:rPr>
          <w:rFonts w:eastAsia="黑体"/>
          <w:color w:val="auto"/>
          <w:sz w:val="28"/>
          <w:szCs w:val="28"/>
          <w:highlight w:val="none"/>
          <w:u w:val="single"/>
        </w:rPr>
        <w:t xml:space="preserve">        </w:t>
      </w:r>
      <w:r>
        <w:rPr>
          <w:rFonts w:eastAsia="黑体"/>
          <w:color w:val="auto"/>
          <w:sz w:val="28"/>
          <w:szCs w:val="28"/>
          <w:highlight w:val="none"/>
        </w:rPr>
        <w:t>年</w:t>
      </w:r>
      <w:r>
        <w:rPr>
          <w:rFonts w:eastAsia="黑体"/>
          <w:color w:val="auto"/>
          <w:sz w:val="28"/>
          <w:szCs w:val="28"/>
          <w:highlight w:val="none"/>
          <w:u w:val="single"/>
        </w:rPr>
        <w:t xml:space="preserve">   </w:t>
      </w:r>
      <w:r>
        <w:rPr>
          <w:rFonts w:eastAsia="黑体"/>
          <w:color w:val="auto"/>
          <w:sz w:val="28"/>
          <w:szCs w:val="28"/>
          <w:highlight w:val="none"/>
        </w:rPr>
        <w:t>月</w:t>
      </w:r>
      <w:r>
        <w:rPr>
          <w:rFonts w:eastAsia="黑体"/>
          <w:color w:val="auto"/>
          <w:sz w:val="28"/>
          <w:szCs w:val="28"/>
          <w:highlight w:val="none"/>
          <w:u w:val="single"/>
        </w:rPr>
        <w:t xml:space="preserve">  </w:t>
      </w:r>
      <w:r>
        <w:rPr>
          <w:rFonts w:eastAsia="黑体"/>
          <w:color w:val="auto"/>
          <w:sz w:val="28"/>
          <w:szCs w:val="28"/>
          <w:highlight w:val="none"/>
        </w:rPr>
        <w:t>日</w:t>
      </w:r>
    </w:p>
    <w:p w14:paraId="35466D82">
      <w:pPr>
        <w:jc w:val="center"/>
        <w:rPr>
          <w:rFonts w:eastAsia="黑体"/>
          <w:color w:val="auto"/>
          <w:sz w:val="28"/>
          <w:szCs w:val="28"/>
          <w:highlight w:val="none"/>
        </w:rPr>
      </w:pPr>
    </w:p>
    <w:p w14:paraId="7D1C900A">
      <w:pPr>
        <w:widowControl/>
        <w:jc w:val="left"/>
        <w:rPr>
          <w:color w:val="auto"/>
          <w:highlight w:val="none"/>
        </w:rPr>
      </w:pPr>
      <w:r>
        <w:rPr>
          <w:color w:val="auto"/>
          <w:highlight w:val="none"/>
        </w:rPr>
        <w:br w:type="page"/>
      </w:r>
    </w:p>
    <w:p w14:paraId="158687C9">
      <w:pPr>
        <w:pStyle w:val="2"/>
        <w:jc w:val="center"/>
        <w:rPr>
          <w:rFonts w:ascii="黑体" w:hAnsi="宋体"/>
          <w:b w:val="0"/>
          <w:color w:val="auto"/>
          <w:szCs w:val="28"/>
          <w:highlight w:val="none"/>
        </w:rPr>
      </w:pPr>
      <w:bookmarkStart w:id="156" w:name="_Toc26454"/>
      <w:r>
        <w:rPr>
          <w:color w:val="auto"/>
          <w:highlight w:val="none"/>
        </w:rPr>
        <w:fldChar w:fldCharType="begin"/>
      </w:r>
      <w:r>
        <w:rPr>
          <w:color w:val="auto"/>
          <w:highlight w:val="none"/>
        </w:rPr>
        <w:instrText xml:space="preserve"> HYPERLINK \l "_Toc338661805" </w:instrText>
      </w:r>
      <w:r>
        <w:rPr>
          <w:color w:val="auto"/>
          <w:highlight w:val="none"/>
        </w:rPr>
        <w:fldChar w:fldCharType="separate"/>
      </w:r>
      <w:bookmarkStart w:id="157" w:name="_Toc475407552"/>
      <w:r>
        <w:rPr>
          <w:rFonts w:hint="eastAsia" w:ascii="黑体" w:hAnsi="宋体"/>
          <w:b w:val="0"/>
          <w:color w:val="auto"/>
          <w:szCs w:val="28"/>
          <w:highlight w:val="none"/>
        </w:rPr>
        <w:t>目    录</w:t>
      </w:r>
      <w:bookmarkEnd w:id="157"/>
      <w:r>
        <w:rPr>
          <w:rFonts w:hint="eastAsia" w:ascii="黑体" w:hAnsi="宋体"/>
          <w:b w:val="0"/>
          <w:color w:val="auto"/>
          <w:szCs w:val="28"/>
          <w:highlight w:val="none"/>
        </w:rPr>
        <w:fldChar w:fldCharType="end"/>
      </w:r>
      <w:bookmarkEnd w:id="156"/>
    </w:p>
    <w:p w14:paraId="46E9F149">
      <w:pPr>
        <w:spacing w:line="540" w:lineRule="exact"/>
        <w:rPr>
          <w:rFonts w:eastAsia="黑体"/>
          <w:color w:val="auto"/>
          <w:sz w:val="20"/>
          <w:szCs w:val="20"/>
          <w:highlight w:val="none"/>
        </w:rPr>
      </w:pPr>
      <w:r>
        <w:rPr>
          <w:color w:val="auto"/>
          <w:highlight w:val="none"/>
        </w:rPr>
        <w:br w:type="page"/>
      </w:r>
    </w:p>
    <w:p w14:paraId="13F91791">
      <w:pPr>
        <w:pStyle w:val="2"/>
        <w:keepNext/>
        <w:keepLines/>
        <w:pageBreakBefore w:val="0"/>
        <w:widowControl w:val="0"/>
        <w:kinsoku/>
        <w:wordWrap/>
        <w:overflowPunct/>
        <w:topLinePunct w:val="0"/>
        <w:autoSpaceDE/>
        <w:autoSpaceDN/>
        <w:bidi w:val="0"/>
        <w:adjustRightInd/>
        <w:snapToGrid/>
        <w:spacing w:before="0" w:after="0" w:line="416" w:lineRule="auto"/>
        <w:jc w:val="center"/>
        <w:textAlignment w:val="auto"/>
        <w:rPr>
          <w:color w:val="auto"/>
          <w:highlight w:val="none"/>
        </w:rPr>
      </w:pPr>
      <w:bookmarkStart w:id="158" w:name="_Toc152042577"/>
      <w:bookmarkStart w:id="159" w:name="_Toc152045788"/>
      <w:bookmarkStart w:id="160" w:name="_Toc179632808"/>
      <w:bookmarkStart w:id="161" w:name="_Toc2148"/>
      <w:bookmarkStart w:id="162" w:name="_Toc338669152"/>
      <w:bookmarkStart w:id="163" w:name="_Toc246997099"/>
      <w:bookmarkStart w:id="164" w:name="_Toc144974857"/>
      <w:bookmarkStart w:id="165" w:name="_Toc247085874"/>
      <w:bookmarkStart w:id="166" w:name="_Toc246996356"/>
      <w:r>
        <w:rPr>
          <w:rFonts w:hint="eastAsia"/>
          <w:color w:val="auto"/>
          <w:highlight w:val="none"/>
          <w:lang w:val="en-US" w:eastAsia="zh-CN"/>
        </w:rPr>
        <w:t>一</w:t>
      </w:r>
      <w:r>
        <w:rPr>
          <w:color w:val="auto"/>
          <w:highlight w:val="none"/>
        </w:rPr>
        <w:t>、竞争性谈判</w:t>
      </w:r>
      <w:r>
        <w:rPr>
          <w:rFonts w:hint="eastAsia"/>
          <w:color w:val="auto"/>
          <w:highlight w:val="none"/>
        </w:rPr>
        <w:t>响应</w:t>
      </w:r>
      <w:r>
        <w:rPr>
          <w:color w:val="auto"/>
          <w:highlight w:val="none"/>
        </w:rPr>
        <w:t>函</w:t>
      </w:r>
      <w:bookmarkEnd w:id="158"/>
      <w:bookmarkEnd w:id="159"/>
      <w:bookmarkEnd w:id="160"/>
      <w:bookmarkEnd w:id="161"/>
      <w:bookmarkEnd w:id="162"/>
      <w:bookmarkEnd w:id="163"/>
      <w:bookmarkEnd w:id="164"/>
      <w:bookmarkEnd w:id="165"/>
      <w:bookmarkEnd w:id="166"/>
    </w:p>
    <w:p w14:paraId="2AD3708D">
      <w:pPr>
        <w:spacing w:line="400" w:lineRule="exact"/>
        <w:rPr>
          <w:color w:val="auto"/>
          <w:szCs w:val="21"/>
          <w:highlight w:val="none"/>
        </w:rPr>
      </w:pPr>
      <w:r>
        <w:rPr>
          <w:rFonts w:hint="eastAsia"/>
          <w:color w:val="auto"/>
          <w:szCs w:val="21"/>
          <w:highlight w:val="none"/>
        </w:rPr>
        <w:t>致：</w:t>
      </w:r>
      <w:r>
        <w:rPr>
          <w:color w:val="auto"/>
          <w:szCs w:val="21"/>
          <w:highlight w:val="none"/>
          <w:u w:val="single"/>
        </w:rPr>
        <w:t xml:space="preserve">       （采购人名称）</w:t>
      </w:r>
      <w:r>
        <w:rPr>
          <w:rFonts w:hint="eastAsia"/>
          <w:color w:val="auto"/>
          <w:szCs w:val="21"/>
          <w:highlight w:val="none"/>
          <w:u w:val="single"/>
        </w:rPr>
        <w:t xml:space="preserve">        </w:t>
      </w:r>
      <w:r>
        <w:rPr>
          <w:color w:val="auto"/>
          <w:szCs w:val="21"/>
          <w:highlight w:val="none"/>
        </w:rPr>
        <w:t>：</w:t>
      </w:r>
    </w:p>
    <w:p w14:paraId="2EB23C53">
      <w:pPr>
        <w:spacing w:line="400" w:lineRule="exact"/>
        <w:ind w:firstLine="422" w:firstLineChars="200"/>
        <w:rPr>
          <w:color w:val="auto"/>
          <w:szCs w:val="21"/>
          <w:highlight w:val="none"/>
        </w:rPr>
      </w:pPr>
      <w:r>
        <w:rPr>
          <w:b/>
          <w:color w:val="auto"/>
          <w:szCs w:val="21"/>
          <w:highlight w:val="none"/>
          <w:u w:val="single"/>
        </w:rPr>
        <w:t xml:space="preserve"> </w:t>
      </w:r>
      <w:r>
        <w:rPr>
          <w:rFonts w:hint="eastAsia"/>
          <w:color w:val="auto"/>
          <w:szCs w:val="21"/>
          <w:highlight w:val="none"/>
          <w:u w:val="single"/>
        </w:rPr>
        <w:t>（响应人名称）（以下简称我方）</w:t>
      </w:r>
      <w:r>
        <w:rPr>
          <w:color w:val="auto"/>
          <w:szCs w:val="21"/>
          <w:highlight w:val="none"/>
        </w:rPr>
        <w:t>已仔细研究了</w:t>
      </w:r>
      <w:r>
        <w:rPr>
          <w:color w:val="auto"/>
          <w:szCs w:val="21"/>
          <w:highlight w:val="none"/>
          <w:u w:val="single"/>
        </w:rPr>
        <w:t xml:space="preserve"> （项目名称）</w:t>
      </w:r>
      <w:r>
        <w:rPr>
          <w:rFonts w:hint="eastAsia"/>
          <w:color w:val="auto"/>
          <w:szCs w:val="21"/>
          <w:highlight w:val="none"/>
          <w:u w:val="single"/>
        </w:rPr>
        <w:t>（</w:t>
      </w:r>
      <w:r>
        <w:rPr>
          <w:rFonts w:hint="eastAsia"/>
          <w:color w:val="auto"/>
          <w:szCs w:val="21"/>
          <w:highlight w:val="none"/>
          <w:lang w:val="en-US" w:eastAsia="zh-CN"/>
        </w:rPr>
        <w:t>项目</w:t>
      </w:r>
      <w:r>
        <w:rPr>
          <w:rFonts w:hint="eastAsia"/>
          <w:color w:val="auto"/>
          <w:szCs w:val="21"/>
          <w:highlight w:val="none"/>
        </w:rPr>
        <w:t>编号：</w:t>
      </w:r>
      <w:r>
        <w:rPr>
          <w:rFonts w:hint="eastAsia"/>
          <w:color w:val="auto"/>
          <w:szCs w:val="21"/>
          <w:highlight w:val="none"/>
          <w:u w:val="single"/>
        </w:rPr>
        <w:t xml:space="preserve">        ）</w:t>
      </w:r>
      <w:r>
        <w:rPr>
          <w:color w:val="auto"/>
          <w:szCs w:val="21"/>
          <w:highlight w:val="none"/>
        </w:rPr>
        <w:t>竞争性谈判文件的全部内容</w:t>
      </w:r>
      <w:r>
        <w:rPr>
          <w:rFonts w:hint="eastAsia"/>
          <w:color w:val="auto"/>
          <w:szCs w:val="21"/>
          <w:highlight w:val="none"/>
        </w:rPr>
        <w:t>，</w:t>
      </w:r>
      <w:r>
        <w:rPr>
          <w:rFonts w:hAnsi="宋体"/>
          <w:bCs/>
          <w:color w:val="auto"/>
          <w:szCs w:val="21"/>
          <w:highlight w:val="none"/>
        </w:rPr>
        <w:t>包括</w:t>
      </w:r>
      <w:r>
        <w:rPr>
          <w:rFonts w:hint="eastAsia" w:hAnsi="宋体"/>
          <w:bCs/>
          <w:color w:val="auto"/>
          <w:szCs w:val="21"/>
          <w:highlight w:val="none"/>
        </w:rPr>
        <w:t>澄清、</w:t>
      </w:r>
      <w:r>
        <w:rPr>
          <w:rFonts w:hAnsi="宋体"/>
          <w:bCs/>
          <w:color w:val="auto"/>
          <w:szCs w:val="21"/>
          <w:highlight w:val="none"/>
        </w:rPr>
        <w:t>修改文件</w:t>
      </w:r>
      <w:r>
        <w:rPr>
          <w:rFonts w:hint="eastAsia" w:hAnsi="宋体"/>
          <w:bCs/>
          <w:color w:val="auto"/>
          <w:szCs w:val="21"/>
          <w:highlight w:val="none"/>
        </w:rPr>
        <w:t>以</w:t>
      </w:r>
      <w:r>
        <w:rPr>
          <w:rFonts w:hAnsi="宋体"/>
          <w:bCs/>
          <w:color w:val="auto"/>
          <w:szCs w:val="21"/>
          <w:highlight w:val="none"/>
        </w:rPr>
        <w:t>及有关附件</w:t>
      </w:r>
      <w:r>
        <w:rPr>
          <w:color w:val="auto"/>
          <w:szCs w:val="21"/>
          <w:highlight w:val="none"/>
        </w:rPr>
        <w:t>，</w:t>
      </w:r>
      <w:r>
        <w:rPr>
          <w:color w:val="auto"/>
          <w:szCs w:val="21"/>
          <w:highlight w:val="none"/>
          <w:u w:val="single"/>
        </w:rPr>
        <w:t>愿意以</w:t>
      </w:r>
      <w:r>
        <w:rPr>
          <w:rFonts w:hint="eastAsia"/>
          <w:color w:val="auto"/>
          <w:szCs w:val="21"/>
          <w:highlight w:val="none"/>
          <w:u w:val="single"/>
        </w:rPr>
        <w:t>《报价一览表》的价格</w:t>
      </w:r>
      <w:r>
        <w:rPr>
          <w:rFonts w:hint="eastAsia"/>
          <w:color w:val="auto"/>
          <w:szCs w:val="21"/>
          <w:highlight w:val="none"/>
        </w:rPr>
        <w:t>，</w:t>
      </w:r>
      <w:r>
        <w:rPr>
          <w:color w:val="auto"/>
          <w:szCs w:val="21"/>
          <w:highlight w:val="none"/>
        </w:rPr>
        <w:t>按合同约定实施和完成</w:t>
      </w:r>
      <w:r>
        <w:rPr>
          <w:rFonts w:hint="eastAsia"/>
          <w:color w:val="auto"/>
          <w:szCs w:val="21"/>
          <w:highlight w:val="none"/>
        </w:rPr>
        <w:t>上述</w:t>
      </w:r>
      <w:r>
        <w:rPr>
          <w:color w:val="auto"/>
          <w:szCs w:val="21"/>
          <w:highlight w:val="none"/>
        </w:rPr>
        <w:t>项目的相关服务。</w:t>
      </w:r>
    </w:p>
    <w:p w14:paraId="2C5C3180">
      <w:pPr>
        <w:spacing w:line="400" w:lineRule="exact"/>
        <w:ind w:firstLine="420" w:firstLineChars="200"/>
        <w:rPr>
          <w:color w:val="auto"/>
          <w:szCs w:val="21"/>
          <w:highlight w:val="none"/>
        </w:rPr>
      </w:pPr>
      <w:r>
        <w:rPr>
          <w:rFonts w:hint="eastAsia"/>
          <w:color w:val="auto"/>
          <w:szCs w:val="21"/>
          <w:highlight w:val="none"/>
        </w:rPr>
        <w:t>我方承诺如下内容：</w:t>
      </w:r>
    </w:p>
    <w:p w14:paraId="452EE449">
      <w:pPr>
        <w:spacing w:line="400" w:lineRule="exact"/>
        <w:ind w:firstLine="420" w:firstLineChars="200"/>
        <w:rPr>
          <w:color w:val="auto"/>
          <w:szCs w:val="21"/>
          <w:highlight w:val="none"/>
        </w:rPr>
      </w:pPr>
      <w:r>
        <w:rPr>
          <w:rFonts w:hint="eastAsia"/>
          <w:color w:val="auto"/>
          <w:szCs w:val="21"/>
          <w:highlight w:val="none"/>
        </w:rPr>
        <w:t>1.我方的响应文件包含第二章“竞争性谈判响应须知”第</w:t>
      </w:r>
      <w:r>
        <w:rPr>
          <w:color w:val="auto"/>
          <w:highlight w:val="none"/>
        </w:rPr>
        <w:t>3.1</w:t>
      </w:r>
      <w:r>
        <w:rPr>
          <w:rFonts w:hint="eastAsia"/>
          <w:color w:val="auto"/>
          <w:szCs w:val="21"/>
          <w:highlight w:val="none"/>
        </w:rPr>
        <w:t>款规定的全部内容。</w:t>
      </w:r>
    </w:p>
    <w:p w14:paraId="6A2DDBF9">
      <w:pPr>
        <w:spacing w:line="400" w:lineRule="exact"/>
        <w:ind w:firstLine="420" w:firstLineChars="200"/>
        <w:rPr>
          <w:color w:val="auto"/>
          <w:szCs w:val="21"/>
          <w:highlight w:val="none"/>
        </w:rPr>
      </w:pPr>
      <w:r>
        <w:rPr>
          <w:rFonts w:hint="eastAsia"/>
          <w:color w:val="auto"/>
          <w:szCs w:val="21"/>
          <w:highlight w:val="none"/>
        </w:rPr>
        <w:t>2.</w:t>
      </w:r>
      <w:r>
        <w:rPr>
          <w:color w:val="auto"/>
          <w:szCs w:val="21"/>
          <w:highlight w:val="none"/>
        </w:rPr>
        <w:t>我方承诺在</w:t>
      </w:r>
      <w:r>
        <w:rPr>
          <w:rFonts w:hint="eastAsia"/>
          <w:color w:val="auto"/>
          <w:szCs w:val="21"/>
          <w:highlight w:val="none"/>
        </w:rPr>
        <w:t>竞争性谈判文件规定的</w:t>
      </w:r>
      <w:r>
        <w:rPr>
          <w:color w:val="auto"/>
          <w:szCs w:val="21"/>
          <w:highlight w:val="none"/>
        </w:rPr>
        <w:t>竞争性谈判有效期</w:t>
      </w:r>
      <w:r>
        <w:rPr>
          <w:rFonts w:hint="eastAsia"/>
          <w:color w:val="auto"/>
          <w:szCs w:val="21"/>
          <w:highlight w:val="none"/>
        </w:rPr>
        <w:t>（竞争性谈判有效期为</w:t>
      </w:r>
      <w:r>
        <w:rPr>
          <w:rFonts w:hint="eastAsia"/>
          <w:color w:val="auto"/>
          <w:szCs w:val="21"/>
          <w:highlight w:val="none"/>
          <w:u w:val="single"/>
          <w:lang w:val="en-US" w:eastAsia="zh-CN"/>
        </w:rPr>
        <w:t>90</w:t>
      </w:r>
      <w:r>
        <w:rPr>
          <w:rFonts w:hint="eastAsia"/>
          <w:color w:val="auto"/>
          <w:szCs w:val="21"/>
          <w:highlight w:val="none"/>
        </w:rPr>
        <w:t>天）</w:t>
      </w:r>
      <w:r>
        <w:rPr>
          <w:color w:val="auto"/>
          <w:szCs w:val="21"/>
          <w:highlight w:val="none"/>
        </w:rPr>
        <w:t>内不修改、撤销响应文件。</w:t>
      </w:r>
    </w:p>
    <w:p w14:paraId="73D626DF">
      <w:pPr>
        <w:spacing w:line="400" w:lineRule="exact"/>
        <w:ind w:firstLine="420" w:firstLineChars="200"/>
        <w:jc w:val="left"/>
        <w:rPr>
          <w:color w:val="auto"/>
          <w:szCs w:val="21"/>
          <w:highlight w:val="none"/>
        </w:rPr>
      </w:pPr>
      <w:r>
        <w:rPr>
          <w:rFonts w:hint="eastAsia"/>
          <w:color w:val="auto"/>
          <w:szCs w:val="21"/>
          <w:highlight w:val="none"/>
        </w:rPr>
        <w:t>3.</w:t>
      </w:r>
      <w:r>
        <w:rPr>
          <w:color w:val="auto"/>
          <w:szCs w:val="21"/>
          <w:highlight w:val="none"/>
        </w:rPr>
        <w:t>随同本竞争性谈判响应函提交竞争性谈判保证金一份，金额为人民币（大写）</w:t>
      </w:r>
      <w:r>
        <w:rPr>
          <w:color w:val="auto"/>
          <w:szCs w:val="21"/>
          <w:highlight w:val="none"/>
          <w:u w:val="single"/>
        </w:rPr>
        <w:t xml:space="preserve">        </w:t>
      </w:r>
      <w:r>
        <w:rPr>
          <w:color w:val="auto"/>
          <w:szCs w:val="21"/>
          <w:highlight w:val="none"/>
        </w:rPr>
        <w:t>（¥</w:t>
      </w:r>
      <w:r>
        <w:rPr>
          <w:color w:val="auto"/>
          <w:szCs w:val="21"/>
          <w:highlight w:val="none"/>
          <w:u w:val="single"/>
        </w:rPr>
        <w:t xml:space="preserve">  </w:t>
      </w:r>
      <w:r>
        <w:rPr>
          <w:rFonts w:hint="eastAsia"/>
          <w:color w:val="auto"/>
          <w:szCs w:val="21"/>
          <w:highlight w:val="none"/>
          <w:u w:val="single"/>
        </w:rPr>
        <w:t xml:space="preserve">   </w:t>
      </w:r>
      <w:r>
        <w:rPr>
          <w:color w:val="auto"/>
          <w:szCs w:val="21"/>
          <w:highlight w:val="none"/>
          <w:u w:val="single"/>
        </w:rPr>
        <w:t xml:space="preserve">  </w:t>
      </w:r>
      <w:r>
        <w:rPr>
          <w:color w:val="auto"/>
          <w:szCs w:val="21"/>
          <w:highlight w:val="none"/>
        </w:rPr>
        <w:t>）。</w:t>
      </w:r>
    </w:p>
    <w:p w14:paraId="597339E0">
      <w:pPr>
        <w:spacing w:line="400" w:lineRule="exact"/>
        <w:ind w:firstLine="420" w:firstLineChars="200"/>
        <w:rPr>
          <w:color w:val="auto"/>
          <w:szCs w:val="21"/>
          <w:highlight w:val="none"/>
        </w:rPr>
      </w:pPr>
      <w:r>
        <w:rPr>
          <w:rFonts w:hint="eastAsia"/>
          <w:color w:val="auto"/>
          <w:szCs w:val="21"/>
          <w:highlight w:val="none"/>
        </w:rPr>
        <w:t>4.我方在评审过程中根据谈判小组要求提供的符合相关规定的澄清文件，构成响应文件的组成部分。</w:t>
      </w:r>
    </w:p>
    <w:p w14:paraId="0EC0EDDD">
      <w:pPr>
        <w:spacing w:line="400" w:lineRule="exact"/>
        <w:ind w:firstLine="420" w:firstLineChars="200"/>
        <w:rPr>
          <w:color w:val="auto"/>
          <w:szCs w:val="21"/>
          <w:highlight w:val="none"/>
        </w:rPr>
      </w:pPr>
      <w:r>
        <w:rPr>
          <w:rFonts w:hint="eastAsia"/>
          <w:color w:val="auto"/>
          <w:szCs w:val="21"/>
          <w:highlight w:val="none"/>
        </w:rPr>
        <w:t>5.我方同意提供贵方可能要求的与竞争性谈判有关的一切数据或者资料，并完全理解贵方不一定接受最低价的竞争性谈判。</w:t>
      </w:r>
    </w:p>
    <w:p w14:paraId="5283D2F5">
      <w:pPr>
        <w:spacing w:line="400" w:lineRule="exact"/>
        <w:ind w:firstLine="420" w:firstLineChars="200"/>
        <w:rPr>
          <w:color w:val="auto"/>
          <w:szCs w:val="21"/>
          <w:highlight w:val="none"/>
        </w:rPr>
      </w:pPr>
      <w:r>
        <w:rPr>
          <w:rFonts w:hint="eastAsia"/>
          <w:color w:val="auto"/>
          <w:szCs w:val="21"/>
          <w:highlight w:val="none"/>
        </w:rPr>
        <w:t>6.我方承诺不向第三方透露与竞争性谈判相关的所有信息。</w:t>
      </w:r>
    </w:p>
    <w:p w14:paraId="6E981B7C">
      <w:pPr>
        <w:spacing w:line="400" w:lineRule="exact"/>
        <w:ind w:firstLine="420" w:firstLineChars="200"/>
        <w:rPr>
          <w:color w:val="auto"/>
          <w:szCs w:val="21"/>
          <w:highlight w:val="none"/>
        </w:rPr>
      </w:pPr>
      <w:r>
        <w:rPr>
          <w:rFonts w:hint="eastAsia"/>
          <w:color w:val="auto"/>
          <w:szCs w:val="21"/>
          <w:highlight w:val="none"/>
        </w:rPr>
        <w:t>7.</w:t>
      </w:r>
      <w:r>
        <w:rPr>
          <w:color w:val="auto"/>
          <w:szCs w:val="21"/>
          <w:highlight w:val="none"/>
        </w:rPr>
        <w:t>如我方成交：</w:t>
      </w:r>
    </w:p>
    <w:p w14:paraId="12F1E7F3">
      <w:pPr>
        <w:spacing w:line="400" w:lineRule="exact"/>
        <w:ind w:firstLine="422" w:firstLineChars="201"/>
        <w:rPr>
          <w:color w:val="auto"/>
          <w:szCs w:val="21"/>
          <w:highlight w:val="none"/>
        </w:rPr>
      </w:pPr>
      <w:r>
        <w:rPr>
          <w:color w:val="auto"/>
          <w:szCs w:val="21"/>
          <w:highlight w:val="none"/>
        </w:rPr>
        <w:t>（1）我方承诺在收到成交通知书后，在成交通知书规定的期限内与你方签订合同。</w:t>
      </w:r>
    </w:p>
    <w:p w14:paraId="16EDE37B">
      <w:pPr>
        <w:spacing w:line="400" w:lineRule="exact"/>
        <w:ind w:firstLine="422" w:firstLineChars="201"/>
        <w:rPr>
          <w:color w:val="auto"/>
          <w:szCs w:val="21"/>
          <w:highlight w:val="none"/>
        </w:rPr>
      </w:pPr>
      <w:r>
        <w:rPr>
          <w:color w:val="auto"/>
          <w:szCs w:val="21"/>
          <w:highlight w:val="none"/>
        </w:rPr>
        <w:t>（2）我方承诺按照竞争性谈判文件规定递交履约担保。</w:t>
      </w:r>
    </w:p>
    <w:p w14:paraId="5E7C4A06">
      <w:pPr>
        <w:spacing w:line="400" w:lineRule="exact"/>
        <w:ind w:firstLine="422" w:firstLineChars="201"/>
        <w:rPr>
          <w:color w:val="auto"/>
          <w:szCs w:val="21"/>
          <w:highlight w:val="none"/>
        </w:rPr>
      </w:pPr>
      <w:r>
        <w:rPr>
          <w:rFonts w:hint="eastAsia"/>
          <w:color w:val="auto"/>
          <w:szCs w:val="21"/>
          <w:highlight w:val="none"/>
        </w:rPr>
        <w:t>（3）按照竞争性谈判文件的规定及合同约定履行相关责任和义务。</w:t>
      </w:r>
    </w:p>
    <w:p w14:paraId="29D1CC3C">
      <w:pPr>
        <w:spacing w:line="400" w:lineRule="exact"/>
        <w:ind w:firstLine="420" w:firstLineChars="200"/>
        <w:rPr>
          <w:b/>
          <w:color w:val="auto"/>
          <w:szCs w:val="21"/>
          <w:highlight w:val="none"/>
        </w:rPr>
      </w:pPr>
      <w:r>
        <w:rPr>
          <w:rFonts w:hint="eastAsia"/>
          <w:color w:val="auto"/>
          <w:highlight w:val="none"/>
        </w:rPr>
        <w:t>我方在此声明，所递交的响应文件以及有关资料内容完整、真实和准确，且不存在第二章“竞争性谈判响应须知”第1.</w:t>
      </w:r>
      <w:r>
        <w:rPr>
          <w:color w:val="auto"/>
          <w:highlight w:val="none"/>
        </w:rPr>
        <w:t>7</w:t>
      </w:r>
      <w:r>
        <w:rPr>
          <w:rFonts w:hint="eastAsia"/>
          <w:color w:val="auto"/>
          <w:highlight w:val="none"/>
        </w:rPr>
        <w:t>款规定的任何一种情形。</w:t>
      </w:r>
      <w:r>
        <w:rPr>
          <w:rFonts w:hAnsi="宋体"/>
          <w:bCs/>
          <w:color w:val="auto"/>
          <w:szCs w:val="21"/>
          <w:highlight w:val="none"/>
        </w:rPr>
        <w:t>如有弄虚作假，将承担相应的法律责任，并赔偿由此造成的一切损失。</w:t>
      </w:r>
    </w:p>
    <w:p w14:paraId="13974FD3">
      <w:pPr>
        <w:spacing w:line="400" w:lineRule="exact"/>
        <w:ind w:firstLine="420" w:firstLineChars="200"/>
        <w:rPr>
          <w:color w:val="auto"/>
          <w:szCs w:val="21"/>
          <w:highlight w:val="none"/>
        </w:rPr>
      </w:pPr>
      <w:r>
        <w:rPr>
          <w:rFonts w:hint="eastAsia"/>
          <w:color w:val="auto"/>
          <w:szCs w:val="21"/>
          <w:highlight w:val="none"/>
          <w:lang w:eastAsia="zh-CN"/>
        </w:rPr>
        <w:t>8.</w:t>
      </w:r>
      <w:r>
        <w:rPr>
          <w:color w:val="auto"/>
          <w:szCs w:val="21"/>
          <w:highlight w:val="none"/>
          <w:u w:val="single"/>
        </w:rPr>
        <w:t xml:space="preserve">    （</w:t>
      </w:r>
      <w:r>
        <w:rPr>
          <w:rFonts w:hint="eastAsia"/>
          <w:color w:val="auto"/>
          <w:szCs w:val="21"/>
          <w:highlight w:val="none"/>
          <w:u w:val="single"/>
        </w:rPr>
        <w:t>其他</w:t>
      </w:r>
      <w:r>
        <w:rPr>
          <w:color w:val="auto"/>
          <w:szCs w:val="21"/>
          <w:highlight w:val="none"/>
          <w:u w:val="single"/>
        </w:rPr>
        <w:t xml:space="preserve">补充说明）         </w:t>
      </w:r>
      <w:r>
        <w:rPr>
          <w:color w:val="auto"/>
          <w:szCs w:val="21"/>
          <w:highlight w:val="none"/>
        </w:rPr>
        <w:t>。</w:t>
      </w:r>
    </w:p>
    <w:p w14:paraId="76D4536E">
      <w:pPr>
        <w:spacing w:line="400" w:lineRule="exact"/>
        <w:ind w:firstLine="3675" w:firstLineChars="1750"/>
        <w:rPr>
          <w:color w:val="auto"/>
          <w:szCs w:val="21"/>
          <w:highlight w:val="none"/>
        </w:rPr>
      </w:pPr>
      <w:r>
        <w:rPr>
          <w:rFonts w:hint="eastAsia"/>
          <w:color w:val="auto"/>
          <w:szCs w:val="21"/>
          <w:highlight w:val="none"/>
        </w:rPr>
        <w:t>响应</w:t>
      </w:r>
      <w:r>
        <w:rPr>
          <w:color w:val="auto"/>
          <w:szCs w:val="21"/>
          <w:highlight w:val="none"/>
        </w:rPr>
        <w:t>人：</w:t>
      </w:r>
      <w:r>
        <w:rPr>
          <w:color w:val="auto"/>
          <w:szCs w:val="21"/>
          <w:highlight w:val="none"/>
          <w:u w:val="single"/>
        </w:rPr>
        <w:t xml:space="preserve">                      </w:t>
      </w:r>
      <w:r>
        <w:rPr>
          <w:color w:val="auto"/>
          <w:szCs w:val="21"/>
          <w:highlight w:val="none"/>
        </w:rPr>
        <w:t>（盖单位公章）</w:t>
      </w:r>
    </w:p>
    <w:p w14:paraId="0EB57D01">
      <w:pPr>
        <w:spacing w:line="400" w:lineRule="exact"/>
        <w:ind w:firstLine="3675" w:firstLineChars="1750"/>
        <w:rPr>
          <w:color w:val="auto"/>
          <w:szCs w:val="21"/>
          <w:highlight w:val="none"/>
        </w:rPr>
      </w:pPr>
      <w:r>
        <w:rPr>
          <w:color w:val="auto"/>
          <w:szCs w:val="21"/>
          <w:highlight w:val="none"/>
        </w:rPr>
        <w:t>法定代表人或其委托代理人：</w:t>
      </w:r>
      <w:r>
        <w:rPr>
          <w:color w:val="auto"/>
          <w:szCs w:val="21"/>
          <w:highlight w:val="none"/>
          <w:u w:val="single"/>
        </w:rPr>
        <w:t xml:space="preserve">      </w:t>
      </w:r>
      <w:r>
        <w:rPr>
          <w:rFonts w:hint="eastAsia"/>
          <w:color w:val="auto"/>
          <w:szCs w:val="21"/>
          <w:highlight w:val="none"/>
          <w:u w:val="single"/>
        </w:rPr>
        <w:t xml:space="preserve">   </w:t>
      </w:r>
      <w:r>
        <w:rPr>
          <w:color w:val="auto"/>
          <w:szCs w:val="21"/>
          <w:highlight w:val="none"/>
          <w:u w:val="single"/>
        </w:rPr>
        <w:t xml:space="preserve"> </w:t>
      </w:r>
      <w:r>
        <w:rPr>
          <w:color w:val="auto"/>
          <w:szCs w:val="21"/>
          <w:highlight w:val="none"/>
        </w:rPr>
        <w:t>（签字）</w:t>
      </w:r>
    </w:p>
    <w:p w14:paraId="1C1F1E70">
      <w:pPr>
        <w:spacing w:line="400" w:lineRule="exact"/>
        <w:ind w:firstLine="3675" w:firstLineChars="1750"/>
        <w:rPr>
          <w:color w:val="auto"/>
          <w:szCs w:val="21"/>
          <w:highlight w:val="none"/>
        </w:rPr>
      </w:pPr>
      <w:r>
        <w:rPr>
          <w:color w:val="auto"/>
          <w:szCs w:val="21"/>
          <w:highlight w:val="none"/>
        </w:rPr>
        <w:t>地址：</w:t>
      </w:r>
      <w:r>
        <w:rPr>
          <w:color w:val="auto"/>
          <w:szCs w:val="21"/>
          <w:highlight w:val="none"/>
          <w:u w:val="single"/>
        </w:rPr>
        <w:t xml:space="preserve">                                     </w:t>
      </w:r>
    </w:p>
    <w:p w14:paraId="17C31C01">
      <w:pPr>
        <w:spacing w:line="400" w:lineRule="exact"/>
        <w:ind w:firstLine="3675" w:firstLineChars="1750"/>
        <w:rPr>
          <w:color w:val="auto"/>
          <w:szCs w:val="21"/>
          <w:highlight w:val="none"/>
          <w:u w:val="single"/>
        </w:rPr>
      </w:pPr>
      <w:r>
        <w:rPr>
          <w:color w:val="auto"/>
          <w:szCs w:val="21"/>
          <w:highlight w:val="none"/>
        </w:rPr>
        <w:t>邮政编码：</w:t>
      </w:r>
      <w:r>
        <w:rPr>
          <w:color w:val="auto"/>
          <w:szCs w:val="21"/>
          <w:highlight w:val="none"/>
          <w:u w:val="single"/>
        </w:rPr>
        <w:t xml:space="preserve">                                 </w:t>
      </w:r>
    </w:p>
    <w:p w14:paraId="00B38321">
      <w:pPr>
        <w:spacing w:line="400" w:lineRule="exact"/>
        <w:ind w:firstLine="3675" w:firstLineChars="1750"/>
        <w:rPr>
          <w:color w:val="auto"/>
          <w:szCs w:val="21"/>
          <w:highlight w:val="none"/>
        </w:rPr>
      </w:pPr>
      <w:r>
        <w:rPr>
          <w:color w:val="auto"/>
          <w:szCs w:val="21"/>
          <w:highlight w:val="none"/>
        </w:rPr>
        <w:t>电话：</w:t>
      </w:r>
      <w:r>
        <w:rPr>
          <w:color w:val="auto"/>
          <w:szCs w:val="21"/>
          <w:highlight w:val="none"/>
          <w:u w:val="single"/>
        </w:rPr>
        <w:t xml:space="preserve">                                     </w:t>
      </w:r>
    </w:p>
    <w:p w14:paraId="38392C98">
      <w:pPr>
        <w:spacing w:line="400" w:lineRule="exact"/>
        <w:ind w:firstLine="3675" w:firstLineChars="1750"/>
        <w:rPr>
          <w:color w:val="auto"/>
          <w:szCs w:val="21"/>
          <w:highlight w:val="none"/>
        </w:rPr>
      </w:pPr>
      <w:r>
        <w:rPr>
          <w:color w:val="auto"/>
          <w:szCs w:val="21"/>
          <w:highlight w:val="none"/>
        </w:rPr>
        <w:t>传真：</w:t>
      </w:r>
      <w:r>
        <w:rPr>
          <w:color w:val="auto"/>
          <w:szCs w:val="21"/>
          <w:highlight w:val="none"/>
          <w:u w:val="single"/>
        </w:rPr>
        <w:t xml:space="preserve">                                     </w:t>
      </w:r>
    </w:p>
    <w:p w14:paraId="0CC8EBAF">
      <w:pPr>
        <w:spacing w:line="400" w:lineRule="exact"/>
        <w:ind w:firstLine="3675" w:firstLineChars="1750"/>
        <w:rPr>
          <w:color w:val="auto"/>
          <w:szCs w:val="21"/>
          <w:highlight w:val="none"/>
        </w:rPr>
      </w:pPr>
      <w:r>
        <w:rPr>
          <w:rFonts w:hint="eastAsia"/>
          <w:color w:val="auto"/>
          <w:szCs w:val="21"/>
          <w:highlight w:val="none"/>
        </w:rPr>
        <w:t>电子邮箱</w:t>
      </w:r>
      <w:r>
        <w:rPr>
          <w:color w:val="auto"/>
          <w:szCs w:val="21"/>
          <w:highlight w:val="none"/>
        </w:rPr>
        <w:t>：</w:t>
      </w:r>
      <w:r>
        <w:rPr>
          <w:color w:val="auto"/>
          <w:szCs w:val="21"/>
          <w:highlight w:val="none"/>
          <w:u w:val="single"/>
        </w:rPr>
        <w:t xml:space="preserve">                                 </w:t>
      </w:r>
    </w:p>
    <w:p w14:paraId="2262728C">
      <w:pPr>
        <w:spacing w:line="440" w:lineRule="exact"/>
        <w:jc w:val="right"/>
        <w:rPr>
          <w:rFonts w:eastAsia="黑体"/>
          <w:color w:val="auto"/>
          <w:szCs w:val="21"/>
          <w:highlight w:val="none"/>
        </w:rPr>
      </w:pPr>
      <w:r>
        <w:rPr>
          <w:rFonts w:hint="eastAsia"/>
          <w:color w:val="auto"/>
          <w:szCs w:val="21"/>
          <w:highlight w:val="none"/>
          <w:u w:val="single"/>
        </w:rPr>
        <w:t xml:space="preserve">        </w:t>
      </w:r>
      <w:r>
        <w:rPr>
          <w:color w:val="auto"/>
          <w:szCs w:val="21"/>
          <w:highlight w:val="none"/>
        </w:rPr>
        <w:t>年</w:t>
      </w:r>
      <w:r>
        <w:rPr>
          <w:rFonts w:hint="eastAsia"/>
          <w:color w:val="auto"/>
          <w:szCs w:val="21"/>
          <w:highlight w:val="none"/>
          <w:u w:val="single"/>
        </w:rPr>
        <w:t xml:space="preserve">       </w:t>
      </w:r>
      <w:r>
        <w:rPr>
          <w:color w:val="auto"/>
          <w:szCs w:val="21"/>
          <w:highlight w:val="none"/>
        </w:rPr>
        <w:t>月</w:t>
      </w:r>
      <w:r>
        <w:rPr>
          <w:rFonts w:hint="eastAsia"/>
          <w:color w:val="auto"/>
          <w:szCs w:val="21"/>
          <w:highlight w:val="none"/>
          <w:u w:val="single"/>
        </w:rPr>
        <w:t xml:space="preserve">      </w:t>
      </w:r>
      <w:r>
        <w:rPr>
          <w:rFonts w:hint="eastAsia"/>
          <w:color w:val="auto"/>
          <w:szCs w:val="21"/>
          <w:highlight w:val="none"/>
        </w:rPr>
        <w:t>日</w:t>
      </w:r>
    </w:p>
    <w:p w14:paraId="3A0D027E">
      <w:pPr>
        <w:spacing w:line="440" w:lineRule="exact"/>
        <w:rPr>
          <w:rFonts w:eastAsia="黑体"/>
          <w:color w:val="auto"/>
          <w:sz w:val="20"/>
          <w:szCs w:val="20"/>
          <w:highlight w:val="none"/>
        </w:rPr>
      </w:pPr>
      <w:r>
        <w:rPr>
          <w:rFonts w:eastAsia="黑体"/>
          <w:color w:val="auto"/>
          <w:sz w:val="20"/>
          <w:szCs w:val="20"/>
          <w:highlight w:val="none"/>
        </w:rPr>
        <w:br w:type="page"/>
      </w:r>
    </w:p>
    <w:p w14:paraId="39A2DBED">
      <w:pPr>
        <w:pStyle w:val="2"/>
        <w:jc w:val="center"/>
        <w:rPr>
          <w:rFonts w:ascii="黑体"/>
          <w:b w:val="0"/>
          <w:color w:val="auto"/>
          <w:highlight w:val="none"/>
        </w:rPr>
      </w:pPr>
      <w:bookmarkStart w:id="167" w:name="_Toc475483723"/>
      <w:bookmarkStart w:id="168" w:name="_Toc1740"/>
      <w:r>
        <w:rPr>
          <w:rFonts w:hint="eastAsia" w:ascii="黑体"/>
          <w:b w:val="0"/>
          <w:color w:val="auto"/>
          <w:highlight w:val="none"/>
          <w:lang w:val="en-US" w:eastAsia="zh-CN"/>
        </w:rPr>
        <w:t>二</w:t>
      </w:r>
      <w:r>
        <w:rPr>
          <w:rFonts w:hint="eastAsia" w:ascii="黑体"/>
          <w:b w:val="0"/>
          <w:color w:val="auto"/>
          <w:highlight w:val="none"/>
        </w:rPr>
        <w:t>、联合体协议书（如有）</w:t>
      </w:r>
      <w:bookmarkEnd w:id="167"/>
      <w:bookmarkEnd w:id="168"/>
    </w:p>
    <w:p w14:paraId="5584A877">
      <w:pPr>
        <w:pStyle w:val="11"/>
        <w:spacing w:line="440" w:lineRule="exact"/>
        <w:rPr>
          <w:color w:val="auto"/>
          <w:szCs w:val="21"/>
          <w:highlight w:val="none"/>
        </w:rPr>
      </w:pPr>
      <w:r>
        <w:rPr>
          <w:rFonts w:hint="eastAsia"/>
          <w:color w:val="auto"/>
          <w:szCs w:val="21"/>
          <w:highlight w:val="none"/>
          <w:u w:val="single"/>
        </w:rPr>
        <w:t xml:space="preserve">（所有成员单位名单）  </w:t>
      </w:r>
      <w:r>
        <w:rPr>
          <w:rFonts w:hAnsi="宋体"/>
          <w:color w:val="auto"/>
          <w:szCs w:val="21"/>
          <w:highlight w:val="none"/>
        </w:rPr>
        <w:t>自愿组成：</w:t>
      </w:r>
      <w:r>
        <w:rPr>
          <w:rFonts w:hint="eastAsia"/>
          <w:color w:val="auto"/>
          <w:szCs w:val="21"/>
          <w:highlight w:val="none"/>
          <w:u w:val="single"/>
        </w:rPr>
        <w:t xml:space="preserve">    </w:t>
      </w:r>
      <w:r>
        <w:rPr>
          <w:rFonts w:hAnsi="宋体"/>
          <w:color w:val="auto"/>
          <w:szCs w:val="21"/>
          <w:highlight w:val="none"/>
          <w:u w:val="single"/>
        </w:rPr>
        <w:t>（联合体名称）</w:t>
      </w:r>
      <w:r>
        <w:rPr>
          <w:rFonts w:hint="eastAsia" w:hAnsi="宋体"/>
          <w:color w:val="auto"/>
          <w:szCs w:val="21"/>
          <w:highlight w:val="none"/>
          <w:u w:val="single"/>
        </w:rPr>
        <w:t xml:space="preserve">  </w:t>
      </w:r>
      <w:r>
        <w:rPr>
          <w:rFonts w:hAnsi="宋体"/>
          <w:color w:val="auto"/>
          <w:szCs w:val="21"/>
          <w:highlight w:val="none"/>
        </w:rPr>
        <w:t>联合体，共同参加</w:t>
      </w:r>
      <w:r>
        <w:rPr>
          <w:rFonts w:hAnsi="宋体"/>
          <w:color w:val="auto"/>
          <w:szCs w:val="21"/>
          <w:highlight w:val="none"/>
          <w:u w:val="single"/>
        </w:rPr>
        <w:t>（竞争性谈判项目名称）</w:t>
      </w:r>
      <w:r>
        <w:rPr>
          <w:rFonts w:hAnsi="宋体"/>
          <w:color w:val="auto"/>
          <w:szCs w:val="21"/>
          <w:highlight w:val="none"/>
        </w:rPr>
        <w:t>竞争性谈判。现就联合体竞争性谈判事宜订立如下协议</w:t>
      </w:r>
      <w:r>
        <w:rPr>
          <w:rFonts w:hint="eastAsia" w:hAnsi="宋体"/>
          <w:color w:val="auto"/>
          <w:szCs w:val="21"/>
          <w:highlight w:val="none"/>
        </w:rPr>
        <w:t>：</w:t>
      </w:r>
    </w:p>
    <w:p w14:paraId="77A59F5B">
      <w:pPr>
        <w:pStyle w:val="11"/>
        <w:spacing w:line="440" w:lineRule="exact"/>
        <w:rPr>
          <w:color w:val="auto"/>
          <w:szCs w:val="21"/>
          <w:highlight w:val="none"/>
        </w:rPr>
      </w:pPr>
      <w:r>
        <w:rPr>
          <w:rFonts w:hint="eastAsia"/>
          <w:color w:val="auto"/>
          <w:szCs w:val="21"/>
          <w:highlight w:val="none"/>
          <w:lang w:eastAsia="zh-CN"/>
        </w:rPr>
        <w:t>1.</w:t>
      </w:r>
      <w:r>
        <w:rPr>
          <w:rFonts w:hAnsi="宋体"/>
          <w:color w:val="auto"/>
          <w:szCs w:val="21"/>
          <w:highlight w:val="none"/>
          <w:u w:val="single"/>
        </w:rPr>
        <w:t>（成员单位名称）</w:t>
      </w:r>
      <w:r>
        <w:rPr>
          <w:rFonts w:hAnsi="宋体"/>
          <w:color w:val="auto"/>
          <w:szCs w:val="21"/>
          <w:highlight w:val="none"/>
        </w:rPr>
        <w:t>为</w:t>
      </w:r>
      <w:r>
        <w:rPr>
          <w:rFonts w:hAnsi="宋体"/>
          <w:color w:val="auto"/>
          <w:szCs w:val="21"/>
          <w:highlight w:val="none"/>
          <w:u w:val="single"/>
        </w:rPr>
        <w:t>（联合体名称）</w:t>
      </w:r>
      <w:r>
        <w:rPr>
          <w:rFonts w:hAnsi="宋体"/>
          <w:color w:val="auto"/>
          <w:szCs w:val="21"/>
          <w:highlight w:val="none"/>
        </w:rPr>
        <w:t>牵头人。</w:t>
      </w:r>
    </w:p>
    <w:p w14:paraId="654BE304">
      <w:pPr>
        <w:pStyle w:val="11"/>
        <w:spacing w:line="440" w:lineRule="exact"/>
        <w:rPr>
          <w:color w:val="auto"/>
          <w:szCs w:val="21"/>
          <w:highlight w:val="none"/>
        </w:rPr>
      </w:pPr>
      <w:r>
        <w:rPr>
          <w:rFonts w:hint="eastAsia"/>
          <w:color w:val="auto"/>
          <w:szCs w:val="21"/>
          <w:highlight w:val="none"/>
          <w:lang w:eastAsia="zh-CN"/>
        </w:rPr>
        <w:t>2.</w:t>
      </w:r>
      <w:r>
        <w:rPr>
          <w:rFonts w:hAnsi="宋体"/>
          <w:color w:val="auto"/>
          <w:szCs w:val="21"/>
          <w:highlight w:val="none"/>
        </w:rPr>
        <w:t>联合体牵头人合法代表联合体各成员，负责本竞争性谈判项目响应文件编制和合同谈判活动，并代表联合体成员</w:t>
      </w:r>
      <w:r>
        <w:rPr>
          <w:rFonts w:hint="eastAsia" w:hAnsi="宋体"/>
          <w:color w:val="auto"/>
          <w:szCs w:val="21"/>
          <w:highlight w:val="none"/>
        </w:rPr>
        <w:t>递</w:t>
      </w:r>
      <w:r>
        <w:rPr>
          <w:rFonts w:hAnsi="宋体"/>
          <w:color w:val="auto"/>
          <w:szCs w:val="21"/>
          <w:highlight w:val="none"/>
        </w:rPr>
        <w:t>交和接受相关的资料、信息及指示，并处理与之有关的一切事务，负责合同实施阶段的主办、组织和协调工作。</w:t>
      </w:r>
    </w:p>
    <w:p w14:paraId="08D0AA92">
      <w:pPr>
        <w:pStyle w:val="11"/>
        <w:spacing w:line="440" w:lineRule="exact"/>
        <w:rPr>
          <w:rFonts w:hAnsi="宋体"/>
          <w:color w:val="auto"/>
          <w:szCs w:val="21"/>
          <w:highlight w:val="none"/>
        </w:rPr>
      </w:pPr>
      <w:r>
        <w:rPr>
          <w:rFonts w:hint="eastAsia"/>
          <w:color w:val="auto"/>
          <w:szCs w:val="21"/>
          <w:highlight w:val="none"/>
          <w:lang w:eastAsia="zh-CN"/>
        </w:rPr>
        <w:t>3.</w:t>
      </w:r>
      <w:r>
        <w:rPr>
          <w:rFonts w:hAnsi="宋体"/>
          <w:color w:val="auto"/>
          <w:szCs w:val="21"/>
          <w:highlight w:val="none"/>
        </w:rPr>
        <w:t>联合体将严格按照竞争性谈判文件的各项要求，递交响应文件，履行合同，并对外承担连带责任。</w:t>
      </w:r>
    </w:p>
    <w:p w14:paraId="38EA64DE">
      <w:pPr>
        <w:pStyle w:val="11"/>
        <w:spacing w:line="440" w:lineRule="exact"/>
        <w:rPr>
          <w:color w:val="auto"/>
          <w:szCs w:val="21"/>
          <w:highlight w:val="none"/>
        </w:rPr>
      </w:pPr>
      <w:r>
        <w:rPr>
          <w:rFonts w:hint="eastAsia"/>
          <w:color w:val="auto"/>
          <w:szCs w:val="21"/>
          <w:highlight w:val="none"/>
          <w:lang w:eastAsia="zh-CN"/>
        </w:rPr>
        <w:t>4.</w:t>
      </w:r>
      <w:r>
        <w:rPr>
          <w:rFonts w:hAnsi="宋体"/>
          <w:color w:val="auto"/>
          <w:szCs w:val="21"/>
          <w:highlight w:val="none"/>
        </w:rPr>
        <w:t>联合体各成员单位内部的职责分工</w:t>
      </w:r>
      <w:r>
        <w:rPr>
          <w:rFonts w:hint="eastAsia" w:hAnsi="宋体"/>
          <w:color w:val="auto"/>
          <w:szCs w:val="21"/>
          <w:highlight w:val="none"/>
        </w:rPr>
        <w:t>以及资质等级</w:t>
      </w:r>
      <w:r>
        <w:rPr>
          <w:rFonts w:hAnsi="宋体"/>
          <w:color w:val="auto"/>
          <w:szCs w:val="21"/>
          <w:highlight w:val="none"/>
        </w:rPr>
        <w:t>如下：</w:t>
      </w:r>
      <w:r>
        <w:rPr>
          <w:color w:val="auto"/>
          <w:szCs w:val="21"/>
          <w:highlight w:val="none"/>
        </w:rPr>
        <w:t>_________________</w:t>
      </w:r>
      <w:r>
        <w:rPr>
          <w:rFonts w:hint="eastAsia"/>
          <w:color w:val="auto"/>
          <w:szCs w:val="21"/>
          <w:highlight w:val="none"/>
        </w:rPr>
        <w:t>。</w:t>
      </w:r>
    </w:p>
    <w:p w14:paraId="2D1CC062">
      <w:pPr>
        <w:pStyle w:val="11"/>
        <w:spacing w:line="440" w:lineRule="exact"/>
        <w:rPr>
          <w:rFonts w:ascii="宋体" w:hAnsi="宋体"/>
          <w:color w:val="auto"/>
          <w:szCs w:val="21"/>
          <w:highlight w:val="none"/>
        </w:rPr>
      </w:pPr>
      <w:r>
        <w:rPr>
          <w:rFonts w:hint="eastAsia" w:ascii="宋体" w:hAnsi="宋体"/>
          <w:color w:val="auto"/>
          <w:szCs w:val="21"/>
          <w:highlight w:val="none"/>
        </w:rPr>
        <w:t>按照本条上述分工，联合体成员单位各自所承担的合同工作量比例如下：</w:t>
      </w:r>
      <w:r>
        <w:rPr>
          <w:rFonts w:hint="eastAsia" w:ascii="宋体" w:hAnsi="宋体"/>
          <w:color w:val="auto"/>
          <w:szCs w:val="21"/>
          <w:highlight w:val="none"/>
          <w:u w:val="single"/>
        </w:rPr>
        <w:t xml:space="preserve">           </w:t>
      </w:r>
    </w:p>
    <w:p w14:paraId="7801F1A0">
      <w:pPr>
        <w:spacing w:line="440" w:lineRule="exact"/>
        <w:rPr>
          <w:rFonts w:ascii="宋体" w:hAnsi="宋体"/>
          <w:color w:val="auto"/>
          <w:szCs w:val="21"/>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w:t>
      </w:r>
    </w:p>
    <w:p w14:paraId="1525AAA1">
      <w:pPr>
        <w:spacing w:line="440" w:lineRule="exact"/>
        <w:ind w:firstLine="424" w:firstLineChars="202"/>
        <w:rPr>
          <w:color w:val="auto"/>
          <w:szCs w:val="21"/>
          <w:highlight w:val="none"/>
        </w:rPr>
      </w:pPr>
      <w:r>
        <w:rPr>
          <w:rFonts w:hint="eastAsia"/>
          <w:color w:val="auto"/>
          <w:szCs w:val="21"/>
          <w:highlight w:val="none"/>
          <w:lang w:eastAsia="zh-CN"/>
        </w:rPr>
        <w:t>5.</w:t>
      </w:r>
      <w:r>
        <w:rPr>
          <w:rFonts w:hint="eastAsia"/>
          <w:color w:val="auto"/>
          <w:szCs w:val="21"/>
          <w:highlight w:val="none"/>
        </w:rPr>
        <w:t xml:space="preserve"> </w:t>
      </w:r>
      <w:r>
        <w:rPr>
          <w:color w:val="auto"/>
          <w:szCs w:val="21"/>
          <w:highlight w:val="none"/>
        </w:rPr>
        <w:t>竞争性谈判工作以及联合体在成交后</w:t>
      </w:r>
      <w:r>
        <w:rPr>
          <w:rFonts w:hint="eastAsia"/>
          <w:color w:val="auto"/>
          <w:szCs w:val="21"/>
          <w:highlight w:val="none"/>
        </w:rPr>
        <w:t>项目</w:t>
      </w:r>
      <w:r>
        <w:rPr>
          <w:color w:val="auto"/>
          <w:szCs w:val="21"/>
          <w:highlight w:val="none"/>
        </w:rPr>
        <w:t>实施过程中的有关费用按</w:t>
      </w:r>
      <w:r>
        <w:rPr>
          <w:rFonts w:hint="eastAsia"/>
          <w:color w:val="auto"/>
          <w:szCs w:val="21"/>
          <w:highlight w:val="none"/>
        </w:rPr>
        <w:t>照</w:t>
      </w:r>
      <w:r>
        <w:rPr>
          <w:color w:val="auto"/>
          <w:szCs w:val="21"/>
          <w:highlight w:val="none"/>
        </w:rPr>
        <w:t>各自承担的工作量分摊。</w:t>
      </w:r>
    </w:p>
    <w:p w14:paraId="4E1A70C2">
      <w:pPr>
        <w:spacing w:line="440" w:lineRule="exact"/>
        <w:ind w:firstLine="424" w:firstLineChars="202"/>
        <w:rPr>
          <w:color w:val="auto"/>
          <w:szCs w:val="21"/>
          <w:highlight w:val="none"/>
        </w:rPr>
      </w:pPr>
      <w:r>
        <w:rPr>
          <w:rFonts w:hint="eastAsia"/>
          <w:color w:val="auto"/>
          <w:szCs w:val="21"/>
          <w:highlight w:val="none"/>
          <w:lang w:eastAsia="zh-CN"/>
        </w:rPr>
        <w:t>6.</w:t>
      </w:r>
      <w:r>
        <w:rPr>
          <w:color w:val="auto"/>
          <w:szCs w:val="21"/>
          <w:highlight w:val="none"/>
        </w:rPr>
        <w:t>联合体成交后，本联合体协议是合同的附件，对联合体各成员单位有合同约束力。</w:t>
      </w:r>
    </w:p>
    <w:p w14:paraId="72371316">
      <w:pPr>
        <w:pStyle w:val="11"/>
        <w:tabs>
          <w:tab w:val="left" w:pos="6645"/>
        </w:tabs>
        <w:spacing w:line="440" w:lineRule="exact"/>
        <w:rPr>
          <w:color w:val="auto"/>
          <w:szCs w:val="21"/>
          <w:highlight w:val="none"/>
        </w:rPr>
      </w:pPr>
      <w:r>
        <w:rPr>
          <w:rFonts w:hint="eastAsia"/>
          <w:color w:val="auto"/>
          <w:szCs w:val="21"/>
          <w:highlight w:val="none"/>
          <w:lang w:eastAsia="zh-CN"/>
        </w:rPr>
        <w:t>7.</w:t>
      </w:r>
      <w:r>
        <w:rPr>
          <w:color w:val="auto"/>
          <w:szCs w:val="21"/>
          <w:highlight w:val="none"/>
        </w:rPr>
        <w:t>本协议书自签</w:t>
      </w:r>
      <w:r>
        <w:rPr>
          <w:rFonts w:hint="eastAsia"/>
          <w:color w:val="auto"/>
          <w:szCs w:val="21"/>
          <w:highlight w:val="none"/>
        </w:rPr>
        <w:t>署</w:t>
      </w:r>
      <w:r>
        <w:rPr>
          <w:color w:val="auto"/>
          <w:szCs w:val="21"/>
          <w:highlight w:val="none"/>
        </w:rPr>
        <w:t>之日起生效，合同履行完毕后自动失效。</w:t>
      </w:r>
    </w:p>
    <w:p w14:paraId="70E85EAF">
      <w:pPr>
        <w:pStyle w:val="11"/>
        <w:spacing w:line="440" w:lineRule="exact"/>
        <w:rPr>
          <w:color w:val="auto"/>
          <w:szCs w:val="21"/>
          <w:highlight w:val="none"/>
        </w:rPr>
      </w:pPr>
      <w:r>
        <w:rPr>
          <w:rFonts w:hint="eastAsia"/>
          <w:color w:val="auto"/>
          <w:szCs w:val="21"/>
          <w:highlight w:val="none"/>
          <w:lang w:eastAsia="zh-CN"/>
        </w:rPr>
        <w:t>8.</w:t>
      </w:r>
      <w:r>
        <w:rPr>
          <w:color w:val="auto"/>
          <w:szCs w:val="21"/>
          <w:highlight w:val="none"/>
        </w:rPr>
        <w:t>本协议书一式____份，联合体成员</w:t>
      </w:r>
      <w:r>
        <w:rPr>
          <w:rFonts w:hint="eastAsia"/>
          <w:color w:val="auto"/>
          <w:szCs w:val="21"/>
          <w:highlight w:val="none"/>
        </w:rPr>
        <w:t>和</w:t>
      </w:r>
      <w:r>
        <w:rPr>
          <w:color w:val="auto"/>
          <w:szCs w:val="21"/>
          <w:highlight w:val="none"/>
        </w:rPr>
        <w:t>采购人各执一份。</w:t>
      </w:r>
    </w:p>
    <w:p w14:paraId="4AD140D3">
      <w:pPr>
        <w:pStyle w:val="11"/>
        <w:spacing w:line="440" w:lineRule="exact"/>
        <w:rPr>
          <w:color w:val="auto"/>
          <w:szCs w:val="21"/>
          <w:highlight w:val="none"/>
        </w:rPr>
      </w:pPr>
      <w:r>
        <w:rPr>
          <w:rFonts w:hAnsi="宋体"/>
          <w:color w:val="auto"/>
          <w:szCs w:val="21"/>
          <w:highlight w:val="none"/>
        </w:rPr>
        <w:t>注：本协议书由委托人签字的，应附法定代表人签字的授权委托书。</w:t>
      </w:r>
    </w:p>
    <w:p w14:paraId="25943178">
      <w:pPr>
        <w:pStyle w:val="11"/>
        <w:wordWrap w:val="0"/>
        <w:spacing w:line="360" w:lineRule="auto"/>
        <w:jc w:val="right"/>
        <w:rPr>
          <w:color w:val="auto"/>
          <w:szCs w:val="21"/>
          <w:highlight w:val="none"/>
        </w:rPr>
      </w:pPr>
      <w:r>
        <w:rPr>
          <w:rFonts w:hAnsi="宋体"/>
          <w:color w:val="auto"/>
          <w:szCs w:val="21"/>
          <w:highlight w:val="none"/>
        </w:rPr>
        <w:t>牵头人名称：</w:t>
      </w:r>
      <w:r>
        <w:rPr>
          <w:color w:val="auto"/>
          <w:szCs w:val="21"/>
          <w:highlight w:val="none"/>
        </w:rPr>
        <w:t>_______________________</w:t>
      </w:r>
      <w:r>
        <w:rPr>
          <w:rFonts w:hint="eastAsia"/>
          <w:color w:val="auto"/>
          <w:szCs w:val="21"/>
          <w:highlight w:val="none"/>
          <w:lang w:eastAsia="zh-CN"/>
        </w:rPr>
        <w:t>（加</w:t>
      </w:r>
      <w:r>
        <w:rPr>
          <w:rFonts w:hAnsi="宋体"/>
          <w:color w:val="auto"/>
          <w:szCs w:val="21"/>
          <w:highlight w:val="none"/>
        </w:rPr>
        <w:t>盖单位公章）</w:t>
      </w:r>
    </w:p>
    <w:p w14:paraId="2ED152EC">
      <w:pPr>
        <w:pStyle w:val="11"/>
        <w:spacing w:line="360" w:lineRule="auto"/>
        <w:jc w:val="right"/>
        <w:rPr>
          <w:color w:val="auto"/>
          <w:szCs w:val="21"/>
          <w:highlight w:val="none"/>
        </w:rPr>
      </w:pPr>
      <w:r>
        <w:rPr>
          <w:rFonts w:hAnsi="宋体"/>
          <w:color w:val="auto"/>
          <w:szCs w:val="21"/>
          <w:highlight w:val="none"/>
        </w:rPr>
        <w:t>法定代表人或其委托代理人：</w:t>
      </w:r>
      <w:r>
        <w:rPr>
          <w:color w:val="auto"/>
          <w:szCs w:val="21"/>
          <w:highlight w:val="none"/>
        </w:rPr>
        <w:t>_____________</w:t>
      </w:r>
      <w:r>
        <w:rPr>
          <w:rFonts w:hAnsi="宋体"/>
          <w:color w:val="auto"/>
          <w:szCs w:val="21"/>
          <w:highlight w:val="none"/>
        </w:rPr>
        <w:t>（签字）</w:t>
      </w:r>
    </w:p>
    <w:p w14:paraId="6B75AD65">
      <w:pPr>
        <w:pStyle w:val="11"/>
        <w:spacing w:line="360" w:lineRule="auto"/>
        <w:jc w:val="right"/>
        <w:rPr>
          <w:color w:val="auto"/>
          <w:szCs w:val="21"/>
          <w:highlight w:val="none"/>
        </w:rPr>
      </w:pPr>
    </w:p>
    <w:p w14:paraId="0473EB7E">
      <w:pPr>
        <w:pStyle w:val="11"/>
        <w:wordWrap w:val="0"/>
        <w:spacing w:line="360" w:lineRule="auto"/>
        <w:jc w:val="right"/>
        <w:rPr>
          <w:color w:val="auto"/>
          <w:szCs w:val="21"/>
          <w:highlight w:val="none"/>
        </w:rPr>
      </w:pPr>
      <w:r>
        <w:rPr>
          <w:rFonts w:hAnsi="宋体"/>
          <w:color w:val="auto"/>
          <w:szCs w:val="21"/>
          <w:highlight w:val="none"/>
        </w:rPr>
        <w:t>成员一名称：</w:t>
      </w:r>
      <w:r>
        <w:rPr>
          <w:color w:val="auto"/>
          <w:szCs w:val="21"/>
          <w:highlight w:val="none"/>
        </w:rPr>
        <w:t>_______________________</w:t>
      </w:r>
      <w:r>
        <w:rPr>
          <w:rFonts w:hint="eastAsia"/>
          <w:color w:val="auto"/>
          <w:szCs w:val="21"/>
          <w:highlight w:val="none"/>
          <w:lang w:eastAsia="zh-CN"/>
        </w:rPr>
        <w:t>（加</w:t>
      </w:r>
      <w:r>
        <w:rPr>
          <w:rFonts w:hAnsi="宋体"/>
          <w:color w:val="auto"/>
          <w:szCs w:val="21"/>
          <w:highlight w:val="none"/>
        </w:rPr>
        <w:t>盖单位公章）</w:t>
      </w:r>
    </w:p>
    <w:p w14:paraId="08E5AA44">
      <w:pPr>
        <w:pStyle w:val="11"/>
        <w:spacing w:line="360" w:lineRule="auto"/>
        <w:jc w:val="right"/>
        <w:rPr>
          <w:color w:val="auto"/>
          <w:szCs w:val="21"/>
          <w:highlight w:val="none"/>
        </w:rPr>
      </w:pPr>
      <w:r>
        <w:rPr>
          <w:rFonts w:hAnsi="宋体"/>
          <w:color w:val="auto"/>
          <w:szCs w:val="21"/>
          <w:highlight w:val="none"/>
        </w:rPr>
        <w:t>法定代表人或其委托代理人：</w:t>
      </w:r>
      <w:r>
        <w:rPr>
          <w:color w:val="auto"/>
          <w:szCs w:val="21"/>
          <w:highlight w:val="none"/>
        </w:rPr>
        <w:t>_____________</w:t>
      </w:r>
      <w:r>
        <w:rPr>
          <w:rFonts w:hAnsi="宋体"/>
          <w:color w:val="auto"/>
          <w:szCs w:val="21"/>
          <w:highlight w:val="none"/>
        </w:rPr>
        <w:t>（签字）</w:t>
      </w:r>
    </w:p>
    <w:p w14:paraId="62E6857B">
      <w:pPr>
        <w:pStyle w:val="11"/>
        <w:spacing w:line="360" w:lineRule="auto"/>
        <w:jc w:val="right"/>
        <w:rPr>
          <w:color w:val="auto"/>
          <w:szCs w:val="21"/>
          <w:highlight w:val="none"/>
        </w:rPr>
      </w:pPr>
    </w:p>
    <w:p w14:paraId="5567EF9C">
      <w:pPr>
        <w:pStyle w:val="11"/>
        <w:spacing w:line="360" w:lineRule="auto"/>
        <w:jc w:val="right"/>
        <w:rPr>
          <w:color w:val="auto"/>
          <w:szCs w:val="21"/>
          <w:highlight w:val="none"/>
        </w:rPr>
      </w:pPr>
      <w:r>
        <w:rPr>
          <w:rFonts w:hAnsi="宋体"/>
          <w:color w:val="auto"/>
          <w:szCs w:val="21"/>
          <w:highlight w:val="none"/>
        </w:rPr>
        <w:t>成员二名称：</w:t>
      </w:r>
      <w:r>
        <w:rPr>
          <w:color w:val="auto"/>
          <w:szCs w:val="21"/>
          <w:highlight w:val="none"/>
        </w:rPr>
        <w:t>_______________________</w:t>
      </w:r>
      <w:r>
        <w:rPr>
          <w:rFonts w:hint="eastAsia"/>
          <w:color w:val="auto"/>
          <w:szCs w:val="21"/>
          <w:highlight w:val="none"/>
          <w:lang w:eastAsia="zh-CN"/>
        </w:rPr>
        <w:t>（加</w:t>
      </w:r>
      <w:r>
        <w:rPr>
          <w:rFonts w:hAnsi="宋体"/>
          <w:color w:val="auto"/>
          <w:szCs w:val="21"/>
          <w:highlight w:val="none"/>
        </w:rPr>
        <w:t>盖单位公章）</w:t>
      </w:r>
    </w:p>
    <w:p w14:paraId="49D32162">
      <w:pPr>
        <w:pStyle w:val="11"/>
        <w:spacing w:line="360" w:lineRule="auto"/>
        <w:jc w:val="right"/>
        <w:rPr>
          <w:rFonts w:hAnsi="宋体"/>
          <w:color w:val="auto"/>
          <w:szCs w:val="21"/>
          <w:highlight w:val="none"/>
        </w:rPr>
      </w:pPr>
      <w:r>
        <w:rPr>
          <w:rFonts w:hAnsi="宋体"/>
          <w:color w:val="auto"/>
          <w:szCs w:val="21"/>
          <w:highlight w:val="none"/>
        </w:rPr>
        <w:t>法定代表人或其委托代理人：</w:t>
      </w:r>
      <w:r>
        <w:rPr>
          <w:color w:val="auto"/>
          <w:szCs w:val="21"/>
          <w:highlight w:val="none"/>
        </w:rPr>
        <w:t>_____________</w:t>
      </w:r>
      <w:r>
        <w:rPr>
          <w:rFonts w:hAnsi="宋体"/>
          <w:color w:val="auto"/>
          <w:szCs w:val="21"/>
          <w:highlight w:val="none"/>
        </w:rPr>
        <w:t>（签字）</w:t>
      </w:r>
    </w:p>
    <w:p w14:paraId="76AA56E5">
      <w:pPr>
        <w:pStyle w:val="11"/>
        <w:spacing w:line="360" w:lineRule="auto"/>
        <w:ind w:right="840"/>
        <w:rPr>
          <w:rFonts w:hAnsi="宋体"/>
          <w:color w:val="auto"/>
          <w:szCs w:val="21"/>
          <w:highlight w:val="none"/>
        </w:rPr>
      </w:pPr>
      <w:r>
        <w:rPr>
          <w:rFonts w:hint="eastAsia" w:hAnsi="宋体"/>
          <w:color w:val="auto"/>
          <w:szCs w:val="21"/>
          <w:highlight w:val="none"/>
        </w:rPr>
        <w:t xml:space="preserve">                             </w:t>
      </w:r>
      <w:r>
        <w:rPr>
          <w:rFonts w:hAnsi="宋体"/>
          <w:color w:val="auto"/>
          <w:szCs w:val="21"/>
          <w:highlight w:val="none"/>
        </w:rPr>
        <w:t>……</w:t>
      </w:r>
    </w:p>
    <w:p w14:paraId="40AE1B93">
      <w:pPr>
        <w:spacing w:line="360" w:lineRule="auto"/>
        <w:ind w:firstLine="2879" w:firstLineChars="1371"/>
        <w:jc w:val="right"/>
        <w:rPr>
          <w:rFonts w:ascii="宋体" w:hAnsi="宋体"/>
          <w:color w:val="auto"/>
          <w:highlight w:val="none"/>
        </w:rPr>
      </w:pPr>
      <w:r>
        <w:rPr>
          <w:rFonts w:ascii="宋体" w:hAnsi="宋体"/>
          <w:color w:val="auto"/>
          <w:highlight w:val="none"/>
          <w:u w:val="single"/>
        </w:rPr>
        <w:t xml:space="preserve">        </w:t>
      </w:r>
      <w:r>
        <w:rPr>
          <w:rFonts w:ascii="宋体" w:hAnsi="宋体"/>
          <w:color w:val="auto"/>
          <w:highlight w:val="none"/>
        </w:rPr>
        <w:t>年</w:t>
      </w:r>
      <w:r>
        <w:rPr>
          <w:rFonts w:ascii="宋体" w:hAnsi="宋体"/>
          <w:color w:val="auto"/>
          <w:highlight w:val="none"/>
          <w:u w:val="single"/>
        </w:rPr>
        <w:t xml:space="preserve">   </w:t>
      </w:r>
      <w:r>
        <w:rPr>
          <w:rFonts w:hint="eastAsia" w:ascii="宋体" w:hAnsi="宋体"/>
          <w:color w:val="auto"/>
          <w:highlight w:val="none"/>
          <w:u w:val="single"/>
        </w:rPr>
        <w:t xml:space="preserve">  </w:t>
      </w:r>
      <w:r>
        <w:rPr>
          <w:rFonts w:ascii="宋体" w:hAnsi="宋体"/>
          <w:color w:val="auto"/>
          <w:highlight w:val="none"/>
        </w:rPr>
        <w:t>月</w:t>
      </w:r>
      <w:r>
        <w:rPr>
          <w:rFonts w:ascii="宋体" w:hAnsi="宋体"/>
          <w:color w:val="auto"/>
          <w:highlight w:val="none"/>
          <w:u w:val="single"/>
        </w:rPr>
        <w:t xml:space="preserve"> </w:t>
      </w:r>
      <w:r>
        <w:rPr>
          <w:rFonts w:hint="eastAsia" w:ascii="宋体" w:hAnsi="宋体"/>
          <w:color w:val="auto"/>
          <w:highlight w:val="none"/>
          <w:u w:val="single"/>
        </w:rPr>
        <w:t xml:space="preserve">   </w:t>
      </w:r>
      <w:r>
        <w:rPr>
          <w:rFonts w:ascii="宋体" w:hAnsi="宋体"/>
          <w:color w:val="auto"/>
          <w:highlight w:val="none"/>
          <w:u w:val="single"/>
        </w:rPr>
        <w:t xml:space="preserve"> </w:t>
      </w:r>
      <w:r>
        <w:rPr>
          <w:rFonts w:ascii="宋体" w:hAnsi="宋体"/>
          <w:color w:val="auto"/>
          <w:highlight w:val="none"/>
        </w:rPr>
        <w:t>日</w:t>
      </w:r>
    </w:p>
    <w:p w14:paraId="0075165B">
      <w:pPr>
        <w:pStyle w:val="2"/>
        <w:jc w:val="center"/>
        <w:rPr>
          <w:color w:val="auto"/>
          <w:szCs w:val="21"/>
          <w:highlight w:val="none"/>
        </w:rPr>
      </w:pPr>
      <w:bookmarkStart w:id="169" w:name="_Toc475483724"/>
      <w:bookmarkStart w:id="170" w:name="_Toc24715"/>
      <w:r>
        <w:rPr>
          <w:rFonts w:hint="eastAsia"/>
          <w:b w:val="0"/>
          <w:color w:val="auto"/>
          <w:highlight w:val="none"/>
          <w:lang w:val="en-US" w:eastAsia="zh-CN"/>
        </w:rPr>
        <w:t>三</w:t>
      </w:r>
      <w:r>
        <w:rPr>
          <w:rFonts w:hint="eastAsia"/>
          <w:b w:val="0"/>
          <w:color w:val="auto"/>
          <w:highlight w:val="none"/>
        </w:rPr>
        <w:t>、法定代表人身份证明</w:t>
      </w:r>
      <w:bookmarkEnd w:id="169"/>
      <w:bookmarkEnd w:id="170"/>
    </w:p>
    <w:p w14:paraId="4C91BF55">
      <w:pPr>
        <w:jc w:val="center"/>
        <w:rPr>
          <w:color w:val="auto"/>
          <w:szCs w:val="21"/>
          <w:highlight w:val="none"/>
        </w:rPr>
      </w:pPr>
    </w:p>
    <w:p w14:paraId="24219D4F">
      <w:pPr>
        <w:topLinePunct/>
        <w:spacing w:line="600" w:lineRule="exact"/>
        <w:rPr>
          <w:bCs/>
          <w:color w:val="auto"/>
          <w:szCs w:val="21"/>
          <w:highlight w:val="none"/>
          <w:u w:val="single"/>
        </w:rPr>
      </w:pPr>
      <w:r>
        <w:rPr>
          <w:rFonts w:hint="eastAsia"/>
          <w:bCs/>
          <w:color w:val="auto"/>
          <w:szCs w:val="21"/>
          <w:highlight w:val="none"/>
        </w:rPr>
        <w:t>响应人</w:t>
      </w:r>
      <w:r>
        <w:rPr>
          <w:bCs/>
          <w:color w:val="auto"/>
          <w:szCs w:val="21"/>
          <w:highlight w:val="none"/>
        </w:rPr>
        <w:t>名称：</w:t>
      </w:r>
      <w:r>
        <w:rPr>
          <w:bCs/>
          <w:color w:val="auto"/>
          <w:szCs w:val="21"/>
          <w:highlight w:val="none"/>
          <w:u w:val="single"/>
        </w:rPr>
        <w:t xml:space="preserve">                         </w:t>
      </w:r>
    </w:p>
    <w:p w14:paraId="143D4A45">
      <w:pPr>
        <w:topLinePunct/>
        <w:spacing w:line="600" w:lineRule="exact"/>
        <w:rPr>
          <w:bCs/>
          <w:color w:val="auto"/>
          <w:szCs w:val="21"/>
          <w:highlight w:val="none"/>
        </w:rPr>
      </w:pPr>
      <w:r>
        <w:rPr>
          <w:bCs/>
          <w:color w:val="auto"/>
          <w:szCs w:val="21"/>
          <w:highlight w:val="none"/>
        </w:rPr>
        <w:t>单位性质：</w:t>
      </w:r>
      <w:r>
        <w:rPr>
          <w:bCs/>
          <w:color w:val="auto"/>
          <w:szCs w:val="21"/>
          <w:highlight w:val="none"/>
          <w:u w:val="single"/>
        </w:rPr>
        <w:t xml:space="preserve">                           </w:t>
      </w:r>
    </w:p>
    <w:p w14:paraId="2FA05A48">
      <w:pPr>
        <w:topLinePunct/>
        <w:spacing w:line="600" w:lineRule="exact"/>
        <w:rPr>
          <w:bCs/>
          <w:color w:val="auto"/>
          <w:szCs w:val="21"/>
          <w:highlight w:val="none"/>
        </w:rPr>
      </w:pPr>
      <w:r>
        <w:rPr>
          <w:bCs/>
          <w:color w:val="auto"/>
          <w:szCs w:val="21"/>
          <w:highlight w:val="none"/>
        </w:rPr>
        <w:t>成立时间：</w:t>
      </w:r>
      <w:r>
        <w:rPr>
          <w:bCs/>
          <w:color w:val="auto"/>
          <w:szCs w:val="21"/>
          <w:highlight w:val="none"/>
          <w:u w:val="single"/>
        </w:rPr>
        <w:t xml:space="preserve">       </w:t>
      </w:r>
      <w:r>
        <w:rPr>
          <w:bCs/>
          <w:color w:val="auto"/>
          <w:szCs w:val="21"/>
          <w:highlight w:val="none"/>
        </w:rPr>
        <w:t>年</w:t>
      </w:r>
      <w:r>
        <w:rPr>
          <w:bCs/>
          <w:color w:val="auto"/>
          <w:szCs w:val="21"/>
          <w:highlight w:val="none"/>
          <w:u w:val="single"/>
        </w:rPr>
        <w:t xml:space="preserve">       </w:t>
      </w:r>
      <w:r>
        <w:rPr>
          <w:bCs/>
          <w:color w:val="auto"/>
          <w:szCs w:val="21"/>
          <w:highlight w:val="none"/>
        </w:rPr>
        <w:t>月</w:t>
      </w:r>
      <w:r>
        <w:rPr>
          <w:bCs/>
          <w:color w:val="auto"/>
          <w:szCs w:val="21"/>
          <w:highlight w:val="none"/>
          <w:u w:val="single"/>
        </w:rPr>
        <w:t xml:space="preserve">       </w:t>
      </w:r>
      <w:r>
        <w:rPr>
          <w:bCs/>
          <w:color w:val="auto"/>
          <w:szCs w:val="21"/>
          <w:highlight w:val="none"/>
        </w:rPr>
        <w:t>日</w:t>
      </w:r>
    </w:p>
    <w:p w14:paraId="35EC660B">
      <w:pPr>
        <w:topLinePunct/>
        <w:spacing w:line="600" w:lineRule="exact"/>
        <w:rPr>
          <w:bCs/>
          <w:color w:val="auto"/>
          <w:szCs w:val="21"/>
          <w:highlight w:val="none"/>
        </w:rPr>
      </w:pPr>
      <w:r>
        <w:rPr>
          <w:bCs/>
          <w:color w:val="auto"/>
          <w:szCs w:val="21"/>
          <w:highlight w:val="none"/>
        </w:rPr>
        <w:t>经营期限：</w:t>
      </w:r>
      <w:r>
        <w:rPr>
          <w:bCs/>
          <w:color w:val="auto"/>
          <w:szCs w:val="21"/>
          <w:highlight w:val="none"/>
          <w:u w:val="single"/>
        </w:rPr>
        <w:t xml:space="preserve">            </w:t>
      </w:r>
    </w:p>
    <w:p w14:paraId="6AAB0E09">
      <w:pPr>
        <w:topLinePunct/>
        <w:spacing w:line="600" w:lineRule="exact"/>
        <w:rPr>
          <w:bCs/>
          <w:color w:val="auto"/>
          <w:szCs w:val="21"/>
          <w:highlight w:val="none"/>
          <w:u w:val="single"/>
        </w:rPr>
      </w:pPr>
      <w:r>
        <w:rPr>
          <w:bCs/>
          <w:color w:val="auto"/>
          <w:szCs w:val="21"/>
          <w:highlight w:val="none"/>
        </w:rPr>
        <w:t>姓名：</w:t>
      </w:r>
      <w:r>
        <w:rPr>
          <w:bCs/>
          <w:color w:val="auto"/>
          <w:szCs w:val="21"/>
          <w:highlight w:val="none"/>
          <w:u w:val="single"/>
        </w:rPr>
        <w:t xml:space="preserve">         </w:t>
      </w:r>
      <w:r>
        <w:rPr>
          <w:bCs/>
          <w:color w:val="auto"/>
          <w:szCs w:val="21"/>
          <w:highlight w:val="none"/>
        </w:rPr>
        <w:t>性别：</w:t>
      </w:r>
      <w:r>
        <w:rPr>
          <w:bCs/>
          <w:color w:val="auto"/>
          <w:szCs w:val="21"/>
          <w:highlight w:val="none"/>
          <w:u w:val="single"/>
        </w:rPr>
        <w:t xml:space="preserve">          </w:t>
      </w:r>
      <w:r>
        <w:rPr>
          <w:bCs/>
          <w:color w:val="auto"/>
          <w:szCs w:val="21"/>
          <w:highlight w:val="none"/>
        </w:rPr>
        <w:t>年龄：</w:t>
      </w:r>
      <w:r>
        <w:rPr>
          <w:bCs/>
          <w:color w:val="auto"/>
          <w:szCs w:val="21"/>
          <w:highlight w:val="none"/>
          <w:u w:val="single"/>
        </w:rPr>
        <w:t xml:space="preserve">        </w:t>
      </w:r>
      <w:r>
        <w:rPr>
          <w:rFonts w:hint="eastAsia"/>
          <w:bCs/>
          <w:color w:val="auto"/>
          <w:szCs w:val="21"/>
          <w:highlight w:val="none"/>
          <w:u w:val="single"/>
        </w:rPr>
        <w:t xml:space="preserve"> </w:t>
      </w:r>
      <w:r>
        <w:rPr>
          <w:bCs/>
          <w:color w:val="auto"/>
          <w:szCs w:val="21"/>
          <w:highlight w:val="none"/>
        </w:rPr>
        <w:t>职务：</w:t>
      </w:r>
      <w:r>
        <w:rPr>
          <w:bCs/>
          <w:color w:val="auto"/>
          <w:szCs w:val="21"/>
          <w:highlight w:val="none"/>
          <w:u w:val="single"/>
        </w:rPr>
        <w:t xml:space="preserve">        </w:t>
      </w:r>
      <w:r>
        <w:rPr>
          <w:rFonts w:hint="eastAsia"/>
          <w:bCs/>
          <w:color w:val="auto"/>
          <w:szCs w:val="21"/>
          <w:highlight w:val="none"/>
          <w:u w:val="single"/>
        </w:rPr>
        <w:t xml:space="preserve"> </w:t>
      </w:r>
    </w:p>
    <w:p w14:paraId="0922D872">
      <w:pPr>
        <w:topLinePunct/>
        <w:spacing w:line="600" w:lineRule="exact"/>
        <w:rPr>
          <w:bCs/>
          <w:color w:val="auto"/>
          <w:szCs w:val="21"/>
          <w:highlight w:val="none"/>
        </w:rPr>
      </w:pPr>
      <w:r>
        <w:rPr>
          <w:bCs/>
          <w:color w:val="auto"/>
          <w:szCs w:val="21"/>
          <w:highlight w:val="none"/>
        </w:rPr>
        <w:t>系</w:t>
      </w:r>
      <w:r>
        <w:rPr>
          <w:bCs/>
          <w:color w:val="auto"/>
          <w:szCs w:val="21"/>
          <w:highlight w:val="none"/>
          <w:u w:val="single"/>
        </w:rPr>
        <w:t xml:space="preserve">                   </w:t>
      </w:r>
      <w:r>
        <w:rPr>
          <w:rFonts w:hint="eastAsia"/>
          <w:bCs/>
          <w:color w:val="auto"/>
          <w:szCs w:val="21"/>
          <w:highlight w:val="none"/>
        </w:rPr>
        <w:t>（响应人</w:t>
      </w:r>
      <w:r>
        <w:rPr>
          <w:bCs/>
          <w:color w:val="auto"/>
          <w:szCs w:val="21"/>
          <w:highlight w:val="none"/>
        </w:rPr>
        <w:t>名称</w:t>
      </w:r>
      <w:r>
        <w:rPr>
          <w:rFonts w:hint="eastAsia"/>
          <w:bCs/>
          <w:color w:val="auto"/>
          <w:szCs w:val="21"/>
          <w:highlight w:val="none"/>
        </w:rPr>
        <w:t>）</w:t>
      </w:r>
      <w:r>
        <w:rPr>
          <w:bCs/>
          <w:color w:val="auto"/>
          <w:szCs w:val="21"/>
          <w:highlight w:val="none"/>
        </w:rPr>
        <w:t>的法定代表人。</w:t>
      </w:r>
    </w:p>
    <w:p w14:paraId="4431C2FD">
      <w:pPr>
        <w:topLinePunct/>
        <w:spacing w:line="600" w:lineRule="exact"/>
        <w:ind w:firstLine="420" w:firstLineChars="200"/>
        <w:rPr>
          <w:bCs/>
          <w:color w:val="auto"/>
          <w:szCs w:val="21"/>
          <w:highlight w:val="none"/>
        </w:rPr>
      </w:pPr>
      <w:r>
        <w:rPr>
          <w:bCs/>
          <w:color w:val="auto"/>
          <w:szCs w:val="21"/>
          <w:highlight w:val="none"/>
        </w:rPr>
        <w:t>特此证明。</w:t>
      </w:r>
    </w:p>
    <w:p w14:paraId="33EABFD3">
      <w:pPr>
        <w:topLinePunct/>
        <w:spacing w:line="440" w:lineRule="exact"/>
        <w:rPr>
          <w:color w:val="auto"/>
          <w:highlight w:val="none"/>
        </w:rPr>
      </w:pPr>
      <w:r>
        <w:rPr>
          <w:color w:val="auto"/>
          <w:highlight w:val="none"/>
        </w:rPr>
        <w:t>附：法定代表人身份证复印件</w:t>
      </w:r>
      <w:r>
        <w:rPr>
          <w:rFonts w:hint="eastAsia"/>
          <w:color w:val="auto"/>
          <w:highlight w:val="none"/>
        </w:rPr>
        <w:t>（</w:t>
      </w:r>
      <w:r>
        <w:rPr>
          <w:rFonts w:hint="eastAsia" w:ascii="宋体" w:hAnsi="宋体"/>
          <w:color w:val="auto"/>
          <w:szCs w:val="21"/>
          <w:highlight w:val="none"/>
        </w:rPr>
        <w:t>需同时提供正面及背面</w:t>
      </w:r>
      <w:r>
        <w:rPr>
          <w:rFonts w:hint="eastAsia"/>
          <w:color w:val="auto"/>
          <w:highlight w:val="none"/>
        </w:rPr>
        <w:t>）</w:t>
      </w:r>
    </w:p>
    <w:p w14:paraId="014069E5">
      <w:pPr>
        <w:spacing w:line="440" w:lineRule="exact"/>
        <w:rPr>
          <w:color w:val="auto"/>
          <w:szCs w:val="21"/>
          <w:highlight w:val="none"/>
        </w:rPr>
      </w:pPr>
    </w:p>
    <w:p w14:paraId="1263E6C9">
      <w:pPr>
        <w:spacing w:line="500" w:lineRule="exact"/>
        <w:rPr>
          <w:rFonts w:ascii="宋体" w:hAnsi="宋体"/>
          <w:color w:val="auto"/>
          <w:szCs w:val="21"/>
          <w:highlight w:val="none"/>
        </w:rPr>
      </w:pPr>
    </w:p>
    <w:p w14:paraId="503295E2">
      <w:pPr>
        <w:spacing w:line="440" w:lineRule="exact"/>
        <w:rPr>
          <w:color w:val="auto"/>
          <w:szCs w:val="21"/>
          <w:highlight w:val="none"/>
        </w:rPr>
      </w:pPr>
    </w:p>
    <w:p w14:paraId="4662AF5E">
      <w:pPr>
        <w:spacing w:line="500" w:lineRule="exact"/>
        <w:rPr>
          <w:rFonts w:ascii="宋体" w:hAnsi="宋体"/>
          <w:color w:val="auto"/>
          <w:szCs w:val="21"/>
          <w:highlight w:val="none"/>
        </w:rPr>
      </w:pPr>
    </w:p>
    <w:p w14:paraId="70287C0A">
      <w:pPr>
        <w:spacing w:line="440" w:lineRule="exact"/>
        <w:rPr>
          <w:color w:val="auto"/>
          <w:szCs w:val="21"/>
          <w:highlight w:val="none"/>
        </w:rPr>
      </w:pPr>
    </w:p>
    <w:p w14:paraId="03EFE9C1">
      <w:pPr>
        <w:spacing w:line="500" w:lineRule="exact"/>
        <w:rPr>
          <w:rFonts w:ascii="宋体" w:hAnsi="宋体"/>
          <w:color w:val="auto"/>
          <w:szCs w:val="21"/>
          <w:highlight w:val="none"/>
        </w:rPr>
      </w:pPr>
    </w:p>
    <w:p w14:paraId="3027461C">
      <w:pPr>
        <w:spacing w:line="440" w:lineRule="exact"/>
        <w:rPr>
          <w:color w:val="auto"/>
          <w:szCs w:val="21"/>
          <w:highlight w:val="none"/>
        </w:rPr>
      </w:pPr>
    </w:p>
    <w:p w14:paraId="33D84C48">
      <w:pPr>
        <w:spacing w:line="500" w:lineRule="exact"/>
        <w:rPr>
          <w:rFonts w:ascii="宋体" w:hAnsi="宋体"/>
          <w:color w:val="auto"/>
          <w:szCs w:val="21"/>
          <w:highlight w:val="none"/>
        </w:rPr>
      </w:pPr>
    </w:p>
    <w:p w14:paraId="6D8DD08A">
      <w:pPr>
        <w:spacing w:line="440" w:lineRule="exact"/>
        <w:rPr>
          <w:color w:val="auto"/>
          <w:szCs w:val="21"/>
          <w:highlight w:val="none"/>
        </w:rPr>
      </w:pPr>
    </w:p>
    <w:p w14:paraId="2DF3C83F">
      <w:pPr>
        <w:spacing w:line="440" w:lineRule="exact"/>
        <w:rPr>
          <w:color w:val="auto"/>
          <w:szCs w:val="21"/>
          <w:highlight w:val="none"/>
        </w:rPr>
      </w:pPr>
    </w:p>
    <w:p w14:paraId="07F577DB">
      <w:pPr>
        <w:spacing w:line="440" w:lineRule="exact"/>
        <w:rPr>
          <w:color w:val="auto"/>
          <w:szCs w:val="21"/>
          <w:highlight w:val="none"/>
        </w:rPr>
      </w:pPr>
    </w:p>
    <w:p w14:paraId="0B07497D">
      <w:pPr>
        <w:spacing w:line="440" w:lineRule="exact"/>
        <w:ind w:firstLine="4305" w:firstLineChars="2050"/>
        <w:rPr>
          <w:color w:val="auto"/>
          <w:szCs w:val="21"/>
          <w:highlight w:val="none"/>
        </w:rPr>
      </w:pPr>
    </w:p>
    <w:p w14:paraId="5C28D58E">
      <w:pPr>
        <w:spacing w:line="440" w:lineRule="exact"/>
        <w:ind w:firstLine="4305" w:firstLineChars="2050"/>
        <w:rPr>
          <w:color w:val="auto"/>
          <w:szCs w:val="21"/>
          <w:highlight w:val="none"/>
        </w:rPr>
      </w:pPr>
      <w:r>
        <w:rPr>
          <w:color w:val="auto"/>
          <w:szCs w:val="21"/>
          <w:highlight w:val="none"/>
        </w:rPr>
        <w:t>响应人：</w:t>
      </w:r>
      <w:r>
        <w:rPr>
          <w:color w:val="auto"/>
          <w:szCs w:val="21"/>
          <w:highlight w:val="none"/>
          <w:u w:val="single"/>
        </w:rPr>
        <w:t xml:space="preserve">                 </w:t>
      </w:r>
      <w:r>
        <w:rPr>
          <w:color w:val="auto"/>
          <w:szCs w:val="21"/>
          <w:highlight w:val="none"/>
        </w:rPr>
        <w:t>（盖单位公章）</w:t>
      </w:r>
    </w:p>
    <w:p w14:paraId="71589B32">
      <w:pPr>
        <w:spacing w:line="440" w:lineRule="exact"/>
        <w:rPr>
          <w:color w:val="auto"/>
          <w:szCs w:val="21"/>
          <w:highlight w:val="none"/>
        </w:rPr>
      </w:pPr>
      <w:r>
        <w:rPr>
          <w:color w:val="auto"/>
          <w:szCs w:val="21"/>
          <w:highlight w:val="none"/>
        </w:rPr>
        <w:t xml:space="preserve">                                </w:t>
      </w:r>
      <w:r>
        <w:rPr>
          <w:rFonts w:hint="eastAsia"/>
          <w:color w:val="auto"/>
          <w:szCs w:val="21"/>
          <w:highlight w:val="none"/>
        </w:rPr>
        <w:t xml:space="preserve">                  </w:t>
      </w:r>
      <w:r>
        <w:rPr>
          <w:color w:val="auto"/>
          <w:szCs w:val="21"/>
          <w:highlight w:val="none"/>
          <w:u w:val="single"/>
        </w:rPr>
        <w:t xml:space="preserve">       </w:t>
      </w:r>
      <w:r>
        <w:rPr>
          <w:color w:val="auto"/>
          <w:szCs w:val="21"/>
          <w:highlight w:val="none"/>
        </w:rPr>
        <w:t>年</w:t>
      </w:r>
      <w:r>
        <w:rPr>
          <w:color w:val="auto"/>
          <w:szCs w:val="21"/>
          <w:highlight w:val="none"/>
          <w:u w:val="single"/>
        </w:rPr>
        <w:t xml:space="preserve">       </w:t>
      </w:r>
      <w:r>
        <w:rPr>
          <w:color w:val="auto"/>
          <w:szCs w:val="21"/>
          <w:highlight w:val="none"/>
        </w:rPr>
        <w:t>月</w:t>
      </w:r>
      <w:r>
        <w:rPr>
          <w:color w:val="auto"/>
          <w:szCs w:val="21"/>
          <w:highlight w:val="none"/>
          <w:u w:val="single"/>
        </w:rPr>
        <w:t xml:space="preserve">       </w:t>
      </w:r>
      <w:r>
        <w:rPr>
          <w:color w:val="auto"/>
          <w:szCs w:val="21"/>
          <w:highlight w:val="none"/>
        </w:rPr>
        <w:t xml:space="preserve">日 </w:t>
      </w:r>
    </w:p>
    <w:p w14:paraId="64E8EB71">
      <w:pPr>
        <w:widowControl/>
        <w:jc w:val="left"/>
        <w:rPr>
          <w:rFonts w:ascii="Arial" w:hAnsi="Arial" w:eastAsia="黑体"/>
          <w:bCs/>
          <w:color w:val="auto"/>
          <w:sz w:val="32"/>
          <w:szCs w:val="32"/>
          <w:highlight w:val="none"/>
        </w:rPr>
      </w:pPr>
      <w:bookmarkStart w:id="171" w:name="_Toc475483725"/>
      <w:r>
        <w:rPr>
          <w:b/>
          <w:color w:val="auto"/>
          <w:highlight w:val="none"/>
        </w:rPr>
        <w:br w:type="page"/>
      </w:r>
    </w:p>
    <w:p w14:paraId="50AFBE7D">
      <w:pPr>
        <w:pStyle w:val="2"/>
        <w:jc w:val="center"/>
        <w:rPr>
          <w:b w:val="0"/>
          <w:color w:val="auto"/>
          <w:highlight w:val="none"/>
        </w:rPr>
      </w:pPr>
      <w:bookmarkStart w:id="172" w:name="_Toc10072"/>
      <w:r>
        <w:rPr>
          <w:rFonts w:hint="eastAsia"/>
          <w:b w:val="0"/>
          <w:color w:val="auto"/>
          <w:highlight w:val="none"/>
          <w:lang w:val="en-US" w:eastAsia="zh-CN"/>
        </w:rPr>
        <w:t>四</w:t>
      </w:r>
      <w:r>
        <w:rPr>
          <w:rFonts w:hint="eastAsia"/>
          <w:b w:val="0"/>
          <w:color w:val="auto"/>
          <w:highlight w:val="none"/>
        </w:rPr>
        <w:t>、法定代表人</w:t>
      </w:r>
      <w:r>
        <w:rPr>
          <w:b w:val="0"/>
          <w:color w:val="auto"/>
          <w:highlight w:val="none"/>
        </w:rPr>
        <w:t>授权委托书</w:t>
      </w:r>
      <w:bookmarkEnd w:id="171"/>
      <w:bookmarkEnd w:id="172"/>
    </w:p>
    <w:p w14:paraId="5B4AEFD0">
      <w:pPr>
        <w:topLinePunct/>
        <w:spacing w:line="440" w:lineRule="exact"/>
        <w:ind w:firstLine="420" w:firstLineChars="200"/>
        <w:rPr>
          <w:color w:val="auto"/>
          <w:szCs w:val="21"/>
          <w:highlight w:val="none"/>
        </w:rPr>
      </w:pPr>
      <w:r>
        <w:rPr>
          <w:color w:val="auto"/>
          <w:szCs w:val="21"/>
          <w:highlight w:val="none"/>
        </w:rPr>
        <w:t>本人</w:t>
      </w:r>
      <w:r>
        <w:rPr>
          <w:color w:val="auto"/>
          <w:szCs w:val="21"/>
          <w:highlight w:val="none"/>
          <w:u w:val="single"/>
        </w:rPr>
        <w:t xml:space="preserve">       （姓名）</w:t>
      </w:r>
      <w:r>
        <w:rPr>
          <w:color w:val="auto"/>
          <w:szCs w:val="21"/>
          <w:highlight w:val="none"/>
        </w:rPr>
        <w:t>系</w:t>
      </w:r>
      <w:r>
        <w:rPr>
          <w:color w:val="auto"/>
          <w:szCs w:val="21"/>
          <w:highlight w:val="none"/>
          <w:u w:val="single"/>
        </w:rPr>
        <w:t xml:space="preserve"> （响应人名称）</w:t>
      </w:r>
      <w:r>
        <w:rPr>
          <w:color w:val="auto"/>
          <w:szCs w:val="21"/>
          <w:highlight w:val="none"/>
        </w:rPr>
        <w:t>的法定代表人，现委托</w:t>
      </w:r>
      <w:r>
        <w:rPr>
          <w:color w:val="auto"/>
          <w:szCs w:val="21"/>
          <w:highlight w:val="none"/>
          <w:u w:val="single"/>
        </w:rPr>
        <w:t xml:space="preserve"> </w:t>
      </w:r>
      <w:r>
        <w:rPr>
          <w:rFonts w:hint="eastAsia"/>
          <w:color w:val="auto"/>
          <w:szCs w:val="21"/>
          <w:highlight w:val="none"/>
          <w:u w:val="single"/>
        </w:rPr>
        <w:t>（姓名）</w:t>
      </w:r>
      <w:r>
        <w:rPr>
          <w:color w:val="auto"/>
          <w:szCs w:val="21"/>
          <w:highlight w:val="none"/>
        </w:rPr>
        <w:t>为我方代理人。代理人根据授权，以我方名义</w:t>
      </w:r>
      <w:r>
        <w:rPr>
          <w:rFonts w:hint="eastAsia"/>
          <w:color w:val="auto"/>
          <w:szCs w:val="21"/>
          <w:highlight w:val="none"/>
        </w:rPr>
        <w:t>全权处理</w:t>
      </w:r>
      <w:r>
        <w:rPr>
          <w:rFonts w:hint="eastAsia"/>
          <w:color w:val="auto"/>
          <w:szCs w:val="21"/>
          <w:highlight w:val="none"/>
          <w:u w:val="single"/>
        </w:rPr>
        <w:t xml:space="preserve">      </w:t>
      </w:r>
      <w:r>
        <w:rPr>
          <w:color w:val="auto"/>
          <w:szCs w:val="21"/>
          <w:highlight w:val="none"/>
          <w:u w:val="single"/>
        </w:rPr>
        <w:t>（项目名称）</w:t>
      </w:r>
      <w:r>
        <w:rPr>
          <w:rFonts w:hint="eastAsia"/>
          <w:color w:val="auto"/>
          <w:szCs w:val="21"/>
          <w:highlight w:val="none"/>
          <w:u w:val="single"/>
        </w:rPr>
        <w:t xml:space="preserve">     </w:t>
      </w:r>
      <w:r>
        <w:rPr>
          <w:rFonts w:hint="eastAsia"/>
          <w:color w:val="auto"/>
          <w:szCs w:val="21"/>
          <w:highlight w:val="none"/>
        </w:rPr>
        <w:t>标段（</w:t>
      </w:r>
      <w:r>
        <w:rPr>
          <w:color w:val="auto"/>
          <w:szCs w:val="21"/>
          <w:highlight w:val="none"/>
        </w:rPr>
        <w:t>签署、澄清</w:t>
      </w:r>
      <w:r>
        <w:rPr>
          <w:rFonts w:hint="eastAsia"/>
          <w:color w:val="auto"/>
          <w:szCs w:val="21"/>
          <w:highlight w:val="none"/>
        </w:rPr>
        <w:t>、说明、补正</w:t>
      </w:r>
      <w:r>
        <w:rPr>
          <w:color w:val="auto"/>
          <w:szCs w:val="21"/>
          <w:highlight w:val="none"/>
        </w:rPr>
        <w:t>、递交、撤回、修改响应文件</w:t>
      </w:r>
      <w:r>
        <w:rPr>
          <w:rFonts w:hint="eastAsia"/>
          <w:color w:val="auto"/>
          <w:szCs w:val="21"/>
          <w:highlight w:val="none"/>
        </w:rPr>
        <w:t>，</w:t>
      </w:r>
      <w:r>
        <w:rPr>
          <w:color w:val="auto"/>
          <w:szCs w:val="21"/>
          <w:highlight w:val="none"/>
        </w:rPr>
        <w:t>签订合同和处理</w:t>
      </w:r>
      <w:r>
        <w:rPr>
          <w:rFonts w:hint="eastAsia"/>
          <w:color w:val="auto"/>
          <w:szCs w:val="21"/>
          <w:highlight w:val="none"/>
        </w:rPr>
        <w:t>一切</w:t>
      </w:r>
      <w:r>
        <w:rPr>
          <w:color w:val="auto"/>
          <w:szCs w:val="21"/>
          <w:highlight w:val="none"/>
        </w:rPr>
        <w:t>有关事宜</w:t>
      </w:r>
      <w:r>
        <w:rPr>
          <w:rFonts w:hint="eastAsia"/>
          <w:color w:val="auto"/>
          <w:szCs w:val="21"/>
          <w:highlight w:val="none"/>
        </w:rPr>
        <w:t>）</w:t>
      </w:r>
      <w:r>
        <w:rPr>
          <w:color w:val="auto"/>
          <w:szCs w:val="21"/>
          <w:highlight w:val="none"/>
        </w:rPr>
        <w:t>，其法律后果由我方承担。</w:t>
      </w:r>
    </w:p>
    <w:p w14:paraId="6B8D3B55">
      <w:pPr>
        <w:spacing w:line="440" w:lineRule="exact"/>
        <w:rPr>
          <w:color w:val="auto"/>
          <w:szCs w:val="21"/>
          <w:highlight w:val="none"/>
        </w:rPr>
      </w:pPr>
      <w:r>
        <w:rPr>
          <w:color w:val="auto"/>
          <w:szCs w:val="21"/>
          <w:highlight w:val="none"/>
        </w:rPr>
        <w:t xml:space="preserve">    委托期限：</w:t>
      </w:r>
      <w:r>
        <w:rPr>
          <w:color w:val="auto"/>
          <w:szCs w:val="21"/>
          <w:highlight w:val="none"/>
          <w:u w:val="single"/>
        </w:rPr>
        <w:t xml:space="preserve">             </w:t>
      </w:r>
      <w:r>
        <w:rPr>
          <w:rFonts w:hint="eastAsia"/>
          <w:color w:val="auto"/>
          <w:szCs w:val="21"/>
          <w:highlight w:val="none"/>
        </w:rPr>
        <w:t>。</w:t>
      </w:r>
    </w:p>
    <w:p w14:paraId="424384A3">
      <w:pPr>
        <w:spacing w:line="440" w:lineRule="exact"/>
        <w:ind w:firstLine="420" w:firstLineChars="200"/>
        <w:rPr>
          <w:color w:val="auto"/>
          <w:szCs w:val="21"/>
          <w:highlight w:val="none"/>
        </w:rPr>
      </w:pPr>
      <w:r>
        <w:rPr>
          <w:color w:val="auto"/>
          <w:szCs w:val="21"/>
          <w:highlight w:val="none"/>
        </w:rPr>
        <w:t>代理人无转委托权。</w:t>
      </w:r>
    </w:p>
    <w:p w14:paraId="4581FDDD">
      <w:pPr>
        <w:spacing w:line="440" w:lineRule="exact"/>
        <w:rPr>
          <w:rFonts w:ascii="宋体" w:hAnsi="宋体"/>
          <w:color w:val="auto"/>
          <w:szCs w:val="21"/>
          <w:highlight w:val="none"/>
        </w:rPr>
      </w:pPr>
      <w:r>
        <w:rPr>
          <w:rFonts w:hint="eastAsia" w:ascii="宋体" w:hAnsi="宋体"/>
          <w:color w:val="auto"/>
          <w:szCs w:val="21"/>
          <w:highlight w:val="none"/>
        </w:rPr>
        <w:t>附：委托代理人身份证复印件</w:t>
      </w:r>
      <w:r>
        <w:rPr>
          <w:rFonts w:hint="eastAsia" w:ascii="宋体" w:hAnsi="宋体"/>
          <w:color w:val="auto"/>
          <w:szCs w:val="21"/>
          <w:highlight w:val="none"/>
          <w:lang w:eastAsia="zh-CN"/>
        </w:rPr>
        <w:t>（</w:t>
      </w:r>
      <w:r>
        <w:rPr>
          <w:rFonts w:hint="eastAsia" w:ascii="宋体" w:hAnsi="宋体"/>
          <w:color w:val="auto"/>
          <w:szCs w:val="21"/>
          <w:highlight w:val="none"/>
        </w:rPr>
        <w:t>需同时提供正面及背面</w:t>
      </w:r>
      <w:r>
        <w:rPr>
          <w:rFonts w:hint="eastAsia" w:ascii="宋体" w:hAnsi="宋体"/>
          <w:color w:val="auto"/>
          <w:szCs w:val="21"/>
          <w:highlight w:val="none"/>
          <w:lang w:eastAsia="zh-CN"/>
        </w:rPr>
        <w:t>）</w:t>
      </w:r>
    </w:p>
    <w:p w14:paraId="03F113EC">
      <w:pPr>
        <w:spacing w:line="500" w:lineRule="exact"/>
        <w:rPr>
          <w:rFonts w:ascii="宋体" w:hAnsi="宋体"/>
          <w:color w:val="auto"/>
          <w:szCs w:val="21"/>
          <w:highlight w:val="none"/>
        </w:rPr>
      </w:pPr>
    </w:p>
    <w:p w14:paraId="0B806C40">
      <w:pPr>
        <w:spacing w:line="440" w:lineRule="exact"/>
        <w:rPr>
          <w:color w:val="auto"/>
          <w:szCs w:val="21"/>
          <w:highlight w:val="none"/>
        </w:rPr>
      </w:pPr>
    </w:p>
    <w:p w14:paraId="70E72B76">
      <w:pPr>
        <w:spacing w:line="500" w:lineRule="exact"/>
        <w:rPr>
          <w:rFonts w:ascii="宋体" w:hAnsi="宋体"/>
          <w:color w:val="auto"/>
          <w:szCs w:val="21"/>
          <w:highlight w:val="none"/>
        </w:rPr>
      </w:pPr>
    </w:p>
    <w:p w14:paraId="4617E829">
      <w:pPr>
        <w:spacing w:line="440" w:lineRule="exact"/>
        <w:rPr>
          <w:color w:val="auto"/>
          <w:szCs w:val="21"/>
          <w:highlight w:val="none"/>
        </w:rPr>
      </w:pPr>
    </w:p>
    <w:p w14:paraId="1AFC0166">
      <w:pPr>
        <w:spacing w:line="440" w:lineRule="exact"/>
        <w:rPr>
          <w:color w:val="auto"/>
          <w:szCs w:val="21"/>
          <w:highlight w:val="none"/>
        </w:rPr>
      </w:pPr>
    </w:p>
    <w:p w14:paraId="0DA2B692">
      <w:pPr>
        <w:spacing w:line="500" w:lineRule="exact"/>
        <w:rPr>
          <w:rFonts w:ascii="宋体" w:hAnsi="宋体"/>
          <w:color w:val="auto"/>
          <w:szCs w:val="21"/>
          <w:highlight w:val="none"/>
        </w:rPr>
      </w:pPr>
    </w:p>
    <w:p w14:paraId="439B7A38">
      <w:pPr>
        <w:spacing w:line="500" w:lineRule="exact"/>
        <w:rPr>
          <w:rFonts w:ascii="宋体" w:hAnsi="宋体"/>
          <w:color w:val="auto"/>
          <w:szCs w:val="21"/>
          <w:highlight w:val="none"/>
        </w:rPr>
      </w:pPr>
    </w:p>
    <w:p w14:paraId="7CAD75DF">
      <w:pPr>
        <w:spacing w:line="500" w:lineRule="exact"/>
        <w:rPr>
          <w:rFonts w:ascii="宋体" w:hAnsi="宋体"/>
          <w:color w:val="auto"/>
          <w:szCs w:val="21"/>
          <w:highlight w:val="none"/>
        </w:rPr>
      </w:pPr>
    </w:p>
    <w:p w14:paraId="0A57D0B8">
      <w:pPr>
        <w:spacing w:line="440" w:lineRule="exact"/>
        <w:rPr>
          <w:color w:val="auto"/>
          <w:szCs w:val="21"/>
          <w:highlight w:val="none"/>
        </w:rPr>
      </w:pPr>
    </w:p>
    <w:p w14:paraId="3DBCC79F">
      <w:pPr>
        <w:spacing w:line="440" w:lineRule="exact"/>
        <w:rPr>
          <w:color w:val="auto"/>
          <w:szCs w:val="21"/>
          <w:highlight w:val="none"/>
        </w:rPr>
      </w:pPr>
    </w:p>
    <w:p w14:paraId="141D2B09">
      <w:pPr>
        <w:spacing w:line="440" w:lineRule="exact"/>
        <w:rPr>
          <w:color w:val="auto"/>
          <w:szCs w:val="21"/>
          <w:highlight w:val="none"/>
        </w:rPr>
      </w:pPr>
    </w:p>
    <w:p w14:paraId="01EAEAD3">
      <w:pPr>
        <w:spacing w:line="440" w:lineRule="exact"/>
        <w:rPr>
          <w:color w:val="auto"/>
          <w:szCs w:val="21"/>
          <w:highlight w:val="none"/>
        </w:rPr>
      </w:pPr>
    </w:p>
    <w:p w14:paraId="23F6CFA0">
      <w:pPr>
        <w:spacing w:line="440" w:lineRule="exact"/>
        <w:jc w:val="right"/>
        <w:rPr>
          <w:color w:val="auto"/>
          <w:szCs w:val="21"/>
          <w:highlight w:val="none"/>
        </w:rPr>
      </w:pPr>
      <w:r>
        <w:rPr>
          <w:color w:val="auto"/>
          <w:szCs w:val="21"/>
          <w:highlight w:val="none"/>
        </w:rPr>
        <w:t>响应人</w:t>
      </w:r>
      <w:r>
        <w:rPr>
          <w:rFonts w:hint="eastAsia"/>
          <w:color w:val="auto"/>
          <w:szCs w:val="21"/>
          <w:highlight w:val="none"/>
        </w:rPr>
        <w:t>名称</w:t>
      </w:r>
      <w:r>
        <w:rPr>
          <w:color w:val="auto"/>
          <w:szCs w:val="21"/>
          <w:highlight w:val="none"/>
        </w:rPr>
        <w:t>：</w:t>
      </w:r>
      <w:r>
        <w:rPr>
          <w:color w:val="auto"/>
          <w:szCs w:val="21"/>
          <w:highlight w:val="none"/>
          <w:u w:val="single"/>
        </w:rPr>
        <w:t xml:space="preserve">                         </w:t>
      </w:r>
      <w:r>
        <w:rPr>
          <w:color w:val="auto"/>
          <w:szCs w:val="21"/>
          <w:highlight w:val="none"/>
        </w:rPr>
        <w:t>（盖单位公章）</w:t>
      </w:r>
    </w:p>
    <w:p w14:paraId="2EB73A9C">
      <w:pPr>
        <w:spacing w:line="440" w:lineRule="exact"/>
        <w:jc w:val="right"/>
        <w:rPr>
          <w:color w:val="auto"/>
          <w:szCs w:val="21"/>
          <w:highlight w:val="none"/>
        </w:rPr>
      </w:pPr>
      <w:r>
        <w:rPr>
          <w:color w:val="auto"/>
          <w:szCs w:val="21"/>
          <w:highlight w:val="none"/>
        </w:rPr>
        <w:t>法定代表人：</w:t>
      </w:r>
      <w:r>
        <w:rPr>
          <w:color w:val="auto"/>
          <w:szCs w:val="21"/>
          <w:highlight w:val="none"/>
          <w:u w:val="single"/>
        </w:rPr>
        <w:t xml:space="preserve">                               </w:t>
      </w:r>
      <w:r>
        <w:rPr>
          <w:color w:val="auto"/>
          <w:szCs w:val="21"/>
          <w:highlight w:val="none"/>
        </w:rPr>
        <w:t>（签字）</w:t>
      </w:r>
    </w:p>
    <w:p w14:paraId="6F359A17">
      <w:pPr>
        <w:spacing w:line="440" w:lineRule="exact"/>
        <w:ind w:right="420" w:firstLine="2940" w:firstLineChars="1400"/>
        <w:rPr>
          <w:color w:val="auto"/>
          <w:szCs w:val="21"/>
          <w:highlight w:val="none"/>
        </w:rPr>
      </w:pPr>
      <w:r>
        <w:rPr>
          <w:color w:val="auto"/>
          <w:szCs w:val="21"/>
          <w:highlight w:val="none"/>
        </w:rPr>
        <w:t>身份证号码：</w:t>
      </w:r>
      <w:r>
        <w:rPr>
          <w:color w:val="auto"/>
          <w:szCs w:val="21"/>
          <w:highlight w:val="none"/>
          <w:u w:val="single"/>
        </w:rPr>
        <w:t xml:space="preserve">                                     </w:t>
      </w:r>
    </w:p>
    <w:p w14:paraId="17975D68">
      <w:pPr>
        <w:spacing w:line="440" w:lineRule="exact"/>
        <w:ind w:right="105"/>
        <w:jc w:val="right"/>
        <w:rPr>
          <w:color w:val="auto"/>
          <w:szCs w:val="21"/>
          <w:highlight w:val="none"/>
        </w:rPr>
      </w:pPr>
      <w:r>
        <w:rPr>
          <w:color w:val="auto"/>
          <w:szCs w:val="21"/>
          <w:highlight w:val="none"/>
        </w:rPr>
        <w:t>委托代理人：</w:t>
      </w:r>
      <w:r>
        <w:rPr>
          <w:color w:val="auto"/>
          <w:szCs w:val="21"/>
          <w:highlight w:val="none"/>
          <w:u w:val="single"/>
        </w:rPr>
        <w:t xml:space="preserve">                              </w:t>
      </w:r>
      <w:r>
        <w:rPr>
          <w:color w:val="auto"/>
          <w:szCs w:val="21"/>
          <w:highlight w:val="none"/>
        </w:rPr>
        <w:t xml:space="preserve">（签字） </w:t>
      </w:r>
    </w:p>
    <w:p w14:paraId="7AC6BE66">
      <w:pPr>
        <w:spacing w:line="440" w:lineRule="exact"/>
        <w:ind w:right="420" w:firstLine="2940" w:firstLineChars="1400"/>
        <w:rPr>
          <w:color w:val="auto"/>
          <w:szCs w:val="21"/>
          <w:highlight w:val="none"/>
        </w:rPr>
      </w:pPr>
      <w:r>
        <w:rPr>
          <w:color w:val="auto"/>
          <w:szCs w:val="21"/>
          <w:highlight w:val="none"/>
        </w:rPr>
        <w:t>身份证号码：</w:t>
      </w:r>
      <w:r>
        <w:rPr>
          <w:color w:val="auto"/>
          <w:szCs w:val="21"/>
          <w:highlight w:val="none"/>
          <w:u w:val="single"/>
        </w:rPr>
        <w:t xml:space="preserve">                   </w:t>
      </w:r>
      <w:r>
        <w:rPr>
          <w:rFonts w:hint="eastAsia"/>
          <w:color w:val="auto"/>
          <w:szCs w:val="21"/>
          <w:highlight w:val="none"/>
          <w:u w:val="single"/>
        </w:rPr>
        <w:t xml:space="preserve"> </w:t>
      </w:r>
      <w:r>
        <w:rPr>
          <w:color w:val="auto"/>
          <w:szCs w:val="21"/>
          <w:highlight w:val="none"/>
          <w:u w:val="single"/>
        </w:rPr>
        <w:t xml:space="preserve">                 </w:t>
      </w:r>
    </w:p>
    <w:p w14:paraId="1F0A56AE">
      <w:pPr>
        <w:spacing w:line="440" w:lineRule="exact"/>
        <w:ind w:firstLine="2310" w:firstLineChars="1100"/>
        <w:jc w:val="right"/>
        <w:rPr>
          <w:color w:val="auto"/>
          <w:szCs w:val="21"/>
          <w:highlight w:val="none"/>
        </w:rPr>
      </w:pPr>
      <w:r>
        <w:rPr>
          <w:color w:val="auto"/>
          <w:szCs w:val="21"/>
          <w:highlight w:val="none"/>
          <w:u w:val="single"/>
        </w:rPr>
        <w:t xml:space="preserve">       </w:t>
      </w:r>
      <w:r>
        <w:rPr>
          <w:color w:val="auto"/>
          <w:szCs w:val="21"/>
          <w:highlight w:val="none"/>
        </w:rPr>
        <w:t>年</w:t>
      </w:r>
      <w:r>
        <w:rPr>
          <w:color w:val="auto"/>
          <w:szCs w:val="21"/>
          <w:highlight w:val="none"/>
          <w:u w:val="single"/>
        </w:rPr>
        <w:t xml:space="preserve">       </w:t>
      </w:r>
      <w:r>
        <w:rPr>
          <w:color w:val="auto"/>
          <w:szCs w:val="21"/>
          <w:highlight w:val="none"/>
        </w:rPr>
        <w:t>月</w:t>
      </w:r>
      <w:r>
        <w:rPr>
          <w:color w:val="auto"/>
          <w:szCs w:val="21"/>
          <w:highlight w:val="none"/>
          <w:u w:val="single"/>
        </w:rPr>
        <w:t xml:space="preserve">       </w:t>
      </w:r>
      <w:r>
        <w:rPr>
          <w:color w:val="auto"/>
          <w:szCs w:val="21"/>
          <w:highlight w:val="none"/>
        </w:rPr>
        <w:t>日</w:t>
      </w:r>
    </w:p>
    <w:p w14:paraId="1B737BC3">
      <w:pPr>
        <w:pStyle w:val="2"/>
        <w:spacing w:before="0"/>
        <w:jc w:val="center"/>
        <w:rPr>
          <w:color w:val="auto"/>
          <w:highlight w:val="none"/>
        </w:rPr>
        <w:sectPr>
          <w:pgSz w:w="11906" w:h="16838"/>
          <w:pgMar w:top="1418" w:right="1800" w:bottom="1440" w:left="1800" w:header="851" w:footer="992" w:gutter="0"/>
          <w:cols w:space="720" w:num="1"/>
          <w:docGrid w:type="lines" w:linePitch="312" w:charSpace="0"/>
        </w:sectPr>
      </w:pPr>
    </w:p>
    <w:p w14:paraId="6AD8D403">
      <w:pPr>
        <w:spacing w:line="400" w:lineRule="exact"/>
        <w:rPr>
          <w:rFonts w:eastAsia="黑体"/>
          <w:color w:val="auto"/>
          <w:sz w:val="27"/>
          <w:szCs w:val="27"/>
          <w:highlight w:val="none"/>
        </w:rPr>
      </w:pPr>
    </w:p>
    <w:p w14:paraId="64AAD5CE">
      <w:pPr>
        <w:pStyle w:val="2"/>
        <w:jc w:val="center"/>
        <w:rPr>
          <w:color w:val="auto"/>
          <w:highlight w:val="none"/>
        </w:rPr>
      </w:pPr>
      <w:bookmarkStart w:id="173" w:name="_Toc152042585"/>
      <w:bookmarkStart w:id="174" w:name="_Toc179632816"/>
      <w:bookmarkStart w:id="175" w:name="_Toc338669155"/>
      <w:bookmarkStart w:id="176" w:name="_Toc246997107"/>
      <w:bookmarkStart w:id="177" w:name="_Toc246996364"/>
      <w:bookmarkStart w:id="178" w:name="_Toc152045796"/>
      <w:bookmarkStart w:id="179" w:name="_Toc7689"/>
      <w:bookmarkStart w:id="180" w:name="_Toc144974864"/>
      <w:bookmarkStart w:id="181" w:name="_Toc247085882"/>
      <w:r>
        <w:rPr>
          <w:rFonts w:hint="eastAsia"/>
          <w:color w:val="auto"/>
          <w:highlight w:val="none"/>
          <w:lang w:val="en-US" w:eastAsia="zh-CN"/>
        </w:rPr>
        <w:t>五</w:t>
      </w:r>
      <w:r>
        <w:rPr>
          <w:color w:val="auto"/>
          <w:highlight w:val="none"/>
        </w:rPr>
        <w:t>、</w:t>
      </w:r>
      <w:r>
        <w:rPr>
          <w:rFonts w:hint="eastAsia"/>
          <w:color w:val="auto"/>
          <w:highlight w:val="none"/>
        </w:rPr>
        <w:t>项目</w:t>
      </w:r>
      <w:r>
        <w:rPr>
          <w:color w:val="auto"/>
          <w:highlight w:val="none"/>
        </w:rPr>
        <w:t>方案</w:t>
      </w:r>
      <w:bookmarkEnd w:id="173"/>
      <w:bookmarkEnd w:id="174"/>
      <w:bookmarkEnd w:id="175"/>
      <w:bookmarkEnd w:id="176"/>
      <w:bookmarkEnd w:id="177"/>
      <w:bookmarkEnd w:id="178"/>
      <w:bookmarkEnd w:id="179"/>
      <w:bookmarkEnd w:id="180"/>
      <w:bookmarkEnd w:id="181"/>
    </w:p>
    <w:p w14:paraId="19323806">
      <w:pPr>
        <w:spacing w:line="440" w:lineRule="exact"/>
        <w:rPr>
          <w:color w:val="auto"/>
          <w:szCs w:val="21"/>
          <w:highlight w:val="none"/>
        </w:rPr>
      </w:pPr>
      <w:r>
        <w:rPr>
          <w:rFonts w:hint="eastAsia"/>
          <w:color w:val="auto"/>
          <w:szCs w:val="21"/>
          <w:highlight w:val="none"/>
        </w:rPr>
        <w:t>响应人应根据第四章“用户需求书/技术规范书”中的要求制定整体实施方案、</w:t>
      </w:r>
      <w:r>
        <w:rPr>
          <w:rFonts w:hint="eastAsia"/>
          <w:color w:val="auto"/>
          <w:szCs w:val="21"/>
          <w:highlight w:val="none"/>
          <w:lang w:val="en-US" w:eastAsia="zh-CN"/>
        </w:rPr>
        <w:t>养护方案</w:t>
      </w:r>
      <w:r>
        <w:rPr>
          <w:rFonts w:hint="eastAsia"/>
          <w:color w:val="auto"/>
          <w:szCs w:val="21"/>
          <w:highlight w:val="none"/>
        </w:rPr>
        <w:t>及应急预案。竞争性谈判方可以根据实际情况增加内容，但不得擅自减少有关内容。格式自拟。</w:t>
      </w:r>
    </w:p>
    <w:p w14:paraId="72E30133">
      <w:pPr>
        <w:widowControl/>
        <w:jc w:val="left"/>
        <w:rPr>
          <w:color w:val="auto"/>
          <w:szCs w:val="21"/>
          <w:highlight w:val="none"/>
        </w:rPr>
      </w:pPr>
      <w:r>
        <w:rPr>
          <w:color w:val="auto"/>
          <w:szCs w:val="21"/>
          <w:highlight w:val="none"/>
        </w:rPr>
        <w:br w:type="page"/>
      </w:r>
    </w:p>
    <w:p w14:paraId="19D82050">
      <w:pPr>
        <w:pStyle w:val="2"/>
        <w:jc w:val="center"/>
        <w:rPr>
          <w:color w:val="auto"/>
          <w:szCs w:val="21"/>
          <w:highlight w:val="none"/>
        </w:rPr>
      </w:pPr>
      <w:bookmarkStart w:id="182" w:name="_Toc17181"/>
      <w:r>
        <w:rPr>
          <w:rFonts w:hint="eastAsia"/>
          <w:color w:val="auto"/>
          <w:highlight w:val="none"/>
          <w:lang w:val="en-US" w:eastAsia="zh-CN"/>
        </w:rPr>
        <w:t>六</w:t>
      </w:r>
      <w:r>
        <w:rPr>
          <w:color w:val="auto"/>
          <w:highlight w:val="none"/>
        </w:rPr>
        <w:t>、项目管理机构</w:t>
      </w:r>
      <w:bookmarkEnd w:id="182"/>
    </w:p>
    <w:p w14:paraId="700781E3">
      <w:pPr>
        <w:spacing w:before="312" w:beforeLines="100" w:after="312" w:afterLines="100" w:line="440" w:lineRule="exact"/>
        <w:jc w:val="center"/>
        <w:rPr>
          <w:rFonts w:ascii="Arial" w:hAnsi="Arial" w:eastAsia="黑体"/>
          <w:b/>
          <w:bCs/>
          <w:color w:val="auto"/>
          <w:sz w:val="32"/>
          <w:szCs w:val="32"/>
          <w:highlight w:val="none"/>
        </w:rPr>
      </w:pPr>
      <w:bookmarkStart w:id="183" w:name="_Toc247085888"/>
      <w:bookmarkStart w:id="184" w:name="_Toc246996370"/>
      <w:bookmarkStart w:id="185" w:name="_Toc326223615"/>
      <w:bookmarkStart w:id="186" w:name="_Toc332188244"/>
      <w:bookmarkStart w:id="187" w:name="_Toc246997113"/>
      <w:bookmarkStart w:id="188" w:name="_Toc334766997"/>
      <w:bookmarkStart w:id="189" w:name="_Toc144974872"/>
      <w:bookmarkStart w:id="190" w:name="_Toc152042593"/>
      <w:bookmarkStart w:id="191" w:name="_Toc179632824"/>
      <w:bookmarkStart w:id="192" w:name="_Toc152045804"/>
      <w:r>
        <w:rPr>
          <w:rFonts w:ascii="Arial" w:hAnsi="Arial" w:eastAsia="黑体"/>
          <w:b/>
          <w:bCs/>
          <w:color w:val="auto"/>
          <w:sz w:val="32"/>
          <w:szCs w:val="32"/>
          <w:highlight w:val="none"/>
        </w:rPr>
        <w:t>（一）项目管理机构组成表</w:t>
      </w:r>
      <w:bookmarkEnd w:id="183"/>
      <w:bookmarkEnd w:id="184"/>
      <w:bookmarkEnd w:id="185"/>
      <w:bookmarkEnd w:id="186"/>
      <w:bookmarkEnd w:id="187"/>
      <w:bookmarkEnd w:id="188"/>
      <w:bookmarkEnd w:id="189"/>
      <w:bookmarkEnd w:id="190"/>
      <w:bookmarkEnd w:id="191"/>
      <w:bookmarkEnd w:id="192"/>
    </w:p>
    <w:tbl>
      <w:tblPr>
        <w:tblStyle w:val="37"/>
        <w:tblW w:w="0" w:type="auto"/>
        <w:tblInd w:w="-4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0"/>
        <w:gridCol w:w="902"/>
        <w:gridCol w:w="870"/>
        <w:gridCol w:w="644"/>
        <w:gridCol w:w="772"/>
        <w:gridCol w:w="644"/>
        <w:gridCol w:w="644"/>
        <w:gridCol w:w="645"/>
        <w:gridCol w:w="901"/>
        <w:gridCol w:w="1704"/>
      </w:tblGrid>
      <w:tr w14:paraId="178446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 w:hRule="atLeast"/>
        </w:trPr>
        <w:tc>
          <w:tcPr>
            <w:tcW w:w="1030" w:type="dxa"/>
            <w:vMerge w:val="restart"/>
            <w:vAlign w:val="center"/>
          </w:tcPr>
          <w:p w14:paraId="21584A80">
            <w:pPr>
              <w:spacing w:line="440" w:lineRule="exact"/>
              <w:jc w:val="center"/>
              <w:rPr>
                <w:color w:val="auto"/>
                <w:szCs w:val="21"/>
                <w:highlight w:val="none"/>
              </w:rPr>
            </w:pPr>
            <w:r>
              <w:rPr>
                <w:color w:val="auto"/>
                <w:szCs w:val="21"/>
                <w:highlight w:val="none"/>
              </w:rPr>
              <w:t>职务</w:t>
            </w:r>
          </w:p>
        </w:tc>
        <w:tc>
          <w:tcPr>
            <w:tcW w:w="902" w:type="dxa"/>
            <w:vMerge w:val="restart"/>
            <w:vAlign w:val="center"/>
          </w:tcPr>
          <w:p w14:paraId="352AE9F4">
            <w:pPr>
              <w:spacing w:line="440" w:lineRule="exact"/>
              <w:jc w:val="center"/>
              <w:rPr>
                <w:color w:val="auto"/>
                <w:szCs w:val="21"/>
                <w:highlight w:val="none"/>
              </w:rPr>
            </w:pPr>
            <w:r>
              <w:rPr>
                <w:color w:val="auto"/>
                <w:szCs w:val="21"/>
                <w:highlight w:val="none"/>
              </w:rPr>
              <w:t>姓名</w:t>
            </w:r>
          </w:p>
        </w:tc>
        <w:tc>
          <w:tcPr>
            <w:tcW w:w="870" w:type="dxa"/>
            <w:vMerge w:val="restart"/>
            <w:vAlign w:val="center"/>
          </w:tcPr>
          <w:p w14:paraId="331D57D9">
            <w:pPr>
              <w:spacing w:line="440" w:lineRule="exact"/>
              <w:jc w:val="center"/>
              <w:rPr>
                <w:color w:val="auto"/>
                <w:szCs w:val="21"/>
                <w:highlight w:val="none"/>
              </w:rPr>
            </w:pPr>
            <w:r>
              <w:rPr>
                <w:color w:val="auto"/>
                <w:szCs w:val="21"/>
                <w:highlight w:val="none"/>
              </w:rPr>
              <w:t>职称</w:t>
            </w:r>
          </w:p>
        </w:tc>
        <w:tc>
          <w:tcPr>
            <w:tcW w:w="644" w:type="dxa"/>
            <w:vMerge w:val="restart"/>
            <w:vAlign w:val="center"/>
          </w:tcPr>
          <w:p w14:paraId="08D29813">
            <w:pPr>
              <w:spacing w:line="440" w:lineRule="exact"/>
              <w:jc w:val="center"/>
              <w:rPr>
                <w:color w:val="auto"/>
                <w:szCs w:val="21"/>
                <w:highlight w:val="none"/>
              </w:rPr>
            </w:pPr>
            <w:r>
              <w:rPr>
                <w:rFonts w:hint="eastAsia"/>
                <w:color w:val="auto"/>
                <w:szCs w:val="21"/>
                <w:highlight w:val="none"/>
              </w:rPr>
              <w:t>学历</w:t>
            </w:r>
          </w:p>
        </w:tc>
        <w:tc>
          <w:tcPr>
            <w:tcW w:w="2705" w:type="dxa"/>
            <w:gridSpan w:val="4"/>
            <w:vAlign w:val="center"/>
          </w:tcPr>
          <w:p w14:paraId="63DEDAD6">
            <w:pPr>
              <w:spacing w:line="440" w:lineRule="exact"/>
              <w:jc w:val="center"/>
              <w:rPr>
                <w:color w:val="auto"/>
                <w:szCs w:val="21"/>
                <w:highlight w:val="none"/>
              </w:rPr>
            </w:pPr>
            <w:r>
              <w:rPr>
                <w:color w:val="auto"/>
                <w:szCs w:val="21"/>
                <w:highlight w:val="none"/>
              </w:rPr>
              <w:t>执业或职业资格证明</w:t>
            </w:r>
          </w:p>
        </w:tc>
        <w:tc>
          <w:tcPr>
            <w:tcW w:w="901" w:type="dxa"/>
            <w:vMerge w:val="restart"/>
            <w:vAlign w:val="center"/>
          </w:tcPr>
          <w:p w14:paraId="03249720">
            <w:pPr>
              <w:spacing w:line="440" w:lineRule="exact"/>
              <w:jc w:val="center"/>
              <w:rPr>
                <w:color w:val="auto"/>
                <w:szCs w:val="21"/>
                <w:highlight w:val="none"/>
              </w:rPr>
            </w:pPr>
            <w:r>
              <w:rPr>
                <w:rFonts w:hint="eastAsia"/>
                <w:color w:val="auto"/>
                <w:szCs w:val="21"/>
                <w:highlight w:val="none"/>
              </w:rPr>
              <w:t>同类项目工作年限（年）</w:t>
            </w:r>
          </w:p>
        </w:tc>
        <w:tc>
          <w:tcPr>
            <w:tcW w:w="1704" w:type="dxa"/>
            <w:vMerge w:val="restart"/>
            <w:vAlign w:val="center"/>
          </w:tcPr>
          <w:p w14:paraId="0285E6EB">
            <w:pPr>
              <w:spacing w:line="440" w:lineRule="exact"/>
              <w:jc w:val="center"/>
              <w:rPr>
                <w:color w:val="auto"/>
                <w:szCs w:val="21"/>
                <w:highlight w:val="none"/>
              </w:rPr>
            </w:pPr>
            <w:r>
              <w:rPr>
                <w:rFonts w:hint="eastAsia"/>
                <w:color w:val="auto"/>
                <w:szCs w:val="21"/>
                <w:highlight w:val="none"/>
              </w:rPr>
              <w:t>工作简介（项目经验）</w:t>
            </w:r>
          </w:p>
        </w:tc>
      </w:tr>
      <w:tr w14:paraId="5C3303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08" w:hRule="atLeast"/>
        </w:trPr>
        <w:tc>
          <w:tcPr>
            <w:tcW w:w="1030" w:type="dxa"/>
            <w:vMerge w:val="continue"/>
            <w:vAlign w:val="center"/>
          </w:tcPr>
          <w:p w14:paraId="5CD8CACD">
            <w:pPr>
              <w:spacing w:line="440" w:lineRule="exact"/>
              <w:jc w:val="center"/>
              <w:rPr>
                <w:color w:val="auto"/>
                <w:szCs w:val="21"/>
                <w:highlight w:val="none"/>
              </w:rPr>
            </w:pPr>
          </w:p>
        </w:tc>
        <w:tc>
          <w:tcPr>
            <w:tcW w:w="902" w:type="dxa"/>
            <w:vMerge w:val="continue"/>
            <w:vAlign w:val="center"/>
          </w:tcPr>
          <w:p w14:paraId="1304F67C">
            <w:pPr>
              <w:spacing w:line="440" w:lineRule="exact"/>
              <w:jc w:val="center"/>
              <w:rPr>
                <w:color w:val="auto"/>
                <w:szCs w:val="21"/>
                <w:highlight w:val="none"/>
              </w:rPr>
            </w:pPr>
          </w:p>
        </w:tc>
        <w:tc>
          <w:tcPr>
            <w:tcW w:w="870" w:type="dxa"/>
            <w:vMerge w:val="continue"/>
            <w:vAlign w:val="center"/>
          </w:tcPr>
          <w:p w14:paraId="57897FA4">
            <w:pPr>
              <w:spacing w:line="440" w:lineRule="exact"/>
              <w:jc w:val="center"/>
              <w:rPr>
                <w:color w:val="auto"/>
                <w:szCs w:val="21"/>
                <w:highlight w:val="none"/>
              </w:rPr>
            </w:pPr>
          </w:p>
        </w:tc>
        <w:tc>
          <w:tcPr>
            <w:tcW w:w="644" w:type="dxa"/>
            <w:vMerge w:val="continue"/>
            <w:vAlign w:val="center"/>
          </w:tcPr>
          <w:p w14:paraId="6BFA1123">
            <w:pPr>
              <w:spacing w:line="440" w:lineRule="exact"/>
              <w:jc w:val="center"/>
              <w:rPr>
                <w:color w:val="auto"/>
                <w:szCs w:val="21"/>
                <w:highlight w:val="none"/>
              </w:rPr>
            </w:pPr>
          </w:p>
        </w:tc>
        <w:tc>
          <w:tcPr>
            <w:tcW w:w="772" w:type="dxa"/>
            <w:vAlign w:val="center"/>
          </w:tcPr>
          <w:p w14:paraId="256A014A">
            <w:pPr>
              <w:spacing w:line="440" w:lineRule="exact"/>
              <w:jc w:val="center"/>
              <w:rPr>
                <w:color w:val="auto"/>
                <w:szCs w:val="21"/>
                <w:highlight w:val="none"/>
              </w:rPr>
            </w:pPr>
            <w:r>
              <w:rPr>
                <w:color w:val="auto"/>
                <w:szCs w:val="21"/>
                <w:highlight w:val="none"/>
              </w:rPr>
              <w:t>证书名称</w:t>
            </w:r>
          </w:p>
        </w:tc>
        <w:tc>
          <w:tcPr>
            <w:tcW w:w="644" w:type="dxa"/>
            <w:vAlign w:val="center"/>
          </w:tcPr>
          <w:p w14:paraId="5C9DF312">
            <w:pPr>
              <w:spacing w:line="440" w:lineRule="exact"/>
              <w:jc w:val="center"/>
              <w:rPr>
                <w:color w:val="auto"/>
                <w:szCs w:val="21"/>
                <w:highlight w:val="none"/>
              </w:rPr>
            </w:pPr>
            <w:r>
              <w:rPr>
                <w:color w:val="auto"/>
                <w:szCs w:val="21"/>
                <w:highlight w:val="none"/>
              </w:rPr>
              <w:t>级别</w:t>
            </w:r>
          </w:p>
        </w:tc>
        <w:tc>
          <w:tcPr>
            <w:tcW w:w="644" w:type="dxa"/>
            <w:vAlign w:val="center"/>
          </w:tcPr>
          <w:p w14:paraId="5FC5AC8A">
            <w:pPr>
              <w:spacing w:line="440" w:lineRule="exact"/>
              <w:jc w:val="center"/>
              <w:rPr>
                <w:color w:val="auto"/>
                <w:szCs w:val="21"/>
                <w:highlight w:val="none"/>
              </w:rPr>
            </w:pPr>
            <w:r>
              <w:rPr>
                <w:color w:val="auto"/>
                <w:szCs w:val="21"/>
                <w:highlight w:val="none"/>
              </w:rPr>
              <w:t>证号</w:t>
            </w:r>
          </w:p>
        </w:tc>
        <w:tc>
          <w:tcPr>
            <w:tcW w:w="645" w:type="dxa"/>
            <w:vAlign w:val="center"/>
          </w:tcPr>
          <w:p w14:paraId="571FBFAB">
            <w:pPr>
              <w:spacing w:line="440" w:lineRule="exact"/>
              <w:jc w:val="center"/>
              <w:rPr>
                <w:color w:val="auto"/>
                <w:szCs w:val="21"/>
                <w:highlight w:val="none"/>
              </w:rPr>
            </w:pPr>
            <w:r>
              <w:rPr>
                <w:color w:val="auto"/>
                <w:szCs w:val="21"/>
                <w:highlight w:val="none"/>
              </w:rPr>
              <w:t>专业</w:t>
            </w:r>
          </w:p>
        </w:tc>
        <w:tc>
          <w:tcPr>
            <w:tcW w:w="901" w:type="dxa"/>
            <w:vMerge w:val="continue"/>
            <w:vAlign w:val="center"/>
          </w:tcPr>
          <w:p w14:paraId="79EA25F0">
            <w:pPr>
              <w:spacing w:line="440" w:lineRule="exact"/>
              <w:jc w:val="center"/>
              <w:rPr>
                <w:color w:val="auto"/>
                <w:szCs w:val="21"/>
                <w:highlight w:val="none"/>
              </w:rPr>
            </w:pPr>
          </w:p>
        </w:tc>
        <w:tc>
          <w:tcPr>
            <w:tcW w:w="1704" w:type="dxa"/>
            <w:vMerge w:val="continue"/>
            <w:vAlign w:val="center"/>
          </w:tcPr>
          <w:p w14:paraId="61032E84">
            <w:pPr>
              <w:spacing w:line="440" w:lineRule="exact"/>
              <w:jc w:val="center"/>
              <w:rPr>
                <w:color w:val="auto"/>
                <w:szCs w:val="21"/>
                <w:highlight w:val="none"/>
              </w:rPr>
            </w:pPr>
          </w:p>
        </w:tc>
      </w:tr>
      <w:tr w14:paraId="02CC32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030" w:type="dxa"/>
            <w:vAlign w:val="center"/>
          </w:tcPr>
          <w:p w14:paraId="0EA4A8A1">
            <w:pPr>
              <w:spacing w:line="440" w:lineRule="exact"/>
              <w:jc w:val="center"/>
              <w:rPr>
                <w:color w:val="auto"/>
                <w:szCs w:val="21"/>
                <w:highlight w:val="none"/>
              </w:rPr>
            </w:pPr>
          </w:p>
        </w:tc>
        <w:tc>
          <w:tcPr>
            <w:tcW w:w="902" w:type="dxa"/>
            <w:vAlign w:val="center"/>
          </w:tcPr>
          <w:p w14:paraId="0D9040AC">
            <w:pPr>
              <w:spacing w:line="440" w:lineRule="exact"/>
              <w:jc w:val="center"/>
              <w:rPr>
                <w:color w:val="auto"/>
                <w:szCs w:val="21"/>
                <w:highlight w:val="none"/>
              </w:rPr>
            </w:pPr>
          </w:p>
        </w:tc>
        <w:tc>
          <w:tcPr>
            <w:tcW w:w="870" w:type="dxa"/>
            <w:vAlign w:val="center"/>
          </w:tcPr>
          <w:p w14:paraId="6DC12A1F">
            <w:pPr>
              <w:spacing w:line="440" w:lineRule="exact"/>
              <w:jc w:val="center"/>
              <w:rPr>
                <w:color w:val="auto"/>
                <w:szCs w:val="21"/>
                <w:highlight w:val="none"/>
              </w:rPr>
            </w:pPr>
          </w:p>
        </w:tc>
        <w:tc>
          <w:tcPr>
            <w:tcW w:w="644" w:type="dxa"/>
            <w:vAlign w:val="center"/>
          </w:tcPr>
          <w:p w14:paraId="5E76F881">
            <w:pPr>
              <w:spacing w:line="440" w:lineRule="exact"/>
              <w:jc w:val="center"/>
              <w:rPr>
                <w:color w:val="auto"/>
                <w:szCs w:val="21"/>
                <w:highlight w:val="none"/>
              </w:rPr>
            </w:pPr>
          </w:p>
        </w:tc>
        <w:tc>
          <w:tcPr>
            <w:tcW w:w="772" w:type="dxa"/>
            <w:vAlign w:val="center"/>
          </w:tcPr>
          <w:p w14:paraId="0C332808">
            <w:pPr>
              <w:spacing w:line="440" w:lineRule="exact"/>
              <w:jc w:val="center"/>
              <w:rPr>
                <w:color w:val="auto"/>
                <w:szCs w:val="21"/>
                <w:highlight w:val="none"/>
              </w:rPr>
            </w:pPr>
          </w:p>
        </w:tc>
        <w:tc>
          <w:tcPr>
            <w:tcW w:w="644" w:type="dxa"/>
            <w:vAlign w:val="center"/>
          </w:tcPr>
          <w:p w14:paraId="5732DC84">
            <w:pPr>
              <w:spacing w:line="440" w:lineRule="exact"/>
              <w:jc w:val="center"/>
              <w:rPr>
                <w:color w:val="auto"/>
                <w:szCs w:val="21"/>
                <w:highlight w:val="none"/>
              </w:rPr>
            </w:pPr>
          </w:p>
        </w:tc>
        <w:tc>
          <w:tcPr>
            <w:tcW w:w="644" w:type="dxa"/>
            <w:vAlign w:val="center"/>
          </w:tcPr>
          <w:p w14:paraId="68EA215B">
            <w:pPr>
              <w:spacing w:line="440" w:lineRule="exact"/>
              <w:jc w:val="center"/>
              <w:rPr>
                <w:color w:val="auto"/>
                <w:szCs w:val="21"/>
                <w:highlight w:val="none"/>
              </w:rPr>
            </w:pPr>
          </w:p>
        </w:tc>
        <w:tc>
          <w:tcPr>
            <w:tcW w:w="645" w:type="dxa"/>
            <w:vAlign w:val="center"/>
          </w:tcPr>
          <w:p w14:paraId="23C1A3C2">
            <w:pPr>
              <w:spacing w:line="440" w:lineRule="exact"/>
              <w:jc w:val="center"/>
              <w:rPr>
                <w:color w:val="auto"/>
                <w:szCs w:val="21"/>
                <w:highlight w:val="none"/>
              </w:rPr>
            </w:pPr>
          </w:p>
        </w:tc>
        <w:tc>
          <w:tcPr>
            <w:tcW w:w="901" w:type="dxa"/>
            <w:vAlign w:val="center"/>
          </w:tcPr>
          <w:p w14:paraId="767ED4C0">
            <w:pPr>
              <w:spacing w:line="440" w:lineRule="exact"/>
              <w:jc w:val="center"/>
              <w:rPr>
                <w:color w:val="auto"/>
                <w:szCs w:val="21"/>
                <w:highlight w:val="none"/>
              </w:rPr>
            </w:pPr>
          </w:p>
        </w:tc>
        <w:tc>
          <w:tcPr>
            <w:tcW w:w="1704" w:type="dxa"/>
            <w:vAlign w:val="center"/>
          </w:tcPr>
          <w:p w14:paraId="53B50824">
            <w:pPr>
              <w:spacing w:line="440" w:lineRule="exact"/>
              <w:jc w:val="center"/>
              <w:rPr>
                <w:color w:val="auto"/>
                <w:szCs w:val="21"/>
                <w:highlight w:val="none"/>
              </w:rPr>
            </w:pPr>
          </w:p>
        </w:tc>
      </w:tr>
      <w:tr w14:paraId="216AAB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030" w:type="dxa"/>
          </w:tcPr>
          <w:p w14:paraId="3F1C5B1E">
            <w:pPr>
              <w:spacing w:line="440" w:lineRule="exact"/>
              <w:jc w:val="center"/>
              <w:rPr>
                <w:color w:val="auto"/>
                <w:szCs w:val="21"/>
                <w:highlight w:val="none"/>
              </w:rPr>
            </w:pPr>
          </w:p>
        </w:tc>
        <w:tc>
          <w:tcPr>
            <w:tcW w:w="902" w:type="dxa"/>
          </w:tcPr>
          <w:p w14:paraId="5A18C278">
            <w:pPr>
              <w:spacing w:line="440" w:lineRule="exact"/>
              <w:jc w:val="center"/>
              <w:rPr>
                <w:color w:val="auto"/>
                <w:szCs w:val="21"/>
                <w:highlight w:val="none"/>
              </w:rPr>
            </w:pPr>
          </w:p>
        </w:tc>
        <w:tc>
          <w:tcPr>
            <w:tcW w:w="870" w:type="dxa"/>
          </w:tcPr>
          <w:p w14:paraId="0F412211">
            <w:pPr>
              <w:spacing w:line="440" w:lineRule="exact"/>
              <w:jc w:val="center"/>
              <w:rPr>
                <w:color w:val="auto"/>
                <w:szCs w:val="21"/>
                <w:highlight w:val="none"/>
              </w:rPr>
            </w:pPr>
          </w:p>
        </w:tc>
        <w:tc>
          <w:tcPr>
            <w:tcW w:w="644" w:type="dxa"/>
          </w:tcPr>
          <w:p w14:paraId="5C9D744B">
            <w:pPr>
              <w:spacing w:line="440" w:lineRule="exact"/>
              <w:jc w:val="center"/>
              <w:rPr>
                <w:color w:val="auto"/>
                <w:szCs w:val="21"/>
                <w:highlight w:val="none"/>
              </w:rPr>
            </w:pPr>
          </w:p>
        </w:tc>
        <w:tc>
          <w:tcPr>
            <w:tcW w:w="772" w:type="dxa"/>
          </w:tcPr>
          <w:p w14:paraId="58AFFDF7">
            <w:pPr>
              <w:spacing w:line="440" w:lineRule="exact"/>
              <w:jc w:val="center"/>
              <w:rPr>
                <w:color w:val="auto"/>
                <w:szCs w:val="21"/>
                <w:highlight w:val="none"/>
              </w:rPr>
            </w:pPr>
          </w:p>
        </w:tc>
        <w:tc>
          <w:tcPr>
            <w:tcW w:w="644" w:type="dxa"/>
          </w:tcPr>
          <w:p w14:paraId="6AB6C642">
            <w:pPr>
              <w:spacing w:line="440" w:lineRule="exact"/>
              <w:jc w:val="center"/>
              <w:rPr>
                <w:color w:val="auto"/>
                <w:szCs w:val="21"/>
                <w:highlight w:val="none"/>
              </w:rPr>
            </w:pPr>
          </w:p>
        </w:tc>
        <w:tc>
          <w:tcPr>
            <w:tcW w:w="644" w:type="dxa"/>
          </w:tcPr>
          <w:p w14:paraId="7390B5FA">
            <w:pPr>
              <w:spacing w:line="440" w:lineRule="exact"/>
              <w:jc w:val="center"/>
              <w:rPr>
                <w:color w:val="auto"/>
                <w:szCs w:val="21"/>
                <w:highlight w:val="none"/>
              </w:rPr>
            </w:pPr>
          </w:p>
        </w:tc>
        <w:tc>
          <w:tcPr>
            <w:tcW w:w="645" w:type="dxa"/>
          </w:tcPr>
          <w:p w14:paraId="1E2889CD">
            <w:pPr>
              <w:spacing w:line="440" w:lineRule="exact"/>
              <w:jc w:val="center"/>
              <w:rPr>
                <w:color w:val="auto"/>
                <w:szCs w:val="21"/>
                <w:highlight w:val="none"/>
              </w:rPr>
            </w:pPr>
          </w:p>
        </w:tc>
        <w:tc>
          <w:tcPr>
            <w:tcW w:w="901" w:type="dxa"/>
          </w:tcPr>
          <w:p w14:paraId="6BE8DE29">
            <w:pPr>
              <w:spacing w:line="440" w:lineRule="exact"/>
              <w:jc w:val="center"/>
              <w:rPr>
                <w:color w:val="auto"/>
                <w:szCs w:val="21"/>
                <w:highlight w:val="none"/>
              </w:rPr>
            </w:pPr>
          </w:p>
        </w:tc>
        <w:tc>
          <w:tcPr>
            <w:tcW w:w="1704" w:type="dxa"/>
          </w:tcPr>
          <w:p w14:paraId="059E8618">
            <w:pPr>
              <w:spacing w:line="440" w:lineRule="exact"/>
              <w:jc w:val="center"/>
              <w:rPr>
                <w:color w:val="auto"/>
                <w:szCs w:val="21"/>
                <w:highlight w:val="none"/>
              </w:rPr>
            </w:pPr>
          </w:p>
        </w:tc>
      </w:tr>
      <w:tr w14:paraId="5DA887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030" w:type="dxa"/>
          </w:tcPr>
          <w:p w14:paraId="6E4DD319">
            <w:pPr>
              <w:spacing w:line="440" w:lineRule="exact"/>
              <w:jc w:val="center"/>
              <w:rPr>
                <w:color w:val="auto"/>
                <w:szCs w:val="21"/>
                <w:highlight w:val="none"/>
              </w:rPr>
            </w:pPr>
          </w:p>
        </w:tc>
        <w:tc>
          <w:tcPr>
            <w:tcW w:w="902" w:type="dxa"/>
          </w:tcPr>
          <w:p w14:paraId="050CF3BC">
            <w:pPr>
              <w:spacing w:line="440" w:lineRule="exact"/>
              <w:jc w:val="center"/>
              <w:rPr>
                <w:color w:val="auto"/>
                <w:szCs w:val="21"/>
                <w:highlight w:val="none"/>
              </w:rPr>
            </w:pPr>
          </w:p>
        </w:tc>
        <w:tc>
          <w:tcPr>
            <w:tcW w:w="870" w:type="dxa"/>
          </w:tcPr>
          <w:p w14:paraId="7D550C42">
            <w:pPr>
              <w:spacing w:line="440" w:lineRule="exact"/>
              <w:jc w:val="center"/>
              <w:rPr>
                <w:color w:val="auto"/>
                <w:szCs w:val="21"/>
                <w:highlight w:val="none"/>
              </w:rPr>
            </w:pPr>
          </w:p>
        </w:tc>
        <w:tc>
          <w:tcPr>
            <w:tcW w:w="644" w:type="dxa"/>
          </w:tcPr>
          <w:p w14:paraId="62CEC30A">
            <w:pPr>
              <w:spacing w:line="440" w:lineRule="exact"/>
              <w:jc w:val="center"/>
              <w:rPr>
                <w:color w:val="auto"/>
                <w:szCs w:val="21"/>
                <w:highlight w:val="none"/>
              </w:rPr>
            </w:pPr>
          </w:p>
        </w:tc>
        <w:tc>
          <w:tcPr>
            <w:tcW w:w="772" w:type="dxa"/>
          </w:tcPr>
          <w:p w14:paraId="4EFFBD52">
            <w:pPr>
              <w:spacing w:line="440" w:lineRule="exact"/>
              <w:jc w:val="center"/>
              <w:rPr>
                <w:color w:val="auto"/>
                <w:szCs w:val="21"/>
                <w:highlight w:val="none"/>
              </w:rPr>
            </w:pPr>
          </w:p>
        </w:tc>
        <w:tc>
          <w:tcPr>
            <w:tcW w:w="644" w:type="dxa"/>
          </w:tcPr>
          <w:p w14:paraId="333B201F">
            <w:pPr>
              <w:spacing w:line="440" w:lineRule="exact"/>
              <w:jc w:val="center"/>
              <w:rPr>
                <w:color w:val="auto"/>
                <w:szCs w:val="21"/>
                <w:highlight w:val="none"/>
              </w:rPr>
            </w:pPr>
          </w:p>
        </w:tc>
        <w:tc>
          <w:tcPr>
            <w:tcW w:w="644" w:type="dxa"/>
          </w:tcPr>
          <w:p w14:paraId="40C3A8C9">
            <w:pPr>
              <w:spacing w:line="440" w:lineRule="exact"/>
              <w:jc w:val="center"/>
              <w:rPr>
                <w:color w:val="auto"/>
                <w:szCs w:val="21"/>
                <w:highlight w:val="none"/>
              </w:rPr>
            </w:pPr>
          </w:p>
        </w:tc>
        <w:tc>
          <w:tcPr>
            <w:tcW w:w="645" w:type="dxa"/>
          </w:tcPr>
          <w:p w14:paraId="1FE240FE">
            <w:pPr>
              <w:spacing w:line="440" w:lineRule="exact"/>
              <w:jc w:val="center"/>
              <w:rPr>
                <w:color w:val="auto"/>
                <w:szCs w:val="21"/>
                <w:highlight w:val="none"/>
              </w:rPr>
            </w:pPr>
          </w:p>
        </w:tc>
        <w:tc>
          <w:tcPr>
            <w:tcW w:w="901" w:type="dxa"/>
          </w:tcPr>
          <w:p w14:paraId="5D1D839E">
            <w:pPr>
              <w:spacing w:line="440" w:lineRule="exact"/>
              <w:jc w:val="center"/>
              <w:rPr>
                <w:color w:val="auto"/>
                <w:szCs w:val="21"/>
                <w:highlight w:val="none"/>
              </w:rPr>
            </w:pPr>
          </w:p>
        </w:tc>
        <w:tc>
          <w:tcPr>
            <w:tcW w:w="1704" w:type="dxa"/>
          </w:tcPr>
          <w:p w14:paraId="2361D22A">
            <w:pPr>
              <w:spacing w:line="440" w:lineRule="exact"/>
              <w:jc w:val="center"/>
              <w:rPr>
                <w:color w:val="auto"/>
                <w:szCs w:val="21"/>
                <w:highlight w:val="none"/>
              </w:rPr>
            </w:pPr>
          </w:p>
        </w:tc>
      </w:tr>
      <w:tr w14:paraId="19298E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030" w:type="dxa"/>
          </w:tcPr>
          <w:p w14:paraId="1892E27B">
            <w:pPr>
              <w:spacing w:line="440" w:lineRule="exact"/>
              <w:jc w:val="center"/>
              <w:rPr>
                <w:color w:val="auto"/>
                <w:szCs w:val="21"/>
                <w:highlight w:val="none"/>
              </w:rPr>
            </w:pPr>
          </w:p>
        </w:tc>
        <w:tc>
          <w:tcPr>
            <w:tcW w:w="902" w:type="dxa"/>
          </w:tcPr>
          <w:p w14:paraId="04F6DFEE">
            <w:pPr>
              <w:spacing w:line="440" w:lineRule="exact"/>
              <w:jc w:val="center"/>
              <w:rPr>
                <w:color w:val="auto"/>
                <w:szCs w:val="21"/>
                <w:highlight w:val="none"/>
              </w:rPr>
            </w:pPr>
          </w:p>
        </w:tc>
        <w:tc>
          <w:tcPr>
            <w:tcW w:w="870" w:type="dxa"/>
          </w:tcPr>
          <w:p w14:paraId="040B8592">
            <w:pPr>
              <w:spacing w:line="440" w:lineRule="exact"/>
              <w:jc w:val="center"/>
              <w:rPr>
                <w:color w:val="auto"/>
                <w:szCs w:val="21"/>
                <w:highlight w:val="none"/>
              </w:rPr>
            </w:pPr>
          </w:p>
        </w:tc>
        <w:tc>
          <w:tcPr>
            <w:tcW w:w="644" w:type="dxa"/>
          </w:tcPr>
          <w:p w14:paraId="104FE1A8">
            <w:pPr>
              <w:spacing w:line="440" w:lineRule="exact"/>
              <w:jc w:val="center"/>
              <w:rPr>
                <w:color w:val="auto"/>
                <w:szCs w:val="21"/>
                <w:highlight w:val="none"/>
              </w:rPr>
            </w:pPr>
          </w:p>
        </w:tc>
        <w:tc>
          <w:tcPr>
            <w:tcW w:w="772" w:type="dxa"/>
          </w:tcPr>
          <w:p w14:paraId="2B407047">
            <w:pPr>
              <w:spacing w:line="440" w:lineRule="exact"/>
              <w:jc w:val="center"/>
              <w:rPr>
                <w:color w:val="auto"/>
                <w:szCs w:val="21"/>
                <w:highlight w:val="none"/>
              </w:rPr>
            </w:pPr>
          </w:p>
        </w:tc>
        <w:tc>
          <w:tcPr>
            <w:tcW w:w="644" w:type="dxa"/>
          </w:tcPr>
          <w:p w14:paraId="595F2DB1">
            <w:pPr>
              <w:spacing w:line="440" w:lineRule="exact"/>
              <w:jc w:val="center"/>
              <w:rPr>
                <w:color w:val="auto"/>
                <w:szCs w:val="21"/>
                <w:highlight w:val="none"/>
              </w:rPr>
            </w:pPr>
          </w:p>
        </w:tc>
        <w:tc>
          <w:tcPr>
            <w:tcW w:w="644" w:type="dxa"/>
          </w:tcPr>
          <w:p w14:paraId="1DDB8E38">
            <w:pPr>
              <w:spacing w:line="440" w:lineRule="exact"/>
              <w:jc w:val="center"/>
              <w:rPr>
                <w:color w:val="auto"/>
                <w:szCs w:val="21"/>
                <w:highlight w:val="none"/>
              </w:rPr>
            </w:pPr>
          </w:p>
        </w:tc>
        <w:tc>
          <w:tcPr>
            <w:tcW w:w="645" w:type="dxa"/>
          </w:tcPr>
          <w:p w14:paraId="0DA2B597">
            <w:pPr>
              <w:spacing w:line="440" w:lineRule="exact"/>
              <w:jc w:val="center"/>
              <w:rPr>
                <w:color w:val="auto"/>
                <w:szCs w:val="21"/>
                <w:highlight w:val="none"/>
              </w:rPr>
            </w:pPr>
          </w:p>
        </w:tc>
        <w:tc>
          <w:tcPr>
            <w:tcW w:w="901" w:type="dxa"/>
          </w:tcPr>
          <w:p w14:paraId="005D1544">
            <w:pPr>
              <w:spacing w:line="440" w:lineRule="exact"/>
              <w:jc w:val="center"/>
              <w:rPr>
                <w:color w:val="auto"/>
                <w:szCs w:val="21"/>
                <w:highlight w:val="none"/>
              </w:rPr>
            </w:pPr>
          </w:p>
        </w:tc>
        <w:tc>
          <w:tcPr>
            <w:tcW w:w="1704" w:type="dxa"/>
          </w:tcPr>
          <w:p w14:paraId="3668FEB0">
            <w:pPr>
              <w:spacing w:line="440" w:lineRule="exact"/>
              <w:jc w:val="center"/>
              <w:rPr>
                <w:color w:val="auto"/>
                <w:szCs w:val="21"/>
                <w:highlight w:val="none"/>
              </w:rPr>
            </w:pPr>
          </w:p>
        </w:tc>
      </w:tr>
      <w:tr w14:paraId="363E56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030" w:type="dxa"/>
          </w:tcPr>
          <w:p w14:paraId="7A3E4B3E">
            <w:pPr>
              <w:spacing w:line="440" w:lineRule="exact"/>
              <w:jc w:val="center"/>
              <w:rPr>
                <w:color w:val="auto"/>
                <w:szCs w:val="21"/>
                <w:highlight w:val="none"/>
              </w:rPr>
            </w:pPr>
            <w:r>
              <w:rPr>
                <w:color w:val="auto"/>
                <w:szCs w:val="21"/>
                <w:highlight w:val="none"/>
              </w:rPr>
              <w:t>……</w:t>
            </w:r>
          </w:p>
        </w:tc>
        <w:tc>
          <w:tcPr>
            <w:tcW w:w="902" w:type="dxa"/>
          </w:tcPr>
          <w:p w14:paraId="29278253">
            <w:pPr>
              <w:spacing w:line="440" w:lineRule="exact"/>
              <w:jc w:val="center"/>
              <w:rPr>
                <w:color w:val="auto"/>
                <w:szCs w:val="21"/>
                <w:highlight w:val="none"/>
              </w:rPr>
            </w:pPr>
          </w:p>
        </w:tc>
        <w:tc>
          <w:tcPr>
            <w:tcW w:w="870" w:type="dxa"/>
          </w:tcPr>
          <w:p w14:paraId="21870018">
            <w:pPr>
              <w:spacing w:line="440" w:lineRule="exact"/>
              <w:jc w:val="center"/>
              <w:rPr>
                <w:color w:val="auto"/>
                <w:szCs w:val="21"/>
                <w:highlight w:val="none"/>
              </w:rPr>
            </w:pPr>
          </w:p>
        </w:tc>
        <w:tc>
          <w:tcPr>
            <w:tcW w:w="644" w:type="dxa"/>
          </w:tcPr>
          <w:p w14:paraId="0BF5A384">
            <w:pPr>
              <w:spacing w:line="440" w:lineRule="exact"/>
              <w:jc w:val="center"/>
              <w:rPr>
                <w:color w:val="auto"/>
                <w:szCs w:val="21"/>
                <w:highlight w:val="none"/>
              </w:rPr>
            </w:pPr>
          </w:p>
        </w:tc>
        <w:tc>
          <w:tcPr>
            <w:tcW w:w="772" w:type="dxa"/>
          </w:tcPr>
          <w:p w14:paraId="2DB827B6">
            <w:pPr>
              <w:spacing w:line="440" w:lineRule="exact"/>
              <w:jc w:val="center"/>
              <w:rPr>
                <w:color w:val="auto"/>
                <w:szCs w:val="21"/>
                <w:highlight w:val="none"/>
              </w:rPr>
            </w:pPr>
          </w:p>
        </w:tc>
        <w:tc>
          <w:tcPr>
            <w:tcW w:w="644" w:type="dxa"/>
          </w:tcPr>
          <w:p w14:paraId="3243CC76">
            <w:pPr>
              <w:spacing w:line="440" w:lineRule="exact"/>
              <w:jc w:val="center"/>
              <w:rPr>
                <w:color w:val="auto"/>
                <w:szCs w:val="21"/>
                <w:highlight w:val="none"/>
              </w:rPr>
            </w:pPr>
          </w:p>
        </w:tc>
        <w:tc>
          <w:tcPr>
            <w:tcW w:w="644" w:type="dxa"/>
          </w:tcPr>
          <w:p w14:paraId="12AAB3ED">
            <w:pPr>
              <w:spacing w:line="440" w:lineRule="exact"/>
              <w:jc w:val="center"/>
              <w:rPr>
                <w:color w:val="auto"/>
                <w:szCs w:val="21"/>
                <w:highlight w:val="none"/>
              </w:rPr>
            </w:pPr>
          </w:p>
        </w:tc>
        <w:tc>
          <w:tcPr>
            <w:tcW w:w="645" w:type="dxa"/>
          </w:tcPr>
          <w:p w14:paraId="1BFC0A99">
            <w:pPr>
              <w:spacing w:line="440" w:lineRule="exact"/>
              <w:jc w:val="center"/>
              <w:rPr>
                <w:color w:val="auto"/>
                <w:szCs w:val="21"/>
                <w:highlight w:val="none"/>
              </w:rPr>
            </w:pPr>
          </w:p>
        </w:tc>
        <w:tc>
          <w:tcPr>
            <w:tcW w:w="901" w:type="dxa"/>
          </w:tcPr>
          <w:p w14:paraId="055ECE7B">
            <w:pPr>
              <w:spacing w:line="440" w:lineRule="exact"/>
              <w:jc w:val="center"/>
              <w:rPr>
                <w:color w:val="auto"/>
                <w:szCs w:val="21"/>
                <w:highlight w:val="none"/>
              </w:rPr>
            </w:pPr>
          </w:p>
        </w:tc>
        <w:tc>
          <w:tcPr>
            <w:tcW w:w="1704" w:type="dxa"/>
          </w:tcPr>
          <w:p w14:paraId="38814A45">
            <w:pPr>
              <w:spacing w:line="440" w:lineRule="exact"/>
              <w:jc w:val="center"/>
              <w:rPr>
                <w:color w:val="auto"/>
                <w:szCs w:val="21"/>
                <w:highlight w:val="none"/>
              </w:rPr>
            </w:pPr>
          </w:p>
        </w:tc>
      </w:tr>
      <w:tr w14:paraId="216CD1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030" w:type="dxa"/>
          </w:tcPr>
          <w:p w14:paraId="4BA9936C">
            <w:pPr>
              <w:spacing w:line="440" w:lineRule="exact"/>
              <w:jc w:val="center"/>
              <w:rPr>
                <w:color w:val="auto"/>
                <w:szCs w:val="21"/>
                <w:highlight w:val="none"/>
              </w:rPr>
            </w:pPr>
            <w:r>
              <w:rPr>
                <w:color w:val="auto"/>
                <w:szCs w:val="21"/>
                <w:highlight w:val="none"/>
              </w:rPr>
              <w:t>……</w:t>
            </w:r>
            <w:r>
              <w:rPr>
                <w:rFonts w:hint="eastAsia"/>
                <w:color w:val="auto"/>
                <w:szCs w:val="21"/>
                <w:highlight w:val="none"/>
              </w:rPr>
              <w:t>.</w:t>
            </w:r>
          </w:p>
        </w:tc>
        <w:tc>
          <w:tcPr>
            <w:tcW w:w="902" w:type="dxa"/>
          </w:tcPr>
          <w:p w14:paraId="587D9D04">
            <w:pPr>
              <w:spacing w:line="440" w:lineRule="exact"/>
              <w:jc w:val="center"/>
              <w:rPr>
                <w:color w:val="auto"/>
                <w:szCs w:val="21"/>
                <w:highlight w:val="none"/>
              </w:rPr>
            </w:pPr>
          </w:p>
        </w:tc>
        <w:tc>
          <w:tcPr>
            <w:tcW w:w="870" w:type="dxa"/>
          </w:tcPr>
          <w:p w14:paraId="5A184949">
            <w:pPr>
              <w:spacing w:line="440" w:lineRule="exact"/>
              <w:jc w:val="center"/>
              <w:rPr>
                <w:color w:val="auto"/>
                <w:szCs w:val="21"/>
                <w:highlight w:val="none"/>
              </w:rPr>
            </w:pPr>
          </w:p>
        </w:tc>
        <w:tc>
          <w:tcPr>
            <w:tcW w:w="644" w:type="dxa"/>
          </w:tcPr>
          <w:p w14:paraId="2141B9BB">
            <w:pPr>
              <w:spacing w:line="440" w:lineRule="exact"/>
              <w:jc w:val="center"/>
              <w:rPr>
                <w:color w:val="auto"/>
                <w:szCs w:val="21"/>
                <w:highlight w:val="none"/>
              </w:rPr>
            </w:pPr>
          </w:p>
        </w:tc>
        <w:tc>
          <w:tcPr>
            <w:tcW w:w="772" w:type="dxa"/>
          </w:tcPr>
          <w:p w14:paraId="17CBFF0D">
            <w:pPr>
              <w:spacing w:line="440" w:lineRule="exact"/>
              <w:jc w:val="center"/>
              <w:rPr>
                <w:color w:val="auto"/>
                <w:szCs w:val="21"/>
                <w:highlight w:val="none"/>
              </w:rPr>
            </w:pPr>
          </w:p>
        </w:tc>
        <w:tc>
          <w:tcPr>
            <w:tcW w:w="644" w:type="dxa"/>
          </w:tcPr>
          <w:p w14:paraId="6283F893">
            <w:pPr>
              <w:spacing w:line="440" w:lineRule="exact"/>
              <w:jc w:val="center"/>
              <w:rPr>
                <w:color w:val="auto"/>
                <w:szCs w:val="21"/>
                <w:highlight w:val="none"/>
              </w:rPr>
            </w:pPr>
          </w:p>
        </w:tc>
        <w:tc>
          <w:tcPr>
            <w:tcW w:w="644" w:type="dxa"/>
          </w:tcPr>
          <w:p w14:paraId="2BBFD677">
            <w:pPr>
              <w:spacing w:line="440" w:lineRule="exact"/>
              <w:jc w:val="center"/>
              <w:rPr>
                <w:color w:val="auto"/>
                <w:szCs w:val="21"/>
                <w:highlight w:val="none"/>
              </w:rPr>
            </w:pPr>
          </w:p>
        </w:tc>
        <w:tc>
          <w:tcPr>
            <w:tcW w:w="645" w:type="dxa"/>
          </w:tcPr>
          <w:p w14:paraId="0FD2F6F2">
            <w:pPr>
              <w:spacing w:line="440" w:lineRule="exact"/>
              <w:jc w:val="center"/>
              <w:rPr>
                <w:color w:val="auto"/>
                <w:szCs w:val="21"/>
                <w:highlight w:val="none"/>
              </w:rPr>
            </w:pPr>
          </w:p>
        </w:tc>
        <w:tc>
          <w:tcPr>
            <w:tcW w:w="901" w:type="dxa"/>
          </w:tcPr>
          <w:p w14:paraId="0BF90B85">
            <w:pPr>
              <w:spacing w:line="440" w:lineRule="exact"/>
              <w:jc w:val="center"/>
              <w:rPr>
                <w:color w:val="auto"/>
                <w:szCs w:val="21"/>
                <w:highlight w:val="none"/>
              </w:rPr>
            </w:pPr>
          </w:p>
        </w:tc>
        <w:tc>
          <w:tcPr>
            <w:tcW w:w="1704" w:type="dxa"/>
          </w:tcPr>
          <w:p w14:paraId="476DBED8">
            <w:pPr>
              <w:spacing w:line="440" w:lineRule="exact"/>
              <w:jc w:val="center"/>
              <w:rPr>
                <w:color w:val="auto"/>
                <w:szCs w:val="21"/>
                <w:highlight w:val="none"/>
              </w:rPr>
            </w:pPr>
          </w:p>
        </w:tc>
      </w:tr>
      <w:tr w14:paraId="2DA899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030" w:type="dxa"/>
          </w:tcPr>
          <w:p w14:paraId="69F6FBB9">
            <w:pPr>
              <w:spacing w:line="440" w:lineRule="exact"/>
              <w:jc w:val="center"/>
              <w:rPr>
                <w:color w:val="auto"/>
                <w:szCs w:val="21"/>
                <w:highlight w:val="none"/>
              </w:rPr>
            </w:pPr>
            <w:r>
              <w:rPr>
                <w:color w:val="auto"/>
                <w:szCs w:val="21"/>
                <w:highlight w:val="none"/>
              </w:rPr>
              <w:t>……</w:t>
            </w:r>
            <w:r>
              <w:rPr>
                <w:rFonts w:hint="eastAsia"/>
                <w:color w:val="auto"/>
                <w:szCs w:val="21"/>
                <w:highlight w:val="none"/>
              </w:rPr>
              <w:t>.</w:t>
            </w:r>
          </w:p>
        </w:tc>
        <w:tc>
          <w:tcPr>
            <w:tcW w:w="902" w:type="dxa"/>
          </w:tcPr>
          <w:p w14:paraId="2408057E">
            <w:pPr>
              <w:spacing w:line="440" w:lineRule="exact"/>
              <w:jc w:val="center"/>
              <w:rPr>
                <w:color w:val="auto"/>
                <w:szCs w:val="21"/>
                <w:highlight w:val="none"/>
              </w:rPr>
            </w:pPr>
          </w:p>
        </w:tc>
        <w:tc>
          <w:tcPr>
            <w:tcW w:w="870" w:type="dxa"/>
          </w:tcPr>
          <w:p w14:paraId="0E56B474">
            <w:pPr>
              <w:spacing w:line="440" w:lineRule="exact"/>
              <w:jc w:val="center"/>
              <w:rPr>
                <w:color w:val="auto"/>
                <w:szCs w:val="21"/>
                <w:highlight w:val="none"/>
              </w:rPr>
            </w:pPr>
          </w:p>
        </w:tc>
        <w:tc>
          <w:tcPr>
            <w:tcW w:w="644" w:type="dxa"/>
          </w:tcPr>
          <w:p w14:paraId="2A82AA4A">
            <w:pPr>
              <w:spacing w:line="440" w:lineRule="exact"/>
              <w:jc w:val="center"/>
              <w:rPr>
                <w:color w:val="auto"/>
                <w:szCs w:val="21"/>
                <w:highlight w:val="none"/>
              </w:rPr>
            </w:pPr>
          </w:p>
        </w:tc>
        <w:tc>
          <w:tcPr>
            <w:tcW w:w="772" w:type="dxa"/>
          </w:tcPr>
          <w:p w14:paraId="296BF6CD">
            <w:pPr>
              <w:spacing w:line="440" w:lineRule="exact"/>
              <w:jc w:val="center"/>
              <w:rPr>
                <w:color w:val="auto"/>
                <w:szCs w:val="21"/>
                <w:highlight w:val="none"/>
              </w:rPr>
            </w:pPr>
          </w:p>
        </w:tc>
        <w:tc>
          <w:tcPr>
            <w:tcW w:w="644" w:type="dxa"/>
          </w:tcPr>
          <w:p w14:paraId="0F6274BB">
            <w:pPr>
              <w:spacing w:line="440" w:lineRule="exact"/>
              <w:jc w:val="center"/>
              <w:rPr>
                <w:color w:val="auto"/>
                <w:szCs w:val="21"/>
                <w:highlight w:val="none"/>
              </w:rPr>
            </w:pPr>
          </w:p>
        </w:tc>
        <w:tc>
          <w:tcPr>
            <w:tcW w:w="644" w:type="dxa"/>
          </w:tcPr>
          <w:p w14:paraId="3F3F0648">
            <w:pPr>
              <w:spacing w:line="440" w:lineRule="exact"/>
              <w:jc w:val="center"/>
              <w:rPr>
                <w:color w:val="auto"/>
                <w:szCs w:val="21"/>
                <w:highlight w:val="none"/>
              </w:rPr>
            </w:pPr>
          </w:p>
        </w:tc>
        <w:tc>
          <w:tcPr>
            <w:tcW w:w="645" w:type="dxa"/>
          </w:tcPr>
          <w:p w14:paraId="5B09A846">
            <w:pPr>
              <w:spacing w:line="440" w:lineRule="exact"/>
              <w:jc w:val="center"/>
              <w:rPr>
                <w:color w:val="auto"/>
                <w:szCs w:val="21"/>
                <w:highlight w:val="none"/>
              </w:rPr>
            </w:pPr>
          </w:p>
        </w:tc>
        <w:tc>
          <w:tcPr>
            <w:tcW w:w="901" w:type="dxa"/>
          </w:tcPr>
          <w:p w14:paraId="11E51576">
            <w:pPr>
              <w:spacing w:line="440" w:lineRule="exact"/>
              <w:jc w:val="center"/>
              <w:rPr>
                <w:color w:val="auto"/>
                <w:szCs w:val="21"/>
                <w:highlight w:val="none"/>
              </w:rPr>
            </w:pPr>
          </w:p>
        </w:tc>
        <w:tc>
          <w:tcPr>
            <w:tcW w:w="1704" w:type="dxa"/>
          </w:tcPr>
          <w:p w14:paraId="035A5C65">
            <w:pPr>
              <w:spacing w:line="440" w:lineRule="exact"/>
              <w:jc w:val="center"/>
              <w:rPr>
                <w:color w:val="auto"/>
                <w:szCs w:val="21"/>
                <w:highlight w:val="none"/>
              </w:rPr>
            </w:pPr>
          </w:p>
        </w:tc>
      </w:tr>
      <w:tr w14:paraId="61BAC7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030" w:type="dxa"/>
          </w:tcPr>
          <w:p w14:paraId="4881CD1A">
            <w:pPr>
              <w:spacing w:line="440" w:lineRule="exact"/>
              <w:jc w:val="center"/>
              <w:rPr>
                <w:color w:val="auto"/>
                <w:szCs w:val="21"/>
                <w:highlight w:val="none"/>
              </w:rPr>
            </w:pPr>
          </w:p>
        </w:tc>
        <w:tc>
          <w:tcPr>
            <w:tcW w:w="902" w:type="dxa"/>
          </w:tcPr>
          <w:p w14:paraId="183C4D0E">
            <w:pPr>
              <w:spacing w:line="440" w:lineRule="exact"/>
              <w:jc w:val="center"/>
              <w:rPr>
                <w:color w:val="auto"/>
                <w:szCs w:val="21"/>
                <w:highlight w:val="none"/>
              </w:rPr>
            </w:pPr>
          </w:p>
        </w:tc>
        <w:tc>
          <w:tcPr>
            <w:tcW w:w="870" w:type="dxa"/>
          </w:tcPr>
          <w:p w14:paraId="540B53BB">
            <w:pPr>
              <w:spacing w:line="440" w:lineRule="exact"/>
              <w:jc w:val="center"/>
              <w:rPr>
                <w:color w:val="auto"/>
                <w:szCs w:val="21"/>
                <w:highlight w:val="none"/>
              </w:rPr>
            </w:pPr>
          </w:p>
        </w:tc>
        <w:tc>
          <w:tcPr>
            <w:tcW w:w="644" w:type="dxa"/>
          </w:tcPr>
          <w:p w14:paraId="4C56C9CC">
            <w:pPr>
              <w:spacing w:line="440" w:lineRule="exact"/>
              <w:jc w:val="center"/>
              <w:rPr>
                <w:color w:val="auto"/>
                <w:szCs w:val="21"/>
                <w:highlight w:val="none"/>
              </w:rPr>
            </w:pPr>
          </w:p>
        </w:tc>
        <w:tc>
          <w:tcPr>
            <w:tcW w:w="772" w:type="dxa"/>
          </w:tcPr>
          <w:p w14:paraId="14DC24A5">
            <w:pPr>
              <w:spacing w:line="440" w:lineRule="exact"/>
              <w:jc w:val="center"/>
              <w:rPr>
                <w:color w:val="auto"/>
                <w:szCs w:val="21"/>
                <w:highlight w:val="none"/>
              </w:rPr>
            </w:pPr>
          </w:p>
        </w:tc>
        <w:tc>
          <w:tcPr>
            <w:tcW w:w="644" w:type="dxa"/>
          </w:tcPr>
          <w:p w14:paraId="0E0AD63A">
            <w:pPr>
              <w:spacing w:line="440" w:lineRule="exact"/>
              <w:jc w:val="center"/>
              <w:rPr>
                <w:color w:val="auto"/>
                <w:szCs w:val="21"/>
                <w:highlight w:val="none"/>
              </w:rPr>
            </w:pPr>
          </w:p>
        </w:tc>
        <w:tc>
          <w:tcPr>
            <w:tcW w:w="644" w:type="dxa"/>
          </w:tcPr>
          <w:p w14:paraId="4286FFAF">
            <w:pPr>
              <w:spacing w:line="440" w:lineRule="exact"/>
              <w:jc w:val="center"/>
              <w:rPr>
                <w:color w:val="auto"/>
                <w:szCs w:val="21"/>
                <w:highlight w:val="none"/>
              </w:rPr>
            </w:pPr>
          </w:p>
        </w:tc>
        <w:tc>
          <w:tcPr>
            <w:tcW w:w="645" w:type="dxa"/>
          </w:tcPr>
          <w:p w14:paraId="08BF3CAF">
            <w:pPr>
              <w:spacing w:line="440" w:lineRule="exact"/>
              <w:jc w:val="center"/>
              <w:rPr>
                <w:color w:val="auto"/>
                <w:szCs w:val="21"/>
                <w:highlight w:val="none"/>
              </w:rPr>
            </w:pPr>
          </w:p>
        </w:tc>
        <w:tc>
          <w:tcPr>
            <w:tcW w:w="901" w:type="dxa"/>
          </w:tcPr>
          <w:p w14:paraId="62108087">
            <w:pPr>
              <w:spacing w:line="440" w:lineRule="exact"/>
              <w:jc w:val="center"/>
              <w:rPr>
                <w:color w:val="auto"/>
                <w:szCs w:val="21"/>
                <w:highlight w:val="none"/>
              </w:rPr>
            </w:pPr>
          </w:p>
        </w:tc>
        <w:tc>
          <w:tcPr>
            <w:tcW w:w="1704" w:type="dxa"/>
          </w:tcPr>
          <w:p w14:paraId="08E1DD6D">
            <w:pPr>
              <w:spacing w:line="440" w:lineRule="exact"/>
              <w:jc w:val="center"/>
              <w:rPr>
                <w:color w:val="auto"/>
                <w:szCs w:val="21"/>
                <w:highlight w:val="none"/>
              </w:rPr>
            </w:pPr>
          </w:p>
        </w:tc>
      </w:tr>
      <w:tr w14:paraId="58DACC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030" w:type="dxa"/>
          </w:tcPr>
          <w:p w14:paraId="18A5A0AF">
            <w:pPr>
              <w:spacing w:line="440" w:lineRule="exact"/>
              <w:jc w:val="center"/>
              <w:rPr>
                <w:color w:val="auto"/>
                <w:szCs w:val="21"/>
                <w:highlight w:val="none"/>
              </w:rPr>
            </w:pPr>
          </w:p>
        </w:tc>
        <w:tc>
          <w:tcPr>
            <w:tcW w:w="902" w:type="dxa"/>
          </w:tcPr>
          <w:p w14:paraId="61B704FA">
            <w:pPr>
              <w:spacing w:line="440" w:lineRule="exact"/>
              <w:jc w:val="center"/>
              <w:rPr>
                <w:color w:val="auto"/>
                <w:szCs w:val="21"/>
                <w:highlight w:val="none"/>
              </w:rPr>
            </w:pPr>
          </w:p>
        </w:tc>
        <w:tc>
          <w:tcPr>
            <w:tcW w:w="870" w:type="dxa"/>
          </w:tcPr>
          <w:p w14:paraId="3C625123">
            <w:pPr>
              <w:spacing w:line="440" w:lineRule="exact"/>
              <w:jc w:val="center"/>
              <w:rPr>
                <w:color w:val="auto"/>
                <w:szCs w:val="21"/>
                <w:highlight w:val="none"/>
              </w:rPr>
            </w:pPr>
          </w:p>
        </w:tc>
        <w:tc>
          <w:tcPr>
            <w:tcW w:w="644" w:type="dxa"/>
          </w:tcPr>
          <w:p w14:paraId="74C5C3A6">
            <w:pPr>
              <w:spacing w:line="440" w:lineRule="exact"/>
              <w:jc w:val="center"/>
              <w:rPr>
                <w:color w:val="auto"/>
                <w:szCs w:val="21"/>
                <w:highlight w:val="none"/>
              </w:rPr>
            </w:pPr>
          </w:p>
        </w:tc>
        <w:tc>
          <w:tcPr>
            <w:tcW w:w="772" w:type="dxa"/>
          </w:tcPr>
          <w:p w14:paraId="3D81B43B">
            <w:pPr>
              <w:spacing w:line="440" w:lineRule="exact"/>
              <w:jc w:val="center"/>
              <w:rPr>
                <w:color w:val="auto"/>
                <w:szCs w:val="21"/>
                <w:highlight w:val="none"/>
              </w:rPr>
            </w:pPr>
          </w:p>
        </w:tc>
        <w:tc>
          <w:tcPr>
            <w:tcW w:w="644" w:type="dxa"/>
          </w:tcPr>
          <w:p w14:paraId="509CF7C8">
            <w:pPr>
              <w:spacing w:line="440" w:lineRule="exact"/>
              <w:jc w:val="center"/>
              <w:rPr>
                <w:color w:val="auto"/>
                <w:szCs w:val="21"/>
                <w:highlight w:val="none"/>
              </w:rPr>
            </w:pPr>
          </w:p>
        </w:tc>
        <w:tc>
          <w:tcPr>
            <w:tcW w:w="644" w:type="dxa"/>
          </w:tcPr>
          <w:p w14:paraId="17E266F0">
            <w:pPr>
              <w:spacing w:line="440" w:lineRule="exact"/>
              <w:jc w:val="center"/>
              <w:rPr>
                <w:color w:val="auto"/>
                <w:szCs w:val="21"/>
                <w:highlight w:val="none"/>
              </w:rPr>
            </w:pPr>
          </w:p>
        </w:tc>
        <w:tc>
          <w:tcPr>
            <w:tcW w:w="645" w:type="dxa"/>
          </w:tcPr>
          <w:p w14:paraId="6119B6DF">
            <w:pPr>
              <w:spacing w:line="440" w:lineRule="exact"/>
              <w:jc w:val="center"/>
              <w:rPr>
                <w:color w:val="auto"/>
                <w:szCs w:val="21"/>
                <w:highlight w:val="none"/>
              </w:rPr>
            </w:pPr>
          </w:p>
        </w:tc>
        <w:tc>
          <w:tcPr>
            <w:tcW w:w="901" w:type="dxa"/>
          </w:tcPr>
          <w:p w14:paraId="7DF7EA4C">
            <w:pPr>
              <w:spacing w:line="440" w:lineRule="exact"/>
              <w:jc w:val="center"/>
              <w:rPr>
                <w:color w:val="auto"/>
                <w:szCs w:val="21"/>
                <w:highlight w:val="none"/>
              </w:rPr>
            </w:pPr>
          </w:p>
        </w:tc>
        <w:tc>
          <w:tcPr>
            <w:tcW w:w="1704" w:type="dxa"/>
          </w:tcPr>
          <w:p w14:paraId="4F232822">
            <w:pPr>
              <w:spacing w:line="440" w:lineRule="exact"/>
              <w:jc w:val="center"/>
              <w:rPr>
                <w:color w:val="auto"/>
                <w:szCs w:val="21"/>
                <w:highlight w:val="none"/>
              </w:rPr>
            </w:pPr>
          </w:p>
        </w:tc>
      </w:tr>
      <w:tr w14:paraId="57712F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030" w:type="dxa"/>
            <w:tcBorders>
              <w:top w:val="single" w:color="auto" w:sz="4" w:space="0"/>
              <w:left w:val="single" w:color="auto" w:sz="4" w:space="0"/>
              <w:bottom w:val="single" w:color="auto" w:sz="4" w:space="0"/>
              <w:right w:val="single" w:color="auto" w:sz="4" w:space="0"/>
            </w:tcBorders>
          </w:tcPr>
          <w:p w14:paraId="0281BBC6">
            <w:pPr>
              <w:spacing w:line="440" w:lineRule="exact"/>
              <w:jc w:val="center"/>
              <w:rPr>
                <w:color w:val="auto"/>
                <w:szCs w:val="21"/>
                <w:highlight w:val="none"/>
              </w:rPr>
            </w:pPr>
          </w:p>
        </w:tc>
        <w:tc>
          <w:tcPr>
            <w:tcW w:w="902" w:type="dxa"/>
            <w:tcBorders>
              <w:top w:val="single" w:color="auto" w:sz="4" w:space="0"/>
              <w:left w:val="single" w:color="auto" w:sz="4" w:space="0"/>
              <w:bottom w:val="single" w:color="auto" w:sz="4" w:space="0"/>
              <w:right w:val="single" w:color="auto" w:sz="4" w:space="0"/>
            </w:tcBorders>
          </w:tcPr>
          <w:p w14:paraId="53100738">
            <w:pPr>
              <w:spacing w:line="440" w:lineRule="exact"/>
              <w:jc w:val="center"/>
              <w:rPr>
                <w:color w:val="auto"/>
                <w:szCs w:val="21"/>
                <w:highlight w:val="none"/>
              </w:rPr>
            </w:pPr>
          </w:p>
        </w:tc>
        <w:tc>
          <w:tcPr>
            <w:tcW w:w="870" w:type="dxa"/>
            <w:tcBorders>
              <w:top w:val="single" w:color="auto" w:sz="4" w:space="0"/>
              <w:left w:val="single" w:color="auto" w:sz="4" w:space="0"/>
              <w:bottom w:val="single" w:color="auto" w:sz="4" w:space="0"/>
              <w:right w:val="single" w:color="auto" w:sz="4" w:space="0"/>
            </w:tcBorders>
          </w:tcPr>
          <w:p w14:paraId="615F8358">
            <w:pPr>
              <w:spacing w:line="440" w:lineRule="exact"/>
              <w:jc w:val="center"/>
              <w:rPr>
                <w:color w:val="auto"/>
                <w:szCs w:val="21"/>
                <w:highlight w:val="none"/>
              </w:rPr>
            </w:pPr>
          </w:p>
        </w:tc>
        <w:tc>
          <w:tcPr>
            <w:tcW w:w="644" w:type="dxa"/>
            <w:tcBorders>
              <w:top w:val="single" w:color="auto" w:sz="4" w:space="0"/>
              <w:left w:val="single" w:color="auto" w:sz="4" w:space="0"/>
              <w:bottom w:val="single" w:color="auto" w:sz="4" w:space="0"/>
              <w:right w:val="single" w:color="auto" w:sz="4" w:space="0"/>
            </w:tcBorders>
          </w:tcPr>
          <w:p w14:paraId="469EF073">
            <w:pPr>
              <w:spacing w:line="440" w:lineRule="exact"/>
              <w:jc w:val="center"/>
              <w:rPr>
                <w:color w:val="auto"/>
                <w:szCs w:val="21"/>
                <w:highlight w:val="none"/>
              </w:rPr>
            </w:pPr>
          </w:p>
        </w:tc>
        <w:tc>
          <w:tcPr>
            <w:tcW w:w="772" w:type="dxa"/>
            <w:tcBorders>
              <w:top w:val="single" w:color="auto" w:sz="4" w:space="0"/>
              <w:left w:val="single" w:color="auto" w:sz="4" w:space="0"/>
              <w:bottom w:val="single" w:color="auto" w:sz="4" w:space="0"/>
              <w:right w:val="single" w:color="auto" w:sz="4" w:space="0"/>
            </w:tcBorders>
          </w:tcPr>
          <w:p w14:paraId="742815F6">
            <w:pPr>
              <w:spacing w:line="440" w:lineRule="exact"/>
              <w:jc w:val="center"/>
              <w:rPr>
                <w:color w:val="auto"/>
                <w:szCs w:val="21"/>
                <w:highlight w:val="none"/>
              </w:rPr>
            </w:pPr>
          </w:p>
        </w:tc>
        <w:tc>
          <w:tcPr>
            <w:tcW w:w="644" w:type="dxa"/>
            <w:tcBorders>
              <w:top w:val="single" w:color="auto" w:sz="4" w:space="0"/>
              <w:left w:val="single" w:color="auto" w:sz="4" w:space="0"/>
              <w:bottom w:val="single" w:color="auto" w:sz="4" w:space="0"/>
              <w:right w:val="single" w:color="auto" w:sz="4" w:space="0"/>
            </w:tcBorders>
          </w:tcPr>
          <w:p w14:paraId="0270F4DF">
            <w:pPr>
              <w:spacing w:line="440" w:lineRule="exact"/>
              <w:jc w:val="center"/>
              <w:rPr>
                <w:color w:val="auto"/>
                <w:szCs w:val="21"/>
                <w:highlight w:val="none"/>
              </w:rPr>
            </w:pPr>
          </w:p>
        </w:tc>
        <w:tc>
          <w:tcPr>
            <w:tcW w:w="644" w:type="dxa"/>
            <w:tcBorders>
              <w:top w:val="single" w:color="auto" w:sz="4" w:space="0"/>
              <w:left w:val="single" w:color="auto" w:sz="4" w:space="0"/>
              <w:bottom w:val="single" w:color="auto" w:sz="4" w:space="0"/>
              <w:right w:val="single" w:color="auto" w:sz="4" w:space="0"/>
            </w:tcBorders>
          </w:tcPr>
          <w:p w14:paraId="0C664962">
            <w:pPr>
              <w:spacing w:line="440" w:lineRule="exact"/>
              <w:jc w:val="center"/>
              <w:rPr>
                <w:color w:val="auto"/>
                <w:szCs w:val="21"/>
                <w:highlight w:val="none"/>
              </w:rPr>
            </w:pPr>
          </w:p>
        </w:tc>
        <w:tc>
          <w:tcPr>
            <w:tcW w:w="645" w:type="dxa"/>
            <w:tcBorders>
              <w:top w:val="single" w:color="auto" w:sz="4" w:space="0"/>
              <w:left w:val="single" w:color="auto" w:sz="4" w:space="0"/>
              <w:bottom w:val="single" w:color="auto" w:sz="4" w:space="0"/>
              <w:right w:val="single" w:color="auto" w:sz="4" w:space="0"/>
            </w:tcBorders>
          </w:tcPr>
          <w:p w14:paraId="7BCF1AC3">
            <w:pPr>
              <w:spacing w:line="440" w:lineRule="exact"/>
              <w:jc w:val="center"/>
              <w:rPr>
                <w:color w:val="auto"/>
                <w:szCs w:val="21"/>
                <w:highlight w:val="none"/>
              </w:rPr>
            </w:pPr>
          </w:p>
        </w:tc>
        <w:tc>
          <w:tcPr>
            <w:tcW w:w="901" w:type="dxa"/>
            <w:tcBorders>
              <w:top w:val="single" w:color="auto" w:sz="4" w:space="0"/>
              <w:left w:val="single" w:color="auto" w:sz="4" w:space="0"/>
              <w:bottom w:val="single" w:color="auto" w:sz="4" w:space="0"/>
              <w:right w:val="single" w:color="auto" w:sz="4" w:space="0"/>
            </w:tcBorders>
          </w:tcPr>
          <w:p w14:paraId="3C1944A4">
            <w:pPr>
              <w:spacing w:line="440" w:lineRule="exact"/>
              <w:jc w:val="center"/>
              <w:rPr>
                <w:color w:val="auto"/>
                <w:szCs w:val="21"/>
                <w:highlight w:val="none"/>
              </w:rPr>
            </w:pPr>
          </w:p>
        </w:tc>
        <w:tc>
          <w:tcPr>
            <w:tcW w:w="1704" w:type="dxa"/>
            <w:tcBorders>
              <w:top w:val="single" w:color="auto" w:sz="4" w:space="0"/>
              <w:left w:val="single" w:color="auto" w:sz="4" w:space="0"/>
              <w:bottom w:val="single" w:color="auto" w:sz="4" w:space="0"/>
              <w:right w:val="single" w:color="auto" w:sz="4" w:space="0"/>
            </w:tcBorders>
          </w:tcPr>
          <w:p w14:paraId="692415CB">
            <w:pPr>
              <w:spacing w:line="440" w:lineRule="exact"/>
              <w:jc w:val="center"/>
              <w:rPr>
                <w:color w:val="auto"/>
                <w:szCs w:val="21"/>
                <w:highlight w:val="none"/>
              </w:rPr>
            </w:pPr>
          </w:p>
        </w:tc>
      </w:tr>
      <w:tr w14:paraId="7180AE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030" w:type="dxa"/>
            <w:tcBorders>
              <w:top w:val="single" w:color="auto" w:sz="4" w:space="0"/>
              <w:left w:val="single" w:color="auto" w:sz="4" w:space="0"/>
              <w:bottom w:val="single" w:color="auto" w:sz="4" w:space="0"/>
              <w:right w:val="single" w:color="auto" w:sz="4" w:space="0"/>
            </w:tcBorders>
          </w:tcPr>
          <w:p w14:paraId="516929C5">
            <w:pPr>
              <w:spacing w:line="440" w:lineRule="exact"/>
              <w:jc w:val="center"/>
              <w:rPr>
                <w:color w:val="auto"/>
                <w:szCs w:val="21"/>
                <w:highlight w:val="none"/>
              </w:rPr>
            </w:pPr>
          </w:p>
        </w:tc>
        <w:tc>
          <w:tcPr>
            <w:tcW w:w="902" w:type="dxa"/>
            <w:tcBorders>
              <w:top w:val="single" w:color="auto" w:sz="4" w:space="0"/>
              <w:left w:val="single" w:color="auto" w:sz="4" w:space="0"/>
              <w:bottom w:val="single" w:color="auto" w:sz="4" w:space="0"/>
              <w:right w:val="single" w:color="auto" w:sz="4" w:space="0"/>
            </w:tcBorders>
          </w:tcPr>
          <w:p w14:paraId="052B32D8">
            <w:pPr>
              <w:spacing w:line="440" w:lineRule="exact"/>
              <w:jc w:val="center"/>
              <w:rPr>
                <w:color w:val="auto"/>
                <w:szCs w:val="21"/>
                <w:highlight w:val="none"/>
              </w:rPr>
            </w:pPr>
          </w:p>
        </w:tc>
        <w:tc>
          <w:tcPr>
            <w:tcW w:w="870" w:type="dxa"/>
            <w:tcBorders>
              <w:top w:val="single" w:color="auto" w:sz="4" w:space="0"/>
              <w:left w:val="single" w:color="auto" w:sz="4" w:space="0"/>
              <w:bottom w:val="single" w:color="auto" w:sz="4" w:space="0"/>
              <w:right w:val="single" w:color="auto" w:sz="4" w:space="0"/>
            </w:tcBorders>
          </w:tcPr>
          <w:p w14:paraId="48D809B1">
            <w:pPr>
              <w:spacing w:line="440" w:lineRule="exact"/>
              <w:jc w:val="center"/>
              <w:rPr>
                <w:color w:val="auto"/>
                <w:szCs w:val="21"/>
                <w:highlight w:val="none"/>
              </w:rPr>
            </w:pPr>
          </w:p>
        </w:tc>
        <w:tc>
          <w:tcPr>
            <w:tcW w:w="644" w:type="dxa"/>
            <w:tcBorders>
              <w:top w:val="single" w:color="auto" w:sz="4" w:space="0"/>
              <w:left w:val="single" w:color="auto" w:sz="4" w:space="0"/>
              <w:bottom w:val="single" w:color="auto" w:sz="4" w:space="0"/>
              <w:right w:val="single" w:color="auto" w:sz="4" w:space="0"/>
            </w:tcBorders>
          </w:tcPr>
          <w:p w14:paraId="785E0062">
            <w:pPr>
              <w:spacing w:line="440" w:lineRule="exact"/>
              <w:jc w:val="center"/>
              <w:rPr>
                <w:color w:val="auto"/>
                <w:szCs w:val="21"/>
                <w:highlight w:val="none"/>
              </w:rPr>
            </w:pPr>
          </w:p>
        </w:tc>
        <w:tc>
          <w:tcPr>
            <w:tcW w:w="772" w:type="dxa"/>
            <w:tcBorders>
              <w:top w:val="single" w:color="auto" w:sz="4" w:space="0"/>
              <w:left w:val="single" w:color="auto" w:sz="4" w:space="0"/>
              <w:bottom w:val="single" w:color="auto" w:sz="4" w:space="0"/>
              <w:right w:val="single" w:color="auto" w:sz="4" w:space="0"/>
            </w:tcBorders>
          </w:tcPr>
          <w:p w14:paraId="5C72E046">
            <w:pPr>
              <w:spacing w:line="440" w:lineRule="exact"/>
              <w:jc w:val="center"/>
              <w:rPr>
                <w:color w:val="auto"/>
                <w:szCs w:val="21"/>
                <w:highlight w:val="none"/>
              </w:rPr>
            </w:pPr>
          </w:p>
        </w:tc>
        <w:tc>
          <w:tcPr>
            <w:tcW w:w="644" w:type="dxa"/>
            <w:tcBorders>
              <w:top w:val="single" w:color="auto" w:sz="4" w:space="0"/>
              <w:left w:val="single" w:color="auto" w:sz="4" w:space="0"/>
              <w:bottom w:val="single" w:color="auto" w:sz="4" w:space="0"/>
              <w:right w:val="single" w:color="auto" w:sz="4" w:space="0"/>
            </w:tcBorders>
          </w:tcPr>
          <w:p w14:paraId="3C784D4E">
            <w:pPr>
              <w:spacing w:line="440" w:lineRule="exact"/>
              <w:jc w:val="center"/>
              <w:rPr>
                <w:color w:val="auto"/>
                <w:szCs w:val="21"/>
                <w:highlight w:val="none"/>
              </w:rPr>
            </w:pPr>
          </w:p>
        </w:tc>
        <w:tc>
          <w:tcPr>
            <w:tcW w:w="644" w:type="dxa"/>
            <w:tcBorders>
              <w:top w:val="single" w:color="auto" w:sz="4" w:space="0"/>
              <w:left w:val="single" w:color="auto" w:sz="4" w:space="0"/>
              <w:bottom w:val="single" w:color="auto" w:sz="4" w:space="0"/>
              <w:right w:val="single" w:color="auto" w:sz="4" w:space="0"/>
            </w:tcBorders>
          </w:tcPr>
          <w:p w14:paraId="75D95A04">
            <w:pPr>
              <w:spacing w:line="440" w:lineRule="exact"/>
              <w:jc w:val="center"/>
              <w:rPr>
                <w:color w:val="auto"/>
                <w:szCs w:val="21"/>
                <w:highlight w:val="none"/>
              </w:rPr>
            </w:pPr>
          </w:p>
        </w:tc>
        <w:tc>
          <w:tcPr>
            <w:tcW w:w="645" w:type="dxa"/>
            <w:tcBorders>
              <w:top w:val="single" w:color="auto" w:sz="4" w:space="0"/>
              <w:left w:val="single" w:color="auto" w:sz="4" w:space="0"/>
              <w:bottom w:val="single" w:color="auto" w:sz="4" w:space="0"/>
              <w:right w:val="single" w:color="auto" w:sz="4" w:space="0"/>
            </w:tcBorders>
          </w:tcPr>
          <w:p w14:paraId="1826BAE6">
            <w:pPr>
              <w:spacing w:line="440" w:lineRule="exact"/>
              <w:jc w:val="center"/>
              <w:rPr>
                <w:color w:val="auto"/>
                <w:szCs w:val="21"/>
                <w:highlight w:val="none"/>
              </w:rPr>
            </w:pPr>
          </w:p>
        </w:tc>
        <w:tc>
          <w:tcPr>
            <w:tcW w:w="901" w:type="dxa"/>
            <w:tcBorders>
              <w:top w:val="single" w:color="auto" w:sz="4" w:space="0"/>
              <w:left w:val="single" w:color="auto" w:sz="4" w:space="0"/>
              <w:bottom w:val="single" w:color="auto" w:sz="4" w:space="0"/>
              <w:right w:val="single" w:color="auto" w:sz="4" w:space="0"/>
            </w:tcBorders>
          </w:tcPr>
          <w:p w14:paraId="3D528914">
            <w:pPr>
              <w:spacing w:line="440" w:lineRule="exact"/>
              <w:jc w:val="center"/>
              <w:rPr>
                <w:color w:val="auto"/>
                <w:szCs w:val="21"/>
                <w:highlight w:val="none"/>
              </w:rPr>
            </w:pPr>
          </w:p>
        </w:tc>
        <w:tc>
          <w:tcPr>
            <w:tcW w:w="1704" w:type="dxa"/>
            <w:tcBorders>
              <w:top w:val="single" w:color="auto" w:sz="4" w:space="0"/>
              <w:left w:val="single" w:color="auto" w:sz="4" w:space="0"/>
              <w:bottom w:val="single" w:color="auto" w:sz="4" w:space="0"/>
              <w:right w:val="single" w:color="auto" w:sz="4" w:space="0"/>
            </w:tcBorders>
          </w:tcPr>
          <w:p w14:paraId="4BCEABBF">
            <w:pPr>
              <w:spacing w:line="440" w:lineRule="exact"/>
              <w:jc w:val="center"/>
              <w:rPr>
                <w:color w:val="auto"/>
                <w:szCs w:val="21"/>
                <w:highlight w:val="none"/>
              </w:rPr>
            </w:pPr>
          </w:p>
        </w:tc>
      </w:tr>
      <w:tr w14:paraId="3C98FE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030" w:type="dxa"/>
            <w:tcBorders>
              <w:top w:val="single" w:color="auto" w:sz="4" w:space="0"/>
              <w:left w:val="single" w:color="auto" w:sz="4" w:space="0"/>
              <w:bottom w:val="single" w:color="auto" w:sz="4" w:space="0"/>
              <w:right w:val="single" w:color="auto" w:sz="4" w:space="0"/>
            </w:tcBorders>
          </w:tcPr>
          <w:p w14:paraId="4D13F455">
            <w:pPr>
              <w:spacing w:line="440" w:lineRule="exact"/>
              <w:jc w:val="center"/>
              <w:rPr>
                <w:color w:val="auto"/>
                <w:szCs w:val="21"/>
                <w:highlight w:val="none"/>
              </w:rPr>
            </w:pPr>
          </w:p>
        </w:tc>
        <w:tc>
          <w:tcPr>
            <w:tcW w:w="902" w:type="dxa"/>
            <w:tcBorders>
              <w:top w:val="single" w:color="auto" w:sz="4" w:space="0"/>
              <w:left w:val="single" w:color="auto" w:sz="4" w:space="0"/>
              <w:bottom w:val="single" w:color="auto" w:sz="4" w:space="0"/>
              <w:right w:val="single" w:color="auto" w:sz="4" w:space="0"/>
            </w:tcBorders>
          </w:tcPr>
          <w:p w14:paraId="314734C6">
            <w:pPr>
              <w:spacing w:line="440" w:lineRule="exact"/>
              <w:jc w:val="center"/>
              <w:rPr>
                <w:color w:val="auto"/>
                <w:szCs w:val="21"/>
                <w:highlight w:val="none"/>
              </w:rPr>
            </w:pPr>
          </w:p>
        </w:tc>
        <w:tc>
          <w:tcPr>
            <w:tcW w:w="870" w:type="dxa"/>
            <w:tcBorders>
              <w:top w:val="single" w:color="auto" w:sz="4" w:space="0"/>
              <w:left w:val="single" w:color="auto" w:sz="4" w:space="0"/>
              <w:bottom w:val="single" w:color="auto" w:sz="4" w:space="0"/>
              <w:right w:val="single" w:color="auto" w:sz="4" w:space="0"/>
            </w:tcBorders>
          </w:tcPr>
          <w:p w14:paraId="6E515B08">
            <w:pPr>
              <w:spacing w:line="440" w:lineRule="exact"/>
              <w:jc w:val="center"/>
              <w:rPr>
                <w:color w:val="auto"/>
                <w:szCs w:val="21"/>
                <w:highlight w:val="none"/>
              </w:rPr>
            </w:pPr>
          </w:p>
        </w:tc>
        <w:tc>
          <w:tcPr>
            <w:tcW w:w="644" w:type="dxa"/>
            <w:tcBorders>
              <w:top w:val="single" w:color="auto" w:sz="4" w:space="0"/>
              <w:left w:val="single" w:color="auto" w:sz="4" w:space="0"/>
              <w:bottom w:val="single" w:color="auto" w:sz="4" w:space="0"/>
              <w:right w:val="single" w:color="auto" w:sz="4" w:space="0"/>
            </w:tcBorders>
          </w:tcPr>
          <w:p w14:paraId="32C1B22D">
            <w:pPr>
              <w:spacing w:line="440" w:lineRule="exact"/>
              <w:jc w:val="center"/>
              <w:rPr>
                <w:color w:val="auto"/>
                <w:szCs w:val="21"/>
                <w:highlight w:val="none"/>
              </w:rPr>
            </w:pPr>
          </w:p>
        </w:tc>
        <w:tc>
          <w:tcPr>
            <w:tcW w:w="772" w:type="dxa"/>
            <w:tcBorders>
              <w:top w:val="single" w:color="auto" w:sz="4" w:space="0"/>
              <w:left w:val="single" w:color="auto" w:sz="4" w:space="0"/>
              <w:bottom w:val="single" w:color="auto" w:sz="4" w:space="0"/>
              <w:right w:val="single" w:color="auto" w:sz="4" w:space="0"/>
            </w:tcBorders>
          </w:tcPr>
          <w:p w14:paraId="4ED59067">
            <w:pPr>
              <w:spacing w:line="440" w:lineRule="exact"/>
              <w:jc w:val="center"/>
              <w:rPr>
                <w:color w:val="auto"/>
                <w:szCs w:val="21"/>
                <w:highlight w:val="none"/>
              </w:rPr>
            </w:pPr>
          </w:p>
        </w:tc>
        <w:tc>
          <w:tcPr>
            <w:tcW w:w="644" w:type="dxa"/>
            <w:tcBorders>
              <w:top w:val="single" w:color="auto" w:sz="4" w:space="0"/>
              <w:left w:val="single" w:color="auto" w:sz="4" w:space="0"/>
              <w:bottom w:val="single" w:color="auto" w:sz="4" w:space="0"/>
              <w:right w:val="single" w:color="auto" w:sz="4" w:space="0"/>
            </w:tcBorders>
          </w:tcPr>
          <w:p w14:paraId="16899FB7">
            <w:pPr>
              <w:spacing w:line="440" w:lineRule="exact"/>
              <w:jc w:val="center"/>
              <w:rPr>
                <w:color w:val="auto"/>
                <w:szCs w:val="21"/>
                <w:highlight w:val="none"/>
              </w:rPr>
            </w:pPr>
          </w:p>
        </w:tc>
        <w:tc>
          <w:tcPr>
            <w:tcW w:w="644" w:type="dxa"/>
            <w:tcBorders>
              <w:top w:val="single" w:color="auto" w:sz="4" w:space="0"/>
              <w:left w:val="single" w:color="auto" w:sz="4" w:space="0"/>
              <w:bottom w:val="single" w:color="auto" w:sz="4" w:space="0"/>
              <w:right w:val="single" w:color="auto" w:sz="4" w:space="0"/>
            </w:tcBorders>
          </w:tcPr>
          <w:p w14:paraId="58BB60D0">
            <w:pPr>
              <w:spacing w:line="440" w:lineRule="exact"/>
              <w:jc w:val="center"/>
              <w:rPr>
                <w:color w:val="auto"/>
                <w:szCs w:val="21"/>
                <w:highlight w:val="none"/>
              </w:rPr>
            </w:pPr>
          </w:p>
        </w:tc>
        <w:tc>
          <w:tcPr>
            <w:tcW w:w="645" w:type="dxa"/>
            <w:tcBorders>
              <w:top w:val="single" w:color="auto" w:sz="4" w:space="0"/>
              <w:left w:val="single" w:color="auto" w:sz="4" w:space="0"/>
              <w:bottom w:val="single" w:color="auto" w:sz="4" w:space="0"/>
              <w:right w:val="single" w:color="auto" w:sz="4" w:space="0"/>
            </w:tcBorders>
          </w:tcPr>
          <w:p w14:paraId="50928935">
            <w:pPr>
              <w:spacing w:line="440" w:lineRule="exact"/>
              <w:jc w:val="center"/>
              <w:rPr>
                <w:color w:val="auto"/>
                <w:szCs w:val="21"/>
                <w:highlight w:val="none"/>
              </w:rPr>
            </w:pPr>
          </w:p>
        </w:tc>
        <w:tc>
          <w:tcPr>
            <w:tcW w:w="901" w:type="dxa"/>
            <w:tcBorders>
              <w:top w:val="single" w:color="auto" w:sz="4" w:space="0"/>
              <w:left w:val="single" w:color="auto" w:sz="4" w:space="0"/>
              <w:bottom w:val="single" w:color="auto" w:sz="4" w:space="0"/>
              <w:right w:val="single" w:color="auto" w:sz="4" w:space="0"/>
            </w:tcBorders>
          </w:tcPr>
          <w:p w14:paraId="6F10F40B">
            <w:pPr>
              <w:spacing w:line="440" w:lineRule="exact"/>
              <w:jc w:val="center"/>
              <w:rPr>
                <w:color w:val="auto"/>
                <w:szCs w:val="21"/>
                <w:highlight w:val="none"/>
              </w:rPr>
            </w:pPr>
          </w:p>
        </w:tc>
        <w:tc>
          <w:tcPr>
            <w:tcW w:w="1704" w:type="dxa"/>
            <w:tcBorders>
              <w:top w:val="single" w:color="auto" w:sz="4" w:space="0"/>
              <w:left w:val="single" w:color="auto" w:sz="4" w:space="0"/>
              <w:bottom w:val="single" w:color="auto" w:sz="4" w:space="0"/>
              <w:right w:val="single" w:color="auto" w:sz="4" w:space="0"/>
            </w:tcBorders>
          </w:tcPr>
          <w:p w14:paraId="45D3CD1A">
            <w:pPr>
              <w:spacing w:line="440" w:lineRule="exact"/>
              <w:jc w:val="center"/>
              <w:rPr>
                <w:color w:val="auto"/>
                <w:szCs w:val="21"/>
                <w:highlight w:val="none"/>
              </w:rPr>
            </w:pPr>
          </w:p>
        </w:tc>
      </w:tr>
      <w:tr w14:paraId="3B10D7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030" w:type="dxa"/>
            <w:tcBorders>
              <w:top w:val="single" w:color="auto" w:sz="4" w:space="0"/>
              <w:left w:val="single" w:color="auto" w:sz="4" w:space="0"/>
              <w:bottom w:val="single" w:color="auto" w:sz="4" w:space="0"/>
              <w:right w:val="single" w:color="auto" w:sz="4" w:space="0"/>
            </w:tcBorders>
          </w:tcPr>
          <w:p w14:paraId="35CD7EE5">
            <w:pPr>
              <w:spacing w:line="440" w:lineRule="exact"/>
              <w:jc w:val="center"/>
              <w:rPr>
                <w:color w:val="auto"/>
                <w:szCs w:val="21"/>
                <w:highlight w:val="none"/>
              </w:rPr>
            </w:pPr>
          </w:p>
        </w:tc>
        <w:tc>
          <w:tcPr>
            <w:tcW w:w="902" w:type="dxa"/>
            <w:tcBorders>
              <w:top w:val="single" w:color="auto" w:sz="4" w:space="0"/>
              <w:left w:val="single" w:color="auto" w:sz="4" w:space="0"/>
              <w:bottom w:val="single" w:color="auto" w:sz="4" w:space="0"/>
              <w:right w:val="single" w:color="auto" w:sz="4" w:space="0"/>
            </w:tcBorders>
          </w:tcPr>
          <w:p w14:paraId="18AE8AB6">
            <w:pPr>
              <w:spacing w:line="440" w:lineRule="exact"/>
              <w:jc w:val="center"/>
              <w:rPr>
                <w:color w:val="auto"/>
                <w:szCs w:val="21"/>
                <w:highlight w:val="none"/>
              </w:rPr>
            </w:pPr>
          </w:p>
        </w:tc>
        <w:tc>
          <w:tcPr>
            <w:tcW w:w="870" w:type="dxa"/>
            <w:tcBorders>
              <w:top w:val="single" w:color="auto" w:sz="4" w:space="0"/>
              <w:left w:val="single" w:color="auto" w:sz="4" w:space="0"/>
              <w:bottom w:val="single" w:color="auto" w:sz="4" w:space="0"/>
              <w:right w:val="single" w:color="auto" w:sz="4" w:space="0"/>
            </w:tcBorders>
          </w:tcPr>
          <w:p w14:paraId="0DC6ABE9">
            <w:pPr>
              <w:spacing w:line="440" w:lineRule="exact"/>
              <w:jc w:val="center"/>
              <w:rPr>
                <w:color w:val="auto"/>
                <w:szCs w:val="21"/>
                <w:highlight w:val="none"/>
              </w:rPr>
            </w:pPr>
          </w:p>
        </w:tc>
        <w:tc>
          <w:tcPr>
            <w:tcW w:w="644" w:type="dxa"/>
            <w:tcBorders>
              <w:top w:val="single" w:color="auto" w:sz="4" w:space="0"/>
              <w:left w:val="single" w:color="auto" w:sz="4" w:space="0"/>
              <w:bottom w:val="single" w:color="auto" w:sz="4" w:space="0"/>
              <w:right w:val="single" w:color="auto" w:sz="4" w:space="0"/>
            </w:tcBorders>
          </w:tcPr>
          <w:p w14:paraId="765437C6">
            <w:pPr>
              <w:spacing w:line="440" w:lineRule="exact"/>
              <w:jc w:val="center"/>
              <w:rPr>
                <w:color w:val="auto"/>
                <w:szCs w:val="21"/>
                <w:highlight w:val="none"/>
              </w:rPr>
            </w:pPr>
          </w:p>
        </w:tc>
        <w:tc>
          <w:tcPr>
            <w:tcW w:w="772" w:type="dxa"/>
            <w:tcBorders>
              <w:top w:val="single" w:color="auto" w:sz="4" w:space="0"/>
              <w:left w:val="single" w:color="auto" w:sz="4" w:space="0"/>
              <w:bottom w:val="single" w:color="auto" w:sz="4" w:space="0"/>
              <w:right w:val="single" w:color="auto" w:sz="4" w:space="0"/>
            </w:tcBorders>
          </w:tcPr>
          <w:p w14:paraId="28E3879C">
            <w:pPr>
              <w:spacing w:line="440" w:lineRule="exact"/>
              <w:jc w:val="center"/>
              <w:rPr>
                <w:color w:val="auto"/>
                <w:szCs w:val="21"/>
                <w:highlight w:val="none"/>
              </w:rPr>
            </w:pPr>
          </w:p>
        </w:tc>
        <w:tc>
          <w:tcPr>
            <w:tcW w:w="644" w:type="dxa"/>
            <w:tcBorders>
              <w:top w:val="single" w:color="auto" w:sz="4" w:space="0"/>
              <w:left w:val="single" w:color="auto" w:sz="4" w:space="0"/>
              <w:bottom w:val="single" w:color="auto" w:sz="4" w:space="0"/>
              <w:right w:val="single" w:color="auto" w:sz="4" w:space="0"/>
            </w:tcBorders>
          </w:tcPr>
          <w:p w14:paraId="385E8F61">
            <w:pPr>
              <w:spacing w:line="440" w:lineRule="exact"/>
              <w:jc w:val="center"/>
              <w:rPr>
                <w:color w:val="auto"/>
                <w:szCs w:val="21"/>
                <w:highlight w:val="none"/>
              </w:rPr>
            </w:pPr>
          </w:p>
        </w:tc>
        <w:tc>
          <w:tcPr>
            <w:tcW w:w="644" w:type="dxa"/>
            <w:tcBorders>
              <w:top w:val="single" w:color="auto" w:sz="4" w:space="0"/>
              <w:left w:val="single" w:color="auto" w:sz="4" w:space="0"/>
              <w:bottom w:val="single" w:color="auto" w:sz="4" w:space="0"/>
              <w:right w:val="single" w:color="auto" w:sz="4" w:space="0"/>
            </w:tcBorders>
          </w:tcPr>
          <w:p w14:paraId="66722C57">
            <w:pPr>
              <w:spacing w:line="440" w:lineRule="exact"/>
              <w:jc w:val="center"/>
              <w:rPr>
                <w:color w:val="auto"/>
                <w:szCs w:val="21"/>
                <w:highlight w:val="none"/>
              </w:rPr>
            </w:pPr>
          </w:p>
        </w:tc>
        <w:tc>
          <w:tcPr>
            <w:tcW w:w="645" w:type="dxa"/>
            <w:tcBorders>
              <w:top w:val="single" w:color="auto" w:sz="4" w:space="0"/>
              <w:left w:val="single" w:color="auto" w:sz="4" w:space="0"/>
              <w:bottom w:val="single" w:color="auto" w:sz="4" w:space="0"/>
              <w:right w:val="single" w:color="auto" w:sz="4" w:space="0"/>
            </w:tcBorders>
          </w:tcPr>
          <w:p w14:paraId="1378B259">
            <w:pPr>
              <w:spacing w:line="440" w:lineRule="exact"/>
              <w:jc w:val="center"/>
              <w:rPr>
                <w:color w:val="auto"/>
                <w:szCs w:val="21"/>
                <w:highlight w:val="none"/>
              </w:rPr>
            </w:pPr>
          </w:p>
        </w:tc>
        <w:tc>
          <w:tcPr>
            <w:tcW w:w="901" w:type="dxa"/>
            <w:tcBorders>
              <w:top w:val="single" w:color="auto" w:sz="4" w:space="0"/>
              <w:left w:val="single" w:color="auto" w:sz="4" w:space="0"/>
              <w:bottom w:val="single" w:color="auto" w:sz="4" w:space="0"/>
              <w:right w:val="single" w:color="auto" w:sz="4" w:space="0"/>
            </w:tcBorders>
          </w:tcPr>
          <w:p w14:paraId="3EB95660">
            <w:pPr>
              <w:spacing w:line="440" w:lineRule="exact"/>
              <w:jc w:val="center"/>
              <w:rPr>
                <w:color w:val="auto"/>
                <w:szCs w:val="21"/>
                <w:highlight w:val="none"/>
              </w:rPr>
            </w:pPr>
          </w:p>
        </w:tc>
        <w:tc>
          <w:tcPr>
            <w:tcW w:w="1704" w:type="dxa"/>
            <w:tcBorders>
              <w:top w:val="single" w:color="auto" w:sz="4" w:space="0"/>
              <w:left w:val="single" w:color="auto" w:sz="4" w:space="0"/>
              <w:bottom w:val="single" w:color="auto" w:sz="4" w:space="0"/>
              <w:right w:val="single" w:color="auto" w:sz="4" w:space="0"/>
            </w:tcBorders>
          </w:tcPr>
          <w:p w14:paraId="78BFFBD9">
            <w:pPr>
              <w:spacing w:line="440" w:lineRule="exact"/>
              <w:jc w:val="center"/>
              <w:rPr>
                <w:color w:val="auto"/>
                <w:szCs w:val="21"/>
                <w:highlight w:val="none"/>
              </w:rPr>
            </w:pPr>
          </w:p>
        </w:tc>
      </w:tr>
      <w:tr w14:paraId="4B5E5A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030" w:type="dxa"/>
            <w:tcBorders>
              <w:top w:val="single" w:color="auto" w:sz="4" w:space="0"/>
              <w:left w:val="single" w:color="auto" w:sz="4" w:space="0"/>
              <w:bottom w:val="single" w:color="auto" w:sz="4" w:space="0"/>
              <w:right w:val="single" w:color="auto" w:sz="4" w:space="0"/>
            </w:tcBorders>
          </w:tcPr>
          <w:p w14:paraId="14CA5994">
            <w:pPr>
              <w:spacing w:line="440" w:lineRule="exact"/>
              <w:jc w:val="center"/>
              <w:rPr>
                <w:color w:val="auto"/>
                <w:szCs w:val="21"/>
                <w:highlight w:val="none"/>
              </w:rPr>
            </w:pPr>
          </w:p>
        </w:tc>
        <w:tc>
          <w:tcPr>
            <w:tcW w:w="902" w:type="dxa"/>
            <w:tcBorders>
              <w:top w:val="single" w:color="auto" w:sz="4" w:space="0"/>
              <w:left w:val="single" w:color="auto" w:sz="4" w:space="0"/>
              <w:bottom w:val="single" w:color="auto" w:sz="4" w:space="0"/>
              <w:right w:val="single" w:color="auto" w:sz="4" w:space="0"/>
            </w:tcBorders>
          </w:tcPr>
          <w:p w14:paraId="72EE3B79">
            <w:pPr>
              <w:spacing w:line="440" w:lineRule="exact"/>
              <w:jc w:val="center"/>
              <w:rPr>
                <w:color w:val="auto"/>
                <w:szCs w:val="21"/>
                <w:highlight w:val="none"/>
              </w:rPr>
            </w:pPr>
          </w:p>
        </w:tc>
        <w:tc>
          <w:tcPr>
            <w:tcW w:w="870" w:type="dxa"/>
            <w:tcBorders>
              <w:top w:val="single" w:color="auto" w:sz="4" w:space="0"/>
              <w:left w:val="single" w:color="auto" w:sz="4" w:space="0"/>
              <w:bottom w:val="single" w:color="auto" w:sz="4" w:space="0"/>
              <w:right w:val="single" w:color="auto" w:sz="4" w:space="0"/>
            </w:tcBorders>
          </w:tcPr>
          <w:p w14:paraId="13D54713">
            <w:pPr>
              <w:spacing w:line="440" w:lineRule="exact"/>
              <w:jc w:val="center"/>
              <w:rPr>
                <w:color w:val="auto"/>
                <w:szCs w:val="21"/>
                <w:highlight w:val="none"/>
              </w:rPr>
            </w:pPr>
          </w:p>
        </w:tc>
        <w:tc>
          <w:tcPr>
            <w:tcW w:w="644" w:type="dxa"/>
            <w:tcBorders>
              <w:top w:val="single" w:color="auto" w:sz="4" w:space="0"/>
              <w:left w:val="single" w:color="auto" w:sz="4" w:space="0"/>
              <w:bottom w:val="single" w:color="auto" w:sz="4" w:space="0"/>
              <w:right w:val="single" w:color="auto" w:sz="4" w:space="0"/>
            </w:tcBorders>
          </w:tcPr>
          <w:p w14:paraId="50D3E553">
            <w:pPr>
              <w:spacing w:line="440" w:lineRule="exact"/>
              <w:jc w:val="center"/>
              <w:rPr>
                <w:color w:val="auto"/>
                <w:szCs w:val="21"/>
                <w:highlight w:val="none"/>
              </w:rPr>
            </w:pPr>
          </w:p>
        </w:tc>
        <w:tc>
          <w:tcPr>
            <w:tcW w:w="772" w:type="dxa"/>
            <w:tcBorders>
              <w:top w:val="single" w:color="auto" w:sz="4" w:space="0"/>
              <w:left w:val="single" w:color="auto" w:sz="4" w:space="0"/>
              <w:bottom w:val="single" w:color="auto" w:sz="4" w:space="0"/>
              <w:right w:val="single" w:color="auto" w:sz="4" w:space="0"/>
            </w:tcBorders>
          </w:tcPr>
          <w:p w14:paraId="01325396">
            <w:pPr>
              <w:spacing w:line="440" w:lineRule="exact"/>
              <w:jc w:val="center"/>
              <w:rPr>
                <w:color w:val="auto"/>
                <w:szCs w:val="21"/>
                <w:highlight w:val="none"/>
              </w:rPr>
            </w:pPr>
          </w:p>
        </w:tc>
        <w:tc>
          <w:tcPr>
            <w:tcW w:w="644" w:type="dxa"/>
            <w:tcBorders>
              <w:top w:val="single" w:color="auto" w:sz="4" w:space="0"/>
              <w:left w:val="single" w:color="auto" w:sz="4" w:space="0"/>
              <w:bottom w:val="single" w:color="auto" w:sz="4" w:space="0"/>
              <w:right w:val="single" w:color="auto" w:sz="4" w:space="0"/>
            </w:tcBorders>
          </w:tcPr>
          <w:p w14:paraId="3ACEACAB">
            <w:pPr>
              <w:spacing w:line="440" w:lineRule="exact"/>
              <w:jc w:val="center"/>
              <w:rPr>
                <w:color w:val="auto"/>
                <w:szCs w:val="21"/>
                <w:highlight w:val="none"/>
              </w:rPr>
            </w:pPr>
          </w:p>
        </w:tc>
        <w:tc>
          <w:tcPr>
            <w:tcW w:w="644" w:type="dxa"/>
            <w:tcBorders>
              <w:top w:val="single" w:color="auto" w:sz="4" w:space="0"/>
              <w:left w:val="single" w:color="auto" w:sz="4" w:space="0"/>
              <w:bottom w:val="single" w:color="auto" w:sz="4" w:space="0"/>
              <w:right w:val="single" w:color="auto" w:sz="4" w:space="0"/>
            </w:tcBorders>
          </w:tcPr>
          <w:p w14:paraId="3E1D3A74">
            <w:pPr>
              <w:spacing w:line="440" w:lineRule="exact"/>
              <w:jc w:val="center"/>
              <w:rPr>
                <w:color w:val="auto"/>
                <w:szCs w:val="21"/>
                <w:highlight w:val="none"/>
              </w:rPr>
            </w:pPr>
          </w:p>
        </w:tc>
        <w:tc>
          <w:tcPr>
            <w:tcW w:w="645" w:type="dxa"/>
            <w:tcBorders>
              <w:top w:val="single" w:color="auto" w:sz="4" w:space="0"/>
              <w:left w:val="single" w:color="auto" w:sz="4" w:space="0"/>
              <w:bottom w:val="single" w:color="auto" w:sz="4" w:space="0"/>
              <w:right w:val="single" w:color="auto" w:sz="4" w:space="0"/>
            </w:tcBorders>
          </w:tcPr>
          <w:p w14:paraId="50BCFD9E">
            <w:pPr>
              <w:spacing w:line="440" w:lineRule="exact"/>
              <w:jc w:val="center"/>
              <w:rPr>
                <w:color w:val="auto"/>
                <w:szCs w:val="21"/>
                <w:highlight w:val="none"/>
              </w:rPr>
            </w:pPr>
          </w:p>
        </w:tc>
        <w:tc>
          <w:tcPr>
            <w:tcW w:w="901" w:type="dxa"/>
            <w:tcBorders>
              <w:top w:val="single" w:color="auto" w:sz="4" w:space="0"/>
              <w:left w:val="single" w:color="auto" w:sz="4" w:space="0"/>
              <w:bottom w:val="single" w:color="auto" w:sz="4" w:space="0"/>
              <w:right w:val="single" w:color="auto" w:sz="4" w:space="0"/>
            </w:tcBorders>
          </w:tcPr>
          <w:p w14:paraId="57335FEE">
            <w:pPr>
              <w:spacing w:line="440" w:lineRule="exact"/>
              <w:jc w:val="center"/>
              <w:rPr>
                <w:color w:val="auto"/>
                <w:szCs w:val="21"/>
                <w:highlight w:val="none"/>
              </w:rPr>
            </w:pPr>
          </w:p>
        </w:tc>
        <w:tc>
          <w:tcPr>
            <w:tcW w:w="1704" w:type="dxa"/>
            <w:tcBorders>
              <w:top w:val="single" w:color="auto" w:sz="4" w:space="0"/>
              <w:left w:val="single" w:color="auto" w:sz="4" w:space="0"/>
              <w:bottom w:val="single" w:color="auto" w:sz="4" w:space="0"/>
              <w:right w:val="single" w:color="auto" w:sz="4" w:space="0"/>
            </w:tcBorders>
          </w:tcPr>
          <w:p w14:paraId="0F156583">
            <w:pPr>
              <w:spacing w:line="440" w:lineRule="exact"/>
              <w:jc w:val="center"/>
              <w:rPr>
                <w:color w:val="auto"/>
                <w:szCs w:val="21"/>
                <w:highlight w:val="none"/>
              </w:rPr>
            </w:pPr>
          </w:p>
        </w:tc>
      </w:tr>
      <w:tr w14:paraId="30043F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030" w:type="dxa"/>
            <w:tcBorders>
              <w:top w:val="single" w:color="auto" w:sz="4" w:space="0"/>
              <w:left w:val="single" w:color="auto" w:sz="4" w:space="0"/>
              <w:bottom w:val="single" w:color="auto" w:sz="4" w:space="0"/>
              <w:right w:val="single" w:color="auto" w:sz="4" w:space="0"/>
            </w:tcBorders>
          </w:tcPr>
          <w:p w14:paraId="04E00616">
            <w:pPr>
              <w:spacing w:line="440" w:lineRule="exact"/>
              <w:jc w:val="center"/>
              <w:rPr>
                <w:color w:val="auto"/>
                <w:szCs w:val="21"/>
                <w:highlight w:val="none"/>
              </w:rPr>
            </w:pPr>
          </w:p>
        </w:tc>
        <w:tc>
          <w:tcPr>
            <w:tcW w:w="902" w:type="dxa"/>
            <w:tcBorders>
              <w:top w:val="single" w:color="auto" w:sz="4" w:space="0"/>
              <w:left w:val="single" w:color="auto" w:sz="4" w:space="0"/>
              <w:bottom w:val="single" w:color="auto" w:sz="4" w:space="0"/>
              <w:right w:val="single" w:color="auto" w:sz="4" w:space="0"/>
            </w:tcBorders>
          </w:tcPr>
          <w:p w14:paraId="294B19E4">
            <w:pPr>
              <w:spacing w:line="440" w:lineRule="exact"/>
              <w:jc w:val="center"/>
              <w:rPr>
                <w:color w:val="auto"/>
                <w:szCs w:val="21"/>
                <w:highlight w:val="none"/>
              </w:rPr>
            </w:pPr>
          </w:p>
        </w:tc>
        <w:tc>
          <w:tcPr>
            <w:tcW w:w="870" w:type="dxa"/>
            <w:tcBorders>
              <w:top w:val="single" w:color="auto" w:sz="4" w:space="0"/>
              <w:left w:val="single" w:color="auto" w:sz="4" w:space="0"/>
              <w:bottom w:val="single" w:color="auto" w:sz="4" w:space="0"/>
              <w:right w:val="single" w:color="auto" w:sz="4" w:space="0"/>
            </w:tcBorders>
          </w:tcPr>
          <w:p w14:paraId="41CEA240">
            <w:pPr>
              <w:spacing w:line="440" w:lineRule="exact"/>
              <w:jc w:val="center"/>
              <w:rPr>
                <w:color w:val="auto"/>
                <w:szCs w:val="21"/>
                <w:highlight w:val="none"/>
              </w:rPr>
            </w:pPr>
          </w:p>
        </w:tc>
        <w:tc>
          <w:tcPr>
            <w:tcW w:w="644" w:type="dxa"/>
            <w:tcBorders>
              <w:top w:val="single" w:color="auto" w:sz="4" w:space="0"/>
              <w:left w:val="single" w:color="auto" w:sz="4" w:space="0"/>
              <w:bottom w:val="single" w:color="auto" w:sz="4" w:space="0"/>
              <w:right w:val="single" w:color="auto" w:sz="4" w:space="0"/>
            </w:tcBorders>
          </w:tcPr>
          <w:p w14:paraId="41C75AB5">
            <w:pPr>
              <w:spacing w:line="440" w:lineRule="exact"/>
              <w:jc w:val="center"/>
              <w:rPr>
                <w:color w:val="auto"/>
                <w:szCs w:val="21"/>
                <w:highlight w:val="none"/>
              </w:rPr>
            </w:pPr>
          </w:p>
        </w:tc>
        <w:tc>
          <w:tcPr>
            <w:tcW w:w="772" w:type="dxa"/>
            <w:tcBorders>
              <w:top w:val="single" w:color="auto" w:sz="4" w:space="0"/>
              <w:left w:val="single" w:color="auto" w:sz="4" w:space="0"/>
              <w:bottom w:val="single" w:color="auto" w:sz="4" w:space="0"/>
              <w:right w:val="single" w:color="auto" w:sz="4" w:space="0"/>
            </w:tcBorders>
          </w:tcPr>
          <w:p w14:paraId="2B4B35D5">
            <w:pPr>
              <w:spacing w:line="440" w:lineRule="exact"/>
              <w:jc w:val="center"/>
              <w:rPr>
                <w:color w:val="auto"/>
                <w:szCs w:val="21"/>
                <w:highlight w:val="none"/>
              </w:rPr>
            </w:pPr>
          </w:p>
        </w:tc>
        <w:tc>
          <w:tcPr>
            <w:tcW w:w="644" w:type="dxa"/>
            <w:tcBorders>
              <w:top w:val="single" w:color="auto" w:sz="4" w:space="0"/>
              <w:left w:val="single" w:color="auto" w:sz="4" w:space="0"/>
              <w:bottom w:val="single" w:color="auto" w:sz="4" w:space="0"/>
              <w:right w:val="single" w:color="auto" w:sz="4" w:space="0"/>
            </w:tcBorders>
          </w:tcPr>
          <w:p w14:paraId="1CF39E4A">
            <w:pPr>
              <w:spacing w:line="440" w:lineRule="exact"/>
              <w:jc w:val="center"/>
              <w:rPr>
                <w:color w:val="auto"/>
                <w:szCs w:val="21"/>
                <w:highlight w:val="none"/>
              </w:rPr>
            </w:pPr>
          </w:p>
        </w:tc>
        <w:tc>
          <w:tcPr>
            <w:tcW w:w="644" w:type="dxa"/>
            <w:tcBorders>
              <w:top w:val="single" w:color="auto" w:sz="4" w:space="0"/>
              <w:left w:val="single" w:color="auto" w:sz="4" w:space="0"/>
              <w:bottom w:val="single" w:color="auto" w:sz="4" w:space="0"/>
              <w:right w:val="single" w:color="auto" w:sz="4" w:space="0"/>
            </w:tcBorders>
          </w:tcPr>
          <w:p w14:paraId="32A3A74D">
            <w:pPr>
              <w:spacing w:line="440" w:lineRule="exact"/>
              <w:jc w:val="center"/>
              <w:rPr>
                <w:color w:val="auto"/>
                <w:szCs w:val="21"/>
                <w:highlight w:val="none"/>
              </w:rPr>
            </w:pPr>
          </w:p>
        </w:tc>
        <w:tc>
          <w:tcPr>
            <w:tcW w:w="645" w:type="dxa"/>
            <w:tcBorders>
              <w:top w:val="single" w:color="auto" w:sz="4" w:space="0"/>
              <w:left w:val="single" w:color="auto" w:sz="4" w:space="0"/>
              <w:bottom w:val="single" w:color="auto" w:sz="4" w:space="0"/>
              <w:right w:val="single" w:color="auto" w:sz="4" w:space="0"/>
            </w:tcBorders>
          </w:tcPr>
          <w:p w14:paraId="6561FE56">
            <w:pPr>
              <w:spacing w:line="440" w:lineRule="exact"/>
              <w:jc w:val="center"/>
              <w:rPr>
                <w:color w:val="auto"/>
                <w:szCs w:val="21"/>
                <w:highlight w:val="none"/>
              </w:rPr>
            </w:pPr>
          </w:p>
        </w:tc>
        <w:tc>
          <w:tcPr>
            <w:tcW w:w="901" w:type="dxa"/>
            <w:tcBorders>
              <w:top w:val="single" w:color="auto" w:sz="4" w:space="0"/>
              <w:left w:val="single" w:color="auto" w:sz="4" w:space="0"/>
              <w:bottom w:val="single" w:color="auto" w:sz="4" w:space="0"/>
              <w:right w:val="single" w:color="auto" w:sz="4" w:space="0"/>
            </w:tcBorders>
          </w:tcPr>
          <w:p w14:paraId="5E15F035">
            <w:pPr>
              <w:spacing w:line="440" w:lineRule="exact"/>
              <w:jc w:val="center"/>
              <w:rPr>
                <w:color w:val="auto"/>
                <w:szCs w:val="21"/>
                <w:highlight w:val="none"/>
              </w:rPr>
            </w:pPr>
          </w:p>
        </w:tc>
        <w:tc>
          <w:tcPr>
            <w:tcW w:w="1704" w:type="dxa"/>
            <w:tcBorders>
              <w:top w:val="single" w:color="auto" w:sz="4" w:space="0"/>
              <w:left w:val="single" w:color="auto" w:sz="4" w:space="0"/>
              <w:bottom w:val="single" w:color="auto" w:sz="4" w:space="0"/>
              <w:right w:val="single" w:color="auto" w:sz="4" w:space="0"/>
            </w:tcBorders>
          </w:tcPr>
          <w:p w14:paraId="4EB0A20E">
            <w:pPr>
              <w:spacing w:line="440" w:lineRule="exact"/>
              <w:jc w:val="center"/>
              <w:rPr>
                <w:color w:val="auto"/>
                <w:szCs w:val="21"/>
                <w:highlight w:val="none"/>
              </w:rPr>
            </w:pPr>
          </w:p>
        </w:tc>
      </w:tr>
      <w:tr w14:paraId="61DECD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030" w:type="dxa"/>
            <w:tcBorders>
              <w:top w:val="single" w:color="auto" w:sz="4" w:space="0"/>
              <w:left w:val="single" w:color="auto" w:sz="4" w:space="0"/>
              <w:bottom w:val="single" w:color="auto" w:sz="4" w:space="0"/>
              <w:right w:val="single" w:color="auto" w:sz="4" w:space="0"/>
            </w:tcBorders>
          </w:tcPr>
          <w:p w14:paraId="619FA9D0">
            <w:pPr>
              <w:spacing w:line="440" w:lineRule="exact"/>
              <w:jc w:val="center"/>
              <w:rPr>
                <w:color w:val="auto"/>
                <w:szCs w:val="21"/>
                <w:highlight w:val="none"/>
              </w:rPr>
            </w:pPr>
          </w:p>
        </w:tc>
        <w:tc>
          <w:tcPr>
            <w:tcW w:w="902" w:type="dxa"/>
            <w:tcBorders>
              <w:top w:val="single" w:color="auto" w:sz="4" w:space="0"/>
              <w:left w:val="single" w:color="auto" w:sz="4" w:space="0"/>
              <w:bottom w:val="single" w:color="auto" w:sz="4" w:space="0"/>
              <w:right w:val="single" w:color="auto" w:sz="4" w:space="0"/>
            </w:tcBorders>
          </w:tcPr>
          <w:p w14:paraId="3E5697E0">
            <w:pPr>
              <w:spacing w:line="440" w:lineRule="exact"/>
              <w:jc w:val="center"/>
              <w:rPr>
                <w:color w:val="auto"/>
                <w:szCs w:val="21"/>
                <w:highlight w:val="none"/>
              </w:rPr>
            </w:pPr>
          </w:p>
        </w:tc>
        <w:tc>
          <w:tcPr>
            <w:tcW w:w="870" w:type="dxa"/>
            <w:tcBorders>
              <w:top w:val="single" w:color="auto" w:sz="4" w:space="0"/>
              <w:left w:val="single" w:color="auto" w:sz="4" w:space="0"/>
              <w:bottom w:val="single" w:color="auto" w:sz="4" w:space="0"/>
              <w:right w:val="single" w:color="auto" w:sz="4" w:space="0"/>
            </w:tcBorders>
          </w:tcPr>
          <w:p w14:paraId="39A6174D">
            <w:pPr>
              <w:spacing w:line="440" w:lineRule="exact"/>
              <w:jc w:val="center"/>
              <w:rPr>
                <w:color w:val="auto"/>
                <w:szCs w:val="21"/>
                <w:highlight w:val="none"/>
              </w:rPr>
            </w:pPr>
          </w:p>
        </w:tc>
        <w:tc>
          <w:tcPr>
            <w:tcW w:w="644" w:type="dxa"/>
            <w:tcBorders>
              <w:top w:val="single" w:color="auto" w:sz="4" w:space="0"/>
              <w:left w:val="single" w:color="auto" w:sz="4" w:space="0"/>
              <w:bottom w:val="single" w:color="auto" w:sz="4" w:space="0"/>
              <w:right w:val="single" w:color="auto" w:sz="4" w:space="0"/>
            </w:tcBorders>
          </w:tcPr>
          <w:p w14:paraId="3A9CB526">
            <w:pPr>
              <w:spacing w:line="440" w:lineRule="exact"/>
              <w:jc w:val="center"/>
              <w:rPr>
                <w:color w:val="auto"/>
                <w:szCs w:val="21"/>
                <w:highlight w:val="none"/>
              </w:rPr>
            </w:pPr>
          </w:p>
        </w:tc>
        <w:tc>
          <w:tcPr>
            <w:tcW w:w="772" w:type="dxa"/>
            <w:tcBorders>
              <w:top w:val="single" w:color="auto" w:sz="4" w:space="0"/>
              <w:left w:val="single" w:color="auto" w:sz="4" w:space="0"/>
              <w:bottom w:val="single" w:color="auto" w:sz="4" w:space="0"/>
              <w:right w:val="single" w:color="auto" w:sz="4" w:space="0"/>
            </w:tcBorders>
          </w:tcPr>
          <w:p w14:paraId="26BDAF6A">
            <w:pPr>
              <w:spacing w:line="440" w:lineRule="exact"/>
              <w:jc w:val="center"/>
              <w:rPr>
                <w:color w:val="auto"/>
                <w:szCs w:val="21"/>
                <w:highlight w:val="none"/>
              </w:rPr>
            </w:pPr>
          </w:p>
        </w:tc>
        <w:tc>
          <w:tcPr>
            <w:tcW w:w="644" w:type="dxa"/>
            <w:tcBorders>
              <w:top w:val="single" w:color="auto" w:sz="4" w:space="0"/>
              <w:left w:val="single" w:color="auto" w:sz="4" w:space="0"/>
              <w:bottom w:val="single" w:color="auto" w:sz="4" w:space="0"/>
              <w:right w:val="single" w:color="auto" w:sz="4" w:space="0"/>
            </w:tcBorders>
          </w:tcPr>
          <w:p w14:paraId="3AB930A6">
            <w:pPr>
              <w:spacing w:line="440" w:lineRule="exact"/>
              <w:jc w:val="center"/>
              <w:rPr>
                <w:color w:val="auto"/>
                <w:szCs w:val="21"/>
                <w:highlight w:val="none"/>
              </w:rPr>
            </w:pPr>
          </w:p>
        </w:tc>
        <w:tc>
          <w:tcPr>
            <w:tcW w:w="644" w:type="dxa"/>
            <w:tcBorders>
              <w:top w:val="single" w:color="auto" w:sz="4" w:space="0"/>
              <w:left w:val="single" w:color="auto" w:sz="4" w:space="0"/>
              <w:bottom w:val="single" w:color="auto" w:sz="4" w:space="0"/>
              <w:right w:val="single" w:color="auto" w:sz="4" w:space="0"/>
            </w:tcBorders>
          </w:tcPr>
          <w:p w14:paraId="7E2C7126">
            <w:pPr>
              <w:spacing w:line="440" w:lineRule="exact"/>
              <w:jc w:val="center"/>
              <w:rPr>
                <w:color w:val="auto"/>
                <w:szCs w:val="21"/>
                <w:highlight w:val="none"/>
              </w:rPr>
            </w:pPr>
          </w:p>
        </w:tc>
        <w:tc>
          <w:tcPr>
            <w:tcW w:w="645" w:type="dxa"/>
            <w:tcBorders>
              <w:top w:val="single" w:color="auto" w:sz="4" w:space="0"/>
              <w:left w:val="single" w:color="auto" w:sz="4" w:space="0"/>
              <w:bottom w:val="single" w:color="auto" w:sz="4" w:space="0"/>
              <w:right w:val="single" w:color="auto" w:sz="4" w:space="0"/>
            </w:tcBorders>
          </w:tcPr>
          <w:p w14:paraId="21BAE138">
            <w:pPr>
              <w:spacing w:line="440" w:lineRule="exact"/>
              <w:jc w:val="center"/>
              <w:rPr>
                <w:color w:val="auto"/>
                <w:szCs w:val="21"/>
                <w:highlight w:val="none"/>
              </w:rPr>
            </w:pPr>
          </w:p>
        </w:tc>
        <w:tc>
          <w:tcPr>
            <w:tcW w:w="901" w:type="dxa"/>
            <w:tcBorders>
              <w:top w:val="single" w:color="auto" w:sz="4" w:space="0"/>
              <w:left w:val="single" w:color="auto" w:sz="4" w:space="0"/>
              <w:bottom w:val="single" w:color="auto" w:sz="4" w:space="0"/>
              <w:right w:val="single" w:color="auto" w:sz="4" w:space="0"/>
            </w:tcBorders>
          </w:tcPr>
          <w:p w14:paraId="5A52B3D4">
            <w:pPr>
              <w:spacing w:line="440" w:lineRule="exact"/>
              <w:jc w:val="center"/>
              <w:rPr>
                <w:color w:val="auto"/>
                <w:szCs w:val="21"/>
                <w:highlight w:val="none"/>
              </w:rPr>
            </w:pPr>
          </w:p>
        </w:tc>
        <w:tc>
          <w:tcPr>
            <w:tcW w:w="1704" w:type="dxa"/>
            <w:tcBorders>
              <w:top w:val="single" w:color="auto" w:sz="4" w:space="0"/>
              <w:left w:val="single" w:color="auto" w:sz="4" w:space="0"/>
              <w:bottom w:val="single" w:color="auto" w:sz="4" w:space="0"/>
              <w:right w:val="single" w:color="auto" w:sz="4" w:space="0"/>
            </w:tcBorders>
          </w:tcPr>
          <w:p w14:paraId="797363BE">
            <w:pPr>
              <w:spacing w:line="440" w:lineRule="exact"/>
              <w:jc w:val="center"/>
              <w:rPr>
                <w:color w:val="auto"/>
                <w:szCs w:val="21"/>
                <w:highlight w:val="none"/>
              </w:rPr>
            </w:pPr>
          </w:p>
        </w:tc>
      </w:tr>
      <w:tr w14:paraId="73CD27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030" w:type="dxa"/>
            <w:tcBorders>
              <w:top w:val="single" w:color="auto" w:sz="4" w:space="0"/>
              <w:left w:val="single" w:color="auto" w:sz="4" w:space="0"/>
              <w:bottom w:val="single" w:color="auto" w:sz="4" w:space="0"/>
              <w:right w:val="single" w:color="auto" w:sz="4" w:space="0"/>
            </w:tcBorders>
          </w:tcPr>
          <w:p w14:paraId="79972410">
            <w:pPr>
              <w:spacing w:line="440" w:lineRule="exact"/>
              <w:jc w:val="center"/>
              <w:rPr>
                <w:color w:val="auto"/>
                <w:szCs w:val="21"/>
                <w:highlight w:val="none"/>
              </w:rPr>
            </w:pPr>
          </w:p>
        </w:tc>
        <w:tc>
          <w:tcPr>
            <w:tcW w:w="902" w:type="dxa"/>
            <w:tcBorders>
              <w:top w:val="single" w:color="auto" w:sz="4" w:space="0"/>
              <w:left w:val="single" w:color="auto" w:sz="4" w:space="0"/>
              <w:bottom w:val="single" w:color="auto" w:sz="4" w:space="0"/>
              <w:right w:val="single" w:color="auto" w:sz="4" w:space="0"/>
            </w:tcBorders>
          </w:tcPr>
          <w:p w14:paraId="6D4E6583">
            <w:pPr>
              <w:spacing w:line="440" w:lineRule="exact"/>
              <w:jc w:val="center"/>
              <w:rPr>
                <w:color w:val="auto"/>
                <w:szCs w:val="21"/>
                <w:highlight w:val="none"/>
              </w:rPr>
            </w:pPr>
          </w:p>
        </w:tc>
        <w:tc>
          <w:tcPr>
            <w:tcW w:w="870" w:type="dxa"/>
            <w:tcBorders>
              <w:top w:val="single" w:color="auto" w:sz="4" w:space="0"/>
              <w:left w:val="single" w:color="auto" w:sz="4" w:space="0"/>
              <w:bottom w:val="single" w:color="auto" w:sz="4" w:space="0"/>
              <w:right w:val="single" w:color="auto" w:sz="4" w:space="0"/>
            </w:tcBorders>
          </w:tcPr>
          <w:p w14:paraId="2DB776F3">
            <w:pPr>
              <w:spacing w:line="440" w:lineRule="exact"/>
              <w:jc w:val="center"/>
              <w:rPr>
                <w:color w:val="auto"/>
                <w:szCs w:val="21"/>
                <w:highlight w:val="none"/>
              </w:rPr>
            </w:pPr>
          </w:p>
        </w:tc>
        <w:tc>
          <w:tcPr>
            <w:tcW w:w="644" w:type="dxa"/>
            <w:tcBorders>
              <w:top w:val="single" w:color="auto" w:sz="4" w:space="0"/>
              <w:left w:val="single" w:color="auto" w:sz="4" w:space="0"/>
              <w:bottom w:val="single" w:color="auto" w:sz="4" w:space="0"/>
              <w:right w:val="single" w:color="auto" w:sz="4" w:space="0"/>
            </w:tcBorders>
          </w:tcPr>
          <w:p w14:paraId="063776EB">
            <w:pPr>
              <w:spacing w:line="440" w:lineRule="exact"/>
              <w:jc w:val="center"/>
              <w:rPr>
                <w:color w:val="auto"/>
                <w:szCs w:val="21"/>
                <w:highlight w:val="none"/>
              </w:rPr>
            </w:pPr>
          </w:p>
        </w:tc>
        <w:tc>
          <w:tcPr>
            <w:tcW w:w="772" w:type="dxa"/>
            <w:tcBorders>
              <w:top w:val="single" w:color="auto" w:sz="4" w:space="0"/>
              <w:left w:val="single" w:color="auto" w:sz="4" w:space="0"/>
              <w:bottom w:val="single" w:color="auto" w:sz="4" w:space="0"/>
              <w:right w:val="single" w:color="auto" w:sz="4" w:space="0"/>
            </w:tcBorders>
          </w:tcPr>
          <w:p w14:paraId="164F8E6F">
            <w:pPr>
              <w:spacing w:line="440" w:lineRule="exact"/>
              <w:jc w:val="center"/>
              <w:rPr>
                <w:color w:val="auto"/>
                <w:szCs w:val="21"/>
                <w:highlight w:val="none"/>
              </w:rPr>
            </w:pPr>
          </w:p>
        </w:tc>
        <w:tc>
          <w:tcPr>
            <w:tcW w:w="644" w:type="dxa"/>
            <w:tcBorders>
              <w:top w:val="single" w:color="auto" w:sz="4" w:space="0"/>
              <w:left w:val="single" w:color="auto" w:sz="4" w:space="0"/>
              <w:bottom w:val="single" w:color="auto" w:sz="4" w:space="0"/>
              <w:right w:val="single" w:color="auto" w:sz="4" w:space="0"/>
            </w:tcBorders>
          </w:tcPr>
          <w:p w14:paraId="3A98F052">
            <w:pPr>
              <w:spacing w:line="440" w:lineRule="exact"/>
              <w:jc w:val="center"/>
              <w:rPr>
                <w:color w:val="auto"/>
                <w:szCs w:val="21"/>
                <w:highlight w:val="none"/>
              </w:rPr>
            </w:pPr>
          </w:p>
        </w:tc>
        <w:tc>
          <w:tcPr>
            <w:tcW w:w="644" w:type="dxa"/>
            <w:tcBorders>
              <w:top w:val="single" w:color="auto" w:sz="4" w:space="0"/>
              <w:left w:val="single" w:color="auto" w:sz="4" w:space="0"/>
              <w:bottom w:val="single" w:color="auto" w:sz="4" w:space="0"/>
              <w:right w:val="single" w:color="auto" w:sz="4" w:space="0"/>
            </w:tcBorders>
          </w:tcPr>
          <w:p w14:paraId="18FCEC5E">
            <w:pPr>
              <w:spacing w:line="440" w:lineRule="exact"/>
              <w:jc w:val="center"/>
              <w:rPr>
                <w:color w:val="auto"/>
                <w:szCs w:val="21"/>
                <w:highlight w:val="none"/>
              </w:rPr>
            </w:pPr>
          </w:p>
        </w:tc>
        <w:tc>
          <w:tcPr>
            <w:tcW w:w="645" w:type="dxa"/>
            <w:tcBorders>
              <w:top w:val="single" w:color="auto" w:sz="4" w:space="0"/>
              <w:left w:val="single" w:color="auto" w:sz="4" w:space="0"/>
              <w:bottom w:val="single" w:color="auto" w:sz="4" w:space="0"/>
              <w:right w:val="single" w:color="auto" w:sz="4" w:space="0"/>
            </w:tcBorders>
          </w:tcPr>
          <w:p w14:paraId="648D5886">
            <w:pPr>
              <w:spacing w:line="440" w:lineRule="exact"/>
              <w:jc w:val="center"/>
              <w:rPr>
                <w:color w:val="auto"/>
                <w:szCs w:val="21"/>
                <w:highlight w:val="none"/>
              </w:rPr>
            </w:pPr>
          </w:p>
        </w:tc>
        <w:tc>
          <w:tcPr>
            <w:tcW w:w="901" w:type="dxa"/>
            <w:tcBorders>
              <w:top w:val="single" w:color="auto" w:sz="4" w:space="0"/>
              <w:left w:val="single" w:color="auto" w:sz="4" w:space="0"/>
              <w:bottom w:val="single" w:color="auto" w:sz="4" w:space="0"/>
              <w:right w:val="single" w:color="auto" w:sz="4" w:space="0"/>
            </w:tcBorders>
          </w:tcPr>
          <w:p w14:paraId="5AE15D57">
            <w:pPr>
              <w:spacing w:line="440" w:lineRule="exact"/>
              <w:jc w:val="center"/>
              <w:rPr>
                <w:color w:val="auto"/>
                <w:szCs w:val="21"/>
                <w:highlight w:val="none"/>
              </w:rPr>
            </w:pPr>
          </w:p>
        </w:tc>
        <w:tc>
          <w:tcPr>
            <w:tcW w:w="1704" w:type="dxa"/>
            <w:tcBorders>
              <w:top w:val="single" w:color="auto" w:sz="4" w:space="0"/>
              <w:left w:val="single" w:color="auto" w:sz="4" w:space="0"/>
              <w:bottom w:val="single" w:color="auto" w:sz="4" w:space="0"/>
              <w:right w:val="single" w:color="auto" w:sz="4" w:space="0"/>
            </w:tcBorders>
          </w:tcPr>
          <w:p w14:paraId="4A870920">
            <w:pPr>
              <w:spacing w:line="440" w:lineRule="exact"/>
              <w:jc w:val="center"/>
              <w:rPr>
                <w:color w:val="auto"/>
                <w:szCs w:val="21"/>
                <w:highlight w:val="none"/>
              </w:rPr>
            </w:pPr>
          </w:p>
        </w:tc>
      </w:tr>
      <w:tr w14:paraId="0FCF9C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1030" w:type="dxa"/>
            <w:tcBorders>
              <w:top w:val="single" w:color="auto" w:sz="4" w:space="0"/>
              <w:left w:val="single" w:color="auto" w:sz="4" w:space="0"/>
              <w:bottom w:val="single" w:color="auto" w:sz="4" w:space="0"/>
              <w:right w:val="single" w:color="auto" w:sz="4" w:space="0"/>
            </w:tcBorders>
          </w:tcPr>
          <w:p w14:paraId="3EB5789E">
            <w:pPr>
              <w:spacing w:line="440" w:lineRule="exact"/>
              <w:jc w:val="center"/>
              <w:rPr>
                <w:color w:val="auto"/>
                <w:szCs w:val="21"/>
                <w:highlight w:val="none"/>
              </w:rPr>
            </w:pPr>
          </w:p>
        </w:tc>
        <w:tc>
          <w:tcPr>
            <w:tcW w:w="902" w:type="dxa"/>
            <w:tcBorders>
              <w:top w:val="single" w:color="auto" w:sz="4" w:space="0"/>
              <w:left w:val="single" w:color="auto" w:sz="4" w:space="0"/>
              <w:bottom w:val="single" w:color="auto" w:sz="4" w:space="0"/>
              <w:right w:val="single" w:color="auto" w:sz="4" w:space="0"/>
            </w:tcBorders>
          </w:tcPr>
          <w:p w14:paraId="2FC51C47">
            <w:pPr>
              <w:spacing w:line="440" w:lineRule="exact"/>
              <w:jc w:val="center"/>
              <w:rPr>
                <w:color w:val="auto"/>
                <w:szCs w:val="21"/>
                <w:highlight w:val="none"/>
              </w:rPr>
            </w:pPr>
          </w:p>
        </w:tc>
        <w:tc>
          <w:tcPr>
            <w:tcW w:w="870" w:type="dxa"/>
            <w:tcBorders>
              <w:top w:val="single" w:color="auto" w:sz="4" w:space="0"/>
              <w:left w:val="single" w:color="auto" w:sz="4" w:space="0"/>
              <w:bottom w:val="single" w:color="auto" w:sz="4" w:space="0"/>
              <w:right w:val="single" w:color="auto" w:sz="4" w:space="0"/>
            </w:tcBorders>
          </w:tcPr>
          <w:p w14:paraId="0A7E8062">
            <w:pPr>
              <w:spacing w:line="440" w:lineRule="exact"/>
              <w:jc w:val="center"/>
              <w:rPr>
                <w:color w:val="auto"/>
                <w:szCs w:val="21"/>
                <w:highlight w:val="none"/>
              </w:rPr>
            </w:pPr>
          </w:p>
        </w:tc>
        <w:tc>
          <w:tcPr>
            <w:tcW w:w="644" w:type="dxa"/>
            <w:tcBorders>
              <w:top w:val="single" w:color="auto" w:sz="4" w:space="0"/>
              <w:left w:val="single" w:color="auto" w:sz="4" w:space="0"/>
              <w:bottom w:val="single" w:color="auto" w:sz="4" w:space="0"/>
              <w:right w:val="single" w:color="auto" w:sz="4" w:space="0"/>
            </w:tcBorders>
          </w:tcPr>
          <w:p w14:paraId="0C2DB722">
            <w:pPr>
              <w:spacing w:line="440" w:lineRule="exact"/>
              <w:jc w:val="center"/>
              <w:rPr>
                <w:color w:val="auto"/>
                <w:szCs w:val="21"/>
                <w:highlight w:val="none"/>
              </w:rPr>
            </w:pPr>
          </w:p>
        </w:tc>
        <w:tc>
          <w:tcPr>
            <w:tcW w:w="772" w:type="dxa"/>
            <w:tcBorders>
              <w:top w:val="single" w:color="auto" w:sz="4" w:space="0"/>
              <w:left w:val="single" w:color="auto" w:sz="4" w:space="0"/>
              <w:bottom w:val="single" w:color="auto" w:sz="4" w:space="0"/>
              <w:right w:val="single" w:color="auto" w:sz="4" w:space="0"/>
            </w:tcBorders>
          </w:tcPr>
          <w:p w14:paraId="386210C8">
            <w:pPr>
              <w:spacing w:line="440" w:lineRule="exact"/>
              <w:jc w:val="center"/>
              <w:rPr>
                <w:color w:val="auto"/>
                <w:szCs w:val="21"/>
                <w:highlight w:val="none"/>
              </w:rPr>
            </w:pPr>
          </w:p>
        </w:tc>
        <w:tc>
          <w:tcPr>
            <w:tcW w:w="644" w:type="dxa"/>
            <w:tcBorders>
              <w:top w:val="single" w:color="auto" w:sz="4" w:space="0"/>
              <w:left w:val="single" w:color="auto" w:sz="4" w:space="0"/>
              <w:bottom w:val="single" w:color="auto" w:sz="4" w:space="0"/>
              <w:right w:val="single" w:color="auto" w:sz="4" w:space="0"/>
            </w:tcBorders>
          </w:tcPr>
          <w:p w14:paraId="563911F6">
            <w:pPr>
              <w:spacing w:line="440" w:lineRule="exact"/>
              <w:jc w:val="center"/>
              <w:rPr>
                <w:color w:val="auto"/>
                <w:szCs w:val="21"/>
                <w:highlight w:val="none"/>
              </w:rPr>
            </w:pPr>
          </w:p>
        </w:tc>
        <w:tc>
          <w:tcPr>
            <w:tcW w:w="644" w:type="dxa"/>
            <w:tcBorders>
              <w:top w:val="single" w:color="auto" w:sz="4" w:space="0"/>
              <w:left w:val="single" w:color="auto" w:sz="4" w:space="0"/>
              <w:bottom w:val="single" w:color="auto" w:sz="4" w:space="0"/>
              <w:right w:val="single" w:color="auto" w:sz="4" w:space="0"/>
            </w:tcBorders>
          </w:tcPr>
          <w:p w14:paraId="781C2AB9">
            <w:pPr>
              <w:spacing w:line="440" w:lineRule="exact"/>
              <w:jc w:val="center"/>
              <w:rPr>
                <w:color w:val="auto"/>
                <w:szCs w:val="21"/>
                <w:highlight w:val="none"/>
              </w:rPr>
            </w:pPr>
          </w:p>
        </w:tc>
        <w:tc>
          <w:tcPr>
            <w:tcW w:w="645" w:type="dxa"/>
            <w:tcBorders>
              <w:top w:val="single" w:color="auto" w:sz="4" w:space="0"/>
              <w:left w:val="single" w:color="auto" w:sz="4" w:space="0"/>
              <w:bottom w:val="single" w:color="auto" w:sz="4" w:space="0"/>
              <w:right w:val="single" w:color="auto" w:sz="4" w:space="0"/>
            </w:tcBorders>
          </w:tcPr>
          <w:p w14:paraId="4BBB4B74">
            <w:pPr>
              <w:spacing w:line="440" w:lineRule="exact"/>
              <w:jc w:val="center"/>
              <w:rPr>
                <w:color w:val="auto"/>
                <w:szCs w:val="21"/>
                <w:highlight w:val="none"/>
              </w:rPr>
            </w:pPr>
          </w:p>
        </w:tc>
        <w:tc>
          <w:tcPr>
            <w:tcW w:w="901" w:type="dxa"/>
            <w:tcBorders>
              <w:top w:val="single" w:color="auto" w:sz="4" w:space="0"/>
              <w:left w:val="single" w:color="auto" w:sz="4" w:space="0"/>
              <w:bottom w:val="single" w:color="auto" w:sz="4" w:space="0"/>
              <w:right w:val="single" w:color="auto" w:sz="4" w:space="0"/>
            </w:tcBorders>
          </w:tcPr>
          <w:p w14:paraId="1E495123">
            <w:pPr>
              <w:spacing w:line="440" w:lineRule="exact"/>
              <w:jc w:val="center"/>
              <w:rPr>
                <w:color w:val="auto"/>
                <w:szCs w:val="21"/>
                <w:highlight w:val="none"/>
              </w:rPr>
            </w:pPr>
          </w:p>
        </w:tc>
        <w:tc>
          <w:tcPr>
            <w:tcW w:w="1704" w:type="dxa"/>
            <w:tcBorders>
              <w:top w:val="single" w:color="auto" w:sz="4" w:space="0"/>
              <w:left w:val="single" w:color="auto" w:sz="4" w:space="0"/>
              <w:bottom w:val="single" w:color="auto" w:sz="4" w:space="0"/>
              <w:right w:val="single" w:color="auto" w:sz="4" w:space="0"/>
            </w:tcBorders>
          </w:tcPr>
          <w:p w14:paraId="205D733B">
            <w:pPr>
              <w:spacing w:line="440" w:lineRule="exact"/>
              <w:jc w:val="center"/>
              <w:rPr>
                <w:color w:val="auto"/>
                <w:szCs w:val="21"/>
                <w:highlight w:val="none"/>
              </w:rPr>
            </w:pPr>
          </w:p>
        </w:tc>
      </w:tr>
    </w:tbl>
    <w:p w14:paraId="2611247C">
      <w:pPr>
        <w:topLinePunct/>
        <w:spacing w:line="440" w:lineRule="exact"/>
        <w:jc w:val="center"/>
        <w:rPr>
          <w:color w:val="auto"/>
          <w:sz w:val="20"/>
          <w:highlight w:val="none"/>
        </w:rPr>
      </w:pPr>
    </w:p>
    <w:p w14:paraId="2711FA2C">
      <w:pPr>
        <w:topLinePunct/>
        <w:spacing w:line="440" w:lineRule="exact"/>
        <w:jc w:val="center"/>
        <w:rPr>
          <w:color w:val="auto"/>
          <w:sz w:val="20"/>
          <w:highlight w:val="none"/>
        </w:rPr>
      </w:pPr>
      <w:r>
        <w:rPr>
          <w:color w:val="auto"/>
          <w:sz w:val="20"/>
          <w:highlight w:val="none"/>
        </w:rPr>
        <w:br w:type="page"/>
      </w:r>
    </w:p>
    <w:p w14:paraId="2BBA2AC1">
      <w:pPr>
        <w:spacing w:before="312" w:beforeLines="100" w:after="312" w:afterLines="100" w:line="440" w:lineRule="exact"/>
        <w:jc w:val="center"/>
        <w:rPr>
          <w:rFonts w:ascii="Arial" w:hAnsi="Arial" w:eastAsia="黑体"/>
          <w:b/>
          <w:bCs/>
          <w:color w:val="auto"/>
          <w:sz w:val="32"/>
          <w:szCs w:val="32"/>
          <w:highlight w:val="none"/>
        </w:rPr>
      </w:pPr>
      <w:bookmarkStart w:id="193" w:name="_Toc144974873"/>
      <w:bookmarkStart w:id="194" w:name="_Toc152045805"/>
      <w:bookmarkStart w:id="195" w:name="_Toc326223616"/>
      <w:bookmarkStart w:id="196" w:name="_Toc179632825"/>
      <w:bookmarkStart w:id="197" w:name="_Toc246996371"/>
      <w:bookmarkStart w:id="198" w:name="_Toc334766998"/>
      <w:bookmarkStart w:id="199" w:name="_Toc247085889"/>
      <w:bookmarkStart w:id="200" w:name="_Toc246997114"/>
      <w:bookmarkStart w:id="201" w:name="_Toc332188245"/>
      <w:bookmarkStart w:id="202" w:name="_Toc152042594"/>
      <w:r>
        <w:rPr>
          <w:rFonts w:ascii="Arial" w:hAnsi="Arial" w:eastAsia="黑体"/>
          <w:b/>
          <w:bCs/>
          <w:color w:val="auto"/>
          <w:sz w:val="32"/>
          <w:szCs w:val="32"/>
          <w:highlight w:val="none"/>
        </w:rPr>
        <w:t>（二）</w:t>
      </w:r>
      <w:r>
        <w:rPr>
          <w:rFonts w:hint="eastAsia" w:ascii="Arial" w:hAnsi="Arial" w:eastAsia="黑体"/>
          <w:b/>
          <w:bCs/>
          <w:color w:val="auto"/>
          <w:sz w:val="32"/>
          <w:szCs w:val="32"/>
          <w:highlight w:val="none"/>
        </w:rPr>
        <w:t>项目负责人</w:t>
      </w:r>
      <w:r>
        <w:rPr>
          <w:rFonts w:ascii="Arial" w:hAnsi="Arial" w:eastAsia="黑体"/>
          <w:b/>
          <w:bCs/>
          <w:color w:val="auto"/>
          <w:sz w:val="32"/>
          <w:szCs w:val="32"/>
          <w:highlight w:val="none"/>
        </w:rPr>
        <w:t>简历表</w:t>
      </w:r>
      <w:bookmarkEnd w:id="193"/>
      <w:bookmarkEnd w:id="194"/>
      <w:bookmarkEnd w:id="195"/>
      <w:bookmarkEnd w:id="196"/>
      <w:bookmarkEnd w:id="197"/>
      <w:bookmarkEnd w:id="198"/>
      <w:bookmarkEnd w:id="199"/>
      <w:bookmarkEnd w:id="200"/>
      <w:bookmarkEnd w:id="201"/>
      <w:bookmarkEnd w:id="202"/>
    </w:p>
    <w:p w14:paraId="6BBFB3F1">
      <w:pPr>
        <w:spacing w:line="400" w:lineRule="exact"/>
        <w:ind w:firstLine="420" w:firstLineChars="200"/>
        <w:rPr>
          <w:color w:val="auto"/>
          <w:highlight w:val="none"/>
        </w:rPr>
      </w:pPr>
      <w:r>
        <w:rPr>
          <w:rFonts w:hint="eastAsia"/>
          <w:color w:val="auto"/>
          <w:highlight w:val="none"/>
        </w:rPr>
        <w:t>项目负责人应附项目负责人身份证、职称证、学历证复印件，管理过的项目业绩须附合同协议书复印件。</w:t>
      </w:r>
    </w:p>
    <w:tbl>
      <w:tblPr>
        <w:tblStyle w:val="3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3"/>
        <w:gridCol w:w="173"/>
        <w:gridCol w:w="765"/>
        <w:gridCol w:w="314"/>
        <w:gridCol w:w="927"/>
        <w:gridCol w:w="446"/>
        <w:gridCol w:w="619"/>
        <w:gridCol w:w="708"/>
        <w:gridCol w:w="1097"/>
        <w:gridCol w:w="325"/>
        <w:gridCol w:w="2135"/>
      </w:tblGrid>
      <w:tr w14:paraId="52499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6" w:type="dxa"/>
            <w:gridSpan w:val="2"/>
            <w:vAlign w:val="center"/>
          </w:tcPr>
          <w:p w14:paraId="098B943A">
            <w:pPr>
              <w:spacing w:line="440" w:lineRule="exact"/>
              <w:jc w:val="center"/>
              <w:rPr>
                <w:rFonts w:ascii="宋体" w:hAnsi="宋体"/>
                <w:color w:val="auto"/>
                <w:szCs w:val="21"/>
                <w:highlight w:val="none"/>
              </w:rPr>
            </w:pPr>
            <w:r>
              <w:rPr>
                <w:rFonts w:ascii="宋体" w:hAnsi="宋体"/>
                <w:color w:val="auto"/>
                <w:szCs w:val="21"/>
                <w:highlight w:val="none"/>
              </w:rPr>
              <w:t>姓  名</w:t>
            </w:r>
          </w:p>
        </w:tc>
        <w:tc>
          <w:tcPr>
            <w:tcW w:w="1079" w:type="dxa"/>
            <w:gridSpan w:val="2"/>
            <w:vAlign w:val="center"/>
          </w:tcPr>
          <w:p w14:paraId="1B49F71E">
            <w:pPr>
              <w:spacing w:line="440" w:lineRule="exact"/>
              <w:jc w:val="center"/>
              <w:rPr>
                <w:rFonts w:ascii="宋体" w:hAnsi="宋体"/>
                <w:color w:val="auto"/>
                <w:szCs w:val="21"/>
                <w:highlight w:val="none"/>
              </w:rPr>
            </w:pPr>
          </w:p>
        </w:tc>
        <w:tc>
          <w:tcPr>
            <w:tcW w:w="927" w:type="dxa"/>
            <w:vAlign w:val="center"/>
          </w:tcPr>
          <w:p w14:paraId="1262EB9B">
            <w:pPr>
              <w:spacing w:line="440" w:lineRule="exact"/>
              <w:jc w:val="center"/>
              <w:rPr>
                <w:rFonts w:ascii="宋体" w:hAnsi="宋体"/>
                <w:color w:val="auto"/>
                <w:szCs w:val="21"/>
                <w:highlight w:val="none"/>
              </w:rPr>
            </w:pPr>
            <w:r>
              <w:rPr>
                <w:rFonts w:ascii="宋体" w:hAnsi="宋体"/>
                <w:color w:val="auto"/>
                <w:szCs w:val="21"/>
                <w:highlight w:val="none"/>
              </w:rPr>
              <w:t>年 龄</w:t>
            </w:r>
          </w:p>
        </w:tc>
        <w:tc>
          <w:tcPr>
            <w:tcW w:w="1065" w:type="dxa"/>
            <w:gridSpan w:val="2"/>
            <w:vAlign w:val="center"/>
          </w:tcPr>
          <w:p w14:paraId="1F30E21D">
            <w:pPr>
              <w:spacing w:line="440" w:lineRule="exact"/>
              <w:jc w:val="center"/>
              <w:rPr>
                <w:rFonts w:ascii="宋体" w:hAnsi="宋体"/>
                <w:color w:val="auto"/>
                <w:szCs w:val="21"/>
                <w:highlight w:val="none"/>
              </w:rPr>
            </w:pPr>
          </w:p>
        </w:tc>
        <w:tc>
          <w:tcPr>
            <w:tcW w:w="2130" w:type="dxa"/>
            <w:gridSpan w:val="3"/>
            <w:vAlign w:val="center"/>
          </w:tcPr>
          <w:p w14:paraId="7FB0D903">
            <w:pPr>
              <w:spacing w:line="440" w:lineRule="exact"/>
              <w:jc w:val="center"/>
              <w:rPr>
                <w:rFonts w:ascii="宋体" w:hAnsi="宋体"/>
                <w:color w:val="auto"/>
                <w:szCs w:val="21"/>
                <w:highlight w:val="none"/>
              </w:rPr>
            </w:pPr>
            <w:r>
              <w:rPr>
                <w:rFonts w:ascii="宋体" w:hAnsi="宋体"/>
                <w:color w:val="auto"/>
                <w:szCs w:val="21"/>
                <w:highlight w:val="none"/>
              </w:rPr>
              <w:t>学历</w:t>
            </w:r>
          </w:p>
        </w:tc>
        <w:tc>
          <w:tcPr>
            <w:tcW w:w="2135" w:type="dxa"/>
            <w:vAlign w:val="center"/>
          </w:tcPr>
          <w:p w14:paraId="0CB2CB4D">
            <w:pPr>
              <w:spacing w:line="440" w:lineRule="exact"/>
              <w:rPr>
                <w:rFonts w:ascii="宋体" w:hAnsi="宋体"/>
                <w:color w:val="auto"/>
                <w:szCs w:val="21"/>
                <w:highlight w:val="none"/>
              </w:rPr>
            </w:pPr>
          </w:p>
        </w:tc>
      </w:tr>
      <w:tr w14:paraId="267A38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6" w:type="dxa"/>
            <w:gridSpan w:val="2"/>
            <w:vAlign w:val="center"/>
          </w:tcPr>
          <w:p w14:paraId="3BCC0422">
            <w:pPr>
              <w:spacing w:line="440" w:lineRule="exact"/>
              <w:jc w:val="center"/>
              <w:rPr>
                <w:rFonts w:ascii="宋体" w:hAnsi="宋体"/>
                <w:color w:val="auto"/>
                <w:szCs w:val="21"/>
                <w:highlight w:val="none"/>
              </w:rPr>
            </w:pPr>
            <w:r>
              <w:rPr>
                <w:rFonts w:ascii="宋体" w:hAnsi="宋体"/>
                <w:color w:val="auto"/>
                <w:szCs w:val="21"/>
                <w:highlight w:val="none"/>
              </w:rPr>
              <w:t>职  称</w:t>
            </w:r>
          </w:p>
        </w:tc>
        <w:tc>
          <w:tcPr>
            <w:tcW w:w="1079" w:type="dxa"/>
            <w:gridSpan w:val="2"/>
            <w:vAlign w:val="center"/>
          </w:tcPr>
          <w:p w14:paraId="6B5D41DD">
            <w:pPr>
              <w:spacing w:line="440" w:lineRule="exact"/>
              <w:jc w:val="center"/>
              <w:rPr>
                <w:rFonts w:ascii="宋体" w:hAnsi="宋体"/>
                <w:color w:val="auto"/>
                <w:szCs w:val="21"/>
                <w:highlight w:val="none"/>
              </w:rPr>
            </w:pPr>
          </w:p>
        </w:tc>
        <w:tc>
          <w:tcPr>
            <w:tcW w:w="927" w:type="dxa"/>
            <w:vAlign w:val="center"/>
          </w:tcPr>
          <w:p w14:paraId="2BEBCBD6">
            <w:pPr>
              <w:spacing w:line="440" w:lineRule="exact"/>
              <w:jc w:val="center"/>
              <w:rPr>
                <w:rFonts w:ascii="宋体" w:hAnsi="宋体"/>
                <w:color w:val="auto"/>
                <w:szCs w:val="21"/>
                <w:highlight w:val="none"/>
              </w:rPr>
            </w:pPr>
            <w:r>
              <w:rPr>
                <w:rFonts w:ascii="宋体" w:hAnsi="宋体"/>
                <w:color w:val="auto"/>
                <w:szCs w:val="21"/>
                <w:highlight w:val="none"/>
              </w:rPr>
              <w:t>职 务</w:t>
            </w:r>
          </w:p>
        </w:tc>
        <w:tc>
          <w:tcPr>
            <w:tcW w:w="1065" w:type="dxa"/>
            <w:gridSpan w:val="2"/>
            <w:vAlign w:val="center"/>
          </w:tcPr>
          <w:p w14:paraId="496A0474">
            <w:pPr>
              <w:spacing w:line="440" w:lineRule="exact"/>
              <w:jc w:val="center"/>
              <w:rPr>
                <w:rFonts w:ascii="宋体" w:hAnsi="宋体"/>
                <w:color w:val="auto"/>
                <w:szCs w:val="21"/>
                <w:highlight w:val="none"/>
              </w:rPr>
            </w:pPr>
          </w:p>
        </w:tc>
        <w:tc>
          <w:tcPr>
            <w:tcW w:w="2130" w:type="dxa"/>
            <w:gridSpan w:val="3"/>
            <w:vAlign w:val="center"/>
          </w:tcPr>
          <w:p w14:paraId="06FB815C">
            <w:pPr>
              <w:spacing w:line="440" w:lineRule="exact"/>
              <w:jc w:val="center"/>
              <w:rPr>
                <w:rFonts w:ascii="宋体" w:hAnsi="宋体"/>
                <w:color w:val="auto"/>
                <w:szCs w:val="21"/>
                <w:highlight w:val="none"/>
              </w:rPr>
            </w:pPr>
            <w:r>
              <w:rPr>
                <w:rFonts w:ascii="宋体" w:hAnsi="宋体"/>
                <w:color w:val="auto"/>
                <w:szCs w:val="21"/>
                <w:highlight w:val="none"/>
              </w:rPr>
              <w:t>拟在本合同任职</w:t>
            </w:r>
          </w:p>
        </w:tc>
        <w:tc>
          <w:tcPr>
            <w:tcW w:w="2135" w:type="dxa"/>
            <w:vAlign w:val="center"/>
          </w:tcPr>
          <w:p w14:paraId="6E3E2882">
            <w:pPr>
              <w:spacing w:line="440" w:lineRule="exact"/>
              <w:rPr>
                <w:rFonts w:ascii="宋体" w:hAnsi="宋体"/>
                <w:color w:val="auto"/>
                <w:szCs w:val="21"/>
                <w:highlight w:val="none"/>
              </w:rPr>
            </w:pPr>
          </w:p>
        </w:tc>
      </w:tr>
      <w:tr w14:paraId="30A3D1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6" w:type="dxa"/>
            <w:gridSpan w:val="2"/>
            <w:vAlign w:val="center"/>
          </w:tcPr>
          <w:p w14:paraId="35A7FD8F">
            <w:pPr>
              <w:spacing w:line="440" w:lineRule="exact"/>
              <w:rPr>
                <w:rFonts w:ascii="宋体" w:hAnsi="宋体"/>
                <w:color w:val="auto"/>
                <w:szCs w:val="21"/>
                <w:highlight w:val="none"/>
              </w:rPr>
            </w:pPr>
            <w:r>
              <w:rPr>
                <w:rFonts w:ascii="宋体" w:hAnsi="宋体"/>
                <w:color w:val="auto"/>
                <w:szCs w:val="21"/>
                <w:highlight w:val="none"/>
              </w:rPr>
              <w:t>毕业学校</w:t>
            </w:r>
          </w:p>
        </w:tc>
        <w:tc>
          <w:tcPr>
            <w:tcW w:w="7336" w:type="dxa"/>
            <w:gridSpan w:val="9"/>
          </w:tcPr>
          <w:p w14:paraId="32FCED4F">
            <w:pPr>
              <w:spacing w:line="440" w:lineRule="exact"/>
              <w:rPr>
                <w:rFonts w:ascii="宋体" w:hAnsi="宋体"/>
                <w:color w:val="auto"/>
                <w:szCs w:val="21"/>
                <w:highlight w:val="none"/>
              </w:rPr>
            </w:pPr>
            <w:r>
              <w:rPr>
                <w:rFonts w:ascii="宋体" w:hAnsi="宋体"/>
                <w:color w:val="auto"/>
                <w:szCs w:val="21"/>
                <w:highlight w:val="none"/>
              </w:rPr>
              <w:t xml:space="preserve">      年毕业于            学校        专业</w:t>
            </w:r>
          </w:p>
        </w:tc>
      </w:tr>
      <w:tr w14:paraId="0F2566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6" w:type="dxa"/>
            <w:gridSpan w:val="2"/>
            <w:vAlign w:val="center"/>
          </w:tcPr>
          <w:p w14:paraId="27308E73">
            <w:pPr>
              <w:spacing w:line="440" w:lineRule="exact"/>
              <w:rPr>
                <w:rFonts w:ascii="宋体" w:hAnsi="宋体"/>
                <w:color w:val="auto"/>
                <w:szCs w:val="21"/>
                <w:highlight w:val="none"/>
              </w:rPr>
            </w:pPr>
            <w:r>
              <w:rPr>
                <w:rFonts w:hint="eastAsia" w:ascii="宋体" w:hAnsi="宋体"/>
                <w:color w:val="auto"/>
                <w:szCs w:val="21"/>
                <w:highlight w:val="none"/>
              </w:rPr>
              <w:t>同类项目工作年限（年）：</w:t>
            </w:r>
          </w:p>
        </w:tc>
        <w:tc>
          <w:tcPr>
            <w:tcW w:w="7336" w:type="dxa"/>
            <w:gridSpan w:val="9"/>
          </w:tcPr>
          <w:p w14:paraId="70147E5C">
            <w:pPr>
              <w:spacing w:line="440" w:lineRule="exact"/>
              <w:rPr>
                <w:rFonts w:ascii="宋体" w:hAnsi="宋体"/>
                <w:color w:val="auto"/>
                <w:szCs w:val="21"/>
                <w:highlight w:val="none"/>
              </w:rPr>
            </w:pPr>
          </w:p>
        </w:tc>
      </w:tr>
      <w:tr w14:paraId="5AEFEC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gridSpan w:val="11"/>
            <w:vAlign w:val="center"/>
          </w:tcPr>
          <w:p w14:paraId="492D3437">
            <w:pPr>
              <w:spacing w:line="440" w:lineRule="exact"/>
              <w:rPr>
                <w:rFonts w:ascii="宋体" w:hAnsi="宋体"/>
                <w:color w:val="auto"/>
                <w:szCs w:val="21"/>
                <w:highlight w:val="none"/>
              </w:rPr>
            </w:pPr>
            <w:r>
              <w:rPr>
                <w:rFonts w:ascii="宋体" w:hAnsi="宋体"/>
                <w:color w:val="auto"/>
                <w:szCs w:val="21"/>
                <w:highlight w:val="none"/>
              </w:rPr>
              <w:t>主要工作经历</w:t>
            </w:r>
          </w:p>
        </w:tc>
      </w:tr>
      <w:tr w14:paraId="726930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13" w:type="dxa"/>
            <w:vAlign w:val="center"/>
          </w:tcPr>
          <w:p w14:paraId="2C74008F">
            <w:pPr>
              <w:spacing w:line="440" w:lineRule="exact"/>
              <w:rPr>
                <w:rFonts w:ascii="宋体" w:hAnsi="宋体"/>
                <w:color w:val="auto"/>
                <w:szCs w:val="21"/>
                <w:highlight w:val="none"/>
              </w:rPr>
            </w:pPr>
            <w:r>
              <w:rPr>
                <w:rFonts w:ascii="宋体" w:hAnsi="宋体"/>
                <w:color w:val="auto"/>
                <w:szCs w:val="21"/>
                <w:highlight w:val="none"/>
              </w:rPr>
              <w:t>时  间</w:t>
            </w:r>
          </w:p>
        </w:tc>
        <w:tc>
          <w:tcPr>
            <w:tcW w:w="938" w:type="dxa"/>
            <w:gridSpan w:val="2"/>
            <w:vAlign w:val="center"/>
          </w:tcPr>
          <w:p w14:paraId="3B2A97D1">
            <w:pPr>
              <w:spacing w:line="440" w:lineRule="exact"/>
              <w:rPr>
                <w:rFonts w:ascii="宋体" w:hAnsi="宋体"/>
                <w:color w:val="auto"/>
                <w:szCs w:val="21"/>
                <w:highlight w:val="none"/>
              </w:rPr>
            </w:pPr>
            <w:r>
              <w:rPr>
                <w:rFonts w:hint="eastAsia" w:ascii="宋体" w:hAnsi="宋体"/>
                <w:color w:val="auto"/>
                <w:szCs w:val="21"/>
                <w:highlight w:val="none"/>
              </w:rPr>
              <w:t>甲方名称</w:t>
            </w:r>
          </w:p>
        </w:tc>
        <w:tc>
          <w:tcPr>
            <w:tcW w:w="1687" w:type="dxa"/>
            <w:gridSpan w:val="3"/>
            <w:vAlign w:val="center"/>
          </w:tcPr>
          <w:p w14:paraId="4AAE33C6">
            <w:pPr>
              <w:spacing w:line="440" w:lineRule="exact"/>
              <w:rPr>
                <w:rFonts w:ascii="宋体" w:hAnsi="宋体"/>
                <w:color w:val="auto"/>
                <w:szCs w:val="21"/>
                <w:highlight w:val="none"/>
              </w:rPr>
            </w:pPr>
            <w:r>
              <w:rPr>
                <w:rFonts w:ascii="宋体" w:hAnsi="宋体"/>
                <w:color w:val="auto"/>
                <w:szCs w:val="21"/>
                <w:highlight w:val="none"/>
              </w:rPr>
              <w:t>参加过的类似项目</w:t>
            </w:r>
            <w:r>
              <w:rPr>
                <w:rFonts w:hint="eastAsia" w:ascii="宋体" w:hAnsi="宋体"/>
                <w:color w:val="auto"/>
                <w:szCs w:val="21"/>
                <w:highlight w:val="none"/>
                <w:lang w:eastAsia="zh-CN"/>
              </w:rPr>
              <w:t>（</w:t>
            </w:r>
            <w:r>
              <w:rPr>
                <w:rFonts w:hint="eastAsia" w:ascii="宋体" w:hAnsi="宋体"/>
                <w:color w:val="auto"/>
                <w:szCs w:val="21"/>
                <w:highlight w:val="none"/>
              </w:rPr>
              <w:t>项目名称</w:t>
            </w:r>
            <w:r>
              <w:rPr>
                <w:rFonts w:hint="eastAsia" w:ascii="宋体" w:hAnsi="宋体"/>
                <w:color w:val="auto"/>
                <w:szCs w:val="21"/>
                <w:highlight w:val="none"/>
                <w:lang w:eastAsia="zh-CN"/>
              </w:rPr>
              <w:t>）</w:t>
            </w:r>
          </w:p>
        </w:tc>
        <w:tc>
          <w:tcPr>
            <w:tcW w:w="1327" w:type="dxa"/>
            <w:gridSpan w:val="2"/>
            <w:vAlign w:val="center"/>
          </w:tcPr>
          <w:p w14:paraId="70262C69">
            <w:pPr>
              <w:spacing w:line="440" w:lineRule="exact"/>
              <w:rPr>
                <w:rFonts w:ascii="宋体" w:hAnsi="宋体"/>
                <w:color w:val="auto"/>
                <w:szCs w:val="21"/>
                <w:highlight w:val="none"/>
              </w:rPr>
            </w:pPr>
            <w:r>
              <w:rPr>
                <w:rFonts w:hint="eastAsia" w:ascii="宋体" w:hAnsi="宋体"/>
                <w:color w:val="auto"/>
                <w:szCs w:val="21"/>
                <w:highlight w:val="none"/>
              </w:rPr>
              <w:t>合同金额（万元）</w:t>
            </w:r>
          </w:p>
        </w:tc>
        <w:tc>
          <w:tcPr>
            <w:tcW w:w="1097" w:type="dxa"/>
            <w:vAlign w:val="center"/>
          </w:tcPr>
          <w:p w14:paraId="67119C7E">
            <w:pPr>
              <w:spacing w:line="440" w:lineRule="exact"/>
              <w:rPr>
                <w:rFonts w:ascii="宋体" w:hAnsi="宋体"/>
                <w:color w:val="auto"/>
                <w:szCs w:val="21"/>
                <w:highlight w:val="none"/>
              </w:rPr>
            </w:pPr>
            <w:r>
              <w:rPr>
                <w:rFonts w:ascii="宋体" w:hAnsi="宋体"/>
                <w:color w:val="auto"/>
                <w:szCs w:val="21"/>
                <w:highlight w:val="none"/>
              </w:rPr>
              <w:t>担任职务</w:t>
            </w:r>
          </w:p>
        </w:tc>
        <w:tc>
          <w:tcPr>
            <w:tcW w:w="2460" w:type="dxa"/>
            <w:gridSpan w:val="2"/>
            <w:vAlign w:val="center"/>
          </w:tcPr>
          <w:p w14:paraId="16004174">
            <w:pPr>
              <w:spacing w:line="440" w:lineRule="exact"/>
              <w:rPr>
                <w:rFonts w:ascii="宋体" w:hAnsi="宋体"/>
                <w:color w:val="auto"/>
                <w:szCs w:val="21"/>
                <w:highlight w:val="none"/>
              </w:rPr>
            </w:pPr>
            <w:r>
              <w:rPr>
                <w:rFonts w:hint="eastAsia" w:ascii="宋体" w:hAnsi="宋体"/>
                <w:color w:val="auto"/>
                <w:szCs w:val="21"/>
                <w:highlight w:val="none"/>
              </w:rPr>
              <w:t>甲方联系人</w:t>
            </w:r>
            <w:r>
              <w:rPr>
                <w:rFonts w:ascii="宋体" w:hAnsi="宋体"/>
                <w:color w:val="auto"/>
                <w:szCs w:val="21"/>
                <w:highlight w:val="none"/>
              </w:rPr>
              <w:t>及联系电话</w:t>
            </w:r>
          </w:p>
        </w:tc>
      </w:tr>
      <w:tr w14:paraId="20159F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013" w:type="dxa"/>
          </w:tcPr>
          <w:p w14:paraId="2A6CFCB5">
            <w:pPr>
              <w:spacing w:line="440" w:lineRule="exact"/>
              <w:rPr>
                <w:rFonts w:eastAsia="黑体"/>
                <w:color w:val="auto"/>
                <w:szCs w:val="21"/>
                <w:highlight w:val="none"/>
              </w:rPr>
            </w:pPr>
          </w:p>
        </w:tc>
        <w:tc>
          <w:tcPr>
            <w:tcW w:w="938" w:type="dxa"/>
            <w:gridSpan w:val="2"/>
          </w:tcPr>
          <w:p w14:paraId="736332BB">
            <w:pPr>
              <w:spacing w:line="440" w:lineRule="exact"/>
              <w:rPr>
                <w:rFonts w:eastAsia="黑体"/>
                <w:color w:val="auto"/>
                <w:szCs w:val="21"/>
                <w:highlight w:val="none"/>
              </w:rPr>
            </w:pPr>
          </w:p>
        </w:tc>
        <w:tc>
          <w:tcPr>
            <w:tcW w:w="1687" w:type="dxa"/>
            <w:gridSpan w:val="3"/>
          </w:tcPr>
          <w:p w14:paraId="07B8CCC2">
            <w:pPr>
              <w:spacing w:line="440" w:lineRule="exact"/>
              <w:rPr>
                <w:rFonts w:eastAsia="黑体"/>
                <w:color w:val="auto"/>
                <w:szCs w:val="21"/>
                <w:highlight w:val="none"/>
              </w:rPr>
            </w:pPr>
          </w:p>
        </w:tc>
        <w:tc>
          <w:tcPr>
            <w:tcW w:w="1327" w:type="dxa"/>
            <w:gridSpan w:val="2"/>
          </w:tcPr>
          <w:p w14:paraId="58E9D7E0">
            <w:pPr>
              <w:spacing w:line="440" w:lineRule="exact"/>
              <w:rPr>
                <w:rFonts w:eastAsia="黑体"/>
                <w:color w:val="auto"/>
                <w:szCs w:val="21"/>
                <w:highlight w:val="none"/>
              </w:rPr>
            </w:pPr>
          </w:p>
        </w:tc>
        <w:tc>
          <w:tcPr>
            <w:tcW w:w="1097" w:type="dxa"/>
          </w:tcPr>
          <w:p w14:paraId="65E84D16">
            <w:pPr>
              <w:spacing w:line="440" w:lineRule="exact"/>
              <w:rPr>
                <w:rFonts w:eastAsia="黑体"/>
                <w:color w:val="auto"/>
                <w:szCs w:val="21"/>
                <w:highlight w:val="none"/>
              </w:rPr>
            </w:pPr>
          </w:p>
        </w:tc>
        <w:tc>
          <w:tcPr>
            <w:tcW w:w="2460" w:type="dxa"/>
            <w:gridSpan w:val="2"/>
          </w:tcPr>
          <w:p w14:paraId="4B7B27A2">
            <w:pPr>
              <w:spacing w:line="440" w:lineRule="exact"/>
              <w:rPr>
                <w:rFonts w:eastAsia="黑体"/>
                <w:color w:val="auto"/>
                <w:szCs w:val="21"/>
                <w:highlight w:val="none"/>
              </w:rPr>
            </w:pPr>
          </w:p>
        </w:tc>
      </w:tr>
      <w:tr w14:paraId="3285B7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013" w:type="dxa"/>
          </w:tcPr>
          <w:p w14:paraId="34702093">
            <w:pPr>
              <w:spacing w:line="440" w:lineRule="exact"/>
              <w:rPr>
                <w:rFonts w:eastAsia="黑体"/>
                <w:color w:val="auto"/>
                <w:szCs w:val="21"/>
                <w:highlight w:val="none"/>
              </w:rPr>
            </w:pPr>
          </w:p>
        </w:tc>
        <w:tc>
          <w:tcPr>
            <w:tcW w:w="938" w:type="dxa"/>
            <w:gridSpan w:val="2"/>
          </w:tcPr>
          <w:p w14:paraId="5BD51D10">
            <w:pPr>
              <w:spacing w:line="440" w:lineRule="exact"/>
              <w:rPr>
                <w:rFonts w:eastAsia="黑体"/>
                <w:color w:val="auto"/>
                <w:szCs w:val="21"/>
                <w:highlight w:val="none"/>
              </w:rPr>
            </w:pPr>
          </w:p>
        </w:tc>
        <w:tc>
          <w:tcPr>
            <w:tcW w:w="1687" w:type="dxa"/>
            <w:gridSpan w:val="3"/>
          </w:tcPr>
          <w:p w14:paraId="52965A9D">
            <w:pPr>
              <w:spacing w:line="440" w:lineRule="exact"/>
              <w:rPr>
                <w:rFonts w:eastAsia="黑体"/>
                <w:color w:val="auto"/>
                <w:szCs w:val="21"/>
                <w:highlight w:val="none"/>
              </w:rPr>
            </w:pPr>
          </w:p>
        </w:tc>
        <w:tc>
          <w:tcPr>
            <w:tcW w:w="1327" w:type="dxa"/>
            <w:gridSpan w:val="2"/>
          </w:tcPr>
          <w:p w14:paraId="434CDB1E">
            <w:pPr>
              <w:spacing w:line="440" w:lineRule="exact"/>
              <w:rPr>
                <w:rFonts w:eastAsia="黑体"/>
                <w:color w:val="auto"/>
                <w:szCs w:val="21"/>
                <w:highlight w:val="none"/>
              </w:rPr>
            </w:pPr>
          </w:p>
        </w:tc>
        <w:tc>
          <w:tcPr>
            <w:tcW w:w="1097" w:type="dxa"/>
          </w:tcPr>
          <w:p w14:paraId="49B97AC0">
            <w:pPr>
              <w:spacing w:line="440" w:lineRule="exact"/>
              <w:rPr>
                <w:rFonts w:eastAsia="黑体"/>
                <w:color w:val="auto"/>
                <w:szCs w:val="21"/>
                <w:highlight w:val="none"/>
              </w:rPr>
            </w:pPr>
          </w:p>
        </w:tc>
        <w:tc>
          <w:tcPr>
            <w:tcW w:w="2460" w:type="dxa"/>
            <w:gridSpan w:val="2"/>
          </w:tcPr>
          <w:p w14:paraId="45525AC1">
            <w:pPr>
              <w:spacing w:line="440" w:lineRule="exact"/>
              <w:rPr>
                <w:rFonts w:eastAsia="黑体"/>
                <w:color w:val="auto"/>
                <w:szCs w:val="21"/>
                <w:highlight w:val="none"/>
              </w:rPr>
            </w:pPr>
          </w:p>
        </w:tc>
      </w:tr>
      <w:tr w14:paraId="510C2C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013" w:type="dxa"/>
          </w:tcPr>
          <w:p w14:paraId="098252F3">
            <w:pPr>
              <w:spacing w:line="440" w:lineRule="exact"/>
              <w:rPr>
                <w:rFonts w:eastAsia="黑体"/>
                <w:color w:val="auto"/>
                <w:szCs w:val="21"/>
                <w:highlight w:val="none"/>
              </w:rPr>
            </w:pPr>
          </w:p>
        </w:tc>
        <w:tc>
          <w:tcPr>
            <w:tcW w:w="938" w:type="dxa"/>
            <w:gridSpan w:val="2"/>
          </w:tcPr>
          <w:p w14:paraId="3C846B1A">
            <w:pPr>
              <w:spacing w:line="440" w:lineRule="exact"/>
              <w:rPr>
                <w:rFonts w:eastAsia="黑体"/>
                <w:color w:val="auto"/>
                <w:szCs w:val="21"/>
                <w:highlight w:val="none"/>
              </w:rPr>
            </w:pPr>
          </w:p>
        </w:tc>
        <w:tc>
          <w:tcPr>
            <w:tcW w:w="1687" w:type="dxa"/>
            <w:gridSpan w:val="3"/>
          </w:tcPr>
          <w:p w14:paraId="38BA4577">
            <w:pPr>
              <w:spacing w:line="440" w:lineRule="exact"/>
              <w:rPr>
                <w:rFonts w:eastAsia="黑体"/>
                <w:color w:val="auto"/>
                <w:szCs w:val="21"/>
                <w:highlight w:val="none"/>
              </w:rPr>
            </w:pPr>
          </w:p>
        </w:tc>
        <w:tc>
          <w:tcPr>
            <w:tcW w:w="1327" w:type="dxa"/>
            <w:gridSpan w:val="2"/>
          </w:tcPr>
          <w:p w14:paraId="134A599F">
            <w:pPr>
              <w:spacing w:line="440" w:lineRule="exact"/>
              <w:rPr>
                <w:rFonts w:eastAsia="黑体"/>
                <w:color w:val="auto"/>
                <w:szCs w:val="21"/>
                <w:highlight w:val="none"/>
              </w:rPr>
            </w:pPr>
          </w:p>
        </w:tc>
        <w:tc>
          <w:tcPr>
            <w:tcW w:w="1097" w:type="dxa"/>
          </w:tcPr>
          <w:p w14:paraId="3406AEB9">
            <w:pPr>
              <w:spacing w:line="440" w:lineRule="exact"/>
              <w:rPr>
                <w:rFonts w:eastAsia="黑体"/>
                <w:color w:val="auto"/>
                <w:szCs w:val="21"/>
                <w:highlight w:val="none"/>
              </w:rPr>
            </w:pPr>
          </w:p>
        </w:tc>
        <w:tc>
          <w:tcPr>
            <w:tcW w:w="2460" w:type="dxa"/>
            <w:gridSpan w:val="2"/>
          </w:tcPr>
          <w:p w14:paraId="3BF8A1D1">
            <w:pPr>
              <w:spacing w:line="440" w:lineRule="exact"/>
              <w:rPr>
                <w:rFonts w:eastAsia="黑体"/>
                <w:color w:val="auto"/>
                <w:szCs w:val="21"/>
                <w:highlight w:val="none"/>
              </w:rPr>
            </w:pPr>
          </w:p>
        </w:tc>
      </w:tr>
      <w:tr w14:paraId="62724B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013" w:type="dxa"/>
          </w:tcPr>
          <w:p w14:paraId="5C9EB538">
            <w:pPr>
              <w:spacing w:line="440" w:lineRule="exact"/>
              <w:rPr>
                <w:rFonts w:eastAsia="黑体"/>
                <w:color w:val="auto"/>
                <w:szCs w:val="21"/>
                <w:highlight w:val="none"/>
              </w:rPr>
            </w:pPr>
          </w:p>
        </w:tc>
        <w:tc>
          <w:tcPr>
            <w:tcW w:w="938" w:type="dxa"/>
            <w:gridSpan w:val="2"/>
          </w:tcPr>
          <w:p w14:paraId="07E4603A">
            <w:pPr>
              <w:spacing w:line="440" w:lineRule="exact"/>
              <w:rPr>
                <w:rFonts w:eastAsia="黑体"/>
                <w:color w:val="auto"/>
                <w:szCs w:val="21"/>
                <w:highlight w:val="none"/>
              </w:rPr>
            </w:pPr>
          </w:p>
        </w:tc>
        <w:tc>
          <w:tcPr>
            <w:tcW w:w="1687" w:type="dxa"/>
            <w:gridSpan w:val="3"/>
          </w:tcPr>
          <w:p w14:paraId="13680436">
            <w:pPr>
              <w:spacing w:line="440" w:lineRule="exact"/>
              <w:rPr>
                <w:rFonts w:eastAsia="黑体"/>
                <w:color w:val="auto"/>
                <w:szCs w:val="21"/>
                <w:highlight w:val="none"/>
              </w:rPr>
            </w:pPr>
          </w:p>
        </w:tc>
        <w:tc>
          <w:tcPr>
            <w:tcW w:w="1327" w:type="dxa"/>
            <w:gridSpan w:val="2"/>
          </w:tcPr>
          <w:p w14:paraId="751DB154">
            <w:pPr>
              <w:spacing w:line="440" w:lineRule="exact"/>
              <w:rPr>
                <w:rFonts w:eastAsia="黑体"/>
                <w:color w:val="auto"/>
                <w:szCs w:val="21"/>
                <w:highlight w:val="none"/>
              </w:rPr>
            </w:pPr>
          </w:p>
        </w:tc>
        <w:tc>
          <w:tcPr>
            <w:tcW w:w="1097" w:type="dxa"/>
          </w:tcPr>
          <w:p w14:paraId="3AC9651D">
            <w:pPr>
              <w:spacing w:line="440" w:lineRule="exact"/>
              <w:rPr>
                <w:rFonts w:eastAsia="黑体"/>
                <w:color w:val="auto"/>
                <w:szCs w:val="21"/>
                <w:highlight w:val="none"/>
              </w:rPr>
            </w:pPr>
          </w:p>
        </w:tc>
        <w:tc>
          <w:tcPr>
            <w:tcW w:w="2460" w:type="dxa"/>
            <w:gridSpan w:val="2"/>
          </w:tcPr>
          <w:p w14:paraId="0C646E1B">
            <w:pPr>
              <w:spacing w:line="440" w:lineRule="exact"/>
              <w:rPr>
                <w:rFonts w:eastAsia="黑体"/>
                <w:color w:val="auto"/>
                <w:szCs w:val="21"/>
                <w:highlight w:val="none"/>
              </w:rPr>
            </w:pPr>
          </w:p>
        </w:tc>
      </w:tr>
      <w:tr w14:paraId="4F1A99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013" w:type="dxa"/>
          </w:tcPr>
          <w:p w14:paraId="09716277">
            <w:pPr>
              <w:spacing w:line="440" w:lineRule="exact"/>
              <w:rPr>
                <w:rFonts w:eastAsia="黑体"/>
                <w:color w:val="auto"/>
                <w:szCs w:val="21"/>
                <w:highlight w:val="none"/>
              </w:rPr>
            </w:pPr>
          </w:p>
        </w:tc>
        <w:tc>
          <w:tcPr>
            <w:tcW w:w="938" w:type="dxa"/>
            <w:gridSpan w:val="2"/>
          </w:tcPr>
          <w:p w14:paraId="1B0D82AF">
            <w:pPr>
              <w:spacing w:line="440" w:lineRule="exact"/>
              <w:rPr>
                <w:rFonts w:eastAsia="黑体"/>
                <w:color w:val="auto"/>
                <w:szCs w:val="21"/>
                <w:highlight w:val="none"/>
              </w:rPr>
            </w:pPr>
          </w:p>
        </w:tc>
        <w:tc>
          <w:tcPr>
            <w:tcW w:w="1687" w:type="dxa"/>
            <w:gridSpan w:val="3"/>
          </w:tcPr>
          <w:p w14:paraId="4F333D7E">
            <w:pPr>
              <w:spacing w:line="440" w:lineRule="exact"/>
              <w:rPr>
                <w:rFonts w:eastAsia="黑体"/>
                <w:color w:val="auto"/>
                <w:szCs w:val="21"/>
                <w:highlight w:val="none"/>
              </w:rPr>
            </w:pPr>
          </w:p>
        </w:tc>
        <w:tc>
          <w:tcPr>
            <w:tcW w:w="1327" w:type="dxa"/>
            <w:gridSpan w:val="2"/>
          </w:tcPr>
          <w:p w14:paraId="0D3B7FF2">
            <w:pPr>
              <w:spacing w:line="440" w:lineRule="exact"/>
              <w:rPr>
                <w:rFonts w:eastAsia="黑体"/>
                <w:color w:val="auto"/>
                <w:szCs w:val="21"/>
                <w:highlight w:val="none"/>
              </w:rPr>
            </w:pPr>
          </w:p>
        </w:tc>
        <w:tc>
          <w:tcPr>
            <w:tcW w:w="1097" w:type="dxa"/>
          </w:tcPr>
          <w:p w14:paraId="4B0574C9">
            <w:pPr>
              <w:spacing w:line="440" w:lineRule="exact"/>
              <w:rPr>
                <w:rFonts w:eastAsia="黑体"/>
                <w:color w:val="auto"/>
                <w:szCs w:val="21"/>
                <w:highlight w:val="none"/>
              </w:rPr>
            </w:pPr>
          </w:p>
        </w:tc>
        <w:tc>
          <w:tcPr>
            <w:tcW w:w="2460" w:type="dxa"/>
            <w:gridSpan w:val="2"/>
          </w:tcPr>
          <w:p w14:paraId="69FE0078">
            <w:pPr>
              <w:spacing w:line="440" w:lineRule="exact"/>
              <w:rPr>
                <w:rFonts w:eastAsia="黑体"/>
                <w:color w:val="auto"/>
                <w:szCs w:val="21"/>
                <w:highlight w:val="none"/>
              </w:rPr>
            </w:pPr>
          </w:p>
        </w:tc>
      </w:tr>
      <w:tr w14:paraId="6D60DA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013" w:type="dxa"/>
          </w:tcPr>
          <w:p w14:paraId="3C2841B4">
            <w:pPr>
              <w:spacing w:line="440" w:lineRule="exact"/>
              <w:rPr>
                <w:rFonts w:eastAsia="黑体"/>
                <w:color w:val="auto"/>
                <w:szCs w:val="21"/>
                <w:highlight w:val="none"/>
              </w:rPr>
            </w:pPr>
          </w:p>
        </w:tc>
        <w:tc>
          <w:tcPr>
            <w:tcW w:w="938" w:type="dxa"/>
            <w:gridSpan w:val="2"/>
          </w:tcPr>
          <w:p w14:paraId="775EF508">
            <w:pPr>
              <w:spacing w:line="440" w:lineRule="exact"/>
              <w:rPr>
                <w:rFonts w:eastAsia="黑体"/>
                <w:color w:val="auto"/>
                <w:szCs w:val="21"/>
                <w:highlight w:val="none"/>
              </w:rPr>
            </w:pPr>
          </w:p>
        </w:tc>
        <w:tc>
          <w:tcPr>
            <w:tcW w:w="1687" w:type="dxa"/>
            <w:gridSpan w:val="3"/>
          </w:tcPr>
          <w:p w14:paraId="137BAB58">
            <w:pPr>
              <w:spacing w:line="440" w:lineRule="exact"/>
              <w:rPr>
                <w:rFonts w:eastAsia="黑体"/>
                <w:color w:val="auto"/>
                <w:szCs w:val="21"/>
                <w:highlight w:val="none"/>
              </w:rPr>
            </w:pPr>
          </w:p>
        </w:tc>
        <w:tc>
          <w:tcPr>
            <w:tcW w:w="1327" w:type="dxa"/>
            <w:gridSpan w:val="2"/>
          </w:tcPr>
          <w:p w14:paraId="154A3A5F">
            <w:pPr>
              <w:spacing w:line="440" w:lineRule="exact"/>
              <w:rPr>
                <w:rFonts w:eastAsia="黑体"/>
                <w:color w:val="auto"/>
                <w:szCs w:val="21"/>
                <w:highlight w:val="none"/>
              </w:rPr>
            </w:pPr>
          </w:p>
        </w:tc>
        <w:tc>
          <w:tcPr>
            <w:tcW w:w="1097" w:type="dxa"/>
          </w:tcPr>
          <w:p w14:paraId="4B9C309A">
            <w:pPr>
              <w:spacing w:line="440" w:lineRule="exact"/>
              <w:rPr>
                <w:rFonts w:eastAsia="黑体"/>
                <w:color w:val="auto"/>
                <w:szCs w:val="21"/>
                <w:highlight w:val="none"/>
              </w:rPr>
            </w:pPr>
          </w:p>
        </w:tc>
        <w:tc>
          <w:tcPr>
            <w:tcW w:w="2460" w:type="dxa"/>
            <w:gridSpan w:val="2"/>
          </w:tcPr>
          <w:p w14:paraId="16FF1E38">
            <w:pPr>
              <w:spacing w:line="440" w:lineRule="exact"/>
              <w:rPr>
                <w:rFonts w:eastAsia="黑体"/>
                <w:color w:val="auto"/>
                <w:szCs w:val="21"/>
                <w:highlight w:val="none"/>
              </w:rPr>
            </w:pPr>
          </w:p>
        </w:tc>
      </w:tr>
      <w:tr w14:paraId="19F466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013" w:type="dxa"/>
          </w:tcPr>
          <w:p w14:paraId="5AB155B5">
            <w:pPr>
              <w:spacing w:line="440" w:lineRule="exact"/>
              <w:rPr>
                <w:rFonts w:eastAsia="黑体"/>
                <w:color w:val="auto"/>
                <w:szCs w:val="21"/>
                <w:highlight w:val="none"/>
              </w:rPr>
            </w:pPr>
          </w:p>
        </w:tc>
        <w:tc>
          <w:tcPr>
            <w:tcW w:w="938" w:type="dxa"/>
            <w:gridSpan w:val="2"/>
          </w:tcPr>
          <w:p w14:paraId="1B017A8C">
            <w:pPr>
              <w:spacing w:line="440" w:lineRule="exact"/>
              <w:rPr>
                <w:rFonts w:eastAsia="黑体"/>
                <w:color w:val="auto"/>
                <w:szCs w:val="21"/>
                <w:highlight w:val="none"/>
              </w:rPr>
            </w:pPr>
          </w:p>
        </w:tc>
        <w:tc>
          <w:tcPr>
            <w:tcW w:w="1687" w:type="dxa"/>
            <w:gridSpan w:val="3"/>
          </w:tcPr>
          <w:p w14:paraId="46F27A09">
            <w:pPr>
              <w:spacing w:line="440" w:lineRule="exact"/>
              <w:rPr>
                <w:rFonts w:eastAsia="黑体"/>
                <w:color w:val="auto"/>
                <w:szCs w:val="21"/>
                <w:highlight w:val="none"/>
              </w:rPr>
            </w:pPr>
          </w:p>
        </w:tc>
        <w:tc>
          <w:tcPr>
            <w:tcW w:w="1327" w:type="dxa"/>
            <w:gridSpan w:val="2"/>
          </w:tcPr>
          <w:p w14:paraId="347F9646">
            <w:pPr>
              <w:spacing w:line="440" w:lineRule="exact"/>
              <w:rPr>
                <w:rFonts w:eastAsia="黑体"/>
                <w:color w:val="auto"/>
                <w:szCs w:val="21"/>
                <w:highlight w:val="none"/>
              </w:rPr>
            </w:pPr>
          </w:p>
        </w:tc>
        <w:tc>
          <w:tcPr>
            <w:tcW w:w="1097" w:type="dxa"/>
          </w:tcPr>
          <w:p w14:paraId="651BABBB">
            <w:pPr>
              <w:spacing w:line="440" w:lineRule="exact"/>
              <w:rPr>
                <w:rFonts w:eastAsia="黑体"/>
                <w:color w:val="auto"/>
                <w:szCs w:val="21"/>
                <w:highlight w:val="none"/>
              </w:rPr>
            </w:pPr>
          </w:p>
        </w:tc>
        <w:tc>
          <w:tcPr>
            <w:tcW w:w="2460" w:type="dxa"/>
            <w:gridSpan w:val="2"/>
          </w:tcPr>
          <w:p w14:paraId="7E4F08CC">
            <w:pPr>
              <w:spacing w:line="440" w:lineRule="exact"/>
              <w:rPr>
                <w:rFonts w:eastAsia="黑体"/>
                <w:color w:val="auto"/>
                <w:szCs w:val="21"/>
                <w:highlight w:val="none"/>
              </w:rPr>
            </w:pPr>
          </w:p>
        </w:tc>
      </w:tr>
      <w:tr w14:paraId="3FEA5F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013" w:type="dxa"/>
          </w:tcPr>
          <w:p w14:paraId="292CEE33">
            <w:pPr>
              <w:spacing w:line="440" w:lineRule="exact"/>
              <w:rPr>
                <w:rFonts w:eastAsia="黑体"/>
                <w:color w:val="auto"/>
                <w:szCs w:val="21"/>
                <w:highlight w:val="none"/>
              </w:rPr>
            </w:pPr>
          </w:p>
        </w:tc>
        <w:tc>
          <w:tcPr>
            <w:tcW w:w="938" w:type="dxa"/>
            <w:gridSpan w:val="2"/>
          </w:tcPr>
          <w:p w14:paraId="41631057">
            <w:pPr>
              <w:spacing w:line="440" w:lineRule="exact"/>
              <w:rPr>
                <w:rFonts w:eastAsia="黑体"/>
                <w:color w:val="auto"/>
                <w:szCs w:val="21"/>
                <w:highlight w:val="none"/>
              </w:rPr>
            </w:pPr>
          </w:p>
        </w:tc>
        <w:tc>
          <w:tcPr>
            <w:tcW w:w="1687" w:type="dxa"/>
            <w:gridSpan w:val="3"/>
          </w:tcPr>
          <w:p w14:paraId="72415988">
            <w:pPr>
              <w:spacing w:line="440" w:lineRule="exact"/>
              <w:rPr>
                <w:rFonts w:eastAsia="黑体"/>
                <w:color w:val="auto"/>
                <w:szCs w:val="21"/>
                <w:highlight w:val="none"/>
              </w:rPr>
            </w:pPr>
          </w:p>
        </w:tc>
        <w:tc>
          <w:tcPr>
            <w:tcW w:w="1327" w:type="dxa"/>
            <w:gridSpan w:val="2"/>
          </w:tcPr>
          <w:p w14:paraId="7D8E1FB8">
            <w:pPr>
              <w:spacing w:line="440" w:lineRule="exact"/>
              <w:rPr>
                <w:rFonts w:eastAsia="黑体"/>
                <w:color w:val="auto"/>
                <w:szCs w:val="21"/>
                <w:highlight w:val="none"/>
              </w:rPr>
            </w:pPr>
          </w:p>
        </w:tc>
        <w:tc>
          <w:tcPr>
            <w:tcW w:w="1097" w:type="dxa"/>
          </w:tcPr>
          <w:p w14:paraId="280D35D2">
            <w:pPr>
              <w:spacing w:line="440" w:lineRule="exact"/>
              <w:rPr>
                <w:rFonts w:eastAsia="黑体"/>
                <w:color w:val="auto"/>
                <w:szCs w:val="21"/>
                <w:highlight w:val="none"/>
              </w:rPr>
            </w:pPr>
          </w:p>
        </w:tc>
        <w:tc>
          <w:tcPr>
            <w:tcW w:w="2460" w:type="dxa"/>
            <w:gridSpan w:val="2"/>
          </w:tcPr>
          <w:p w14:paraId="6C5048C8">
            <w:pPr>
              <w:spacing w:line="440" w:lineRule="exact"/>
              <w:rPr>
                <w:rFonts w:eastAsia="黑体"/>
                <w:color w:val="auto"/>
                <w:szCs w:val="21"/>
                <w:highlight w:val="none"/>
              </w:rPr>
            </w:pPr>
          </w:p>
        </w:tc>
      </w:tr>
      <w:tr w14:paraId="039C22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013" w:type="dxa"/>
          </w:tcPr>
          <w:p w14:paraId="585840CA">
            <w:pPr>
              <w:spacing w:line="440" w:lineRule="exact"/>
              <w:rPr>
                <w:rFonts w:eastAsia="黑体"/>
                <w:color w:val="auto"/>
                <w:szCs w:val="21"/>
                <w:highlight w:val="none"/>
              </w:rPr>
            </w:pPr>
          </w:p>
        </w:tc>
        <w:tc>
          <w:tcPr>
            <w:tcW w:w="938" w:type="dxa"/>
            <w:gridSpan w:val="2"/>
          </w:tcPr>
          <w:p w14:paraId="1952E94B">
            <w:pPr>
              <w:spacing w:line="440" w:lineRule="exact"/>
              <w:rPr>
                <w:rFonts w:eastAsia="黑体"/>
                <w:color w:val="auto"/>
                <w:szCs w:val="21"/>
                <w:highlight w:val="none"/>
              </w:rPr>
            </w:pPr>
          </w:p>
        </w:tc>
        <w:tc>
          <w:tcPr>
            <w:tcW w:w="1687" w:type="dxa"/>
            <w:gridSpan w:val="3"/>
          </w:tcPr>
          <w:p w14:paraId="38D22E33">
            <w:pPr>
              <w:spacing w:line="440" w:lineRule="exact"/>
              <w:rPr>
                <w:rFonts w:eastAsia="黑体"/>
                <w:color w:val="auto"/>
                <w:szCs w:val="21"/>
                <w:highlight w:val="none"/>
              </w:rPr>
            </w:pPr>
          </w:p>
        </w:tc>
        <w:tc>
          <w:tcPr>
            <w:tcW w:w="1327" w:type="dxa"/>
            <w:gridSpan w:val="2"/>
          </w:tcPr>
          <w:p w14:paraId="24106FDA">
            <w:pPr>
              <w:spacing w:line="440" w:lineRule="exact"/>
              <w:rPr>
                <w:rFonts w:eastAsia="黑体"/>
                <w:color w:val="auto"/>
                <w:szCs w:val="21"/>
                <w:highlight w:val="none"/>
              </w:rPr>
            </w:pPr>
          </w:p>
        </w:tc>
        <w:tc>
          <w:tcPr>
            <w:tcW w:w="1097" w:type="dxa"/>
          </w:tcPr>
          <w:p w14:paraId="48BA06CA">
            <w:pPr>
              <w:spacing w:line="440" w:lineRule="exact"/>
              <w:rPr>
                <w:rFonts w:eastAsia="黑体"/>
                <w:color w:val="auto"/>
                <w:szCs w:val="21"/>
                <w:highlight w:val="none"/>
              </w:rPr>
            </w:pPr>
          </w:p>
        </w:tc>
        <w:tc>
          <w:tcPr>
            <w:tcW w:w="2460" w:type="dxa"/>
            <w:gridSpan w:val="2"/>
          </w:tcPr>
          <w:p w14:paraId="24722CA9">
            <w:pPr>
              <w:spacing w:line="440" w:lineRule="exact"/>
              <w:rPr>
                <w:rFonts w:eastAsia="黑体"/>
                <w:color w:val="auto"/>
                <w:szCs w:val="21"/>
                <w:highlight w:val="none"/>
              </w:rPr>
            </w:pPr>
          </w:p>
        </w:tc>
      </w:tr>
      <w:tr w14:paraId="00550F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013" w:type="dxa"/>
          </w:tcPr>
          <w:p w14:paraId="69105DBF">
            <w:pPr>
              <w:spacing w:line="440" w:lineRule="exact"/>
              <w:rPr>
                <w:rFonts w:eastAsia="黑体"/>
                <w:color w:val="auto"/>
                <w:szCs w:val="21"/>
                <w:highlight w:val="none"/>
              </w:rPr>
            </w:pPr>
          </w:p>
        </w:tc>
        <w:tc>
          <w:tcPr>
            <w:tcW w:w="938" w:type="dxa"/>
            <w:gridSpan w:val="2"/>
          </w:tcPr>
          <w:p w14:paraId="27060CBB">
            <w:pPr>
              <w:spacing w:line="440" w:lineRule="exact"/>
              <w:rPr>
                <w:rFonts w:eastAsia="黑体"/>
                <w:color w:val="auto"/>
                <w:szCs w:val="21"/>
                <w:highlight w:val="none"/>
              </w:rPr>
            </w:pPr>
          </w:p>
        </w:tc>
        <w:tc>
          <w:tcPr>
            <w:tcW w:w="1687" w:type="dxa"/>
            <w:gridSpan w:val="3"/>
          </w:tcPr>
          <w:p w14:paraId="42B278B9">
            <w:pPr>
              <w:spacing w:line="440" w:lineRule="exact"/>
              <w:rPr>
                <w:rFonts w:eastAsia="黑体"/>
                <w:color w:val="auto"/>
                <w:szCs w:val="21"/>
                <w:highlight w:val="none"/>
              </w:rPr>
            </w:pPr>
          </w:p>
        </w:tc>
        <w:tc>
          <w:tcPr>
            <w:tcW w:w="1327" w:type="dxa"/>
            <w:gridSpan w:val="2"/>
          </w:tcPr>
          <w:p w14:paraId="19C3ADB0">
            <w:pPr>
              <w:spacing w:line="440" w:lineRule="exact"/>
              <w:rPr>
                <w:rFonts w:eastAsia="黑体"/>
                <w:color w:val="auto"/>
                <w:szCs w:val="21"/>
                <w:highlight w:val="none"/>
              </w:rPr>
            </w:pPr>
          </w:p>
        </w:tc>
        <w:tc>
          <w:tcPr>
            <w:tcW w:w="1097" w:type="dxa"/>
          </w:tcPr>
          <w:p w14:paraId="241DCFE8">
            <w:pPr>
              <w:spacing w:line="440" w:lineRule="exact"/>
              <w:rPr>
                <w:rFonts w:eastAsia="黑体"/>
                <w:color w:val="auto"/>
                <w:szCs w:val="21"/>
                <w:highlight w:val="none"/>
              </w:rPr>
            </w:pPr>
          </w:p>
        </w:tc>
        <w:tc>
          <w:tcPr>
            <w:tcW w:w="2460" w:type="dxa"/>
            <w:gridSpan w:val="2"/>
          </w:tcPr>
          <w:p w14:paraId="1B26B70F">
            <w:pPr>
              <w:spacing w:line="440" w:lineRule="exact"/>
              <w:rPr>
                <w:rFonts w:eastAsia="黑体"/>
                <w:color w:val="auto"/>
                <w:szCs w:val="21"/>
                <w:highlight w:val="none"/>
              </w:rPr>
            </w:pPr>
          </w:p>
        </w:tc>
      </w:tr>
    </w:tbl>
    <w:p w14:paraId="172A11CF">
      <w:pPr>
        <w:spacing w:line="440" w:lineRule="exact"/>
        <w:rPr>
          <w:color w:val="auto"/>
          <w:szCs w:val="21"/>
          <w:highlight w:val="none"/>
        </w:rPr>
      </w:pPr>
    </w:p>
    <w:p w14:paraId="3EFB5DED">
      <w:pPr>
        <w:widowControl/>
        <w:jc w:val="left"/>
        <w:rPr>
          <w:color w:val="auto"/>
          <w:szCs w:val="21"/>
          <w:highlight w:val="none"/>
        </w:rPr>
      </w:pPr>
      <w:r>
        <w:rPr>
          <w:color w:val="auto"/>
          <w:szCs w:val="21"/>
          <w:highlight w:val="none"/>
        </w:rPr>
        <w:br w:type="page"/>
      </w:r>
    </w:p>
    <w:p w14:paraId="7C3AA722">
      <w:pPr>
        <w:pStyle w:val="2"/>
        <w:jc w:val="center"/>
        <w:rPr>
          <w:rFonts w:ascii="黑体"/>
          <w:color w:val="auto"/>
          <w:highlight w:val="none"/>
        </w:rPr>
      </w:pPr>
      <w:bookmarkStart w:id="203" w:name="_Toc486425436"/>
      <w:bookmarkStart w:id="204" w:name="_Toc475483727"/>
      <w:bookmarkStart w:id="205" w:name="_Toc14616"/>
      <w:r>
        <w:rPr>
          <w:rFonts w:hint="eastAsia" w:ascii="黑体"/>
          <w:color w:val="auto"/>
          <w:highlight w:val="none"/>
          <w:lang w:val="en-US" w:eastAsia="zh-CN"/>
        </w:rPr>
        <w:t>七</w:t>
      </w:r>
      <w:r>
        <w:rPr>
          <w:rFonts w:hint="eastAsia" w:ascii="黑体"/>
          <w:color w:val="auto"/>
          <w:highlight w:val="none"/>
        </w:rPr>
        <w:t>、</w:t>
      </w:r>
      <w:r>
        <w:rPr>
          <w:color w:val="auto"/>
          <w:highlight w:val="none"/>
        </w:rPr>
        <w:fldChar w:fldCharType="begin"/>
      </w:r>
      <w:r>
        <w:rPr>
          <w:color w:val="auto"/>
          <w:highlight w:val="none"/>
        </w:rPr>
        <w:instrText xml:space="preserve"> HYPERLINK \l "_Toc338661813" </w:instrText>
      </w:r>
      <w:r>
        <w:rPr>
          <w:color w:val="auto"/>
          <w:highlight w:val="none"/>
        </w:rPr>
        <w:fldChar w:fldCharType="separate"/>
      </w:r>
      <w:r>
        <w:rPr>
          <w:rFonts w:hint="eastAsia" w:ascii="黑体"/>
          <w:b w:val="0"/>
          <w:color w:val="auto"/>
          <w:highlight w:val="none"/>
        </w:rPr>
        <w:t>实质性条款偏离表</w:t>
      </w:r>
      <w:bookmarkEnd w:id="203"/>
      <w:bookmarkEnd w:id="204"/>
      <w:r>
        <w:rPr>
          <w:rFonts w:hint="eastAsia" w:ascii="黑体"/>
          <w:b w:val="0"/>
          <w:color w:val="auto"/>
          <w:highlight w:val="none"/>
        </w:rPr>
        <w:fldChar w:fldCharType="end"/>
      </w:r>
      <w:bookmarkEnd w:id="205"/>
    </w:p>
    <w:p w14:paraId="385EDED0">
      <w:pPr>
        <w:rPr>
          <w:color w:val="auto"/>
          <w:highlight w:val="none"/>
        </w:rPr>
      </w:pPr>
      <w:r>
        <w:rPr>
          <w:rFonts w:hint="eastAsia"/>
          <w:color w:val="auto"/>
          <w:highlight w:val="none"/>
        </w:rPr>
        <w:t>项目名称：</w:t>
      </w:r>
      <w:r>
        <w:rPr>
          <w:rFonts w:hint="eastAsia"/>
          <w:color w:val="auto"/>
          <w:highlight w:val="none"/>
          <w:u w:val="single"/>
        </w:rPr>
        <w:t xml:space="preserve">                </w:t>
      </w:r>
      <w:r>
        <w:rPr>
          <w:rFonts w:hint="eastAsia"/>
          <w:color w:val="auto"/>
          <w:highlight w:val="none"/>
        </w:rPr>
        <w:t xml:space="preserve">  项目编号：</w:t>
      </w:r>
      <w:r>
        <w:rPr>
          <w:rFonts w:hint="eastAsia"/>
          <w:color w:val="auto"/>
          <w:highlight w:val="none"/>
          <w:u w:val="single"/>
        </w:rPr>
        <w:t xml:space="preserve">               </w:t>
      </w:r>
    </w:p>
    <w:tbl>
      <w:tblPr>
        <w:tblStyle w:val="37"/>
        <w:tblW w:w="0" w:type="auto"/>
        <w:tblInd w:w="-3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51"/>
        <w:gridCol w:w="1701"/>
        <w:gridCol w:w="2126"/>
        <w:gridCol w:w="2694"/>
        <w:gridCol w:w="1134"/>
      </w:tblGrid>
      <w:tr w14:paraId="7AB604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1" w:type="dxa"/>
            <w:vAlign w:val="center"/>
          </w:tcPr>
          <w:p w14:paraId="5154A9E6">
            <w:pPr>
              <w:widowControl/>
              <w:snapToGrid w:val="0"/>
              <w:spacing w:before="156" w:beforeLines="50" w:line="360" w:lineRule="auto"/>
              <w:jc w:val="center"/>
              <w:rPr>
                <w:rFonts w:ascii="宋体" w:hAnsi="宋体"/>
                <w:color w:val="auto"/>
                <w:kern w:val="0"/>
                <w:szCs w:val="21"/>
                <w:highlight w:val="none"/>
              </w:rPr>
            </w:pPr>
            <w:r>
              <w:rPr>
                <w:rFonts w:hint="eastAsia" w:ascii="宋体" w:hAnsi="宋体"/>
                <w:color w:val="auto"/>
                <w:kern w:val="0"/>
                <w:szCs w:val="21"/>
                <w:highlight w:val="none"/>
              </w:rPr>
              <w:t>序号</w:t>
            </w:r>
          </w:p>
        </w:tc>
        <w:tc>
          <w:tcPr>
            <w:tcW w:w="1701" w:type="dxa"/>
            <w:vAlign w:val="center"/>
          </w:tcPr>
          <w:p w14:paraId="21815E8C">
            <w:pPr>
              <w:widowControl/>
              <w:snapToGrid w:val="0"/>
              <w:spacing w:before="156" w:beforeLines="50" w:line="360" w:lineRule="auto"/>
              <w:jc w:val="center"/>
              <w:rPr>
                <w:rFonts w:ascii="宋体" w:hAnsi="宋体"/>
                <w:color w:val="auto"/>
                <w:kern w:val="0"/>
                <w:szCs w:val="21"/>
                <w:highlight w:val="none"/>
              </w:rPr>
            </w:pPr>
            <w:r>
              <w:rPr>
                <w:rFonts w:hint="eastAsia" w:ascii="宋体" w:hAnsi="宋体"/>
                <w:color w:val="auto"/>
                <w:kern w:val="0"/>
                <w:szCs w:val="21"/>
                <w:highlight w:val="none"/>
              </w:rPr>
              <w:t>竞争性谈判文件条目号</w:t>
            </w:r>
          </w:p>
        </w:tc>
        <w:tc>
          <w:tcPr>
            <w:tcW w:w="2126" w:type="dxa"/>
            <w:vAlign w:val="center"/>
          </w:tcPr>
          <w:p w14:paraId="26D0EFB8">
            <w:pPr>
              <w:widowControl/>
              <w:snapToGrid w:val="0"/>
              <w:spacing w:before="156" w:beforeLines="50" w:line="360" w:lineRule="auto"/>
              <w:jc w:val="center"/>
              <w:rPr>
                <w:rFonts w:ascii="宋体" w:hAnsi="宋体"/>
                <w:color w:val="auto"/>
                <w:kern w:val="0"/>
                <w:szCs w:val="21"/>
                <w:highlight w:val="none"/>
              </w:rPr>
            </w:pPr>
            <w:r>
              <w:rPr>
                <w:rFonts w:hint="eastAsia" w:ascii="宋体" w:hAnsi="宋体"/>
                <w:color w:val="auto"/>
                <w:kern w:val="0"/>
                <w:szCs w:val="21"/>
                <w:highlight w:val="none"/>
              </w:rPr>
              <w:t>竞争性谈判文件</w:t>
            </w:r>
            <w:r>
              <w:rPr>
                <w:rFonts w:hint="eastAsia" w:ascii="宋体" w:hAnsi="宋体" w:cs="宋体"/>
                <w:color w:val="auto"/>
                <w:szCs w:val="21"/>
                <w:highlight w:val="none"/>
              </w:rPr>
              <w:t>“</w:t>
            </w:r>
            <w:r>
              <w:rPr>
                <w:rFonts w:eastAsia="黑体"/>
                <w:color w:val="auto"/>
                <w:sz w:val="32"/>
                <w:szCs w:val="32"/>
                <w:highlight w:val="none"/>
              </w:rPr>
              <w:sym w:font="Wingdings" w:char="00AB"/>
            </w:r>
            <w:r>
              <w:rPr>
                <w:rFonts w:hint="eastAsia" w:ascii="宋体" w:hAnsi="宋体" w:cs="宋体"/>
                <w:color w:val="auto"/>
                <w:szCs w:val="21"/>
                <w:highlight w:val="none"/>
              </w:rPr>
              <w:t>”</w:t>
            </w:r>
            <w:r>
              <w:rPr>
                <w:rFonts w:hint="eastAsia" w:ascii="宋体" w:hAnsi="宋体"/>
                <w:color w:val="auto"/>
                <w:kern w:val="0"/>
                <w:szCs w:val="21"/>
                <w:highlight w:val="none"/>
              </w:rPr>
              <w:t>条款</w:t>
            </w:r>
          </w:p>
        </w:tc>
        <w:tc>
          <w:tcPr>
            <w:tcW w:w="2694" w:type="dxa"/>
            <w:vAlign w:val="center"/>
          </w:tcPr>
          <w:p w14:paraId="56AF6D91">
            <w:pPr>
              <w:widowControl/>
              <w:snapToGrid w:val="0"/>
              <w:spacing w:before="156" w:beforeLines="50"/>
              <w:jc w:val="center"/>
              <w:rPr>
                <w:rFonts w:ascii="宋体" w:hAnsi="宋体"/>
                <w:color w:val="auto"/>
                <w:kern w:val="0"/>
                <w:szCs w:val="21"/>
                <w:highlight w:val="none"/>
              </w:rPr>
            </w:pPr>
            <w:r>
              <w:rPr>
                <w:rFonts w:hint="eastAsia" w:ascii="宋体" w:hAnsi="宋体"/>
                <w:color w:val="auto"/>
                <w:kern w:val="0"/>
                <w:szCs w:val="21"/>
                <w:highlight w:val="none"/>
              </w:rPr>
              <w:t>竞争性谈判响应文件偏离情况</w:t>
            </w:r>
          </w:p>
          <w:p w14:paraId="50F4F2C3">
            <w:pPr>
              <w:widowControl/>
              <w:snapToGrid w:val="0"/>
              <w:spacing w:before="156" w:beforeLines="50" w:line="360" w:lineRule="auto"/>
              <w:jc w:val="center"/>
              <w:rPr>
                <w:rFonts w:ascii="宋体" w:hAnsi="宋体"/>
                <w:color w:val="auto"/>
                <w:kern w:val="0"/>
                <w:szCs w:val="21"/>
                <w:highlight w:val="none"/>
              </w:rPr>
            </w:pPr>
            <w:r>
              <w:rPr>
                <w:rFonts w:hint="eastAsia" w:ascii="宋体" w:hAnsi="宋体"/>
                <w:color w:val="auto"/>
                <w:kern w:val="0"/>
                <w:szCs w:val="21"/>
                <w:highlight w:val="none"/>
              </w:rPr>
              <w:t>（正偏离/负偏离/无偏离）</w:t>
            </w:r>
          </w:p>
        </w:tc>
        <w:tc>
          <w:tcPr>
            <w:tcW w:w="1134" w:type="dxa"/>
            <w:vAlign w:val="center"/>
          </w:tcPr>
          <w:p w14:paraId="1BCEA2A3">
            <w:pPr>
              <w:widowControl/>
              <w:snapToGrid w:val="0"/>
              <w:spacing w:before="156" w:beforeLines="50"/>
              <w:jc w:val="center"/>
              <w:rPr>
                <w:rFonts w:ascii="宋体" w:hAnsi="宋体"/>
                <w:color w:val="auto"/>
                <w:kern w:val="0"/>
                <w:szCs w:val="21"/>
                <w:highlight w:val="none"/>
              </w:rPr>
            </w:pPr>
            <w:r>
              <w:rPr>
                <w:rFonts w:hint="eastAsia" w:ascii="宋体" w:hAnsi="宋体"/>
                <w:color w:val="auto"/>
                <w:kern w:val="0"/>
                <w:szCs w:val="21"/>
                <w:highlight w:val="none"/>
              </w:rPr>
              <w:t>说明</w:t>
            </w:r>
          </w:p>
        </w:tc>
      </w:tr>
      <w:tr w14:paraId="7A2BF5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7" w:hRule="atLeast"/>
        </w:trPr>
        <w:tc>
          <w:tcPr>
            <w:tcW w:w="851" w:type="dxa"/>
            <w:vAlign w:val="center"/>
          </w:tcPr>
          <w:p w14:paraId="058200B8">
            <w:pPr>
              <w:widowControl/>
              <w:snapToGrid w:val="0"/>
              <w:spacing w:before="156" w:beforeLines="50" w:line="360" w:lineRule="auto"/>
              <w:jc w:val="center"/>
              <w:rPr>
                <w:rFonts w:ascii="宋体" w:hAnsi="宋体"/>
                <w:color w:val="auto"/>
                <w:kern w:val="0"/>
                <w:szCs w:val="21"/>
                <w:highlight w:val="none"/>
              </w:rPr>
            </w:pPr>
          </w:p>
        </w:tc>
        <w:tc>
          <w:tcPr>
            <w:tcW w:w="1701" w:type="dxa"/>
            <w:vAlign w:val="center"/>
          </w:tcPr>
          <w:p w14:paraId="37560104">
            <w:pPr>
              <w:widowControl/>
              <w:snapToGrid w:val="0"/>
              <w:spacing w:before="156" w:beforeLines="50" w:line="360" w:lineRule="auto"/>
              <w:jc w:val="center"/>
              <w:rPr>
                <w:rFonts w:ascii="宋体" w:hAnsi="宋体"/>
                <w:color w:val="auto"/>
                <w:kern w:val="0"/>
                <w:szCs w:val="21"/>
                <w:highlight w:val="none"/>
              </w:rPr>
            </w:pPr>
          </w:p>
        </w:tc>
        <w:tc>
          <w:tcPr>
            <w:tcW w:w="2126" w:type="dxa"/>
            <w:vAlign w:val="center"/>
          </w:tcPr>
          <w:p w14:paraId="01D98BCE">
            <w:pPr>
              <w:widowControl/>
              <w:snapToGrid w:val="0"/>
              <w:spacing w:before="156" w:beforeLines="50" w:line="360" w:lineRule="auto"/>
              <w:jc w:val="center"/>
              <w:rPr>
                <w:rFonts w:ascii="宋体" w:hAnsi="宋体"/>
                <w:color w:val="auto"/>
                <w:kern w:val="0"/>
                <w:szCs w:val="21"/>
                <w:highlight w:val="none"/>
              </w:rPr>
            </w:pPr>
          </w:p>
        </w:tc>
        <w:tc>
          <w:tcPr>
            <w:tcW w:w="2694" w:type="dxa"/>
            <w:vAlign w:val="center"/>
          </w:tcPr>
          <w:p w14:paraId="3E6B43F3">
            <w:pPr>
              <w:widowControl/>
              <w:snapToGrid w:val="0"/>
              <w:spacing w:before="156" w:beforeLines="50"/>
              <w:jc w:val="center"/>
              <w:rPr>
                <w:rFonts w:ascii="宋体" w:hAnsi="宋体"/>
                <w:color w:val="auto"/>
                <w:kern w:val="0"/>
                <w:szCs w:val="21"/>
                <w:highlight w:val="none"/>
              </w:rPr>
            </w:pPr>
          </w:p>
        </w:tc>
        <w:tc>
          <w:tcPr>
            <w:tcW w:w="1134" w:type="dxa"/>
            <w:vAlign w:val="center"/>
          </w:tcPr>
          <w:p w14:paraId="1E91FD58">
            <w:pPr>
              <w:widowControl/>
              <w:snapToGrid w:val="0"/>
              <w:spacing w:before="156" w:beforeLines="50"/>
              <w:jc w:val="center"/>
              <w:rPr>
                <w:rFonts w:ascii="宋体" w:hAnsi="宋体"/>
                <w:color w:val="auto"/>
                <w:kern w:val="0"/>
                <w:szCs w:val="21"/>
                <w:highlight w:val="none"/>
              </w:rPr>
            </w:pPr>
          </w:p>
        </w:tc>
      </w:tr>
      <w:tr w14:paraId="62E6E8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7" w:hRule="atLeast"/>
        </w:trPr>
        <w:tc>
          <w:tcPr>
            <w:tcW w:w="851" w:type="dxa"/>
            <w:vAlign w:val="center"/>
          </w:tcPr>
          <w:p w14:paraId="6875E7D0">
            <w:pPr>
              <w:widowControl/>
              <w:snapToGrid w:val="0"/>
              <w:spacing w:before="156" w:beforeLines="50" w:line="360" w:lineRule="auto"/>
              <w:jc w:val="center"/>
              <w:rPr>
                <w:rFonts w:ascii="宋体" w:hAnsi="宋体"/>
                <w:color w:val="auto"/>
                <w:kern w:val="0"/>
                <w:szCs w:val="21"/>
                <w:highlight w:val="none"/>
              </w:rPr>
            </w:pPr>
          </w:p>
        </w:tc>
        <w:tc>
          <w:tcPr>
            <w:tcW w:w="1701" w:type="dxa"/>
            <w:vAlign w:val="center"/>
          </w:tcPr>
          <w:p w14:paraId="35C052ED">
            <w:pPr>
              <w:widowControl/>
              <w:snapToGrid w:val="0"/>
              <w:spacing w:before="156" w:beforeLines="50" w:line="360" w:lineRule="auto"/>
              <w:jc w:val="center"/>
              <w:rPr>
                <w:rFonts w:ascii="宋体" w:hAnsi="宋体"/>
                <w:color w:val="auto"/>
                <w:kern w:val="0"/>
                <w:szCs w:val="21"/>
                <w:highlight w:val="none"/>
              </w:rPr>
            </w:pPr>
          </w:p>
        </w:tc>
        <w:tc>
          <w:tcPr>
            <w:tcW w:w="2126" w:type="dxa"/>
            <w:vAlign w:val="center"/>
          </w:tcPr>
          <w:p w14:paraId="117FF09D">
            <w:pPr>
              <w:widowControl/>
              <w:snapToGrid w:val="0"/>
              <w:spacing w:before="156" w:beforeLines="50" w:line="360" w:lineRule="auto"/>
              <w:jc w:val="center"/>
              <w:rPr>
                <w:rFonts w:ascii="宋体" w:hAnsi="宋体"/>
                <w:color w:val="auto"/>
                <w:kern w:val="0"/>
                <w:szCs w:val="21"/>
                <w:highlight w:val="none"/>
              </w:rPr>
            </w:pPr>
          </w:p>
        </w:tc>
        <w:tc>
          <w:tcPr>
            <w:tcW w:w="2694" w:type="dxa"/>
            <w:vAlign w:val="center"/>
          </w:tcPr>
          <w:p w14:paraId="3BD1E451">
            <w:pPr>
              <w:widowControl/>
              <w:snapToGrid w:val="0"/>
              <w:spacing w:before="156" w:beforeLines="50"/>
              <w:jc w:val="center"/>
              <w:rPr>
                <w:rFonts w:ascii="宋体" w:hAnsi="宋体"/>
                <w:color w:val="auto"/>
                <w:kern w:val="0"/>
                <w:szCs w:val="21"/>
                <w:highlight w:val="none"/>
              </w:rPr>
            </w:pPr>
          </w:p>
        </w:tc>
        <w:tc>
          <w:tcPr>
            <w:tcW w:w="1134" w:type="dxa"/>
            <w:vAlign w:val="center"/>
          </w:tcPr>
          <w:p w14:paraId="2ABEDFEB">
            <w:pPr>
              <w:widowControl/>
              <w:snapToGrid w:val="0"/>
              <w:spacing w:before="156" w:beforeLines="50"/>
              <w:jc w:val="center"/>
              <w:rPr>
                <w:rFonts w:ascii="宋体" w:hAnsi="宋体"/>
                <w:color w:val="auto"/>
                <w:kern w:val="0"/>
                <w:szCs w:val="21"/>
                <w:highlight w:val="none"/>
              </w:rPr>
            </w:pPr>
          </w:p>
        </w:tc>
      </w:tr>
      <w:tr w14:paraId="52AF62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7" w:hRule="atLeast"/>
        </w:trPr>
        <w:tc>
          <w:tcPr>
            <w:tcW w:w="851" w:type="dxa"/>
            <w:vAlign w:val="center"/>
          </w:tcPr>
          <w:p w14:paraId="14983518">
            <w:pPr>
              <w:widowControl/>
              <w:snapToGrid w:val="0"/>
              <w:spacing w:before="156" w:beforeLines="50" w:line="360" w:lineRule="auto"/>
              <w:jc w:val="center"/>
              <w:rPr>
                <w:rFonts w:ascii="宋体" w:hAnsi="宋体"/>
                <w:color w:val="auto"/>
                <w:kern w:val="0"/>
                <w:szCs w:val="21"/>
                <w:highlight w:val="none"/>
              </w:rPr>
            </w:pPr>
          </w:p>
        </w:tc>
        <w:tc>
          <w:tcPr>
            <w:tcW w:w="1701" w:type="dxa"/>
            <w:vAlign w:val="center"/>
          </w:tcPr>
          <w:p w14:paraId="0E7B5755">
            <w:pPr>
              <w:widowControl/>
              <w:snapToGrid w:val="0"/>
              <w:spacing w:before="156" w:beforeLines="50" w:line="360" w:lineRule="auto"/>
              <w:jc w:val="center"/>
              <w:rPr>
                <w:rFonts w:ascii="宋体" w:hAnsi="宋体"/>
                <w:color w:val="auto"/>
                <w:kern w:val="0"/>
                <w:szCs w:val="21"/>
                <w:highlight w:val="none"/>
              </w:rPr>
            </w:pPr>
          </w:p>
        </w:tc>
        <w:tc>
          <w:tcPr>
            <w:tcW w:w="2126" w:type="dxa"/>
            <w:vAlign w:val="center"/>
          </w:tcPr>
          <w:p w14:paraId="62C519C5">
            <w:pPr>
              <w:widowControl/>
              <w:snapToGrid w:val="0"/>
              <w:spacing w:before="156" w:beforeLines="50" w:line="360" w:lineRule="auto"/>
              <w:jc w:val="center"/>
              <w:rPr>
                <w:rFonts w:ascii="宋体" w:hAnsi="宋体"/>
                <w:color w:val="auto"/>
                <w:kern w:val="0"/>
                <w:szCs w:val="21"/>
                <w:highlight w:val="none"/>
              </w:rPr>
            </w:pPr>
          </w:p>
        </w:tc>
        <w:tc>
          <w:tcPr>
            <w:tcW w:w="2694" w:type="dxa"/>
            <w:vAlign w:val="center"/>
          </w:tcPr>
          <w:p w14:paraId="4264F978">
            <w:pPr>
              <w:widowControl/>
              <w:snapToGrid w:val="0"/>
              <w:spacing w:before="156" w:beforeLines="50"/>
              <w:jc w:val="center"/>
              <w:rPr>
                <w:rFonts w:ascii="宋体" w:hAnsi="宋体"/>
                <w:color w:val="auto"/>
                <w:kern w:val="0"/>
                <w:szCs w:val="21"/>
                <w:highlight w:val="none"/>
              </w:rPr>
            </w:pPr>
          </w:p>
        </w:tc>
        <w:tc>
          <w:tcPr>
            <w:tcW w:w="1134" w:type="dxa"/>
            <w:vAlign w:val="center"/>
          </w:tcPr>
          <w:p w14:paraId="116FEE08">
            <w:pPr>
              <w:widowControl/>
              <w:snapToGrid w:val="0"/>
              <w:spacing w:before="156" w:beforeLines="50"/>
              <w:jc w:val="center"/>
              <w:rPr>
                <w:rFonts w:ascii="宋体" w:hAnsi="宋体"/>
                <w:color w:val="auto"/>
                <w:kern w:val="0"/>
                <w:szCs w:val="21"/>
                <w:highlight w:val="none"/>
              </w:rPr>
            </w:pPr>
          </w:p>
        </w:tc>
      </w:tr>
    </w:tbl>
    <w:p w14:paraId="719AE010">
      <w:pPr>
        <w:spacing w:line="440" w:lineRule="exact"/>
        <w:ind w:firstLine="420" w:firstLineChars="200"/>
        <w:jc w:val="left"/>
        <w:rPr>
          <w:rFonts w:ascii="宋体" w:hAnsi="宋体"/>
          <w:color w:val="auto"/>
          <w:szCs w:val="21"/>
          <w:highlight w:val="none"/>
        </w:rPr>
      </w:pPr>
      <w:r>
        <w:rPr>
          <w:rFonts w:hint="eastAsia" w:ascii="宋体" w:hAnsi="宋体"/>
          <w:color w:val="auto"/>
          <w:szCs w:val="21"/>
          <w:highlight w:val="none"/>
        </w:rPr>
        <w:t>注：1.响应人应当逐条对照竞争性谈判通知书</w:t>
      </w:r>
      <w:r>
        <w:rPr>
          <w:rFonts w:hint="eastAsia" w:ascii="宋体" w:hAnsi="宋体" w:cs="宋体"/>
          <w:color w:val="auto"/>
          <w:szCs w:val="21"/>
          <w:highlight w:val="none"/>
        </w:rPr>
        <w:t>“</w:t>
      </w:r>
      <w:r>
        <w:rPr>
          <w:rFonts w:eastAsia="黑体"/>
          <w:color w:val="auto"/>
          <w:sz w:val="32"/>
          <w:szCs w:val="32"/>
          <w:highlight w:val="none"/>
        </w:rPr>
        <w:sym w:font="Wingdings" w:char="00AB"/>
      </w:r>
      <w:r>
        <w:rPr>
          <w:rFonts w:hint="eastAsia" w:ascii="宋体" w:hAnsi="宋体" w:cs="宋体"/>
          <w:color w:val="auto"/>
          <w:szCs w:val="21"/>
          <w:highlight w:val="none"/>
        </w:rPr>
        <w:t>”</w:t>
      </w:r>
      <w:r>
        <w:rPr>
          <w:rFonts w:hint="eastAsia" w:ascii="宋体" w:hAnsi="宋体"/>
          <w:color w:val="auto"/>
          <w:kern w:val="0"/>
          <w:szCs w:val="21"/>
          <w:highlight w:val="none"/>
        </w:rPr>
        <w:t>条款内容</w:t>
      </w:r>
      <w:r>
        <w:rPr>
          <w:rFonts w:hint="eastAsia" w:ascii="宋体" w:hAnsi="宋体"/>
          <w:color w:val="auto"/>
          <w:szCs w:val="21"/>
          <w:highlight w:val="none"/>
        </w:rPr>
        <w:t>，就竞争性谈判响应文件对实质性条款存在的偏差与例外逐条做出说明；</w:t>
      </w:r>
    </w:p>
    <w:p w14:paraId="78F18AF4">
      <w:pPr>
        <w:spacing w:line="440" w:lineRule="exact"/>
        <w:ind w:firstLine="420" w:firstLineChars="200"/>
        <w:jc w:val="left"/>
        <w:rPr>
          <w:rFonts w:ascii="宋体" w:hAnsi="宋体"/>
          <w:color w:val="auto"/>
          <w:szCs w:val="21"/>
          <w:highlight w:val="none"/>
        </w:rPr>
      </w:pPr>
      <w:r>
        <w:rPr>
          <w:rFonts w:hint="eastAsia" w:ascii="宋体" w:hAnsi="宋体"/>
          <w:color w:val="auto"/>
          <w:szCs w:val="21"/>
          <w:highlight w:val="none"/>
        </w:rPr>
        <w:t>2.如竞争性谈判响应文件对合同条款无任何偏差，响应人仅需在本偏离表中填写“无偏离”即可。</w:t>
      </w:r>
    </w:p>
    <w:p w14:paraId="17BD543A">
      <w:pPr>
        <w:spacing w:after="120"/>
        <w:rPr>
          <w:rFonts w:ascii="宋体" w:hAnsi="宋体"/>
          <w:color w:val="auto"/>
          <w:szCs w:val="21"/>
          <w:highlight w:val="none"/>
        </w:rPr>
      </w:pPr>
    </w:p>
    <w:p w14:paraId="74E38BC3">
      <w:pPr>
        <w:spacing w:line="360" w:lineRule="auto"/>
        <w:ind w:firstLine="3675" w:firstLineChars="1750"/>
        <w:rPr>
          <w:color w:val="auto"/>
          <w:szCs w:val="21"/>
          <w:highlight w:val="none"/>
        </w:rPr>
      </w:pPr>
      <w:r>
        <w:rPr>
          <w:rFonts w:hint="eastAsia"/>
          <w:color w:val="auto"/>
          <w:szCs w:val="21"/>
          <w:highlight w:val="none"/>
        </w:rPr>
        <w:t>响应</w:t>
      </w:r>
      <w:r>
        <w:rPr>
          <w:color w:val="auto"/>
          <w:szCs w:val="21"/>
          <w:highlight w:val="none"/>
        </w:rPr>
        <w:t>人：</w:t>
      </w:r>
      <w:r>
        <w:rPr>
          <w:color w:val="auto"/>
          <w:szCs w:val="21"/>
          <w:highlight w:val="none"/>
          <w:u w:val="single"/>
        </w:rPr>
        <w:t xml:space="preserve">                      </w:t>
      </w:r>
      <w:r>
        <w:rPr>
          <w:color w:val="auto"/>
          <w:szCs w:val="21"/>
          <w:highlight w:val="none"/>
        </w:rPr>
        <w:t>（盖单位公章）</w:t>
      </w:r>
    </w:p>
    <w:p w14:paraId="3EBCFB6E">
      <w:pPr>
        <w:spacing w:line="360" w:lineRule="auto"/>
        <w:ind w:firstLine="3675" w:firstLineChars="1750"/>
        <w:rPr>
          <w:color w:val="auto"/>
          <w:szCs w:val="21"/>
          <w:highlight w:val="none"/>
        </w:rPr>
      </w:pPr>
      <w:r>
        <w:rPr>
          <w:color w:val="auto"/>
          <w:szCs w:val="21"/>
          <w:highlight w:val="none"/>
        </w:rPr>
        <w:t>法定代表人或其委托代理人：</w:t>
      </w:r>
      <w:r>
        <w:rPr>
          <w:color w:val="auto"/>
          <w:szCs w:val="21"/>
          <w:highlight w:val="none"/>
          <w:u w:val="single"/>
        </w:rPr>
        <w:t xml:space="preserve">      </w:t>
      </w:r>
      <w:r>
        <w:rPr>
          <w:rFonts w:hint="eastAsia"/>
          <w:color w:val="auto"/>
          <w:szCs w:val="21"/>
          <w:highlight w:val="none"/>
          <w:u w:val="single"/>
        </w:rPr>
        <w:t xml:space="preserve">   </w:t>
      </w:r>
      <w:r>
        <w:rPr>
          <w:color w:val="auto"/>
          <w:szCs w:val="21"/>
          <w:highlight w:val="none"/>
          <w:u w:val="single"/>
        </w:rPr>
        <w:t xml:space="preserve"> </w:t>
      </w:r>
      <w:r>
        <w:rPr>
          <w:color w:val="auto"/>
          <w:szCs w:val="21"/>
          <w:highlight w:val="none"/>
        </w:rPr>
        <w:t>（签字）</w:t>
      </w:r>
    </w:p>
    <w:p w14:paraId="49547E4B">
      <w:pPr>
        <w:spacing w:line="480" w:lineRule="auto"/>
        <w:rPr>
          <w:rFonts w:ascii="黑体" w:hAnsi="宋体"/>
          <w:color w:val="auto"/>
          <w:highlight w:val="none"/>
        </w:rPr>
      </w:pPr>
      <w:r>
        <w:rPr>
          <w:rFonts w:hint="eastAsia"/>
          <w:color w:val="auto"/>
          <w:szCs w:val="21"/>
          <w:highlight w:val="none"/>
        </w:rPr>
        <w:t xml:space="preserve">                                     </w:t>
      </w:r>
      <w:r>
        <w:rPr>
          <w:rFonts w:hint="eastAsia"/>
          <w:color w:val="auto"/>
          <w:szCs w:val="21"/>
          <w:highlight w:val="none"/>
          <w:u w:val="single"/>
        </w:rPr>
        <w:t xml:space="preserve">        </w:t>
      </w:r>
      <w:r>
        <w:rPr>
          <w:color w:val="auto"/>
          <w:szCs w:val="21"/>
          <w:highlight w:val="none"/>
        </w:rPr>
        <w:t>年</w:t>
      </w:r>
      <w:r>
        <w:rPr>
          <w:rFonts w:hint="eastAsia"/>
          <w:color w:val="auto"/>
          <w:szCs w:val="21"/>
          <w:highlight w:val="none"/>
          <w:u w:val="single"/>
        </w:rPr>
        <w:t xml:space="preserve">        </w:t>
      </w:r>
      <w:r>
        <w:rPr>
          <w:color w:val="auto"/>
          <w:szCs w:val="21"/>
          <w:highlight w:val="none"/>
        </w:rPr>
        <w:t>月</w:t>
      </w:r>
      <w:r>
        <w:rPr>
          <w:rFonts w:hint="eastAsia"/>
          <w:color w:val="auto"/>
          <w:szCs w:val="21"/>
          <w:highlight w:val="none"/>
          <w:u w:val="single"/>
        </w:rPr>
        <w:t xml:space="preserve">      </w:t>
      </w:r>
      <w:r>
        <w:rPr>
          <w:rFonts w:hint="eastAsia"/>
          <w:color w:val="auto"/>
          <w:szCs w:val="21"/>
          <w:highlight w:val="none"/>
        </w:rPr>
        <w:t>日</w:t>
      </w:r>
    </w:p>
    <w:p w14:paraId="55EFBD98">
      <w:pPr>
        <w:widowControl/>
        <w:jc w:val="left"/>
        <w:rPr>
          <w:color w:val="auto"/>
          <w:szCs w:val="21"/>
          <w:highlight w:val="none"/>
        </w:rPr>
      </w:pPr>
      <w:r>
        <w:rPr>
          <w:color w:val="auto"/>
          <w:szCs w:val="21"/>
          <w:highlight w:val="none"/>
        </w:rPr>
        <w:br w:type="page"/>
      </w:r>
    </w:p>
    <w:p w14:paraId="181BF369">
      <w:pPr>
        <w:pStyle w:val="2"/>
        <w:jc w:val="center"/>
        <w:rPr>
          <w:rFonts w:ascii="黑体"/>
          <w:color w:val="auto"/>
          <w:highlight w:val="none"/>
        </w:rPr>
      </w:pPr>
      <w:bookmarkStart w:id="206" w:name="_Toc25972"/>
      <w:r>
        <w:rPr>
          <w:rFonts w:hint="eastAsia" w:ascii="黑体"/>
          <w:color w:val="auto"/>
          <w:highlight w:val="none"/>
          <w:lang w:val="en-US" w:eastAsia="zh-CN"/>
        </w:rPr>
        <w:t>八</w:t>
      </w:r>
      <w:r>
        <w:rPr>
          <w:rFonts w:hint="eastAsia" w:ascii="黑体"/>
          <w:color w:val="auto"/>
          <w:highlight w:val="none"/>
        </w:rPr>
        <w:t>、</w:t>
      </w:r>
      <w:r>
        <w:rPr>
          <w:color w:val="auto"/>
          <w:highlight w:val="none"/>
        </w:rPr>
        <w:fldChar w:fldCharType="begin"/>
      </w:r>
      <w:r>
        <w:rPr>
          <w:color w:val="auto"/>
          <w:highlight w:val="none"/>
        </w:rPr>
        <w:instrText xml:space="preserve"> HYPERLINK \l "_Toc338661813" </w:instrText>
      </w:r>
      <w:r>
        <w:rPr>
          <w:color w:val="auto"/>
          <w:highlight w:val="none"/>
        </w:rPr>
        <w:fldChar w:fldCharType="separate"/>
      </w:r>
      <w:r>
        <w:rPr>
          <w:rFonts w:hint="eastAsia"/>
          <w:color w:val="auto"/>
          <w:highlight w:val="none"/>
          <w:lang w:val="en-US" w:eastAsia="zh-CN"/>
        </w:rPr>
        <w:t>商务</w:t>
      </w:r>
      <w:r>
        <w:rPr>
          <w:rFonts w:hint="eastAsia" w:ascii="黑体"/>
          <w:b w:val="0"/>
          <w:color w:val="auto"/>
          <w:highlight w:val="none"/>
        </w:rPr>
        <w:t>条款偏离表</w:t>
      </w:r>
      <w:r>
        <w:rPr>
          <w:rFonts w:hint="eastAsia" w:ascii="黑体"/>
          <w:b w:val="0"/>
          <w:color w:val="auto"/>
          <w:highlight w:val="none"/>
        </w:rPr>
        <w:fldChar w:fldCharType="end"/>
      </w:r>
      <w:bookmarkEnd w:id="206"/>
    </w:p>
    <w:p w14:paraId="174E35D3">
      <w:pPr>
        <w:rPr>
          <w:color w:val="auto"/>
          <w:highlight w:val="none"/>
        </w:rPr>
      </w:pPr>
      <w:r>
        <w:rPr>
          <w:rFonts w:hint="eastAsia"/>
          <w:color w:val="auto"/>
          <w:highlight w:val="none"/>
        </w:rPr>
        <w:t>项目名称：</w:t>
      </w:r>
      <w:r>
        <w:rPr>
          <w:rFonts w:hint="eastAsia"/>
          <w:color w:val="auto"/>
          <w:highlight w:val="none"/>
          <w:u w:val="single"/>
        </w:rPr>
        <w:t xml:space="preserve">                </w:t>
      </w:r>
      <w:r>
        <w:rPr>
          <w:rFonts w:hint="eastAsia"/>
          <w:color w:val="auto"/>
          <w:highlight w:val="none"/>
        </w:rPr>
        <w:t xml:space="preserve">  项目编号：</w:t>
      </w:r>
      <w:r>
        <w:rPr>
          <w:rFonts w:hint="eastAsia"/>
          <w:color w:val="auto"/>
          <w:highlight w:val="none"/>
          <w:u w:val="single"/>
        </w:rPr>
        <w:t xml:space="preserve">               </w:t>
      </w:r>
      <w:r>
        <w:rPr>
          <w:rFonts w:hint="eastAsia"/>
          <w:color w:val="auto"/>
          <w:highlight w:val="none"/>
        </w:rPr>
        <w:t xml:space="preserve"> </w:t>
      </w:r>
    </w:p>
    <w:tbl>
      <w:tblPr>
        <w:tblStyle w:val="37"/>
        <w:tblW w:w="0" w:type="auto"/>
        <w:tblInd w:w="-3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51"/>
        <w:gridCol w:w="1701"/>
        <w:gridCol w:w="2126"/>
        <w:gridCol w:w="2694"/>
        <w:gridCol w:w="1134"/>
      </w:tblGrid>
      <w:tr w14:paraId="43D4E1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1" w:type="dxa"/>
            <w:vAlign w:val="center"/>
          </w:tcPr>
          <w:p w14:paraId="65BFAEF3">
            <w:pPr>
              <w:widowControl/>
              <w:snapToGrid w:val="0"/>
              <w:spacing w:before="156" w:beforeLines="50" w:line="360" w:lineRule="auto"/>
              <w:jc w:val="center"/>
              <w:rPr>
                <w:rFonts w:ascii="宋体" w:hAnsi="宋体"/>
                <w:color w:val="auto"/>
                <w:kern w:val="0"/>
                <w:szCs w:val="21"/>
                <w:highlight w:val="none"/>
              </w:rPr>
            </w:pPr>
            <w:r>
              <w:rPr>
                <w:rFonts w:hint="eastAsia" w:ascii="宋体" w:hAnsi="宋体"/>
                <w:color w:val="auto"/>
                <w:kern w:val="0"/>
                <w:szCs w:val="21"/>
                <w:highlight w:val="none"/>
              </w:rPr>
              <w:t>序号</w:t>
            </w:r>
          </w:p>
        </w:tc>
        <w:tc>
          <w:tcPr>
            <w:tcW w:w="1701" w:type="dxa"/>
            <w:vAlign w:val="center"/>
          </w:tcPr>
          <w:p w14:paraId="2590B60D">
            <w:pPr>
              <w:widowControl/>
              <w:snapToGrid w:val="0"/>
              <w:spacing w:before="156" w:beforeLines="50" w:line="360" w:lineRule="auto"/>
              <w:jc w:val="center"/>
              <w:rPr>
                <w:rFonts w:ascii="宋体" w:hAnsi="宋体"/>
                <w:color w:val="auto"/>
                <w:kern w:val="0"/>
                <w:szCs w:val="21"/>
                <w:highlight w:val="none"/>
              </w:rPr>
            </w:pPr>
            <w:r>
              <w:rPr>
                <w:rFonts w:hint="eastAsia" w:ascii="宋体" w:hAnsi="宋体"/>
                <w:color w:val="auto"/>
                <w:kern w:val="0"/>
                <w:szCs w:val="21"/>
                <w:highlight w:val="none"/>
              </w:rPr>
              <w:t>竞争性谈判文件条目号</w:t>
            </w:r>
          </w:p>
        </w:tc>
        <w:tc>
          <w:tcPr>
            <w:tcW w:w="2126" w:type="dxa"/>
            <w:vAlign w:val="center"/>
          </w:tcPr>
          <w:p w14:paraId="023A1249">
            <w:pPr>
              <w:widowControl/>
              <w:snapToGrid w:val="0"/>
              <w:spacing w:before="156" w:beforeLines="50" w:line="360" w:lineRule="auto"/>
              <w:jc w:val="center"/>
              <w:rPr>
                <w:rFonts w:ascii="宋体" w:hAnsi="宋体"/>
                <w:color w:val="auto"/>
                <w:kern w:val="0"/>
                <w:szCs w:val="21"/>
                <w:highlight w:val="none"/>
              </w:rPr>
            </w:pPr>
            <w:r>
              <w:rPr>
                <w:rFonts w:hint="eastAsia" w:ascii="宋体" w:hAnsi="宋体"/>
                <w:color w:val="auto"/>
                <w:kern w:val="0"/>
                <w:szCs w:val="21"/>
                <w:highlight w:val="none"/>
              </w:rPr>
              <w:t>竞争性谈判文件《用户需求书/技术规范书》的商务条款</w:t>
            </w:r>
          </w:p>
        </w:tc>
        <w:tc>
          <w:tcPr>
            <w:tcW w:w="2694" w:type="dxa"/>
            <w:vAlign w:val="center"/>
          </w:tcPr>
          <w:p w14:paraId="268865CA">
            <w:pPr>
              <w:widowControl/>
              <w:snapToGrid w:val="0"/>
              <w:spacing w:before="156" w:beforeLines="50"/>
              <w:jc w:val="center"/>
              <w:rPr>
                <w:rFonts w:ascii="宋体" w:hAnsi="宋体"/>
                <w:color w:val="auto"/>
                <w:kern w:val="0"/>
                <w:szCs w:val="21"/>
                <w:highlight w:val="none"/>
              </w:rPr>
            </w:pPr>
            <w:r>
              <w:rPr>
                <w:rFonts w:hint="eastAsia" w:ascii="宋体" w:hAnsi="宋体"/>
                <w:color w:val="auto"/>
                <w:kern w:val="0"/>
                <w:szCs w:val="21"/>
                <w:highlight w:val="none"/>
              </w:rPr>
              <w:t>竞争性谈判响应文件偏离情况</w:t>
            </w:r>
          </w:p>
          <w:p w14:paraId="3370A05E">
            <w:pPr>
              <w:widowControl/>
              <w:snapToGrid w:val="0"/>
              <w:spacing w:before="156" w:beforeLines="50" w:line="360" w:lineRule="auto"/>
              <w:jc w:val="center"/>
              <w:rPr>
                <w:rFonts w:ascii="宋体" w:hAnsi="宋体"/>
                <w:color w:val="auto"/>
                <w:kern w:val="0"/>
                <w:szCs w:val="21"/>
                <w:highlight w:val="none"/>
              </w:rPr>
            </w:pPr>
            <w:r>
              <w:rPr>
                <w:rFonts w:hint="eastAsia" w:ascii="宋体" w:hAnsi="宋体"/>
                <w:color w:val="auto"/>
                <w:kern w:val="0"/>
                <w:szCs w:val="21"/>
                <w:highlight w:val="none"/>
              </w:rPr>
              <w:t>（正偏离/负偏离/无偏离）</w:t>
            </w:r>
          </w:p>
        </w:tc>
        <w:tc>
          <w:tcPr>
            <w:tcW w:w="1134" w:type="dxa"/>
            <w:vAlign w:val="center"/>
          </w:tcPr>
          <w:p w14:paraId="1D0AC873">
            <w:pPr>
              <w:widowControl/>
              <w:snapToGrid w:val="0"/>
              <w:spacing w:before="156" w:beforeLines="50"/>
              <w:jc w:val="center"/>
              <w:rPr>
                <w:rFonts w:ascii="宋体" w:hAnsi="宋体"/>
                <w:color w:val="auto"/>
                <w:kern w:val="0"/>
                <w:szCs w:val="21"/>
                <w:highlight w:val="none"/>
              </w:rPr>
            </w:pPr>
            <w:r>
              <w:rPr>
                <w:rFonts w:hint="eastAsia" w:ascii="宋体" w:hAnsi="宋体"/>
                <w:color w:val="auto"/>
                <w:kern w:val="0"/>
                <w:szCs w:val="21"/>
                <w:highlight w:val="none"/>
              </w:rPr>
              <w:t>说明</w:t>
            </w:r>
          </w:p>
        </w:tc>
      </w:tr>
      <w:tr w14:paraId="2148D8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7" w:hRule="atLeast"/>
        </w:trPr>
        <w:tc>
          <w:tcPr>
            <w:tcW w:w="851" w:type="dxa"/>
            <w:vAlign w:val="center"/>
          </w:tcPr>
          <w:p w14:paraId="03E97642">
            <w:pPr>
              <w:widowControl/>
              <w:snapToGrid w:val="0"/>
              <w:spacing w:before="156" w:beforeLines="50" w:line="360" w:lineRule="auto"/>
              <w:jc w:val="center"/>
              <w:rPr>
                <w:rFonts w:ascii="宋体" w:hAnsi="宋体"/>
                <w:color w:val="auto"/>
                <w:kern w:val="0"/>
                <w:szCs w:val="21"/>
                <w:highlight w:val="none"/>
              </w:rPr>
            </w:pPr>
          </w:p>
        </w:tc>
        <w:tc>
          <w:tcPr>
            <w:tcW w:w="1701" w:type="dxa"/>
            <w:vAlign w:val="center"/>
          </w:tcPr>
          <w:p w14:paraId="050638EA">
            <w:pPr>
              <w:widowControl/>
              <w:snapToGrid w:val="0"/>
              <w:spacing w:before="156" w:beforeLines="50" w:line="360" w:lineRule="auto"/>
              <w:jc w:val="center"/>
              <w:rPr>
                <w:rFonts w:ascii="宋体" w:hAnsi="宋体"/>
                <w:color w:val="auto"/>
                <w:kern w:val="0"/>
                <w:szCs w:val="21"/>
                <w:highlight w:val="none"/>
              </w:rPr>
            </w:pPr>
          </w:p>
        </w:tc>
        <w:tc>
          <w:tcPr>
            <w:tcW w:w="2126" w:type="dxa"/>
            <w:vAlign w:val="center"/>
          </w:tcPr>
          <w:p w14:paraId="0A5F921F">
            <w:pPr>
              <w:widowControl/>
              <w:snapToGrid w:val="0"/>
              <w:spacing w:before="156" w:beforeLines="50" w:line="360" w:lineRule="auto"/>
              <w:jc w:val="center"/>
              <w:rPr>
                <w:rFonts w:ascii="宋体" w:hAnsi="宋体"/>
                <w:color w:val="auto"/>
                <w:kern w:val="0"/>
                <w:szCs w:val="21"/>
                <w:highlight w:val="none"/>
              </w:rPr>
            </w:pPr>
          </w:p>
        </w:tc>
        <w:tc>
          <w:tcPr>
            <w:tcW w:w="2694" w:type="dxa"/>
            <w:vAlign w:val="center"/>
          </w:tcPr>
          <w:p w14:paraId="14D31A51">
            <w:pPr>
              <w:widowControl/>
              <w:snapToGrid w:val="0"/>
              <w:spacing w:before="156" w:beforeLines="50"/>
              <w:jc w:val="center"/>
              <w:rPr>
                <w:rFonts w:ascii="宋体" w:hAnsi="宋体"/>
                <w:color w:val="auto"/>
                <w:kern w:val="0"/>
                <w:szCs w:val="21"/>
                <w:highlight w:val="none"/>
              </w:rPr>
            </w:pPr>
          </w:p>
        </w:tc>
        <w:tc>
          <w:tcPr>
            <w:tcW w:w="1134" w:type="dxa"/>
            <w:vAlign w:val="center"/>
          </w:tcPr>
          <w:p w14:paraId="61AD913B">
            <w:pPr>
              <w:widowControl/>
              <w:snapToGrid w:val="0"/>
              <w:spacing w:before="156" w:beforeLines="50"/>
              <w:jc w:val="center"/>
              <w:rPr>
                <w:rFonts w:ascii="宋体" w:hAnsi="宋体"/>
                <w:color w:val="auto"/>
                <w:kern w:val="0"/>
                <w:szCs w:val="21"/>
                <w:highlight w:val="none"/>
              </w:rPr>
            </w:pPr>
          </w:p>
        </w:tc>
      </w:tr>
      <w:tr w14:paraId="2BC6AF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7" w:hRule="atLeast"/>
        </w:trPr>
        <w:tc>
          <w:tcPr>
            <w:tcW w:w="851" w:type="dxa"/>
            <w:vAlign w:val="center"/>
          </w:tcPr>
          <w:p w14:paraId="4BC4AF51">
            <w:pPr>
              <w:widowControl/>
              <w:snapToGrid w:val="0"/>
              <w:spacing w:before="156" w:beforeLines="50" w:line="360" w:lineRule="auto"/>
              <w:jc w:val="center"/>
              <w:rPr>
                <w:rFonts w:ascii="宋体" w:hAnsi="宋体"/>
                <w:color w:val="auto"/>
                <w:kern w:val="0"/>
                <w:szCs w:val="21"/>
                <w:highlight w:val="none"/>
              </w:rPr>
            </w:pPr>
          </w:p>
        </w:tc>
        <w:tc>
          <w:tcPr>
            <w:tcW w:w="1701" w:type="dxa"/>
            <w:vAlign w:val="center"/>
          </w:tcPr>
          <w:p w14:paraId="0120605C">
            <w:pPr>
              <w:widowControl/>
              <w:snapToGrid w:val="0"/>
              <w:spacing w:before="156" w:beforeLines="50" w:line="360" w:lineRule="auto"/>
              <w:jc w:val="center"/>
              <w:rPr>
                <w:rFonts w:ascii="宋体" w:hAnsi="宋体"/>
                <w:color w:val="auto"/>
                <w:kern w:val="0"/>
                <w:szCs w:val="21"/>
                <w:highlight w:val="none"/>
              </w:rPr>
            </w:pPr>
          </w:p>
        </w:tc>
        <w:tc>
          <w:tcPr>
            <w:tcW w:w="2126" w:type="dxa"/>
            <w:vAlign w:val="center"/>
          </w:tcPr>
          <w:p w14:paraId="37745E3F">
            <w:pPr>
              <w:widowControl/>
              <w:snapToGrid w:val="0"/>
              <w:spacing w:before="156" w:beforeLines="50" w:line="360" w:lineRule="auto"/>
              <w:jc w:val="center"/>
              <w:rPr>
                <w:rFonts w:ascii="宋体" w:hAnsi="宋体"/>
                <w:color w:val="auto"/>
                <w:kern w:val="0"/>
                <w:szCs w:val="21"/>
                <w:highlight w:val="none"/>
              </w:rPr>
            </w:pPr>
          </w:p>
        </w:tc>
        <w:tc>
          <w:tcPr>
            <w:tcW w:w="2694" w:type="dxa"/>
            <w:vAlign w:val="center"/>
          </w:tcPr>
          <w:p w14:paraId="29EE42C3">
            <w:pPr>
              <w:widowControl/>
              <w:snapToGrid w:val="0"/>
              <w:spacing w:before="156" w:beforeLines="50"/>
              <w:jc w:val="center"/>
              <w:rPr>
                <w:rFonts w:ascii="宋体" w:hAnsi="宋体"/>
                <w:color w:val="auto"/>
                <w:kern w:val="0"/>
                <w:szCs w:val="21"/>
                <w:highlight w:val="none"/>
              </w:rPr>
            </w:pPr>
          </w:p>
        </w:tc>
        <w:tc>
          <w:tcPr>
            <w:tcW w:w="1134" w:type="dxa"/>
            <w:vAlign w:val="center"/>
          </w:tcPr>
          <w:p w14:paraId="7DCFF5E4">
            <w:pPr>
              <w:widowControl/>
              <w:snapToGrid w:val="0"/>
              <w:spacing w:before="156" w:beforeLines="50"/>
              <w:jc w:val="center"/>
              <w:rPr>
                <w:rFonts w:ascii="宋体" w:hAnsi="宋体"/>
                <w:color w:val="auto"/>
                <w:kern w:val="0"/>
                <w:szCs w:val="21"/>
                <w:highlight w:val="none"/>
              </w:rPr>
            </w:pPr>
          </w:p>
        </w:tc>
      </w:tr>
      <w:tr w14:paraId="4D52DD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7" w:hRule="atLeast"/>
        </w:trPr>
        <w:tc>
          <w:tcPr>
            <w:tcW w:w="851" w:type="dxa"/>
            <w:vAlign w:val="center"/>
          </w:tcPr>
          <w:p w14:paraId="55C00CBA">
            <w:pPr>
              <w:widowControl/>
              <w:snapToGrid w:val="0"/>
              <w:spacing w:before="156" w:beforeLines="50" w:line="360" w:lineRule="auto"/>
              <w:jc w:val="center"/>
              <w:rPr>
                <w:rFonts w:ascii="宋体" w:hAnsi="宋体"/>
                <w:color w:val="auto"/>
                <w:kern w:val="0"/>
                <w:szCs w:val="21"/>
                <w:highlight w:val="none"/>
              </w:rPr>
            </w:pPr>
          </w:p>
        </w:tc>
        <w:tc>
          <w:tcPr>
            <w:tcW w:w="1701" w:type="dxa"/>
            <w:vAlign w:val="center"/>
          </w:tcPr>
          <w:p w14:paraId="504FD9BF">
            <w:pPr>
              <w:widowControl/>
              <w:snapToGrid w:val="0"/>
              <w:spacing w:before="156" w:beforeLines="50" w:line="360" w:lineRule="auto"/>
              <w:jc w:val="center"/>
              <w:rPr>
                <w:rFonts w:ascii="宋体" w:hAnsi="宋体"/>
                <w:color w:val="auto"/>
                <w:kern w:val="0"/>
                <w:szCs w:val="21"/>
                <w:highlight w:val="none"/>
              </w:rPr>
            </w:pPr>
          </w:p>
        </w:tc>
        <w:tc>
          <w:tcPr>
            <w:tcW w:w="2126" w:type="dxa"/>
            <w:vAlign w:val="center"/>
          </w:tcPr>
          <w:p w14:paraId="7D24E1D8">
            <w:pPr>
              <w:widowControl/>
              <w:snapToGrid w:val="0"/>
              <w:spacing w:before="156" w:beforeLines="50" w:line="360" w:lineRule="auto"/>
              <w:jc w:val="center"/>
              <w:rPr>
                <w:rFonts w:ascii="宋体" w:hAnsi="宋体"/>
                <w:color w:val="auto"/>
                <w:kern w:val="0"/>
                <w:szCs w:val="21"/>
                <w:highlight w:val="none"/>
              </w:rPr>
            </w:pPr>
          </w:p>
        </w:tc>
        <w:tc>
          <w:tcPr>
            <w:tcW w:w="2694" w:type="dxa"/>
            <w:vAlign w:val="center"/>
          </w:tcPr>
          <w:p w14:paraId="58CFE998">
            <w:pPr>
              <w:widowControl/>
              <w:snapToGrid w:val="0"/>
              <w:spacing w:before="156" w:beforeLines="50"/>
              <w:jc w:val="center"/>
              <w:rPr>
                <w:rFonts w:ascii="宋体" w:hAnsi="宋体"/>
                <w:color w:val="auto"/>
                <w:kern w:val="0"/>
                <w:szCs w:val="21"/>
                <w:highlight w:val="none"/>
              </w:rPr>
            </w:pPr>
          </w:p>
        </w:tc>
        <w:tc>
          <w:tcPr>
            <w:tcW w:w="1134" w:type="dxa"/>
            <w:vAlign w:val="center"/>
          </w:tcPr>
          <w:p w14:paraId="53386DED">
            <w:pPr>
              <w:widowControl/>
              <w:snapToGrid w:val="0"/>
              <w:spacing w:before="156" w:beforeLines="50"/>
              <w:jc w:val="center"/>
              <w:rPr>
                <w:rFonts w:ascii="宋体" w:hAnsi="宋体"/>
                <w:color w:val="auto"/>
                <w:kern w:val="0"/>
                <w:szCs w:val="21"/>
                <w:highlight w:val="none"/>
              </w:rPr>
            </w:pPr>
          </w:p>
        </w:tc>
      </w:tr>
    </w:tbl>
    <w:p w14:paraId="17753769">
      <w:pPr>
        <w:spacing w:line="440" w:lineRule="exact"/>
        <w:ind w:firstLine="420" w:firstLineChars="200"/>
        <w:jc w:val="left"/>
        <w:rPr>
          <w:rFonts w:ascii="宋体" w:hAnsi="宋体"/>
          <w:color w:val="auto"/>
          <w:szCs w:val="21"/>
          <w:highlight w:val="none"/>
        </w:rPr>
      </w:pPr>
      <w:r>
        <w:rPr>
          <w:rFonts w:hint="eastAsia" w:ascii="宋体" w:hAnsi="宋体"/>
          <w:color w:val="auto"/>
          <w:szCs w:val="21"/>
          <w:highlight w:val="none"/>
        </w:rPr>
        <w:t>注：1.响应人应当逐条对照</w:t>
      </w:r>
      <w:r>
        <w:rPr>
          <w:rFonts w:hint="eastAsia" w:ascii="宋体" w:hAnsi="宋体"/>
          <w:color w:val="auto"/>
          <w:kern w:val="0"/>
          <w:szCs w:val="21"/>
          <w:highlight w:val="none"/>
        </w:rPr>
        <w:t>竞争性谈判文件《用户需求书/技术规范书》的商务条款</w:t>
      </w:r>
      <w:r>
        <w:rPr>
          <w:rFonts w:hint="eastAsia" w:ascii="宋体" w:hAnsi="宋体"/>
          <w:color w:val="auto"/>
          <w:szCs w:val="21"/>
          <w:highlight w:val="none"/>
        </w:rPr>
        <w:t>，就竞争性谈判响应文件对商务条款存在的偏差与例外逐条做出说明；</w:t>
      </w:r>
    </w:p>
    <w:p w14:paraId="3DA8AA6C">
      <w:pPr>
        <w:spacing w:line="440" w:lineRule="exact"/>
        <w:ind w:firstLine="420" w:firstLineChars="200"/>
        <w:jc w:val="left"/>
        <w:rPr>
          <w:rFonts w:ascii="宋体" w:hAnsi="宋体"/>
          <w:color w:val="auto"/>
          <w:szCs w:val="21"/>
          <w:highlight w:val="none"/>
        </w:rPr>
      </w:pPr>
      <w:r>
        <w:rPr>
          <w:rFonts w:hint="eastAsia" w:ascii="宋体" w:hAnsi="宋体"/>
          <w:color w:val="auto"/>
          <w:szCs w:val="21"/>
          <w:highlight w:val="none"/>
        </w:rPr>
        <w:t>2.如竞争性谈判响应文件对商务条款无任何偏差，响应人仅需在本偏离表中填写“无偏离”即可。</w:t>
      </w:r>
    </w:p>
    <w:p w14:paraId="6F9EED77">
      <w:pPr>
        <w:spacing w:after="120"/>
        <w:rPr>
          <w:rFonts w:ascii="宋体" w:hAnsi="宋体"/>
          <w:color w:val="auto"/>
          <w:szCs w:val="21"/>
          <w:highlight w:val="none"/>
        </w:rPr>
      </w:pPr>
    </w:p>
    <w:p w14:paraId="4A4AE2CF">
      <w:pPr>
        <w:spacing w:line="360" w:lineRule="auto"/>
        <w:ind w:firstLine="3675" w:firstLineChars="1750"/>
        <w:rPr>
          <w:color w:val="auto"/>
          <w:szCs w:val="21"/>
          <w:highlight w:val="none"/>
        </w:rPr>
      </w:pPr>
      <w:r>
        <w:rPr>
          <w:rFonts w:hint="eastAsia"/>
          <w:color w:val="auto"/>
          <w:szCs w:val="21"/>
          <w:highlight w:val="none"/>
        </w:rPr>
        <w:t>响应</w:t>
      </w:r>
      <w:r>
        <w:rPr>
          <w:color w:val="auto"/>
          <w:szCs w:val="21"/>
          <w:highlight w:val="none"/>
        </w:rPr>
        <w:t>人：</w:t>
      </w:r>
      <w:r>
        <w:rPr>
          <w:color w:val="auto"/>
          <w:szCs w:val="21"/>
          <w:highlight w:val="none"/>
          <w:u w:val="single"/>
        </w:rPr>
        <w:t xml:space="preserve">                      </w:t>
      </w:r>
      <w:r>
        <w:rPr>
          <w:color w:val="auto"/>
          <w:szCs w:val="21"/>
          <w:highlight w:val="none"/>
        </w:rPr>
        <w:t>（盖单位公章）</w:t>
      </w:r>
    </w:p>
    <w:p w14:paraId="0FFF108E">
      <w:pPr>
        <w:spacing w:line="360" w:lineRule="auto"/>
        <w:ind w:firstLine="3675" w:firstLineChars="1750"/>
        <w:rPr>
          <w:color w:val="auto"/>
          <w:szCs w:val="21"/>
          <w:highlight w:val="none"/>
        </w:rPr>
      </w:pPr>
      <w:r>
        <w:rPr>
          <w:color w:val="auto"/>
          <w:szCs w:val="21"/>
          <w:highlight w:val="none"/>
        </w:rPr>
        <w:t>法定代表人或其委托代理人：</w:t>
      </w:r>
      <w:r>
        <w:rPr>
          <w:color w:val="auto"/>
          <w:szCs w:val="21"/>
          <w:highlight w:val="none"/>
          <w:u w:val="single"/>
        </w:rPr>
        <w:t xml:space="preserve">      </w:t>
      </w:r>
      <w:r>
        <w:rPr>
          <w:rFonts w:hint="eastAsia"/>
          <w:color w:val="auto"/>
          <w:szCs w:val="21"/>
          <w:highlight w:val="none"/>
          <w:u w:val="single"/>
        </w:rPr>
        <w:t xml:space="preserve">   </w:t>
      </w:r>
      <w:r>
        <w:rPr>
          <w:color w:val="auto"/>
          <w:szCs w:val="21"/>
          <w:highlight w:val="none"/>
          <w:u w:val="single"/>
        </w:rPr>
        <w:t xml:space="preserve"> </w:t>
      </w:r>
      <w:r>
        <w:rPr>
          <w:color w:val="auto"/>
          <w:szCs w:val="21"/>
          <w:highlight w:val="none"/>
        </w:rPr>
        <w:t>（签字）</w:t>
      </w:r>
    </w:p>
    <w:p w14:paraId="59C444E9">
      <w:pPr>
        <w:spacing w:line="480" w:lineRule="auto"/>
        <w:rPr>
          <w:rFonts w:ascii="黑体" w:hAnsi="宋体"/>
          <w:color w:val="auto"/>
          <w:highlight w:val="none"/>
        </w:rPr>
      </w:pPr>
      <w:r>
        <w:rPr>
          <w:rFonts w:hint="eastAsia"/>
          <w:color w:val="auto"/>
          <w:szCs w:val="21"/>
          <w:highlight w:val="none"/>
        </w:rPr>
        <w:t xml:space="preserve">                                     </w:t>
      </w:r>
      <w:r>
        <w:rPr>
          <w:rFonts w:hint="eastAsia"/>
          <w:color w:val="auto"/>
          <w:szCs w:val="21"/>
          <w:highlight w:val="none"/>
          <w:u w:val="single"/>
        </w:rPr>
        <w:t xml:space="preserve">        </w:t>
      </w:r>
      <w:r>
        <w:rPr>
          <w:color w:val="auto"/>
          <w:szCs w:val="21"/>
          <w:highlight w:val="none"/>
        </w:rPr>
        <w:t>年</w:t>
      </w:r>
      <w:r>
        <w:rPr>
          <w:rFonts w:hint="eastAsia"/>
          <w:color w:val="auto"/>
          <w:szCs w:val="21"/>
          <w:highlight w:val="none"/>
          <w:u w:val="single"/>
        </w:rPr>
        <w:t xml:space="preserve">        </w:t>
      </w:r>
      <w:r>
        <w:rPr>
          <w:color w:val="auto"/>
          <w:szCs w:val="21"/>
          <w:highlight w:val="none"/>
        </w:rPr>
        <w:t>月</w:t>
      </w:r>
      <w:r>
        <w:rPr>
          <w:rFonts w:hint="eastAsia"/>
          <w:color w:val="auto"/>
          <w:szCs w:val="21"/>
          <w:highlight w:val="none"/>
          <w:u w:val="single"/>
        </w:rPr>
        <w:t xml:space="preserve">      </w:t>
      </w:r>
      <w:r>
        <w:rPr>
          <w:rFonts w:hint="eastAsia"/>
          <w:color w:val="auto"/>
          <w:szCs w:val="21"/>
          <w:highlight w:val="none"/>
        </w:rPr>
        <w:t>日</w:t>
      </w:r>
    </w:p>
    <w:p w14:paraId="14E47CD1">
      <w:pPr>
        <w:pStyle w:val="2"/>
        <w:spacing w:before="0"/>
        <w:jc w:val="center"/>
        <w:rPr>
          <w:color w:val="auto"/>
          <w:highlight w:val="none"/>
        </w:rPr>
        <w:sectPr>
          <w:pgSz w:w="11906" w:h="16838"/>
          <w:pgMar w:top="1418" w:right="1800" w:bottom="1440" w:left="1800" w:header="851" w:footer="992" w:gutter="0"/>
          <w:cols w:space="720" w:num="1"/>
          <w:docGrid w:type="lines" w:linePitch="312" w:charSpace="0"/>
        </w:sectPr>
      </w:pPr>
    </w:p>
    <w:p w14:paraId="59FCDF87">
      <w:pPr>
        <w:pStyle w:val="2"/>
        <w:jc w:val="center"/>
        <w:rPr>
          <w:rFonts w:ascii="黑体"/>
          <w:color w:val="auto"/>
          <w:highlight w:val="none"/>
        </w:rPr>
      </w:pPr>
      <w:bookmarkStart w:id="207" w:name="_Toc15277"/>
      <w:r>
        <w:rPr>
          <w:rFonts w:hint="eastAsia" w:ascii="黑体"/>
          <w:color w:val="auto"/>
          <w:highlight w:val="none"/>
        </w:rPr>
        <w:t>九、</w:t>
      </w:r>
      <w:r>
        <w:rPr>
          <w:color w:val="auto"/>
          <w:highlight w:val="none"/>
        </w:rPr>
        <w:fldChar w:fldCharType="begin"/>
      </w:r>
      <w:r>
        <w:rPr>
          <w:color w:val="auto"/>
          <w:highlight w:val="none"/>
        </w:rPr>
        <w:instrText xml:space="preserve"> HYPERLINK \l "_Toc338661813" </w:instrText>
      </w:r>
      <w:r>
        <w:rPr>
          <w:color w:val="auto"/>
          <w:highlight w:val="none"/>
        </w:rPr>
        <w:fldChar w:fldCharType="separate"/>
      </w:r>
      <w:r>
        <w:rPr>
          <w:rFonts w:hint="eastAsia" w:ascii="黑体"/>
          <w:b w:val="0"/>
          <w:color w:val="auto"/>
          <w:highlight w:val="none"/>
        </w:rPr>
        <w:t>技术条款偏离表</w:t>
      </w:r>
      <w:r>
        <w:rPr>
          <w:rFonts w:hint="eastAsia" w:ascii="黑体"/>
          <w:b w:val="0"/>
          <w:color w:val="auto"/>
          <w:highlight w:val="none"/>
        </w:rPr>
        <w:fldChar w:fldCharType="end"/>
      </w:r>
      <w:bookmarkEnd w:id="207"/>
    </w:p>
    <w:p w14:paraId="146F486A">
      <w:pPr>
        <w:rPr>
          <w:color w:val="auto"/>
          <w:highlight w:val="none"/>
        </w:rPr>
      </w:pPr>
      <w:r>
        <w:rPr>
          <w:rFonts w:hint="eastAsia"/>
          <w:color w:val="auto"/>
          <w:highlight w:val="none"/>
        </w:rPr>
        <w:t>项目名称：</w:t>
      </w:r>
      <w:r>
        <w:rPr>
          <w:rFonts w:hint="eastAsia"/>
          <w:color w:val="auto"/>
          <w:highlight w:val="none"/>
          <w:u w:val="single"/>
        </w:rPr>
        <w:t xml:space="preserve">                </w:t>
      </w:r>
      <w:r>
        <w:rPr>
          <w:rFonts w:hint="eastAsia"/>
          <w:color w:val="auto"/>
          <w:highlight w:val="none"/>
        </w:rPr>
        <w:t xml:space="preserve">  项目编号：</w:t>
      </w:r>
      <w:r>
        <w:rPr>
          <w:rFonts w:hint="eastAsia"/>
          <w:color w:val="auto"/>
          <w:highlight w:val="none"/>
          <w:u w:val="single"/>
        </w:rPr>
        <w:t xml:space="preserve">               </w:t>
      </w:r>
      <w:r>
        <w:rPr>
          <w:rFonts w:hint="eastAsia"/>
          <w:color w:val="auto"/>
          <w:highlight w:val="none"/>
        </w:rPr>
        <w:t xml:space="preserve"> </w:t>
      </w:r>
    </w:p>
    <w:tbl>
      <w:tblPr>
        <w:tblStyle w:val="37"/>
        <w:tblW w:w="0" w:type="auto"/>
        <w:tblInd w:w="-3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51"/>
        <w:gridCol w:w="1701"/>
        <w:gridCol w:w="2126"/>
        <w:gridCol w:w="2694"/>
        <w:gridCol w:w="1134"/>
      </w:tblGrid>
      <w:tr w14:paraId="26C4F8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1" w:type="dxa"/>
            <w:vAlign w:val="center"/>
          </w:tcPr>
          <w:p w14:paraId="3A1522A1">
            <w:pPr>
              <w:widowControl/>
              <w:snapToGrid w:val="0"/>
              <w:spacing w:before="156" w:beforeLines="50" w:line="360" w:lineRule="auto"/>
              <w:jc w:val="center"/>
              <w:rPr>
                <w:rFonts w:ascii="宋体" w:hAnsi="宋体"/>
                <w:color w:val="auto"/>
                <w:kern w:val="0"/>
                <w:szCs w:val="21"/>
                <w:highlight w:val="none"/>
              </w:rPr>
            </w:pPr>
            <w:r>
              <w:rPr>
                <w:rFonts w:hint="eastAsia" w:ascii="宋体" w:hAnsi="宋体"/>
                <w:color w:val="auto"/>
                <w:kern w:val="0"/>
                <w:szCs w:val="21"/>
                <w:highlight w:val="none"/>
              </w:rPr>
              <w:t>序号</w:t>
            </w:r>
          </w:p>
        </w:tc>
        <w:tc>
          <w:tcPr>
            <w:tcW w:w="1701" w:type="dxa"/>
            <w:vAlign w:val="center"/>
          </w:tcPr>
          <w:p w14:paraId="647F045B">
            <w:pPr>
              <w:widowControl/>
              <w:snapToGrid w:val="0"/>
              <w:spacing w:before="156" w:beforeLines="50" w:line="360" w:lineRule="auto"/>
              <w:jc w:val="center"/>
              <w:rPr>
                <w:rFonts w:ascii="宋体" w:hAnsi="宋体"/>
                <w:color w:val="auto"/>
                <w:kern w:val="0"/>
                <w:szCs w:val="21"/>
                <w:highlight w:val="none"/>
              </w:rPr>
            </w:pPr>
            <w:r>
              <w:rPr>
                <w:rFonts w:hint="eastAsia" w:ascii="宋体" w:hAnsi="宋体"/>
                <w:color w:val="auto"/>
                <w:kern w:val="0"/>
                <w:szCs w:val="21"/>
                <w:highlight w:val="none"/>
              </w:rPr>
              <w:t>竞争性谈判文件条目号</w:t>
            </w:r>
          </w:p>
        </w:tc>
        <w:tc>
          <w:tcPr>
            <w:tcW w:w="2126" w:type="dxa"/>
            <w:vAlign w:val="center"/>
          </w:tcPr>
          <w:p w14:paraId="2985E213">
            <w:pPr>
              <w:widowControl/>
              <w:snapToGrid w:val="0"/>
              <w:spacing w:before="156" w:beforeLines="50" w:line="360" w:lineRule="auto"/>
              <w:jc w:val="center"/>
              <w:rPr>
                <w:rFonts w:ascii="宋体" w:hAnsi="宋体"/>
                <w:color w:val="auto"/>
                <w:kern w:val="0"/>
                <w:szCs w:val="21"/>
                <w:highlight w:val="none"/>
              </w:rPr>
            </w:pPr>
            <w:r>
              <w:rPr>
                <w:rFonts w:hint="eastAsia" w:ascii="宋体" w:hAnsi="宋体"/>
                <w:color w:val="auto"/>
                <w:kern w:val="0"/>
                <w:szCs w:val="21"/>
                <w:highlight w:val="none"/>
              </w:rPr>
              <w:t>竞争性谈判文件《用户需求书/技术规范书》的技术条款</w:t>
            </w:r>
          </w:p>
        </w:tc>
        <w:tc>
          <w:tcPr>
            <w:tcW w:w="2694" w:type="dxa"/>
            <w:vAlign w:val="center"/>
          </w:tcPr>
          <w:p w14:paraId="5FE39CE8">
            <w:pPr>
              <w:widowControl/>
              <w:snapToGrid w:val="0"/>
              <w:spacing w:before="156" w:beforeLines="50"/>
              <w:jc w:val="center"/>
              <w:rPr>
                <w:rFonts w:ascii="宋体" w:hAnsi="宋体"/>
                <w:color w:val="auto"/>
                <w:kern w:val="0"/>
                <w:szCs w:val="21"/>
                <w:highlight w:val="none"/>
              </w:rPr>
            </w:pPr>
            <w:r>
              <w:rPr>
                <w:rFonts w:hint="eastAsia" w:ascii="宋体" w:hAnsi="宋体"/>
                <w:color w:val="auto"/>
                <w:kern w:val="0"/>
                <w:szCs w:val="21"/>
                <w:highlight w:val="none"/>
              </w:rPr>
              <w:t>竞争性谈判响应文件偏离情况</w:t>
            </w:r>
          </w:p>
          <w:p w14:paraId="2786285F">
            <w:pPr>
              <w:widowControl/>
              <w:snapToGrid w:val="0"/>
              <w:spacing w:before="156" w:beforeLines="50" w:line="360" w:lineRule="auto"/>
              <w:jc w:val="center"/>
              <w:rPr>
                <w:rFonts w:ascii="宋体" w:hAnsi="宋体"/>
                <w:color w:val="auto"/>
                <w:kern w:val="0"/>
                <w:szCs w:val="21"/>
                <w:highlight w:val="none"/>
              </w:rPr>
            </w:pPr>
            <w:r>
              <w:rPr>
                <w:rFonts w:hint="eastAsia" w:ascii="宋体" w:hAnsi="宋体"/>
                <w:color w:val="auto"/>
                <w:kern w:val="0"/>
                <w:szCs w:val="21"/>
                <w:highlight w:val="none"/>
              </w:rPr>
              <w:t>（正偏离/负偏离/无偏离）</w:t>
            </w:r>
          </w:p>
        </w:tc>
        <w:tc>
          <w:tcPr>
            <w:tcW w:w="1134" w:type="dxa"/>
            <w:vAlign w:val="center"/>
          </w:tcPr>
          <w:p w14:paraId="14A4F71E">
            <w:pPr>
              <w:widowControl/>
              <w:snapToGrid w:val="0"/>
              <w:spacing w:before="156" w:beforeLines="50"/>
              <w:jc w:val="center"/>
              <w:rPr>
                <w:rFonts w:ascii="宋体" w:hAnsi="宋体"/>
                <w:color w:val="auto"/>
                <w:kern w:val="0"/>
                <w:szCs w:val="21"/>
                <w:highlight w:val="none"/>
              </w:rPr>
            </w:pPr>
            <w:r>
              <w:rPr>
                <w:rFonts w:hint="eastAsia" w:ascii="宋体" w:hAnsi="宋体"/>
                <w:color w:val="auto"/>
                <w:kern w:val="0"/>
                <w:szCs w:val="21"/>
                <w:highlight w:val="none"/>
              </w:rPr>
              <w:t>说明</w:t>
            </w:r>
          </w:p>
        </w:tc>
      </w:tr>
      <w:tr w14:paraId="2C7219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7" w:hRule="atLeast"/>
        </w:trPr>
        <w:tc>
          <w:tcPr>
            <w:tcW w:w="851" w:type="dxa"/>
            <w:vAlign w:val="center"/>
          </w:tcPr>
          <w:p w14:paraId="1918C3B9">
            <w:pPr>
              <w:widowControl/>
              <w:snapToGrid w:val="0"/>
              <w:spacing w:before="156" w:beforeLines="50" w:line="360" w:lineRule="auto"/>
              <w:jc w:val="center"/>
              <w:rPr>
                <w:rFonts w:ascii="宋体" w:hAnsi="宋体"/>
                <w:color w:val="auto"/>
                <w:kern w:val="0"/>
                <w:szCs w:val="21"/>
                <w:highlight w:val="none"/>
              </w:rPr>
            </w:pPr>
          </w:p>
        </w:tc>
        <w:tc>
          <w:tcPr>
            <w:tcW w:w="1701" w:type="dxa"/>
            <w:vAlign w:val="center"/>
          </w:tcPr>
          <w:p w14:paraId="31CD6369">
            <w:pPr>
              <w:widowControl/>
              <w:snapToGrid w:val="0"/>
              <w:spacing w:before="156" w:beforeLines="50" w:line="360" w:lineRule="auto"/>
              <w:jc w:val="center"/>
              <w:rPr>
                <w:rFonts w:ascii="宋体" w:hAnsi="宋体"/>
                <w:color w:val="auto"/>
                <w:kern w:val="0"/>
                <w:szCs w:val="21"/>
                <w:highlight w:val="none"/>
              </w:rPr>
            </w:pPr>
          </w:p>
        </w:tc>
        <w:tc>
          <w:tcPr>
            <w:tcW w:w="2126" w:type="dxa"/>
            <w:vAlign w:val="center"/>
          </w:tcPr>
          <w:p w14:paraId="7724F15F">
            <w:pPr>
              <w:widowControl/>
              <w:snapToGrid w:val="0"/>
              <w:spacing w:before="156" w:beforeLines="50" w:line="360" w:lineRule="auto"/>
              <w:jc w:val="center"/>
              <w:rPr>
                <w:rFonts w:ascii="宋体" w:hAnsi="宋体"/>
                <w:color w:val="auto"/>
                <w:kern w:val="0"/>
                <w:szCs w:val="21"/>
                <w:highlight w:val="none"/>
              </w:rPr>
            </w:pPr>
          </w:p>
        </w:tc>
        <w:tc>
          <w:tcPr>
            <w:tcW w:w="2694" w:type="dxa"/>
            <w:vAlign w:val="center"/>
          </w:tcPr>
          <w:p w14:paraId="7D0EC911">
            <w:pPr>
              <w:widowControl/>
              <w:snapToGrid w:val="0"/>
              <w:spacing w:before="156" w:beforeLines="50"/>
              <w:jc w:val="center"/>
              <w:rPr>
                <w:rFonts w:ascii="宋体" w:hAnsi="宋体"/>
                <w:color w:val="auto"/>
                <w:kern w:val="0"/>
                <w:szCs w:val="21"/>
                <w:highlight w:val="none"/>
              </w:rPr>
            </w:pPr>
          </w:p>
        </w:tc>
        <w:tc>
          <w:tcPr>
            <w:tcW w:w="1134" w:type="dxa"/>
            <w:vAlign w:val="center"/>
          </w:tcPr>
          <w:p w14:paraId="57001597">
            <w:pPr>
              <w:widowControl/>
              <w:snapToGrid w:val="0"/>
              <w:spacing w:before="156" w:beforeLines="50"/>
              <w:jc w:val="center"/>
              <w:rPr>
                <w:rFonts w:ascii="宋体" w:hAnsi="宋体"/>
                <w:color w:val="auto"/>
                <w:kern w:val="0"/>
                <w:szCs w:val="21"/>
                <w:highlight w:val="none"/>
              </w:rPr>
            </w:pPr>
          </w:p>
        </w:tc>
      </w:tr>
      <w:tr w14:paraId="4F62C5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7" w:hRule="atLeast"/>
        </w:trPr>
        <w:tc>
          <w:tcPr>
            <w:tcW w:w="851" w:type="dxa"/>
            <w:vAlign w:val="center"/>
          </w:tcPr>
          <w:p w14:paraId="011C5739">
            <w:pPr>
              <w:widowControl/>
              <w:snapToGrid w:val="0"/>
              <w:spacing w:before="156" w:beforeLines="50" w:line="360" w:lineRule="auto"/>
              <w:jc w:val="center"/>
              <w:rPr>
                <w:rFonts w:ascii="宋体" w:hAnsi="宋体"/>
                <w:color w:val="auto"/>
                <w:kern w:val="0"/>
                <w:szCs w:val="21"/>
                <w:highlight w:val="none"/>
              </w:rPr>
            </w:pPr>
          </w:p>
        </w:tc>
        <w:tc>
          <w:tcPr>
            <w:tcW w:w="1701" w:type="dxa"/>
            <w:vAlign w:val="center"/>
          </w:tcPr>
          <w:p w14:paraId="17934875">
            <w:pPr>
              <w:widowControl/>
              <w:snapToGrid w:val="0"/>
              <w:spacing w:before="156" w:beforeLines="50" w:line="360" w:lineRule="auto"/>
              <w:jc w:val="center"/>
              <w:rPr>
                <w:rFonts w:ascii="宋体" w:hAnsi="宋体"/>
                <w:color w:val="auto"/>
                <w:kern w:val="0"/>
                <w:szCs w:val="21"/>
                <w:highlight w:val="none"/>
              </w:rPr>
            </w:pPr>
          </w:p>
        </w:tc>
        <w:tc>
          <w:tcPr>
            <w:tcW w:w="2126" w:type="dxa"/>
            <w:vAlign w:val="center"/>
          </w:tcPr>
          <w:p w14:paraId="30BC96F2">
            <w:pPr>
              <w:widowControl/>
              <w:snapToGrid w:val="0"/>
              <w:spacing w:before="156" w:beforeLines="50" w:line="360" w:lineRule="auto"/>
              <w:jc w:val="center"/>
              <w:rPr>
                <w:rFonts w:ascii="宋体" w:hAnsi="宋体"/>
                <w:color w:val="auto"/>
                <w:kern w:val="0"/>
                <w:szCs w:val="21"/>
                <w:highlight w:val="none"/>
              </w:rPr>
            </w:pPr>
          </w:p>
        </w:tc>
        <w:tc>
          <w:tcPr>
            <w:tcW w:w="2694" w:type="dxa"/>
            <w:vAlign w:val="center"/>
          </w:tcPr>
          <w:p w14:paraId="682E7675">
            <w:pPr>
              <w:widowControl/>
              <w:snapToGrid w:val="0"/>
              <w:spacing w:before="156" w:beforeLines="50"/>
              <w:jc w:val="center"/>
              <w:rPr>
                <w:rFonts w:ascii="宋体" w:hAnsi="宋体"/>
                <w:color w:val="auto"/>
                <w:kern w:val="0"/>
                <w:szCs w:val="21"/>
                <w:highlight w:val="none"/>
              </w:rPr>
            </w:pPr>
          </w:p>
        </w:tc>
        <w:tc>
          <w:tcPr>
            <w:tcW w:w="1134" w:type="dxa"/>
            <w:vAlign w:val="center"/>
          </w:tcPr>
          <w:p w14:paraId="3B74E880">
            <w:pPr>
              <w:widowControl/>
              <w:snapToGrid w:val="0"/>
              <w:spacing w:before="156" w:beforeLines="50"/>
              <w:jc w:val="center"/>
              <w:rPr>
                <w:rFonts w:ascii="宋体" w:hAnsi="宋体"/>
                <w:color w:val="auto"/>
                <w:kern w:val="0"/>
                <w:szCs w:val="21"/>
                <w:highlight w:val="none"/>
              </w:rPr>
            </w:pPr>
          </w:p>
        </w:tc>
      </w:tr>
      <w:tr w14:paraId="2059D6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7" w:hRule="atLeast"/>
        </w:trPr>
        <w:tc>
          <w:tcPr>
            <w:tcW w:w="851" w:type="dxa"/>
            <w:vAlign w:val="center"/>
          </w:tcPr>
          <w:p w14:paraId="22EE336D">
            <w:pPr>
              <w:widowControl/>
              <w:snapToGrid w:val="0"/>
              <w:spacing w:before="156" w:beforeLines="50" w:line="360" w:lineRule="auto"/>
              <w:jc w:val="center"/>
              <w:rPr>
                <w:rFonts w:ascii="宋体" w:hAnsi="宋体"/>
                <w:color w:val="auto"/>
                <w:kern w:val="0"/>
                <w:szCs w:val="21"/>
                <w:highlight w:val="none"/>
              </w:rPr>
            </w:pPr>
          </w:p>
        </w:tc>
        <w:tc>
          <w:tcPr>
            <w:tcW w:w="1701" w:type="dxa"/>
            <w:vAlign w:val="center"/>
          </w:tcPr>
          <w:p w14:paraId="1D6FC197">
            <w:pPr>
              <w:widowControl/>
              <w:snapToGrid w:val="0"/>
              <w:spacing w:before="156" w:beforeLines="50" w:line="360" w:lineRule="auto"/>
              <w:jc w:val="center"/>
              <w:rPr>
                <w:rFonts w:ascii="宋体" w:hAnsi="宋体"/>
                <w:color w:val="auto"/>
                <w:kern w:val="0"/>
                <w:szCs w:val="21"/>
                <w:highlight w:val="none"/>
              </w:rPr>
            </w:pPr>
          </w:p>
        </w:tc>
        <w:tc>
          <w:tcPr>
            <w:tcW w:w="2126" w:type="dxa"/>
            <w:vAlign w:val="center"/>
          </w:tcPr>
          <w:p w14:paraId="43D97DA1">
            <w:pPr>
              <w:widowControl/>
              <w:snapToGrid w:val="0"/>
              <w:spacing w:before="156" w:beforeLines="50" w:line="360" w:lineRule="auto"/>
              <w:jc w:val="center"/>
              <w:rPr>
                <w:rFonts w:ascii="宋体" w:hAnsi="宋体"/>
                <w:color w:val="auto"/>
                <w:kern w:val="0"/>
                <w:szCs w:val="21"/>
                <w:highlight w:val="none"/>
              </w:rPr>
            </w:pPr>
          </w:p>
        </w:tc>
        <w:tc>
          <w:tcPr>
            <w:tcW w:w="2694" w:type="dxa"/>
            <w:vAlign w:val="center"/>
          </w:tcPr>
          <w:p w14:paraId="335280A0">
            <w:pPr>
              <w:widowControl/>
              <w:snapToGrid w:val="0"/>
              <w:spacing w:before="156" w:beforeLines="50"/>
              <w:jc w:val="center"/>
              <w:rPr>
                <w:rFonts w:ascii="宋体" w:hAnsi="宋体"/>
                <w:color w:val="auto"/>
                <w:kern w:val="0"/>
                <w:szCs w:val="21"/>
                <w:highlight w:val="none"/>
              </w:rPr>
            </w:pPr>
          </w:p>
        </w:tc>
        <w:tc>
          <w:tcPr>
            <w:tcW w:w="1134" w:type="dxa"/>
            <w:vAlign w:val="center"/>
          </w:tcPr>
          <w:p w14:paraId="209A58D7">
            <w:pPr>
              <w:widowControl/>
              <w:snapToGrid w:val="0"/>
              <w:spacing w:before="156" w:beforeLines="50"/>
              <w:jc w:val="center"/>
              <w:rPr>
                <w:rFonts w:ascii="宋体" w:hAnsi="宋体"/>
                <w:color w:val="auto"/>
                <w:kern w:val="0"/>
                <w:szCs w:val="21"/>
                <w:highlight w:val="none"/>
              </w:rPr>
            </w:pPr>
          </w:p>
        </w:tc>
      </w:tr>
    </w:tbl>
    <w:p w14:paraId="038A4B13">
      <w:pPr>
        <w:spacing w:line="440" w:lineRule="exact"/>
        <w:ind w:firstLine="420" w:firstLineChars="200"/>
        <w:jc w:val="left"/>
        <w:rPr>
          <w:rFonts w:ascii="宋体" w:hAnsi="宋体"/>
          <w:color w:val="auto"/>
          <w:szCs w:val="21"/>
          <w:highlight w:val="none"/>
        </w:rPr>
      </w:pPr>
      <w:r>
        <w:rPr>
          <w:rFonts w:hint="eastAsia" w:ascii="宋体" w:hAnsi="宋体"/>
          <w:color w:val="auto"/>
          <w:szCs w:val="21"/>
          <w:highlight w:val="none"/>
        </w:rPr>
        <w:t>注：1.响应人应当逐条对照</w:t>
      </w:r>
      <w:r>
        <w:rPr>
          <w:rFonts w:hint="eastAsia" w:ascii="宋体" w:hAnsi="宋体"/>
          <w:color w:val="auto"/>
          <w:kern w:val="0"/>
          <w:szCs w:val="21"/>
          <w:highlight w:val="none"/>
        </w:rPr>
        <w:t>竞争性谈判文件《用户需求书/技术规范书》的技术条款</w:t>
      </w:r>
      <w:r>
        <w:rPr>
          <w:rFonts w:hint="eastAsia" w:ascii="宋体" w:hAnsi="宋体"/>
          <w:color w:val="auto"/>
          <w:szCs w:val="21"/>
          <w:highlight w:val="none"/>
        </w:rPr>
        <w:t>，就竞争性谈判响应文件对技术条款存在的偏差与例外逐条做出说明；</w:t>
      </w:r>
    </w:p>
    <w:p w14:paraId="4D7E471C">
      <w:pPr>
        <w:spacing w:line="440" w:lineRule="exact"/>
        <w:ind w:firstLine="420" w:firstLineChars="200"/>
        <w:jc w:val="left"/>
        <w:rPr>
          <w:rFonts w:ascii="宋体" w:hAnsi="宋体"/>
          <w:color w:val="auto"/>
          <w:szCs w:val="21"/>
          <w:highlight w:val="none"/>
        </w:rPr>
      </w:pPr>
      <w:r>
        <w:rPr>
          <w:rFonts w:hint="eastAsia" w:ascii="宋体" w:hAnsi="宋体"/>
          <w:color w:val="auto"/>
          <w:szCs w:val="21"/>
          <w:highlight w:val="none"/>
        </w:rPr>
        <w:t>2.如竞争性谈判响应文件对技术条款无任何偏差，响应人仅需在本偏离表中填写“无偏离”即可。</w:t>
      </w:r>
    </w:p>
    <w:p w14:paraId="69F9AEE9">
      <w:pPr>
        <w:spacing w:after="120"/>
        <w:rPr>
          <w:rFonts w:ascii="宋体" w:hAnsi="宋体"/>
          <w:color w:val="auto"/>
          <w:szCs w:val="21"/>
          <w:highlight w:val="none"/>
        </w:rPr>
      </w:pPr>
    </w:p>
    <w:p w14:paraId="171C49AC">
      <w:pPr>
        <w:spacing w:line="360" w:lineRule="auto"/>
        <w:ind w:firstLine="3675" w:firstLineChars="1750"/>
        <w:rPr>
          <w:color w:val="auto"/>
          <w:szCs w:val="21"/>
          <w:highlight w:val="none"/>
        </w:rPr>
      </w:pPr>
      <w:r>
        <w:rPr>
          <w:rFonts w:hint="eastAsia"/>
          <w:color w:val="auto"/>
          <w:szCs w:val="21"/>
          <w:highlight w:val="none"/>
        </w:rPr>
        <w:t>响应</w:t>
      </w:r>
      <w:r>
        <w:rPr>
          <w:color w:val="auto"/>
          <w:szCs w:val="21"/>
          <w:highlight w:val="none"/>
        </w:rPr>
        <w:t>人：</w:t>
      </w:r>
      <w:r>
        <w:rPr>
          <w:color w:val="auto"/>
          <w:szCs w:val="21"/>
          <w:highlight w:val="none"/>
          <w:u w:val="single"/>
        </w:rPr>
        <w:t xml:space="preserve">                      </w:t>
      </w:r>
      <w:r>
        <w:rPr>
          <w:color w:val="auto"/>
          <w:szCs w:val="21"/>
          <w:highlight w:val="none"/>
        </w:rPr>
        <w:t>（盖单位公章）</w:t>
      </w:r>
    </w:p>
    <w:p w14:paraId="6C1A1AE5">
      <w:pPr>
        <w:spacing w:line="360" w:lineRule="auto"/>
        <w:ind w:firstLine="3675" w:firstLineChars="1750"/>
        <w:rPr>
          <w:color w:val="auto"/>
          <w:szCs w:val="21"/>
          <w:highlight w:val="none"/>
        </w:rPr>
      </w:pPr>
      <w:r>
        <w:rPr>
          <w:color w:val="auto"/>
          <w:szCs w:val="21"/>
          <w:highlight w:val="none"/>
        </w:rPr>
        <w:t>法定代表人或其委托代理人：</w:t>
      </w:r>
      <w:r>
        <w:rPr>
          <w:color w:val="auto"/>
          <w:szCs w:val="21"/>
          <w:highlight w:val="none"/>
          <w:u w:val="single"/>
        </w:rPr>
        <w:t xml:space="preserve">      </w:t>
      </w:r>
      <w:r>
        <w:rPr>
          <w:rFonts w:hint="eastAsia"/>
          <w:color w:val="auto"/>
          <w:szCs w:val="21"/>
          <w:highlight w:val="none"/>
          <w:u w:val="single"/>
        </w:rPr>
        <w:t xml:space="preserve">   </w:t>
      </w:r>
      <w:r>
        <w:rPr>
          <w:color w:val="auto"/>
          <w:szCs w:val="21"/>
          <w:highlight w:val="none"/>
          <w:u w:val="single"/>
        </w:rPr>
        <w:t xml:space="preserve"> </w:t>
      </w:r>
      <w:r>
        <w:rPr>
          <w:color w:val="auto"/>
          <w:szCs w:val="21"/>
          <w:highlight w:val="none"/>
        </w:rPr>
        <w:t>（签字）</w:t>
      </w:r>
    </w:p>
    <w:p w14:paraId="387AA7BB">
      <w:pPr>
        <w:spacing w:line="480" w:lineRule="auto"/>
        <w:rPr>
          <w:rFonts w:ascii="黑体" w:hAnsi="宋体"/>
          <w:color w:val="auto"/>
          <w:highlight w:val="none"/>
        </w:rPr>
      </w:pPr>
      <w:r>
        <w:rPr>
          <w:rFonts w:hint="eastAsia"/>
          <w:color w:val="auto"/>
          <w:szCs w:val="21"/>
          <w:highlight w:val="none"/>
        </w:rPr>
        <w:t xml:space="preserve">                                     </w:t>
      </w:r>
      <w:r>
        <w:rPr>
          <w:rFonts w:hint="eastAsia"/>
          <w:color w:val="auto"/>
          <w:szCs w:val="21"/>
          <w:highlight w:val="none"/>
          <w:u w:val="single"/>
        </w:rPr>
        <w:t xml:space="preserve">        </w:t>
      </w:r>
      <w:r>
        <w:rPr>
          <w:color w:val="auto"/>
          <w:szCs w:val="21"/>
          <w:highlight w:val="none"/>
        </w:rPr>
        <w:t>年</w:t>
      </w:r>
      <w:r>
        <w:rPr>
          <w:rFonts w:hint="eastAsia"/>
          <w:color w:val="auto"/>
          <w:szCs w:val="21"/>
          <w:highlight w:val="none"/>
          <w:u w:val="single"/>
        </w:rPr>
        <w:t xml:space="preserve">        </w:t>
      </w:r>
      <w:r>
        <w:rPr>
          <w:color w:val="auto"/>
          <w:szCs w:val="21"/>
          <w:highlight w:val="none"/>
        </w:rPr>
        <w:t>月</w:t>
      </w:r>
      <w:r>
        <w:rPr>
          <w:rFonts w:hint="eastAsia"/>
          <w:color w:val="auto"/>
          <w:szCs w:val="21"/>
          <w:highlight w:val="none"/>
          <w:u w:val="single"/>
        </w:rPr>
        <w:t xml:space="preserve">      </w:t>
      </w:r>
      <w:r>
        <w:rPr>
          <w:rFonts w:hint="eastAsia"/>
          <w:color w:val="auto"/>
          <w:szCs w:val="21"/>
          <w:highlight w:val="none"/>
        </w:rPr>
        <w:t>日</w:t>
      </w:r>
    </w:p>
    <w:p w14:paraId="23694A85">
      <w:pPr>
        <w:pStyle w:val="2"/>
        <w:spacing w:before="0"/>
        <w:jc w:val="center"/>
        <w:rPr>
          <w:color w:val="auto"/>
          <w:highlight w:val="none"/>
        </w:rPr>
        <w:sectPr>
          <w:pgSz w:w="11906" w:h="16838"/>
          <w:pgMar w:top="1418" w:right="1800" w:bottom="1440" w:left="1800" w:header="851" w:footer="992" w:gutter="0"/>
          <w:cols w:space="720" w:num="1"/>
          <w:docGrid w:type="lines" w:linePitch="312" w:charSpace="0"/>
        </w:sectPr>
      </w:pPr>
    </w:p>
    <w:p w14:paraId="3F25A6F7">
      <w:pPr>
        <w:pStyle w:val="2"/>
        <w:jc w:val="center"/>
        <w:rPr>
          <w:color w:val="auto"/>
          <w:highlight w:val="none"/>
        </w:rPr>
      </w:pPr>
      <w:bookmarkStart w:id="208" w:name="_Toc152042596"/>
      <w:bookmarkStart w:id="209" w:name="_Toc179632827"/>
      <w:bookmarkStart w:id="210" w:name="_Toc486425440"/>
      <w:bookmarkStart w:id="211" w:name="_Toc246996372"/>
      <w:bookmarkStart w:id="212" w:name="_Toc338669161"/>
      <w:bookmarkStart w:id="213" w:name="_Toc144974875"/>
      <w:bookmarkStart w:id="214" w:name="_Toc247085890"/>
      <w:bookmarkStart w:id="215" w:name="_Toc152045807"/>
      <w:bookmarkStart w:id="216" w:name="_Toc246997115"/>
      <w:bookmarkStart w:id="217" w:name="_Toc28417"/>
      <w:r>
        <w:rPr>
          <w:rFonts w:hint="eastAsia"/>
          <w:color w:val="auto"/>
          <w:highlight w:val="none"/>
          <w:lang w:val="en-US" w:eastAsia="zh-CN"/>
        </w:rPr>
        <w:t>十、</w:t>
      </w:r>
      <w:r>
        <w:rPr>
          <w:color w:val="auto"/>
          <w:highlight w:val="none"/>
        </w:rPr>
        <w:t>资格审查资料</w:t>
      </w:r>
      <w:bookmarkEnd w:id="208"/>
      <w:bookmarkEnd w:id="209"/>
      <w:bookmarkEnd w:id="210"/>
      <w:bookmarkEnd w:id="211"/>
      <w:bookmarkEnd w:id="212"/>
      <w:bookmarkEnd w:id="213"/>
      <w:bookmarkEnd w:id="214"/>
      <w:bookmarkEnd w:id="215"/>
      <w:bookmarkEnd w:id="216"/>
      <w:bookmarkEnd w:id="217"/>
    </w:p>
    <w:p w14:paraId="1355BC36">
      <w:pPr>
        <w:widowControl/>
        <w:jc w:val="left"/>
        <w:rPr>
          <w:color w:val="auto"/>
          <w:szCs w:val="21"/>
          <w:highlight w:val="none"/>
        </w:rPr>
      </w:pPr>
      <w:r>
        <w:rPr>
          <w:color w:val="auto"/>
          <w:szCs w:val="21"/>
          <w:highlight w:val="none"/>
        </w:rPr>
        <w:br w:type="page"/>
      </w:r>
    </w:p>
    <w:p w14:paraId="7685BA1C">
      <w:pPr>
        <w:pStyle w:val="2"/>
        <w:jc w:val="center"/>
        <w:rPr>
          <w:rFonts w:hint="eastAsia"/>
          <w:color w:val="auto"/>
          <w:highlight w:val="none"/>
        </w:rPr>
        <w:sectPr>
          <w:pgSz w:w="11906" w:h="16838"/>
          <w:pgMar w:top="1440" w:right="1800" w:bottom="1440" w:left="1800" w:header="851" w:footer="992" w:gutter="0"/>
          <w:cols w:space="720" w:num="1"/>
          <w:docGrid w:type="lines" w:linePitch="312" w:charSpace="0"/>
        </w:sectPr>
      </w:pPr>
    </w:p>
    <w:p w14:paraId="60416A6E">
      <w:pPr>
        <w:keepNext/>
        <w:keepLines/>
        <w:widowControl w:val="0"/>
        <w:spacing w:before="260" w:after="260" w:line="416" w:lineRule="auto"/>
        <w:jc w:val="center"/>
        <w:outlineLvl w:val="1"/>
        <w:rPr>
          <w:rFonts w:hint="eastAsia" w:ascii="Arial" w:hAnsi="Arial" w:eastAsia="黑体" w:cs="Times New Roman"/>
          <w:b/>
          <w:bCs/>
          <w:color w:val="auto"/>
          <w:kern w:val="2"/>
          <w:sz w:val="32"/>
          <w:szCs w:val="32"/>
          <w:highlight w:val="none"/>
          <w:lang w:val="en-US" w:eastAsia="zh-CN" w:bidi="ar-SA"/>
        </w:rPr>
      </w:pPr>
      <w:bookmarkStart w:id="218" w:name="_Toc2396"/>
      <w:r>
        <w:rPr>
          <w:rFonts w:hint="eastAsia" w:ascii="Arial" w:hAnsi="Arial" w:eastAsia="黑体" w:cs="Times New Roman"/>
          <w:b/>
          <w:bCs/>
          <w:color w:val="auto"/>
          <w:kern w:val="2"/>
          <w:sz w:val="32"/>
          <w:szCs w:val="32"/>
          <w:highlight w:val="none"/>
          <w:lang w:val="en-US" w:eastAsia="zh-CN" w:bidi="ar-SA"/>
        </w:rPr>
        <w:t>十一、不可撤销履约保函</w:t>
      </w:r>
      <w:bookmarkEnd w:id="218"/>
    </w:p>
    <w:p w14:paraId="5416AEB9">
      <w:pPr>
        <w:widowControl/>
        <w:adjustRightInd w:val="0"/>
        <w:snapToGrid w:val="0"/>
        <w:spacing w:line="360" w:lineRule="auto"/>
        <w:jc w:val="center"/>
        <w:rPr>
          <w:rFonts w:hint="eastAsia" w:ascii="宋体" w:hAnsi="宋体" w:cs="Times New Roman"/>
          <w:color w:val="auto"/>
          <w:kern w:val="0"/>
          <w:szCs w:val="22"/>
          <w:highlight w:val="none"/>
        </w:rPr>
      </w:pPr>
    </w:p>
    <w:p w14:paraId="0B70834A">
      <w:pPr>
        <w:widowControl/>
        <w:adjustRightInd w:val="0"/>
        <w:snapToGrid w:val="0"/>
        <w:spacing w:line="360" w:lineRule="auto"/>
        <w:jc w:val="center"/>
        <w:rPr>
          <w:rFonts w:ascii="宋体" w:hAnsi="宋体" w:cs="Times New Roman"/>
          <w:color w:val="auto"/>
          <w:kern w:val="0"/>
          <w:szCs w:val="22"/>
          <w:highlight w:val="none"/>
        </w:rPr>
      </w:pPr>
      <w:r>
        <w:rPr>
          <w:rFonts w:hint="eastAsia" w:ascii="宋体" w:hAnsi="宋体" w:cs="Times New Roman"/>
          <w:color w:val="auto"/>
          <w:kern w:val="0"/>
          <w:szCs w:val="22"/>
          <w:highlight w:val="none"/>
        </w:rPr>
        <w:t>银行编号：</w:t>
      </w:r>
    </w:p>
    <w:p w14:paraId="3F0E3F67">
      <w:pPr>
        <w:widowControl/>
        <w:adjustRightInd w:val="0"/>
        <w:snapToGrid w:val="0"/>
        <w:spacing w:line="360" w:lineRule="auto"/>
        <w:jc w:val="left"/>
        <w:rPr>
          <w:rFonts w:ascii="宋体" w:hAnsi="宋体" w:cs="Times New Roman"/>
          <w:color w:val="auto"/>
          <w:kern w:val="0"/>
          <w:szCs w:val="22"/>
          <w:highlight w:val="none"/>
        </w:rPr>
      </w:pPr>
      <w:r>
        <w:rPr>
          <w:rFonts w:ascii="宋体" w:hAnsi="宋体" w:cs="Times New Roman"/>
          <w:color w:val="auto"/>
          <w:kern w:val="0"/>
          <w:szCs w:val="22"/>
          <w:highlight w:val="none"/>
        </w:rPr>
        <w:t>致：</w:t>
      </w:r>
      <w:r>
        <w:rPr>
          <w:rFonts w:hint="eastAsia" w:ascii="宋体" w:hAnsi="宋体" w:cs="Times New Roman"/>
          <w:color w:val="auto"/>
          <w:kern w:val="0"/>
          <w:szCs w:val="22"/>
          <w:highlight w:val="none"/>
          <w:u w:val="single"/>
        </w:rPr>
        <w:t xml:space="preserve">                        </w:t>
      </w:r>
      <w:r>
        <w:rPr>
          <w:rFonts w:hint="eastAsia" w:ascii="宋体" w:hAnsi="宋体" w:cs="Times New Roman"/>
          <w:color w:val="auto"/>
          <w:kern w:val="0"/>
          <w:szCs w:val="22"/>
          <w:highlight w:val="none"/>
        </w:rPr>
        <w:t>（</w:t>
      </w:r>
      <w:r>
        <w:rPr>
          <w:rFonts w:hint="eastAsia" w:ascii="Tahoma" w:hAnsi="Tahoma" w:cs="Times New Roman"/>
          <w:color w:val="auto"/>
          <w:kern w:val="0"/>
          <w:szCs w:val="22"/>
          <w:highlight w:val="none"/>
        </w:rPr>
        <w:t>甲方</w:t>
      </w:r>
      <w:r>
        <w:rPr>
          <w:rFonts w:hint="eastAsia" w:ascii="宋体" w:hAnsi="宋体" w:cs="Times New Roman"/>
          <w:color w:val="auto"/>
          <w:kern w:val="0"/>
          <w:szCs w:val="22"/>
          <w:highlight w:val="none"/>
        </w:rPr>
        <w:t>）</w:t>
      </w:r>
    </w:p>
    <w:p w14:paraId="66465705">
      <w:pPr>
        <w:widowControl/>
        <w:adjustRightInd w:val="0"/>
        <w:snapToGrid w:val="0"/>
        <w:spacing w:line="360" w:lineRule="auto"/>
        <w:ind w:firstLine="420" w:firstLineChars="200"/>
        <w:jc w:val="left"/>
        <w:rPr>
          <w:rFonts w:ascii="宋体" w:hAnsi="宋体" w:cs="Times New Roman"/>
          <w:color w:val="auto"/>
          <w:kern w:val="0"/>
          <w:szCs w:val="22"/>
          <w:highlight w:val="none"/>
        </w:rPr>
      </w:pPr>
      <w:r>
        <w:rPr>
          <w:rFonts w:hint="eastAsia" w:ascii="宋体" w:hAnsi="宋体" w:cs="Times New Roman"/>
          <w:color w:val="auto"/>
          <w:kern w:val="0"/>
          <w:szCs w:val="22"/>
          <w:highlight w:val="none"/>
        </w:rPr>
        <w:t>鉴于</w:t>
      </w:r>
      <w:r>
        <w:rPr>
          <w:rFonts w:hint="eastAsia" w:ascii="宋体" w:hAnsi="宋体" w:cs="Times New Roman"/>
          <w:color w:val="auto"/>
          <w:kern w:val="0"/>
          <w:szCs w:val="22"/>
          <w:highlight w:val="none"/>
          <w:u w:val="single"/>
        </w:rPr>
        <w:t xml:space="preserve">         （地址：          ，下称 “乙方” ）</w:t>
      </w:r>
      <w:r>
        <w:rPr>
          <w:rFonts w:hint="eastAsia" w:ascii="宋体" w:hAnsi="宋体" w:cs="Times New Roman"/>
          <w:color w:val="auto"/>
          <w:kern w:val="0"/>
          <w:szCs w:val="22"/>
          <w:highlight w:val="none"/>
        </w:rPr>
        <w:t>已保证按</w:t>
      </w:r>
      <w:r>
        <w:rPr>
          <w:rFonts w:hint="eastAsia" w:ascii="宋体" w:hAnsi="宋体" w:cs="Times New Roman"/>
          <w:color w:val="auto"/>
          <w:kern w:val="0"/>
          <w:szCs w:val="22"/>
          <w:highlight w:val="none"/>
          <w:u w:val="single"/>
        </w:rPr>
        <w:t xml:space="preserve">        承包合同书（合同编号：    ）</w:t>
      </w:r>
      <w:r>
        <w:rPr>
          <w:rFonts w:hint="eastAsia" w:ascii="宋体" w:hAnsi="宋体" w:cs="Times New Roman"/>
          <w:color w:val="auto"/>
          <w:kern w:val="0"/>
          <w:szCs w:val="22"/>
          <w:highlight w:val="none"/>
        </w:rPr>
        <w:t>中规定的义务履行合同。</w:t>
      </w:r>
    </w:p>
    <w:p w14:paraId="142426AB">
      <w:pPr>
        <w:widowControl/>
        <w:adjustRightInd w:val="0"/>
        <w:snapToGrid w:val="0"/>
        <w:spacing w:line="360" w:lineRule="auto"/>
        <w:ind w:firstLine="420" w:firstLineChars="200"/>
        <w:jc w:val="left"/>
        <w:rPr>
          <w:rFonts w:ascii="宋体" w:hAnsi="宋体" w:cs="Times New Roman"/>
          <w:color w:val="auto"/>
          <w:kern w:val="0"/>
          <w:szCs w:val="22"/>
          <w:highlight w:val="none"/>
        </w:rPr>
      </w:pPr>
      <w:r>
        <w:rPr>
          <w:rFonts w:hint="eastAsia" w:ascii="宋体" w:hAnsi="宋体" w:cs="Times New Roman"/>
          <w:color w:val="auto"/>
          <w:kern w:val="0"/>
          <w:szCs w:val="22"/>
          <w:highlight w:val="none"/>
        </w:rPr>
        <w:t>根据上述合同约定，乙方应向</w:t>
      </w:r>
      <w:r>
        <w:rPr>
          <w:rFonts w:hint="eastAsia" w:ascii="Tahoma" w:hAnsi="Tahoma" w:cs="Times New Roman"/>
          <w:color w:val="auto"/>
          <w:kern w:val="0"/>
          <w:szCs w:val="22"/>
          <w:highlight w:val="none"/>
        </w:rPr>
        <w:t>甲方</w:t>
      </w:r>
      <w:r>
        <w:rPr>
          <w:rFonts w:hint="eastAsia" w:ascii="宋体" w:hAnsi="宋体" w:cs="Times New Roman"/>
          <w:color w:val="auto"/>
          <w:kern w:val="0"/>
          <w:szCs w:val="22"/>
          <w:highlight w:val="none"/>
        </w:rPr>
        <w:t>提供一份金额为合同总价的10%即</w:t>
      </w:r>
      <w:r>
        <w:rPr>
          <w:rFonts w:hint="eastAsia" w:ascii="宋体" w:hAnsi="宋体" w:cs="Times New Roman"/>
          <w:color w:val="auto"/>
          <w:kern w:val="0"/>
          <w:szCs w:val="22"/>
          <w:highlight w:val="none"/>
          <w:u w:val="single"/>
        </w:rPr>
        <w:t>人民币      （RMB    元）</w:t>
      </w:r>
      <w:r>
        <w:rPr>
          <w:rFonts w:hint="eastAsia" w:ascii="宋体" w:hAnsi="宋体" w:cs="Times New Roman"/>
          <w:color w:val="auto"/>
          <w:kern w:val="0"/>
          <w:szCs w:val="22"/>
          <w:highlight w:val="none"/>
        </w:rPr>
        <w:t>的</w:t>
      </w:r>
      <w:r>
        <w:rPr>
          <w:rFonts w:hint="eastAsia" w:ascii="宋体" w:hAnsi="宋体" w:cs="Times New Roman"/>
          <w:bCs/>
          <w:color w:val="auto"/>
          <w:kern w:val="0"/>
          <w:szCs w:val="22"/>
          <w:highlight w:val="none"/>
        </w:rPr>
        <w:t>不可撤销</w:t>
      </w:r>
      <w:r>
        <w:rPr>
          <w:rFonts w:hint="eastAsia" w:ascii="宋体" w:hAnsi="宋体" w:cs="Times New Roman"/>
          <w:color w:val="auto"/>
          <w:kern w:val="0"/>
          <w:szCs w:val="22"/>
          <w:highlight w:val="none"/>
        </w:rPr>
        <w:t>银行履约保函，作为乙方履行上述合同的担保。</w:t>
      </w:r>
    </w:p>
    <w:p w14:paraId="46DF0218">
      <w:pPr>
        <w:widowControl/>
        <w:adjustRightInd w:val="0"/>
        <w:snapToGrid w:val="0"/>
        <w:spacing w:line="360" w:lineRule="auto"/>
        <w:ind w:firstLine="420" w:firstLineChars="200"/>
        <w:jc w:val="left"/>
        <w:rPr>
          <w:rFonts w:ascii="宋体" w:hAnsi="宋体" w:cs="Times New Roman"/>
          <w:color w:val="auto"/>
          <w:kern w:val="0"/>
          <w:szCs w:val="22"/>
          <w:highlight w:val="none"/>
        </w:rPr>
      </w:pPr>
      <w:r>
        <w:rPr>
          <w:rFonts w:hint="eastAsia" w:ascii="宋体" w:hAnsi="宋体" w:cs="Times New Roman"/>
          <w:color w:val="auto"/>
          <w:kern w:val="0"/>
          <w:szCs w:val="22"/>
          <w:highlight w:val="none"/>
        </w:rPr>
        <w:t>我方</w:t>
      </w:r>
      <w:r>
        <w:rPr>
          <w:rFonts w:hint="eastAsia" w:ascii="宋体" w:hAnsi="宋体" w:cs="Times New Roman"/>
          <w:color w:val="auto"/>
          <w:kern w:val="0"/>
          <w:szCs w:val="22"/>
          <w:highlight w:val="none"/>
          <w:u w:val="single"/>
        </w:rPr>
        <w:t xml:space="preserve">            （银行名称）</w:t>
      </w:r>
      <w:r>
        <w:rPr>
          <w:rFonts w:hint="eastAsia" w:ascii="宋体" w:hAnsi="宋体" w:cs="Times New Roman"/>
          <w:color w:val="auto"/>
          <w:kern w:val="0"/>
          <w:szCs w:val="22"/>
          <w:highlight w:val="none"/>
        </w:rPr>
        <w:t>，受乙方的委托，不仅作为连带责任保证人而且作为主要的责任人，无条件和不可撤销地同意在</w:t>
      </w:r>
      <w:r>
        <w:rPr>
          <w:rFonts w:hint="eastAsia" w:ascii="Tahoma" w:hAnsi="Tahoma" w:cs="Times New Roman"/>
          <w:color w:val="auto"/>
          <w:kern w:val="0"/>
          <w:szCs w:val="22"/>
          <w:highlight w:val="none"/>
        </w:rPr>
        <w:t>甲方</w:t>
      </w:r>
      <w:r>
        <w:rPr>
          <w:rFonts w:hint="eastAsia" w:ascii="宋体" w:hAnsi="宋体" w:cs="Times New Roman"/>
          <w:color w:val="auto"/>
          <w:kern w:val="0"/>
          <w:szCs w:val="22"/>
          <w:highlight w:val="none"/>
        </w:rPr>
        <w:t>提出因乙方没有履行上述合同规定，而要求扣划保证金的书面要求后，7个工作日内为</w:t>
      </w:r>
      <w:r>
        <w:rPr>
          <w:rFonts w:hint="eastAsia" w:ascii="Tahoma" w:hAnsi="Tahoma" w:cs="Times New Roman"/>
          <w:color w:val="auto"/>
          <w:kern w:val="0"/>
          <w:szCs w:val="22"/>
          <w:highlight w:val="none"/>
        </w:rPr>
        <w:t>甲方</w:t>
      </w:r>
      <w:r>
        <w:rPr>
          <w:rFonts w:hint="eastAsia" w:ascii="宋体" w:hAnsi="宋体" w:cs="Times New Roman"/>
          <w:color w:val="auto"/>
          <w:kern w:val="0"/>
          <w:szCs w:val="22"/>
          <w:highlight w:val="none"/>
        </w:rPr>
        <w:t>扣划金额不超过</w:t>
      </w:r>
      <w:r>
        <w:rPr>
          <w:rFonts w:hint="eastAsia" w:ascii="宋体" w:hAnsi="宋体" w:cs="Times New Roman"/>
          <w:color w:val="auto"/>
          <w:kern w:val="0"/>
          <w:szCs w:val="22"/>
          <w:highlight w:val="none"/>
          <w:u w:val="single"/>
        </w:rPr>
        <w:t>人民币          （RMB       元）</w:t>
      </w:r>
      <w:r>
        <w:rPr>
          <w:rFonts w:hint="eastAsia" w:ascii="宋体" w:hAnsi="宋体" w:cs="Times New Roman"/>
          <w:color w:val="auto"/>
          <w:kern w:val="0"/>
          <w:szCs w:val="22"/>
          <w:highlight w:val="none"/>
        </w:rPr>
        <w:t>的保证金。</w:t>
      </w:r>
    </w:p>
    <w:p w14:paraId="67786799">
      <w:pPr>
        <w:widowControl/>
        <w:adjustRightInd w:val="0"/>
        <w:snapToGrid w:val="0"/>
        <w:spacing w:line="360" w:lineRule="auto"/>
        <w:ind w:firstLine="420" w:firstLineChars="200"/>
        <w:jc w:val="left"/>
        <w:rPr>
          <w:rFonts w:ascii="Tahoma" w:hAnsi="Tahoma" w:cs="Times New Roman"/>
          <w:color w:val="auto"/>
          <w:kern w:val="0"/>
          <w:szCs w:val="22"/>
          <w:highlight w:val="none"/>
        </w:rPr>
      </w:pPr>
      <w:r>
        <w:rPr>
          <w:rFonts w:hint="eastAsia" w:ascii="宋体" w:hAnsi="宋体" w:cs="Times New Roman"/>
          <w:color w:val="auto"/>
          <w:kern w:val="0"/>
          <w:szCs w:val="22"/>
          <w:highlight w:val="none"/>
        </w:rPr>
        <w:t>我</w:t>
      </w:r>
      <w:r>
        <w:rPr>
          <w:rFonts w:hint="eastAsia" w:ascii="Tahoma" w:hAnsi="Tahoma" w:cs="Times New Roman"/>
          <w:color w:val="auto"/>
          <w:kern w:val="0"/>
          <w:szCs w:val="22"/>
          <w:highlight w:val="none"/>
        </w:rPr>
        <w:t>方还同意，任何甲方与乙方之间可能对合同条款的修改、规范或其他合同文件的变动补充，都不能免除我方按本保函所承担的责任。因此，有关上述变动、补充和修改无须通知我方。</w:t>
      </w:r>
    </w:p>
    <w:p w14:paraId="2E34758C">
      <w:pPr>
        <w:widowControl/>
        <w:adjustRightInd w:val="0"/>
        <w:snapToGrid w:val="0"/>
        <w:spacing w:line="360" w:lineRule="auto"/>
        <w:ind w:firstLine="420" w:firstLineChars="200"/>
        <w:jc w:val="left"/>
        <w:rPr>
          <w:rFonts w:ascii="Tahoma" w:hAnsi="Tahoma" w:cs="Times New Roman"/>
          <w:color w:val="auto"/>
          <w:kern w:val="0"/>
          <w:szCs w:val="22"/>
          <w:highlight w:val="none"/>
        </w:rPr>
      </w:pPr>
      <w:r>
        <w:rPr>
          <w:rFonts w:hint="eastAsia" w:ascii="Tahoma" w:hAnsi="Tahoma" w:cs="Times New Roman"/>
          <w:color w:val="auto"/>
          <w:kern w:val="0"/>
          <w:szCs w:val="22"/>
          <w:highlight w:val="none"/>
        </w:rPr>
        <w:t>本保函从上述合同签订之日起至项目服务期结束验收合格并完成结算后，双方签字之日起</w:t>
      </w:r>
      <w:r>
        <w:rPr>
          <w:rFonts w:hint="eastAsia" w:ascii="Tahoma" w:hAnsi="Tahoma" w:cs="Times New Roman"/>
          <w:color w:val="auto"/>
          <w:kern w:val="0"/>
          <w:szCs w:val="22"/>
          <w:highlight w:val="none"/>
          <w:lang w:val="en-US" w:eastAsia="zh-CN"/>
        </w:rPr>
        <w:t>30</w:t>
      </w:r>
      <w:r>
        <w:rPr>
          <w:rFonts w:hint="eastAsia" w:ascii="Tahoma" w:hAnsi="Tahoma" w:cs="Times New Roman"/>
          <w:color w:val="auto"/>
          <w:kern w:val="0"/>
          <w:szCs w:val="22"/>
          <w:highlight w:val="none"/>
        </w:rPr>
        <w:t>天内保持有效。</w:t>
      </w:r>
    </w:p>
    <w:p w14:paraId="71FF65D7">
      <w:pPr>
        <w:widowControl/>
        <w:adjustRightInd w:val="0"/>
        <w:snapToGrid w:val="0"/>
        <w:spacing w:line="360" w:lineRule="auto"/>
        <w:ind w:firstLine="2824" w:firstLineChars="1345"/>
        <w:jc w:val="left"/>
        <w:rPr>
          <w:rFonts w:ascii="宋体" w:hAnsi="宋体" w:cs="Times New Roman"/>
          <w:color w:val="auto"/>
          <w:kern w:val="0"/>
          <w:szCs w:val="22"/>
          <w:highlight w:val="none"/>
        </w:rPr>
      </w:pPr>
    </w:p>
    <w:p w14:paraId="0F9F4BED">
      <w:pPr>
        <w:widowControl/>
        <w:adjustRightInd w:val="0"/>
        <w:snapToGrid w:val="0"/>
        <w:spacing w:line="360" w:lineRule="auto"/>
        <w:ind w:firstLine="5040" w:firstLineChars="2400"/>
        <w:jc w:val="left"/>
        <w:rPr>
          <w:rFonts w:ascii="宋体" w:hAnsi="宋体" w:cs="Times New Roman"/>
          <w:color w:val="auto"/>
          <w:kern w:val="0"/>
          <w:szCs w:val="22"/>
          <w:highlight w:val="none"/>
        </w:rPr>
      </w:pPr>
      <w:r>
        <w:rPr>
          <w:rFonts w:hint="eastAsia" w:ascii="宋体" w:hAnsi="宋体" w:cs="Times New Roman"/>
          <w:color w:val="auto"/>
          <w:kern w:val="0"/>
          <w:szCs w:val="22"/>
          <w:highlight w:val="none"/>
        </w:rPr>
        <w:t>保证人：（盖章）</w:t>
      </w:r>
      <w:r>
        <w:rPr>
          <w:rFonts w:hint="eastAsia" w:ascii="宋体" w:hAnsi="宋体" w:cs="Times New Roman"/>
          <w:color w:val="auto"/>
          <w:kern w:val="0"/>
          <w:szCs w:val="22"/>
          <w:highlight w:val="none"/>
          <w:u w:val="single"/>
        </w:rPr>
        <w:t xml:space="preserve">                        </w:t>
      </w:r>
    </w:p>
    <w:p w14:paraId="04B6AE92">
      <w:pPr>
        <w:widowControl/>
        <w:adjustRightInd w:val="0"/>
        <w:snapToGrid w:val="0"/>
        <w:spacing w:line="360" w:lineRule="auto"/>
        <w:ind w:firstLine="5040" w:firstLineChars="2400"/>
        <w:jc w:val="left"/>
        <w:rPr>
          <w:rFonts w:ascii="宋体" w:hAnsi="宋体" w:cs="Times New Roman"/>
          <w:color w:val="auto"/>
          <w:kern w:val="0"/>
          <w:szCs w:val="22"/>
          <w:highlight w:val="none"/>
        </w:rPr>
      </w:pPr>
      <w:r>
        <w:rPr>
          <w:rFonts w:hint="eastAsia" w:ascii="宋体" w:hAnsi="宋体" w:cs="Times New Roman"/>
          <w:color w:val="auto"/>
          <w:kern w:val="0"/>
          <w:szCs w:val="22"/>
          <w:highlight w:val="none"/>
        </w:rPr>
        <w:t>负责人：（签字）</w:t>
      </w:r>
      <w:r>
        <w:rPr>
          <w:rFonts w:hint="eastAsia" w:ascii="宋体" w:hAnsi="宋体" w:cs="Times New Roman"/>
          <w:color w:val="auto"/>
          <w:kern w:val="0"/>
          <w:szCs w:val="22"/>
          <w:highlight w:val="none"/>
          <w:u w:val="single"/>
        </w:rPr>
        <w:t xml:space="preserve">                        </w:t>
      </w:r>
    </w:p>
    <w:p w14:paraId="2B4487B4">
      <w:pPr>
        <w:widowControl/>
        <w:adjustRightInd w:val="0"/>
        <w:snapToGrid w:val="0"/>
        <w:spacing w:line="360" w:lineRule="auto"/>
        <w:ind w:firstLine="5040" w:firstLineChars="2400"/>
        <w:jc w:val="left"/>
        <w:rPr>
          <w:rFonts w:ascii="宋体" w:hAnsi="宋体" w:cs="Times New Roman"/>
          <w:color w:val="auto"/>
          <w:kern w:val="0"/>
          <w:szCs w:val="22"/>
          <w:highlight w:val="none"/>
        </w:rPr>
      </w:pPr>
      <w:r>
        <w:rPr>
          <w:rFonts w:hint="eastAsia" w:ascii="宋体" w:hAnsi="宋体" w:cs="Times New Roman"/>
          <w:color w:val="auto"/>
          <w:kern w:val="0"/>
          <w:szCs w:val="22"/>
          <w:highlight w:val="none"/>
        </w:rPr>
        <w:t>联系人：</w:t>
      </w:r>
      <w:r>
        <w:rPr>
          <w:rFonts w:hint="eastAsia" w:ascii="宋体" w:hAnsi="宋体" w:cs="Times New Roman"/>
          <w:color w:val="auto"/>
          <w:kern w:val="0"/>
          <w:szCs w:val="22"/>
          <w:highlight w:val="none"/>
          <w:u w:val="single"/>
        </w:rPr>
        <w:t xml:space="preserve">                               </w:t>
      </w:r>
      <w:r>
        <w:rPr>
          <w:rFonts w:hint="eastAsia" w:ascii="宋体" w:hAnsi="宋体" w:cs="Times New Roman"/>
          <w:color w:val="auto"/>
          <w:kern w:val="0"/>
          <w:szCs w:val="22"/>
          <w:highlight w:val="none"/>
        </w:rPr>
        <w:t xml:space="preserve">   </w:t>
      </w:r>
    </w:p>
    <w:p w14:paraId="5FCE5C5B">
      <w:pPr>
        <w:widowControl/>
        <w:adjustRightInd w:val="0"/>
        <w:snapToGrid w:val="0"/>
        <w:spacing w:line="360" w:lineRule="auto"/>
        <w:ind w:firstLine="5040" w:firstLineChars="2400"/>
        <w:jc w:val="left"/>
        <w:rPr>
          <w:rFonts w:ascii="宋体" w:hAnsi="宋体" w:cs="Times New Roman"/>
          <w:color w:val="auto"/>
          <w:kern w:val="0"/>
          <w:szCs w:val="22"/>
          <w:highlight w:val="none"/>
        </w:rPr>
      </w:pPr>
      <w:r>
        <w:rPr>
          <w:rFonts w:hint="eastAsia" w:ascii="宋体" w:hAnsi="宋体" w:cs="Times New Roman"/>
          <w:color w:val="auto"/>
          <w:kern w:val="0"/>
          <w:szCs w:val="22"/>
          <w:highlight w:val="none"/>
        </w:rPr>
        <w:t>联系电话：</w:t>
      </w:r>
      <w:r>
        <w:rPr>
          <w:rFonts w:hint="eastAsia" w:ascii="宋体" w:hAnsi="宋体" w:cs="Times New Roman"/>
          <w:color w:val="auto"/>
          <w:kern w:val="0"/>
          <w:szCs w:val="22"/>
          <w:highlight w:val="none"/>
          <w:u w:val="single"/>
        </w:rPr>
        <w:t xml:space="preserve">                             </w:t>
      </w:r>
    </w:p>
    <w:p w14:paraId="5BE2A9B5">
      <w:pPr>
        <w:widowControl/>
        <w:adjustRightInd w:val="0"/>
        <w:snapToGrid w:val="0"/>
        <w:spacing w:line="360" w:lineRule="auto"/>
        <w:ind w:firstLine="5040" w:firstLineChars="2400"/>
        <w:jc w:val="left"/>
        <w:rPr>
          <w:rFonts w:ascii="宋体" w:hAnsi="宋体" w:cs="Times New Roman"/>
          <w:color w:val="auto"/>
          <w:kern w:val="0"/>
          <w:szCs w:val="22"/>
          <w:highlight w:val="none"/>
        </w:rPr>
      </w:pPr>
      <w:r>
        <w:rPr>
          <w:rFonts w:hint="eastAsia" w:ascii="宋体" w:hAnsi="宋体" w:cs="Times New Roman"/>
          <w:color w:val="auto"/>
          <w:kern w:val="0"/>
          <w:szCs w:val="22"/>
          <w:highlight w:val="none"/>
        </w:rPr>
        <w:t>日期：</w:t>
      </w:r>
      <w:r>
        <w:rPr>
          <w:rFonts w:hint="eastAsia" w:ascii="宋体" w:hAnsi="宋体" w:cs="Times New Roman"/>
          <w:color w:val="auto"/>
          <w:kern w:val="0"/>
          <w:szCs w:val="22"/>
          <w:highlight w:val="none"/>
          <w:u w:val="single"/>
        </w:rPr>
        <w:t xml:space="preserve">                               </w:t>
      </w:r>
    </w:p>
    <w:p w14:paraId="35B00438">
      <w:pPr>
        <w:adjustRightInd w:val="0"/>
        <w:snapToGrid w:val="0"/>
        <w:spacing w:line="360" w:lineRule="auto"/>
        <w:ind w:left="359" w:leftChars="171" w:firstLine="179" w:firstLineChars="85"/>
        <w:rPr>
          <w:rFonts w:hint="eastAsia" w:ascii="宋体" w:hAnsi="宋体" w:eastAsia="宋体" w:cs="宋体"/>
          <w:b/>
          <w:bCs/>
          <w:color w:val="auto"/>
          <w:sz w:val="21"/>
          <w:szCs w:val="24"/>
          <w:highlight w:val="none"/>
          <w:lang w:val="en-US" w:eastAsia="zh-CN" w:bidi="ar-SA"/>
        </w:rPr>
      </w:pPr>
    </w:p>
    <w:p w14:paraId="6C3C3355">
      <w:pPr>
        <w:adjustRightInd w:val="0"/>
        <w:snapToGrid w:val="0"/>
        <w:spacing w:line="360" w:lineRule="auto"/>
        <w:ind w:left="359" w:leftChars="171" w:firstLine="179" w:firstLineChars="85"/>
        <w:rPr>
          <w:rFonts w:hint="eastAsia"/>
          <w:color w:val="auto"/>
          <w:highlight w:val="none"/>
        </w:rPr>
        <w:sectPr>
          <w:pgSz w:w="11906" w:h="16838"/>
          <w:pgMar w:top="1440" w:right="1800" w:bottom="1440" w:left="1800" w:header="851" w:footer="992" w:gutter="0"/>
          <w:cols w:space="720" w:num="1"/>
          <w:docGrid w:type="lines" w:linePitch="312" w:charSpace="0"/>
        </w:sectPr>
      </w:pPr>
      <w:r>
        <w:rPr>
          <w:rFonts w:hint="eastAsia" w:ascii="宋体" w:hAnsi="宋体" w:eastAsia="宋体" w:cs="宋体"/>
          <w:b/>
          <w:bCs/>
          <w:color w:val="auto"/>
          <w:sz w:val="21"/>
          <w:szCs w:val="24"/>
          <w:highlight w:val="none"/>
          <w:lang w:val="en-US" w:eastAsia="zh-CN" w:bidi="ar-SA"/>
        </w:rPr>
        <w:t>说明：响应人在投标时不需提交正式保函，在响应文件中盖</w:t>
      </w:r>
      <w:r>
        <w:rPr>
          <w:rFonts w:hint="eastAsia" w:ascii="宋体" w:hAnsi="宋体" w:cs="宋体"/>
          <w:b/>
          <w:bCs/>
          <w:color w:val="auto"/>
          <w:sz w:val="21"/>
          <w:szCs w:val="24"/>
          <w:highlight w:val="none"/>
          <w:lang w:val="en-US" w:eastAsia="zh-CN" w:bidi="ar-SA"/>
        </w:rPr>
        <w:t>响应</w:t>
      </w:r>
      <w:r>
        <w:rPr>
          <w:rFonts w:hint="eastAsia" w:ascii="宋体" w:hAnsi="宋体" w:eastAsia="宋体" w:cs="宋体"/>
          <w:b/>
          <w:bCs/>
          <w:color w:val="auto"/>
          <w:sz w:val="21"/>
          <w:szCs w:val="24"/>
          <w:highlight w:val="none"/>
          <w:lang w:val="en-US" w:eastAsia="zh-CN" w:bidi="ar-SA"/>
        </w:rPr>
        <w:t>人公章确认保函格式即可，乙方</w:t>
      </w:r>
      <w:r>
        <w:rPr>
          <w:rFonts w:hint="eastAsia" w:ascii="宋体" w:hAnsi="宋体" w:eastAsia="宋体" w:cs="宋体"/>
          <w:b/>
          <w:bCs/>
          <w:color w:val="auto"/>
          <w:sz w:val="21"/>
          <w:szCs w:val="26"/>
          <w:highlight w:val="none"/>
          <w:lang w:val="en-US" w:eastAsia="zh-CN" w:bidi="ar-SA"/>
        </w:rPr>
        <w:t>在签订合同时</w:t>
      </w:r>
      <w:r>
        <w:rPr>
          <w:rFonts w:hint="eastAsia" w:ascii="宋体" w:hAnsi="宋体" w:eastAsia="宋体" w:cs="宋体"/>
          <w:b/>
          <w:bCs/>
          <w:color w:val="auto"/>
          <w:sz w:val="21"/>
          <w:szCs w:val="24"/>
          <w:highlight w:val="none"/>
          <w:lang w:val="en-US" w:eastAsia="zh-CN" w:bidi="ar-SA"/>
        </w:rPr>
        <w:t>提交正式保函。</w:t>
      </w:r>
    </w:p>
    <w:p w14:paraId="2BE52F63">
      <w:pPr>
        <w:pStyle w:val="2"/>
        <w:jc w:val="center"/>
        <w:rPr>
          <w:color w:val="auto"/>
          <w:highlight w:val="none"/>
        </w:rPr>
      </w:pPr>
      <w:bookmarkStart w:id="219" w:name="_Toc29254"/>
      <w:r>
        <w:rPr>
          <w:rFonts w:hint="eastAsia"/>
          <w:color w:val="auto"/>
          <w:highlight w:val="none"/>
        </w:rPr>
        <w:t>十</w:t>
      </w:r>
      <w:r>
        <w:rPr>
          <w:rFonts w:hint="eastAsia"/>
          <w:color w:val="auto"/>
          <w:highlight w:val="none"/>
          <w:lang w:val="en-US" w:eastAsia="zh-CN"/>
        </w:rPr>
        <w:t>二</w:t>
      </w:r>
      <w:r>
        <w:rPr>
          <w:color w:val="auto"/>
          <w:highlight w:val="none"/>
        </w:rPr>
        <w:t>、</w:t>
      </w:r>
      <w:r>
        <w:rPr>
          <w:rFonts w:hint="eastAsia"/>
          <w:color w:val="auto"/>
          <w:highlight w:val="none"/>
        </w:rPr>
        <w:t>其他需要补充的</w:t>
      </w:r>
      <w:r>
        <w:rPr>
          <w:color w:val="auto"/>
          <w:highlight w:val="none"/>
        </w:rPr>
        <w:t>资料</w:t>
      </w:r>
      <w:bookmarkEnd w:id="219"/>
    </w:p>
    <w:p w14:paraId="0A5F0CC0">
      <w:pPr>
        <w:ind w:firstLine="560" w:firstLineChars="200"/>
        <w:rPr>
          <w:rFonts w:hint="eastAsia" w:eastAsia="黑体"/>
          <w:color w:val="auto"/>
          <w:sz w:val="28"/>
          <w:szCs w:val="28"/>
          <w:highlight w:val="none"/>
          <w:u w:val="single"/>
        </w:rPr>
      </w:pPr>
      <w:bookmarkStart w:id="220" w:name="_Toc486425443"/>
      <w:r>
        <w:rPr>
          <w:rFonts w:hint="eastAsia" w:eastAsia="黑体"/>
          <w:color w:val="auto"/>
          <w:sz w:val="28"/>
          <w:szCs w:val="28"/>
          <w:highlight w:val="none"/>
          <w:u w:val="single"/>
        </w:rPr>
        <w:br w:type="page"/>
      </w:r>
    </w:p>
    <w:p w14:paraId="64A245E9">
      <w:pPr>
        <w:spacing w:line="480" w:lineRule="auto"/>
        <w:jc w:val="center"/>
        <w:rPr>
          <w:rFonts w:eastAsia="黑体"/>
          <w:color w:val="auto"/>
          <w:sz w:val="20"/>
          <w:szCs w:val="20"/>
          <w:highlight w:val="none"/>
        </w:rPr>
      </w:pPr>
      <w:r>
        <w:rPr>
          <w:rFonts w:hint="eastAsia" w:eastAsia="黑体"/>
          <w:color w:val="auto"/>
          <w:sz w:val="28"/>
          <w:szCs w:val="28"/>
          <w:highlight w:val="none"/>
          <w:u w:val="single"/>
        </w:rPr>
        <w:t xml:space="preserve">    </w:t>
      </w:r>
      <w:r>
        <w:rPr>
          <w:rFonts w:eastAsia="黑体"/>
          <w:color w:val="auto"/>
          <w:sz w:val="28"/>
          <w:szCs w:val="28"/>
          <w:highlight w:val="none"/>
          <w:u w:val="single"/>
        </w:rPr>
        <w:t>（项目名称）</w:t>
      </w:r>
      <w:r>
        <w:rPr>
          <w:rFonts w:hint="eastAsia" w:eastAsia="黑体"/>
          <w:color w:val="auto"/>
          <w:sz w:val="28"/>
          <w:szCs w:val="28"/>
          <w:highlight w:val="none"/>
          <w:u w:val="single"/>
        </w:rPr>
        <w:t xml:space="preserve"> </w:t>
      </w:r>
      <w:r>
        <w:rPr>
          <w:rFonts w:eastAsia="黑体"/>
          <w:color w:val="auto"/>
          <w:sz w:val="28"/>
          <w:szCs w:val="28"/>
          <w:highlight w:val="none"/>
          <w:u w:val="single"/>
        </w:rPr>
        <w:t xml:space="preserve">  </w:t>
      </w:r>
    </w:p>
    <w:p w14:paraId="0BF06F48">
      <w:pPr>
        <w:spacing w:line="480" w:lineRule="auto"/>
        <w:jc w:val="center"/>
        <w:rPr>
          <w:rFonts w:eastAsia="黑体"/>
          <w:color w:val="auto"/>
          <w:sz w:val="20"/>
          <w:szCs w:val="20"/>
          <w:highlight w:val="none"/>
        </w:rPr>
      </w:pPr>
    </w:p>
    <w:p w14:paraId="3573A3CC">
      <w:pPr>
        <w:spacing w:line="480" w:lineRule="auto"/>
        <w:jc w:val="center"/>
        <w:rPr>
          <w:rFonts w:eastAsia="黑体"/>
          <w:color w:val="auto"/>
          <w:sz w:val="20"/>
          <w:szCs w:val="20"/>
          <w:highlight w:val="none"/>
        </w:rPr>
      </w:pPr>
    </w:p>
    <w:p w14:paraId="46B4DA8D">
      <w:pPr>
        <w:spacing w:line="480" w:lineRule="auto"/>
        <w:jc w:val="center"/>
        <w:outlineLvl w:val="1"/>
        <w:rPr>
          <w:rFonts w:ascii="宋体" w:hAnsi="宋体"/>
          <w:b/>
          <w:color w:val="auto"/>
          <w:sz w:val="52"/>
          <w:szCs w:val="52"/>
          <w:highlight w:val="none"/>
        </w:rPr>
      </w:pPr>
      <w:bookmarkStart w:id="221" w:name="_Toc28672"/>
      <w:r>
        <w:rPr>
          <w:rFonts w:hint="eastAsia" w:ascii="宋体" w:hAnsi="宋体"/>
          <w:b/>
          <w:color w:val="auto"/>
          <w:sz w:val="52"/>
          <w:szCs w:val="52"/>
          <w:highlight w:val="none"/>
          <w:lang w:val="en-US" w:eastAsia="zh-CN"/>
        </w:rPr>
        <w:t xml:space="preserve">经 济 </w:t>
      </w:r>
      <w:r>
        <w:rPr>
          <w:rFonts w:hint="eastAsia" w:ascii="宋体" w:hAnsi="宋体"/>
          <w:b/>
          <w:color w:val="auto"/>
          <w:sz w:val="52"/>
          <w:szCs w:val="52"/>
          <w:highlight w:val="none"/>
        </w:rPr>
        <w:t>响</w:t>
      </w:r>
      <w:r>
        <w:rPr>
          <w:rFonts w:ascii="宋体" w:hAnsi="宋体"/>
          <w:b/>
          <w:color w:val="auto"/>
          <w:sz w:val="52"/>
          <w:szCs w:val="52"/>
          <w:highlight w:val="none"/>
        </w:rPr>
        <w:t xml:space="preserve">  </w:t>
      </w:r>
      <w:r>
        <w:rPr>
          <w:rFonts w:hint="eastAsia" w:ascii="宋体" w:hAnsi="宋体"/>
          <w:b/>
          <w:color w:val="auto"/>
          <w:sz w:val="52"/>
          <w:szCs w:val="52"/>
          <w:highlight w:val="none"/>
        </w:rPr>
        <w:t>应</w:t>
      </w:r>
      <w:r>
        <w:rPr>
          <w:rFonts w:ascii="宋体" w:hAnsi="宋体"/>
          <w:b/>
          <w:color w:val="auto"/>
          <w:sz w:val="52"/>
          <w:szCs w:val="52"/>
          <w:highlight w:val="none"/>
        </w:rPr>
        <w:t xml:space="preserve">  文  件</w:t>
      </w:r>
      <w:bookmarkEnd w:id="221"/>
    </w:p>
    <w:p w14:paraId="5197BAB0">
      <w:pPr>
        <w:jc w:val="center"/>
        <w:rPr>
          <w:rFonts w:eastAsia="黑体"/>
          <w:color w:val="auto"/>
          <w:sz w:val="28"/>
          <w:szCs w:val="28"/>
          <w:highlight w:val="none"/>
        </w:rPr>
      </w:pPr>
    </w:p>
    <w:p w14:paraId="6C95417A">
      <w:pPr>
        <w:rPr>
          <w:rFonts w:eastAsia="黑体"/>
          <w:color w:val="auto"/>
          <w:sz w:val="28"/>
          <w:szCs w:val="28"/>
          <w:highlight w:val="none"/>
        </w:rPr>
      </w:pPr>
    </w:p>
    <w:p w14:paraId="055AA189">
      <w:pPr>
        <w:jc w:val="center"/>
        <w:rPr>
          <w:rFonts w:ascii="黑体" w:eastAsia="黑体"/>
          <w:color w:val="auto"/>
          <w:sz w:val="72"/>
          <w:szCs w:val="72"/>
          <w:highlight w:val="none"/>
        </w:rPr>
      </w:pPr>
      <w:r>
        <w:rPr>
          <w:rFonts w:hint="eastAsia" w:ascii="黑体" w:eastAsia="黑体"/>
          <w:color w:val="auto"/>
          <w:sz w:val="72"/>
          <w:szCs w:val="72"/>
          <w:highlight w:val="none"/>
        </w:rPr>
        <w:t>（单独装订成册）</w:t>
      </w:r>
    </w:p>
    <w:p w14:paraId="6E8A7FC2">
      <w:pPr>
        <w:rPr>
          <w:rFonts w:eastAsia="黑体"/>
          <w:color w:val="auto"/>
          <w:sz w:val="28"/>
          <w:szCs w:val="28"/>
          <w:highlight w:val="none"/>
        </w:rPr>
      </w:pPr>
    </w:p>
    <w:p w14:paraId="6BD6F1C1">
      <w:pPr>
        <w:rPr>
          <w:rFonts w:eastAsia="黑体"/>
          <w:color w:val="auto"/>
          <w:sz w:val="28"/>
          <w:szCs w:val="28"/>
          <w:highlight w:val="none"/>
        </w:rPr>
      </w:pPr>
    </w:p>
    <w:p w14:paraId="66A0DED0">
      <w:pPr>
        <w:rPr>
          <w:rFonts w:eastAsia="黑体"/>
          <w:color w:val="auto"/>
          <w:sz w:val="28"/>
          <w:szCs w:val="28"/>
          <w:highlight w:val="none"/>
        </w:rPr>
      </w:pPr>
    </w:p>
    <w:p w14:paraId="1ABF3EDB">
      <w:pPr>
        <w:rPr>
          <w:rFonts w:eastAsia="黑体"/>
          <w:color w:val="auto"/>
          <w:sz w:val="28"/>
          <w:szCs w:val="28"/>
          <w:highlight w:val="none"/>
        </w:rPr>
      </w:pPr>
    </w:p>
    <w:p w14:paraId="07222BC4">
      <w:pPr>
        <w:rPr>
          <w:rFonts w:eastAsia="黑体"/>
          <w:color w:val="auto"/>
          <w:sz w:val="28"/>
          <w:szCs w:val="28"/>
          <w:highlight w:val="none"/>
        </w:rPr>
      </w:pPr>
    </w:p>
    <w:p w14:paraId="6ACCBA95">
      <w:pPr>
        <w:rPr>
          <w:rFonts w:eastAsia="黑体"/>
          <w:color w:val="auto"/>
          <w:sz w:val="28"/>
          <w:szCs w:val="28"/>
          <w:highlight w:val="none"/>
        </w:rPr>
      </w:pPr>
    </w:p>
    <w:p w14:paraId="7D86B3EE">
      <w:pPr>
        <w:rPr>
          <w:rFonts w:eastAsia="黑体"/>
          <w:color w:val="auto"/>
          <w:sz w:val="28"/>
          <w:szCs w:val="28"/>
          <w:highlight w:val="none"/>
        </w:rPr>
      </w:pPr>
    </w:p>
    <w:p w14:paraId="19AA5B2B">
      <w:pPr>
        <w:spacing w:line="360" w:lineRule="auto"/>
        <w:jc w:val="center"/>
        <w:rPr>
          <w:rFonts w:eastAsia="黑体"/>
          <w:color w:val="auto"/>
          <w:sz w:val="28"/>
          <w:szCs w:val="28"/>
          <w:highlight w:val="none"/>
          <w:u w:val="single"/>
        </w:rPr>
      </w:pPr>
      <w:r>
        <w:rPr>
          <w:rFonts w:eastAsia="黑体"/>
          <w:color w:val="auto"/>
          <w:sz w:val="28"/>
          <w:szCs w:val="28"/>
          <w:highlight w:val="none"/>
        </w:rPr>
        <w:t>响应人：</w:t>
      </w:r>
      <w:r>
        <w:rPr>
          <w:rFonts w:eastAsia="黑体"/>
          <w:color w:val="auto"/>
          <w:sz w:val="28"/>
          <w:szCs w:val="28"/>
          <w:highlight w:val="none"/>
          <w:u w:val="single"/>
        </w:rPr>
        <w:t xml:space="preserve">                </w:t>
      </w:r>
      <w:r>
        <w:rPr>
          <w:rFonts w:hint="eastAsia" w:eastAsia="黑体"/>
          <w:color w:val="auto"/>
          <w:sz w:val="28"/>
          <w:szCs w:val="28"/>
          <w:highlight w:val="none"/>
          <w:u w:val="single"/>
        </w:rPr>
        <w:t xml:space="preserve"> </w:t>
      </w:r>
      <w:r>
        <w:rPr>
          <w:rFonts w:eastAsia="黑体"/>
          <w:color w:val="auto"/>
          <w:sz w:val="28"/>
          <w:szCs w:val="28"/>
          <w:highlight w:val="none"/>
          <w:u w:val="single"/>
        </w:rPr>
        <w:t xml:space="preserve">      </w:t>
      </w:r>
      <w:r>
        <w:rPr>
          <w:rFonts w:eastAsia="黑体"/>
          <w:color w:val="auto"/>
          <w:sz w:val="28"/>
          <w:szCs w:val="28"/>
          <w:highlight w:val="none"/>
        </w:rPr>
        <w:t>（盖单位</w:t>
      </w:r>
      <w:r>
        <w:rPr>
          <w:rFonts w:hint="eastAsia" w:eastAsia="黑体"/>
          <w:color w:val="auto"/>
          <w:sz w:val="28"/>
          <w:szCs w:val="28"/>
          <w:highlight w:val="none"/>
        </w:rPr>
        <w:t>公</w:t>
      </w:r>
      <w:r>
        <w:rPr>
          <w:rFonts w:eastAsia="黑体"/>
          <w:color w:val="auto"/>
          <w:sz w:val="28"/>
          <w:szCs w:val="28"/>
          <w:highlight w:val="none"/>
        </w:rPr>
        <w:t>章）</w:t>
      </w:r>
    </w:p>
    <w:p w14:paraId="01004BC9">
      <w:pPr>
        <w:spacing w:line="360" w:lineRule="auto"/>
        <w:jc w:val="center"/>
        <w:rPr>
          <w:rFonts w:eastAsia="黑体"/>
          <w:color w:val="auto"/>
          <w:sz w:val="28"/>
          <w:szCs w:val="28"/>
          <w:highlight w:val="none"/>
        </w:rPr>
      </w:pPr>
      <w:r>
        <w:rPr>
          <w:rFonts w:eastAsia="黑体"/>
          <w:color w:val="auto"/>
          <w:sz w:val="28"/>
          <w:szCs w:val="28"/>
          <w:highlight w:val="none"/>
        </w:rPr>
        <w:t>法定代表人或其委托代理人：</w:t>
      </w:r>
      <w:r>
        <w:rPr>
          <w:rFonts w:eastAsia="黑体"/>
          <w:color w:val="auto"/>
          <w:sz w:val="28"/>
          <w:szCs w:val="28"/>
          <w:highlight w:val="none"/>
          <w:u w:val="single"/>
        </w:rPr>
        <w:t xml:space="preserve">         </w:t>
      </w:r>
      <w:r>
        <w:rPr>
          <w:rFonts w:eastAsia="黑体"/>
          <w:color w:val="auto"/>
          <w:sz w:val="28"/>
          <w:szCs w:val="28"/>
          <w:highlight w:val="none"/>
        </w:rPr>
        <w:t>（签字）</w:t>
      </w:r>
    </w:p>
    <w:p w14:paraId="60D4C23B">
      <w:pPr>
        <w:spacing w:line="360" w:lineRule="auto"/>
        <w:jc w:val="center"/>
        <w:rPr>
          <w:rFonts w:eastAsia="黑体"/>
          <w:color w:val="auto"/>
          <w:sz w:val="28"/>
          <w:szCs w:val="28"/>
          <w:highlight w:val="none"/>
        </w:rPr>
      </w:pPr>
      <w:r>
        <w:rPr>
          <w:rFonts w:eastAsia="黑体"/>
          <w:color w:val="auto"/>
          <w:sz w:val="28"/>
          <w:szCs w:val="28"/>
          <w:highlight w:val="none"/>
          <w:u w:val="single"/>
        </w:rPr>
        <w:t xml:space="preserve">        </w:t>
      </w:r>
      <w:r>
        <w:rPr>
          <w:rFonts w:eastAsia="黑体"/>
          <w:color w:val="auto"/>
          <w:sz w:val="28"/>
          <w:szCs w:val="28"/>
          <w:highlight w:val="none"/>
        </w:rPr>
        <w:t>年</w:t>
      </w:r>
      <w:r>
        <w:rPr>
          <w:rFonts w:eastAsia="黑体"/>
          <w:color w:val="auto"/>
          <w:sz w:val="28"/>
          <w:szCs w:val="28"/>
          <w:highlight w:val="none"/>
          <w:u w:val="single"/>
        </w:rPr>
        <w:t xml:space="preserve">   </w:t>
      </w:r>
      <w:r>
        <w:rPr>
          <w:rFonts w:eastAsia="黑体"/>
          <w:color w:val="auto"/>
          <w:sz w:val="28"/>
          <w:szCs w:val="28"/>
          <w:highlight w:val="none"/>
        </w:rPr>
        <w:t>月</w:t>
      </w:r>
      <w:r>
        <w:rPr>
          <w:rFonts w:eastAsia="黑体"/>
          <w:color w:val="auto"/>
          <w:sz w:val="28"/>
          <w:szCs w:val="28"/>
          <w:highlight w:val="none"/>
          <w:u w:val="single"/>
        </w:rPr>
        <w:t xml:space="preserve">  </w:t>
      </w:r>
      <w:r>
        <w:rPr>
          <w:rFonts w:eastAsia="黑体"/>
          <w:color w:val="auto"/>
          <w:sz w:val="28"/>
          <w:szCs w:val="28"/>
          <w:highlight w:val="none"/>
        </w:rPr>
        <w:t>日</w:t>
      </w:r>
    </w:p>
    <w:p w14:paraId="37D493E6">
      <w:pPr>
        <w:jc w:val="center"/>
        <w:rPr>
          <w:rFonts w:eastAsia="黑体"/>
          <w:color w:val="auto"/>
          <w:sz w:val="28"/>
          <w:szCs w:val="28"/>
          <w:highlight w:val="none"/>
        </w:rPr>
      </w:pPr>
    </w:p>
    <w:p w14:paraId="04F1C656">
      <w:pPr>
        <w:widowControl/>
        <w:jc w:val="left"/>
        <w:rPr>
          <w:color w:val="auto"/>
          <w:highlight w:val="none"/>
        </w:rPr>
      </w:pPr>
      <w:r>
        <w:rPr>
          <w:color w:val="auto"/>
          <w:highlight w:val="none"/>
        </w:rPr>
        <w:br w:type="page"/>
      </w:r>
      <w:bookmarkEnd w:id="220"/>
    </w:p>
    <w:p w14:paraId="33FA6D86">
      <w:pPr>
        <w:pStyle w:val="2"/>
        <w:spacing w:line="240" w:lineRule="auto"/>
        <w:rPr>
          <w:rFonts w:ascii="黑体" w:hAnsi="Times New Roman"/>
          <w:b w:val="0"/>
          <w:bCs w:val="0"/>
          <w:color w:val="auto"/>
          <w:sz w:val="28"/>
          <w:szCs w:val="28"/>
          <w:highlight w:val="none"/>
        </w:rPr>
      </w:pPr>
      <w:bookmarkStart w:id="222" w:name="_Toc27675"/>
      <w:bookmarkStart w:id="223" w:name="_Toc338669163"/>
      <w:bookmarkStart w:id="224" w:name="_Toc486425444"/>
      <w:r>
        <w:rPr>
          <w:rFonts w:hint="eastAsia" w:ascii="黑体" w:hAnsi="Times New Roman"/>
          <w:b w:val="0"/>
          <w:bCs w:val="0"/>
          <w:color w:val="auto"/>
          <w:sz w:val="28"/>
          <w:szCs w:val="28"/>
          <w:highlight w:val="none"/>
        </w:rPr>
        <w:t>一、报价一览表</w:t>
      </w:r>
      <w:bookmarkEnd w:id="222"/>
      <w:bookmarkEnd w:id="223"/>
      <w:bookmarkEnd w:id="224"/>
    </w:p>
    <w:p w14:paraId="3493C57A">
      <w:pPr>
        <w:rPr>
          <w:color w:val="auto"/>
          <w:highlight w:val="none"/>
        </w:rPr>
      </w:pPr>
    </w:p>
    <w:p w14:paraId="56D3948F">
      <w:pPr>
        <w:keepNext w:val="0"/>
        <w:keepLines w:val="0"/>
        <w:pageBreakBefore w:val="0"/>
        <w:widowControl w:val="0"/>
        <w:kinsoku/>
        <w:wordWrap/>
        <w:overflowPunct/>
        <w:topLinePunct w:val="0"/>
        <w:bidi w:val="0"/>
        <w:snapToGrid/>
        <w:spacing w:line="360" w:lineRule="auto"/>
        <w:textAlignment w:val="auto"/>
        <w:rPr>
          <w:rFonts w:ascii="宋体" w:hAnsi="宋体"/>
          <w:color w:val="auto"/>
          <w:szCs w:val="21"/>
          <w:highlight w:val="none"/>
        </w:rPr>
      </w:pPr>
      <w:r>
        <w:rPr>
          <w:rFonts w:hint="eastAsia" w:ascii="宋体" w:hAnsi="宋体"/>
          <w:color w:val="auto"/>
          <w:szCs w:val="21"/>
          <w:highlight w:val="none"/>
          <w:lang w:val="en-US" w:eastAsia="zh-CN"/>
        </w:rPr>
        <w:t>响应人</w:t>
      </w:r>
      <w:r>
        <w:rPr>
          <w:rFonts w:hint="eastAsia" w:ascii="宋体" w:hAnsi="宋体"/>
          <w:color w:val="auto"/>
          <w:szCs w:val="21"/>
          <w:highlight w:val="none"/>
        </w:rPr>
        <w:t>名称：</w:t>
      </w:r>
    </w:p>
    <w:p w14:paraId="1C8980F9">
      <w:pPr>
        <w:keepNext w:val="0"/>
        <w:keepLines w:val="0"/>
        <w:pageBreakBefore w:val="0"/>
        <w:widowControl w:val="0"/>
        <w:kinsoku/>
        <w:wordWrap/>
        <w:overflowPunct/>
        <w:topLinePunct w:val="0"/>
        <w:bidi w:val="0"/>
        <w:snapToGrid/>
        <w:spacing w:line="360" w:lineRule="auto"/>
        <w:textAlignment w:val="auto"/>
        <w:rPr>
          <w:color w:val="auto"/>
          <w:highlight w:val="none"/>
        </w:rPr>
      </w:pPr>
      <w:r>
        <w:rPr>
          <w:rFonts w:hint="eastAsia" w:ascii="宋体" w:hAnsi="宋体"/>
          <w:color w:val="auto"/>
          <w:szCs w:val="21"/>
          <w:highlight w:val="none"/>
        </w:rPr>
        <w:t>采购项目编号：</w:t>
      </w:r>
    </w:p>
    <w:tbl>
      <w:tblPr>
        <w:tblStyle w:val="37"/>
        <w:tblW w:w="81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2"/>
        <w:gridCol w:w="2022"/>
        <w:gridCol w:w="1654"/>
        <w:gridCol w:w="1583"/>
        <w:gridCol w:w="972"/>
      </w:tblGrid>
      <w:tr w14:paraId="5C54AA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1922" w:type="dxa"/>
            <w:vAlign w:val="center"/>
          </w:tcPr>
          <w:p w14:paraId="3381228E">
            <w:pPr>
              <w:keepNext w:val="0"/>
              <w:keepLines w:val="0"/>
              <w:pageBreakBefore w:val="0"/>
              <w:widowControl w:val="0"/>
              <w:kinsoku/>
              <w:wordWrap/>
              <w:overflowPunct/>
              <w:topLinePunct w:val="0"/>
              <w:bidi w:val="0"/>
              <w:snapToGrid/>
              <w:spacing w:line="360" w:lineRule="auto"/>
              <w:jc w:val="center"/>
              <w:textAlignment w:val="auto"/>
              <w:rPr>
                <w:rFonts w:ascii="宋体" w:hAnsi="宋体" w:cs="宋体"/>
                <w:color w:val="auto"/>
                <w:kern w:val="28"/>
                <w:szCs w:val="21"/>
                <w:highlight w:val="none"/>
              </w:rPr>
            </w:pPr>
            <w:r>
              <w:rPr>
                <w:rFonts w:hint="eastAsia" w:ascii="宋体" w:hAnsi="宋体"/>
                <w:color w:val="auto"/>
                <w:szCs w:val="21"/>
                <w:highlight w:val="none"/>
              </w:rPr>
              <w:t>项目名称</w:t>
            </w:r>
          </w:p>
        </w:tc>
        <w:tc>
          <w:tcPr>
            <w:tcW w:w="2022" w:type="dxa"/>
            <w:vAlign w:val="center"/>
          </w:tcPr>
          <w:p w14:paraId="064C7635">
            <w:pPr>
              <w:keepNext w:val="0"/>
              <w:keepLines w:val="0"/>
              <w:pageBreakBefore w:val="0"/>
              <w:widowControl w:val="0"/>
              <w:kinsoku/>
              <w:wordWrap/>
              <w:overflowPunct/>
              <w:topLinePunct w:val="0"/>
              <w:bidi w:val="0"/>
              <w:snapToGrid/>
              <w:spacing w:line="360" w:lineRule="auto"/>
              <w:jc w:val="center"/>
              <w:textAlignment w:val="auto"/>
              <w:rPr>
                <w:rFonts w:hint="default" w:ascii="宋体" w:hAnsi="宋体" w:eastAsia="宋体" w:cs="宋体"/>
                <w:color w:val="auto"/>
                <w:kern w:val="28"/>
                <w:szCs w:val="21"/>
                <w:highlight w:val="none"/>
                <w:lang w:val="en-US" w:eastAsia="zh-CN"/>
              </w:rPr>
            </w:pPr>
            <w:r>
              <w:rPr>
                <w:rFonts w:hint="eastAsia" w:ascii="宋体" w:hAnsi="宋体" w:cs="宋体"/>
                <w:color w:val="auto"/>
                <w:kern w:val="28"/>
                <w:szCs w:val="21"/>
                <w:highlight w:val="none"/>
                <w:lang w:val="en-US" w:eastAsia="zh-CN"/>
              </w:rPr>
              <w:t>响应报价（含税）</w:t>
            </w:r>
          </w:p>
        </w:tc>
        <w:tc>
          <w:tcPr>
            <w:tcW w:w="1654" w:type="dxa"/>
            <w:vAlign w:val="center"/>
          </w:tcPr>
          <w:p w14:paraId="1E077F3E">
            <w:pPr>
              <w:keepNext w:val="0"/>
              <w:keepLines w:val="0"/>
              <w:pageBreakBefore w:val="0"/>
              <w:widowControl w:val="0"/>
              <w:kinsoku/>
              <w:wordWrap/>
              <w:overflowPunct/>
              <w:topLinePunct w:val="0"/>
              <w:bidi w:val="0"/>
              <w:snapToGrid/>
              <w:spacing w:line="360" w:lineRule="auto"/>
              <w:jc w:val="center"/>
              <w:textAlignment w:val="auto"/>
              <w:rPr>
                <w:rFonts w:ascii="宋体" w:hAnsi="宋体" w:cs="宋体"/>
                <w:color w:val="auto"/>
                <w:kern w:val="28"/>
                <w:szCs w:val="21"/>
                <w:highlight w:val="none"/>
              </w:rPr>
            </w:pPr>
            <w:r>
              <w:rPr>
                <w:rFonts w:hint="eastAsia" w:ascii="宋体" w:hAnsi="宋体" w:cs="宋体"/>
                <w:color w:val="auto"/>
                <w:kern w:val="28"/>
                <w:szCs w:val="21"/>
                <w:highlight w:val="none"/>
                <w:lang w:val="en-US" w:eastAsia="zh-CN"/>
              </w:rPr>
              <w:t>税率</w:t>
            </w:r>
          </w:p>
        </w:tc>
        <w:tc>
          <w:tcPr>
            <w:tcW w:w="1583" w:type="dxa"/>
            <w:vAlign w:val="center"/>
          </w:tcPr>
          <w:p w14:paraId="11784A99">
            <w:pPr>
              <w:keepNext w:val="0"/>
              <w:keepLines w:val="0"/>
              <w:pageBreakBefore w:val="0"/>
              <w:widowControl w:val="0"/>
              <w:kinsoku/>
              <w:wordWrap/>
              <w:overflowPunct/>
              <w:topLinePunct w:val="0"/>
              <w:bidi w:val="0"/>
              <w:snapToGrid/>
              <w:spacing w:line="360" w:lineRule="auto"/>
              <w:jc w:val="center"/>
              <w:textAlignment w:val="auto"/>
              <w:rPr>
                <w:rFonts w:hint="eastAsia" w:ascii="宋体" w:hAnsi="宋体" w:eastAsia="宋体" w:cs="宋体"/>
                <w:color w:val="auto"/>
                <w:kern w:val="28"/>
                <w:szCs w:val="21"/>
                <w:highlight w:val="none"/>
                <w:lang w:eastAsia="zh-CN"/>
              </w:rPr>
            </w:pPr>
            <w:r>
              <w:rPr>
                <w:rFonts w:hint="eastAsia" w:ascii="宋体" w:hAnsi="宋体" w:cs="宋体"/>
                <w:color w:val="auto"/>
                <w:kern w:val="28"/>
                <w:szCs w:val="21"/>
                <w:highlight w:val="none"/>
                <w:lang w:eastAsia="zh-CN"/>
              </w:rPr>
              <w:t>不含税报价</w:t>
            </w:r>
          </w:p>
        </w:tc>
        <w:tc>
          <w:tcPr>
            <w:tcW w:w="972" w:type="dxa"/>
            <w:vAlign w:val="center"/>
          </w:tcPr>
          <w:p w14:paraId="7DD3E514">
            <w:pPr>
              <w:keepNext w:val="0"/>
              <w:keepLines w:val="0"/>
              <w:pageBreakBefore w:val="0"/>
              <w:widowControl w:val="0"/>
              <w:kinsoku/>
              <w:wordWrap/>
              <w:overflowPunct/>
              <w:topLinePunct w:val="0"/>
              <w:bidi w:val="0"/>
              <w:snapToGrid/>
              <w:spacing w:line="360" w:lineRule="auto"/>
              <w:jc w:val="center"/>
              <w:textAlignment w:val="auto"/>
              <w:rPr>
                <w:rFonts w:hint="eastAsia" w:ascii="宋体" w:hAnsi="宋体" w:cs="宋体"/>
                <w:color w:val="auto"/>
                <w:kern w:val="28"/>
                <w:szCs w:val="21"/>
                <w:highlight w:val="none"/>
              </w:rPr>
            </w:pPr>
            <w:r>
              <w:rPr>
                <w:rFonts w:hint="eastAsia" w:ascii="宋体" w:hAnsi="宋体" w:cs="宋体"/>
                <w:color w:val="auto"/>
                <w:kern w:val="28"/>
                <w:szCs w:val="21"/>
                <w:highlight w:val="none"/>
              </w:rPr>
              <w:t>备注</w:t>
            </w:r>
          </w:p>
        </w:tc>
      </w:tr>
      <w:tr w14:paraId="15F192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6" w:hRule="atLeast"/>
          <w:jc w:val="center"/>
        </w:trPr>
        <w:tc>
          <w:tcPr>
            <w:tcW w:w="1922" w:type="dxa"/>
            <w:vAlign w:val="center"/>
          </w:tcPr>
          <w:p w14:paraId="124F48BA">
            <w:pPr>
              <w:keepNext w:val="0"/>
              <w:keepLines w:val="0"/>
              <w:pageBreakBefore w:val="0"/>
              <w:widowControl w:val="0"/>
              <w:kinsoku/>
              <w:wordWrap/>
              <w:overflowPunct/>
              <w:topLinePunct w:val="0"/>
              <w:bidi w:val="0"/>
              <w:snapToGrid/>
              <w:spacing w:line="360" w:lineRule="auto"/>
              <w:jc w:val="center"/>
              <w:textAlignment w:val="auto"/>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eastAsia="zh-CN"/>
              </w:rPr>
              <w:t>东鸿公司塘厦创智园2026年度电梯维保项目</w:t>
            </w:r>
          </w:p>
        </w:tc>
        <w:tc>
          <w:tcPr>
            <w:tcW w:w="2022" w:type="dxa"/>
            <w:vAlign w:val="center"/>
          </w:tcPr>
          <w:p w14:paraId="4932BC71">
            <w:pPr>
              <w:keepNext w:val="0"/>
              <w:keepLines w:val="0"/>
              <w:pageBreakBefore w:val="0"/>
              <w:widowControl w:val="0"/>
              <w:kinsoku/>
              <w:wordWrap/>
              <w:overflowPunct/>
              <w:topLinePunct w:val="0"/>
              <w:bidi w:val="0"/>
              <w:snapToGrid/>
              <w:spacing w:line="360" w:lineRule="auto"/>
              <w:jc w:val="center"/>
              <w:textAlignment w:val="auto"/>
              <w:rPr>
                <w:rFonts w:ascii="宋体" w:hAnsi="宋体" w:cs="宋体"/>
                <w:color w:val="auto"/>
                <w:szCs w:val="21"/>
                <w:highlight w:val="none"/>
              </w:rPr>
            </w:pPr>
            <w:r>
              <w:rPr>
                <w:rFonts w:hint="eastAsia" w:ascii="宋体" w:hAnsi="宋体" w:cs="宋体"/>
                <w:color w:val="auto"/>
                <w:szCs w:val="21"/>
                <w:highlight w:val="none"/>
              </w:rPr>
              <w:t>小写：</w:t>
            </w:r>
          </w:p>
          <w:p w14:paraId="7AFE5B96">
            <w:pPr>
              <w:keepNext w:val="0"/>
              <w:keepLines w:val="0"/>
              <w:pageBreakBefore w:val="0"/>
              <w:widowControl w:val="0"/>
              <w:kinsoku/>
              <w:wordWrap/>
              <w:overflowPunct/>
              <w:topLinePunct w:val="0"/>
              <w:bidi w:val="0"/>
              <w:snapToGrid/>
              <w:spacing w:line="360" w:lineRule="auto"/>
              <w:jc w:val="center"/>
              <w:textAlignment w:val="auto"/>
              <w:rPr>
                <w:rFonts w:ascii="宋体" w:hAnsi="宋体" w:cs="宋体"/>
                <w:color w:val="auto"/>
                <w:szCs w:val="21"/>
                <w:highlight w:val="none"/>
              </w:rPr>
            </w:pPr>
            <w:r>
              <w:rPr>
                <w:rFonts w:hint="eastAsia" w:ascii="宋体" w:hAnsi="宋体" w:cs="宋体"/>
                <w:color w:val="auto"/>
                <w:szCs w:val="21"/>
                <w:highlight w:val="none"/>
              </w:rPr>
              <w:t>大写：</w:t>
            </w:r>
          </w:p>
        </w:tc>
        <w:tc>
          <w:tcPr>
            <w:tcW w:w="1654" w:type="dxa"/>
            <w:vAlign w:val="center"/>
          </w:tcPr>
          <w:p w14:paraId="25F34FA6">
            <w:pPr>
              <w:pStyle w:val="112"/>
              <w:keepNext w:val="0"/>
              <w:keepLines w:val="0"/>
              <w:pageBreakBefore w:val="0"/>
              <w:widowControl w:val="0"/>
              <w:kinsoku/>
              <w:wordWrap/>
              <w:overflowPunct/>
              <w:topLinePunct w:val="0"/>
              <w:bidi w:val="0"/>
              <w:snapToGrid/>
              <w:spacing w:line="360" w:lineRule="auto"/>
              <w:jc w:val="center"/>
              <w:textAlignment w:val="auto"/>
              <w:rPr>
                <w:rFonts w:hint="eastAsia" w:hAnsi="宋体" w:eastAsia="宋体"/>
                <w:color w:val="auto"/>
                <w:sz w:val="21"/>
                <w:szCs w:val="21"/>
                <w:highlight w:val="none"/>
                <w:lang w:eastAsia="zh-CN"/>
              </w:rPr>
            </w:pPr>
            <w:r>
              <w:rPr>
                <w:rFonts w:hint="eastAsia" w:hAnsi="宋体"/>
                <w:color w:val="auto"/>
                <w:sz w:val="21"/>
                <w:szCs w:val="21"/>
                <w:highlight w:val="none"/>
                <w:lang w:val="en-US" w:eastAsia="zh-CN"/>
              </w:rPr>
              <w:t>%</w:t>
            </w:r>
          </w:p>
        </w:tc>
        <w:tc>
          <w:tcPr>
            <w:tcW w:w="1583" w:type="dxa"/>
            <w:vAlign w:val="center"/>
          </w:tcPr>
          <w:p w14:paraId="1E21BF12">
            <w:pPr>
              <w:keepNext w:val="0"/>
              <w:keepLines w:val="0"/>
              <w:pageBreakBefore w:val="0"/>
              <w:widowControl w:val="0"/>
              <w:kinsoku/>
              <w:wordWrap/>
              <w:overflowPunct/>
              <w:topLinePunct w:val="0"/>
              <w:bidi w:val="0"/>
              <w:snapToGrid/>
              <w:spacing w:line="360" w:lineRule="auto"/>
              <w:jc w:val="both"/>
              <w:textAlignment w:val="auto"/>
              <w:rPr>
                <w:rFonts w:ascii="宋体" w:hAnsi="宋体" w:cs="宋体"/>
                <w:color w:val="auto"/>
                <w:szCs w:val="21"/>
                <w:highlight w:val="none"/>
              </w:rPr>
            </w:pPr>
            <w:r>
              <w:rPr>
                <w:rFonts w:hint="eastAsia" w:ascii="宋体" w:hAnsi="宋体" w:cs="宋体"/>
                <w:color w:val="auto"/>
                <w:szCs w:val="21"/>
                <w:highlight w:val="none"/>
              </w:rPr>
              <w:t>小写：</w:t>
            </w:r>
          </w:p>
          <w:p w14:paraId="5AEB1625">
            <w:pPr>
              <w:pStyle w:val="112"/>
              <w:keepNext w:val="0"/>
              <w:keepLines w:val="0"/>
              <w:pageBreakBefore w:val="0"/>
              <w:widowControl w:val="0"/>
              <w:kinsoku/>
              <w:wordWrap/>
              <w:overflowPunct/>
              <w:topLinePunct w:val="0"/>
              <w:bidi w:val="0"/>
              <w:snapToGrid/>
              <w:spacing w:line="360" w:lineRule="auto"/>
              <w:jc w:val="left"/>
              <w:textAlignment w:val="auto"/>
              <w:rPr>
                <w:rFonts w:hint="eastAsia" w:hAnsi="宋体" w:eastAsia="宋体"/>
                <w:color w:val="auto"/>
                <w:sz w:val="21"/>
                <w:szCs w:val="21"/>
                <w:highlight w:val="none"/>
                <w:lang w:eastAsia="zh-CN"/>
              </w:rPr>
            </w:pPr>
            <w:r>
              <w:rPr>
                <w:rFonts w:hint="eastAsia" w:ascii="宋体" w:hAnsi="宋体" w:cs="宋体"/>
                <w:color w:val="auto"/>
                <w:sz w:val="21"/>
                <w:szCs w:val="21"/>
                <w:highlight w:val="none"/>
              </w:rPr>
              <w:t>大写：</w:t>
            </w:r>
          </w:p>
        </w:tc>
        <w:tc>
          <w:tcPr>
            <w:tcW w:w="972" w:type="dxa"/>
            <w:vAlign w:val="center"/>
          </w:tcPr>
          <w:p w14:paraId="4B7231A3">
            <w:pPr>
              <w:pStyle w:val="112"/>
              <w:keepNext w:val="0"/>
              <w:keepLines w:val="0"/>
              <w:pageBreakBefore w:val="0"/>
              <w:widowControl w:val="0"/>
              <w:kinsoku/>
              <w:wordWrap/>
              <w:overflowPunct/>
              <w:topLinePunct w:val="0"/>
              <w:bidi w:val="0"/>
              <w:snapToGrid/>
              <w:spacing w:line="360" w:lineRule="auto"/>
              <w:jc w:val="left"/>
              <w:textAlignment w:val="auto"/>
              <w:rPr>
                <w:rFonts w:hint="eastAsia" w:hAnsi="宋体" w:eastAsia="宋体"/>
                <w:color w:val="auto"/>
                <w:sz w:val="21"/>
                <w:szCs w:val="21"/>
                <w:highlight w:val="none"/>
                <w:lang w:eastAsia="zh-CN"/>
              </w:rPr>
            </w:pPr>
          </w:p>
        </w:tc>
      </w:tr>
    </w:tbl>
    <w:p w14:paraId="0048ADE8">
      <w:pPr>
        <w:keepNext w:val="0"/>
        <w:keepLines w:val="0"/>
        <w:pageBreakBefore w:val="0"/>
        <w:widowControl w:val="0"/>
        <w:kinsoku/>
        <w:wordWrap/>
        <w:overflowPunct/>
        <w:topLinePunct w:val="0"/>
        <w:bidi w:val="0"/>
        <w:snapToGrid/>
        <w:spacing w:line="360" w:lineRule="auto"/>
        <w:textAlignment w:val="auto"/>
        <w:rPr>
          <w:rFonts w:ascii="宋体" w:hAnsi="宋体"/>
          <w:color w:val="auto"/>
          <w:szCs w:val="21"/>
          <w:highlight w:val="none"/>
        </w:rPr>
      </w:pPr>
    </w:p>
    <w:p w14:paraId="79CCD827">
      <w:pPr>
        <w:keepNext w:val="0"/>
        <w:keepLines w:val="0"/>
        <w:pageBreakBefore w:val="0"/>
        <w:widowControl w:val="0"/>
        <w:kinsoku/>
        <w:wordWrap/>
        <w:overflowPunct/>
        <w:topLinePunct w:val="0"/>
        <w:bidi w:val="0"/>
        <w:snapToGrid/>
        <w:spacing w:line="360" w:lineRule="auto"/>
        <w:ind w:firstLine="359" w:firstLineChars="171"/>
        <w:textAlignment w:val="auto"/>
        <w:rPr>
          <w:rFonts w:ascii="宋体" w:hAnsi="宋体"/>
          <w:color w:val="auto"/>
          <w:szCs w:val="21"/>
          <w:highlight w:val="none"/>
        </w:rPr>
      </w:pPr>
      <w:r>
        <w:rPr>
          <w:rFonts w:hint="eastAsia" w:ascii="宋体" w:hAnsi="宋体"/>
          <w:color w:val="auto"/>
          <w:szCs w:val="21"/>
          <w:highlight w:val="none"/>
          <w:lang w:val="en-US" w:eastAsia="zh-CN"/>
        </w:rPr>
        <w:t>响应人</w:t>
      </w:r>
      <w:r>
        <w:rPr>
          <w:rFonts w:hint="eastAsia" w:ascii="宋体" w:hAnsi="宋体"/>
          <w:color w:val="auto"/>
          <w:szCs w:val="21"/>
          <w:highlight w:val="none"/>
        </w:rPr>
        <w:t>代表签字：</w:t>
      </w:r>
    </w:p>
    <w:p w14:paraId="1FD2EA90">
      <w:pPr>
        <w:keepNext w:val="0"/>
        <w:keepLines w:val="0"/>
        <w:pageBreakBefore w:val="0"/>
        <w:widowControl w:val="0"/>
        <w:kinsoku/>
        <w:wordWrap/>
        <w:overflowPunct/>
        <w:topLinePunct w:val="0"/>
        <w:bidi w:val="0"/>
        <w:snapToGrid/>
        <w:spacing w:line="360" w:lineRule="auto"/>
        <w:ind w:firstLine="359" w:firstLineChars="171"/>
        <w:textAlignment w:val="auto"/>
        <w:rPr>
          <w:rFonts w:ascii="宋体" w:hAnsi="宋体"/>
          <w:color w:val="auto"/>
          <w:szCs w:val="21"/>
          <w:highlight w:val="none"/>
        </w:rPr>
      </w:pPr>
      <w:r>
        <w:rPr>
          <w:rFonts w:hint="eastAsia" w:ascii="宋体" w:hAnsi="宋体"/>
          <w:color w:val="auto"/>
          <w:szCs w:val="21"/>
          <w:highlight w:val="none"/>
          <w:lang w:val="en-US" w:eastAsia="zh-CN"/>
        </w:rPr>
        <w:t>响应人</w:t>
      </w:r>
      <w:r>
        <w:rPr>
          <w:rFonts w:hint="eastAsia" w:ascii="宋体" w:hAnsi="宋体"/>
          <w:color w:val="auto"/>
          <w:szCs w:val="21"/>
          <w:highlight w:val="none"/>
        </w:rPr>
        <w:t>盖章：</w:t>
      </w:r>
    </w:p>
    <w:p w14:paraId="4C9B52DD">
      <w:pPr>
        <w:keepNext w:val="0"/>
        <w:keepLines w:val="0"/>
        <w:pageBreakBefore w:val="0"/>
        <w:widowControl w:val="0"/>
        <w:kinsoku/>
        <w:wordWrap/>
        <w:overflowPunct/>
        <w:topLinePunct w:val="0"/>
        <w:bidi w:val="0"/>
        <w:snapToGrid/>
        <w:spacing w:line="360" w:lineRule="auto"/>
        <w:ind w:firstLine="359" w:firstLineChars="171"/>
        <w:textAlignment w:val="auto"/>
        <w:rPr>
          <w:rFonts w:ascii="宋体" w:hAnsi="宋体"/>
          <w:color w:val="auto"/>
          <w:szCs w:val="21"/>
          <w:highlight w:val="none"/>
        </w:rPr>
      </w:pPr>
      <w:r>
        <w:rPr>
          <w:rFonts w:hint="eastAsia" w:ascii="宋体" w:hAnsi="宋体"/>
          <w:color w:val="auto"/>
          <w:szCs w:val="21"/>
          <w:highlight w:val="none"/>
        </w:rPr>
        <w:t>日期：</w:t>
      </w:r>
    </w:p>
    <w:p w14:paraId="6BCC9613">
      <w:pPr>
        <w:keepNext w:val="0"/>
        <w:keepLines w:val="0"/>
        <w:pageBreakBefore w:val="0"/>
        <w:widowControl w:val="0"/>
        <w:kinsoku/>
        <w:wordWrap/>
        <w:overflowPunct/>
        <w:topLinePunct w:val="0"/>
        <w:bidi w:val="0"/>
        <w:snapToGrid/>
        <w:spacing w:line="360" w:lineRule="auto"/>
        <w:ind w:firstLine="359" w:firstLineChars="171"/>
        <w:textAlignment w:val="auto"/>
        <w:rPr>
          <w:rFonts w:ascii="宋体" w:hAnsi="宋体"/>
          <w:color w:val="auto"/>
          <w:szCs w:val="21"/>
          <w:highlight w:val="none"/>
        </w:rPr>
      </w:pPr>
    </w:p>
    <w:p w14:paraId="5623B0AC">
      <w:pPr>
        <w:keepNext w:val="0"/>
        <w:keepLines w:val="0"/>
        <w:pageBreakBefore w:val="0"/>
        <w:widowControl w:val="0"/>
        <w:kinsoku/>
        <w:wordWrap/>
        <w:overflowPunct/>
        <w:topLinePunct w:val="0"/>
        <w:bidi w:val="0"/>
        <w:snapToGrid/>
        <w:spacing w:line="360" w:lineRule="auto"/>
        <w:ind w:left="391" w:hanging="390" w:hangingChars="186"/>
        <w:textAlignment w:val="auto"/>
        <w:rPr>
          <w:rFonts w:ascii="宋体" w:hAnsi="宋体"/>
          <w:color w:val="auto"/>
          <w:szCs w:val="21"/>
          <w:highlight w:val="none"/>
        </w:rPr>
      </w:pPr>
      <w:r>
        <w:rPr>
          <w:rFonts w:hint="eastAsia" w:ascii="宋体" w:hAnsi="宋体"/>
          <w:color w:val="auto"/>
          <w:szCs w:val="21"/>
          <w:highlight w:val="none"/>
        </w:rPr>
        <w:t xml:space="preserve">    注：</w:t>
      </w:r>
    </w:p>
    <w:p w14:paraId="7FC2F6A5">
      <w:pPr>
        <w:keepNext w:val="0"/>
        <w:keepLines w:val="0"/>
        <w:pageBreakBefore w:val="0"/>
        <w:widowControl w:val="0"/>
        <w:kinsoku/>
        <w:wordWrap/>
        <w:overflowPunct/>
        <w:topLinePunct w:val="0"/>
        <w:bidi w:val="0"/>
        <w:snapToGrid/>
        <w:spacing w:line="360" w:lineRule="auto"/>
        <w:ind w:firstLine="420" w:firstLineChars="200"/>
        <w:textAlignment w:val="auto"/>
        <w:rPr>
          <w:rFonts w:hint="eastAsia" w:ascii="宋体" w:hAnsi="宋体"/>
          <w:color w:val="auto"/>
          <w:szCs w:val="21"/>
          <w:highlight w:val="none"/>
        </w:rPr>
      </w:pPr>
      <w:r>
        <w:rPr>
          <w:rFonts w:hint="eastAsia" w:ascii="宋体" w:hAnsi="宋体"/>
          <w:color w:val="auto"/>
          <w:szCs w:val="21"/>
          <w:highlight w:val="none"/>
          <w:lang w:eastAsia="zh-CN"/>
        </w:rPr>
        <w:t>1.</w:t>
      </w:r>
      <w:r>
        <w:rPr>
          <w:rFonts w:hint="eastAsia" w:ascii="宋体" w:hAnsi="宋体"/>
          <w:color w:val="auto"/>
          <w:szCs w:val="21"/>
          <w:highlight w:val="none"/>
        </w:rPr>
        <w:t>响应报价应以人民币为结算单位（含税），依照采购人提供的方案，以用户需求书内的设备包货物及配件，人工及工作中所需的材料费、设备维修费用、包安全、包文明施工，包税收的方式进行报价，按本次采购范围总价包干，详见本用户需求书采购清单。</w:t>
      </w:r>
    </w:p>
    <w:p w14:paraId="45C8D011">
      <w:pPr>
        <w:keepNext w:val="0"/>
        <w:keepLines w:val="0"/>
        <w:pageBreakBefore w:val="0"/>
        <w:widowControl w:val="0"/>
        <w:kinsoku/>
        <w:wordWrap/>
        <w:overflowPunct/>
        <w:topLinePunct w:val="0"/>
        <w:bidi w:val="0"/>
        <w:snapToGrid/>
        <w:spacing w:line="360" w:lineRule="auto"/>
        <w:ind w:firstLine="420" w:firstLineChars="200"/>
        <w:textAlignment w:val="auto"/>
        <w:rPr>
          <w:rFonts w:hint="eastAsia" w:ascii="宋体" w:hAnsi="宋体"/>
          <w:color w:val="auto"/>
          <w:szCs w:val="21"/>
          <w:highlight w:val="none"/>
        </w:rPr>
      </w:pPr>
      <w:r>
        <w:rPr>
          <w:rFonts w:hint="eastAsia" w:ascii="宋体" w:hAnsi="宋体"/>
          <w:color w:val="auto"/>
          <w:szCs w:val="21"/>
          <w:highlight w:val="none"/>
          <w:lang w:val="en-US" w:eastAsia="zh-CN"/>
        </w:rPr>
        <w:t>3.</w:t>
      </w:r>
      <w:r>
        <w:rPr>
          <w:rFonts w:hint="eastAsia" w:ascii="宋体" w:hAnsi="宋体" w:cs="宋体"/>
          <w:color w:val="auto"/>
          <w:kern w:val="28"/>
          <w:szCs w:val="21"/>
          <w:highlight w:val="none"/>
          <w:lang w:val="en-US" w:eastAsia="zh-CN"/>
        </w:rPr>
        <w:t>响应报价</w:t>
      </w:r>
      <w:r>
        <w:rPr>
          <w:rFonts w:hint="eastAsia" w:ascii="宋体" w:hAnsi="宋体"/>
          <w:color w:val="auto"/>
          <w:szCs w:val="21"/>
          <w:highlight w:val="none"/>
        </w:rPr>
        <w:t>栏须用大写金额和小写金额两种方式表示的</w:t>
      </w:r>
      <w:r>
        <w:rPr>
          <w:rFonts w:hint="eastAsia" w:ascii="宋体" w:hAnsi="宋体" w:cs="宋体"/>
          <w:color w:val="auto"/>
          <w:kern w:val="28"/>
          <w:szCs w:val="21"/>
          <w:highlight w:val="none"/>
          <w:lang w:val="en-US" w:eastAsia="zh-CN"/>
        </w:rPr>
        <w:t>响应报价</w:t>
      </w:r>
      <w:r>
        <w:rPr>
          <w:rFonts w:hint="eastAsia" w:ascii="宋体" w:hAnsi="宋体"/>
          <w:color w:val="auto"/>
          <w:szCs w:val="21"/>
          <w:highlight w:val="none"/>
        </w:rPr>
        <w:t>，报价保留小数点后两位。</w:t>
      </w:r>
      <w:r>
        <w:rPr>
          <w:rFonts w:hint="eastAsia" w:ascii="宋体" w:hAnsi="宋体" w:cs="宋体"/>
          <w:color w:val="auto"/>
          <w:kern w:val="28"/>
          <w:szCs w:val="21"/>
          <w:highlight w:val="none"/>
          <w:lang w:val="en-US" w:eastAsia="zh-CN"/>
        </w:rPr>
        <w:t>响应报价</w:t>
      </w:r>
      <w:r>
        <w:rPr>
          <w:rFonts w:hint="eastAsia" w:ascii="宋体" w:hAnsi="宋体"/>
          <w:color w:val="auto"/>
          <w:szCs w:val="21"/>
          <w:highlight w:val="none"/>
        </w:rPr>
        <w:t>大小写不一致，以大写为准。</w:t>
      </w:r>
      <w:r>
        <w:rPr>
          <w:rFonts w:hint="eastAsia" w:ascii="宋体" w:hAnsi="宋体" w:cs="宋体"/>
          <w:color w:val="auto"/>
          <w:kern w:val="28"/>
          <w:szCs w:val="21"/>
          <w:highlight w:val="none"/>
          <w:lang w:val="en-US" w:eastAsia="zh-CN"/>
        </w:rPr>
        <w:t>响应报价</w:t>
      </w:r>
      <w:r>
        <w:rPr>
          <w:rFonts w:hint="eastAsia" w:ascii="宋体" w:hAnsi="宋体"/>
          <w:color w:val="auto"/>
          <w:szCs w:val="21"/>
          <w:highlight w:val="none"/>
        </w:rPr>
        <w:t>必须准确唯一且应包含</w:t>
      </w:r>
      <w:r>
        <w:rPr>
          <w:rFonts w:hint="eastAsia" w:ascii="宋体" w:hAnsi="宋体"/>
          <w:color w:val="auto"/>
          <w:szCs w:val="21"/>
          <w:highlight w:val="none"/>
          <w:lang w:val="en-US" w:eastAsia="zh-CN"/>
        </w:rPr>
        <w:t>谈判</w:t>
      </w:r>
      <w:r>
        <w:rPr>
          <w:rFonts w:hint="eastAsia" w:ascii="宋体" w:hAnsi="宋体"/>
          <w:color w:val="auto"/>
          <w:szCs w:val="21"/>
          <w:highlight w:val="none"/>
        </w:rPr>
        <w:t>文件要求的所有费用。</w:t>
      </w:r>
    </w:p>
    <w:p w14:paraId="440AF702">
      <w:pPr>
        <w:keepNext w:val="0"/>
        <w:keepLines w:val="0"/>
        <w:pageBreakBefore w:val="0"/>
        <w:widowControl w:val="0"/>
        <w:kinsoku/>
        <w:wordWrap/>
        <w:overflowPunct/>
        <w:topLinePunct w:val="0"/>
        <w:bidi w:val="0"/>
        <w:snapToGrid/>
        <w:spacing w:line="360" w:lineRule="auto"/>
        <w:ind w:firstLine="420" w:firstLineChars="200"/>
        <w:textAlignment w:val="auto"/>
        <w:rPr>
          <w:rFonts w:ascii="宋体" w:hAnsi="宋体"/>
          <w:color w:val="auto"/>
          <w:szCs w:val="21"/>
          <w:highlight w:val="none"/>
        </w:rPr>
      </w:pPr>
      <w:r>
        <w:rPr>
          <w:rFonts w:hint="eastAsia" w:ascii="宋体" w:hAnsi="宋体"/>
          <w:color w:val="auto"/>
          <w:szCs w:val="21"/>
          <w:highlight w:val="none"/>
          <w:lang w:val="en-US" w:eastAsia="zh-CN"/>
        </w:rPr>
        <w:t>4.</w:t>
      </w:r>
      <w:r>
        <w:rPr>
          <w:rFonts w:hint="eastAsia" w:ascii="宋体" w:hAnsi="宋体"/>
          <w:color w:val="auto"/>
          <w:szCs w:val="21"/>
          <w:highlight w:val="none"/>
        </w:rPr>
        <w:t>温馨提示</w:t>
      </w:r>
      <w:r>
        <w:rPr>
          <w:rFonts w:hint="eastAsia" w:ascii="宋体" w:hAnsi="宋体"/>
          <w:color w:val="auto"/>
          <w:szCs w:val="21"/>
          <w:highlight w:val="none"/>
          <w:lang w:eastAsia="zh-CN"/>
        </w:rPr>
        <w:t>：</w:t>
      </w:r>
      <w:r>
        <w:rPr>
          <w:rFonts w:hint="eastAsia" w:ascii="宋体" w:hAnsi="宋体"/>
          <w:color w:val="auto"/>
          <w:szCs w:val="21"/>
          <w:highlight w:val="none"/>
        </w:rPr>
        <w:t>未按</w:t>
      </w:r>
      <w:r>
        <w:rPr>
          <w:rFonts w:hint="eastAsia" w:ascii="宋体" w:hAnsi="宋体"/>
          <w:color w:val="auto"/>
          <w:szCs w:val="21"/>
          <w:highlight w:val="none"/>
          <w:lang w:val="en-US" w:eastAsia="zh-CN"/>
        </w:rPr>
        <w:t>谈判</w:t>
      </w:r>
      <w:r>
        <w:rPr>
          <w:rFonts w:hint="eastAsia" w:ascii="宋体" w:hAnsi="宋体"/>
          <w:color w:val="auto"/>
          <w:szCs w:val="21"/>
          <w:highlight w:val="none"/>
        </w:rPr>
        <w:t>文件要求报价、填写开标一览表是导致</w:t>
      </w:r>
      <w:r>
        <w:rPr>
          <w:rFonts w:hint="eastAsia" w:ascii="宋体" w:hAnsi="宋体"/>
          <w:color w:val="auto"/>
          <w:szCs w:val="21"/>
          <w:highlight w:val="none"/>
          <w:lang w:val="en-US" w:eastAsia="zh-CN"/>
        </w:rPr>
        <w:t>响应人</w:t>
      </w:r>
      <w:r>
        <w:rPr>
          <w:rFonts w:hint="eastAsia" w:ascii="宋体" w:hAnsi="宋体"/>
          <w:color w:val="auto"/>
          <w:szCs w:val="21"/>
          <w:highlight w:val="none"/>
        </w:rPr>
        <w:t>废标的常见问题，请</w:t>
      </w:r>
      <w:r>
        <w:rPr>
          <w:rFonts w:hint="eastAsia" w:ascii="宋体" w:hAnsi="宋体"/>
          <w:color w:val="auto"/>
          <w:szCs w:val="21"/>
          <w:highlight w:val="none"/>
          <w:lang w:val="en-US" w:eastAsia="zh-CN"/>
        </w:rPr>
        <w:t>响应人</w:t>
      </w:r>
      <w:r>
        <w:rPr>
          <w:rFonts w:hint="eastAsia" w:ascii="宋体" w:hAnsi="宋体"/>
          <w:color w:val="auto"/>
          <w:szCs w:val="21"/>
          <w:highlight w:val="none"/>
        </w:rPr>
        <w:t>仔细填写，认真核对。</w:t>
      </w:r>
      <w:r>
        <w:rPr>
          <w:rFonts w:hint="eastAsia" w:ascii="宋体" w:hAnsi="宋体"/>
          <w:color w:val="auto"/>
          <w:szCs w:val="21"/>
          <w:highlight w:val="none"/>
        </w:rPr>
        <w:br w:type="page"/>
      </w:r>
    </w:p>
    <w:p w14:paraId="65A86232">
      <w:pPr>
        <w:pStyle w:val="2"/>
        <w:spacing w:line="240" w:lineRule="auto"/>
        <w:rPr>
          <w:rFonts w:ascii="黑体" w:hAnsi="Times New Roman"/>
          <w:b w:val="0"/>
          <w:bCs w:val="0"/>
          <w:color w:val="auto"/>
          <w:sz w:val="28"/>
          <w:szCs w:val="28"/>
          <w:highlight w:val="none"/>
        </w:rPr>
      </w:pPr>
      <w:bookmarkStart w:id="225" w:name="_Toc31714"/>
      <w:bookmarkStart w:id="226" w:name="_Toc486425445"/>
      <w:bookmarkStart w:id="227" w:name="_Toc338669164"/>
      <w:r>
        <w:rPr>
          <w:rFonts w:hint="eastAsia" w:ascii="黑体" w:hAnsi="Times New Roman"/>
          <w:b w:val="0"/>
          <w:bCs w:val="0"/>
          <w:color w:val="auto"/>
          <w:sz w:val="28"/>
          <w:szCs w:val="28"/>
          <w:highlight w:val="none"/>
        </w:rPr>
        <w:t>二、分项报价表</w:t>
      </w:r>
      <w:bookmarkEnd w:id="225"/>
      <w:bookmarkEnd w:id="226"/>
      <w:bookmarkEnd w:id="227"/>
    </w:p>
    <w:p w14:paraId="51AF3200">
      <w:pPr>
        <w:spacing w:line="480" w:lineRule="auto"/>
        <w:ind w:firstLine="420" w:firstLineChars="200"/>
        <w:jc w:val="left"/>
        <w:rPr>
          <w:rFonts w:hint="eastAsia" w:ascii="宋体" w:hAnsi="宋体"/>
          <w:color w:val="auto"/>
          <w:szCs w:val="21"/>
          <w:highlight w:val="none"/>
          <w:lang w:val="en-US" w:eastAsia="zh-CN"/>
        </w:rPr>
      </w:pPr>
      <w:r>
        <w:rPr>
          <w:rFonts w:hint="eastAsia" w:ascii="宋体" w:hAnsi="宋体" w:cs="宋体"/>
          <w:color w:val="auto"/>
          <w:sz w:val="21"/>
          <w:szCs w:val="21"/>
          <w:highlight w:val="none"/>
          <w:lang w:eastAsia="zh-CN"/>
        </w:rPr>
        <w:t>1.</w:t>
      </w:r>
      <w:r>
        <w:rPr>
          <w:rFonts w:hint="eastAsia" w:ascii="宋体" w:hAnsi="宋体" w:cs="宋体"/>
          <w:color w:val="auto"/>
          <w:sz w:val="21"/>
          <w:szCs w:val="21"/>
          <w:highlight w:val="none"/>
        </w:rPr>
        <w:t>报价为所投项目的执行价格，包含《用户需求书/技术规范书》所述的全部内容所需费用。如果</w:t>
      </w:r>
      <w:r>
        <w:rPr>
          <w:rFonts w:hint="eastAsia" w:ascii="宋体" w:hAnsi="宋体" w:cs="宋体"/>
          <w:color w:val="auto"/>
          <w:sz w:val="21"/>
          <w:szCs w:val="21"/>
          <w:highlight w:val="none"/>
          <w:lang w:val="en-US" w:eastAsia="zh-CN"/>
        </w:rPr>
        <w:t>响应人</w:t>
      </w:r>
      <w:r>
        <w:rPr>
          <w:rFonts w:hint="eastAsia" w:ascii="宋体" w:hAnsi="宋体" w:cs="宋体"/>
          <w:color w:val="auto"/>
          <w:sz w:val="21"/>
          <w:szCs w:val="21"/>
          <w:highlight w:val="none"/>
        </w:rPr>
        <w:t>在</w:t>
      </w:r>
      <w:r>
        <w:rPr>
          <w:rFonts w:hint="eastAsia" w:ascii="宋体" w:hAnsi="宋体" w:cs="宋体"/>
          <w:color w:val="auto"/>
          <w:sz w:val="21"/>
          <w:szCs w:val="21"/>
          <w:highlight w:val="none"/>
          <w:lang w:val="en-US" w:eastAsia="zh-CN"/>
        </w:rPr>
        <w:t>成交</w:t>
      </w:r>
      <w:r>
        <w:rPr>
          <w:rFonts w:hint="eastAsia" w:ascii="宋体" w:hAnsi="宋体" w:cs="宋体"/>
          <w:color w:val="auto"/>
          <w:sz w:val="21"/>
          <w:szCs w:val="21"/>
          <w:highlight w:val="none"/>
        </w:rPr>
        <w:t>并签署合同后，在项目实施过程中出现任何遗漏，均由成交</w:t>
      </w:r>
      <w:r>
        <w:rPr>
          <w:rFonts w:hint="eastAsia" w:ascii="宋体" w:hAnsi="宋体" w:cs="宋体"/>
          <w:color w:val="auto"/>
          <w:sz w:val="21"/>
          <w:szCs w:val="21"/>
          <w:highlight w:val="none"/>
          <w:lang w:val="en-US" w:eastAsia="zh-CN"/>
        </w:rPr>
        <w:t>响应人</w:t>
      </w:r>
      <w:r>
        <w:rPr>
          <w:rFonts w:hint="eastAsia" w:ascii="宋体" w:hAnsi="宋体" w:cs="宋体"/>
          <w:color w:val="auto"/>
          <w:sz w:val="21"/>
          <w:szCs w:val="21"/>
          <w:highlight w:val="none"/>
        </w:rPr>
        <w:t xml:space="preserve">免费提供，采购人将不再支付任何费用。 </w:t>
      </w:r>
    </w:p>
    <w:p w14:paraId="6294A377">
      <w:pPr>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常用电梯维修配件报价表</w:t>
      </w:r>
      <w:r>
        <w:rPr>
          <w:rFonts w:hint="eastAsia" w:ascii="宋体" w:hAnsi="宋体" w:cs="宋体"/>
          <w:color w:val="auto"/>
          <w:sz w:val="21"/>
          <w:szCs w:val="21"/>
          <w:highlight w:val="none"/>
          <w:lang w:eastAsia="zh-CN"/>
        </w:rPr>
        <w:t>（</w:t>
      </w:r>
      <w:r>
        <w:rPr>
          <w:rFonts w:hint="eastAsia" w:ascii="宋体" w:hAnsi="宋体" w:cs="宋体"/>
          <w:b/>
          <w:bCs/>
          <w:color w:val="auto"/>
          <w:sz w:val="21"/>
          <w:szCs w:val="21"/>
          <w:highlight w:val="none"/>
          <w:lang w:eastAsia="zh-CN"/>
        </w:rPr>
        <w:t>注：本配件价格不计入本项目价格评比，仅在维修时比价使用</w:t>
      </w:r>
      <w:r>
        <w:rPr>
          <w:rFonts w:hint="eastAsia" w:ascii="宋体" w:hAnsi="宋体" w:cs="宋体"/>
          <w:color w:val="auto"/>
          <w:sz w:val="21"/>
          <w:szCs w:val="21"/>
          <w:highlight w:val="none"/>
          <w:lang w:eastAsia="zh-CN"/>
        </w:rPr>
        <w:t>）</w:t>
      </w:r>
    </w:p>
    <w:tbl>
      <w:tblPr>
        <w:tblStyle w:val="37"/>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93"/>
        <w:gridCol w:w="3760"/>
        <w:gridCol w:w="893"/>
        <w:gridCol w:w="2127"/>
        <w:gridCol w:w="849"/>
      </w:tblGrid>
      <w:tr w14:paraId="621BAE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5000" w:type="pct"/>
            <w:gridSpan w:val="5"/>
            <w:tcBorders>
              <w:top w:val="single" w:color="000000" w:sz="4" w:space="0"/>
              <w:left w:val="single" w:color="000000" w:sz="4" w:space="0"/>
              <w:bottom w:val="single" w:color="000000" w:sz="4" w:space="0"/>
              <w:right w:val="single" w:color="000000" w:sz="4" w:space="0"/>
            </w:tcBorders>
            <w:noWrap/>
            <w:vAlign w:val="center"/>
          </w:tcPr>
          <w:p w14:paraId="4DB6D104">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 xml:space="preserve">      电梯常用配件清单</w:t>
            </w:r>
          </w:p>
        </w:tc>
      </w:tr>
      <w:tr w14:paraId="2DE7AD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6571B2B8">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序号</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6740E1D1">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配件名称</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6F20C4E3">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单位</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53FA890C">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含税价（元）</w:t>
            </w: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1201E446">
            <w:pPr>
              <w:keepNext w:val="0"/>
              <w:keepLines w:val="0"/>
              <w:widowControl/>
              <w:suppressLineNumbers w:val="0"/>
              <w:jc w:val="left"/>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备注</w:t>
            </w:r>
          </w:p>
        </w:tc>
      </w:tr>
      <w:tr w14:paraId="253D70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445E994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0BC20AE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轿厢照明</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52C5338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支</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15141779">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49658577">
            <w:pPr>
              <w:rPr>
                <w:rFonts w:hint="eastAsia" w:ascii="宋体" w:hAnsi="宋体" w:eastAsia="宋体" w:cs="宋体"/>
                <w:i w:val="0"/>
                <w:iCs w:val="0"/>
                <w:color w:val="auto"/>
                <w:sz w:val="21"/>
                <w:szCs w:val="21"/>
                <w:highlight w:val="none"/>
                <w:u w:val="none"/>
              </w:rPr>
            </w:pPr>
          </w:p>
        </w:tc>
      </w:tr>
      <w:tr w14:paraId="5B8F60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72E387D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10EB9FC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继电器</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16DE5E0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3527682B">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747F8C61">
            <w:pPr>
              <w:rPr>
                <w:rFonts w:hint="eastAsia" w:ascii="宋体" w:hAnsi="宋体" w:eastAsia="宋体" w:cs="宋体"/>
                <w:i w:val="0"/>
                <w:iCs w:val="0"/>
                <w:color w:val="auto"/>
                <w:sz w:val="21"/>
                <w:szCs w:val="21"/>
                <w:highlight w:val="none"/>
                <w:u w:val="none"/>
              </w:rPr>
            </w:pPr>
          </w:p>
        </w:tc>
      </w:tr>
      <w:tr w14:paraId="702A21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7454B14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2D49789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层门自闭弹簧</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70D4430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条</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5A4894B8">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40D3125E">
            <w:pPr>
              <w:rPr>
                <w:rFonts w:hint="eastAsia" w:ascii="宋体" w:hAnsi="宋体" w:eastAsia="宋体" w:cs="宋体"/>
                <w:i w:val="0"/>
                <w:iCs w:val="0"/>
                <w:color w:val="auto"/>
                <w:sz w:val="21"/>
                <w:szCs w:val="21"/>
                <w:highlight w:val="none"/>
                <w:u w:val="none"/>
              </w:rPr>
            </w:pPr>
          </w:p>
        </w:tc>
      </w:tr>
      <w:tr w14:paraId="6C67E4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3D72665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02B01CD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层门锁</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1167B87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套</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01C82A43">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6725D1CD">
            <w:pPr>
              <w:rPr>
                <w:rFonts w:hint="eastAsia" w:ascii="宋体" w:hAnsi="宋体" w:eastAsia="宋体" w:cs="宋体"/>
                <w:i w:val="0"/>
                <w:iCs w:val="0"/>
                <w:color w:val="auto"/>
                <w:sz w:val="21"/>
                <w:szCs w:val="21"/>
                <w:highlight w:val="none"/>
                <w:u w:val="none"/>
              </w:rPr>
            </w:pPr>
          </w:p>
        </w:tc>
      </w:tr>
      <w:tr w14:paraId="644D34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7942A42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5079DDA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警铃</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3D65519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5CA57A13">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35C3CEF5">
            <w:pPr>
              <w:rPr>
                <w:rFonts w:hint="eastAsia" w:ascii="宋体" w:hAnsi="宋体" w:eastAsia="宋体" w:cs="宋体"/>
                <w:i w:val="0"/>
                <w:iCs w:val="0"/>
                <w:color w:val="auto"/>
                <w:sz w:val="21"/>
                <w:szCs w:val="21"/>
                <w:highlight w:val="none"/>
                <w:u w:val="none"/>
              </w:rPr>
            </w:pPr>
          </w:p>
        </w:tc>
      </w:tr>
      <w:tr w14:paraId="3FEF00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45323BB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746ADBC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对讲电话</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3BCE603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66591EE5">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1900E719">
            <w:pPr>
              <w:rPr>
                <w:rFonts w:hint="eastAsia" w:ascii="宋体" w:hAnsi="宋体" w:eastAsia="宋体" w:cs="宋体"/>
                <w:i w:val="0"/>
                <w:iCs w:val="0"/>
                <w:color w:val="auto"/>
                <w:sz w:val="21"/>
                <w:szCs w:val="21"/>
                <w:highlight w:val="none"/>
                <w:u w:val="none"/>
              </w:rPr>
            </w:pPr>
          </w:p>
        </w:tc>
      </w:tr>
      <w:tr w14:paraId="01D797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04F72F6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7</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1905A43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对讲副机</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2A50BD5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0D6ACCF6">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2F23FFB6">
            <w:pPr>
              <w:rPr>
                <w:rFonts w:hint="eastAsia" w:ascii="宋体" w:hAnsi="宋体" w:eastAsia="宋体" w:cs="宋体"/>
                <w:i w:val="0"/>
                <w:iCs w:val="0"/>
                <w:color w:val="auto"/>
                <w:sz w:val="21"/>
                <w:szCs w:val="21"/>
                <w:highlight w:val="none"/>
                <w:u w:val="none"/>
              </w:rPr>
            </w:pPr>
          </w:p>
        </w:tc>
      </w:tr>
      <w:tr w14:paraId="572181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651A93D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8</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3F3AB7D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应急电源</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4E04EC7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4DEAE95D">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3E977291">
            <w:pPr>
              <w:rPr>
                <w:rFonts w:hint="eastAsia" w:ascii="宋体" w:hAnsi="宋体" w:eastAsia="宋体" w:cs="宋体"/>
                <w:i w:val="0"/>
                <w:iCs w:val="0"/>
                <w:color w:val="auto"/>
                <w:sz w:val="21"/>
                <w:szCs w:val="21"/>
                <w:highlight w:val="none"/>
                <w:u w:val="none"/>
              </w:rPr>
            </w:pPr>
          </w:p>
        </w:tc>
      </w:tr>
      <w:tr w14:paraId="1EE2E8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43793BD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9</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720849E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限位开关</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67B04AF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38603698">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2D29B373">
            <w:pPr>
              <w:rPr>
                <w:rFonts w:hint="eastAsia" w:ascii="宋体" w:hAnsi="宋体" w:eastAsia="宋体" w:cs="宋体"/>
                <w:i w:val="0"/>
                <w:iCs w:val="0"/>
                <w:color w:val="auto"/>
                <w:sz w:val="21"/>
                <w:szCs w:val="21"/>
                <w:highlight w:val="none"/>
                <w:u w:val="none"/>
              </w:rPr>
            </w:pPr>
          </w:p>
        </w:tc>
      </w:tr>
      <w:tr w14:paraId="6B76C0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52A602D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102C230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UK开关</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4869B06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769E1997">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05C2B30A">
            <w:pPr>
              <w:rPr>
                <w:rFonts w:hint="eastAsia" w:ascii="宋体" w:hAnsi="宋体" w:eastAsia="宋体" w:cs="宋体"/>
                <w:i w:val="0"/>
                <w:iCs w:val="0"/>
                <w:color w:val="auto"/>
                <w:sz w:val="21"/>
                <w:szCs w:val="21"/>
                <w:highlight w:val="none"/>
                <w:u w:val="none"/>
              </w:rPr>
            </w:pPr>
          </w:p>
        </w:tc>
      </w:tr>
      <w:tr w14:paraId="28613C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56DCB06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11</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4115304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应急照明</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1BA6F7B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19000007">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13C6644C">
            <w:pPr>
              <w:rPr>
                <w:rFonts w:hint="eastAsia" w:ascii="宋体" w:hAnsi="宋体" w:eastAsia="宋体" w:cs="宋体"/>
                <w:i w:val="0"/>
                <w:iCs w:val="0"/>
                <w:color w:val="auto"/>
                <w:sz w:val="21"/>
                <w:szCs w:val="21"/>
                <w:highlight w:val="none"/>
                <w:u w:val="none"/>
              </w:rPr>
            </w:pPr>
          </w:p>
        </w:tc>
      </w:tr>
      <w:tr w14:paraId="789F4F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206FF7A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71E33D7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门机皮带</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332D9C9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条</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2E557421">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101644BB">
            <w:pPr>
              <w:rPr>
                <w:rFonts w:hint="eastAsia" w:ascii="宋体" w:hAnsi="宋体" w:eastAsia="宋体" w:cs="宋体"/>
                <w:i w:val="0"/>
                <w:iCs w:val="0"/>
                <w:color w:val="auto"/>
                <w:sz w:val="21"/>
                <w:szCs w:val="21"/>
                <w:highlight w:val="none"/>
                <w:u w:val="none"/>
              </w:rPr>
            </w:pPr>
          </w:p>
        </w:tc>
      </w:tr>
      <w:tr w14:paraId="02E492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4B0830D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13</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5783576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按钮</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3AD2AEF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2C0E2405">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7E86609F">
            <w:pPr>
              <w:rPr>
                <w:rFonts w:hint="eastAsia" w:ascii="宋体" w:hAnsi="宋体" w:eastAsia="宋体" w:cs="宋体"/>
                <w:i w:val="0"/>
                <w:iCs w:val="0"/>
                <w:color w:val="auto"/>
                <w:sz w:val="21"/>
                <w:szCs w:val="21"/>
                <w:highlight w:val="none"/>
                <w:u w:val="none"/>
              </w:rPr>
            </w:pPr>
          </w:p>
        </w:tc>
      </w:tr>
      <w:tr w14:paraId="7350D4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7016283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14</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3199F0D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轿厢靴寸</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7470E86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块</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47263BC2">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0BA88414">
            <w:pPr>
              <w:rPr>
                <w:rFonts w:hint="eastAsia" w:ascii="宋体" w:hAnsi="宋体" w:eastAsia="宋体" w:cs="宋体"/>
                <w:i w:val="0"/>
                <w:iCs w:val="0"/>
                <w:color w:val="auto"/>
                <w:sz w:val="21"/>
                <w:szCs w:val="21"/>
                <w:highlight w:val="none"/>
                <w:u w:val="none"/>
              </w:rPr>
            </w:pPr>
          </w:p>
        </w:tc>
      </w:tr>
      <w:tr w14:paraId="660852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49373F2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15</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4666FD6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急停开关</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5147F17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24D4A7CD">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4C2441E2">
            <w:pPr>
              <w:rPr>
                <w:rFonts w:hint="eastAsia" w:ascii="宋体" w:hAnsi="宋体" w:eastAsia="宋体" w:cs="宋体"/>
                <w:i w:val="0"/>
                <w:iCs w:val="0"/>
                <w:color w:val="auto"/>
                <w:sz w:val="21"/>
                <w:szCs w:val="21"/>
                <w:highlight w:val="none"/>
                <w:u w:val="none"/>
              </w:rPr>
            </w:pPr>
          </w:p>
        </w:tc>
      </w:tr>
      <w:tr w14:paraId="429BD7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59ACF00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16</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2921678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遥控站</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447380E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528F2A81">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3580C781">
            <w:pPr>
              <w:rPr>
                <w:rFonts w:hint="eastAsia" w:ascii="宋体" w:hAnsi="宋体" w:eastAsia="宋体" w:cs="宋体"/>
                <w:i w:val="0"/>
                <w:iCs w:val="0"/>
                <w:color w:val="auto"/>
                <w:sz w:val="21"/>
                <w:szCs w:val="21"/>
                <w:highlight w:val="none"/>
                <w:u w:val="none"/>
              </w:rPr>
            </w:pPr>
          </w:p>
        </w:tc>
      </w:tr>
      <w:tr w14:paraId="0E25DF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223C594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17</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4BE563A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厅门，轿门滑块</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2573F5C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块</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78061D70">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608C881E">
            <w:pPr>
              <w:rPr>
                <w:rFonts w:hint="eastAsia" w:ascii="宋体" w:hAnsi="宋体" w:eastAsia="宋体" w:cs="宋体"/>
                <w:i w:val="0"/>
                <w:iCs w:val="0"/>
                <w:color w:val="auto"/>
                <w:sz w:val="21"/>
                <w:szCs w:val="21"/>
                <w:highlight w:val="none"/>
                <w:u w:val="none"/>
              </w:rPr>
            </w:pPr>
          </w:p>
        </w:tc>
      </w:tr>
      <w:tr w14:paraId="240AA9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6C2DCFC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18</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623CC12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接触器</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6B72029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5557EECB">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4077053C">
            <w:pPr>
              <w:rPr>
                <w:rFonts w:hint="eastAsia" w:ascii="宋体" w:hAnsi="宋体" w:eastAsia="宋体" w:cs="宋体"/>
                <w:i w:val="0"/>
                <w:iCs w:val="0"/>
                <w:color w:val="auto"/>
                <w:sz w:val="21"/>
                <w:szCs w:val="21"/>
                <w:highlight w:val="none"/>
                <w:u w:val="none"/>
              </w:rPr>
            </w:pPr>
          </w:p>
        </w:tc>
      </w:tr>
      <w:tr w14:paraId="35F638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64869D2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19</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26998A4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抱闸同步开关</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5093E79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6BD78720">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65DDC1AA">
            <w:pPr>
              <w:rPr>
                <w:rFonts w:hint="eastAsia" w:ascii="宋体" w:hAnsi="宋体" w:eastAsia="宋体" w:cs="宋体"/>
                <w:i w:val="0"/>
                <w:iCs w:val="0"/>
                <w:color w:val="auto"/>
                <w:sz w:val="21"/>
                <w:szCs w:val="21"/>
                <w:highlight w:val="none"/>
                <w:u w:val="none"/>
              </w:rPr>
            </w:pPr>
          </w:p>
        </w:tc>
      </w:tr>
      <w:tr w14:paraId="4526BF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28170C7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66DC602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油杯</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5578FB6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4A8092C6">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4CE0B9F9">
            <w:pPr>
              <w:rPr>
                <w:rFonts w:hint="eastAsia" w:ascii="宋体" w:hAnsi="宋体" w:eastAsia="宋体" w:cs="宋体"/>
                <w:i w:val="0"/>
                <w:iCs w:val="0"/>
                <w:color w:val="auto"/>
                <w:sz w:val="21"/>
                <w:szCs w:val="21"/>
                <w:highlight w:val="none"/>
                <w:u w:val="none"/>
              </w:rPr>
            </w:pPr>
          </w:p>
        </w:tc>
      </w:tr>
      <w:tr w14:paraId="40C7EF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3C203BD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21</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73B161B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井道照明灯</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177A8FB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10A16EE8">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632C752A">
            <w:pPr>
              <w:rPr>
                <w:rFonts w:hint="eastAsia" w:ascii="宋体" w:hAnsi="宋体" w:eastAsia="宋体" w:cs="宋体"/>
                <w:i w:val="0"/>
                <w:iCs w:val="0"/>
                <w:color w:val="auto"/>
                <w:sz w:val="21"/>
                <w:szCs w:val="21"/>
                <w:highlight w:val="none"/>
                <w:u w:val="none"/>
              </w:rPr>
            </w:pPr>
          </w:p>
        </w:tc>
      </w:tr>
      <w:tr w14:paraId="401496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0D7E3F7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22</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10BD6B8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变频器维修</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7B7E5B6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台</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25C1ED60">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61FA9A09">
            <w:pPr>
              <w:jc w:val="center"/>
              <w:rPr>
                <w:rFonts w:hint="eastAsia" w:ascii="宋体" w:hAnsi="宋体" w:eastAsia="宋体" w:cs="宋体"/>
                <w:i w:val="0"/>
                <w:iCs w:val="0"/>
                <w:color w:val="auto"/>
                <w:sz w:val="21"/>
                <w:szCs w:val="21"/>
                <w:highlight w:val="none"/>
                <w:u w:val="none"/>
              </w:rPr>
            </w:pPr>
          </w:p>
        </w:tc>
      </w:tr>
      <w:tr w14:paraId="7D2736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1A0318C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23</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7797AC1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光幕</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5FD93DD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套</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5CF56521">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5EC4C009">
            <w:pPr>
              <w:jc w:val="center"/>
              <w:rPr>
                <w:rFonts w:hint="eastAsia" w:ascii="宋体" w:hAnsi="宋体" w:eastAsia="宋体" w:cs="宋体"/>
                <w:i w:val="0"/>
                <w:iCs w:val="0"/>
                <w:color w:val="auto"/>
                <w:sz w:val="21"/>
                <w:szCs w:val="21"/>
                <w:highlight w:val="none"/>
                <w:u w:val="none"/>
              </w:rPr>
            </w:pPr>
          </w:p>
        </w:tc>
      </w:tr>
      <w:tr w14:paraId="408BC7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027D196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24</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64223D6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返绳轮</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63D0951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277DAE87">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25699659">
            <w:pPr>
              <w:jc w:val="center"/>
              <w:rPr>
                <w:rFonts w:hint="eastAsia" w:ascii="宋体" w:hAnsi="宋体" w:eastAsia="宋体" w:cs="宋体"/>
                <w:i w:val="0"/>
                <w:iCs w:val="0"/>
                <w:color w:val="auto"/>
                <w:sz w:val="21"/>
                <w:szCs w:val="21"/>
                <w:highlight w:val="none"/>
                <w:u w:val="none"/>
              </w:rPr>
            </w:pPr>
          </w:p>
        </w:tc>
      </w:tr>
      <w:tr w14:paraId="3EB179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7F25272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25</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0C491D6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轿厢通讯板</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4DCB3ED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块</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51795540">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62E96779">
            <w:pPr>
              <w:jc w:val="center"/>
              <w:rPr>
                <w:rFonts w:hint="eastAsia" w:ascii="宋体" w:hAnsi="宋体" w:eastAsia="宋体" w:cs="宋体"/>
                <w:i w:val="0"/>
                <w:iCs w:val="0"/>
                <w:color w:val="auto"/>
                <w:sz w:val="21"/>
                <w:szCs w:val="21"/>
                <w:highlight w:val="none"/>
                <w:u w:val="none"/>
              </w:rPr>
            </w:pPr>
          </w:p>
        </w:tc>
      </w:tr>
      <w:tr w14:paraId="125277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769AE9B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26</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7349631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轿厢内呼指令板</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51C9F87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块</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010A3781">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06E3EF22">
            <w:pPr>
              <w:jc w:val="center"/>
              <w:rPr>
                <w:rFonts w:hint="eastAsia" w:ascii="宋体" w:hAnsi="宋体" w:eastAsia="宋体" w:cs="宋体"/>
                <w:i w:val="0"/>
                <w:iCs w:val="0"/>
                <w:color w:val="auto"/>
                <w:sz w:val="21"/>
                <w:szCs w:val="21"/>
                <w:highlight w:val="none"/>
                <w:u w:val="none"/>
              </w:rPr>
            </w:pPr>
          </w:p>
        </w:tc>
      </w:tr>
      <w:tr w14:paraId="0058A9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6AF7436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27</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60F9C95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主机编码器</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47F3D40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2B20712A">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3612E7DF">
            <w:pPr>
              <w:jc w:val="center"/>
              <w:rPr>
                <w:rFonts w:hint="eastAsia" w:ascii="宋体" w:hAnsi="宋体" w:eastAsia="宋体" w:cs="宋体"/>
                <w:i w:val="0"/>
                <w:iCs w:val="0"/>
                <w:color w:val="auto"/>
                <w:sz w:val="21"/>
                <w:szCs w:val="21"/>
                <w:highlight w:val="none"/>
                <w:u w:val="none"/>
              </w:rPr>
            </w:pPr>
          </w:p>
        </w:tc>
      </w:tr>
      <w:tr w14:paraId="6DD06B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3C3FA17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28</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5E9489E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液晶外呼板</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28D286C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块</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2692A5A1">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69E256A9">
            <w:pPr>
              <w:jc w:val="center"/>
              <w:rPr>
                <w:rFonts w:hint="eastAsia" w:ascii="宋体" w:hAnsi="宋体" w:eastAsia="宋体" w:cs="宋体"/>
                <w:i w:val="0"/>
                <w:iCs w:val="0"/>
                <w:color w:val="auto"/>
                <w:sz w:val="21"/>
                <w:szCs w:val="21"/>
                <w:highlight w:val="none"/>
                <w:u w:val="none"/>
              </w:rPr>
            </w:pPr>
          </w:p>
        </w:tc>
      </w:tr>
      <w:tr w14:paraId="1B9BA7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29D6BF5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29</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09A3BFF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聚氨酯缓冲器（大）</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0D9095B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13AF285B">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5C71D419">
            <w:pPr>
              <w:jc w:val="center"/>
              <w:rPr>
                <w:rFonts w:hint="eastAsia" w:ascii="宋体" w:hAnsi="宋体" w:eastAsia="宋体" w:cs="宋体"/>
                <w:i w:val="0"/>
                <w:iCs w:val="0"/>
                <w:color w:val="auto"/>
                <w:sz w:val="21"/>
                <w:szCs w:val="21"/>
                <w:highlight w:val="none"/>
                <w:u w:val="none"/>
              </w:rPr>
            </w:pPr>
          </w:p>
        </w:tc>
      </w:tr>
      <w:tr w14:paraId="78E989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6A4E9C4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31EB49E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聚氨酯缓冲器（小）</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1E70F93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07C90C55">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3EE92B56">
            <w:pPr>
              <w:jc w:val="center"/>
              <w:rPr>
                <w:rFonts w:hint="eastAsia" w:ascii="宋体" w:hAnsi="宋体" w:eastAsia="宋体" w:cs="宋体"/>
                <w:i w:val="0"/>
                <w:iCs w:val="0"/>
                <w:color w:val="auto"/>
                <w:sz w:val="21"/>
                <w:szCs w:val="21"/>
                <w:highlight w:val="none"/>
                <w:u w:val="none"/>
              </w:rPr>
            </w:pPr>
          </w:p>
        </w:tc>
      </w:tr>
      <w:tr w14:paraId="3A554C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54A8A32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31</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5F5A05E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补偿链导向装置</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35D1184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套</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6618D476">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2410324D">
            <w:pPr>
              <w:jc w:val="center"/>
              <w:rPr>
                <w:rFonts w:hint="eastAsia" w:ascii="宋体" w:hAnsi="宋体" w:eastAsia="宋体" w:cs="宋体"/>
                <w:i w:val="0"/>
                <w:iCs w:val="0"/>
                <w:color w:val="auto"/>
                <w:sz w:val="21"/>
                <w:szCs w:val="21"/>
                <w:highlight w:val="none"/>
                <w:u w:val="none"/>
              </w:rPr>
            </w:pPr>
          </w:p>
        </w:tc>
      </w:tr>
      <w:tr w14:paraId="3DE689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02C64D7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32</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0CA4454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轿厢显示板</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1F337BB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块</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4780DB52">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1846AC51">
            <w:pPr>
              <w:jc w:val="center"/>
              <w:rPr>
                <w:rFonts w:hint="eastAsia" w:ascii="宋体" w:hAnsi="宋体" w:eastAsia="宋体" w:cs="宋体"/>
                <w:i w:val="0"/>
                <w:iCs w:val="0"/>
                <w:color w:val="auto"/>
                <w:sz w:val="21"/>
                <w:szCs w:val="21"/>
                <w:highlight w:val="none"/>
                <w:u w:val="none"/>
              </w:rPr>
            </w:pPr>
          </w:p>
        </w:tc>
      </w:tr>
      <w:tr w14:paraId="47EAB1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30B1B46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33</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4A53DCF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无线对讲系统</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712AE81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套</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4ACBEA30">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5CAE7989">
            <w:pPr>
              <w:jc w:val="center"/>
              <w:rPr>
                <w:rFonts w:hint="eastAsia" w:ascii="宋体" w:hAnsi="宋体" w:eastAsia="宋体" w:cs="宋体"/>
                <w:i w:val="0"/>
                <w:iCs w:val="0"/>
                <w:color w:val="auto"/>
                <w:sz w:val="21"/>
                <w:szCs w:val="21"/>
                <w:highlight w:val="none"/>
                <w:u w:val="none"/>
              </w:rPr>
            </w:pPr>
          </w:p>
        </w:tc>
      </w:tr>
      <w:tr w14:paraId="02D208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4188D52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34</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0C3B4E6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裁短钢丝绳</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202C7DD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台</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64194130">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1DD18602">
            <w:pPr>
              <w:jc w:val="center"/>
              <w:rPr>
                <w:rFonts w:hint="eastAsia" w:ascii="宋体" w:hAnsi="宋体" w:eastAsia="宋体" w:cs="宋体"/>
                <w:i w:val="0"/>
                <w:iCs w:val="0"/>
                <w:color w:val="auto"/>
                <w:sz w:val="21"/>
                <w:szCs w:val="21"/>
                <w:highlight w:val="none"/>
                <w:u w:val="none"/>
              </w:rPr>
            </w:pPr>
          </w:p>
        </w:tc>
      </w:tr>
      <w:tr w14:paraId="1E6348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6DD7797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35</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352ABAE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10厘钢丝绳</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189448E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米</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118C098F">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00FE9F79">
            <w:pPr>
              <w:jc w:val="center"/>
              <w:rPr>
                <w:rFonts w:hint="eastAsia" w:ascii="宋体" w:hAnsi="宋体" w:eastAsia="宋体" w:cs="宋体"/>
                <w:i w:val="0"/>
                <w:iCs w:val="0"/>
                <w:color w:val="auto"/>
                <w:sz w:val="21"/>
                <w:szCs w:val="21"/>
                <w:highlight w:val="none"/>
                <w:u w:val="none"/>
              </w:rPr>
            </w:pPr>
          </w:p>
        </w:tc>
      </w:tr>
      <w:tr w14:paraId="34F4F8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55DADA4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36</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1FA3212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8厘钢丝绳</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6C51A19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米</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115C78AB">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17B84E24">
            <w:pPr>
              <w:jc w:val="center"/>
              <w:rPr>
                <w:rFonts w:hint="eastAsia" w:ascii="宋体" w:hAnsi="宋体" w:eastAsia="宋体" w:cs="宋体"/>
                <w:i w:val="0"/>
                <w:iCs w:val="0"/>
                <w:color w:val="auto"/>
                <w:sz w:val="21"/>
                <w:szCs w:val="21"/>
                <w:highlight w:val="none"/>
                <w:u w:val="none"/>
              </w:rPr>
            </w:pPr>
          </w:p>
        </w:tc>
      </w:tr>
      <w:tr w14:paraId="635C8E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7DE9100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37</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04C7D2E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门机编码器</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2BA04AB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块</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6E98DD5D">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7DC2958E">
            <w:pPr>
              <w:jc w:val="center"/>
              <w:rPr>
                <w:rFonts w:hint="eastAsia" w:ascii="宋体" w:hAnsi="宋体" w:eastAsia="宋体" w:cs="宋体"/>
                <w:i w:val="0"/>
                <w:iCs w:val="0"/>
                <w:color w:val="auto"/>
                <w:sz w:val="21"/>
                <w:szCs w:val="21"/>
                <w:highlight w:val="none"/>
                <w:u w:val="none"/>
              </w:rPr>
            </w:pPr>
          </w:p>
        </w:tc>
      </w:tr>
      <w:tr w14:paraId="67FC15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514529C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38</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58751B8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门机变频器</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04B066D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套</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5D8E07F1">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518DE85F">
            <w:pPr>
              <w:jc w:val="center"/>
              <w:rPr>
                <w:rFonts w:hint="eastAsia" w:ascii="宋体" w:hAnsi="宋体" w:eastAsia="宋体" w:cs="宋体"/>
                <w:i w:val="0"/>
                <w:iCs w:val="0"/>
                <w:color w:val="auto"/>
                <w:sz w:val="21"/>
                <w:szCs w:val="21"/>
                <w:highlight w:val="none"/>
                <w:u w:val="none"/>
              </w:rPr>
            </w:pPr>
          </w:p>
        </w:tc>
      </w:tr>
      <w:tr w14:paraId="69A756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59D6661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39</w:t>
            </w:r>
          </w:p>
        </w:tc>
        <w:tc>
          <w:tcPr>
            <w:tcW w:w="2206" w:type="pct"/>
            <w:tcBorders>
              <w:top w:val="single" w:color="000000" w:sz="4" w:space="0"/>
              <w:left w:val="single" w:color="000000" w:sz="4" w:space="0"/>
              <w:bottom w:val="single" w:color="000000" w:sz="4" w:space="0"/>
              <w:right w:val="single" w:color="000000" w:sz="4" w:space="0"/>
            </w:tcBorders>
            <w:noWrap w:val="0"/>
            <w:vAlign w:val="center"/>
          </w:tcPr>
          <w:p w14:paraId="4685E3B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控制柜接触器                    （主接触器、抱闸接触器）</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6A06DE9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件</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1F5D1359">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0825F057">
            <w:pPr>
              <w:jc w:val="center"/>
              <w:rPr>
                <w:rFonts w:hint="eastAsia" w:ascii="宋体" w:hAnsi="宋体" w:eastAsia="宋体" w:cs="宋体"/>
                <w:i w:val="0"/>
                <w:iCs w:val="0"/>
                <w:color w:val="auto"/>
                <w:sz w:val="21"/>
                <w:szCs w:val="21"/>
                <w:highlight w:val="none"/>
                <w:u w:val="none"/>
              </w:rPr>
            </w:pPr>
          </w:p>
        </w:tc>
      </w:tr>
      <w:tr w14:paraId="418490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1999B04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40</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259D883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涨紧轮装置</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321B6E4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套</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59EC9219">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1FA0BCA7">
            <w:pPr>
              <w:jc w:val="center"/>
              <w:rPr>
                <w:rFonts w:hint="eastAsia" w:ascii="宋体" w:hAnsi="宋体" w:eastAsia="宋体" w:cs="宋体"/>
                <w:i w:val="0"/>
                <w:iCs w:val="0"/>
                <w:color w:val="auto"/>
                <w:sz w:val="21"/>
                <w:szCs w:val="21"/>
                <w:highlight w:val="none"/>
                <w:u w:val="none"/>
              </w:rPr>
            </w:pPr>
          </w:p>
        </w:tc>
      </w:tr>
      <w:tr w14:paraId="052C5F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5685ACA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41</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53FD7A4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层门，轿门挂板</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5DD24AA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块</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1E42D69F">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7F00DD88">
            <w:pPr>
              <w:jc w:val="center"/>
              <w:rPr>
                <w:rFonts w:hint="eastAsia" w:ascii="宋体" w:hAnsi="宋体" w:eastAsia="宋体" w:cs="宋体"/>
                <w:i w:val="0"/>
                <w:iCs w:val="0"/>
                <w:color w:val="auto"/>
                <w:sz w:val="21"/>
                <w:szCs w:val="21"/>
                <w:highlight w:val="none"/>
                <w:u w:val="none"/>
              </w:rPr>
            </w:pPr>
          </w:p>
        </w:tc>
      </w:tr>
      <w:tr w14:paraId="7A9CB1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6AC14A3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42</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242F40C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抱闸制动器</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6F4B531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套</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1C2B5151">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7F4741AE">
            <w:pPr>
              <w:jc w:val="center"/>
              <w:rPr>
                <w:rFonts w:hint="eastAsia" w:ascii="宋体" w:hAnsi="宋体" w:eastAsia="宋体" w:cs="宋体"/>
                <w:i w:val="0"/>
                <w:iCs w:val="0"/>
                <w:color w:val="auto"/>
                <w:sz w:val="21"/>
                <w:szCs w:val="21"/>
                <w:highlight w:val="none"/>
                <w:u w:val="none"/>
              </w:rPr>
            </w:pPr>
          </w:p>
        </w:tc>
      </w:tr>
      <w:tr w14:paraId="27F58B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33BDF3B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43</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4FB20A8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轿顶检修盒</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6C1A6FB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套</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1B5BB0DD">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285B5284">
            <w:pPr>
              <w:jc w:val="center"/>
              <w:rPr>
                <w:rFonts w:hint="eastAsia" w:ascii="宋体" w:hAnsi="宋体" w:eastAsia="宋体" w:cs="宋体"/>
                <w:i w:val="0"/>
                <w:iCs w:val="0"/>
                <w:color w:val="auto"/>
                <w:sz w:val="21"/>
                <w:szCs w:val="21"/>
                <w:highlight w:val="none"/>
                <w:u w:val="none"/>
              </w:rPr>
            </w:pPr>
          </w:p>
        </w:tc>
      </w:tr>
      <w:tr w14:paraId="267442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74C321A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44</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2AFD445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底坑检修盒</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3C4039F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套</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5D10C1FF">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459115D8">
            <w:pPr>
              <w:jc w:val="center"/>
              <w:rPr>
                <w:rFonts w:hint="eastAsia" w:ascii="宋体" w:hAnsi="宋体" w:eastAsia="宋体" w:cs="宋体"/>
                <w:i w:val="0"/>
                <w:iCs w:val="0"/>
                <w:color w:val="auto"/>
                <w:sz w:val="21"/>
                <w:szCs w:val="21"/>
                <w:highlight w:val="none"/>
                <w:u w:val="none"/>
              </w:rPr>
            </w:pPr>
          </w:p>
        </w:tc>
      </w:tr>
      <w:tr w14:paraId="3EDD9D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7501446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45</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6C203A9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平层感应器</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083FDD9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276F3372">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04F5CBCC">
            <w:pPr>
              <w:jc w:val="center"/>
              <w:rPr>
                <w:rFonts w:hint="eastAsia" w:ascii="宋体" w:hAnsi="宋体" w:eastAsia="宋体" w:cs="宋体"/>
                <w:i w:val="0"/>
                <w:iCs w:val="0"/>
                <w:color w:val="auto"/>
                <w:sz w:val="21"/>
                <w:szCs w:val="21"/>
                <w:highlight w:val="none"/>
                <w:u w:val="none"/>
              </w:rPr>
            </w:pPr>
          </w:p>
        </w:tc>
      </w:tr>
      <w:tr w14:paraId="63AEC8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69CB8F6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46</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322FF3B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对重块</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1972A88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块</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69950613">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081C6824">
            <w:pPr>
              <w:jc w:val="center"/>
              <w:rPr>
                <w:rFonts w:hint="eastAsia" w:ascii="宋体" w:hAnsi="宋体" w:eastAsia="宋体" w:cs="宋体"/>
                <w:i w:val="0"/>
                <w:iCs w:val="0"/>
                <w:color w:val="auto"/>
                <w:sz w:val="21"/>
                <w:szCs w:val="21"/>
                <w:highlight w:val="none"/>
                <w:u w:val="none"/>
              </w:rPr>
            </w:pPr>
          </w:p>
        </w:tc>
      </w:tr>
      <w:tr w14:paraId="3F9B86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694A677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47</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0D546E6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对重导靴</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5311AFD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块</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534439B6">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49D70036">
            <w:pPr>
              <w:jc w:val="center"/>
              <w:rPr>
                <w:rFonts w:hint="eastAsia" w:ascii="宋体" w:hAnsi="宋体" w:eastAsia="宋体" w:cs="宋体"/>
                <w:i w:val="0"/>
                <w:iCs w:val="0"/>
                <w:color w:val="auto"/>
                <w:sz w:val="21"/>
                <w:szCs w:val="21"/>
                <w:highlight w:val="none"/>
                <w:u w:val="none"/>
              </w:rPr>
            </w:pPr>
          </w:p>
        </w:tc>
      </w:tr>
      <w:tr w14:paraId="2DC425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75CEDCF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48</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5A04DDD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层门自闭弹簧</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7F21F85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条</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284E5C8A">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17E0856C">
            <w:pPr>
              <w:rPr>
                <w:rFonts w:hint="eastAsia" w:ascii="宋体" w:hAnsi="宋体" w:eastAsia="宋体" w:cs="宋体"/>
                <w:i w:val="0"/>
                <w:iCs w:val="0"/>
                <w:color w:val="auto"/>
                <w:sz w:val="21"/>
                <w:szCs w:val="21"/>
                <w:highlight w:val="none"/>
                <w:u w:val="none"/>
              </w:rPr>
            </w:pPr>
          </w:p>
        </w:tc>
      </w:tr>
    </w:tbl>
    <w:p w14:paraId="5EC57AD0">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color w:val="auto"/>
          <w:szCs w:val="21"/>
          <w:highlight w:val="none"/>
          <w:lang w:val="en-US" w:eastAsia="zh-CN"/>
        </w:rPr>
      </w:pPr>
    </w:p>
    <w:p w14:paraId="4AB84124">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ascii="宋体" w:hAnsi="宋体"/>
          <w:color w:val="auto"/>
          <w:szCs w:val="21"/>
          <w:highlight w:val="none"/>
        </w:rPr>
      </w:pPr>
      <w:r>
        <w:rPr>
          <w:rFonts w:hint="eastAsia" w:ascii="宋体" w:hAnsi="宋体"/>
          <w:color w:val="auto"/>
          <w:szCs w:val="21"/>
          <w:highlight w:val="none"/>
          <w:lang w:val="en-US" w:eastAsia="zh-CN"/>
        </w:rPr>
        <w:t>响应人</w:t>
      </w:r>
      <w:r>
        <w:rPr>
          <w:rFonts w:hint="eastAsia" w:ascii="宋体" w:hAnsi="宋体"/>
          <w:color w:val="auto"/>
          <w:szCs w:val="21"/>
          <w:highlight w:val="none"/>
        </w:rPr>
        <w:t>代表签字：</w:t>
      </w:r>
    </w:p>
    <w:p w14:paraId="76234399">
      <w:pPr>
        <w:keepNext w:val="0"/>
        <w:keepLines w:val="0"/>
        <w:pageBreakBefore w:val="0"/>
        <w:widowControl w:val="0"/>
        <w:kinsoku/>
        <w:wordWrap/>
        <w:overflowPunct/>
        <w:topLinePunct w:val="0"/>
        <w:autoSpaceDE/>
        <w:autoSpaceDN/>
        <w:bidi w:val="0"/>
        <w:adjustRightInd/>
        <w:snapToGrid/>
        <w:spacing w:line="400" w:lineRule="exact"/>
        <w:ind w:firstLine="359" w:firstLineChars="171"/>
        <w:textAlignment w:val="auto"/>
        <w:rPr>
          <w:rFonts w:ascii="宋体" w:hAnsi="宋体"/>
          <w:color w:val="auto"/>
          <w:szCs w:val="21"/>
          <w:highlight w:val="none"/>
        </w:rPr>
      </w:pPr>
      <w:r>
        <w:rPr>
          <w:rFonts w:hint="eastAsia" w:ascii="宋体" w:hAnsi="宋体"/>
          <w:color w:val="auto"/>
          <w:szCs w:val="21"/>
          <w:highlight w:val="none"/>
          <w:lang w:val="en-US" w:eastAsia="zh-CN"/>
        </w:rPr>
        <w:t>响应人</w:t>
      </w:r>
      <w:r>
        <w:rPr>
          <w:rFonts w:hint="eastAsia" w:ascii="宋体" w:hAnsi="宋体"/>
          <w:color w:val="auto"/>
          <w:szCs w:val="21"/>
          <w:highlight w:val="none"/>
        </w:rPr>
        <w:t>盖章：</w:t>
      </w:r>
    </w:p>
    <w:p w14:paraId="7D1602B1">
      <w:pPr>
        <w:keepNext w:val="0"/>
        <w:keepLines w:val="0"/>
        <w:pageBreakBefore w:val="0"/>
        <w:widowControl w:val="0"/>
        <w:kinsoku/>
        <w:wordWrap/>
        <w:overflowPunct/>
        <w:topLinePunct w:val="0"/>
        <w:autoSpaceDE/>
        <w:autoSpaceDN/>
        <w:bidi w:val="0"/>
        <w:adjustRightInd/>
        <w:snapToGrid/>
        <w:spacing w:line="400" w:lineRule="exact"/>
        <w:ind w:firstLine="359" w:firstLineChars="171"/>
        <w:textAlignment w:val="auto"/>
        <w:rPr>
          <w:rFonts w:ascii="宋体" w:hAnsi="宋体"/>
          <w:color w:val="auto"/>
          <w:szCs w:val="21"/>
          <w:highlight w:val="none"/>
        </w:rPr>
      </w:pPr>
      <w:r>
        <w:rPr>
          <w:rFonts w:hint="eastAsia" w:ascii="宋体" w:hAnsi="宋体"/>
          <w:color w:val="auto"/>
          <w:szCs w:val="21"/>
          <w:highlight w:val="none"/>
        </w:rPr>
        <w:t>日期：</w:t>
      </w:r>
    </w:p>
    <w:p w14:paraId="7C6F6CF3">
      <w:pPr>
        <w:widowControl/>
        <w:jc w:val="left"/>
        <w:rPr>
          <w:color w:val="auto"/>
          <w:highlight w:val="none"/>
        </w:rPr>
      </w:pPr>
      <w:r>
        <w:rPr>
          <w:color w:val="auto"/>
          <w:highlight w:val="none"/>
        </w:rPr>
        <w:br w:type="page"/>
      </w:r>
    </w:p>
    <w:p w14:paraId="72C2B209">
      <w:pPr>
        <w:pStyle w:val="2"/>
        <w:jc w:val="left"/>
        <w:rPr>
          <w:color w:val="auto"/>
          <w:highlight w:val="none"/>
        </w:rPr>
      </w:pPr>
      <w:bookmarkStart w:id="228" w:name="_Toc21622"/>
      <w:r>
        <w:rPr>
          <w:rFonts w:hint="eastAsia"/>
          <w:color w:val="auto"/>
          <w:highlight w:val="none"/>
        </w:rPr>
        <w:t>第三部分</w:t>
      </w:r>
      <w:r>
        <w:rPr>
          <w:color w:val="auto"/>
          <w:highlight w:val="none"/>
        </w:rPr>
        <w:t xml:space="preserve">  </w:t>
      </w:r>
      <w:r>
        <w:rPr>
          <w:rFonts w:hint="eastAsia"/>
          <w:color w:val="auto"/>
          <w:highlight w:val="none"/>
        </w:rPr>
        <w:t>唱标信封（单独密封）</w:t>
      </w:r>
      <w:bookmarkEnd w:id="228"/>
    </w:p>
    <w:p w14:paraId="3EFA2229">
      <w:pPr>
        <w:spacing w:line="360" w:lineRule="auto"/>
        <w:ind w:left="796" w:leftChars="178" w:hanging="422" w:hangingChars="201"/>
        <w:rPr>
          <w:rFonts w:hAnsi="宋体"/>
          <w:color w:val="auto"/>
          <w:szCs w:val="21"/>
          <w:highlight w:val="none"/>
        </w:rPr>
      </w:pPr>
    </w:p>
    <w:p w14:paraId="45FAE030">
      <w:pPr>
        <w:spacing w:line="360" w:lineRule="auto"/>
        <w:ind w:left="796" w:leftChars="178" w:hanging="422" w:hangingChars="201"/>
        <w:rPr>
          <w:rFonts w:hAnsi="宋体"/>
          <w:color w:val="auto"/>
          <w:szCs w:val="21"/>
          <w:highlight w:val="none"/>
        </w:rPr>
      </w:pPr>
      <w:r>
        <w:rPr>
          <w:rFonts w:hint="eastAsia" w:hAnsi="宋体"/>
          <w:color w:val="auto"/>
          <w:szCs w:val="21"/>
          <w:highlight w:val="none"/>
        </w:rPr>
        <w:t>唱标信封内装：</w:t>
      </w:r>
    </w:p>
    <w:p w14:paraId="35F63DD8">
      <w:pPr>
        <w:numPr>
          <w:ilvl w:val="0"/>
          <w:numId w:val="4"/>
        </w:numPr>
        <w:autoSpaceDE w:val="0"/>
        <w:autoSpaceDN w:val="0"/>
        <w:adjustRightInd w:val="0"/>
        <w:spacing w:line="360" w:lineRule="auto"/>
        <w:ind w:firstLineChars="200"/>
        <w:jc w:val="left"/>
        <w:rPr>
          <w:rFonts w:hAnsi="宋体"/>
          <w:color w:val="auto"/>
          <w:szCs w:val="21"/>
          <w:highlight w:val="none"/>
        </w:rPr>
      </w:pPr>
      <w:r>
        <w:rPr>
          <w:rFonts w:hint="eastAsia" w:hAnsi="宋体"/>
          <w:color w:val="auto"/>
          <w:szCs w:val="21"/>
          <w:highlight w:val="none"/>
        </w:rPr>
        <w:t>竞争性谈判响应函复印件加盖公章；</w:t>
      </w:r>
    </w:p>
    <w:p w14:paraId="2135CC30">
      <w:pPr>
        <w:numPr>
          <w:ilvl w:val="0"/>
          <w:numId w:val="4"/>
        </w:numPr>
        <w:autoSpaceDE w:val="0"/>
        <w:autoSpaceDN w:val="0"/>
        <w:adjustRightInd w:val="0"/>
        <w:spacing w:line="360" w:lineRule="auto"/>
        <w:ind w:firstLineChars="200"/>
        <w:jc w:val="left"/>
        <w:rPr>
          <w:rFonts w:hAnsi="宋体"/>
          <w:color w:val="auto"/>
          <w:szCs w:val="21"/>
          <w:highlight w:val="none"/>
        </w:rPr>
      </w:pPr>
      <w:r>
        <w:rPr>
          <w:rFonts w:hint="eastAsia" w:hAnsi="宋体"/>
          <w:color w:val="auto"/>
          <w:szCs w:val="21"/>
          <w:highlight w:val="none"/>
        </w:rPr>
        <w:t>法定代表人证明书复印件加盖公章；</w:t>
      </w:r>
    </w:p>
    <w:p w14:paraId="7CA31D4A">
      <w:pPr>
        <w:numPr>
          <w:ilvl w:val="0"/>
          <w:numId w:val="4"/>
        </w:numPr>
        <w:autoSpaceDE w:val="0"/>
        <w:autoSpaceDN w:val="0"/>
        <w:adjustRightInd w:val="0"/>
        <w:spacing w:line="360" w:lineRule="auto"/>
        <w:ind w:firstLineChars="200"/>
        <w:jc w:val="left"/>
        <w:rPr>
          <w:rFonts w:hAnsi="宋体"/>
          <w:color w:val="auto"/>
          <w:szCs w:val="21"/>
          <w:highlight w:val="none"/>
        </w:rPr>
      </w:pPr>
      <w:r>
        <w:rPr>
          <w:rFonts w:hint="eastAsia" w:hAnsi="宋体"/>
          <w:color w:val="auto"/>
          <w:szCs w:val="21"/>
          <w:highlight w:val="none"/>
        </w:rPr>
        <w:t>法定代表人授权委托书复印件加盖公章（法定代表人投标的除外）；</w:t>
      </w:r>
    </w:p>
    <w:p w14:paraId="55D1F290">
      <w:pPr>
        <w:numPr>
          <w:ilvl w:val="0"/>
          <w:numId w:val="4"/>
        </w:numPr>
        <w:autoSpaceDE w:val="0"/>
        <w:autoSpaceDN w:val="0"/>
        <w:adjustRightInd w:val="0"/>
        <w:spacing w:line="360" w:lineRule="auto"/>
        <w:ind w:firstLineChars="200"/>
        <w:jc w:val="left"/>
        <w:rPr>
          <w:rFonts w:hAnsi="宋体"/>
          <w:color w:val="auto"/>
          <w:szCs w:val="21"/>
          <w:highlight w:val="none"/>
        </w:rPr>
      </w:pPr>
      <w:r>
        <w:rPr>
          <w:rFonts w:hint="eastAsia" w:hAnsi="宋体"/>
          <w:color w:val="auto"/>
          <w:szCs w:val="21"/>
          <w:highlight w:val="none"/>
        </w:rPr>
        <w:t>报价一览表复印件加盖公章；</w:t>
      </w:r>
    </w:p>
    <w:p w14:paraId="4DA6528C">
      <w:pPr>
        <w:numPr>
          <w:ilvl w:val="0"/>
          <w:numId w:val="4"/>
        </w:numPr>
        <w:autoSpaceDE w:val="0"/>
        <w:autoSpaceDN w:val="0"/>
        <w:adjustRightInd w:val="0"/>
        <w:spacing w:line="360" w:lineRule="auto"/>
        <w:ind w:firstLineChars="200"/>
        <w:jc w:val="left"/>
        <w:rPr>
          <w:rFonts w:hAnsi="宋体"/>
          <w:color w:val="auto"/>
          <w:szCs w:val="21"/>
          <w:highlight w:val="none"/>
        </w:rPr>
      </w:pPr>
      <w:r>
        <w:rPr>
          <w:rFonts w:hint="eastAsia" w:hAnsi="宋体"/>
          <w:color w:val="auto"/>
          <w:szCs w:val="21"/>
          <w:highlight w:val="none"/>
        </w:rPr>
        <w:t>谈判保证金银行汇款凭证复印件加盖公章；</w:t>
      </w:r>
    </w:p>
    <w:p w14:paraId="7F70B7B4">
      <w:pPr>
        <w:numPr>
          <w:ilvl w:val="0"/>
          <w:numId w:val="4"/>
        </w:numPr>
        <w:autoSpaceDE w:val="0"/>
        <w:autoSpaceDN w:val="0"/>
        <w:adjustRightInd w:val="0"/>
        <w:spacing w:line="360" w:lineRule="auto"/>
        <w:ind w:firstLineChars="200"/>
        <w:jc w:val="left"/>
        <w:rPr>
          <w:rFonts w:hAnsi="宋体"/>
          <w:color w:val="auto"/>
          <w:szCs w:val="21"/>
          <w:highlight w:val="none"/>
        </w:rPr>
      </w:pPr>
      <w:r>
        <w:rPr>
          <w:rFonts w:hint="eastAsia" w:hAnsi="宋体"/>
          <w:color w:val="auto"/>
          <w:szCs w:val="21"/>
          <w:highlight w:val="none"/>
        </w:rPr>
        <w:t>响应文件电子文件（U盘）；</w:t>
      </w:r>
    </w:p>
    <w:p w14:paraId="7B15EE40">
      <w:pPr>
        <w:tabs>
          <w:tab w:val="left" w:pos="720"/>
        </w:tabs>
        <w:spacing w:line="440" w:lineRule="exact"/>
        <w:rPr>
          <w:color w:val="auto"/>
          <w:highlight w:val="none"/>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5F" w:usb2="00000000" w:usb3="00000000" w:csb0="2000019F" w:csb1="00000000"/>
  </w:font>
  <w:font w:name="华文细黑">
    <w:panose1 w:val="02010600040101010101"/>
    <w:charset w:val="86"/>
    <w:family w:val="auto"/>
    <w:pitch w:val="default"/>
    <w:sig w:usb0="00000287" w:usb1="080F0000" w:usb2="00000000" w:usb3="00000000" w:csb0="0004009F" w:csb1="DFD7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华文隶书">
    <w:panose1 w:val="02010800040101010101"/>
    <w:charset w:val="86"/>
    <w:family w:val="auto"/>
    <w:pitch w:val="default"/>
    <w:sig w:usb0="00000001" w:usb1="080F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D91DFA">
    <w:pPr>
      <w:jc w:val="right"/>
    </w:pP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14935" cy="131445"/>
              <wp:effectExtent l="0" t="3175" r="635" b="0"/>
              <wp:wrapNone/>
              <wp:docPr id="4097" name="文本框 7"/>
              <wp:cNvGraphicFramePr/>
              <a:graphic xmlns:a="http://schemas.openxmlformats.org/drawingml/2006/main">
                <a:graphicData uri="http://schemas.microsoft.com/office/word/2010/wordprocessingShape">
                  <wps:wsp>
                    <wps:cNvSpPr/>
                    <wps:spPr>
                      <a:xfrm>
                        <a:off x="0" y="0"/>
                        <a:ext cx="114934" cy="131445"/>
                      </a:xfrm>
                      <a:prstGeom prst="rect">
                        <a:avLst/>
                      </a:prstGeom>
                      <a:ln>
                        <a:noFill/>
                      </a:ln>
                    </wps:spPr>
                    <wps:txbx>
                      <w:txbxContent>
                        <w:p w14:paraId="29EDB800">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28</w:t>
                          </w:r>
                          <w:r>
                            <w:rPr>
                              <w:rFonts w:hint="eastAsia"/>
                              <w:sz w:val="18"/>
                            </w:rPr>
                            <w:fldChar w:fldCharType="end"/>
                          </w:r>
                        </w:p>
                      </w:txbxContent>
                    </wps:txbx>
                    <wps:bodyPr vert="horz" wrap="none" lIns="0" tIns="0" rIns="0" bIns="0" anchor="t" upright="1">
                      <a:spAutoFit/>
                    </wps:bodyPr>
                  </wps:wsp>
                </a:graphicData>
              </a:graphic>
            </wp:anchor>
          </w:drawing>
        </mc:Choice>
        <mc:Fallback>
          <w:pict>
            <v:rect id="文本框 7" o:spid="_x0000_s1026" o:spt="1" style="position:absolute;left:0pt;margin-top:0pt;height:10.35pt;width:9.05pt;mso-position-horizontal:center;mso-position-horizontal-relative:margin;mso-wrap-style:none;z-index:251659264;mso-width-relative:page;mso-height-relative:page;" filled="f" stroked="f" coordsize="21600,21600" o:gfxdata="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DS/0sLQAAAAAwEAAA8AAAAAAAAAAQAgAAAAIgAA&#10;AGRycy9kb3ducmV2LnhtbFBLAQIUABQAAAAIAIdO4kA2b2b81wEAAJwDAAAOAAAAAAAAAAEAIAAA&#10;AB8BAABkcnMvZTJvRG9jLnhtbFBLBQYAAAAABgAGAFkBAABoBQAAAAA=&#10;">
              <v:fill on="f" focussize="0,0"/>
              <v:stroke on="f"/>
              <v:imagedata o:title=""/>
              <o:lock v:ext="edit" aspectratio="f"/>
              <v:textbox inset="0mm,0mm,0mm,0mm" style="mso-fit-shape-to-text:t;">
                <w:txbxContent>
                  <w:p w14:paraId="29EDB800">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28</w:t>
                    </w:r>
                    <w:r>
                      <w:rPr>
                        <w:rFonts w:hint="eastAsia"/>
                        <w:sz w:val="18"/>
                      </w:rPr>
                      <w:fldChar w:fldCharType="end"/>
                    </w:r>
                  </w:p>
                </w:txbxContent>
              </v:textbox>
            </v:rect>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multilevel"/>
    <w:tmpl w:val="00000000"/>
    <w:lvl w:ilvl="0" w:tentative="0">
      <w:start w:val="1"/>
      <w:numFmt w:val="decimal"/>
      <w:lvlText w:val="（%1）"/>
      <w:lvlJc w:val="left"/>
      <w:pPr>
        <w:ind w:left="156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00000002"/>
    <w:multiLevelType w:val="multilevel"/>
    <w:tmpl w:val="00000002"/>
    <w:lvl w:ilvl="0" w:tentative="0">
      <w:start w:val="1"/>
      <w:numFmt w:val="decimal"/>
      <w:lvlText w:val="%1"/>
      <w:lvlJc w:val="left"/>
      <w:pPr>
        <w:ind w:left="425" w:hanging="425"/>
      </w:pPr>
      <w:rPr>
        <w:rFonts w:hint="eastAsia"/>
      </w:rPr>
    </w:lvl>
    <w:lvl w:ilvl="1" w:tentative="0">
      <w:start w:val="1"/>
      <w:numFmt w:val="decimal"/>
      <w:lvlText w:val="2.%2"/>
      <w:lvlJc w:val="left"/>
      <w:pPr>
        <w:ind w:left="992" w:hanging="567"/>
      </w:pPr>
      <w:rPr>
        <w:rFonts w:hint="eastAsia"/>
        <w:b w:val="0"/>
      </w:rPr>
    </w:lvl>
    <w:lvl w:ilvl="2" w:tentative="0">
      <w:start w:val="1"/>
      <w:numFmt w:val="decimal"/>
      <w:lvlText w:val="%1.%2.%3"/>
      <w:lvlJc w:val="left"/>
      <w:pPr>
        <w:ind w:left="1418" w:hanging="567"/>
      </w:pPr>
    </w:lvl>
    <w:lvl w:ilvl="3" w:tentative="0">
      <w:start w:val="1"/>
      <w:numFmt w:val="decimal"/>
      <w:lvlText w:val="%1.%2.%3.%4"/>
      <w:lvlJc w:val="left"/>
      <w:pPr>
        <w:ind w:left="1984" w:hanging="708"/>
      </w:pPr>
    </w:lvl>
    <w:lvl w:ilvl="4" w:tentative="0">
      <w:start w:val="1"/>
      <w:numFmt w:val="decimal"/>
      <w:lvlText w:val="%1.%2.%3.%4.%5"/>
      <w:lvlJc w:val="left"/>
      <w:pPr>
        <w:ind w:left="2551" w:hanging="850"/>
      </w:pPr>
    </w:lvl>
    <w:lvl w:ilvl="5" w:tentative="0">
      <w:start w:val="1"/>
      <w:numFmt w:val="decimal"/>
      <w:lvlText w:val="%1.%2.%3.%4.%5.%6"/>
      <w:lvlJc w:val="left"/>
      <w:pPr>
        <w:ind w:left="3260" w:hanging="1134"/>
      </w:pPr>
    </w:lvl>
    <w:lvl w:ilvl="6" w:tentative="0">
      <w:start w:val="1"/>
      <w:numFmt w:val="decimal"/>
      <w:lvlText w:val="%1.%2.%3.%4.%5.%6.%7"/>
      <w:lvlJc w:val="left"/>
      <w:pPr>
        <w:ind w:left="3827" w:hanging="1276"/>
      </w:pPr>
    </w:lvl>
    <w:lvl w:ilvl="7" w:tentative="0">
      <w:start w:val="1"/>
      <w:numFmt w:val="decimal"/>
      <w:lvlText w:val="%1.%2.%3.%4.%5.%6.%7.%8"/>
      <w:lvlJc w:val="left"/>
      <w:pPr>
        <w:ind w:left="4394" w:hanging="1418"/>
      </w:pPr>
    </w:lvl>
    <w:lvl w:ilvl="8" w:tentative="0">
      <w:start w:val="1"/>
      <w:numFmt w:val="decimal"/>
      <w:lvlText w:val="%1.%2.%3.%4.%5.%6.%7.%8.%9"/>
      <w:lvlJc w:val="left"/>
      <w:pPr>
        <w:ind w:left="5102" w:hanging="1700"/>
      </w:pPr>
    </w:lvl>
  </w:abstractNum>
  <w:abstractNum w:abstractNumId="2">
    <w:nsid w:val="00000003"/>
    <w:multiLevelType w:val="multilevel"/>
    <w:tmpl w:val="00000003"/>
    <w:lvl w:ilvl="0" w:tentative="0">
      <w:start w:val="1"/>
      <w:numFmt w:val="decimal"/>
      <w:lvlText w:val="%1."/>
      <w:lvlJc w:val="left"/>
      <w:pPr>
        <w:ind w:left="425" w:hanging="425"/>
      </w:pPr>
      <w:rPr>
        <w:rFonts w:hint="eastAsia" w:ascii="宋体" w:hAnsi="宋体" w:eastAsia="宋体"/>
        <w:b/>
        <w:sz w:val="28"/>
      </w:rPr>
    </w:lvl>
    <w:lvl w:ilvl="1" w:tentative="0">
      <w:start w:val="1"/>
      <w:numFmt w:val="decimal"/>
      <w:pStyle w:val="35"/>
      <w:lvlText w:val="%1.%2"/>
      <w:lvlJc w:val="left"/>
      <w:pPr>
        <w:ind w:left="850" w:hanging="425"/>
      </w:pPr>
      <w:rPr>
        <w:rFonts w:hint="eastAsia" w:eastAsia="宋体"/>
        <w:b/>
        <w:i w:val="0"/>
        <w:sz w:val="24"/>
      </w:rPr>
    </w:lvl>
    <w:lvl w:ilvl="2" w:tentative="0">
      <w:start w:val="1"/>
      <w:numFmt w:val="decimal"/>
      <w:pStyle w:val="71"/>
      <w:lvlText w:val="%1.%2.%3"/>
      <w:lvlJc w:val="left"/>
      <w:pPr>
        <w:ind w:left="1275" w:hanging="425"/>
      </w:pPr>
      <w:rPr>
        <w:rFonts w:hint="eastAsia" w:eastAsia="宋体"/>
        <w:b w:val="0"/>
        <w:i w:val="0"/>
        <w:sz w:val="21"/>
      </w:rPr>
    </w:lvl>
    <w:lvl w:ilvl="3" w:tentative="0">
      <w:start w:val="1"/>
      <w:numFmt w:val="decimal"/>
      <w:lvlText w:val="%1.%2.%3.%4"/>
      <w:lvlJc w:val="left"/>
      <w:pPr>
        <w:ind w:left="1700" w:hanging="425"/>
      </w:pPr>
      <w:rPr>
        <w:rFonts w:hint="eastAsia"/>
      </w:rPr>
    </w:lvl>
    <w:lvl w:ilvl="4" w:tentative="0">
      <w:start w:val="1"/>
      <w:numFmt w:val="decimal"/>
      <w:lvlText w:val="%1.%2.%3.%4.%5"/>
      <w:lvlJc w:val="left"/>
      <w:pPr>
        <w:ind w:left="2125" w:hanging="425"/>
      </w:pPr>
      <w:rPr>
        <w:rFonts w:hint="eastAsia"/>
      </w:rPr>
    </w:lvl>
    <w:lvl w:ilvl="5" w:tentative="0">
      <w:start w:val="1"/>
      <w:numFmt w:val="decimal"/>
      <w:lvlText w:val="%1.%2.%3.%4.%5.%6"/>
      <w:lvlJc w:val="left"/>
      <w:pPr>
        <w:ind w:left="2550" w:hanging="425"/>
      </w:pPr>
      <w:rPr>
        <w:rFonts w:hint="eastAsia"/>
      </w:rPr>
    </w:lvl>
    <w:lvl w:ilvl="6" w:tentative="0">
      <w:start w:val="1"/>
      <w:numFmt w:val="decimal"/>
      <w:lvlText w:val="%1.%2.%3.%4.%5.%6.%7"/>
      <w:lvlJc w:val="left"/>
      <w:pPr>
        <w:ind w:left="2975" w:hanging="425"/>
      </w:pPr>
      <w:rPr>
        <w:rFonts w:hint="eastAsia"/>
      </w:rPr>
    </w:lvl>
    <w:lvl w:ilvl="7" w:tentative="0">
      <w:start w:val="1"/>
      <w:numFmt w:val="decimal"/>
      <w:lvlText w:val="%1.%2.%3.%4.%5.%6.%7.%8"/>
      <w:lvlJc w:val="left"/>
      <w:pPr>
        <w:ind w:left="3400" w:hanging="425"/>
      </w:pPr>
      <w:rPr>
        <w:rFonts w:hint="eastAsia"/>
      </w:rPr>
    </w:lvl>
    <w:lvl w:ilvl="8" w:tentative="0">
      <w:start w:val="1"/>
      <w:numFmt w:val="decimal"/>
      <w:lvlText w:val="%1.%2.%3.%4.%5.%6.%7.%8.%9"/>
      <w:lvlJc w:val="left"/>
      <w:pPr>
        <w:ind w:left="3825" w:hanging="425"/>
      </w:pPr>
      <w:rPr>
        <w:rFonts w:hint="eastAsia"/>
      </w:rPr>
    </w:lvl>
  </w:abstractNum>
  <w:abstractNum w:abstractNumId="3">
    <w:nsid w:val="00000004"/>
    <w:multiLevelType w:val="singleLevel"/>
    <w:tmpl w:val="00000004"/>
    <w:lvl w:ilvl="0" w:tentative="0">
      <w:start w:val="1"/>
      <w:numFmt w:val="chineseCounting"/>
      <w:suff w:val="nothing"/>
      <w:lvlText w:val="%1、"/>
      <w:lvlJc w:val="left"/>
      <w:pPr>
        <w:ind w:left="0" w:firstLine="420"/>
      </w:pPr>
      <w:rPr>
        <w:rFonts w:hint="eastAsia"/>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AyZDFlNWQ5ZjFiMDM0M2EwZTcxNGFmNzczMzVjNGMifQ=="/>
  </w:docVars>
  <w:rsids>
    <w:rsidRoot w:val="00000000"/>
    <w:rsid w:val="0057257B"/>
    <w:rsid w:val="01284C10"/>
    <w:rsid w:val="01AC3A93"/>
    <w:rsid w:val="02385327"/>
    <w:rsid w:val="03126DBF"/>
    <w:rsid w:val="05771CDA"/>
    <w:rsid w:val="073A38EF"/>
    <w:rsid w:val="07962C17"/>
    <w:rsid w:val="082425D6"/>
    <w:rsid w:val="08B04858"/>
    <w:rsid w:val="0A6A44EC"/>
    <w:rsid w:val="0B185CF6"/>
    <w:rsid w:val="0BF259E0"/>
    <w:rsid w:val="0C8601DD"/>
    <w:rsid w:val="0D004C93"/>
    <w:rsid w:val="0D64374A"/>
    <w:rsid w:val="0E7D5E53"/>
    <w:rsid w:val="0F953DB9"/>
    <w:rsid w:val="10945E1E"/>
    <w:rsid w:val="10CF32FA"/>
    <w:rsid w:val="10E34042"/>
    <w:rsid w:val="1255782F"/>
    <w:rsid w:val="14C126E5"/>
    <w:rsid w:val="15B80948"/>
    <w:rsid w:val="15F15AC1"/>
    <w:rsid w:val="16B17FC7"/>
    <w:rsid w:val="17203188"/>
    <w:rsid w:val="1A317C51"/>
    <w:rsid w:val="1B9A4228"/>
    <w:rsid w:val="1E1C7453"/>
    <w:rsid w:val="1EDF289A"/>
    <w:rsid w:val="1F900D22"/>
    <w:rsid w:val="20280A81"/>
    <w:rsid w:val="20D623E6"/>
    <w:rsid w:val="20D67D8D"/>
    <w:rsid w:val="210A6B25"/>
    <w:rsid w:val="213E7A51"/>
    <w:rsid w:val="22665141"/>
    <w:rsid w:val="229C358D"/>
    <w:rsid w:val="22D14CB0"/>
    <w:rsid w:val="23075E04"/>
    <w:rsid w:val="24561911"/>
    <w:rsid w:val="247A3D65"/>
    <w:rsid w:val="25781413"/>
    <w:rsid w:val="27D476EB"/>
    <w:rsid w:val="27F602C4"/>
    <w:rsid w:val="28E15521"/>
    <w:rsid w:val="29E23483"/>
    <w:rsid w:val="2A500BB0"/>
    <w:rsid w:val="2AE82B97"/>
    <w:rsid w:val="2B834618"/>
    <w:rsid w:val="2E792670"/>
    <w:rsid w:val="31F93042"/>
    <w:rsid w:val="320A2B6D"/>
    <w:rsid w:val="3425629B"/>
    <w:rsid w:val="347D25A2"/>
    <w:rsid w:val="34D16D92"/>
    <w:rsid w:val="3520377F"/>
    <w:rsid w:val="352549E8"/>
    <w:rsid w:val="36607A58"/>
    <w:rsid w:val="3ADD1FEC"/>
    <w:rsid w:val="3BCE354A"/>
    <w:rsid w:val="3DA2751D"/>
    <w:rsid w:val="3E021D6A"/>
    <w:rsid w:val="401F7FA5"/>
    <w:rsid w:val="4038660B"/>
    <w:rsid w:val="411C75E7"/>
    <w:rsid w:val="42D31F27"/>
    <w:rsid w:val="45410C10"/>
    <w:rsid w:val="46323B86"/>
    <w:rsid w:val="46FA3F26"/>
    <w:rsid w:val="4743767B"/>
    <w:rsid w:val="47B130AE"/>
    <w:rsid w:val="47C84024"/>
    <w:rsid w:val="4B5C51AF"/>
    <w:rsid w:val="4D3F08E5"/>
    <w:rsid w:val="508E789A"/>
    <w:rsid w:val="50982DC8"/>
    <w:rsid w:val="51F577C4"/>
    <w:rsid w:val="53077015"/>
    <w:rsid w:val="537F737B"/>
    <w:rsid w:val="541A79B6"/>
    <w:rsid w:val="552F56E3"/>
    <w:rsid w:val="594C66EB"/>
    <w:rsid w:val="596B480F"/>
    <w:rsid w:val="5AE7141B"/>
    <w:rsid w:val="5AFD593B"/>
    <w:rsid w:val="5BDD1924"/>
    <w:rsid w:val="5BF803A6"/>
    <w:rsid w:val="5C036F81"/>
    <w:rsid w:val="5D7D7E14"/>
    <w:rsid w:val="5E677796"/>
    <w:rsid w:val="5F922AF6"/>
    <w:rsid w:val="607757D2"/>
    <w:rsid w:val="61853F03"/>
    <w:rsid w:val="621F0284"/>
    <w:rsid w:val="62E55633"/>
    <w:rsid w:val="64F33D76"/>
    <w:rsid w:val="65436640"/>
    <w:rsid w:val="654C0DB0"/>
    <w:rsid w:val="66106E6A"/>
    <w:rsid w:val="668D4017"/>
    <w:rsid w:val="67740537"/>
    <w:rsid w:val="68DC3034"/>
    <w:rsid w:val="6A420834"/>
    <w:rsid w:val="6B8D0D3E"/>
    <w:rsid w:val="6BF63B55"/>
    <w:rsid w:val="6D54588F"/>
    <w:rsid w:val="6D6D737F"/>
    <w:rsid w:val="6D8308F0"/>
    <w:rsid w:val="6DE93BC9"/>
    <w:rsid w:val="6F975AEB"/>
    <w:rsid w:val="70051EFD"/>
    <w:rsid w:val="70BD374B"/>
    <w:rsid w:val="7121017E"/>
    <w:rsid w:val="71C75C56"/>
    <w:rsid w:val="752E0292"/>
    <w:rsid w:val="75B5473F"/>
    <w:rsid w:val="75DE663D"/>
    <w:rsid w:val="76F450A2"/>
    <w:rsid w:val="7722255A"/>
    <w:rsid w:val="774921DC"/>
    <w:rsid w:val="78064F51"/>
    <w:rsid w:val="78AC2A23"/>
    <w:rsid w:val="7C5331B5"/>
    <w:rsid w:val="7EAF0B77"/>
    <w:rsid w:val="7ED06D3F"/>
    <w:rsid w:val="7FA049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0" w:semiHidden="0" w:name="heading 3"/>
    <w:lsdException w:qFormat="1" w:unhideWhenUsed="0" w:uiPriority="0" w:semiHidden="0" w:name="heading 4"/>
    <w:lsdException w:qFormat="1" w:uiPriority="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35" w:semiHidden="0" w:name="caption"/>
    <w:lsdException w:qFormat="1" w:unhideWhenUsed="0" w:uiPriority="0" w:semiHidden="0" w:name="table of figures"/>
    <w:lsdException w:unhideWhenUsed="0" w:uiPriority="0" w:semiHidden="0" w:name="envelope address"/>
    <w:lsdException w:qFormat="1" w:unhideWhenUsed="0" w:uiPriority="99"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99"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qFormat="1" w:unhideWhenUsed="0" w:uiPriority="99"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99"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48"/>
    <w:qFormat/>
    <w:uiPriority w:val="0"/>
    <w:pPr>
      <w:keepNext/>
      <w:keepLines/>
      <w:spacing w:before="340" w:after="330" w:line="576" w:lineRule="auto"/>
      <w:outlineLvl w:val="0"/>
    </w:pPr>
    <w:rPr>
      <w:b/>
      <w:bCs/>
      <w:kern w:val="44"/>
      <w:sz w:val="44"/>
      <w:szCs w:val="44"/>
    </w:rPr>
  </w:style>
  <w:style w:type="paragraph" w:styleId="2">
    <w:name w:val="heading 2"/>
    <w:basedOn w:val="1"/>
    <w:next w:val="1"/>
    <w:link w:val="49"/>
    <w:qFormat/>
    <w:uiPriority w:val="9"/>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50"/>
    <w:qFormat/>
    <w:uiPriority w:val="0"/>
    <w:pPr>
      <w:keepNext/>
      <w:keepLines/>
      <w:spacing w:before="260" w:after="260" w:line="416" w:lineRule="auto"/>
      <w:outlineLvl w:val="2"/>
    </w:pPr>
    <w:rPr>
      <w:b/>
      <w:bCs/>
      <w:sz w:val="32"/>
      <w:szCs w:val="32"/>
    </w:rPr>
  </w:style>
  <w:style w:type="paragraph" w:styleId="5">
    <w:name w:val="heading 4"/>
    <w:basedOn w:val="1"/>
    <w:next w:val="1"/>
    <w:link w:val="51"/>
    <w:qFormat/>
    <w:uiPriority w:val="0"/>
    <w:pPr>
      <w:keepNext/>
      <w:keepLines/>
      <w:spacing w:before="280" w:after="290" w:line="376" w:lineRule="auto"/>
      <w:outlineLvl w:val="3"/>
    </w:pPr>
    <w:rPr>
      <w:rFonts w:ascii="Cambria" w:hAnsi="Cambria" w:cs="黑体"/>
      <w:b/>
      <w:bCs/>
      <w:sz w:val="28"/>
      <w:szCs w:val="28"/>
    </w:rPr>
  </w:style>
  <w:style w:type="paragraph" w:styleId="6">
    <w:name w:val="heading 6"/>
    <w:basedOn w:val="1"/>
    <w:next w:val="1"/>
    <w:link w:val="84"/>
    <w:qFormat/>
    <w:uiPriority w:val="0"/>
    <w:pPr>
      <w:keepNext/>
      <w:keepLines/>
      <w:widowControl/>
      <w:tabs>
        <w:tab w:val="left" w:pos="1440"/>
      </w:tabs>
      <w:spacing w:before="240" w:after="64" w:line="319" w:lineRule="auto"/>
      <w:ind w:left="1152" w:hanging="1152"/>
      <w:jc w:val="left"/>
      <w:outlineLvl w:val="5"/>
    </w:pPr>
    <w:rPr>
      <w:rFonts w:ascii="Arial" w:hAnsi="Arial" w:eastAsia="黑体"/>
      <w:b/>
      <w:bCs/>
      <w:kern w:val="0"/>
      <w:sz w:val="24"/>
    </w:rPr>
  </w:style>
  <w:style w:type="paragraph" w:styleId="7">
    <w:name w:val="heading 7"/>
    <w:basedOn w:val="1"/>
    <w:next w:val="1"/>
    <w:link w:val="85"/>
    <w:qFormat/>
    <w:uiPriority w:val="0"/>
    <w:pPr>
      <w:keepNext/>
      <w:keepLines/>
      <w:widowControl/>
      <w:tabs>
        <w:tab w:val="left" w:pos="2520"/>
      </w:tabs>
      <w:spacing w:before="240" w:after="64" w:line="319" w:lineRule="auto"/>
      <w:ind w:left="1296" w:hanging="1296"/>
      <w:jc w:val="left"/>
      <w:outlineLvl w:val="6"/>
    </w:pPr>
    <w:rPr>
      <w:b/>
      <w:bCs/>
      <w:kern w:val="0"/>
      <w:sz w:val="24"/>
    </w:rPr>
  </w:style>
  <w:style w:type="paragraph" w:styleId="8">
    <w:name w:val="heading 8"/>
    <w:basedOn w:val="1"/>
    <w:next w:val="1"/>
    <w:link w:val="86"/>
    <w:qFormat/>
    <w:uiPriority w:val="0"/>
    <w:pPr>
      <w:keepNext/>
      <w:keepLines/>
      <w:widowControl/>
      <w:tabs>
        <w:tab w:val="left" w:pos="1440"/>
      </w:tabs>
      <w:spacing w:before="240" w:after="64" w:line="319" w:lineRule="auto"/>
      <w:ind w:left="1440" w:hanging="1440"/>
      <w:jc w:val="left"/>
      <w:outlineLvl w:val="7"/>
    </w:pPr>
    <w:rPr>
      <w:rFonts w:ascii="Arial" w:hAnsi="Arial" w:eastAsia="黑体"/>
      <w:kern w:val="0"/>
      <w:sz w:val="24"/>
    </w:rPr>
  </w:style>
  <w:style w:type="paragraph" w:styleId="9">
    <w:name w:val="heading 9"/>
    <w:basedOn w:val="1"/>
    <w:next w:val="1"/>
    <w:link w:val="87"/>
    <w:qFormat/>
    <w:uiPriority w:val="0"/>
    <w:pPr>
      <w:keepNext/>
      <w:keepLines/>
      <w:widowControl/>
      <w:tabs>
        <w:tab w:val="left" w:pos="1584"/>
      </w:tabs>
      <w:spacing w:before="240" w:after="64" w:line="319" w:lineRule="auto"/>
      <w:ind w:left="1584" w:hanging="1584"/>
      <w:jc w:val="left"/>
      <w:outlineLvl w:val="8"/>
    </w:pPr>
    <w:rPr>
      <w:rFonts w:ascii="Arial" w:hAnsi="Arial" w:eastAsia="黑体"/>
      <w:kern w:val="0"/>
      <w:szCs w:val="21"/>
    </w:rPr>
  </w:style>
  <w:style w:type="character" w:default="1" w:styleId="39">
    <w:name w:val="Default Paragraph Font"/>
    <w:qFormat/>
    <w:uiPriority w:val="1"/>
  </w:style>
  <w:style w:type="table" w:default="1" w:styleId="37">
    <w:name w:val="Normal Table"/>
    <w:qFormat/>
    <w:uiPriority w:val="99"/>
    <w:tblPr>
      <w:tblCellMar>
        <w:top w:w="0" w:type="dxa"/>
        <w:left w:w="108" w:type="dxa"/>
        <w:bottom w:w="0" w:type="dxa"/>
        <w:right w:w="108" w:type="dxa"/>
      </w:tblCellMar>
    </w:tblPr>
  </w:style>
  <w:style w:type="paragraph" w:styleId="10">
    <w:name w:val="toc 7"/>
    <w:basedOn w:val="1"/>
    <w:next w:val="1"/>
    <w:qFormat/>
    <w:uiPriority w:val="39"/>
    <w:pPr>
      <w:ind w:left="2520" w:leftChars="1200"/>
    </w:pPr>
    <w:rPr>
      <w:rFonts w:ascii="Calibri" w:hAnsi="Calibri"/>
      <w:szCs w:val="22"/>
    </w:rPr>
  </w:style>
  <w:style w:type="paragraph" w:styleId="11">
    <w:name w:val="Normal Indent"/>
    <w:basedOn w:val="1"/>
    <w:qFormat/>
    <w:uiPriority w:val="0"/>
    <w:pPr>
      <w:ind w:firstLine="420" w:firstLineChars="200"/>
    </w:pPr>
  </w:style>
  <w:style w:type="paragraph" w:styleId="12">
    <w:name w:val="caption"/>
    <w:basedOn w:val="1"/>
    <w:next w:val="1"/>
    <w:qFormat/>
    <w:uiPriority w:val="35"/>
    <w:rPr>
      <w:rFonts w:ascii="Cambria" w:hAnsi="Cambria" w:eastAsia="黑体"/>
      <w:sz w:val="20"/>
      <w:szCs w:val="20"/>
    </w:rPr>
  </w:style>
  <w:style w:type="paragraph" w:styleId="13">
    <w:name w:val="Document Map"/>
    <w:basedOn w:val="1"/>
    <w:link w:val="78"/>
    <w:qFormat/>
    <w:uiPriority w:val="99"/>
    <w:rPr>
      <w:rFonts w:ascii="宋体" w:hAnsi="Calibri" w:eastAsia="宋体" w:cs="宋体"/>
      <w:sz w:val="18"/>
      <w:szCs w:val="18"/>
    </w:rPr>
  </w:style>
  <w:style w:type="paragraph" w:styleId="14">
    <w:name w:val="annotation text"/>
    <w:basedOn w:val="1"/>
    <w:link w:val="62"/>
    <w:qFormat/>
    <w:uiPriority w:val="0"/>
    <w:pPr>
      <w:jc w:val="left"/>
    </w:pPr>
  </w:style>
  <w:style w:type="paragraph" w:styleId="15">
    <w:name w:val="Body Text 3"/>
    <w:basedOn w:val="1"/>
    <w:link w:val="58"/>
    <w:qFormat/>
    <w:uiPriority w:val="0"/>
    <w:rPr>
      <w:rFonts w:ascii="宋体" w:hAnsi="Calibri" w:eastAsia="宋体" w:cs="宋体"/>
      <w:sz w:val="24"/>
      <w:szCs w:val="22"/>
    </w:rPr>
  </w:style>
  <w:style w:type="paragraph" w:styleId="16">
    <w:name w:val="Body Text"/>
    <w:basedOn w:val="1"/>
    <w:next w:val="1"/>
    <w:link w:val="68"/>
    <w:qFormat/>
    <w:uiPriority w:val="0"/>
    <w:rPr>
      <w:sz w:val="28"/>
      <w:szCs w:val="20"/>
    </w:rPr>
  </w:style>
  <w:style w:type="paragraph" w:styleId="17">
    <w:name w:val="Body Text Indent"/>
    <w:basedOn w:val="1"/>
    <w:next w:val="18"/>
    <w:link w:val="65"/>
    <w:qFormat/>
    <w:uiPriority w:val="0"/>
    <w:pPr>
      <w:ind w:firstLine="489" w:firstLineChars="178"/>
    </w:pPr>
    <w:rPr>
      <w:sz w:val="28"/>
      <w:szCs w:val="28"/>
    </w:rPr>
  </w:style>
  <w:style w:type="paragraph" w:styleId="18">
    <w:name w:val="envelope return"/>
    <w:basedOn w:val="1"/>
    <w:qFormat/>
    <w:uiPriority w:val="99"/>
  </w:style>
  <w:style w:type="paragraph" w:styleId="19">
    <w:name w:val="toc 5"/>
    <w:basedOn w:val="1"/>
    <w:next w:val="1"/>
    <w:qFormat/>
    <w:uiPriority w:val="39"/>
    <w:pPr>
      <w:ind w:left="1680" w:leftChars="800"/>
    </w:pPr>
    <w:rPr>
      <w:rFonts w:ascii="Calibri" w:hAnsi="Calibri"/>
      <w:szCs w:val="22"/>
    </w:rPr>
  </w:style>
  <w:style w:type="paragraph" w:styleId="20">
    <w:name w:val="toc 3"/>
    <w:basedOn w:val="1"/>
    <w:next w:val="1"/>
    <w:qFormat/>
    <w:uiPriority w:val="39"/>
    <w:pPr>
      <w:ind w:left="840" w:leftChars="400"/>
    </w:pPr>
  </w:style>
  <w:style w:type="paragraph" w:styleId="21">
    <w:name w:val="Plain Text"/>
    <w:basedOn w:val="1"/>
    <w:link w:val="60"/>
    <w:qFormat/>
    <w:uiPriority w:val="0"/>
    <w:rPr>
      <w:rFonts w:ascii="Courier New" w:hAnsi="Courier New" w:eastAsia="宋体" w:cs="宋体"/>
      <w:szCs w:val="22"/>
    </w:rPr>
  </w:style>
  <w:style w:type="paragraph" w:styleId="22">
    <w:name w:val="toc 8"/>
    <w:basedOn w:val="1"/>
    <w:next w:val="1"/>
    <w:qFormat/>
    <w:uiPriority w:val="39"/>
    <w:pPr>
      <w:ind w:left="2940" w:leftChars="1400"/>
    </w:pPr>
    <w:rPr>
      <w:rFonts w:ascii="Calibri" w:hAnsi="Calibri"/>
      <w:szCs w:val="22"/>
    </w:rPr>
  </w:style>
  <w:style w:type="paragraph" w:styleId="23">
    <w:name w:val="Date"/>
    <w:basedOn w:val="1"/>
    <w:next w:val="1"/>
    <w:link w:val="77"/>
    <w:qFormat/>
    <w:uiPriority w:val="99"/>
    <w:pPr>
      <w:ind w:left="100" w:leftChars="2500"/>
    </w:pPr>
    <w:rPr>
      <w:rFonts w:ascii="Calibri" w:hAnsi="Calibri" w:eastAsia="宋体" w:cs="宋体"/>
    </w:rPr>
  </w:style>
  <w:style w:type="paragraph" w:styleId="24">
    <w:name w:val="Balloon Text"/>
    <w:basedOn w:val="1"/>
    <w:link w:val="61"/>
    <w:qFormat/>
    <w:uiPriority w:val="99"/>
    <w:rPr>
      <w:rFonts w:ascii="Calibri" w:hAnsi="Calibri" w:eastAsia="宋体" w:cs="宋体"/>
      <w:sz w:val="18"/>
      <w:szCs w:val="18"/>
    </w:rPr>
  </w:style>
  <w:style w:type="paragraph" w:styleId="25">
    <w:name w:val="footer"/>
    <w:basedOn w:val="1"/>
    <w:link w:val="47"/>
    <w:qFormat/>
    <w:uiPriority w:val="0"/>
    <w:pPr>
      <w:tabs>
        <w:tab w:val="center" w:pos="4153"/>
        <w:tab w:val="right" w:pos="8306"/>
      </w:tabs>
      <w:snapToGrid w:val="0"/>
      <w:jc w:val="left"/>
    </w:pPr>
    <w:rPr>
      <w:rFonts w:ascii="Calibri" w:hAnsi="Calibri" w:eastAsia="宋体" w:cs="宋体"/>
      <w:sz w:val="18"/>
      <w:szCs w:val="18"/>
    </w:rPr>
  </w:style>
  <w:style w:type="paragraph" w:styleId="26">
    <w:name w:val="header"/>
    <w:basedOn w:val="1"/>
    <w:link w:val="46"/>
    <w:qFormat/>
    <w:uiPriority w:val="0"/>
    <w:pPr>
      <w:pBdr>
        <w:bottom w:val="single" w:color="auto" w:sz="6" w:space="1"/>
      </w:pBdr>
      <w:tabs>
        <w:tab w:val="center" w:pos="4153"/>
        <w:tab w:val="right" w:pos="8306"/>
      </w:tabs>
      <w:snapToGrid w:val="0"/>
      <w:jc w:val="center"/>
    </w:pPr>
    <w:rPr>
      <w:rFonts w:ascii="Calibri" w:hAnsi="Calibri" w:eastAsia="宋体" w:cs="宋体"/>
      <w:sz w:val="18"/>
      <w:szCs w:val="18"/>
    </w:rPr>
  </w:style>
  <w:style w:type="paragraph" w:styleId="27">
    <w:name w:val="toc 1"/>
    <w:basedOn w:val="1"/>
    <w:next w:val="1"/>
    <w:qFormat/>
    <w:uiPriority w:val="39"/>
    <w:pPr>
      <w:spacing w:before="120" w:after="120"/>
      <w:jc w:val="left"/>
    </w:pPr>
    <w:rPr>
      <w:b/>
      <w:bCs/>
      <w:caps/>
      <w:sz w:val="20"/>
      <w:szCs w:val="20"/>
    </w:rPr>
  </w:style>
  <w:style w:type="paragraph" w:styleId="28">
    <w:name w:val="toc 4"/>
    <w:basedOn w:val="1"/>
    <w:next w:val="1"/>
    <w:qFormat/>
    <w:uiPriority w:val="39"/>
    <w:pPr>
      <w:ind w:left="1260" w:leftChars="600"/>
    </w:pPr>
    <w:rPr>
      <w:rFonts w:ascii="Calibri" w:hAnsi="Calibri"/>
      <w:szCs w:val="22"/>
    </w:rPr>
  </w:style>
  <w:style w:type="paragraph" w:styleId="29">
    <w:name w:val="footnote text"/>
    <w:basedOn w:val="1"/>
    <w:link w:val="104"/>
    <w:qFormat/>
    <w:uiPriority w:val="0"/>
    <w:rPr>
      <w:sz w:val="20"/>
      <w:szCs w:val="20"/>
    </w:rPr>
  </w:style>
  <w:style w:type="paragraph" w:styleId="30">
    <w:name w:val="toc 6"/>
    <w:basedOn w:val="1"/>
    <w:next w:val="1"/>
    <w:qFormat/>
    <w:uiPriority w:val="39"/>
    <w:pPr>
      <w:ind w:left="2100" w:leftChars="1000"/>
    </w:pPr>
    <w:rPr>
      <w:rFonts w:ascii="Calibri" w:hAnsi="Calibri"/>
      <w:szCs w:val="22"/>
    </w:rPr>
  </w:style>
  <w:style w:type="paragraph" w:styleId="31">
    <w:name w:val="Body Text Indent 3"/>
    <w:basedOn w:val="1"/>
    <w:link w:val="96"/>
    <w:qFormat/>
    <w:uiPriority w:val="0"/>
    <w:pPr>
      <w:spacing w:after="120"/>
      <w:ind w:left="420" w:leftChars="200"/>
    </w:pPr>
    <w:rPr>
      <w:sz w:val="16"/>
      <w:szCs w:val="16"/>
    </w:rPr>
  </w:style>
  <w:style w:type="paragraph" w:styleId="32">
    <w:name w:val="table of figures"/>
    <w:basedOn w:val="1"/>
    <w:next w:val="1"/>
    <w:qFormat/>
    <w:uiPriority w:val="0"/>
    <w:pPr>
      <w:ind w:left="200" w:leftChars="200" w:hanging="200" w:hangingChars="200"/>
    </w:pPr>
  </w:style>
  <w:style w:type="paragraph" w:styleId="33">
    <w:name w:val="toc 2"/>
    <w:basedOn w:val="1"/>
    <w:next w:val="1"/>
    <w:qFormat/>
    <w:uiPriority w:val="39"/>
    <w:pPr>
      <w:ind w:left="210"/>
      <w:jc w:val="left"/>
    </w:pPr>
    <w:rPr>
      <w:smallCaps/>
      <w:sz w:val="20"/>
      <w:szCs w:val="20"/>
    </w:rPr>
  </w:style>
  <w:style w:type="paragraph" w:styleId="34">
    <w:name w:val="toc 9"/>
    <w:basedOn w:val="1"/>
    <w:next w:val="1"/>
    <w:qFormat/>
    <w:uiPriority w:val="39"/>
    <w:pPr>
      <w:ind w:left="3360" w:leftChars="1600"/>
    </w:pPr>
    <w:rPr>
      <w:rFonts w:ascii="Calibri" w:hAnsi="Calibri"/>
      <w:szCs w:val="22"/>
    </w:rPr>
  </w:style>
  <w:style w:type="paragraph" w:styleId="35">
    <w:name w:val="Title"/>
    <w:basedOn w:val="1"/>
    <w:next w:val="1"/>
    <w:link w:val="81"/>
    <w:qFormat/>
    <w:uiPriority w:val="0"/>
    <w:pPr>
      <w:numPr>
        <w:ilvl w:val="1"/>
        <w:numId w:val="1"/>
      </w:numPr>
      <w:spacing w:before="240" w:after="60"/>
      <w:jc w:val="center"/>
      <w:outlineLvl w:val="0"/>
    </w:pPr>
    <w:rPr>
      <w:rFonts w:ascii="Cambria" w:hAnsi="Cambria"/>
      <w:b/>
      <w:bCs/>
      <w:sz w:val="32"/>
      <w:szCs w:val="32"/>
    </w:rPr>
  </w:style>
  <w:style w:type="paragraph" w:styleId="36">
    <w:name w:val="annotation subject"/>
    <w:basedOn w:val="14"/>
    <w:next w:val="14"/>
    <w:link w:val="59"/>
    <w:qFormat/>
    <w:uiPriority w:val="99"/>
    <w:rPr>
      <w:rFonts w:ascii="Calibri" w:hAnsi="Calibri" w:eastAsia="宋体" w:cs="宋体"/>
      <w:b/>
      <w:bCs/>
    </w:rPr>
  </w:style>
  <w:style w:type="table" w:styleId="38">
    <w:name w:val="Table Grid"/>
    <w:basedOn w:val="37"/>
    <w:qFormat/>
    <w:uiPriority w:val="59"/>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0">
    <w:name w:val="Strong"/>
    <w:basedOn w:val="39"/>
    <w:qFormat/>
    <w:uiPriority w:val="22"/>
    <w:rPr>
      <w:b/>
      <w:bCs/>
    </w:rPr>
  </w:style>
  <w:style w:type="character" w:styleId="41">
    <w:name w:val="page number"/>
    <w:qFormat/>
    <w:uiPriority w:val="0"/>
  </w:style>
  <w:style w:type="character" w:styleId="42">
    <w:name w:val="FollowedHyperlink"/>
    <w:qFormat/>
    <w:uiPriority w:val="0"/>
    <w:rPr>
      <w:color w:val="800080"/>
      <w:u w:val="single"/>
    </w:rPr>
  </w:style>
  <w:style w:type="character" w:styleId="43">
    <w:name w:val="Hyperlink"/>
    <w:qFormat/>
    <w:uiPriority w:val="99"/>
    <w:rPr>
      <w:color w:val="0000FF"/>
      <w:u w:val="single"/>
    </w:rPr>
  </w:style>
  <w:style w:type="character" w:styleId="44">
    <w:name w:val="annotation reference"/>
    <w:qFormat/>
    <w:uiPriority w:val="0"/>
    <w:rPr>
      <w:sz w:val="21"/>
      <w:szCs w:val="21"/>
    </w:rPr>
  </w:style>
  <w:style w:type="character" w:styleId="45">
    <w:name w:val="footnote reference"/>
    <w:qFormat/>
    <w:uiPriority w:val="0"/>
    <w:rPr>
      <w:vertAlign w:val="superscript"/>
    </w:rPr>
  </w:style>
  <w:style w:type="character" w:customStyle="1" w:styleId="46">
    <w:name w:val="页眉 Char"/>
    <w:basedOn w:val="39"/>
    <w:link w:val="26"/>
    <w:qFormat/>
    <w:uiPriority w:val="0"/>
    <w:rPr>
      <w:sz w:val="18"/>
      <w:szCs w:val="18"/>
    </w:rPr>
  </w:style>
  <w:style w:type="character" w:customStyle="1" w:styleId="47">
    <w:name w:val="页脚 Char"/>
    <w:basedOn w:val="39"/>
    <w:link w:val="25"/>
    <w:qFormat/>
    <w:uiPriority w:val="99"/>
    <w:rPr>
      <w:sz w:val="18"/>
      <w:szCs w:val="18"/>
    </w:rPr>
  </w:style>
  <w:style w:type="character" w:customStyle="1" w:styleId="48">
    <w:name w:val="标题 1 Char"/>
    <w:basedOn w:val="39"/>
    <w:link w:val="3"/>
    <w:qFormat/>
    <w:uiPriority w:val="0"/>
    <w:rPr>
      <w:rFonts w:ascii="Times New Roman" w:hAnsi="Times New Roman" w:eastAsia="宋体" w:cs="Times New Roman"/>
      <w:b/>
      <w:bCs/>
      <w:kern w:val="44"/>
      <w:sz w:val="44"/>
      <w:szCs w:val="44"/>
    </w:rPr>
  </w:style>
  <w:style w:type="character" w:customStyle="1" w:styleId="49">
    <w:name w:val="标题 2 Char"/>
    <w:basedOn w:val="39"/>
    <w:link w:val="2"/>
    <w:qFormat/>
    <w:uiPriority w:val="9"/>
    <w:rPr>
      <w:rFonts w:ascii="Arial" w:hAnsi="Arial" w:eastAsia="黑体" w:cs="Times New Roman"/>
      <w:b/>
      <w:bCs/>
      <w:sz w:val="32"/>
      <w:szCs w:val="32"/>
    </w:rPr>
  </w:style>
  <w:style w:type="character" w:customStyle="1" w:styleId="50">
    <w:name w:val="标题 3 Char"/>
    <w:basedOn w:val="39"/>
    <w:link w:val="4"/>
    <w:qFormat/>
    <w:uiPriority w:val="0"/>
    <w:rPr>
      <w:rFonts w:ascii="Times New Roman" w:hAnsi="Times New Roman" w:eastAsia="宋体" w:cs="Times New Roman"/>
      <w:b/>
      <w:bCs/>
      <w:sz w:val="32"/>
      <w:szCs w:val="32"/>
    </w:rPr>
  </w:style>
  <w:style w:type="character" w:customStyle="1" w:styleId="51">
    <w:name w:val="标题 4 Char"/>
    <w:basedOn w:val="39"/>
    <w:link w:val="5"/>
    <w:qFormat/>
    <w:uiPriority w:val="0"/>
    <w:rPr>
      <w:rFonts w:ascii="Cambria" w:hAnsi="Cambria" w:eastAsia="宋体" w:cs="黑体"/>
      <w:b/>
      <w:bCs/>
      <w:sz w:val="28"/>
      <w:szCs w:val="28"/>
    </w:rPr>
  </w:style>
  <w:style w:type="character" w:customStyle="1" w:styleId="52">
    <w:name w:val="标题 6 Char"/>
    <w:basedOn w:val="39"/>
    <w:qFormat/>
    <w:uiPriority w:val="9"/>
    <w:rPr>
      <w:rFonts w:ascii="Cambria" w:hAnsi="Cambria" w:eastAsia="宋体" w:cs="宋体"/>
      <w:b/>
      <w:bCs/>
      <w:sz w:val="24"/>
      <w:szCs w:val="24"/>
    </w:rPr>
  </w:style>
  <w:style w:type="character" w:customStyle="1" w:styleId="53">
    <w:name w:val="标题 7 Char"/>
    <w:basedOn w:val="39"/>
    <w:qFormat/>
    <w:uiPriority w:val="9"/>
    <w:rPr>
      <w:rFonts w:ascii="Times New Roman" w:hAnsi="Times New Roman" w:eastAsia="宋体" w:cs="Times New Roman"/>
      <w:b/>
      <w:bCs/>
      <w:sz w:val="24"/>
      <w:szCs w:val="24"/>
    </w:rPr>
  </w:style>
  <w:style w:type="character" w:customStyle="1" w:styleId="54">
    <w:name w:val="标题 8 Char"/>
    <w:basedOn w:val="39"/>
    <w:qFormat/>
    <w:uiPriority w:val="9"/>
    <w:rPr>
      <w:rFonts w:ascii="Cambria" w:hAnsi="Cambria" w:eastAsia="宋体" w:cs="宋体"/>
      <w:sz w:val="24"/>
      <w:szCs w:val="24"/>
    </w:rPr>
  </w:style>
  <w:style w:type="character" w:customStyle="1" w:styleId="55">
    <w:name w:val="标题 9 Char"/>
    <w:basedOn w:val="39"/>
    <w:qFormat/>
    <w:uiPriority w:val="9"/>
    <w:rPr>
      <w:rFonts w:ascii="Cambria" w:hAnsi="Cambria" w:eastAsia="宋体" w:cs="宋体"/>
      <w:szCs w:val="21"/>
    </w:rPr>
  </w:style>
  <w:style w:type="character" w:customStyle="1" w:styleId="56">
    <w:name w:val="批注文字 Char1"/>
    <w:qFormat/>
    <w:uiPriority w:val="99"/>
    <w:rPr>
      <w:kern w:val="2"/>
      <w:sz w:val="21"/>
    </w:rPr>
  </w:style>
  <w:style w:type="character" w:customStyle="1" w:styleId="57">
    <w:name w:val="批注文字 Char"/>
    <w:qFormat/>
    <w:uiPriority w:val="0"/>
    <w:rPr>
      <w:rFonts w:ascii="Times New Roman" w:hAnsi="Times New Roman"/>
      <w:kern w:val="2"/>
      <w:sz w:val="21"/>
    </w:rPr>
  </w:style>
  <w:style w:type="character" w:customStyle="1" w:styleId="58">
    <w:name w:val="正文文本 3 Char"/>
    <w:link w:val="15"/>
    <w:qFormat/>
    <w:uiPriority w:val="0"/>
    <w:rPr>
      <w:rFonts w:ascii="宋体"/>
      <w:sz w:val="24"/>
    </w:rPr>
  </w:style>
  <w:style w:type="character" w:customStyle="1" w:styleId="59">
    <w:name w:val="批注主题 Char"/>
    <w:link w:val="36"/>
    <w:qFormat/>
    <w:uiPriority w:val="99"/>
    <w:rPr>
      <w:b/>
      <w:bCs/>
      <w:szCs w:val="24"/>
    </w:rPr>
  </w:style>
  <w:style w:type="character" w:customStyle="1" w:styleId="60">
    <w:name w:val="纯文本 Char"/>
    <w:link w:val="21"/>
    <w:qFormat/>
    <w:uiPriority w:val="0"/>
    <w:rPr>
      <w:rFonts w:ascii="Courier New" w:hAnsi="Courier New"/>
    </w:rPr>
  </w:style>
  <w:style w:type="character" w:customStyle="1" w:styleId="61">
    <w:name w:val="批注框文本 Char"/>
    <w:link w:val="24"/>
    <w:qFormat/>
    <w:uiPriority w:val="99"/>
    <w:rPr>
      <w:sz w:val="18"/>
      <w:szCs w:val="18"/>
    </w:rPr>
  </w:style>
  <w:style w:type="character" w:customStyle="1" w:styleId="62">
    <w:name w:val="批注文字 Char2"/>
    <w:basedOn w:val="39"/>
    <w:link w:val="14"/>
    <w:qFormat/>
    <w:uiPriority w:val="99"/>
    <w:rPr>
      <w:rFonts w:ascii="Times New Roman" w:hAnsi="Times New Roman" w:eastAsia="宋体" w:cs="Times New Roman"/>
      <w:szCs w:val="24"/>
    </w:rPr>
  </w:style>
  <w:style w:type="character" w:customStyle="1" w:styleId="63">
    <w:name w:val="批注主题 Char1"/>
    <w:basedOn w:val="62"/>
    <w:qFormat/>
    <w:uiPriority w:val="99"/>
    <w:rPr>
      <w:rFonts w:ascii="Times New Roman" w:hAnsi="Times New Roman" w:eastAsia="宋体" w:cs="Times New Roman"/>
      <w:b/>
      <w:bCs/>
      <w:szCs w:val="24"/>
    </w:rPr>
  </w:style>
  <w:style w:type="character" w:customStyle="1" w:styleId="64">
    <w:name w:val="纯文本 Char1"/>
    <w:basedOn w:val="39"/>
    <w:qFormat/>
    <w:uiPriority w:val="99"/>
    <w:rPr>
      <w:rFonts w:ascii="宋体" w:hAnsi="Courier New" w:eastAsia="宋体" w:cs="Courier New"/>
      <w:szCs w:val="21"/>
    </w:rPr>
  </w:style>
  <w:style w:type="character" w:customStyle="1" w:styleId="65">
    <w:name w:val="正文文本缩进 Char"/>
    <w:basedOn w:val="39"/>
    <w:link w:val="17"/>
    <w:qFormat/>
    <w:uiPriority w:val="0"/>
    <w:rPr>
      <w:rFonts w:ascii="Times New Roman" w:hAnsi="Times New Roman" w:eastAsia="宋体" w:cs="Times New Roman"/>
      <w:sz w:val="28"/>
      <w:szCs w:val="28"/>
    </w:rPr>
  </w:style>
  <w:style w:type="character" w:customStyle="1" w:styleId="66">
    <w:name w:val="正文文本 3 Char1"/>
    <w:basedOn w:val="39"/>
    <w:qFormat/>
    <w:uiPriority w:val="99"/>
    <w:rPr>
      <w:rFonts w:ascii="Times New Roman" w:hAnsi="Times New Roman" w:eastAsia="宋体" w:cs="Times New Roman"/>
      <w:sz w:val="16"/>
      <w:szCs w:val="16"/>
    </w:rPr>
  </w:style>
  <w:style w:type="character" w:customStyle="1" w:styleId="67">
    <w:name w:val="批注框文本 Char1"/>
    <w:basedOn w:val="39"/>
    <w:qFormat/>
    <w:uiPriority w:val="99"/>
    <w:rPr>
      <w:rFonts w:ascii="Times New Roman" w:hAnsi="Times New Roman" w:eastAsia="宋体" w:cs="Times New Roman"/>
      <w:sz w:val="18"/>
      <w:szCs w:val="18"/>
    </w:rPr>
  </w:style>
  <w:style w:type="character" w:customStyle="1" w:styleId="68">
    <w:name w:val="正文文本 Char"/>
    <w:basedOn w:val="39"/>
    <w:link w:val="16"/>
    <w:qFormat/>
    <w:uiPriority w:val="0"/>
    <w:rPr>
      <w:rFonts w:ascii="Times New Roman" w:hAnsi="Times New Roman" w:eastAsia="宋体" w:cs="Times New Roman"/>
      <w:sz w:val="28"/>
      <w:szCs w:val="20"/>
    </w:rPr>
  </w:style>
  <w:style w:type="paragraph" w:customStyle="1" w:styleId="69">
    <w:name w:val="列出段落1"/>
    <w:basedOn w:val="1"/>
    <w:qFormat/>
    <w:uiPriority w:val="34"/>
    <w:pPr>
      <w:ind w:firstLine="420" w:firstLineChars="200"/>
    </w:pPr>
  </w:style>
  <w:style w:type="paragraph" w:customStyle="1" w:styleId="70">
    <w:name w:val="bt1bt1"/>
    <w:basedOn w:val="3"/>
    <w:qFormat/>
    <w:uiPriority w:val="0"/>
    <w:pPr>
      <w:spacing w:line="240" w:lineRule="auto"/>
      <w:jc w:val="center"/>
    </w:pPr>
    <w:rPr>
      <w:rFonts w:ascii="黑体" w:eastAsia="黑体"/>
      <w:b w:val="0"/>
      <w:sz w:val="36"/>
      <w:szCs w:val="36"/>
    </w:rPr>
  </w:style>
  <w:style w:type="paragraph" w:customStyle="1" w:styleId="71">
    <w:name w:val="节"/>
    <w:basedOn w:val="2"/>
    <w:qFormat/>
    <w:uiPriority w:val="0"/>
    <w:pPr>
      <w:numPr>
        <w:ilvl w:val="2"/>
        <w:numId w:val="1"/>
      </w:numPr>
      <w:tabs>
        <w:tab w:val="left" w:pos="360"/>
        <w:tab w:val="left" w:pos="576"/>
      </w:tabs>
      <w:spacing w:line="240" w:lineRule="auto"/>
      <w:ind w:left="840" w:hanging="420"/>
    </w:pPr>
    <w:rPr>
      <w:rFonts w:ascii="黑体"/>
      <w:b w:val="0"/>
      <w:sz w:val="28"/>
      <w:szCs w:val="28"/>
    </w:rPr>
  </w:style>
  <w:style w:type="paragraph" w:customStyle="1" w:styleId="72">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73">
    <w:name w:val="Blockquote"/>
    <w:basedOn w:val="1"/>
    <w:qFormat/>
    <w:uiPriority w:val="0"/>
    <w:pPr>
      <w:autoSpaceDE w:val="0"/>
      <w:autoSpaceDN w:val="0"/>
      <w:adjustRightInd w:val="0"/>
      <w:spacing w:before="100" w:after="100"/>
      <w:ind w:left="360" w:right="360"/>
      <w:jc w:val="left"/>
    </w:pPr>
    <w:rPr>
      <w:kern w:val="0"/>
      <w:sz w:val="24"/>
    </w:rPr>
  </w:style>
  <w:style w:type="paragraph" w:customStyle="1" w:styleId="74">
    <w:name w:val="样式 标题 2 + Times New Roman 四号 非加粗 段前: 5 磅 段后: 0 磅 行距: 固定值 20..."/>
    <w:basedOn w:val="2"/>
    <w:qFormat/>
    <w:uiPriority w:val="0"/>
    <w:pPr>
      <w:spacing w:before="100" w:after="0" w:line="400" w:lineRule="exact"/>
    </w:pPr>
    <w:rPr>
      <w:rFonts w:ascii="Times New Roman" w:hAnsi="Times New Roman" w:cs="宋体"/>
      <w:b w:val="0"/>
      <w:bCs w:val="0"/>
      <w:sz w:val="28"/>
      <w:szCs w:val="20"/>
    </w:rPr>
  </w:style>
  <w:style w:type="paragraph" w:customStyle="1" w:styleId="75">
    <w:name w:val="样式1"/>
    <w:basedOn w:val="1"/>
    <w:qFormat/>
    <w:uiPriority w:val="0"/>
    <w:rPr>
      <w:szCs w:val="21"/>
      <w:lang w:val="zh-CN"/>
    </w:rPr>
  </w:style>
  <w:style w:type="paragraph" w:customStyle="1" w:styleId="76">
    <w:name w:val="Revision_a515bc8e-d327-410c-a925-7f49944345a6"/>
    <w:qFormat/>
    <w:uiPriority w:val="99"/>
    <w:rPr>
      <w:rFonts w:ascii="Times New Roman" w:hAnsi="Times New Roman" w:eastAsia="宋体" w:cs="Times New Roman"/>
      <w:kern w:val="2"/>
      <w:sz w:val="21"/>
      <w:szCs w:val="24"/>
      <w:lang w:val="en-US" w:eastAsia="zh-CN" w:bidi="ar-SA"/>
    </w:rPr>
  </w:style>
  <w:style w:type="character" w:customStyle="1" w:styleId="77">
    <w:name w:val="日期 Char"/>
    <w:link w:val="23"/>
    <w:qFormat/>
    <w:uiPriority w:val="99"/>
    <w:rPr>
      <w:szCs w:val="24"/>
    </w:rPr>
  </w:style>
  <w:style w:type="character" w:customStyle="1" w:styleId="78">
    <w:name w:val="文档结构图 Char"/>
    <w:link w:val="13"/>
    <w:qFormat/>
    <w:uiPriority w:val="99"/>
    <w:rPr>
      <w:rFonts w:ascii="宋体"/>
      <w:sz w:val="18"/>
      <w:szCs w:val="18"/>
    </w:rPr>
  </w:style>
  <w:style w:type="character" w:customStyle="1" w:styleId="79">
    <w:name w:val="日期 Char1"/>
    <w:basedOn w:val="39"/>
    <w:qFormat/>
    <w:uiPriority w:val="99"/>
    <w:rPr>
      <w:rFonts w:ascii="Times New Roman" w:hAnsi="Times New Roman" w:eastAsia="宋体" w:cs="Times New Roman"/>
      <w:szCs w:val="24"/>
    </w:rPr>
  </w:style>
  <w:style w:type="character" w:customStyle="1" w:styleId="80">
    <w:name w:val="文档结构图 Char1"/>
    <w:basedOn w:val="39"/>
    <w:qFormat/>
    <w:uiPriority w:val="99"/>
    <w:rPr>
      <w:rFonts w:ascii="宋体" w:hAnsi="Times New Roman" w:eastAsia="宋体" w:cs="Times New Roman"/>
      <w:sz w:val="18"/>
      <w:szCs w:val="18"/>
    </w:rPr>
  </w:style>
  <w:style w:type="character" w:customStyle="1" w:styleId="81">
    <w:name w:val="标题 Char"/>
    <w:basedOn w:val="39"/>
    <w:link w:val="35"/>
    <w:qFormat/>
    <w:uiPriority w:val="0"/>
    <w:rPr>
      <w:rFonts w:ascii="Cambria" w:hAnsi="Cambria" w:eastAsia="宋体" w:cs="Times New Roman"/>
      <w:b/>
      <w:bCs/>
      <w:sz w:val="32"/>
      <w:szCs w:val="32"/>
    </w:rPr>
  </w:style>
  <w:style w:type="character" w:customStyle="1" w:styleId="82">
    <w:name w:val="editmail"/>
    <w:qFormat/>
    <w:uiPriority w:val="0"/>
  </w:style>
  <w:style w:type="character" w:customStyle="1" w:styleId="83">
    <w:name w:val="页脚 字符"/>
    <w:qFormat/>
    <w:uiPriority w:val="99"/>
  </w:style>
  <w:style w:type="character" w:customStyle="1" w:styleId="84">
    <w:name w:val="标题 6 Char1"/>
    <w:link w:val="6"/>
    <w:qFormat/>
    <w:uiPriority w:val="0"/>
    <w:rPr>
      <w:rFonts w:ascii="Arial" w:hAnsi="Arial" w:eastAsia="黑体" w:cs="Times New Roman"/>
      <w:b/>
      <w:bCs/>
      <w:kern w:val="0"/>
      <w:sz w:val="24"/>
      <w:szCs w:val="24"/>
    </w:rPr>
  </w:style>
  <w:style w:type="character" w:customStyle="1" w:styleId="85">
    <w:name w:val="标题 7 Char1"/>
    <w:link w:val="7"/>
    <w:qFormat/>
    <w:uiPriority w:val="0"/>
    <w:rPr>
      <w:rFonts w:ascii="Times New Roman" w:hAnsi="Times New Roman" w:eastAsia="宋体" w:cs="Times New Roman"/>
      <w:b/>
      <w:bCs/>
      <w:kern w:val="0"/>
      <w:sz w:val="24"/>
      <w:szCs w:val="24"/>
    </w:rPr>
  </w:style>
  <w:style w:type="character" w:customStyle="1" w:styleId="86">
    <w:name w:val="标题 8 Char1"/>
    <w:link w:val="8"/>
    <w:qFormat/>
    <w:uiPriority w:val="0"/>
    <w:rPr>
      <w:rFonts w:ascii="Arial" w:hAnsi="Arial" w:eastAsia="黑体" w:cs="Times New Roman"/>
      <w:kern w:val="0"/>
      <w:sz w:val="24"/>
      <w:szCs w:val="24"/>
    </w:rPr>
  </w:style>
  <w:style w:type="character" w:customStyle="1" w:styleId="87">
    <w:name w:val="标题 9 Char1"/>
    <w:link w:val="9"/>
    <w:qFormat/>
    <w:uiPriority w:val="0"/>
    <w:rPr>
      <w:rFonts w:ascii="Arial" w:hAnsi="Arial" w:eastAsia="黑体" w:cs="Times New Roman"/>
      <w:kern w:val="0"/>
      <w:szCs w:val="21"/>
    </w:rPr>
  </w:style>
  <w:style w:type="character" w:customStyle="1" w:styleId="88">
    <w:name w:val="Char Char8"/>
    <w:qFormat/>
    <w:uiPriority w:val="0"/>
    <w:rPr>
      <w:rFonts w:ascii="Arial" w:hAnsi="Arial" w:eastAsia="黑体"/>
      <w:b/>
      <w:bCs/>
      <w:kern w:val="2"/>
      <w:sz w:val="32"/>
      <w:szCs w:val="32"/>
      <w:lang w:val="en-US" w:eastAsia="zh-CN" w:bidi="ar-SA"/>
    </w:rPr>
  </w:style>
  <w:style w:type="character" w:customStyle="1" w:styleId="89">
    <w:name w:val="Char Char"/>
    <w:qFormat/>
    <w:uiPriority w:val="0"/>
    <w:rPr>
      <w:rFonts w:ascii="Arial" w:hAnsi="Arial" w:eastAsia="黑体"/>
      <w:b/>
      <w:bCs/>
      <w:kern w:val="2"/>
      <w:sz w:val="32"/>
      <w:szCs w:val="32"/>
      <w:lang w:val="en-US" w:eastAsia="zh-CN" w:bidi="ar-SA"/>
    </w:rPr>
  </w:style>
  <w:style w:type="character" w:customStyle="1" w:styleId="90">
    <w:name w:val="font161"/>
    <w:qFormat/>
    <w:uiPriority w:val="0"/>
    <w:rPr>
      <w:b/>
      <w:bCs/>
      <w:sz w:val="32"/>
      <w:szCs w:val="32"/>
    </w:rPr>
  </w:style>
  <w:style w:type="character" w:customStyle="1" w:styleId="91">
    <w:name w:val="Char Char2"/>
    <w:qFormat/>
    <w:uiPriority w:val="0"/>
    <w:rPr>
      <w:rFonts w:eastAsia="宋体"/>
      <w:kern w:val="2"/>
      <w:sz w:val="21"/>
      <w:szCs w:val="24"/>
      <w:lang w:val="en-US" w:eastAsia="zh-CN" w:bidi="ar-SA"/>
    </w:rPr>
  </w:style>
  <w:style w:type="character" w:customStyle="1" w:styleId="92">
    <w:name w:val="Char Char7"/>
    <w:qFormat/>
    <w:uiPriority w:val="0"/>
    <w:rPr>
      <w:rFonts w:ascii="Arial" w:hAnsi="Arial" w:eastAsia="黑体"/>
      <w:b/>
      <w:bCs/>
      <w:kern w:val="2"/>
      <w:sz w:val="32"/>
      <w:szCs w:val="32"/>
      <w:lang w:val="en-US" w:eastAsia="zh-CN" w:bidi="ar-SA"/>
    </w:rPr>
  </w:style>
  <w:style w:type="paragraph" w:customStyle="1" w:styleId="93">
    <w:name w:val="样式4"/>
    <w:basedOn w:val="4"/>
    <w:qFormat/>
    <w:uiPriority w:val="0"/>
    <w:pPr>
      <w:spacing w:line="415" w:lineRule="auto"/>
    </w:pPr>
    <w:rPr>
      <w:rFonts w:eastAsia="Arial"/>
      <w:lang w:val="zh-CN" w:eastAsia="zh-CN"/>
    </w:rPr>
  </w:style>
  <w:style w:type="paragraph" w:customStyle="1" w:styleId="94">
    <w:name w:val="6'"/>
    <w:basedOn w:val="1"/>
    <w:qFormat/>
    <w:uiPriority w:val="0"/>
    <w:pPr>
      <w:autoSpaceDE w:val="0"/>
      <w:autoSpaceDN w:val="0"/>
      <w:adjustRightInd w:val="0"/>
      <w:snapToGrid w:val="0"/>
      <w:spacing w:line="320" w:lineRule="exact"/>
      <w:jc w:val="center"/>
      <w:textAlignment w:val="baseline"/>
    </w:pPr>
    <w:rPr>
      <w:spacing w:val="20"/>
      <w:kern w:val="28"/>
      <w:szCs w:val="20"/>
    </w:rPr>
  </w:style>
  <w:style w:type="character" w:customStyle="1" w:styleId="95">
    <w:name w:val="正文文本缩进 3 Char"/>
    <w:basedOn w:val="39"/>
    <w:qFormat/>
    <w:uiPriority w:val="99"/>
    <w:rPr>
      <w:rFonts w:ascii="Times New Roman" w:hAnsi="Times New Roman" w:eastAsia="宋体" w:cs="Times New Roman"/>
      <w:sz w:val="16"/>
      <w:szCs w:val="16"/>
    </w:rPr>
  </w:style>
  <w:style w:type="character" w:customStyle="1" w:styleId="96">
    <w:name w:val="正文文本缩进 3 Char1"/>
    <w:link w:val="31"/>
    <w:qFormat/>
    <w:uiPriority w:val="0"/>
    <w:rPr>
      <w:rFonts w:ascii="Times New Roman" w:hAnsi="Times New Roman" w:eastAsia="宋体" w:cs="Times New Roman"/>
      <w:sz w:val="16"/>
      <w:szCs w:val="16"/>
    </w:rPr>
  </w:style>
  <w:style w:type="paragraph" w:customStyle="1" w:styleId="97">
    <w:name w:val="1"/>
    <w:basedOn w:val="1"/>
    <w:next w:val="1"/>
    <w:qFormat/>
    <w:uiPriority w:val="0"/>
  </w:style>
  <w:style w:type="paragraph" w:customStyle="1" w:styleId="98">
    <w:name w:val="样式 标题 1 + 黑体 三号 非加粗 居中 段前: 6 磅 段后: 6 磅 行距: 固定值 20 磅"/>
    <w:basedOn w:val="3"/>
    <w:qFormat/>
    <w:uiPriority w:val="0"/>
    <w:pPr>
      <w:spacing w:before="120" w:after="120" w:line="400" w:lineRule="exact"/>
      <w:jc w:val="center"/>
    </w:pPr>
    <w:rPr>
      <w:rFonts w:ascii="黑体" w:hAnsi="黑体" w:eastAsia="黑体" w:cs="宋体"/>
      <w:b w:val="0"/>
      <w:bCs w:val="0"/>
      <w:sz w:val="32"/>
      <w:szCs w:val="20"/>
    </w:rPr>
  </w:style>
  <w:style w:type="paragraph" w:customStyle="1" w:styleId="99">
    <w:name w:val="样式2"/>
    <w:basedOn w:val="4"/>
    <w:qFormat/>
    <w:uiPriority w:val="0"/>
    <w:pPr>
      <w:spacing w:line="415" w:lineRule="auto"/>
    </w:pPr>
    <w:rPr>
      <w:lang w:val="zh-CN" w:eastAsia="zh-CN"/>
    </w:rPr>
  </w:style>
  <w:style w:type="paragraph" w:customStyle="1" w:styleId="100">
    <w:name w:val="表格"/>
    <w:basedOn w:val="1"/>
    <w:qFormat/>
    <w:uiPriority w:val="0"/>
    <w:pPr>
      <w:jc w:val="center"/>
      <w:textAlignment w:val="center"/>
    </w:pPr>
    <w:rPr>
      <w:rFonts w:ascii="华文细黑" w:hAnsi="华文细黑"/>
      <w:kern w:val="0"/>
      <w:szCs w:val="20"/>
    </w:rPr>
  </w:style>
  <w:style w:type="paragraph" w:customStyle="1" w:styleId="101">
    <w:name w:val="样式3"/>
    <w:basedOn w:val="4"/>
    <w:qFormat/>
    <w:uiPriority w:val="0"/>
    <w:pPr>
      <w:spacing w:line="415" w:lineRule="auto"/>
    </w:pPr>
    <w:rPr>
      <w:rFonts w:eastAsia="Arial"/>
      <w:lang w:val="zh-CN" w:eastAsia="zh-CN"/>
    </w:rPr>
  </w:style>
  <w:style w:type="paragraph" w:customStyle="1" w:styleId="102">
    <w:name w:val="Char"/>
    <w:basedOn w:val="1"/>
    <w:qFormat/>
    <w:uiPriority w:val="0"/>
    <w:pPr>
      <w:tabs>
        <w:tab w:val="left" w:pos="360"/>
      </w:tabs>
    </w:pPr>
    <w:rPr>
      <w:sz w:val="24"/>
    </w:rPr>
  </w:style>
  <w:style w:type="character" w:customStyle="1" w:styleId="103">
    <w:name w:val="脚注文本 Char"/>
    <w:basedOn w:val="39"/>
    <w:qFormat/>
    <w:uiPriority w:val="99"/>
    <w:rPr>
      <w:rFonts w:ascii="Times New Roman" w:hAnsi="Times New Roman" w:eastAsia="宋体" w:cs="Times New Roman"/>
      <w:sz w:val="18"/>
      <w:szCs w:val="18"/>
    </w:rPr>
  </w:style>
  <w:style w:type="character" w:customStyle="1" w:styleId="104">
    <w:name w:val="脚注文本 Char1"/>
    <w:link w:val="29"/>
    <w:qFormat/>
    <w:uiPriority w:val="0"/>
    <w:rPr>
      <w:rFonts w:ascii="Times New Roman" w:hAnsi="Times New Roman" w:eastAsia="宋体" w:cs="Times New Roman"/>
      <w:sz w:val="20"/>
      <w:szCs w:val="20"/>
    </w:rPr>
  </w:style>
  <w:style w:type="paragraph" w:customStyle="1" w:styleId="105">
    <w:name w:val="表格文字"/>
    <w:basedOn w:val="1"/>
    <w:qFormat/>
    <w:uiPriority w:val="0"/>
    <w:pPr>
      <w:adjustRightInd w:val="0"/>
      <w:spacing w:line="420" w:lineRule="atLeast"/>
      <w:jc w:val="left"/>
      <w:textAlignment w:val="baseline"/>
    </w:pPr>
    <w:rPr>
      <w:kern w:val="0"/>
      <w:szCs w:val="20"/>
    </w:rPr>
  </w:style>
  <w:style w:type="paragraph" w:styleId="106">
    <w:name w:val="List Paragraph"/>
    <w:basedOn w:val="1"/>
    <w:qFormat/>
    <w:uiPriority w:val="34"/>
    <w:pPr>
      <w:ind w:firstLine="420" w:firstLineChars="200"/>
    </w:pPr>
  </w:style>
  <w:style w:type="paragraph" w:customStyle="1" w:styleId="107">
    <w:name w:val="2 Char Char Char Char Char Char Char Char Char Char Char Char Char"/>
    <w:basedOn w:val="13"/>
    <w:qFormat/>
    <w:uiPriority w:val="0"/>
    <w:pPr>
      <w:shd w:val="clear" w:color="auto" w:fill="000080"/>
    </w:pPr>
    <w:rPr>
      <w:rFonts w:ascii="Tahoma" w:hAnsi="Tahoma"/>
      <w:sz w:val="24"/>
      <w:szCs w:val="24"/>
    </w:rPr>
  </w:style>
  <w:style w:type="paragraph" w:customStyle="1" w:styleId="108">
    <w:name w:val="null3"/>
    <w:qFormat/>
    <w:uiPriority w:val="0"/>
    <w:rPr>
      <w:rFonts w:hint="eastAsia" w:ascii="Calibri" w:hAnsi="Calibri" w:eastAsia="宋体" w:cs="宋体"/>
      <w:lang w:val="en-US"/>
    </w:rPr>
  </w:style>
  <w:style w:type="character" w:customStyle="1" w:styleId="109">
    <w:name w:val="font21"/>
    <w:basedOn w:val="39"/>
    <w:qFormat/>
    <w:uiPriority w:val="0"/>
    <w:rPr>
      <w:rFonts w:hint="eastAsia" w:ascii="宋体" w:hAnsi="宋体" w:eastAsia="宋体" w:cs="宋体"/>
      <w:color w:val="000000"/>
      <w:sz w:val="20"/>
      <w:szCs w:val="20"/>
      <w:u w:val="none"/>
    </w:rPr>
  </w:style>
  <w:style w:type="character" w:customStyle="1" w:styleId="110">
    <w:name w:val="font31"/>
    <w:basedOn w:val="39"/>
    <w:qFormat/>
    <w:uiPriority w:val="0"/>
    <w:rPr>
      <w:rFonts w:ascii="Tahoma" w:hAnsi="Tahoma" w:eastAsia="Tahoma" w:cs="Tahoma"/>
      <w:color w:val="000000"/>
      <w:sz w:val="20"/>
      <w:szCs w:val="20"/>
      <w:u w:val="none"/>
    </w:rPr>
  </w:style>
  <w:style w:type="character" w:customStyle="1" w:styleId="111">
    <w:name w:val="font41"/>
    <w:basedOn w:val="39"/>
    <w:qFormat/>
    <w:uiPriority w:val="0"/>
    <w:rPr>
      <w:rFonts w:hint="default" w:ascii="Tahoma" w:hAnsi="Tahoma" w:eastAsia="Tahoma" w:cs="Tahoma"/>
      <w:color w:val="000000"/>
      <w:sz w:val="20"/>
      <w:szCs w:val="20"/>
      <w:u w:val="none"/>
    </w:rPr>
  </w:style>
  <w:style w:type="paragraph" w:customStyle="1" w:styleId="11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13">
    <w:name w:val="正文缩进2格"/>
    <w:basedOn w:val="1"/>
    <w:qFormat/>
    <w:uiPriority w:val="0"/>
    <w:pPr>
      <w:widowControl w:val="0"/>
      <w:adjustRightInd/>
      <w:snapToGrid/>
      <w:spacing w:line="600" w:lineRule="exact"/>
      <w:ind w:firstLine="639" w:firstLineChars="206"/>
      <w:jc w:val="both"/>
    </w:pPr>
    <w:rPr>
      <w:rFonts w:ascii="仿宋_GB2312" w:hAnsi="宋体" w:eastAsia="仿宋_GB2312"/>
      <w:kern w:val="2"/>
      <w:sz w:val="31"/>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3.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customShpExts>
</s:customData>
</file>

<file path=customXml/item2.xml><?xml version="1.0" encoding="utf-8"?>
<contractReview xmlns="http://schemas.wps.cn/vas-ai-hub/contract-review">
  <reviewItems>
    <reviewItem>
      <errorID>7e586808-262e-4dd1-bac2-eed81130c2f3</errorID>
      <errorWord>应</errorWord>
      <group>L1_Word</group>
      <groupName>字词问题</groupName>
      <ability>L2_Typo</ability>
      <abilityName>字词错误</abilityName>
      <candidateList>
        <item>应加</item>
      </candidateList>
      <explain/>
      <paraID> BCCBB18</paraID>
      <start>20</start>
      <end>22</end>
      <status>modified</status>
      <modifiedWord>应加</modifiedWord>
      <trackRevisions>false</trackRevisions>
    </reviewItem>
    <reviewItem>
      <errorID>9ca3fcfe-59b0-41bf-8c89-0a888c0232fe</errorID>
      <errorWord>可</errorWord>
      <group>L1_Word</group>
      <groupName>字词问题</groupName>
      <ability>L2_Typo</ability>
      <abilityName>字词错误</abilityName>
      <candidateList>
        <item>可以</item>
      </candidateList>
      <explain>〈口〉〈形〉❶好；不坏；过得去：这篇文章写得还～。❷厉害：你这张嘴真～｜天气实在热得～。</explain>
      <paraID>16A3F9FD</paraID>
      <start>9</start>
      <end>11</end>
      <status>modified</status>
      <modifiedWord>可以</modifiedWord>
      <trackRevisions>false</trackRevisions>
    </reviewItem>
    <reviewItem>
      <errorID>67f2d240-9343-44d7-86a1-bc7ccb334e6f</errorID>
      <errorWord>关于要</errorWord>
      <group>L1_Word</group>
      <groupName>字词问题</groupName>
      <ability>L2_Typo</ability>
      <abilityName>字词错误</abilityName>
      <candidateList>
        <item>关于</item>
      </candidateList>
      <explain>〈介〉❶引进某种行为的关系者，组成介词结构做状语：～扶贫工作，上级已经做了指示。❷引进某种事物的关系者，组成介词结构做定语（后面要加“的”），或在“是…的”式中做谓语：他读了几本～政治经济学的书｜今天在厂里开了一个会，是～环境保护方面的。‖注意a）表示关涉，用“关于”不用“对于”，如：～织女星，民间有个美丽的传说。</explain>
      <paraID>6C319556</paraID>
      <start>4</start>
      <end>6</end>
      <status>modified</status>
      <modifiedWord>关于</modifiedWord>
      <trackRevisions>false</trackRevisions>
    </reviewItem>
    <reviewItem>
      <errorID>f5c0c106-77a5-41e2-b002-0f2f138641cd</errorID>
      <errorWord>、或</errorWord>
      <group>L1_Word</group>
      <groupName>字词问题</groupName>
      <ability>L2_Typo</ability>
      <abilityName>字词错误</abilityName>
      <candidateList>
        <item>或</item>
      </candidateList>
      <explain>❶〈副〉或许；也许：慰问团已经起程，明日上午～可到达。❷〈连〉或者v▲：～多～少｜不解决桥～船的问题，过河就是一句空话｜他生怕我没听清～不注意，所以又嘱咐了一遍。❸〈书〉〈代〉指示代词。某人；有的人：～告之曰。❹〈书〉副稍微：不可～缺｜不可～忽。</explain>
      <paraID>68706E13</paraID>
      <start>12</start>
      <end>14</end>
      <status>ignored</status>
      <modifiedWord/>
      <trackRevisions>false</trackRevisions>
    </reviewItem>
    <reviewItem>
      <errorID>f710c501-a6be-4359-ab77-8ea376960ab6</errorID>
      <errorWord>(</errorWord>
      <group>L1_Format</group>
      <groupName>格式问题</groupName>
      <ability>L2_HalfPunc</ability>
      <abilityName>全半角检查</abilityName>
      <candidateList>
        <item>（</item>
      </candidateList>
      <explain>文本全半角错误。</explain>
      <paraID>2C47998C</paraID>
      <start>9</start>
      <end>10</end>
      <status>modified</status>
      <modifiedWord>（</modifiedWord>
      <trackRevisions>false</trackRevisions>
    </reviewItem>
    <reviewItem>
      <errorID>61fcdaa1-4f8b-4075-bbeb-005be49a23d7</errorID>
      <errorWord>)</errorWord>
      <group>L1_Format</group>
      <groupName>格式问题</groupName>
      <ability>L2_HalfPunc</ability>
      <abilityName>全半角检查</abilityName>
      <candidateList>
        <item>）</item>
      </candidateList>
      <explain>文本全半角错误。</explain>
      <paraID>2C47998C</paraID>
      <start>17</start>
      <end>18</end>
      <status>modified</status>
      <modifiedWord>）</modifiedWord>
      <trackRevisions>false</trackRevisions>
    </reviewItem>
    <reviewItem>
      <errorID>4ee65a17-7487-4ef4-a148-8c4390eea2cc</errorID>
      <errorWord>,</errorWord>
      <group>L1_Format</group>
      <groupName>格式问题</groupName>
      <ability>L2_HalfPunc</ability>
      <abilityName>全半角检查</abilityName>
      <candidateList>
        <item>，</item>
      </candidateList>
      <explain>文本全半角错误。</explain>
      <paraID>52695311</paraID>
      <start>94</start>
      <end>95</end>
      <status>modified</status>
      <modifiedWord>，</modifiedWord>
      <trackRevisions>false</trackRevisions>
    </reviewItem>
    <reviewItem>
      <errorID>3c7880f8-b095-4c92-ba11-c73f5161a7bc</errorID>
      <errorWord>(</errorWord>
      <group>L1_Format</group>
      <groupName>格式问题</groupName>
      <ability>L2_HalfPunc</ability>
      <abilityName>全半角检查</abilityName>
      <candidateList>
        <item>（</item>
      </candidateList>
      <explain>文本全半角错误。</explain>
      <paraID>3381D6E5</paraID>
      <start>0</start>
      <end>1</end>
      <status>modified</status>
      <modifiedWord>（</modifiedWord>
      <trackRevisions>false</trackRevisions>
    </reviewItem>
    <reviewItem>
      <errorID>14031c02-91eb-4fc1-ad74-baed59e6f5ee</errorID>
      <errorWord>(</errorWord>
      <group>L1_Format</group>
      <groupName>格式问题</groupName>
      <ability>L2_HalfPunc</ability>
      <abilityName>全半角检查</abilityName>
      <candidateList>
        <item>（</item>
      </candidateList>
      <explain>文本全半角错误。</explain>
      <paraID>490B3E58</paraID>
      <start>0</start>
      <end>1</end>
      <status>modified</status>
      <modifiedWord>（</modifiedWord>
      <trackRevisions>false</trackRevisions>
    </reviewItem>
    <reviewItem>
      <errorID>e3ad6c0d-e854-46e5-9a3a-09c3458c4a65</errorID>
      <errorWord>(</errorWord>
      <group>L1_Format</group>
      <groupName>格式问题</groupName>
      <ability>L2_HalfPunc</ability>
      <abilityName>全半角检查</abilityName>
      <candidateList>
        <item>（</item>
      </candidateList>
      <explain>文本全半角错误。</explain>
      <paraID> 12B4053</paraID>
      <start>49</start>
      <end>50</end>
      <status>modified</status>
      <modifiedWord>（</modifiedWord>
      <trackRevisions>false</trackRevisions>
    </reviewItem>
    <reviewItem>
      <errorID>1575389f-1aa0-472d-bf67-bd961f1db0e8</errorID>
      <errorWord>)</errorWord>
      <group>L1_Format</group>
      <groupName>格式问题</groupName>
      <ability>L2_HalfPunc</ability>
      <abilityName>全半角检查</abilityName>
      <candidateList>
        <item>）</item>
      </candidateList>
      <explain>文本全半角错误。</explain>
      <paraID> 12B4053</paraID>
      <start>51</start>
      <end>52</end>
      <status>modified</status>
      <modifiedWord>）</modifiedWord>
      <trackRevisions>false</trackRevisions>
    </reviewItem>
    <reviewItem>
      <errorID>a0cd7ca5-bdca-4e74-a9e6-6732ea61e4c7</errorID>
      <errorWord>(</errorWord>
      <group>L1_Format</group>
      <groupName>格式问题</groupName>
      <ability>L2_HalfPunc</ability>
      <abilityName>全半角检查</abilityName>
      <candidateList>
        <item>（</item>
      </candidateList>
      <explain>文本全半角错误。</explain>
      <paraID> 12B4053</paraID>
      <start>59</start>
      <end>60</end>
      <status>modified</status>
      <modifiedWord>（</modifiedWord>
      <trackRevisions>false</trackRevisions>
    </reviewItem>
    <reviewItem>
      <errorID>395ac676-a5fe-4b68-9211-1d6c764d363d</errorID>
      <errorWord>)</errorWord>
      <group>L1_Format</group>
      <groupName>格式问题</groupName>
      <ability>L2_HalfPunc</ability>
      <abilityName>全半角检查</abilityName>
      <candidateList>
        <item>）</item>
      </candidateList>
      <explain>文本全半角错误。</explain>
      <paraID> 12B4053</paraID>
      <start>61</start>
      <end>62</end>
      <status>modified</status>
      <modifiedWord>）</modifiedWord>
      <trackRevisions>false</trackRevisions>
    </reviewItem>
    <reviewItem>
      <errorID>929a24a4-e37b-4412-b5b6-b02407c2c79e</errorID>
      <errorWord>(</errorWord>
      <group>L1_Format</group>
      <groupName>格式问题</groupName>
      <ability>L2_HalfPunc</ability>
      <abilityName>全半角检查</abilityName>
      <candidateList>
        <item>（</item>
      </candidateList>
      <explain>文本全半角错误。</explain>
      <paraID> 12B4053</paraID>
      <start>72</start>
      <end>73</end>
      <status>modified</status>
      <modifiedWord>（</modifiedWord>
      <trackRevisions>false</trackRevisions>
    </reviewItem>
    <reviewItem>
      <errorID>4ffe42bb-c6c6-4fec-a105-ad4a39082bba</errorID>
      <errorWord>)</errorWord>
      <group>L1_Format</group>
      <groupName>格式问题</groupName>
      <ability>L2_HalfPunc</ability>
      <abilityName>全半角检查</abilityName>
      <candidateList>
        <item>）</item>
      </candidateList>
      <explain>文本全半角错误。</explain>
      <paraID> 12B4053</paraID>
      <start>74</start>
      <end>75</end>
      <status>modified</status>
      <modifiedWord>）</modifiedWord>
      <trackRevisions>false</trackRevisions>
    </reviewItem>
    <reviewItem>
      <errorID>45ecf591-0c11-4ffe-b5ef-1013024e41f4</errorID>
      <errorWord>(</errorWord>
      <group>L1_Format</group>
      <groupName>格式问题</groupName>
      <ability>L2_HalfPunc</ability>
      <abilityName>全半角检查</abilityName>
      <candidateList>
        <item>（</item>
      </candidateList>
      <explain>文本全半角错误。</explain>
      <paraID> 12B4053</paraID>
      <start>82</start>
      <end>83</end>
      <status>modified</status>
      <modifiedWord>（</modifiedWord>
      <trackRevisions>false</trackRevisions>
    </reviewItem>
    <reviewItem>
      <errorID>3380b1c1-795e-4199-8d39-972d0a13959b</errorID>
      <errorWord>)</errorWord>
      <group>L1_Format</group>
      <groupName>格式问题</groupName>
      <ability>L2_HalfPunc</ability>
      <abilityName>全半角检查</abilityName>
      <candidateList>
        <item>）</item>
      </candidateList>
      <explain>文本全半角错误。</explain>
      <paraID> 12B4053</paraID>
      <start>84</start>
      <end>85</end>
      <status>modified</status>
      <modifiedWord>）</modifiedWord>
      <trackRevisions>false</trackRevisions>
    </reviewItem>
    <reviewItem>
      <errorID>8a102876-53bc-44d8-be9b-5db29b63c3bc</errorID>
      <errorWord>(</errorWord>
      <group>L1_Format</group>
      <groupName>格式问题</groupName>
      <ability>L2_HalfPunc</ability>
      <abilityName>全半角检查</abilityName>
      <candidateList>
        <item>（</item>
      </candidateList>
      <explain>文本全半角错误。</explain>
      <paraID> 12B4053</paraID>
      <start>115</start>
      <end>116</end>
      <status>modified</status>
      <modifiedWord>（</modifiedWord>
      <trackRevisions>false</trackRevisions>
    </reviewItem>
    <reviewItem>
      <errorID>8b94b064-f3a2-4688-8188-65a6c0e1804a</errorID>
      <errorWord>)</errorWord>
      <group>L1_Format</group>
      <groupName>格式问题</groupName>
      <ability>L2_HalfPunc</ability>
      <abilityName>全半角检查</abilityName>
      <candidateList>
        <item>）</item>
      </candidateList>
      <explain>文本全半角错误。</explain>
      <paraID> 12B4053</paraID>
      <start>117</start>
      <end>118</end>
      <status>modified</status>
      <modifiedWord>）</modifiedWord>
      <trackRevisions>false</trackRevisions>
    </reviewItem>
    <reviewItem>
      <errorID>3bdbf187-8e09-471a-9f56-514f862ddee1</errorID>
      <errorWord>(</errorWord>
      <group>L1_Format</group>
      <groupName>格式问题</groupName>
      <ability>L2_HalfPunc</ability>
      <abilityName>全半角检查</abilityName>
      <candidateList>
        <item>（</item>
      </candidateList>
      <explain>文本全半角错误。</explain>
      <paraID> 12B4053</paraID>
      <start>128</start>
      <end>129</end>
      <status>modified</status>
      <modifiedWord>（</modifiedWord>
      <trackRevisions>false</trackRevisions>
    </reviewItem>
    <reviewItem>
      <errorID>c970aff7-27d3-4c52-94b1-67461b463b72</errorID>
      <errorWord>)</errorWord>
      <group>L1_Format</group>
      <groupName>格式问题</groupName>
      <ability>L2_HalfPunc</ability>
      <abilityName>全半角检查</abilityName>
      <candidateList>
        <item>）</item>
      </candidateList>
      <explain>文本全半角错误。</explain>
      <paraID> 12B4053</paraID>
      <start>130</start>
      <end>131</end>
      <status>modified</status>
      <modifiedWord>）</modifiedWord>
      <trackRevisions>false</trackRevisions>
    </reviewItem>
    <reviewItem>
      <errorID>1f90520c-acf9-431f-8031-8c02625af869</errorID>
      <errorWord>涧</errorWord>
      <group>L1_Word</group>
      <groupName>字词问题</groupName>
      <ability>L2_Typo</ability>
      <abilityName>字词错误</abilityName>
      <candidateList>
        <item>检</item>
      </candidateList>
      <explain>存在发音相同字词的误用。</explain>
      <paraID>4752A9D8</paraID>
      <start>104</start>
      <end>105</end>
      <status>ignored</status>
      <modifiedWord/>
      <trackRevisions>false</trackRevisions>
    </reviewItem>
    <reviewItem>
      <errorID>e5c17370-d57e-4f58-b82c-1b9db1fd8550</errorID>
      <errorWord>至少派2名以上</errorWord>
      <group>L1_Word</group>
      <groupName>字词问题</groupName>
      <ability>L2_Typo</ability>
      <abilityName>字词错误</abilityName>
      <candidateList>
        <item>至少派2名</item>
      </candidateList>
      <explain/>
      <paraID>5AA92C65</paraID>
      <start>146</start>
      <end>153</end>
      <status>ignored</status>
      <modifiedWord/>
      <trackRevisions>false</trackRevisions>
    </reviewItem>
    <reviewItem>
      <errorID>6b7f48d8-2dba-4233-80d1-01acaef5f11c</errorID>
      <errorWord>规定证书</errorWord>
      <group>L1_Knowledge</group>
      <groupName>知识性问题</groupName>
      <ability>L2_Term</ability>
      <abilityName>专业术语</abilityName>
      <candidateList>
        <item>检定证书</item>
      </candidateList>
      <explain/>
      <paraID>5AA92C65</paraID>
      <start>178</start>
      <end>182</end>
      <status>ignored</status>
      <modifiedWord/>
      <trackRevisions>false</trackRevisions>
    </reviewItem>
    <reviewItem>
      <errorID>fb4768f0-0e0b-4c3b-aff9-aa4ccf0b6d88</errorID>
      <errorWord>堵转</errorWord>
      <group>L1_Word</group>
      <groupName>字词问题</groupName>
      <ability>L2_Typo</ability>
      <abilityName>字词错误</abilityName>
      <candidateList>
        <item>扭转</item>
      </candidateList>
      <explain/>
      <paraID> CB33DAA</paraID>
      <start>35</start>
      <end>37</end>
      <status>modified</status>
      <modifiedWord>扭转</modifiedWord>
      <trackRevisions>false</trackRevisions>
    </reviewItem>
    <reviewItem>
      <errorID>33327519-1f05-404b-b206-a47fad8b2ce4</errorID>
      <errorWord>（</errorWord>
      <group>L1_Punc</group>
      <groupName>标点问题</groupName>
      <ability>L2_Punc</ability>
      <abilityName>标点符号检查</abilityName>
      <candidateList/>
      <explain>同一形式括号套用。</explain>
      <paraID>41D07754</paraID>
      <start>46</start>
      <end>47</end>
      <status>unmodified</status>
      <modifiedWord/>
      <trackRevisions>false</trackRevisions>
    </reviewItem>
    <reviewItem>
      <errorID>3042e94f-dfed-48e4-b3c1-a9c85eca2c4b</errorID>
      <errorWord>）</errorWord>
      <group>L1_Punc</group>
      <groupName>标点问题</groupName>
      <ability>L2_Punc</ability>
      <abilityName>标点符号检查</abilityName>
      <candidateList/>
      <explain>同一形式括号套用。</explain>
      <paraID>41D07754</paraID>
      <start>53</start>
      <end>54</end>
      <status>unmodified</status>
      <modifiedWord/>
      <trackRevisions>false</trackRevisions>
    </reviewItem>
    <reviewItem>
      <errorID>8248f97b-804c-4ed7-995f-e2982f70eea4</errorID>
      <errorWord>杂音</errorWord>
      <group>L1_Word</group>
      <groupName>字词问题</groupName>
      <ability>L2_Typo</ability>
      <abilityName>字词错误</abilityName>
      <candidateList>
        <item>噪音</item>
      </candidateList>
      <explain>存在发音相近字词的误用。</explain>
      <paraID>4181D84B</paraID>
      <start>71</start>
      <end>73</end>
      <status>unmodified</status>
      <modifiedWord/>
      <trackRevisions>false</trackRevisions>
    </reviewItem>
    <reviewItem>
      <errorID>5a43b6bd-15a8-4b3d-918d-c88e410dd868</errorID>
      <errorWord>震动</errorWord>
      <group>L1_Word</group>
      <groupName>字词问题</groupName>
      <ability>L2_Typo</ability>
      <abilityName>字词错误</abilityName>
      <candidateList>
        <item>振动</item>
      </candidateList>
      <explain>〈动〉物体通过一个中心位置，不断作往复运动。摆的运动就是振动。也叫振荡。</explain>
      <paraID>4181D84B</paraID>
      <start>80</start>
      <end>82</end>
      <status>unmodified</status>
      <modifiedWord/>
      <trackRevisions>false</trackRevisions>
    </reviewItem>
    <reviewItem>
      <errorID>cab80a5b-2051-4c01-b2d2-b0775ac8aa4e</errorID>
      <errorWord>涡轮</errorWord>
      <group>L1_Word</group>
      <groupName>字词问题</groupName>
      <ability>L2_Typo</ability>
      <abilityName>字词错误</abilityName>
      <candidateList>
        <item>蜗轮</item>
      </candidateList>
      <explain/>
      <paraID>4181D84B</paraID>
      <start>201</start>
      <end>203</end>
      <status>unmodified</status>
      <modifiedWord/>
      <trackRevisions>false</trackRevisions>
    </reviewItem>
    <reviewItem>
      <errorID>ea024331-634a-444a-8bd3-9d69d5e4cbe6</errorID>
      <errorWord>关门机</errorWord>
      <group>L1_Word</group>
      <groupName>字词问题</groupName>
      <ability>L2_Typo</ability>
      <abilityName>字词错误</abilityName>
      <candidateList>
        <item>关门</item>
      </candidateList>
      <explain/>
      <paraID>5F1CE9C2</paraID>
      <start>26</start>
      <end>29</end>
      <status>unmodified</status>
      <modifiedWord/>
      <trackRevisions>false</trackRevisions>
    </reviewItem>
    <reviewItem>
      <errorID>9451e2c5-295b-42e1-99f1-93b225417ac2</errorID>
      <errorWord>挂渡</errorWord>
      <group>L1_Word</group>
      <groupName>字词问题</groupName>
      <ability>L2_Typo</ability>
      <abilityName>字词错误</abilityName>
      <candidateList>
        <item>挂齿</item>
      </candidateList>
      <explain/>
      <paraID>5F1CE9C2</paraID>
      <start>34</start>
      <end>36</end>
      <status>unmodified</status>
      <modifiedWord/>
      <trackRevisions>false</trackRevisions>
    </reviewItem>
    <reviewItem>
      <errorID>a8c944e7-65f4-42f1-ba5f-7b2a96dffd97</errorID>
      <errorWord>门刀</errorWord>
      <group>L1_Word</group>
      <groupName>字词问题</groupName>
      <ability>L2_Typo</ability>
      <abilityName>字词错误</abilityName>
      <candidateList>
        <item>门道</item>
      </candidateList>
      <explain/>
      <paraID>4F1220F5</paraID>
      <start>32</start>
      <end>34</end>
      <status>unmodified</status>
      <modifiedWord/>
      <trackRevisions>false</trackRevisions>
    </reviewItem>
    <reviewItem>
      <errorID>a3425f78-edf4-4894-809e-548212f8c060</errorID>
      <errorWord>作</errorWord>
      <group>L1_Word</group>
      <groupName>字词问题</groupName>
      <ability>L2_Typo</ability>
      <abilityName>字词错误</abilityName>
      <candidateList>
        <item>做</item>
      </candidateList>
      <explain>存在发音相同字词的误用。</explain>
      <paraID>3D15B6FA</paraID>
      <start>42</start>
      <end>43</end>
      <status>unmodified</status>
      <modifiedWord/>
      <trackRevisions>false</trackRevisions>
    </reviewItem>
    <reviewItem>
      <errorID>3908bba7-f417-404a-b44f-088dc767ff8f</errorID>
      <errorWord>灼迹</errorWord>
      <group>L1_Word</group>
      <groupName>字词问题</groupName>
      <ability>L2_Typo</ability>
      <abilityName>字词错误</abilityName>
      <candidateList>
        <item>锈迹</item>
      </candidateList>
      <explain/>
      <paraID>19960049</paraID>
      <start>27</start>
      <end>29</end>
      <status>unmodified</status>
      <modifiedWord/>
      <trackRevisions>false</trackRevisions>
    </reviewItem>
    <reviewItem>
      <errorID>8bec173b-51f4-4bbc-90e6-d442a616bda6</errorID>
      <errorWord>作</errorWord>
      <group>L1_Word</group>
      <groupName>字词问题</groupName>
      <ability>L2_Typo</ability>
      <abilityName>字词错误</abilityName>
      <candidateList>
        <item>做</item>
      </candidateList>
      <explain>存在发音相同字词的误用。</explain>
      <paraID>5A82CF81</paraID>
      <start>33</start>
      <end>34</end>
      <status>unmodified</status>
      <modifiedWord/>
      <trackRevisions>false</trackRevisions>
    </reviewItem>
    <reviewItem>
      <errorID>9204732e-977b-4e1f-9bbb-ced22839b04c</errorID>
      <errorWord>震动</errorWord>
      <group>L1_Word</group>
      <groupName>字词问题</groupName>
      <ability>L2_Typo</ability>
      <abilityName>字词错误</abilityName>
      <candidateList>
        <item>振动</item>
      </candidateList>
      <explain>存在发音相同字词的误用。</explain>
      <paraID>2C119F88</paraID>
      <start>9</start>
      <end>11</end>
      <status>unmodified</status>
      <modifiedWord/>
      <trackRevisions>false</trackRevisions>
    </reviewItem>
    <reviewItem>
      <errorID>4b947d1f-cfc1-4f5a-bbf1-fcac89631cca</errorID>
      <errorWord>涡杆</errorWord>
      <group>L1_Word</group>
      <groupName>字词问题</groupName>
      <ability>L2_Typo</ability>
      <abilityName>字词错误</abilityName>
      <candidateList>
        <item>蜗杆</item>
      </candidateList>
      <explain/>
      <paraID>2A620ED3</paraID>
      <start>18</start>
      <end>20</end>
      <status>unmodified</status>
      <modifiedWord/>
      <trackRevisions>false</trackRevisions>
    </reviewItem>
    <reviewItem>
      <errorID>3a33f29d-92ca-4727-8b07-5922ddab4acb</errorID>
      <errorWord>》</errorWord>
      <group>L1_Word</group>
      <groupName>字词问题</groupName>
      <ability>L2_Typo</ability>
      <abilityName>字词错误</abilityName>
      <candidateList>
        <item>》等</item>
      </candidateList>
      <explain/>
      <paraID>378FE3D8</paraID>
      <start>29</start>
      <end>30</end>
      <status>unmodified</status>
      <modifiedWord/>
      <trackRevisions>false</trackRevisions>
    </reviewItem>
    <reviewItem>
      <errorID>f479c37b-8cb1-4397-befa-aa7175ed44cb</errorID>
      <errorWord>噪音</errorWord>
      <group>L1_Word</group>
      <groupName>字词问题</groupName>
      <ability>L2_Alias</ability>
      <abilityName>也作/曾用词</abilityName>
      <candidateList>
        <item>噪声</item>
      </candidateList>
      <explain>词汇[噪音]为不规范表述或旧称，其规范书面表述为[噪声]。</explain>
      <paraID> 3678226</paraID>
      <start>32</start>
      <end>34</end>
      <status>unmodified</status>
      <modifiedWord/>
      <trackRevisions>false</trackRevisions>
    </reviewItem>
    <reviewItem>
      <errorID>9812ae1f-faa7-43a6-a8c6-bd48718ac868</errorID>
      <errorWord>制动力自</errorWord>
      <group>L1_Knowledge</group>
      <groupName>知识性问题</groupName>
      <ability>L2_Term</ability>
      <abilityName>专业术语</abilityName>
      <candidateList>
        <item>制动力矩</item>
      </candidateList>
      <explain/>
      <paraID>2BBDE9B4</paraID>
      <start>21</start>
      <end>25</end>
      <status>unmodified</status>
      <modifiedWord/>
      <trackRevisions>false</trackRevisions>
    </reviewItem>
    <reviewItem>
      <errorID>f3d0a999-c45d-4290-bff8-f6f5844f5bad</errorID>
      <errorWord>防护拦</errorWord>
      <group>L1_Word</group>
      <groupName>字词问题</groupName>
      <ability>L2_Typo</ability>
      <abilityName>字词错误</abilityName>
      <candidateList>
        <item>防护栏</item>
      </candidateList>
      <explain/>
      <paraID>52D0802C</paraID>
      <start>3</start>
      <end>6</end>
      <status>modified</status>
      <modifiedWord>防护栏</modifiedWord>
      <trackRevisions>false</trackRevisions>
    </reviewItem>
    <reviewItem>
      <errorID>7d7a51bb-e997-41ef-b1b5-8364fa58feb7</errorID>
      <errorWord>门门</errorWord>
      <group>L1_Word</group>
      <groupName>字词问题</groupName>
      <ability>L2_Typo</ability>
      <abilityName>字词错误</abilityName>
      <candidateList>
        <item>门</item>
      </candidateList>
      <explain/>
      <paraID>36D04A34</paraID>
      <start>1</start>
      <end>3</end>
      <status>unmodified</status>
      <modifiedWord/>
      <trackRevisions>false</trackRevisions>
    </reviewItem>
    <reviewItem>
      <errorID>9d05dcba-8f66-4d24-b02e-2915acf69b89</errorID>
      <errorWord>保持有</errorWord>
      <group>L1_Word</group>
      <groupName>字词问题</groupName>
      <ability>L2_Typo</ability>
      <abilityName>字词错误</abilityName>
      <candidateList>
        <item>保持</item>
      </candidateList>
      <explain/>
      <paraID>2E1E15DE</paraID>
      <start>9</start>
      <end>12</end>
      <status>unmodified</status>
      <modifiedWord/>
      <trackRevisions>false</trackRevisions>
    </reviewItem>
    <reviewItem>
      <errorID>f2232592-3195-4f92-9d98-d3b22ffeca0b</errorID>
      <errorWord>（</errorWord>
      <group>L1_Punc</group>
      <groupName>标点问题</groupName>
      <ability>L2_Punc</ability>
      <abilityName>标点符号检查</abilityName>
      <candidateList/>
      <explain/>
      <paraID>6FAB526C</paraID>
      <start>10</start>
      <end>11</end>
      <status>unmodified</status>
      <modifiedWord/>
      <trackRevisions>false</trackRevisions>
    </reviewItem>
    <reviewItem>
      <errorID>e9e1b8fe-2061-46cb-b341-a13c0c1e7b95</errorID>
      <errorWord>明显展</errorWord>
      <group>L1_Word</group>
      <groupName>字词问题</groupName>
      <ability>L2_Typo</ability>
      <abilityName>字词错误</abilityName>
      <candidateList>
        <item>明显</item>
      </candidateList>
      <explain/>
      <paraID>57EA154D</paraID>
      <start>8</start>
      <end>10</end>
      <status>modified</status>
      <modifiedWord>明显</modifiedWord>
      <trackRevisions>false</trackRevisions>
    </reviewItem>
    <reviewItem>
      <errorID>475d164a-95cb-49d8-bc3c-9a84fb9b976f</errorID>
      <errorWord>先</errorWord>
      <group>L1_Word</group>
      <groupName>字词问题</groupName>
      <ability>L2_Typo</ability>
      <abilityName>字词错误</abilityName>
      <candidateList>
        <item>线</item>
      </candidateList>
      <explain>存在发音相同字词的误用。</explain>
      <paraID>7F2848CC</paraID>
      <start>8</start>
      <end>9</end>
      <status>modified</status>
      <modifiedWord>线</modifiedWord>
      <trackRevisions>false</trackRevisions>
    </reviewItem>
    <reviewItem>
      <errorID>52a13f07-7787-4c27-ae30-38f543dd1ea1</errorID>
      <errorWord>涉及到</errorWord>
      <group>L1_Word</group>
      <groupName>字词问题</groupName>
      <ability>L2_Typo</ability>
      <abilityName>字词错误</abilityName>
      <candidateList>
        <item>涉及</item>
      </candidateList>
      <explain>〈动〉牵涉到；关联到：案子～好几个人｜这个问题～面很广。</explain>
      <paraID>7CE0469D</paraID>
      <start>4</start>
      <end>6</end>
      <status>modified</status>
      <modifiedWord>涉及</modifiedWord>
      <trackRevisions>false</trackRevisions>
    </reviewItem>
    <reviewItem>
      <errorID>059814ab-0319-45e2-911a-839d848c04d5</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5B5C05B1</paraID>
      <start>136</start>
      <end>139</end>
      <status>unmodified</status>
      <modifiedWord/>
      <trackRevisions>false</trackRevisions>
    </reviewItem>
    <reviewItem>
      <errorID>5e5f8c1a-d7dd-4a65-815b-c74d330a8c39</errorID>
      <errorWord>(</errorWord>
      <group>L1_Format</group>
      <groupName>格式问题</groupName>
      <ability>L2_HalfPunc</ability>
      <abilityName>全半角检查</abilityName>
      <candidateList>
        <item>（</item>
      </candidateList>
      <explain>文本全半角错误。</explain>
      <paraID>1FF3A644</paraID>
      <start>76</start>
      <end>77</end>
      <status>modified</status>
      <modifiedWord>（</modifiedWord>
      <trackRevisions>false</trackRevisions>
    </reviewItem>
    <reviewItem>
      <errorID>87639991-9bb0-472a-be49-8f4f668c41b7</errorID>
      <errorWord>涧滑</errorWord>
      <group>L1_Word</group>
      <groupName>字词问题</groupName>
      <ability>L2_Typo</ability>
      <abilityName>字词错误</abilityName>
      <candidateList>
        <item>润滑</item>
      </candidateList>
      <explain>存在字形相近字词的误用。</explain>
      <paraID>201CD7FD</paraID>
      <start>15</start>
      <end>17</end>
      <status>modified</status>
      <modifiedWord>润滑</modifiedWord>
      <trackRevisions>false</trackRevisions>
    </reviewItem>
    <reviewItem>
      <errorID>cdfce836-efe3-49d1-8bdd-cf9741aea7e6</errorID>
      <errorWord>至少派2名以上</errorWord>
      <group>L1_Word</group>
      <groupName>字词问题</groupName>
      <ability>L2_Typo</ability>
      <abilityName>字词错误</abilityName>
      <candidateList>
        <item>至少派2名</item>
      </candidateList>
      <explain/>
      <paraID>628DFE10</paraID>
      <start>140</start>
      <end>147</end>
      <status>unmodified</status>
      <modifiedWord/>
      <trackRevisions>false</trackRevisions>
    </reviewItem>
    <reviewItem>
      <errorID>c03dceca-b4c7-4437-897b-c98c6fe34a07</errorID>
      <errorWord>经得</errorWord>
      <group>L1_Word</group>
      <groupName>字词问题</groupName>
      <ability>L2_Typo</ability>
      <abilityName>字词错误</abilityName>
      <candidateList>
        <item>经</item>
      </candidateList>
      <explain/>
      <paraID>628DFE10</paraID>
      <start>177</start>
      <end>179</end>
      <status>unmodified</status>
      <modifiedWord/>
      <trackRevisions>false</trackRevisions>
    </reviewItem>
    <reviewItem>
      <errorID>999fff10-105d-4d76-905c-febb23c195e8</errorID>
      <errorWord>堵转</errorWord>
      <group>L1_Word</group>
      <groupName>字词问题</groupName>
      <ability>L2_Typo</ability>
      <abilityName>字词错误</abilityName>
      <candidateList>
        <item>扭转</item>
      </candidateList>
      <explain/>
      <paraID>6082B92E</paraID>
      <start>35</start>
      <end>37</end>
      <status>modified</status>
      <modifiedWord>扭转</modifiedWord>
      <trackRevisions>false</trackRevisions>
    </reviewItem>
    <reviewItem>
      <errorID>27798445-df40-4c96-b4d6-4d2680cdc9ed</errorID>
      <errorWord>杂音</errorWord>
      <group>L1_Word</group>
      <groupName>字词问题</groupName>
      <ability>L2_Typo</ability>
      <abilityName>字词错误</abilityName>
      <candidateList>
        <item>噪音</item>
      </candidateList>
      <explain>存在发音相近字词的误用。</explain>
      <paraID>3E61B90A</paraID>
      <start>71</start>
      <end>73</end>
      <status>unmodified</status>
      <modifiedWord/>
      <trackRevisions>false</trackRevisions>
    </reviewItem>
    <reviewItem>
      <errorID>d83132c9-42a2-4fe9-9b0b-36fc79ae8b85</errorID>
      <errorWord>震动</errorWord>
      <group>L1_Word</group>
      <groupName>字词问题</groupName>
      <ability>L2_Typo</ability>
      <abilityName>字词错误</abilityName>
      <candidateList>
        <item>振动</item>
      </candidateList>
      <explain>〈动〉物体通过一个中心位置，不断作往复运动。摆的运动就是振动。也叫振荡。</explain>
      <paraID>3E61B90A</paraID>
      <start>80</start>
      <end>82</end>
      <status>unmodified</status>
      <modifiedWord/>
      <trackRevisions>false</trackRevisions>
    </reviewItem>
    <reviewItem>
      <errorID>58a4d83d-ad44-498d-9f3d-83c4b37f56e8</errorID>
      <errorWord>涡轮</errorWord>
      <group>L1_Word</group>
      <groupName>字词问题</groupName>
      <ability>L2_Typo</ability>
      <abilityName>字词错误</abilityName>
      <candidateList>
        <item>蜗轮</item>
      </candidateList>
      <explain/>
      <paraID>3E61B90A</paraID>
      <start>201</start>
      <end>203</end>
      <status>unmodified</status>
      <modifiedWord/>
      <trackRevisions>false</trackRevisions>
    </reviewItem>
    <reviewItem>
      <errorID>e9e7260a-54a4-4bd3-84f5-d59b80d8cab3</errorID>
      <errorWord>关门机</errorWord>
      <group>L1_Word</group>
      <groupName>字词问题</groupName>
      <ability>L2_Typo</ability>
      <abilityName>字词错误</abilityName>
      <candidateList>
        <item>关门</item>
      </candidateList>
      <explain/>
      <paraID>3F57834B</paraID>
      <start>26</start>
      <end>29</end>
      <status>unmodified</status>
      <modifiedWord/>
      <trackRevisions>false</trackRevisions>
    </reviewItem>
    <reviewItem>
      <errorID>2dd1eb4a-fa2e-4498-bd85-b28d09d9963d</errorID>
      <errorWord>挂渡</errorWord>
      <group>L1_Word</group>
      <groupName>字词问题</groupName>
      <ability>L2_Typo</ability>
      <abilityName>字词错误</abilityName>
      <candidateList>
        <item>挂齿</item>
      </candidateList>
      <explain/>
      <paraID>3F57834B</paraID>
      <start>34</start>
      <end>36</end>
      <status>unmodified</status>
      <modifiedWord/>
      <trackRevisions>false</trackRevisions>
    </reviewItem>
    <reviewItem>
      <errorID>e4216dfa-ad72-42e3-ab54-16744d7970fd</errorID>
      <errorWord>门刀</errorWord>
      <group>L1_Word</group>
      <groupName>字词问题</groupName>
      <ability>L2_Typo</ability>
      <abilityName>字词错误</abilityName>
      <candidateList>
        <item>门道</item>
      </candidateList>
      <explain/>
      <paraID>661FC5C2</paraID>
      <start>32</start>
      <end>34</end>
      <status>unmodified</status>
      <modifiedWord/>
      <trackRevisions>false</trackRevisions>
    </reviewItem>
    <reviewItem>
      <errorID>24b40a8e-4c96-46f5-a913-a51fefac87a1</errorID>
      <errorWord>作</errorWord>
      <group>L1_Word</group>
      <groupName>字词问题</groupName>
      <ability>L2_Typo</ability>
      <abilityName>字词错误</abilityName>
      <candidateList>
        <item>做</item>
      </candidateList>
      <explain>存在发音相同字词的误用。</explain>
      <paraID>72FFAC18</paraID>
      <start>42</start>
      <end>43</end>
      <status>unmodified</status>
      <modifiedWord/>
      <trackRevisions>false</trackRevisions>
    </reviewItem>
    <reviewItem>
      <errorID>b9424bbc-c035-4613-870d-886112005eca</errorID>
      <errorWord>灼迹</errorWord>
      <group>L1_Word</group>
      <groupName>字词问题</groupName>
      <ability>L2_Typo</ability>
      <abilityName>字词错误</abilityName>
      <candidateList>
        <item>锈迹</item>
      </candidateList>
      <explain/>
      <paraID>5D747EB0</paraID>
      <start>27</start>
      <end>29</end>
      <status>unmodified</status>
      <modifiedWord/>
      <trackRevisions>false</trackRevisions>
    </reviewItem>
    <reviewItem>
      <errorID>3721deb7-ffad-442a-8c40-e38f22e4d038</errorID>
      <errorWord>作</errorWord>
      <group>L1_Word</group>
      <groupName>字词问题</groupName>
      <ability>L2_Typo</ability>
      <abilityName>字词错误</abilityName>
      <candidateList>
        <item>做</item>
      </candidateList>
      <explain>存在发音相同字词的误用。</explain>
      <paraID>46B62CFB</paraID>
      <start>33</start>
      <end>34</end>
      <status>unmodified</status>
      <modifiedWord/>
      <trackRevisions>false</trackRevisions>
    </reviewItem>
    <reviewItem>
      <errorID>e615abf1-5a9a-400b-b9e3-581e9e236a0e</errorID>
      <errorWord>震动</errorWord>
      <group>L1_Word</group>
      <groupName>字词问题</groupName>
      <ability>L2_Typo</ability>
      <abilityName>字词错误</abilityName>
      <candidateList>
        <item>振动</item>
      </candidateList>
      <explain>存在发音相同字词的误用。</explain>
      <paraID>33D2305A</paraID>
      <start>9</start>
      <end>11</end>
      <status>unmodified</status>
      <modifiedWord/>
      <trackRevisions>false</trackRevisions>
    </reviewItem>
    <reviewItem>
      <errorID>29d77314-efe9-453f-914d-0c0a2d03ed91</errorID>
      <errorWord>涡杆</errorWord>
      <group>L1_Word</group>
      <groupName>字词问题</groupName>
      <ability>L2_Typo</ability>
      <abilityName>字词错误</abilityName>
      <candidateList>
        <item>蜗杆</item>
      </candidateList>
      <explain/>
      <paraID>3A944F86</paraID>
      <start>18</start>
      <end>20</end>
      <status>unmodified</status>
      <modifiedWord/>
      <trackRevisions>false</trackRevisions>
    </reviewItem>
    <reviewItem>
      <errorID>862b7daa-685d-40d2-b01d-16a8cbaab0b5</errorID>
      <errorWord>一</errorWord>
      <group>L1_Word</group>
      <groupName>字词问题</groupName>
      <ability>L2_Typo</ability>
      <abilityName>字词错误</abilityName>
      <candidateList>
        <item>一个</item>
      </candidateList>
      <explain/>
      <paraID>3997FA1D</paraID>
      <start>25</start>
      <end>26</end>
      <status>unmodified</status>
      <modifiedWord/>
      <trackRevisions>false</trackRevisions>
    </reviewItem>
    <reviewItem>
      <errorID>0f7901ca-fd5b-478f-ad5a-fbda23a50e7a</errorID>
      <errorWord>达</errorWord>
      <group>L1_Word</group>
      <groupName>字词问题</groupName>
      <ability>L2_Typo</ability>
      <abilityName>字词错误</abilityName>
      <candidateList>
        <item>达到</item>
      </candidateList>
      <explain>〈动〉到（多指抽象事物或程度）：达得到｜达不到｜目的没有～｜～国际水平。</explain>
      <paraID>1FE5F4B2</paraID>
      <start>41</start>
      <end>42</end>
      <status>unmodified</status>
      <modifiedWord/>
      <trackRevisions>false</trackRevisions>
    </reviewItem>
    <reviewItem>
      <errorID>1399bd24-b5ea-4591-aee9-28ed570a1455</errorID>
      <errorWord>况</errorWord>
      <group>L1_Word</group>
      <groupName>字词问题</groupName>
      <ability>L2_Typo</ability>
      <abilityName>字词错误</abilityName>
      <candidateList>
        <item>况下</item>
      </candidateList>
      <explain/>
      <paraID> 2E0EE2F</paraID>
      <start>10</start>
      <end>11</end>
      <status>unmodified</status>
      <modifiedWord/>
      <trackRevisions>false</trackRevisions>
    </reviewItem>
    <reviewItem>
      <errorID>ba537623-26f2-4421-9825-4301f021a12c</errorID>
      <errorWord>操作扳</errorWord>
      <group>L1_Word</group>
      <groupName>字词问题</groupName>
      <ability>L2_Typo</ability>
      <abilityName>字词错误</abilityName>
      <candidateList>
        <item>操作板</item>
      </candidateList>
      <explain/>
      <paraID>6A59B01F</paraID>
      <start>17</start>
      <end>20</end>
      <status>unmodified</status>
      <modifiedWord/>
      <trackRevisions>false</trackRevisions>
    </reviewItem>
    <reviewItem>
      <errorID>ffd3f03e-780a-4c40-b040-c4484cb03532</errorID>
      <errorWord>地坎</errorWord>
      <group>L1_Word</group>
      <groupName>字词问题</groupName>
      <ability>L2_Typo</ability>
      <abilityName>字词错误</abilityName>
      <candidateList>
        <item>地槛</item>
      </candidateList>
      <explain/>
      <paraID>6A59B01F</paraID>
      <start>27</start>
      <end>29</end>
      <status>unmodified</status>
      <modifiedWord/>
      <trackRevisions>false</trackRevisions>
    </reviewItem>
    <reviewItem>
      <errorID>fff88e30-716c-44ca-b795-3469a99e9d94</errorID>
      <errorWord>其它单位或个人</errorWord>
      <group>L1_Word</group>
      <groupName>字词问题</groupName>
      <ability>L2_Alias</ability>
      <abilityName>也作/曾用词</abilityName>
      <candidateList>
        <item>其他单位或个人</item>
      </candidateList>
      <explain>词汇[其它单位或个人]为不规范表述或旧称，其规范书面表述为[其他单位或个人]。</explain>
      <paraID>14070EE4</paraID>
      <start>23</start>
      <end>30</end>
      <status>unmodified</status>
      <modifiedWord/>
      <trackRevisions>false</trackRevisions>
    </reviewItem>
    <reviewItem>
      <errorID>51c65bf1-c1bd-4be4-9cb4-7d852fe14134</errorID>
      <errorWord>解决的</errorWord>
      <group>L1_Word</group>
      <groupName>字词问题</groupName>
      <ability>L2_Typo</ability>
      <abilityName>字词错误</abilityName>
      <candidateList>
        <item>解决</item>
      </candidateList>
      <explain>〈动〉❶处理问题使有结果：～困难｜～问题｜～矛盾。❷消灭（坏人）：残余匪徒全给～了。</explain>
      <paraID>14070EE4</paraID>
      <start>57</start>
      <end>60</end>
      <status>unmodified</status>
      <modifiedWord/>
      <trackRevisions>false</trackRevisions>
    </reviewItem>
    <reviewItem>
      <errorID>e577a3a7-f50a-468c-a8f1-94d5d97a74b3</errorID>
      <errorWord>交与</errorWord>
      <group>L1_Word</group>
      <groupName>字词问题</groupName>
      <ability>L2_Typo</ability>
      <abilityName>字词错误</abilityName>
      <candidateList>
        <item>交予</item>
      </candidateList>
      <explain>存在发音相同字词的误用。</explain>
      <paraID>2682AF95</paraID>
      <start>34</start>
      <end>36</end>
      <status>unmodified</status>
      <modifiedWord/>
      <trackRevisions>false</trackRevisions>
    </reviewItem>
    <reviewItem>
      <errorID>228993b8-0df5-4614-b633-44fda305ee4c</errorID>
      <errorWord>劳动法</errorWord>
      <group>L1_Knowledge</group>
      <groupName>知识性问题</groupName>
      <ability>L2_Knowledge</ability>
      <abilityName>其他知识</abilityName>
      <candidateList>
        <item>中华人民共和国劳动法</item>
      </candidateList>
      <explain>当前法律法规名称使用简称，请注意是否应当使用全称。</explain>
      <paraID>49F2CC46</paraID>
      <start>8</start>
      <end>18</end>
      <status>modified</status>
      <modifiedWord>中华人民共和国劳动法</modifiedWord>
      <trackRevisions>false</trackRevisions>
    </reviewItem>
    <reviewItem>
      <errorID>23587414-c476-4d85-8154-ab403e7d5c40</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49F2CC46</paraID>
      <start>18</start>
      <end>21</end>
      <status>unmodified</status>
      <modifiedWord/>
      <trackRevisions>false</trackRevisions>
    </reviewItem>
    <reviewItem>
      <errorID>0375742e-70ee-4cb9-9d6d-6bb031c41f22</errorID>
      <errorWord>劳动合同法</errorWord>
      <group>L1_Knowledge</group>
      <groupName>知识性问题</groupName>
      <ability>L2_Knowledge</ability>
      <abilityName>其他知识</abilityName>
      <candidateList>
        <item>中华人民共和国劳动合同法</item>
      </candidateList>
      <explain>当前法律法规名称使用简称，请注意是否应当使用全称。</explain>
      <paraID>49F2CC46</paraID>
      <start>21</start>
      <end>33</end>
      <status>modified</status>
      <modifiedWord>中华人民共和国劳动合同法</modifiedWord>
      <trackRevisions>false</trackRevisions>
    </reviewItem>
    <reviewItem>
      <errorID>3467971f-79f1-4c63-aef0-41c776131416</errorID>
      <errorWord>及其</errorWord>
      <group>L1_Word</group>
      <groupName>字词问题</groupName>
      <ability>L2_Typo</ability>
      <abilityName>字词错误</abilityName>
      <candidateList>
        <item>及</item>
      </candidateList>
      <explain>〈连〉连接并列的名词或名词性词组：图书、仪器、标本～其他。注意用“及”连接的成分多在意义上有主次之分，主要的成分放在“及”的前面。</explain>
      <paraID>49F2CC46</paraID>
      <start>34</start>
      <end>36</end>
      <status>unmodified</status>
      <modifiedWord/>
      <trackRevisions>false</trackRevisions>
    </reviewItem>
    <reviewItem>
      <errorID>2d53495a-a819-4768-9880-f944626cbbb2</errorID>
      <errorWord>或因其它</errorWord>
      <group>L1_Word</group>
      <groupName>字词问题</groupName>
      <ability>L2_Alias</ability>
      <abilityName>也作/曾用词</abilityName>
      <candidateList>
        <item>或因其他</item>
      </candidateList>
      <explain>词汇[或因其它]为不规范表述或旧称，其规范书面表述为[或因其他]。</explain>
      <paraID>49F2CC46</paraID>
      <start>78</start>
      <end>82</end>
      <status>unmodified</status>
      <modifiedWord/>
      <trackRevisions>false</trackRevisions>
    </reviewItem>
    <reviewItem>
      <errorID>f6ca5145-0571-46ba-90c7-95ac2023ab16</errorID>
      <errorWord>监管管理</errorWord>
      <group>L1_Word</group>
      <groupName>字词问题</groupName>
      <ability>L2_Typo</ability>
      <abilityName>字词错误</abilityName>
      <candidateList>
        <item>监督管理</item>
      </candidateList>
      <explain/>
      <paraID>592BCD96</paraID>
      <start>11</start>
      <end>15</end>
      <status>modified</status>
      <modifiedWord>监督管理</modifiedWord>
      <trackRevisions>false</trackRevisions>
    </reviewItem>
    <reviewItem>
      <errorID>59366822-3f2f-4d64-8bd3-0672866168ea</errorID>
      <errorWord>并</errorWord>
      <group>L1_Word</group>
      <groupName>字词问题</groupName>
      <ability>L2_Typo</ability>
      <abilityName>字词错误</abilityName>
      <candidateList>
        <item>并提</item>
      </candidateList>
      <explain/>
      <paraID>725B7BF8</paraID>
      <start>30</start>
      <end>31</end>
      <status>unmodified</status>
      <modifiedWord/>
      <trackRevisions>false</trackRevisions>
    </reviewItem>
    <reviewItem>
      <errorID>1114ee90-ad06-4d65-99bf-e12ef077bd3c</errorID>
      <errorWord>需</errorWord>
      <group>L1_Word</group>
      <groupName>字词问题</groupName>
      <ability>L2_Typo</ability>
      <abilityName>字词错误</abilityName>
      <candidateList>
        <item>需要</item>
      </candidateList>
      <explain>❶〈动〉应该有或必须有：我们～一支强大的科学技术队伍。❷〈名〉对事物的欲望或要求：从群众的～出发。</explain>
      <paraID> 64D4CE2</paraID>
      <start>21</start>
      <end>22</end>
      <status>unmodified</status>
      <modifiedWord/>
      <trackRevisions>false</trackRevisions>
    </reviewItem>
    <reviewItem>
      <errorID>b7f48bfb-010e-44f0-aa56-168b1ca8acc5</errorID>
      <errorWord>超过四小时或需超过两人以上</errorWord>
      <group>L1_Word</group>
      <groupName>字词问题</groupName>
      <ability>L2_Typo</ability>
      <abilityName>字词错误</abilityName>
      <candidateList>
        <item>超过四小时或需超过两人</item>
      </candidateList>
      <explain/>
      <paraID> 64D4CE2</paraID>
      <start>25</start>
      <end>38</end>
      <status>unmodified</status>
      <modifiedWord/>
      <trackRevisions>false</trackRevisions>
    </reviewItem>
    <reviewItem>
      <errorID>860883e7-89e8-4a39-a184-396ab1182963</errorID>
      <errorWord>必需</errorWord>
      <group>L1_Word</group>
      <groupName>字词问题</groupName>
      <ability>L2_Typo</ability>
      <abilityName>字词错误</abilityName>
      <candidateList>
        <item>必须</item>
      </candidateList>
      <explain>存在发音相同字词的误用。</explain>
      <paraID> 64D4CE2</paraID>
      <start>97</start>
      <end>99</end>
      <status>unmodified</status>
      <modifiedWord/>
      <trackRevisions>false</trackRevisions>
    </reviewItem>
    <reviewItem>
      <errorID>fd6bfea6-166b-4943-9e9b-64a4d9dfc14e</errorID>
      <errorWord>设备的</errorWord>
      <group>L1_Word</group>
      <groupName>字词问题</groupName>
      <ability>L2_Typo</ability>
      <abilityName>字词错误</abilityName>
      <candidateList>
        <item>设备</item>
      </candidateList>
      <explain>❶〈动〉设置以备应用：新建的工人俱乐部～得很不错。❷〈名〉进行某项工作或供应某种需要所必需的成套建筑或器物：厂房～｜机器～｜自来水～。</explain>
      <paraID> 64D4CE2</paraID>
      <start>162</start>
      <end>165</end>
      <status>unmodified</status>
      <modifiedWord/>
      <trackRevisions>false</trackRevisions>
    </reviewItem>
    <reviewItem>
      <errorID>ed92c94e-c035-482a-82e5-e522708e8864</errorID>
      <errorWord>作好</errorWord>
      <group>L1_Word</group>
      <groupName>字词问题</groupName>
      <ability>L2_Typo</ability>
      <abilityName>字词错误</abilityName>
      <candidateList>
        <item>做好</item>
      </candidateList>
      <explain>存在发音相同字词的误用。</explain>
      <paraID>202AE9F4</paraID>
      <start>27</start>
      <end>29</end>
      <status>unmodified</status>
      <modifiedWord/>
      <trackRevisions>false</trackRevisions>
    </reviewItem>
    <reviewItem>
      <errorID>27f6f551-a482-402b-8387-95ac8406d322</errorID>
      <errorWord>无需</errorWord>
      <group>L1_Word</group>
      <groupName>字词问题</groupName>
      <ability>L2_Typo</ability>
      <abilityName>字词错误</abilityName>
      <candidateList>
        <item>无须</item>
      </candidateList>
      <explain/>
      <paraID>30C09AC8</paraID>
      <start>40</start>
      <end>42</end>
      <status>unmodified</status>
      <modifiedWord/>
      <trackRevisions>false</trackRevisions>
    </reviewItem>
    <reviewItem>
      <errorID>495f5479-58b3-4fba-a705-0c05e1a7a436</errorID>
      <errorWord>%的</errorWord>
      <group>L1_Word</group>
      <groupName>字词问题</groupName>
      <ability>L2_Typo</ability>
      <abilityName>字词错误</abilityName>
      <candidateList>
        <item>%</item>
      </candidateList>
      <explain/>
      <paraID> 895AFFD</paraID>
      <start>201</start>
      <end>203</end>
      <status>unmodified</status>
      <modifiedWord/>
      <trackRevisions>false</trackRevisions>
    </reviewItem>
    <reviewItem>
      <errorID>ddbd93b3-3f75-4084-a850-3c457f003eea</errorID>
      <errorWord>制动力自</errorWord>
      <group>L1_Knowledge</group>
      <groupName>知识性问题</groupName>
      <ability>L2_Term</ability>
      <abilityName>专业术语</abilityName>
      <candidateList>
        <item>制动力矩</item>
      </candidateList>
      <explain/>
      <paraID>26C9097C</paraID>
      <start>21</start>
      <end>25</end>
      <status>unmodified</status>
      <modifiedWord/>
      <trackRevisions>false</trackRevisions>
    </reviewItem>
    <reviewItem>
      <errorID>bd542999-9362-492f-abb6-ce357ff0e926</errorID>
      <errorWord>防护拦</errorWord>
      <group>L1_Word</group>
      <groupName>字词问题</groupName>
      <ability>L2_Typo</ability>
      <abilityName>字词错误</abilityName>
      <candidateList>
        <item>防护栏</item>
      </candidateList>
      <explain/>
      <paraID>61B4924D</paraID>
      <start>3</start>
      <end>6</end>
      <status>unmodified</status>
      <modifiedWord/>
      <trackRevisions>false</trackRevisions>
    </reviewItem>
    <reviewItem>
      <errorID>2a4f4015-f665-4188-a732-9402d806f73a</errorID>
      <errorWord>门门</errorWord>
      <group>L1_Word</group>
      <groupName>字词问题</groupName>
      <ability>L2_Typo</ability>
      <abilityName>字词错误</abilityName>
      <candidateList>
        <item>门</item>
      </candidateList>
      <explain/>
      <paraID>11FA5311</paraID>
      <start>1</start>
      <end>3</end>
      <status>unmodified</status>
      <modifiedWord/>
      <trackRevisions>false</trackRevisions>
    </reviewItem>
    <reviewItem>
      <errorID>217a1828-d8bd-4507-b52e-cfd811db597b</errorID>
      <errorWord>保持有</errorWord>
      <group>L1_Word</group>
      <groupName>字词问题</groupName>
      <ability>L2_Typo</ability>
      <abilityName>字词错误</abilityName>
      <candidateList>
        <item>保持</item>
      </candidateList>
      <explain/>
      <paraID>58470D38</paraID>
      <start>9</start>
      <end>12</end>
      <status>unmodified</status>
      <modifiedWord/>
      <trackRevisions>false</trackRevisions>
    </reviewItem>
    <reviewItem>
      <errorID>0100953a-ec61-4194-866b-0ed608902aa7</errorID>
      <errorWord>（</errorWord>
      <group>L1_Punc</group>
      <groupName>标点问题</groupName>
      <ability>L2_Punc</ability>
      <abilityName>标点符号检查</abilityName>
      <candidateList/>
      <explain/>
      <paraID>2D96EFEA</paraID>
      <start>10</start>
      <end>11</end>
      <status>unmodified</status>
      <modifiedWord/>
      <trackRevisions>false</trackRevisions>
    </reviewItem>
    <reviewItem>
      <errorID>729ef561-e8f5-4fcb-bd50-f976e0c8d8a7</errorID>
      <errorWord>明显展</errorWord>
      <group>L1_Word</group>
      <groupName>字词问题</groupName>
      <ability>L2_Typo</ability>
      <abilityName>字词错误</abilityName>
      <candidateList>
        <item>明显</item>
      </candidateList>
      <explain/>
      <paraID>6FA9232D</paraID>
      <start>8</start>
      <end>11</end>
      <status>unmodified</status>
      <modifiedWord/>
      <trackRevisions>false</trackRevisions>
    </reviewItem>
    <reviewItem>
      <errorID>c37d9927-c808-404f-8d72-18f818049844</errorID>
      <errorWord>先</errorWord>
      <group>L1_Word</group>
      <groupName>字词问题</groupName>
      <ability>L2_Typo</ability>
      <abilityName>字词错误</abilityName>
      <candidateList>
        <item>线</item>
      </candidateList>
      <explain>存在发音相同字词的误用。</explain>
      <paraID>5BC91348</paraID>
      <start>7</start>
      <end>8</end>
      <status>unmodified</status>
      <modifiedWord/>
      <trackRevisions>false</trackRevisions>
    </reviewItem>
    <reviewItem>
      <errorID>b6d096a2-560a-4b3c-a8fa-888e1abe524e</errorID>
      <errorWord>为</errorWord>
      <group>L1_Word</group>
      <groupName>字词问题</groupName>
      <ability>L2_Typo</ability>
      <abilityName>字词错误</abilityName>
      <candidateList>
        <item>未</item>
      </candidateList>
      <explain>存在发音相同字词的误用。</explain>
      <paraID>5529461C</paraID>
      <start>14</start>
      <end>15</end>
      <status>unmodified</status>
      <modifiedWord/>
      <trackRevisions>false</trackRevisions>
    </reviewItem>
    <reviewItem>
      <errorID>d5bed243-4099-4b60-8106-da2dabf09e9e</errorID>
      <errorWord>25号</errorWord>
      <group>L1_Knowledge</group>
      <groupName>知识性问题</groupName>
      <ability>L2_Time</ability>
      <abilityName>日期时间</abilityName>
      <candidateList>
        <item>25日</item>
      </candidateList>
      <explain>日期表达规范为x月x日。</explain>
      <paraID>4DFE9514</paraID>
      <start>7</start>
      <end>10</end>
      <status>unmodified</status>
      <modifiedWord/>
      <trackRevisions>false</trackRevisions>
    </reviewItem>
    <reviewItem>
      <errorID>f60a0094-9dac-4685-ace9-732e85117450</errorID>
      <errorWord>15号</errorWord>
      <group>L1_Knowledge</group>
      <groupName>知识性问题</groupName>
      <ability>L2_Time</ability>
      <abilityName>日期时间</abilityName>
      <candidateList>
        <item>15日</item>
      </candidateList>
      <explain>日期表达规范为x月x日。</explain>
      <paraID>7CDDAD1A</paraID>
      <start>16</start>
      <end>19</end>
      <status>unmodified</status>
      <modifiedWord/>
      <trackRevisions>false</trackRevisions>
    </reviewItem>
    <reviewItem>
      <errorID>724bc50e-e8ba-40ee-8bfa-e8ceb239f29c</errorID>
      <errorWord>涉及到</errorWord>
      <group>L1_Word</group>
      <groupName>字词问题</groupName>
      <ability>L2_Typo</ability>
      <abilityName>字词错误</abilityName>
      <candidateList>
        <item>涉及</item>
      </candidateList>
      <explain>〈动〉牵涉到；关联到：案子～好几个人｜这个问题～面很广。</explain>
      <paraID>27728FFB</paraID>
      <start>2</start>
      <end>5</end>
      <status>unmodified</status>
      <modifiedWord/>
      <trackRevisions>false</trackRevisions>
    </reviewItem>
    <reviewItem>
      <errorID>f8e64ba3-b23d-4fcb-adc6-40b5887a375e</errorID>
      <errorWord>》</errorWord>
      <group>L1_Word</group>
      <groupName>字词问题</groupName>
      <ability>L2_Typo</ability>
      <abilityName>字词错误</abilityName>
      <candidateList>
        <item>》等</item>
      </candidateList>
      <explain/>
      <paraID>662E7C95</paraID>
      <start>31</start>
      <end>32</end>
      <status>unmodified</status>
      <modifiedWord/>
      <trackRevisions>false</trackRevisions>
    </reviewItem>
    <reviewItem>
      <errorID>a21585fd-fd26-46b2-ad65-099f757f2c3f</errorID>
      <errorWord>噪音</errorWord>
      <group>L1_Word</group>
      <groupName>字词问题</groupName>
      <ability>L2_Alias</ability>
      <abilityName>也作/曾用词</abilityName>
      <candidateList>
        <item>噪声</item>
      </candidateList>
      <explain>词汇[噪音]为不规范表述或旧称，其规范书面表述为[噪声]。</explain>
      <paraID>25D32536</paraID>
      <start>32</start>
      <end>34</end>
      <status>unmodified</status>
      <modifiedWord/>
      <trackRevisions>false</trackRevisions>
    </reviewItem>
    <reviewItem>
      <errorID>de611b65-5ade-43c8-8c1d-cf76a20f7c0d</errorID>
      <errorWord>合作管理</errorWord>
      <group>L1_Knowledge</group>
      <groupName>知识性问题</groupName>
      <ability>L2_Term</ability>
      <abilityName>专业术语</abilityName>
      <candidateList>
        <item>合同管理</item>
      </candidateList>
      <explain/>
      <paraID>7C306E53</paraID>
      <start>18</start>
      <end>22</end>
      <status>unmodified</status>
      <modifiedWord/>
      <trackRevisions>false</trackRevisions>
    </reviewItem>
    <reviewItem>
      <errorID>692d0d59-ce86-499a-afcc-b4fcd0780955</errorID>
      <errorWord>和及</errorWord>
      <group>L1_Word</group>
      <groupName>字词问题</groupName>
      <ability>L2_Typo</ability>
      <abilityName>字词错误</abilityName>
      <candidateList>
        <item>和</item>
      </candidateList>
      <explain>〈量〉用于洗东西换水的次数或一剂药煎的次数：衣裳已经洗了三～｜二～药。</explain>
      <paraID>37FA6966</paraID>
      <start>25</start>
      <end>27</end>
      <status>unmodified</status>
      <modifiedWord/>
      <trackRevisions>false</trackRevisions>
    </reviewItem>
    <reviewItem>
      <errorID>332200c7-733a-4746-a140-37a07f08b8d0</errorID>
      <errorWord>合作管理</errorWord>
      <group>L1_Knowledge</group>
      <groupName>知识性问题</groupName>
      <ability>L2_Term</ability>
      <abilityName>专业术语</abilityName>
      <candidateList>
        <item>合同管理</item>
      </candidateList>
      <explain/>
      <paraID>34B738F3</paraID>
      <start>21</start>
      <end>25</end>
      <status>unmodified</status>
      <modifiedWord/>
      <trackRevisions>false</trackRevisions>
    </reviewItem>
    <reviewItem>
      <errorID>8c1fb94e-8bdd-4bee-91be-947241667fc5</errorID>
      <errorWord>监察部</errorWord>
      <group>L1_Knowledge</group>
      <groupName>知识性问题</groupName>
      <ability>L2_Organization</ability>
      <abilityName>机构检查</abilityName>
      <candidateList>
        <item>国家监察委员会</item>
      </candidateList>
      <explain>2018年3月，中共中央印发了《深化党和国家机构改革方案》，将监察部的职责整合到新组建的国家监察委员会。不再保留监察部。</explain>
      <paraID> 50DCBCF</paraID>
      <start>54</start>
      <end>57</end>
      <status>unmodified</status>
      <modifiedWord/>
      <trackRevisions>false</trackRevisions>
    </reviewItem>
    <reviewItem>
      <errorID>47b4bf9e-6680-424d-a9fc-7c8f5c315c3f</errorID>
      <errorWord>或者如</errorWord>
      <group>L1_Word</group>
      <groupName>字词问题</groupName>
      <ability>L2_Typo</ability>
      <abilityName>字词错误</abilityName>
      <candidateList>
        <item>或者</item>
      </candidateList>
      <explain>❶〈副〉或许：你快走，～还赶得上车。❷〈连〉用在叙述句里，表示选择关系：这本书～你先看，～我先看。❸〈连〉表示等同关系：世界观～宇宙观是人们对整个世界的总的看法。</explain>
      <paraID> 50DCBCF</paraID>
      <start>231</start>
      <end>234</end>
      <status>unmodified</status>
      <modifiedWord/>
      <trackRevisions>false</trackRevisions>
    </reviewItem>
    <reviewItem>
      <errorID>cc567e9d-654a-42b5-957e-c84f50cab813</errorID>
      <errorWord>东莞市东城区</errorWord>
      <group>L1_Knowledge</group>
      <groupName>知识性问题</groupName>
      <ability>L2_Location</ability>
      <abilityName>地名检查</abilityName>
      <candidateList>
        <item>北京市东城区</item>
      </candidateList>
      <explain>地名表述错误。</explain>
      <paraID> 2596596</paraID>
      <start>5</start>
      <end>11</end>
      <status>unmodified</status>
      <modifiedWord/>
      <trackRevisions>false</trackRevisions>
    </reviewItem>
    <reviewItem>
      <errorID>70212f01-70ab-4e23-a2b2-ea0c7b2fc7ec</errorID>
      <errorWord>。</errorWord>
      <group>L1_Punc</group>
      <groupName>标点问题</groupName>
      <ability>L2_Punc</ability>
      <abilityName>标点符号检查</abilityName>
      <candidateList/>
      <explain/>
      <paraID>7801F1A0</paraID>
      <start>66</start>
      <end>67</end>
      <status>unmodified</status>
      <modifiedWord/>
      <trackRevisions>false</trackRevisions>
    </reviewItem>
    <reviewItem>
      <errorID>a99db887-37db-4d08-90d3-30bf54512453</errorID>
      <errorWord>做出</errorWord>
      <group>L1_Word</group>
      <groupName>字词问题</groupName>
      <ability>L2_Typo</ability>
      <abilityName>字词错误</abilityName>
      <candidateList>
        <item>作出</item>
      </candidateList>
      <explain/>
      <paraID>719AE010</paraID>
      <start>55</start>
      <end>57</end>
      <status>unmodified</status>
      <modifiedWord/>
      <trackRevisions>false</trackRevisions>
    </reviewItem>
    <reviewItem>
      <errorID>3ec89312-e26b-44c4-bec0-58d31da74282</errorID>
      <errorWord>做出</errorWord>
      <group>L1_Word</group>
      <groupName>字词问题</groupName>
      <ability>L2_Typo</ability>
      <abilityName>字词错误</abilityName>
      <candidateList>
        <item>作出</item>
      </candidateList>
      <explain/>
      <paraID>17753769</paraID>
      <start>64</start>
      <end>66</end>
      <status>unmodified</status>
      <modifiedWord/>
      <trackRevisions>false</trackRevisions>
    </reviewItem>
    <reviewItem>
      <errorID>030e04f6-d759-42ec-98e6-ceeed714c106</errorID>
      <errorWord>做出</errorWord>
      <group>L1_Word</group>
      <groupName>字词问题</groupName>
      <ability>L2_Typo</ability>
      <abilityName>字词错误</abilityName>
      <candidateList>
        <item>作出</item>
      </candidateList>
      <explain/>
      <paraID> 38A4B13</paraID>
      <start>64</start>
      <end>66</end>
      <status>unmodified</status>
      <modifiedWord/>
      <trackRevisions>false</trackRevisions>
    </reviewItem>
    <reviewItem>
      <errorID>12488aa7-1e28-42ee-86c1-bfc5de11eba1</errorID>
      <errorWord>中</errorWord>
      <group>L1_Word</group>
      <groupName>字词问题</groupName>
      <ability>L2_Typo</ability>
      <abilityName>字词错误</abilityName>
      <candidateList>
        <item>中加</item>
      </candidateList>
      <explain/>
      <paraID>6C3C3355</paraID>
      <start>24</start>
      <end>25</end>
      <status>unmodified</status>
      <modifiedWord/>
      <trackRevisions>false</trackRevisions>
    </reviewItem>
  </reviewItems>
  <config/>
</contractReview>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1570380-779a-4674-9d4d-81f6c0cea52d}">
  <ds:schemaRefs/>
</ds:datastoreItem>
</file>

<file path=customXml/itemProps3.xml><?xml version="1.0" encoding="utf-8"?>
<ds:datastoreItem xmlns:ds="http://schemas.openxmlformats.org/officeDocument/2006/customXml" ds:itemID="{E4A8895E-22F2-45A8-A364-F0A442BCEC5C}">
  <ds:schemaRefs/>
</ds:datastoreItem>
</file>

<file path=docProps/app.xml><?xml version="1.0" encoding="utf-8"?>
<Properties xmlns="http://schemas.openxmlformats.org/officeDocument/2006/extended-properties" xmlns:vt="http://schemas.openxmlformats.org/officeDocument/2006/docPropsVTypes">
  <Template>Normal.dotm</Template>
  <Pages>84</Pages>
  <Words>23048</Words>
  <Characters>26216</Characters>
  <Paragraphs>2035</Paragraphs>
  <TotalTime>2442</TotalTime>
  <ScaleCrop>false</ScaleCrop>
  <LinksUpToDate>false</LinksUpToDate>
  <CharactersWithSpaces>26688</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2021-06-06T09:26:00Z</dcterms:created>
  <dc:creator>dgsy</dc:creator>
  <cp:lastModifiedBy>吴洪林</cp:lastModifiedBy>
  <dcterms:modified xsi:type="dcterms:W3CDTF">2026-03-09T02:35:54Z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3A2FFD4732894167B601F4334CE82106_13</vt:lpwstr>
  </property>
  <property fmtid="{D5CDD505-2E9C-101B-9397-08002B2CF9AE}" pid="4" name="KSOTemplateDocerSaveRecord">
    <vt:lpwstr>eyJoZGlkIjoiZjg5YjI1ZjFkY2QyNGQ0MDg2NzMxMjJmZDg4ZTI1NmIiLCJ1c2VySWQiOiIxNjA0NzkzMjAxIn0=</vt:lpwstr>
  </property>
</Properties>
</file>