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黑体" w:eastAsia="黑体"/>
          <w:color w:val="auto"/>
          <w:szCs w:val="21"/>
          <w:highlight w:val="none"/>
        </w:rPr>
      </w:pPr>
    </w:p>
    <w:p>
      <w:pPr>
        <w:pStyle w:val="41"/>
        <w:ind w:firstLine="400"/>
        <w:rPr>
          <w:color w:val="auto"/>
          <w:highlight w:val="none"/>
        </w:rPr>
      </w:pPr>
    </w:p>
    <w:p>
      <w:pPr>
        <w:rPr>
          <w:color w:val="auto"/>
          <w:highlight w:val="none"/>
        </w:rPr>
      </w:pPr>
    </w:p>
    <w:p>
      <w:pPr>
        <w:rPr>
          <w:color w:val="auto"/>
          <w:highlight w:val="none"/>
        </w:rPr>
      </w:pPr>
    </w:p>
    <w:p>
      <w:pPr>
        <w:rPr>
          <w:color w:val="auto"/>
          <w:highlight w:val="none"/>
        </w:rPr>
      </w:pPr>
    </w:p>
    <w:p>
      <w:pP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pPr>
        <w:rPr>
          <w:color w:val="auto"/>
          <w:highlight w:val="none"/>
        </w:rPr>
      </w:pPr>
    </w:p>
    <w:p>
      <w:pPr>
        <w:pStyle w:val="10"/>
        <w:rPr>
          <w:color w:val="auto"/>
          <w:highlight w:val="none"/>
        </w:rPr>
      </w:pPr>
    </w:p>
    <w:tbl>
      <w:tblPr>
        <w:tblStyle w:val="32"/>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新锋交通LNG气源供应商准入招标项目（第二次）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RX125003638-2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东莞新锋交通能源发展有限公司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广东人信工程咨询有限公司</w:t>
            </w:r>
          </w:p>
        </w:tc>
      </w:tr>
    </w:tbl>
    <w:p>
      <w:pPr>
        <w:jc w:val="center"/>
        <w:rPr>
          <w:rFonts w:ascii="黑体" w:eastAsia="黑体"/>
          <w:color w:val="auto"/>
          <w:szCs w:val="21"/>
          <w:highlight w:val="none"/>
        </w:rPr>
      </w:pPr>
    </w:p>
    <w:p>
      <w:pPr>
        <w:jc w:val="center"/>
        <w:rPr>
          <w:rFonts w:ascii="黑体" w:eastAsia="黑体"/>
          <w:color w:val="auto"/>
          <w:szCs w:val="21"/>
          <w:highlight w:val="none"/>
        </w:rPr>
      </w:pPr>
    </w:p>
    <w:p>
      <w:pPr>
        <w:jc w:val="center"/>
        <w:rPr>
          <w:rFonts w:ascii="黑体" w:eastAsia="黑体"/>
          <w:color w:val="auto"/>
          <w:szCs w:val="21"/>
          <w:highlight w:val="none"/>
        </w:rPr>
      </w:pPr>
    </w:p>
    <w:p>
      <w:pPr>
        <w:pStyle w:val="41"/>
        <w:ind w:firstLine="400"/>
        <w:rPr>
          <w:color w:val="auto"/>
          <w:highlight w:val="none"/>
        </w:rPr>
      </w:pPr>
    </w:p>
    <w:p>
      <w:pPr>
        <w:jc w:val="center"/>
        <w:rPr>
          <w:rFonts w:ascii="黑体" w:eastAsia="黑体"/>
          <w:color w:val="auto"/>
          <w:szCs w:val="21"/>
          <w:highlight w:val="none"/>
        </w:rPr>
      </w:pPr>
    </w:p>
    <w:p>
      <w:pPr>
        <w:jc w:val="center"/>
        <w:rPr>
          <w:rFonts w:ascii="黑体" w:eastAsia="黑体"/>
          <w:color w:val="auto"/>
          <w:szCs w:val="21"/>
          <w:highlight w:val="none"/>
        </w:rPr>
      </w:pPr>
    </w:p>
    <w:p>
      <w:pP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202</w:t>
      </w:r>
      <w:r>
        <w:rPr>
          <w:rFonts w:hint="eastAsia" w:ascii="黑体" w:hAnsi="黑体" w:eastAsia="黑体" w:cs="黑体"/>
          <w:bCs/>
          <w:color w:val="auto"/>
          <w:sz w:val="32"/>
          <w:szCs w:val="24"/>
          <w:highlight w:val="none"/>
          <w:lang w:val="en-US" w:eastAsia="zh-CN"/>
        </w:rPr>
        <w:t>6</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02</w:t>
      </w:r>
      <w:r>
        <w:rPr>
          <w:rFonts w:hint="eastAsia" w:ascii="黑体" w:hAnsi="黑体" w:eastAsia="黑体" w:cs="黑体"/>
          <w:bCs/>
          <w:color w:val="auto"/>
          <w:sz w:val="32"/>
          <w:szCs w:val="24"/>
          <w:highlight w:val="none"/>
        </w:rPr>
        <w:t>月</w:t>
      </w:r>
    </w:p>
    <w:p>
      <w:pPr>
        <w:rPr>
          <w:color w:val="auto"/>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708" w:footer="708" w:gutter="0"/>
          <w:pgNumType w:start="1"/>
          <w:cols w:space="708" w:num="1"/>
          <w:titlePg/>
          <w:docGrid w:type="lines" w:linePitch="360" w:charSpace="0"/>
        </w:sectPr>
      </w:pPr>
    </w:p>
    <w:p>
      <w:pPr>
        <w:pStyle w:val="25"/>
        <w:ind w:left="0" w:leftChars="0"/>
        <w:rPr>
          <w:color w:val="auto"/>
          <w:sz w:val="40"/>
          <w:szCs w:val="40"/>
          <w:highlight w:val="none"/>
        </w:rPr>
      </w:pPr>
      <w:r>
        <w:rPr>
          <w:rFonts w:hint="eastAsia"/>
          <w:color w:val="auto"/>
          <w:sz w:val="40"/>
          <w:szCs w:val="40"/>
          <w:highlight w:val="none"/>
        </w:rPr>
        <w:t>目录</w:t>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TOC \o "1-4" \h \z \u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"_Toc216704937"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第一部分 投标邀请</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_Toc216704937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"_Toc216704938"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投标邀请书</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_Toc216704938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"_Toc216704939"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第二部分 相关资料表格</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_Toc216704939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"_Toc216704940"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附表一：投标资料表</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_Toc216704940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"_Toc216704941"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附表二：商务技术评分权重表（满分100分）</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_Toc216704941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13</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"_Toc216704942"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第三部分 用户需求书</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_Toc216704942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16</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"_Toc216704943"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第四部分 投标人须知</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_Toc216704943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18</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tabs>
          <w:tab w:val="left" w:pos="1680"/>
        </w:tabs>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"_Toc216704944"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一、</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说明</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_Toc216704944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18</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"_Toc216704945"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适用范围</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_Toc216704945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18</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"_Toc216704946"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定义</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_Toc216704946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18</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"_Toc216704947"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3.</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货物和服务</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_Toc216704947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18</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"_Toc216704948"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4.</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投标费用</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_Toc216704948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18</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"_Toc216704949"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5.</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知识产权</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_Toc216704949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"_Toc216704950"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6.</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关于联合体投标</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_Toc216704950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19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"_Toc216704951"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7.</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关于分支机构投标</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_Toc216704951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"_Toc216704952"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8.</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踏勘现场</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_Toc216704952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tabs>
          <w:tab w:val="left" w:pos="1680"/>
        </w:tabs>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"_Toc216704953"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二、</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采购文件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_Toc216704953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"_Toc216704954"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9.</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采购文件的组成</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_Toc216704954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"_Toc216704955"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10.</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采购文件的澄清或修改</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_Toc216704955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tabs>
          <w:tab w:val="left" w:pos="1680"/>
        </w:tabs>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"_Toc216704956"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三、</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投标文件的编制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_Toc216704956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"_Toc216704957"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11.</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投标文件的语言及度量衡单位</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_Toc216704957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"_Toc216704958"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12.</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投标文件的组成</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_Toc216704958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"_Toc216704959"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13.</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投标文件编制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_Toc216704959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"_Toc216704960"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14.</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投标报价说明</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_Toc216704960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22</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"_Toc216704961"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15.</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投标人所提供的服务或货物的证明文件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_Toc216704961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22</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"_Toc216704962"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16.</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投标有效期</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_Toc216704962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23</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"_Toc216704963"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17.</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投标保证金</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_Toc216704963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23</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tabs>
          <w:tab w:val="left" w:pos="1680"/>
        </w:tabs>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"_Toc216704964"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四、</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投标文件的递交</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_Toc216704964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24</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"_Toc216704965"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18.</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投标文件的装订，签署，密封和标记</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_Toc216704965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24</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"_Toc216704966"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19.</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迟交的投标文件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_Toc216704966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25</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"_Toc216704967"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20.</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投标样品（如需提交）</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_Toc216704967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25</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"_Toc216704968"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21.</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投标截止期</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_Toc216704968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25</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"_Toc216704969"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22.</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投标文件的补充、修改与撤回</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_Toc216704969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26</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tabs>
          <w:tab w:val="left" w:pos="1680"/>
        </w:tabs>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"_Toc216704970"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五、</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开标与评标</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_Toc216704970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26</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"_Toc216704971"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23.</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开标</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_Toc216704971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26</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"_Toc216704972"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24.</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评标委员会及评标方法</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_Toc216704972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26</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"_Toc216704973"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25.</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评审原则及评标过程的保密</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_Toc216704973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27</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"_Toc216704974"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26.</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评标程序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_Toc216704974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27</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"_Toc216704975"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27.</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商务、技术、价格评审（具体评审项目详见投标资料表）</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_Toc216704975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"_Toc216704976"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28.</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纪律和保密事项</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_Toc216704976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29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tabs>
          <w:tab w:val="left" w:pos="1680"/>
        </w:tabs>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"_Toc216704977"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六、</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授予合同</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_Toc216704977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"_Toc216704978"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29.</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合同授予标准</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_Toc216704978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"_Toc216704979"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30.</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发布中标结果</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_Toc216704979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"_Toc216704980"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31.</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资格后审</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_Toc216704980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"_Toc216704981"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32.</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合同的签订与履行</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_Toc216704981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"_Toc216704982"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33.</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履约担保</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_Toc216704982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"_Toc216704983"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34.</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预付款保函（适用于预付款支付）</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_Toc216704983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32</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tabs>
          <w:tab w:val="left" w:pos="1680"/>
        </w:tabs>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"_Toc216704984"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七、</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异议</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_Toc216704984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32</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"_Toc216704985"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35.</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异议</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_Toc216704985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32</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13"/>
        <w:tabs>
          <w:tab w:val="left" w:pos="1680"/>
        </w:tabs>
        <w:ind w:left="38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"_Toc216704986"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八、</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其他</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_Toc216704986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33</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tabs>
          <w:tab w:val="left" w:pos="2520"/>
        </w:tabs>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"_Toc216704987"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36.</w:t>
      </w:r>
      <w:r>
        <w:rPr>
          <w:rFonts w:hint="eastAsia" w:asciiTheme="minorEastAsia" w:hAnsiTheme="minorEastAsia" w:eastAsiaTheme="minorEastAsia" w:cstheme="minorEastAsia"/>
          <w:b w:val="0"/>
          <w:bCs w:val="0"/>
          <w:color w:val="auto"/>
          <w:kern w:val="2"/>
          <w:sz w:val="21"/>
          <w:szCs w:val="21"/>
          <w:highlight w:val="none"/>
        </w:rPr>
        <w:tab/>
      </w:r>
      <w:r>
        <w:rPr>
          <w:rStyle w:val="36"/>
          <w:rFonts w:hint="eastAsia" w:asciiTheme="minorEastAsia" w:hAnsiTheme="minorEastAsia" w:eastAsiaTheme="minorEastAsia" w:cstheme="minorEastAsia"/>
          <w:b w:val="0"/>
          <w:bCs w:val="0"/>
          <w:color w:val="auto"/>
          <w:sz w:val="21"/>
          <w:szCs w:val="21"/>
          <w:highlight w:val="none"/>
        </w:rPr>
        <w:t>采购文件的解释权</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_Toc216704987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33</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"_Toc216704988"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第五部分 合同条款格式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_Toc216704988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34</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"_Toc216704989"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第六部分 附件－投标文件格式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_Toc216704989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49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"_Toc216704990"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投标文件目录</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_Toc216704990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49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"_Toc216704991"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附件1.评分标准索引表</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_Toc216704991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"_Toc216704992"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价格文件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_Toc216704992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"_Toc216704993"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附件2.开标一览表格式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_Toc216704993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52</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"_Toc216704994"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附件3.报价明细表格式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_Toc216704994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53</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"_Toc216704995"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商务文件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_Toc216704995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54</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"_Toc216704996"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附件4.投标书格式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_Toc216704996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55</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"_Toc216704997"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附件5. 法定代表人证明书格式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_Toc216704997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56</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"_Toc216704998"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附件6.法定代表人授权书格式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_Toc216704998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57</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"_Toc216704999"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附件7.资格申明</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_Toc216704999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58</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"_Toc216705000"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附件8.营业执照</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_Toc216705000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59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"_Toc216705001"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附件9.相关资质证明文件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_Toc216705001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60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"_Toc216705002"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附件10.在经营活动中没有重大违法记录的书面声明格式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_Toc216705002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61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"_Toc216705003"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附件11.承诺书格式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_Toc216705003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62</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"_Toc216705004"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附件13.业绩表</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_Toc216705004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64</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"_Toc216705005"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附件14.联合体协议书（如有）</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_Toc216705005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65</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"_Toc216705006"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技术文件</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_Toc216705006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67</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"_Toc216705007"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附件15. 技术规格偏离表格式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_Toc216705007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68</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"_Toc216705008"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附件16.项目实施方案格式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_Toc216705008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69</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"_Toc216705009"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附件17.实施本项目的有关人员资料表格式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_Toc216705009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70</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"_Toc216705010"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附件18.投标保证金汇入情况说明格式</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_Toc216705010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71</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"_Toc216705011"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附件19.不可撤销履约保函</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_Toc216705011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73</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"_Toc216705012"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附件20.预付款保函（适用于预付款支付）</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_Toc216705012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74</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ind w:left="0" w:leftChars="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"_Toc216705013"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唱标信封</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_Toc216705013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75</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2"/>
        <w:ind w:left="420" w:leftChars="200"/>
        <w:jc w:val="both"/>
        <w:rPr>
          <w:rFonts w:hint="eastAsia" w:asciiTheme="minorEastAsia" w:hAnsiTheme="minorEastAsia" w:eastAsiaTheme="minorEastAsia" w:cstheme="minorEastAsia"/>
          <w:b w:val="0"/>
          <w:bCs w:val="0"/>
          <w:color w:val="auto"/>
          <w:kern w:val="2"/>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HYPERLINK \l "_Toc216705014" </w:instrText>
      </w:r>
      <w:r>
        <w:rPr>
          <w:rFonts w:hint="eastAsia" w:asciiTheme="minorEastAsia" w:hAnsiTheme="minorEastAsia" w:eastAsiaTheme="minorEastAsia" w:cstheme="minorEastAsia"/>
          <w:b w:val="0"/>
          <w:bCs w:val="0"/>
          <w:color w:val="auto"/>
          <w:sz w:val="21"/>
          <w:szCs w:val="21"/>
          <w:highlight w:val="none"/>
        </w:rPr>
        <w:fldChar w:fldCharType="separate"/>
      </w:r>
      <w:r>
        <w:rPr>
          <w:rStyle w:val="36"/>
          <w:rFonts w:hint="eastAsia" w:asciiTheme="minorEastAsia" w:hAnsiTheme="minorEastAsia" w:eastAsiaTheme="minorEastAsia" w:cstheme="minorEastAsia"/>
          <w:b w:val="0"/>
          <w:bCs w:val="0"/>
          <w:color w:val="auto"/>
          <w:sz w:val="21"/>
          <w:szCs w:val="21"/>
          <w:highlight w:val="none"/>
        </w:rPr>
        <w:t>附件21.唱标信封内装（内容务必与投标文件正本一致）</w:t>
      </w:r>
      <w:r>
        <w:rPr>
          <w:rFonts w:hint="eastAsia" w:asciiTheme="minorEastAsia" w:hAnsiTheme="minorEastAsia" w:eastAsiaTheme="minorEastAsia" w:cstheme="minorEastAsia"/>
          <w:b w:val="0"/>
          <w:bCs w:val="0"/>
          <w:color w:val="auto"/>
          <w:sz w:val="21"/>
          <w:szCs w:val="21"/>
          <w:highlight w:val="none"/>
        </w:rPr>
        <w:tab/>
      </w:r>
      <w:r>
        <w:rPr>
          <w:rFonts w:hint="eastAsia" w:asciiTheme="minorEastAsia" w:hAnsiTheme="minorEastAsia" w:eastAsiaTheme="minorEastAsia" w:cstheme="minorEastAsia"/>
          <w:b w:val="0"/>
          <w:bCs w:val="0"/>
          <w:color w:val="auto"/>
          <w:sz w:val="21"/>
          <w:szCs w:val="21"/>
          <w:highlight w:val="none"/>
        </w:rPr>
        <w:fldChar w:fldCharType="begin"/>
      </w:r>
      <w:r>
        <w:rPr>
          <w:rFonts w:hint="eastAsia" w:asciiTheme="minorEastAsia" w:hAnsiTheme="minorEastAsia" w:eastAsiaTheme="minorEastAsia" w:cstheme="minorEastAsia"/>
          <w:b w:val="0"/>
          <w:bCs w:val="0"/>
          <w:color w:val="auto"/>
          <w:sz w:val="21"/>
          <w:szCs w:val="21"/>
          <w:highlight w:val="none"/>
        </w:rPr>
        <w:instrText xml:space="preserve"> PAGEREF _Toc216705014 \h </w:instrText>
      </w:r>
      <w:r>
        <w:rPr>
          <w:rFonts w:hint="eastAsia" w:asciiTheme="minorEastAsia" w:hAnsiTheme="minorEastAsia" w:eastAsiaTheme="minorEastAsia" w:cstheme="minorEastAsia"/>
          <w:b w:val="0"/>
          <w:bCs w:val="0"/>
          <w:color w:val="auto"/>
          <w:sz w:val="21"/>
          <w:szCs w:val="21"/>
          <w:highlight w:val="none"/>
        </w:rPr>
        <w:fldChar w:fldCharType="separate"/>
      </w:r>
      <w:r>
        <w:rPr>
          <w:rFonts w:hint="eastAsia" w:asciiTheme="minorEastAsia" w:hAnsiTheme="minorEastAsia" w:eastAsiaTheme="minorEastAsia" w:cstheme="minorEastAsia"/>
          <w:b w:val="0"/>
          <w:bCs w:val="0"/>
          <w:color w:val="auto"/>
          <w:sz w:val="21"/>
          <w:szCs w:val="21"/>
          <w:highlight w:val="none"/>
        </w:rPr>
        <w:t>76</w:t>
      </w:r>
      <w:r>
        <w:rPr>
          <w:rFonts w:hint="eastAsia" w:asciiTheme="minorEastAsia" w:hAnsiTheme="minorEastAsia" w:eastAsiaTheme="minorEastAsia" w:cstheme="minorEastAsia"/>
          <w:b w:val="0"/>
          <w:bCs w:val="0"/>
          <w:color w:val="auto"/>
          <w:sz w:val="21"/>
          <w:szCs w:val="21"/>
          <w:highlight w:val="none"/>
        </w:rPr>
        <w:fldChar w:fldCharType="end"/>
      </w:r>
      <w:r>
        <w:rPr>
          <w:rFonts w:hint="eastAsia" w:asciiTheme="minorEastAsia" w:hAnsiTheme="minorEastAsia" w:eastAsiaTheme="minorEastAsia" w:cstheme="minorEastAsia"/>
          <w:b w:val="0"/>
          <w:bCs w:val="0"/>
          <w:color w:val="auto"/>
          <w:sz w:val="21"/>
          <w:szCs w:val="21"/>
          <w:highlight w:val="none"/>
        </w:rPr>
        <w:fldChar w:fldCharType="end"/>
      </w:r>
    </w:p>
    <w:p>
      <w:pPr>
        <w:pStyle w:val="25"/>
        <w:tabs>
          <w:tab w:val="right" w:leader="dot" w:pos="8306"/>
          <w:tab w:val="clear" w:pos="8296"/>
        </w:tabs>
        <w:ind w:left="0" w:leftChars="0"/>
        <w:jc w:val="both"/>
        <w:rPr>
          <w:rFonts w:cs="宋体"/>
          <w:color w:val="auto"/>
          <w:sz w:val="21"/>
          <w:szCs w:val="21"/>
          <w:highlight w:val="none"/>
        </w:rPr>
      </w:pPr>
      <w:r>
        <w:rPr>
          <w:rFonts w:hint="eastAsia" w:asciiTheme="minorEastAsia" w:hAnsiTheme="minorEastAsia" w:eastAsiaTheme="minorEastAsia" w:cstheme="minorEastAsia"/>
          <w:b w:val="0"/>
          <w:bCs w:val="0"/>
          <w:color w:val="auto"/>
          <w:sz w:val="21"/>
          <w:szCs w:val="21"/>
          <w:highlight w:val="none"/>
        </w:rPr>
        <w:fldChar w:fldCharType="end"/>
      </w:r>
    </w:p>
    <w:p>
      <w:pPr>
        <w:rPr>
          <w:rFonts w:ascii="宋体" w:hAnsi="宋体" w:cs="宋体"/>
          <w:color w:val="auto"/>
          <w:szCs w:val="21"/>
          <w:highlight w:val="none"/>
        </w:rPr>
      </w:pPr>
      <w:r>
        <w:rPr>
          <w:rFonts w:hint="eastAsia" w:ascii="宋体" w:hAnsi="宋体" w:cs="宋体"/>
          <w:color w:val="auto"/>
          <w:szCs w:val="21"/>
          <w:highlight w:val="none"/>
        </w:rPr>
        <w:br w:type="page"/>
      </w:r>
    </w:p>
    <w:p>
      <w:pPr>
        <w:pStyle w:val="3"/>
        <w:spacing w:before="0" w:after="0" w:line="240" w:lineRule="auto"/>
        <w:rPr>
          <w:color w:val="auto"/>
          <w:sz w:val="28"/>
          <w:szCs w:val="28"/>
          <w:highlight w:val="none"/>
        </w:rPr>
      </w:pPr>
      <w:bookmarkStart w:id="0" w:name="_Toc216704937"/>
      <w:r>
        <w:rPr>
          <w:rFonts w:hint="eastAsia"/>
          <w:color w:val="auto"/>
          <w:sz w:val="28"/>
          <w:szCs w:val="28"/>
          <w:highlight w:val="none"/>
        </w:rPr>
        <w:t>第一部分 投标邀请</w:t>
      </w:r>
      <w:bookmarkEnd w:id="0"/>
    </w:p>
    <w:p>
      <w:pPr>
        <w:pStyle w:val="4"/>
        <w:spacing w:before="0" w:after="0" w:line="360" w:lineRule="auto"/>
        <w:jc w:val="center"/>
        <w:rPr>
          <w:rFonts w:ascii="宋体" w:hAnsi="宋体" w:cs="宋体"/>
          <w:color w:val="auto"/>
          <w:highlight w:val="none"/>
        </w:rPr>
      </w:pPr>
      <w:bookmarkStart w:id="1" w:name="_Toc216704938"/>
      <w:r>
        <w:rPr>
          <w:rFonts w:hint="eastAsia" w:ascii="宋体" w:hAnsi="宋体" w:cs="宋体"/>
          <w:color w:val="auto"/>
          <w:highlight w:val="none"/>
        </w:rPr>
        <w:t>投标邀请书</w:t>
      </w:r>
      <w:bookmarkEnd w:id="1"/>
    </w:p>
    <w:p>
      <w:pPr>
        <w:ind w:firstLine="422" w:firstLineChars="200"/>
        <w:rPr>
          <w:rFonts w:ascii="宋体" w:hAnsi="宋体"/>
          <w:color w:val="auto"/>
          <w:szCs w:val="21"/>
          <w:highlight w:val="none"/>
        </w:rPr>
      </w:pPr>
      <w:r>
        <w:rPr>
          <w:rFonts w:hint="eastAsia" w:ascii="宋体" w:hAnsi="宋体"/>
          <w:b/>
          <w:bCs/>
          <w:color w:val="auto"/>
          <w:szCs w:val="21"/>
          <w:highlight w:val="none"/>
          <w:u w:val="single"/>
        </w:rPr>
        <w:t>广东人信工程咨询有限公司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rPr>
        <w:t>东莞新锋交通能源发展有限公司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新锋交通LNG气源供应商准入招标项目（第二次）</w:t>
      </w:r>
      <w:r>
        <w:rPr>
          <w:rFonts w:hint="eastAsia" w:ascii="宋体" w:hAnsi="宋体"/>
          <w:color w:val="auto"/>
          <w:szCs w:val="21"/>
          <w:highlight w:val="none"/>
        </w:rPr>
        <w:t>（项目编号：</w:t>
      </w:r>
      <w:r>
        <w:rPr>
          <w:rFonts w:hint="eastAsia" w:ascii="宋体" w:hAnsi="宋体"/>
          <w:b/>
          <w:bCs/>
          <w:color w:val="auto"/>
          <w:szCs w:val="21"/>
          <w:highlight w:val="none"/>
          <w:lang w:eastAsia="zh-CN"/>
        </w:rPr>
        <w:t>RX125003638-2</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pPr>
        <w:ind w:firstLine="413" w:firstLineChars="196"/>
        <w:rPr>
          <w:rFonts w:ascii="宋体" w:hAnsi="宋体"/>
          <w:b/>
          <w:color w:val="auto"/>
          <w:szCs w:val="21"/>
          <w:highlight w:val="none"/>
        </w:rPr>
      </w:pPr>
    </w:p>
    <w:p>
      <w:pPr>
        <w:ind w:firstLine="413"/>
        <w:rPr>
          <w:rFonts w:ascii="宋体" w:hAnsi="宋体"/>
          <w:b/>
          <w:color w:val="auto"/>
          <w:szCs w:val="21"/>
          <w:highlight w:val="none"/>
        </w:rPr>
      </w:pPr>
      <w:r>
        <w:rPr>
          <w:rFonts w:hint="eastAsia" w:ascii="宋体" w:hAnsi="宋体"/>
          <w:b/>
          <w:color w:val="auto"/>
          <w:szCs w:val="21"/>
          <w:highlight w:val="none"/>
        </w:rPr>
        <w:t>一、采购项目概况</w:t>
      </w:r>
    </w:p>
    <w:p>
      <w:pPr>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b/>
          <w:color w:val="auto"/>
          <w:szCs w:val="21"/>
          <w:highlight w:val="none"/>
          <w:lang w:eastAsia="zh-CN"/>
        </w:rPr>
        <w:t>新锋交通LNG气源供应商准入招标项目（第二次）</w:t>
      </w:r>
      <w:r>
        <w:rPr>
          <w:rFonts w:hint="eastAsia" w:ascii="宋体" w:hAnsi="宋体"/>
          <w:b/>
          <w:color w:val="auto"/>
          <w:szCs w:val="21"/>
          <w:highlight w:val="none"/>
        </w:rPr>
        <w:t>；</w:t>
      </w:r>
    </w:p>
    <w:p>
      <w:pPr>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预算金额（</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：本项目为资格采购，无具体预算金额；</w:t>
      </w:r>
    </w:p>
    <w:p>
      <w:pPr>
        <w:ind w:firstLine="420" w:firstLineChars="200"/>
        <w:rPr>
          <w:rFonts w:ascii="宋体" w:hAnsi="宋体"/>
          <w:color w:val="auto"/>
          <w:szCs w:val="21"/>
          <w:highlight w:val="none"/>
        </w:rPr>
      </w:pPr>
      <w:r>
        <w:rPr>
          <w:rFonts w:hint="eastAsia" w:ascii="宋体" w:hAnsi="宋体"/>
          <w:color w:val="auto"/>
          <w:szCs w:val="21"/>
          <w:highlight w:val="none"/>
        </w:rPr>
        <w:t>3、最高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b/>
          <w:bCs/>
          <w:color w:val="auto"/>
          <w:szCs w:val="21"/>
          <w:highlight w:val="none"/>
        </w:rPr>
        <w:t>无</w:t>
      </w:r>
    </w:p>
    <w:p>
      <w:pPr>
        <w:ind w:firstLine="420" w:firstLineChars="200"/>
        <w:rPr>
          <w:rFonts w:ascii="宋体" w:hAnsi="宋体"/>
          <w:color w:val="auto"/>
          <w:szCs w:val="21"/>
          <w:highlight w:val="none"/>
        </w:rPr>
      </w:pPr>
      <w:r>
        <w:rPr>
          <w:rFonts w:hint="eastAsia" w:ascii="宋体" w:hAnsi="宋体"/>
          <w:color w:val="auto"/>
          <w:szCs w:val="21"/>
          <w:highlight w:val="none"/>
        </w:rPr>
        <w:t>4、项目内容</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3"/>
        <w:gridCol w:w="4138"/>
        <w:gridCol w:w="1594"/>
        <w:gridCol w:w="1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0" w:type="pct"/>
            <w:vAlign w:val="center"/>
          </w:tcPr>
          <w:p>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2428" w:type="pct"/>
            <w:vAlign w:val="center"/>
          </w:tcPr>
          <w:p>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935" w:type="pct"/>
            <w:vAlign w:val="center"/>
          </w:tcPr>
          <w:p>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采购服务单位数量</w:t>
            </w:r>
          </w:p>
        </w:tc>
        <w:tc>
          <w:tcPr>
            <w:tcW w:w="935" w:type="pct"/>
            <w:vAlign w:val="center"/>
          </w:tcPr>
          <w:p>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00" w:type="pct"/>
            <w:vAlign w:val="center"/>
          </w:tcPr>
          <w:p>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A</w:t>
            </w:r>
          </w:p>
        </w:tc>
        <w:tc>
          <w:tcPr>
            <w:tcW w:w="2428" w:type="pct"/>
            <w:vAlign w:val="center"/>
          </w:tcPr>
          <w:p>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LNG气源协议供应商</w:t>
            </w:r>
          </w:p>
        </w:tc>
        <w:tc>
          <w:tcPr>
            <w:tcW w:w="935" w:type="pct"/>
            <w:vAlign w:val="center"/>
          </w:tcPr>
          <w:p>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六家</w:t>
            </w:r>
          </w:p>
        </w:tc>
        <w:tc>
          <w:tcPr>
            <w:tcW w:w="935" w:type="pct"/>
            <w:vAlign w:val="center"/>
          </w:tcPr>
          <w:p>
            <w:pPr>
              <w:spacing w:line="240" w:lineRule="auto"/>
              <w:jc w:val="center"/>
              <w:rPr>
                <w:rFonts w:ascii="宋体" w:hAnsi="宋体" w:cs="宋体"/>
                <w:color w:val="auto"/>
                <w:szCs w:val="21"/>
                <w:highlight w:val="none"/>
              </w:rPr>
            </w:pPr>
            <w:r>
              <w:rPr>
                <w:rFonts w:hint="eastAsia"/>
                <w:color w:val="auto"/>
                <w:highlight w:val="none"/>
              </w:rPr>
              <w:t>合同有效期</w:t>
            </w:r>
          </w:p>
        </w:tc>
      </w:tr>
    </w:tbl>
    <w:p>
      <w:pPr>
        <w:ind w:firstLine="420" w:firstLineChars="200"/>
        <w:rPr>
          <w:rFonts w:ascii="宋体" w:hAnsi="宋体"/>
          <w:color w:val="auto"/>
          <w:szCs w:val="21"/>
          <w:highlight w:val="none"/>
        </w:rPr>
      </w:pPr>
      <w:r>
        <w:rPr>
          <w:rFonts w:hint="eastAsia" w:ascii="宋体" w:hAnsi="宋体"/>
          <w:color w:val="auto"/>
          <w:szCs w:val="21"/>
          <w:highlight w:val="none"/>
        </w:rPr>
        <w:t>5、项目需求</w:t>
      </w:r>
    </w:p>
    <w:p>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pPr>
        <w:ind w:firstLine="413" w:firstLineChars="196"/>
        <w:rPr>
          <w:rFonts w:ascii="宋体" w:hAnsi="宋体"/>
          <w:b/>
          <w:color w:val="auto"/>
          <w:szCs w:val="21"/>
          <w:highlight w:val="none"/>
        </w:rPr>
      </w:pPr>
    </w:p>
    <w:p>
      <w:pPr>
        <w:ind w:firstLine="413" w:firstLineChars="196"/>
        <w:rPr>
          <w:rFonts w:ascii="宋体" w:hAnsi="宋体"/>
          <w:b/>
          <w:color w:val="auto"/>
          <w:szCs w:val="21"/>
          <w:highlight w:val="none"/>
        </w:rPr>
      </w:pPr>
      <w:r>
        <w:rPr>
          <w:rFonts w:hint="eastAsia" w:ascii="宋体" w:hAnsi="宋体"/>
          <w:b/>
          <w:color w:val="auto"/>
          <w:szCs w:val="21"/>
          <w:highlight w:val="none"/>
        </w:rPr>
        <w:t>二、投标人资格要求</w:t>
      </w:r>
    </w:p>
    <w:p>
      <w:pPr>
        <w:ind w:firstLine="411" w:firstLineChars="196"/>
        <w:rPr>
          <w:rFonts w:ascii="宋体" w:hAnsi="宋体"/>
          <w:color w:val="auto"/>
          <w:szCs w:val="21"/>
          <w:highlight w:val="none"/>
        </w:rPr>
      </w:pPr>
      <w:r>
        <w:rPr>
          <w:rFonts w:hint="eastAsia" w:ascii="宋体" w:hAnsi="宋体"/>
          <w:color w:val="auto"/>
          <w:szCs w:val="21"/>
          <w:highlight w:val="none"/>
        </w:rPr>
        <w:t>1、一般要求：</w:t>
      </w:r>
    </w:p>
    <w:p>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宋体" w:hAnsi="宋体"/>
          <w:color w:val="auto"/>
          <w:szCs w:val="21"/>
          <w:highlight w:val="none"/>
          <w:lang w:eastAsia="zh-CN"/>
        </w:rPr>
        <w:t>。</w:t>
      </w:r>
    </w:p>
    <w:p>
      <w:pPr>
        <w:ind w:firstLine="420" w:firstLineChars="200"/>
        <w:rPr>
          <w:rFonts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pP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pPr>
        <w:ind w:firstLine="420" w:firstLineChars="200"/>
        <w:rPr>
          <w:rFonts w:ascii="宋体" w:hAnsi="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pPr>
        <w:ind w:firstLine="420" w:firstLineChars="200"/>
        <w:rPr>
          <w:rFonts w:ascii="宋体" w:hAnsi="宋体"/>
          <w:color w:val="auto"/>
          <w:szCs w:val="21"/>
          <w:highlight w:val="none"/>
        </w:rPr>
      </w:pPr>
      <w:r>
        <w:rPr>
          <w:rFonts w:hint="eastAsia" w:ascii="宋体" w:hAnsi="宋体"/>
          <w:color w:val="auto"/>
          <w:szCs w:val="21"/>
          <w:highlight w:val="none"/>
        </w:rPr>
        <w:t>（5）投标人自招标公告发布之日起前两年内，在经营活动中没有因串通投标、弄虚作假、行贿、转包、违法分包、挂靠、死亡事故违法违规行为受到行政、刑事处罚的。以代理机构于投标截止日当天在“信用中国”网站查询结果为准。</w:t>
      </w:r>
    </w:p>
    <w:p>
      <w:pPr>
        <w:ind w:firstLine="420" w:firstLineChars="200"/>
        <w:rPr>
          <w:rFonts w:ascii="宋体" w:hAnsi="宋体"/>
          <w:color w:val="auto"/>
          <w:szCs w:val="21"/>
          <w:highlight w:val="none"/>
        </w:rPr>
      </w:pPr>
      <w:r>
        <w:rPr>
          <w:rFonts w:hint="eastAsia" w:ascii="宋体" w:hAnsi="宋体"/>
          <w:color w:val="auto"/>
          <w:szCs w:val="21"/>
          <w:highlight w:val="none"/>
        </w:rPr>
        <w:t>（6）未被列入东实集团及下属企业相关领域黑名单。【以</w:t>
      </w:r>
      <w:r>
        <w:rPr>
          <w:rFonts w:hint="eastAsia" w:hAnsi="宋体" w:cs="宋体"/>
          <w:color w:val="auto"/>
          <w:kern w:val="2"/>
          <w:szCs w:val="21"/>
          <w:highlight w:val="none"/>
          <w:lang w:val="zh-CN"/>
        </w:rPr>
        <w:t>东莞实业投资控股集团有限公司</w:t>
      </w:r>
      <w:r>
        <w:rPr>
          <w:rFonts w:hint="eastAsia" w:ascii="宋体" w:hAnsi="宋体"/>
          <w:color w:val="auto"/>
          <w:szCs w:val="21"/>
          <w:highlight w:val="none"/>
        </w:rPr>
        <w:t>发文（东实通〔2021〕44号）、（东实通〔2021〕98号）、</w:t>
      </w:r>
      <w:r>
        <w:rPr>
          <w:rFonts w:ascii="宋体" w:hAnsi="宋体"/>
          <w:color w:val="auto"/>
          <w:szCs w:val="21"/>
          <w:highlight w:val="none"/>
        </w:rPr>
        <w:t>（东实通〔2022〕75号）</w:t>
      </w:r>
      <w:r>
        <w:rPr>
          <w:rFonts w:hint="eastAsia" w:ascii="宋体" w:hAnsi="宋体"/>
          <w:color w:val="auto"/>
          <w:szCs w:val="21"/>
          <w:highlight w:val="none"/>
        </w:rPr>
        <w:t>、（东实通〔2023〕37号）、（东实通〔2024〕163号）、（东实通〔2024〕195号）为准，如有最新发文通知，按最新文件执行。】</w:t>
      </w:r>
    </w:p>
    <w:p>
      <w:pPr>
        <w:ind w:firstLine="420" w:firstLineChars="200"/>
        <w:rPr>
          <w:rFonts w:ascii="宋体" w:hAnsi="宋体"/>
          <w:color w:val="auto"/>
          <w:szCs w:val="21"/>
          <w:highlight w:val="none"/>
        </w:rPr>
      </w:pPr>
      <w:r>
        <w:rPr>
          <w:rFonts w:hint="eastAsia" w:ascii="宋体" w:hAnsi="宋体"/>
          <w:color w:val="auto"/>
          <w:szCs w:val="21"/>
          <w:highlight w:val="none"/>
        </w:rPr>
        <w:t>2、其他要求</w:t>
      </w:r>
    </w:p>
    <w:p>
      <w:pPr>
        <w:ind w:firstLine="420" w:firstLineChars="200"/>
        <w:rPr>
          <w:rFonts w:ascii="宋体" w:hAnsi="宋体"/>
          <w:color w:val="auto"/>
          <w:szCs w:val="21"/>
          <w:highlight w:val="none"/>
        </w:rPr>
      </w:pPr>
      <w:r>
        <w:rPr>
          <w:rFonts w:hint="eastAsia" w:ascii="宋体" w:hAnsi="宋体"/>
          <w:color w:val="auto"/>
          <w:szCs w:val="21"/>
          <w:highlight w:val="none"/>
        </w:rPr>
        <w:t>1）投标单位必须具有有效的危险化学品经营许可证（经营类别为危险货物2类1项，包含经营天然气或液化天然气）。（提供危险化学品经营许可证扫描件或复印件并加盖投标人公章）。</w:t>
      </w:r>
    </w:p>
    <w:p>
      <w:pPr>
        <w:ind w:firstLine="420" w:firstLineChars="200"/>
        <w:rPr>
          <w:color w:val="auto"/>
          <w:highlight w:val="none"/>
        </w:rPr>
      </w:pPr>
      <w:r>
        <w:rPr>
          <w:rFonts w:ascii="宋体" w:hAnsi="宋体"/>
          <w:color w:val="auto"/>
          <w:szCs w:val="21"/>
          <w:highlight w:val="none"/>
        </w:rPr>
        <w:t>2</w:t>
      </w:r>
      <w:r>
        <w:rPr>
          <w:rFonts w:hint="eastAsia" w:ascii="宋体" w:hAnsi="宋体"/>
          <w:color w:val="auto"/>
          <w:szCs w:val="21"/>
          <w:highlight w:val="none"/>
        </w:rPr>
        <w:t>）</w:t>
      </w:r>
      <w:r>
        <w:rPr>
          <w:rFonts w:hint="eastAsia" w:asciiTheme="minorEastAsia" w:hAnsiTheme="minorEastAsia" w:eastAsiaTheme="minorEastAsia" w:cstheme="minorEastAsia"/>
          <w:color w:val="auto"/>
          <w:highlight w:val="none"/>
        </w:rPr>
        <w:t>运输力量要求：投标人需</w:t>
      </w:r>
      <w:r>
        <w:rPr>
          <w:rFonts w:hint="eastAsia"/>
          <w:color w:val="auto"/>
          <w:highlight w:val="none"/>
        </w:rPr>
        <w:t>与2家(或以上)有危化品运输许可的第三方物流单位有年度合约，且物流公司运输能力不低于</w:t>
      </w:r>
      <w:r>
        <w:rPr>
          <w:rFonts w:hint="eastAsia"/>
          <w:color w:val="auto"/>
          <w:highlight w:val="none"/>
          <w:lang w:val="en-US" w:eastAsia="zh-CN"/>
        </w:rPr>
        <w:t>1</w:t>
      </w:r>
      <w:r>
        <w:rPr>
          <w:rFonts w:hint="eastAsia"/>
          <w:color w:val="auto"/>
          <w:highlight w:val="none"/>
        </w:rPr>
        <w:t>0台(提供合同)。需提供第三方物流公司的道路运输经营许可证扫描件或复印件、危化品运输许可证及</w:t>
      </w:r>
      <w:r>
        <w:rPr>
          <w:rFonts w:hint="eastAsia"/>
          <w:color w:val="auto"/>
          <w:highlight w:val="none"/>
          <w:lang w:val="en-US" w:eastAsia="zh-CN"/>
        </w:rPr>
        <w:t>1</w:t>
      </w:r>
      <w:r>
        <w:rPr>
          <w:rFonts w:hint="eastAsia"/>
          <w:color w:val="auto"/>
          <w:highlight w:val="none"/>
        </w:rPr>
        <w:t>0台以上车辆的行驶证。</w:t>
      </w:r>
    </w:p>
    <w:p>
      <w:pPr>
        <w:ind w:firstLine="420" w:firstLineChars="200"/>
        <w:rPr>
          <w:rFonts w:asciiTheme="minorEastAsia" w:hAnsiTheme="minorEastAsia" w:eastAsiaTheme="minorEastAsia" w:cstheme="minorEastAsia"/>
          <w:color w:val="auto"/>
          <w:highlight w:val="none"/>
        </w:rPr>
      </w:pPr>
      <w:r>
        <w:rPr>
          <w:color w:val="auto"/>
          <w:highlight w:val="none"/>
        </w:rPr>
        <w:t>3</w:t>
      </w:r>
      <w:r>
        <w:rPr>
          <w:rFonts w:hint="eastAsia"/>
          <w:color w:val="auto"/>
          <w:highlight w:val="none"/>
        </w:rPr>
        <w:t>）</w:t>
      </w:r>
      <w:r>
        <w:rPr>
          <w:rFonts w:hint="eastAsia" w:asciiTheme="minorEastAsia" w:hAnsiTheme="minorEastAsia" w:eastAsiaTheme="minorEastAsia" w:cstheme="minorEastAsia"/>
          <w:color w:val="auto"/>
          <w:highlight w:val="none"/>
        </w:rPr>
        <w:t>投标人须提供投标人近1年内(从采购公告发布之日起倒算，</w:t>
      </w:r>
      <w:r>
        <w:rPr>
          <w:rFonts w:hint="eastAsia" w:asciiTheme="minorEastAsia" w:hAnsiTheme="minorEastAsia" w:eastAsiaTheme="minorEastAsia" w:cstheme="minorEastAsia"/>
          <w:color w:val="auto"/>
          <w:highlight w:val="none"/>
          <w:lang w:val="en-US" w:eastAsia="zh-CN"/>
        </w:rPr>
        <w:t>业绩认定</w:t>
      </w:r>
      <w:r>
        <w:rPr>
          <w:rFonts w:hint="eastAsia" w:asciiTheme="minorEastAsia" w:hAnsiTheme="minorEastAsia" w:eastAsiaTheme="minorEastAsia" w:cstheme="minorEastAsia"/>
          <w:color w:val="auto"/>
          <w:highlight w:val="none"/>
        </w:rPr>
        <w:t>以合同签订时间为准。)</w:t>
      </w:r>
      <w:r>
        <w:rPr>
          <w:rFonts w:hint="eastAsia" w:asciiTheme="minorEastAsia" w:hAnsiTheme="minorEastAsia" w:eastAsiaTheme="minorEastAsia" w:cstheme="minorEastAsia"/>
          <w:color w:val="auto"/>
          <w:highlight w:val="none"/>
          <w:lang w:val="en-US" w:eastAsia="zh-CN"/>
        </w:rPr>
        <w:t>的</w:t>
      </w:r>
      <w:r>
        <w:rPr>
          <w:rFonts w:hint="eastAsia" w:asciiTheme="minorEastAsia" w:hAnsiTheme="minorEastAsia" w:eastAsiaTheme="minorEastAsia" w:cstheme="minorEastAsia"/>
          <w:color w:val="auto"/>
          <w:highlight w:val="none"/>
        </w:rPr>
        <w:t>销售业绩证明</w:t>
      </w:r>
      <w:r>
        <w:rPr>
          <w:rFonts w:hint="eastAsia" w:asciiTheme="minorEastAsia" w:hAnsiTheme="minorEastAsia" w:eastAsiaTheme="minorEastAsia" w:cstheme="minorEastAsia"/>
          <w:color w:val="auto"/>
          <w:highlight w:val="none"/>
          <w:lang w:val="en-US" w:eastAsia="zh-CN"/>
        </w:rPr>
        <w:t>材料</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val="en-US" w:eastAsia="zh-CN"/>
        </w:rPr>
        <w:t>要求近1年内</w:t>
      </w:r>
      <w:r>
        <w:rPr>
          <w:rFonts w:hint="eastAsia" w:asciiTheme="minorEastAsia" w:hAnsiTheme="minorEastAsia" w:eastAsiaTheme="minorEastAsia" w:cstheme="minorEastAsia"/>
          <w:color w:val="auto"/>
          <w:highlight w:val="none"/>
          <w:lang w:eastAsia="zh-CN"/>
        </w:rPr>
        <w:t>总提货量</w:t>
      </w:r>
      <w:r>
        <w:rPr>
          <w:rFonts w:hint="eastAsia" w:asciiTheme="minorEastAsia" w:hAnsiTheme="minorEastAsia" w:eastAsiaTheme="minorEastAsia" w:cstheme="minorEastAsia"/>
          <w:color w:val="auto"/>
          <w:highlight w:val="none"/>
        </w:rPr>
        <w:t>不低于</w:t>
      </w:r>
      <w:r>
        <w:rPr>
          <w:rFonts w:hint="eastAsia" w:asciiTheme="minorEastAsia" w:hAnsiTheme="minorEastAsia" w:eastAsiaTheme="minorEastAsia" w:cstheme="minorEastAsia"/>
          <w:color w:val="auto"/>
          <w:highlight w:val="none"/>
          <w:lang w:val="en-US" w:eastAsia="zh-CN"/>
        </w:rPr>
        <w:t>30</w:t>
      </w:r>
      <w:r>
        <w:rPr>
          <w:rFonts w:hint="eastAsia" w:asciiTheme="minorEastAsia" w:hAnsiTheme="minorEastAsia" w:eastAsiaTheme="minorEastAsia" w:cstheme="minorEastAsia"/>
          <w:color w:val="auto"/>
          <w:highlight w:val="none"/>
        </w:rPr>
        <w:t>000吨</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以实际提货凭证为准），且业绩需包含指定码头提货记录（指定码头包括但不限于广东大鹏码头、珠海金湾码头、深圳迭福码头，投标人须提供上述至少一个及以上码头的提货相关证明材料），业绩证明材料需完整可追溯，所有材料需加盖投标人公章，若为复印件需注明“与原件一致”并加盖公章，否则视为无效业绩，若投标人提供的业绩证明材料不符合上述要求，其投标文件按无效投标处理。</w:t>
      </w:r>
      <w:r>
        <w:rPr>
          <w:rFonts w:hint="eastAsia" w:asciiTheme="minorEastAsia" w:hAnsiTheme="minorEastAsia" w:eastAsiaTheme="minorEastAsia" w:cstheme="minorEastAsia"/>
          <w:color w:val="auto"/>
          <w:highlight w:val="none"/>
        </w:rPr>
        <w:t>(提供:1、上游签订合同2、</w:t>
      </w:r>
      <w:r>
        <w:rPr>
          <w:rFonts w:hint="eastAsia" w:asciiTheme="minorEastAsia" w:hAnsiTheme="minorEastAsia" w:eastAsiaTheme="minorEastAsia" w:cstheme="minorEastAsia"/>
          <w:color w:val="auto"/>
          <w:highlight w:val="none"/>
          <w:lang w:val="en-US" w:eastAsia="zh-CN"/>
        </w:rPr>
        <w:t>对账单及</w:t>
      </w:r>
      <w:r>
        <w:rPr>
          <w:rFonts w:hint="eastAsia" w:asciiTheme="minorEastAsia" w:hAnsiTheme="minorEastAsia" w:eastAsiaTheme="minorEastAsia" w:cstheme="minorEastAsia"/>
          <w:color w:val="auto"/>
          <w:highlight w:val="none"/>
        </w:rPr>
        <w:t>发票或磅单3、其他证明材料加盖投标人公章)。</w:t>
      </w:r>
    </w:p>
    <w:p>
      <w:pPr>
        <w:ind w:firstLine="413" w:firstLineChars="196"/>
        <w:rPr>
          <w:rFonts w:ascii="宋体" w:hAnsi="宋体"/>
          <w:b/>
          <w:color w:val="auto"/>
          <w:szCs w:val="21"/>
          <w:highlight w:val="none"/>
        </w:rPr>
      </w:pPr>
    </w:p>
    <w:p>
      <w:pPr>
        <w:ind w:firstLine="413" w:firstLineChars="196"/>
        <w:rPr>
          <w:rFonts w:ascii="宋体" w:hAnsi="宋体"/>
          <w:b/>
          <w:color w:val="auto"/>
          <w:szCs w:val="21"/>
          <w:highlight w:val="none"/>
        </w:rPr>
      </w:pPr>
      <w:r>
        <w:rPr>
          <w:rFonts w:hint="eastAsia" w:ascii="宋体" w:hAnsi="宋体"/>
          <w:b/>
          <w:color w:val="auto"/>
          <w:szCs w:val="21"/>
          <w:highlight w:val="none"/>
        </w:rPr>
        <w:t>三、获取采购文件方式及要求：</w:t>
      </w:r>
    </w:p>
    <w:p>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1、采购领购时间：时间：202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02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13</w:t>
      </w:r>
      <w:r>
        <w:rPr>
          <w:rFonts w:hint="eastAsia" w:ascii="宋体" w:hAnsi="宋体" w:cs="宋体"/>
          <w:color w:val="auto"/>
          <w:szCs w:val="21"/>
          <w:highlight w:val="none"/>
        </w:rPr>
        <w:t>日至202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03</w:t>
      </w:r>
      <w:bookmarkStart w:id="202" w:name="_GoBack"/>
      <w:bookmarkEnd w:id="202"/>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日，每天上午9:00至12:00，下午14:30至17:30。（北京时间，法定节假日除外）。</w:t>
      </w:r>
    </w:p>
    <w:p>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2、获取方式：现场购买。</w:t>
      </w:r>
    </w:p>
    <w:p>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3、须提前准备如下材料：《营业执照》复印件（加盖公章）或《事业单位法人证书》复印件（加盖公章）或其他主体证明复印件（加盖公章），自然人参加投标须提供自然人的身份证明材料；</w:t>
      </w:r>
    </w:p>
    <w:p>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4、须在领购时间内进行报名，逾期报名无效，任何投标人因逾期报名或误缴费用而导致报名无效的，自行承担相应责任；</w:t>
      </w:r>
    </w:p>
    <w:p>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5、领购价格：人民币300元整，售后不退；领购咨询人：袁小姐；领购咨询电话：0769-28680091。</w:t>
      </w:r>
    </w:p>
    <w:p>
      <w:pPr>
        <w:rPr>
          <w:color w:val="auto"/>
          <w:highlight w:val="none"/>
        </w:rPr>
      </w:pPr>
    </w:p>
    <w:p>
      <w:pPr>
        <w:ind w:firstLine="413" w:firstLineChars="196"/>
        <w:rPr>
          <w:rFonts w:ascii="宋体" w:hAnsi="宋体"/>
          <w:b/>
          <w:color w:val="auto"/>
          <w:szCs w:val="21"/>
          <w:highlight w:val="none"/>
        </w:rPr>
      </w:pPr>
      <w:r>
        <w:rPr>
          <w:rFonts w:hint="eastAsia" w:ascii="宋体" w:hAnsi="宋体"/>
          <w:b/>
          <w:color w:val="auto"/>
          <w:szCs w:val="21"/>
          <w:highlight w:val="none"/>
        </w:rPr>
        <w:t>四、投标文件的递交</w:t>
      </w:r>
    </w:p>
    <w:p>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03</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13</w:t>
      </w:r>
      <w:r>
        <w:rPr>
          <w:rFonts w:hint="eastAsia" w:ascii="宋体" w:hAnsi="宋体" w:cs="宋体"/>
          <w:color w:val="auto"/>
          <w:szCs w:val="21"/>
          <w:highlight w:val="none"/>
        </w:rPr>
        <w:t>日（</w:t>
      </w:r>
      <w:r>
        <w:rPr>
          <w:rFonts w:hint="eastAsia" w:ascii="宋体" w:hAnsi="宋体"/>
          <w:color w:val="auto"/>
          <w:szCs w:val="21"/>
          <w:highlight w:val="none"/>
        </w:rPr>
        <w:t>北京时间）</w:t>
      </w:r>
      <w:r>
        <w:rPr>
          <w:rFonts w:hint="eastAsia" w:ascii="宋体" w:hAnsi="宋体"/>
          <w:color w:val="auto"/>
          <w:szCs w:val="21"/>
          <w:highlight w:val="none"/>
          <w:u w:val="single"/>
          <w:lang w:val="en-US" w:eastAsia="zh-CN"/>
        </w:rPr>
        <w:t>09</w:t>
      </w:r>
      <w:r>
        <w:rPr>
          <w:rFonts w:hint="eastAsia" w:ascii="宋体" w:hAnsi="宋体"/>
          <w:color w:val="auto"/>
          <w:szCs w:val="21"/>
          <w:highlight w:val="none"/>
          <w:u w:val="single"/>
        </w:rPr>
        <w:t>:00-</w:t>
      </w:r>
      <w:r>
        <w:rPr>
          <w:rFonts w:hint="eastAsia" w:ascii="宋体" w:hAnsi="宋体"/>
          <w:color w:val="auto"/>
          <w:szCs w:val="21"/>
          <w:highlight w:val="none"/>
          <w:u w:val="single"/>
          <w:lang w:val="en-US" w:eastAsia="zh-CN"/>
        </w:rPr>
        <w:t>09</w:t>
      </w:r>
      <w:r>
        <w:rPr>
          <w:rFonts w:hint="eastAsia" w:ascii="宋体" w:hAnsi="宋体"/>
          <w:color w:val="auto"/>
          <w:szCs w:val="21"/>
          <w:highlight w:val="none"/>
          <w:u w:val="single"/>
        </w:rPr>
        <w:t>:30</w:t>
      </w:r>
      <w:r>
        <w:rPr>
          <w:rFonts w:hint="eastAsia" w:ascii="宋体" w:hAnsi="宋体"/>
          <w:color w:val="auto"/>
          <w:szCs w:val="21"/>
          <w:highlight w:val="none"/>
        </w:rPr>
        <w:t>（北京时间）。</w:t>
      </w:r>
    </w:p>
    <w:p>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03</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13</w:t>
      </w:r>
      <w:r>
        <w:rPr>
          <w:rFonts w:hint="eastAsia" w:ascii="宋体" w:hAnsi="宋体" w:cs="宋体"/>
          <w:color w:val="auto"/>
          <w:szCs w:val="21"/>
          <w:highlight w:val="none"/>
        </w:rPr>
        <w:t>日</w:t>
      </w:r>
      <w:r>
        <w:rPr>
          <w:rFonts w:hint="eastAsia" w:ascii="宋体" w:hAnsi="宋体"/>
          <w:color w:val="auto"/>
          <w:szCs w:val="21"/>
          <w:highlight w:val="none"/>
          <w:u w:val="single"/>
          <w:lang w:val="en-US" w:eastAsia="zh-CN"/>
        </w:rPr>
        <w:t>09</w:t>
      </w:r>
      <w:r>
        <w:rPr>
          <w:rFonts w:hint="eastAsia" w:ascii="宋体" w:hAnsi="宋体"/>
          <w:color w:val="auto"/>
          <w:szCs w:val="21"/>
          <w:highlight w:val="none"/>
          <w:u w:val="single"/>
        </w:rPr>
        <w:t>:30</w:t>
      </w:r>
      <w:r>
        <w:rPr>
          <w:rFonts w:hint="eastAsia" w:ascii="宋体" w:hAnsi="宋体"/>
          <w:color w:val="auto"/>
          <w:szCs w:val="21"/>
          <w:highlight w:val="none"/>
        </w:rPr>
        <w:t>（北京时间），所有投标文件应于截止时间之前递交，迟交或以电报、传真形式的投标文件将拒绝接收。</w:t>
      </w:r>
    </w:p>
    <w:p>
      <w:pPr>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olor w:val="auto"/>
          <w:szCs w:val="21"/>
          <w:highlight w:val="none"/>
          <w:u w:val="single"/>
        </w:rPr>
        <w:t>东莞市东城街道洋杞坑东路18号302室（东莞市东城街道立新洋杞坑经济合作社办公大楼三楼）。</w:t>
      </w:r>
    </w:p>
    <w:p>
      <w:pPr>
        <w:ind w:firstLine="411" w:firstLineChars="196"/>
        <w:rPr>
          <w:rFonts w:ascii="宋体" w:hAnsi="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p>
    <w:p>
      <w:pPr>
        <w:pStyle w:val="41"/>
        <w:spacing w:line="360" w:lineRule="auto"/>
        <w:rPr>
          <w:color w:val="auto"/>
          <w:sz w:val="21"/>
          <w:szCs w:val="21"/>
          <w:highlight w:val="none"/>
        </w:rPr>
      </w:pPr>
      <w:r>
        <w:rPr>
          <w:rFonts w:hint="eastAsia" w:ascii="宋体" w:hAnsi="宋体" w:eastAsia="宋体" w:cstheme="minorBidi"/>
          <w:bCs/>
          <w:color w:val="auto"/>
          <w:sz w:val="21"/>
          <w:szCs w:val="21"/>
          <w:highlight w:val="none"/>
        </w:rPr>
        <w:t>5、</w:t>
      </w:r>
      <w:r>
        <w:rPr>
          <w:rFonts w:hint="eastAsia"/>
          <w:color w:val="auto"/>
          <w:sz w:val="21"/>
          <w:szCs w:val="21"/>
          <w:highlight w:val="none"/>
        </w:rPr>
        <w:t>出现以下情形时，采购代理机构不予接收投标（响应）文件：</w:t>
      </w:r>
    </w:p>
    <w:p>
      <w:pPr>
        <w:pStyle w:val="41"/>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（1）逾期送达或者未送达指定地点的；</w:t>
      </w:r>
    </w:p>
    <w:p>
      <w:pPr>
        <w:pStyle w:val="41"/>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（2）未按采购文件要求密封的。</w:t>
      </w:r>
    </w:p>
    <w:p>
      <w:pPr>
        <w:pStyle w:val="41"/>
        <w:ind w:firstLine="400"/>
        <w:rPr>
          <w:color w:val="auto"/>
          <w:highlight w:val="none"/>
        </w:rPr>
      </w:pPr>
    </w:p>
    <w:p>
      <w:pPr>
        <w:pStyle w:val="41"/>
        <w:ind w:firstLine="422"/>
        <w:rPr>
          <w:rFonts w:ascii="宋体" w:hAnsi="宋体" w:eastAsia="宋体" w:cstheme="minorBidi"/>
          <w:b/>
          <w:color w:val="auto"/>
          <w:sz w:val="21"/>
          <w:szCs w:val="21"/>
          <w:highlight w:val="none"/>
        </w:rPr>
      </w:pPr>
      <w:r>
        <w:rPr>
          <w:rFonts w:hint="eastAsia" w:ascii="宋体" w:hAnsi="宋体" w:eastAsia="宋体" w:cstheme="minorBidi"/>
          <w:b/>
          <w:color w:val="auto"/>
          <w:sz w:val="21"/>
          <w:szCs w:val="21"/>
          <w:highlight w:val="none"/>
        </w:rPr>
        <w:t>五</w:t>
      </w:r>
      <w:r>
        <w:rPr>
          <w:rFonts w:ascii="宋体" w:hAnsi="宋体" w:eastAsia="宋体" w:cstheme="minorBidi"/>
          <w:b/>
          <w:color w:val="auto"/>
          <w:sz w:val="21"/>
          <w:szCs w:val="21"/>
          <w:highlight w:val="none"/>
        </w:rPr>
        <w:t>、发布公告的媒介</w:t>
      </w:r>
    </w:p>
    <w:p>
      <w:pPr>
        <w:pStyle w:val="41"/>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pPr>
        <w:pStyle w:val="41"/>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中国招标投标公共服务平台（http://www.cebpubservice.com/）、东莞实业投资控股集团有限公司-招标采购栏目（http://www.dgsy.com.cn/）、广东人信工程咨询有限公司（http://www.gdrxzx.com）</w:t>
      </w:r>
      <w:r>
        <w:rPr>
          <w:rFonts w:hint="eastAsia" w:ascii="宋体" w:hAnsi="宋体" w:eastAsia="宋体" w:cs="宋体"/>
          <w:color w:val="auto"/>
          <w:sz w:val="21"/>
          <w:szCs w:val="21"/>
          <w:highlight w:val="none"/>
        </w:rPr>
        <w:t>。</w:t>
      </w:r>
    </w:p>
    <w:p>
      <w:pPr>
        <w:pStyle w:val="41"/>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pPr>
        <w:pStyle w:val="41"/>
        <w:spacing w:line="360" w:lineRule="auto"/>
        <w:rPr>
          <w:rFonts w:ascii="宋体" w:hAnsi="宋体" w:eastAsia="宋体" w:cs="宋体"/>
          <w:bCs/>
          <w:color w:val="auto"/>
          <w:sz w:val="21"/>
          <w:szCs w:val="21"/>
          <w:highlight w:val="none"/>
        </w:rPr>
      </w:pPr>
      <w:r>
        <w:rPr>
          <w:rFonts w:hint="eastAsia" w:ascii="宋体" w:hAnsi="宋体" w:eastAsia="宋体" w:cs="宋体"/>
          <w:color w:val="auto"/>
          <w:sz w:val="21"/>
          <w:szCs w:val="21"/>
          <w:highlight w:val="none"/>
          <w:u w:val="single"/>
        </w:rPr>
        <w:t>中国招标投标公共服务平台（http://www.cebpubservice.com/）、东莞实业投资控股集团有限公司-招标采购栏目（http://www.dgsy.com.cn/）、广东人信工程咨询有限公司（http://www.gdrxzx.com）</w:t>
      </w:r>
    </w:p>
    <w:p>
      <w:pPr>
        <w:ind w:firstLine="413" w:firstLineChars="196"/>
        <w:rPr>
          <w:rFonts w:ascii="宋体" w:hAnsi="宋体"/>
          <w:b/>
          <w:color w:val="auto"/>
          <w:szCs w:val="21"/>
          <w:highlight w:val="none"/>
        </w:rPr>
      </w:pPr>
    </w:p>
    <w:p>
      <w:pPr>
        <w:ind w:firstLine="413" w:firstLineChars="196"/>
        <w:rPr>
          <w:rFonts w:ascii="宋体" w:hAnsi="宋体"/>
          <w:bCs/>
          <w:color w:val="auto"/>
          <w:szCs w:val="21"/>
          <w:highlight w:val="none"/>
        </w:rPr>
      </w:pPr>
      <w:r>
        <w:rPr>
          <w:rFonts w:hint="eastAsia" w:ascii="宋体" w:hAnsi="宋体"/>
          <w:b/>
          <w:color w:val="auto"/>
          <w:szCs w:val="21"/>
          <w:highlight w:val="none"/>
        </w:rPr>
        <w:t>六、采购人及采购代理机构的名称、地址和联系方法：</w:t>
      </w:r>
    </w:p>
    <w:p>
      <w:pPr>
        <w:ind w:firstLine="420" w:firstLineChars="200"/>
        <w:rPr>
          <w:rFonts w:ascii="宋体" w:hAnsi="宋体"/>
          <w:bCs/>
          <w:color w:val="auto"/>
          <w:szCs w:val="21"/>
          <w:highlight w:val="none"/>
        </w:rPr>
      </w:pPr>
      <w:r>
        <w:rPr>
          <w:rFonts w:hint="eastAsia" w:ascii="宋体" w:hAnsi="宋体"/>
          <w:bCs/>
          <w:color w:val="auto"/>
          <w:szCs w:val="21"/>
          <w:highlight w:val="none"/>
        </w:rPr>
        <w:t>采购人</w:t>
      </w:r>
      <w:r>
        <w:rPr>
          <w:rFonts w:ascii="宋体" w:hAnsi="宋体"/>
          <w:bCs/>
          <w:color w:val="auto"/>
          <w:szCs w:val="21"/>
          <w:highlight w:val="none"/>
        </w:rPr>
        <w:t>名称</w:t>
      </w:r>
      <w:r>
        <w:rPr>
          <w:rFonts w:hint="eastAsia" w:ascii="宋体" w:hAnsi="宋体"/>
          <w:bCs/>
          <w:color w:val="auto"/>
          <w:szCs w:val="21"/>
          <w:highlight w:val="none"/>
        </w:rPr>
        <w:t>：东莞新锋交通能源发展有限公司</w:t>
      </w:r>
    </w:p>
    <w:p>
      <w:pPr>
        <w:ind w:firstLine="420" w:firstLineChars="200"/>
        <w:rPr>
          <w:rFonts w:ascii="宋体" w:hAnsi="宋体"/>
          <w:bCs/>
          <w:color w:val="auto"/>
          <w:szCs w:val="21"/>
          <w:highlight w:val="none"/>
        </w:rPr>
      </w:pPr>
      <w:r>
        <w:rPr>
          <w:rFonts w:hint="eastAsia" w:ascii="宋体" w:hAnsi="宋体"/>
          <w:bCs/>
          <w:color w:val="auto"/>
          <w:szCs w:val="21"/>
          <w:highlight w:val="none"/>
        </w:rPr>
        <w:t xml:space="preserve">采购人联系人： </w:t>
      </w:r>
      <w:r>
        <w:rPr>
          <w:rFonts w:hint="eastAsia" w:ascii="宋体" w:hAnsi="宋体" w:cs="宋体"/>
          <w:bCs/>
          <w:color w:val="auto"/>
          <w:szCs w:val="21"/>
          <w:highlight w:val="none"/>
        </w:rPr>
        <w:t>肖女士</w:t>
      </w:r>
    </w:p>
    <w:p>
      <w:pPr>
        <w:ind w:firstLine="420" w:firstLineChars="200"/>
        <w:rPr>
          <w:rFonts w:ascii="宋体" w:hAnsi="宋体"/>
          <w:bCs/>
          <w:color w:val="auto"/>
          <w:szCs w:val="21"/>
          <w:highlight w:val="none"/>
        </w:rPr>
      </w:pPr>
      <w:r>
        <w:rPr>
          <w:rFonts w:hint="eastAsia" w:ascii="宋体" w:hAnsi="宋体"/>
          <w:bCs/>
          <w:color w:val="auto"/>
          <w:szCs w:val="21"/>
          <w:highlight w:val="none"/>
        </w:rPr>
        <w:t>采购人地址：</w:t>
      </w:r>
      <w:r>
        <w:rPr>
          <w:rFonts w:hint="eastAsia"/>
          <w:color w:val="auto"/>
          <w:highlight w:val="none"/>
        </w:rPr>
        <w:t>广东省东莞市松山湖新城大道5号龙怡智谷A栋</w:t>
      </w:r>
    </w:p>
    <w:p>
      <w:pPr>
        <w:ind w:firstLine="420" w:firstLineChars="200"/>
        <w:rPr>
          <w:rFonts w:ascii="宋体" w:hAnsi="宋体"/>
          <w:bCs/>
          <w:color w:val="auto"/>
          <w:szCs w:val="21"/>
          <w:highlight w:val="none"/>
        </w:rPr>
      </w:pPr>
      <w:r>
        <w:rPr>
          <w:rFonts w:hint="eastAsia" w:ascii="宋体" w:hAnsi="宋体"/>
          <w:bCs/>
          <w:color w:val="auto"/>
          <w:szCs w:val="21"/>
          <w:highlight w:val="none"/>
        </w:rPr>
        <w:t>采购人联系电话：</w:t>
      </w:r>
      <w:r>
        <w:rPr>
          <w:rFonts w:hint="eastAsia" w:ascii="宋体" w:hAnsi="宋体" w:cs="宋体"/>
          <w:bCs/>
          <w:color w:val="auto"/>
          <w:szCs w:val="21"/>
          <w:highlight w:val="none"/>
        </w:rPr>
        <w:t>0769-26626363  13829260645</w:t>
      </w:r>
    </w:p>
    <w:p>
      <w:pPr>
        <w:ind w:firstLine="420" w:firstLineChars="200"/>
        <w:rPr>
          <w:rFonts w:ascii="宋体" w:hAnsi="宋体"/>
          <w:color w:val="auto"/>
          <w:szCs w:val="21"/>
          <w:highlight w:val="none"/>
        </w:rPr>
      </w:pPr>
    </w:p>
    <w:p>
      <w:pPr>
        <w:ind w:firstLine="420" w:firstLineChars="200"/>
        <w:rPr>
          <w:rFonts w:ascii="宋体" w:hAnsi="宋体"/>
          <w:color w:val="auto"/>
          <w:szCs w:val="21"/>
          <w:highlight w:val="none"/>
        </w:rPr>
      </w:pPr>
      <w:r>
        <w:rPr>
          <w:rFonts w:hint="eastAsia" w:ascii="宋体" w:hAnsi="宋体"/>
          <w:color w:val="auto"/>
          <w:szCs w:val="21"/>
          <w:highlight w:val="none"/>
        </w:rPr>
        <w:t>采购代理机构名称：广东人信工程咨询有限公司</w:t>
      </w:r>
    </w:p>
    <w:p>
      <w:pPr>
        <w:ind w:firstLine="420" w:firstLineChars="200"/>
        <w:rPr>
          <w:rFonts w:ascii="宋体" w:hAnsi="宋体"/>
          <w:color w:val="auto"/>
          <w:szCs w:val="21"/>
          <w:highlight w:val="none"/>
        </w:rPr>
      </w:pPr>
      <w:r>
        <w:rPr>
          <w:rFonts w:hint="eastAsia" w:ascii="宋体" w:hAnsi="宋体"/>
          <w:color w:val="auto"/>
          <w:szCs w:val="21"/>
          <w:highlight w:val="none"/>
        </w:rPr>
        <w:t>采购代理机构地址：东莞市东城街道洋杞坑东路18号302室（东莞市东城街道立新洋杞坑经济合作社办公大楼三楼）</w:t>
      </w:r>
    </w:p>
    <w:p>
      <w:pPr>
        <w:ind w:firstLine="420" w:firstLineChars="200"/>
        <w:rPr>
          <w:rFonts w:ascii="宋体" w:hAnsi="宋体"/>
          <w:color w:val="auto"/>
          <w:szCs w:val="21"/>
          <w:highlight w:val="none"/>
        </w:rPr>
      </w:pPr>
      <w:r>
        <w:rPr>
          <w:rFonts w:hint="eastAsia" w:ascii="宋体" w:hAnsi="宋体"/>
          <w:color w:val="auto"/>
          <w:szCs w:val="21"/>
          <w:highlight w:val="none"/>
        </w:rPr>
        <w:t>采购代理机构联系人：陈靓</w:t>
      </w:r>
    </w:p>
    <w:p>
      <w:pPr>
        <w:ind w:firstLine="420" w:firstLineChars="200"/>
        <w:rPr>
          <w:rFonts w:ascii="宋体" w:hAnsi="宋体"/>
          <w:color w:val="auto"/>
          <w:szCs w:val="21"/>
          <w:highlight w:val="none"/>
        </w:rPr>
      </w:pPr>
      <w:r>
        <w:rPr>
          <w:rFonts w:hint="eastAsia" w:ascii="宋体" w:hAnsi="宋体"/>
          <w:color w:val="auto"/>
          <w:szCs w:val="21"/>
          <w:highlight w:val="none"/>
        </w:rPr>
        <w:t>采购代理机构联系电话：0769-28680091</w:t>
      </w:r>
    </w:p>
    <w:p>
      <w:pPr>
        <w:ind w:firstLine="420" w:firstLineChars="200"/>
        <w:rPr>
          <w:color w:val="auto"/>
          <w:highlight w:val="none"/>
        </w:rPr>
      </w:pPr>
      <w:r>
        <w:rPr>
          <w:rFonts w:hint="eastAsia" w:ascii="宋体" w:hAnsi="宋体"/>
          <w:color w:val="auto"/>
          <w:szCs w:val="21"/>
          <w:highlight w:val="none"/>
        </w:rPr>
        <w:t>采购代理机构邮箱：gdrxdg@163.com</w:t>
      </w:r>
    </w:p>
    <w:p>
      <w:pPr>
        <w:ind w:firstLine="420" w:firstLineChars="200"/>
        <w:rPr>
          <w:color w:val="auto"/>
          <w:highlight w:val="none"/>
        </w:rPr>
      </w:pPr>
      <w:r>
        <w:rPr>
          <w:rFonts w:hint="eastAsia" w:ascii="宋体" w:hAnsi="宋体"/>
          <w:color w:val="auto"/>
          <w:szCs w:val="21"/>
          <w:highlight w:val="none"/>
        </w:rPr>
        <w:t xml:space="preserve"> </w:t>
      </w:r>
    </w:p>
    <w:p>
      <w:pPr>
        <w:ind w:right="752" w:rightChars="358"/>
        <w:jc w:val="right"/>
        <w:rPr>
          <w:color w:val="auto"/>
          <w:highlight w:val="none"/>
        </w:rPr>
      </w:pPr>
    </w:p>
    <w:p>
      <w:pPr>
        <w:ind w:right="752" w:rightChars="358"/>
        <w:jc w:val="right"/>
        <w:rPr>
          <w:rFonts w:ascii="宋体" w:hAnsi="宋体" w:cs="宋体"/>
          <w:color w:val="auto"/>
          <w:szCs w:val="21"/>
          <w:highlight w:val="none"/>
        </w:rPr>
      </w:pPr>
      <w:r>
        <w:rPr>
          <w:rFonts w:hint="eastAsia" w:ascii="宋体" w:hAnsi="宋体" w:cs="宋体"/>
          <w:color w:val="auto"/>
          <w:szCs w:val="21"/>
          <w:highlight w:val="none"/>
        </w:rPr>
        <w:t>广东人信工程咨询有限公司</w:t>
      </w:r>
    </w:p>
    <w:p>
      <w:pPr>
        <w:ind w:right="752" w:rightChars="358"/>
        <w:jc w:val="right"/>
        <w:rPr>
          <w:rFonts w:ascii="宋体" w:hAnsi="宋体" w:cs="宋体"/>
          <w:color w:val="auto"/>
          <w:szCs w:val="21"/>
          <w:highlight w:val="none"/>
        </w:rPr>
      </w:pP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02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13</w:t>
      </w:r>
      <w:r>
        <w:rPr>
          <w:rFonts w:hint="eastAsia" w:ascii="宋体" w:hAnsi="宋体" w:cs="宋体"/>
          <w:color w:val="auto"/>
          <w:szCs w:val="21"/>
          <w:highlight w:val="none"/>
        </w:rPr>
        <w:t>日</w:t>
      </w:r>
    </w:p>
    <w:p>
      <w:pP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pPr>
        <w:pStyle w:val="3"/>
        <w:spacing w:before="0" w:after="0" w:line="240" w:lineRule="auto"/>
        <w:rPr>
          <w:color w:val="auto"/>
          <w:sz w:val="28"/>
          <w:szCs w:val="28"/>
          <w:highlight w:val="none"/>
        </w:rPr>
      </w:pPr>
      <w:bookmarkStart w:id="2" w:name="_Toc216704939"/>
      <w:r>
        <w:rPr>
          <w:rFonts w:hint="eastAsia"/>
          <w:color w:val="auto"/>
          <w:sz w:val="28"/>
          <w:szCs w:val="28"/>
          <w:highlight w:val="none"/>
        </w:rPr>
        <w:t>第二部分 相关资料表格</w:t>
      </w:r>
      <w:bookmarkEnd w:id="2"/>
    </w:p>
    <w:p>
      <w:pPr>
        <w:pStyle w:val="4"/>
        <w:spacing w:before="0" w:after="0" w:line="240" w:lineRule="auto"/>
        <w:jc w:val="center"/>
        <w:rPr>
          <w:rFonts w:ascii="宋体" w:hAnsi="宋体" w:cs="宋体"/>
          <w:color w:val="auto"/>
          <w:sz w:val="24"/>
          <w:szCs w:val="24"/>
          <w:highlight w:val="none"/>
        </w:rPr>
      </w:pPr>
      <w:bookmarkStart w:id="3" w:name="_Toc216704940"/>
      <w:r>
        <w:rPr>
          <w:rFonts w:hint="eastAsia" w:ascii="宋体" w:hAnsi="宋体" w:cs="宋体"/>
          <w:color w:val="auto"/>
          <w:sz w:val="24"/>
          <w:szCs w:val="24"/>
          <w:highlight w:val="none"/>
        </w:rPr>
        <w:t>附表一：投标资料表</w:t>
      </w:r>
      <w:bookmarkEnd w:id="3"/>
    </w:p>
    <w:tbl>
      <w:tblPr>
        <w:tblStyle w:val="31"/>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一、说明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rPr>
                <w:rFonts w:ascii="宋体" w:hAnsi="宋体"/>
                <w:b/>
                <w:bCs/>
                <w:color w:val="auto"/>
                <w:szCs w:val="21"/>
                <w:highlight w:val="none"/>
              </w:rPr>
            </w:pPr>
            <w:r>
              <w:rPr>
                <w:rFonts w:hint="eastAsia" w:ascii="宋体" w:hAnsi="宋体"/>
                <w:b/>
                <w:bCs/>
                <w:color w:val="auto"/>
                <w:szCs w:val="21"/>
                <w:highlight w:val="none"/>
              </w:rPr>
              <w:t>无具体预算金额，按实际供应量结算。</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pPr>
              <w:rPr>
                <w:rFonts w:ascii="宋体" w:hAnsi="宋体"/>
                <w:b/>
                <w:bCs/>
                <w:color w:val="auto"/>
                <w:szCs w:val="21"/>
                <w:highlight w:val="none"/>
              </w:rPr>
            </w:pPr>
            <w:r>
              <w:rPr>
                <w:rFonts w:hint="eastAsia" w:ascii="宋体" w:hAnsi="宋体"/>
                <w:b/>
                <w:bCs/>
                <w:color w:val="auto"/>
                <w:szCs w:val="21"/>
                <w:highlight w:val="none"/>
              </w:rPr>
              <w:t>发包方式</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rPr>
                <w:rFonts w:ascii="宋体" w:hAnsi="宋体"/>
                <w:b/>
                <w:bCs/>
                <w:color w:val="auto"/>
                <w:szCs w:val="21"/>
                <w:highlight w:val="none"/>
              </w:rPr>
            </w:pPr>
            <w:r>
              <w:rPr>
                <w:rFonts w:hint="eastAsia" w:ascii="宋体" w:hAnsi="宋体"/>
                <w:b/>
                <w:color w:val="auto"/>
                <w:szCs w:val="21"/>
                <w:highlight w:val="none"/>
              </w:rPr>
              <w:t>□</w:t>
            </w:r>
            <w:r>
              <w:rPr>
                <w:rFonts w:hint="eastAsia" w:ascii="宋体" w:hAnsi="宋体"/>
                <w:b/>
                <w:bCs/>
                <w:color w:val="auto"/>
                <w:szCs w:val="21"/>
                <w:highlight w:val="none"/>
              </w:rPr>
              <w:t>固定总价包干；</w:t>
            </w:r>
          </w:p>
          <w:p>
            <w:pPr>
              <w:rPr>
                <w:rFonts w:ascii="宋体" w:hAnsi="宋体"/>
                <w:b/>
                <w:bCs/>
                <w:color w:val="auto"/>
                <w:szCs w:val="21"/>
                <w:highlight w:val="none"/>
              </w:rPr>
            </w:pPr>
            <w:r>
              <w:rPr>
                <w:rFonts w:hint="eastAsia" w:ascii="宋体" w:hAnsi="宋体"/>
                <w:b/>
                <w:color w:val="auto"/>
                <w:szCs w:val="21"/>
                <w:highlight w:val="none"/>
              </w:rPr>
              <w:t>□</w:t>
            </w:r>
            <w:r>
              <w:rPr>
                <w:rFonts w:hint="eastAsia" w:ascii="宋体" w:hAnsi="宋体"/>
                <w:b/>
                <w:bCs/>
                <w:color w:val="auto"/>
                <w:szCs w:val="21"/>
                <w:highlight w:val="none"/>
              </w:rPr>
              <w:t>固定单价暂定总价包干；</w:t>
            </w:r>
          </w:p>
          <w:p>
            <w:pPr>
              <w:rPr>
                <w:rFonts w:ascii="宋体" w:hAnsi="宋体"/>
                <w:b/>
                <w:bCs/>
                <w:color w:val="auto"/>
                <w:szCs w:val="21"/>
                <w:highlight w:val="none"/>
                <w:u w:val="single"/>
              </w:rPr>
            </w:pPr>
            <w:r>
              <w:rPr>
                <w:rFonts w:hint="eastAsia" w:ascii="宋体" w:hAnsi="宋体"/>
                <w:b/>
                <w:color w:val="auto"/>
                <w:szCs w:val="21"/>
                <w:highlight w:val="none"/>
              </w:rPr>
              <w:t>□</w:t>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固定费率 ；</w:t>
            </w:r>
          </w:p>
          <w:p>
            <w:pPr>
              <w:rPr>
                <w:rFonts w:ascii="宋体" w:hAnsi="宋体"/>
                <w:b/>
                <w:bCs/>
                <w:color w:val="auto"/>
                <w:szCs w:val="21"/>
                <w:highlight w:val="none"/>
              </w:rPr>
            </w:pPr>
            <w:r>
              <w:rPr>
                <w:rFonts w:hint="eastAsia" w:ascii="宋体" w:hAnsi="宋体"/>
                <w:b/>
                <w:color w:val="auto"/>
                <w:szCs w:val="21"/>
                <w:highlight w:val="none"/>
              </w:rPr>
              <w:t>☑</w:t>
            </w:r>
            <w:r>
              <w:rPr>
                <w:rFonts w:hint="eastAsia" w:ascii="宋体" w:hAnsi="宋体"/>
                <w:b/>
                <w:bCs/>
                <w:color w:val="auto"/>
                <w:szCs w:val="21"/>
                <w:highlight w:val="none"/>
              </w:rPr>
              <w:t>其他：</w:t>
            </w:r>
            <w:r>
              <w:rPr>
                <w:rFonts w:hint="eastAsia" w:ascii="宋体" w:hAnsi="宋体"/>
                <w:b/>
                <w:bCs/>
                <w:color w:val="auto"/>
                <w:szCs w:val="21"/>
                <w:highlight w:val="none"/>
                <w:u w:val="single"/>
              </w:rPr>
              <w:t>本项目为协议供货商资格入库，无需报价。实施采购时再进行竞价或择优等方式确定采购价。</w:t>
            </w:r>
            <w:r>
              <w:rPr>
                <w:rFonts w:hint="eastAsia" w:ascii="宋体" w:hAnsi="宋体"/>
                <w:b/>
                <w:bCs/>
                <w:color w:val="auto"/>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3</w:t>
            </w:r>
          </w:p>
        </w:tc>
        <w:tc>
          <w:tcPr>
            <w:tcW w:w="7532" w:type="dxa"/>
            <w:gridSpan w:val="2"/>
            <w:tcBorders>
              <w:tl2br w:val="nil"/>
              <w:tr2bl w:val="nil"/>
            </w:tcBorders>
            <w:vAlign w:val="center"/>
          </w:tcPr>
          <w:p>
            <w:pPr>
              <w:rPr>
                <w:rFonts w:ascii="宋体" w:hAnsi="宋体"/>
                <w:b/>
                <w:bCs/>
                <w:color w:val="auto"/>
                <w:szCs w:val="21"/>
                <w:highlight w:val="none"/>
              </w:rPr>
            </w:pPr>
            <w:r>
              <w:rPr>
                <w:rFonts w:hint="eastAsia" w:ascii="宋体" w:hAnsi="宋体"/>
                <w:b/>
                <w:bCs/>
                <w:color w:val="auto"/>
                <w:szCs w:val="21"/>
                <w:highlight w:val="none"/>
              </w:rPr>
              <w:t>是否接受联合体投标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pStyle w:val="44"/>
              <w:ind w:firstLine="0" w:firstLineChars="0"/>
              <w:rPr>
                <w:rFonts w:ascii="宋体" w:hAnsi="宋体" w:cs="宋体"/>
                <w:color w:val="auto"/>
                <w:szCs w:val="21"/>
                <w:highlight w:val="none"/>
              </w:rPr>
            </w:pPr>
            <w:r>
              <w:rPr>
                <w:rFonts w:hint="eastAsia" w:ascii="宋体" w:hAnsi="宋体"/>
                <w:b/>
                <w:color w:val="auto"/>
                <w:szCs w:val="21"/>
                <w:highlight w:val="none"/>
              </w:rPr>
              <w:t>□</w:t>
            </w: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ascii="宋体" w:hAnsi="宋体"/>
                <w:color w:val="auto"/>
                <w:szCs w:val="21"/>
                <w:highlight w:val="none"/>
                <w:u w:val="single"/>
              </w:rPr>
              <w:t xml:space="preserve">         </w:t>
            </w:r>
            <w:r>
              <w:rPr>
                <w:rFonts w:hint="eastAsia" w:ascii="宋体" w:hAnsi="宋体" w:cs="宋体"/>
                <w:color w:val="auto"/>
                <w:szCs w:val="21"/>
                <w:highlight w:val="none"/>
              </w:rPr>
              <w:t>；</w:t>
            </w:r>
          </w:p>
          <w:p>
            <w:pPr>
              <w:rPr>
                <w:rFonts w:ascii="宋体" w:hAnsi="宋体"/>
                <w:b/>
                <w:bCs/>
                <w:color w:val="auto"/>
                <w:szCs w:val="21"/>
                <w:highlight w:val="none"/>
              </w:rPr>
            </w:pPr>
            <w:r>
              <w:rPr>
                <w:rFonts w:hint="eastAsia" w:ascii="宋体" w:hAnsi="宋体"/>
                <w:b/>
                <w:color w:val="auto"/>
                <w:szCs w:val="21"/>
                <w:highlight w:val="none"/>
              </w:rPr>
              <w:t>☑</w:t>
            </w:r>
            <w:r>
              <w:rPr>
                <w:rFonts w:hint="eastAsia" w:ascii="宋体" w:hAnsi="宋体" w:cs="宋体"/>
                <w:color w:val="auto"/>
                <w:szCs w:val="21"/>
                <w:highlight w:val="none"/>
              </w:rPr>
              <w:t>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4</w:t>
            </w:r>
          </w:p>
        </w:tc>
        <w:tc>
          <w:tcPr>
            <w:tcW w:w="7532" w:type="dxa"/>
            <w:gridSpan w:val="2"/>
            <w:tcBorders>
              <w:tl2br w:val="nil"/>
              <w:tr2bl w:val="nil"/>
            </w:tcBorders>
            <w:vAlign w:val="center"/>
          </w:tcPr>
          <w:p>
            <w:pPr>
              <w:rPr>
                <w:rFonts w:ascii="宋体" w:hAnsi="宋体"/>
                <w:b/>
                <w:bCs/>
                <w:color w:val="auto"/>
                <w:szCs w:val="21"/>
                <w:highlight w:val="none"/>
              </w:rPr>
            </w:pPr>
            <w:r>
              <w:rPr>
                <w:rFonts w:hint="eastAsia" w:ascii="宋体" w:hAnsi="宋体"/>
                <w:b/>
                <w:bCs/>
                <w:color w:val="auto"/>
                <w:szCs w:val="21"/>
                <w:highlight w:val="none"/>
              </w:rPr>
              <w:t>资金来源</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rPr>
                <w:rFonts w:ascii="宋体" w:hAnsi="宋体"/>
                <w:b/>
                <w:bCs/>
                <w:color w:val="auto"/>
                <w:szCs w:val="21"/>
                <w:highlight w:val="none"/>
              </w:rPr>
            </w:pPr>
            <w:r>
              <w:rPr>
                <w:rFonts w:hint="eastAsia" w:ascii="宋体" w:hAnsi="宋体"/>
                <w:color w:val="auto"/>
                <w:szCs w:val="21"/>
                <w:highlight w:val="none"/>
                <w:u w:val="single"/>
              </w:rPr>
              <w:t>自筹资金。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5</w:t>
            </w:r>
          </w:p>
        </w:tc>
        <w:tc>
          <w:tcPr>
            <w:tcW w:w="7532" w:type="dxa"/>
            <w:gridSpan w:val="2"/>
            <w:tcBorders>
              <w:tl2br w:val="nil"/>
              <w:tr2bl w:val="nil"/>
            </w:tcBorders>
            <w:vAlign w:val="center"/>
          </w:tcPr>
          <w:p>
            <w:pPr>
              <w:rPr>
                <w:rFonts w:ascii="宋体" w:hAnsi="宋体"/>
                <w:b/>
                <w:color w:val="auto"/>
                <w:szCs w:val="21"/>
                <w:highlight w:val="none"/>
              </w:rPr>
            </w:pPr>
            <w:r>
              <w:rPr>
                <w:rFonts w:hint="eastAsia" w:ascii="宋体" w:hAnsi="宋体"/>
                <w:b/>
                <w:color w:val="auto"/>
                <w:szCs w:val="21"/>
                <w:highlight w:val="none"/>
              </w:rPr>
              <w:t>踏勘现场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rPr>
                <w:rFonts w:ascii="宋体" w:hAnsi="宋体"/>
                <w:bCs/>
                <w:color w:val="auto"/>
                <w:szCs w:val="21"/>
                <w:highlight w:val="none"/>
              </w:rPr>
            </w:pPr>
            <w:r>
              <w:rPr>
                <w:rFonts w:hint="eastAsia" w:ascii="宋体" w:hAnsi="宋体"/>
                <w:bCs/>
                <w:color w:val="auto"/>
                <w:szCs w:val="21"/>
                <w:highlight w:val="none"/>
              </w:rPr>
              <w:t>☑不组织 。</w:t>
            </w:r>
          </w:p>
          <w:p>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6</w:t>
            </w:r>
          </w:p>
        </w:tc>
        <w:tc>
          <w:tcPr>
            <w:tcW w:w="7532" w:type="dxa"/>
            <w:gridSpan w:val="2"/>
            <w:tcBorders>
              <w:tl2br w:val="nil"/>
              <w:tr2bl w:val="nil"/>
            </w:tcBorders>
            <w:vAlign w:val="center"/>
          </w:tcPr>
          <w:p>
            <w:pPr>
              <w:rPr>
                <w:rFonts w:ascii="宋体" w:hAnsi="宋体"/>
                <w:b/>
                <w:color w:val="auto"/>
                <w:szCs w:val="21"/>
                <w:highlight w:val="none"/>
              </w:rPr>
            </w:pPr>
            <w:r>
              <w:rPr>
                <w:rFonts w:hint="eastAsia" w:ascii="宋体" w:hAnsi="宋体"/>
                <w:b/>
                <w:color w:val="auto"/>
                <w:szCs w:val="21"/>
                <w:highlight w:val="none"/>
              </w:rPr>
              <w:t>投标语言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rPr>
                <w:rFonts w:ascii="宋体" w:hAnsi="宋体"/>
                <w:b/>
                <w:color w:val="auto"/>
                <w:szCs w:val="21"/>
                <w:highlight w:val="none"/>
              </w:rPr>
            </w:pPr>
            <w:r>
              <w:rPr>
                <w:rFonts w:hint="eastAsia" w:ascii="宋体" w:hAnsi="宋体"/>
                <w:color w:val="auto"/>
                <w:szCs w:val="21"/>
                <w:highlight w:val="none"/>
              </w:rPr>
              <w:t>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7</w:t>
            </w:r>
          </w:p>
        </w:tc>
        <w:tc>
          <w:tcPr>
            <w:tcW w:w="7532" w:type="dxa"/>
            <w:gridSpan w:val="2"/>
            <w:tcBorders>
              <w:tl2br w:val="nil"/>
              <w:tr2bl w:val="nil"/>
            </w:tcBorders>
            <w:vAlign w:val="center"/>
          </w:tcPr>
          <w:p>
            <w:pPr>
              <w:jc w:val="both"/>
              <w:rPr>
                <w:rFonts w:ascii="宋体" w:hAnsi="宋体"/>
                <w:b/>
                <w:color w:val="auto"/>
                <w:szCs w:val="21"/>
                <w:highlight w:val="none"/>
              </w:rPr>
            </w:pPr>
            <w:r>
              <w:rPr>
                <w:rFonts w:hint="eastAsia" w:ascii="宋体" w:hAnsi="宋体"/>
                <w:b/>
                <w:color w:val="auto"/>
                <w:szCs w:val="21"/>
                <w:highlight w:val="none"/>
              </w:rPr>
              <w:t>投标报价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jc w:val="both"/>
              <w:rPr>
                <w:rFonts w:ascii="宋体" w:hAnsi="宋体"/>
                <w:color w:val="auto"/>
                <w:szCs w:val="21"/>
                <w:highlight w:val="none"/>
              </w:rPr>
            </w:pPr>
            <w:r>
              <w:rPr>
                <w:rFonts w:hint="eastAsia" w:ascii="宋体" w:hAnsi="宋体"/>
                <w:color w:val="auto"/>
                <w:szCs w:val="21"/>
                <w:highlight w:val="none"/>
              </w:rPr>
              <w:t>详见投标人须知。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8</w:t>
            </w:r>
          </w:p>
        </w:tc>
        <w:tc>
          <w:tcPr>
            <w:tcW w:w="7532" w:type="dxa"/>
            <w:gridSpan w:val="2"/>
            <w:tcBorders>
              <w:tl2br w:val="nil"/>
              <w:tr2bl w:val="nil"/>
            </w:tcBorders>
            <w:vAlign w:val="center"/>
          </w:tcPr>
          <w:p>
            <w:pPr>
              <w:jc w:val="both"/>
              <w:rPr>
                <w:rFonts w:ascii="宋体" w:hAnsi="宋体"/>
                <w:b/>
                <w:color w:val="auto"/>
                <w:szCs w:val="21"/>
                <w:highlight w:val="none"/>
              </w:rPr>
            </w:pPr>
            <w:r>
              <w:rPr>
                <w:rFonts w:hint="eastAsia" w:ascii="宋体" w:hAnsi="宋体"/>
                <w:b/>
                <w:color w:val="auto"/>
                <w:szCs w:val="21"/>
                <w:highlight w:val="none"/>
              </w:rPr>
              <w:t>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jc w:val="both"/>
              <w:rPr>
                <w:rFonts w:ascii="宋体" w:hAnsi="宋体"/>
                <w:color w:val="auto"/>
                <w:szCs w:val="21"/>
                <w:highlight w:val="none"/>
              </w:rPr>
            </w:pPr>
            <w:r>
              <w:rPr>
                <w:rFonts w:hint="eastAsia" w:ascii="宋体" w:hAnsi="宋体"/>
                <w:color w:val="auto"/>
                <w:szCs w:val="21"/>
                <w:highlight w:val="none"/>
              </w:rPr>
              <w:t>（1）投标保证金金额：</w:t>
            </w:r>
            <w:r>
              <w:rPr>
                <w:rFonts w:hint="eastAsia" w:ascii="宋体" w:hAnsi="宋体"/>
                <w:color w:val="auto"/>
                <w:szCs w:val="21"/>
                <w:highlight w:val="none"/>
                <w:lang w:val="en-US" w:eastAsia="zh-CN"/>
              </w:rPr>
              <w:t xml:space="preserve">  /  </w:t>
            </w:r>
            <w:r>
              <w:rPr>
                <w:rFonts w:hint="eastAsia" w:ascii="宋体" w:hAnsi="宋体"/>
                <w:color w:val="auto"/>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收款单位名称：</w:t>
            </w:r>
            <w:r>
              <w:rPr>
                <w:rFonts w:hint="eastAsia" w:hAnsi="宋体" w:cs="宋体"/>
                <w:color w:val="auto"/>
                <w:kern w:val="2"/>
                <w:szCs w:val="21"/>
                <w:highlight w:val="none"/>
                <w:u w:val="single"/>
                <w:lang w:val="zh-CN"/>
              </w:rPr>
              <w:t>广东人信工程咨询有限公司东莞分公司</w:t>
            </w:r>
            <w:r>
              <w:rPr>
                <w:rFonts w:hint="eastAsia" w:hAnsi="宋体" w:cs="宋体"/>
                <w:color w:val="auto"/>
                <w:kern w:val="2"/>
                <w:szCs w:val="21"/>
                <w:highlight w:val="none"/>
                <w:lang w:val="zh-CN"/>
              </w:rPr>
              <w:t>；</w:t>
            </w:r>
          </w:p>
          <w:p>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收款单位开户银行：</w:t>
            </w:r>
            <w:r>
              <w:rPr>
                <w:rFonts w:hint="eastAsia" w:hAnsi="宋体" w:cs="宋体"/>
                <w:color w:val="auto"/>
                <w:kern w:val="2"/>
                <w:szCs w:val="21"/>
                <w:highlight w:val="none"/>
                <w:u w:val="single"/>
                <w:lang w:val="zh-CN"/>
              </w:rPr>
              <w:t>9550888769079400145；</w:t>
            </w:r>
          </w:p>
          <w:p>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收款单位账户：广发银行股份有限公司东莞步步高支行；</w:t>
            </w:r>
          </w:p>
          <w:p>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u w:val="single"/>
              </w:rPr>
              <w:t>保证金相关事宜联系人：袁小姐     联系电话：0769-28680091</w:t>
            </w:r>
          </w:p>
          <w:p>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9</w:t>
            </w:r>
          </w:p>
        </w:tc>
        <w:tc>
          <w:tcPr>
            <w:tcW w:w="7532" w:type="dxa"/>
            <w:gridSpan w:val="2"/>
            <w:tcBorders>
              <w:tl2br w:val="nil"/>
              <w:tr2bl w:val="nil"/>
            </w:tcBorders>
            <w:vAlign w:val="center"/>
          </w:tcPr>
          <w:p>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10</w:t>
            </w:r>
          </w:p>
        </w:tc>
        <w:tc>
          <w:tcPr>
            <w:tcW w:w="7532" w:type="dxa"/>
            <w:gridSpan w:val="2"/>
            <w:tcBorders>
              <w:tl2br w:val="nil"/>
              <w:tr2bl w:val="nil"/>
            </w:tcBorders>
            <w:vAlign w:val="center"/>
          </w:tcPr>
          <w:p>
            <w:pPr>
              <w:jc w:val="both"/>
              <w:rPr>
                <w:rFonts w:ascii="宋体" w:hAnsi="宋体"/>
                <w:b/>
                <w:color w:val="auto"/>
                <w:szCs w:val="21"/>
                <w:highlight w:val="none"/>
              </w:rPr>
            </w:pPr>
            <w:r>
              <w:rPr>
                <w:rFonts w:hint="eastAsia" w:ascii="宋体" w:hAnsi="宋体"/>
                <w:b/>
                <w:color w:val="auto"/>
                <w:szCs w:val="21"/>
                <w:highlight w:val="none"/>
              </w:rPr>
              <w:t>投标有效期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jc w:val="both"/>
              <w:rPr>
                <w:rFonts w:ascii="宋体" w:hAnsi="宋体"/>
                <w:b/>
                <w:color w:val="auto"/>
                <w:szCs w:val="21"/>
                <w:highlight w:val="none"/>
              </w:rPr>
            </w:pPr>
            <w:r>
              <w:rPr>
                <w:rFonts w:hint="eastAsia" w:ascii="宋体" w:hAnsi="宋体"/>
                <w:color w:val="auto"/>
                <w:szCs w:val="21"/>
                <w:highlight w:val="none"/>
              </w:rPr>
              <w:t>九十天。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11</w:t>
            </w:r>
          </w:p>
        </w:tc>
        <w:tc>
          <w:tcPr>
            <w:tcW w:w="7532" w:type="dxa"/>
            <w:gridSpan w:val="2"/>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2608"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份数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2608"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2608"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2608"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w:t>
            </w:r>
            <w:r>
              <w:rPr>
                <w:rFonts w:hint="eastAsia" w:ascii="宋体" w:hAnsi="宋体"/>
                <w:b/>
                <w:color w:val="auto"/>
                <w:szCs w:val="21"/>
                <w:highlight w:val="none"/>
                <w:lang w:val="en-US" w:eastAsia="zh-CN"/>
              </w:rPr>
              <w:t xml:space="preserve"> </w:t>
            </w:r>
            <w:r>
              <w:rPr>
                <w:rFonts w:hint="eastAsia" w:ascii="宋体" w:hAnsi="宋体"/>
                <w:b/>
                <w:color w:val="auto"/>
                <w:szCs w:val="21"/>
                <w:highlight w:val="none"/>
              </w:rPr>
              <w:t>5  □7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2608" w:type="dxa"/>
            <w:vMerge w:val="restart"/>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2608" w:type="dxa"/>
            <w:vMerge w:val="continue"/>
            <w:tcBorders>
              <w:tl2br w:val="nil"/>
              <w:tr2bl w:val="nil"/>
            </w:tcBorders>
            <w:vAlign w:val="center"/>
          </w:tcPr>
          <w:p>
            <w:pPr>
              <w:jc w:val="center"/>
              <w:rPr>
                <w:rFonts w:ascii="宋体" w:hAnsi="宋体"/>
                <w:b/>
                <w:color w:val="auto"/>
                <w:szCs w:val="21"/>
                <w:highlight w:val="none"/>
              </w:rPr>
            </w:pPr>
          </w:p>
        </w:tc>
        <w:tc>
          <w:tcPr>
            <w:tcW w:w="4924" w:type="dxa"/>
            <w:tcBorders>
              <w:tl2br w:val="nil"/>
              <w:tr2bl w:val="nil"/>
            </w:tcBorders>
            <w:vAlign w:val="center"/>
          </w:tcPr>
          <w:p>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三、开标与评标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12</w:t>
            </w:r>
          </w:p>
        </w:tc>
        <w:tc>
          <w:tcPr>
            <w:tcW w:w="7532" w:type="dxa"/>
            <w:gridSpan w:val="2"/>
            <w:tcBorders>
              <w:tl2br w:val="nil"/>
              <w:tr2bl w:val="nil"/>
            </w:tcBorders>
            <w:vAlign w:val="center"/>
          </w:tcPr>
          <w:p>
            <w:pPr>
              <w:jc w:val="both"/>
              <w:rPr>
                <w:rFonts w:ascii="宋体" w:hAnsi="宋体"/>
                <w:color w:val="auto"/>
                <w:szCs w:val="21"/>
                <w:highlight w:val="none"/>
              </w:rPr>
            </w:pPr>
            <w:r>
              <w:rPr>
                <w:rFonts w:hint="eastAsia" w:ascii="宋体" w:hAnsi="宋体"/>
                <w:b/>
                <w:color w:val="auto"/>
                <w:szCs w:val="21"/>
                <w:highlight w:val="none"/>
              </w:rPr>
              <w:t>本项目评标方法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jc w:val="both"/>
              <w:rPr>
                <w:rFonts w:ascii="宋体" w:hAnsi="宋体"/>
                <w:b/>
                <w:color w:val="auto"/>
                <w:szCs w:val="21"/>
                <w:highlight w:val="none"/>
              </w:rPr>
            </w:pPr>
            <w:r>
              <w:rPr>
                <w:rFonts w:hint="eastAsia" w:ascii="宋体" w:hAnsi="宋体"/>
                <w:color w:val="auto"/>
                <w:szCs w:val="21"/>
                <w:highlight w:val="none"/>
              </w:rPr>
              <w:t>综合评分法。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13</w:t>
            </w:r>
          </w:p>
        </w:tc>
        <w:tc>
          <w:tcPr>
            <w:tcW w:w="7532" w:type="dxa"/>
            <w:gridSpan w:val="2"/>
            <w:tcBorders>
              <w:tl2br w:val="nil"/>
              <w:tr2bl w:val="nil"/>
            </w:tcBorders>
            <w:vAlign w:val="center"/>
          </w:tcPr>
          <w:p>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jc w:val="both"/>
              <w:rPr>
                <w:rFonts w:ascii="宋体" w:hAnsi="宋体"/>
                <w:b/>
                <w:color w:val="auto"/>
                <w:szCs w:val="21"/>
                <w:highlight w:val="none"/>
              </w:rPr>
            </w:pPr>
            <w:r>
              <w:rPr>
                <w:rFonts w:hint="eastAsia" w:ascii="宋体" w:hAnsi="宋体"/>
                <w:color w:val="auto"/>
                <w:szCs w:val="21"/>
                <w:highlight w:val="none"/>
              </w:rPr>
              <w:t>见附表二。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14</w:t>
            </w:r>
          </w:p>
        </w:tc>
        <w:tc>
          <w:tcPr>
            <w:tcW w:w="7532" w:type="dxa"/>
            <w:gridSpan w:val="2"/>
            <w:tcBorders>
              <w:tl2br w:val="nil"/>
              <w:tr2bl w:val="nil"/>
            </w:tcBorders>
            <w:vAlign w:val="center"/>
          </w:tcPr>
          <w:p>
            <w:pPr>
              <w:jc w:val="both"/>
              <w:rPr>
                <w:rFonts w:ascii="宋体" w:hAnsi="宋体"/>
                <w:color w:val="auto"/>
                <w:szCs w:val="21"/>
                <w:highlight w:val="none"/>
              </w:rPr>
            </w:pPr>
            <w:r>
              <w:rPr>
                <w:rFonts w:hint="eastAsia" w:ascii="宋体" w:hAnsi="宋体"/>
                <w:b/>
                <w:color w:val="auto"/>
                <w:szCs w:val="21"/>
                <w:highlight w:val="none"/>
              </w:rPr>
              <w:t>评标委员会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pPr>
              <w:jc w:val="center"/>
              <w:rPr>
                <w:rFonts w:ascii="宋体" w:hAnsi="宋体"/>
                <w:color w:val="auto"/>
                <w:szCs w:val="21"/>
                <w:highlight w:val="none"/>
              </w:rPr>
            </w:pPr>
          </w:p>
        </w:tc>
        <w:tc>
          <w:tcPr>
            <w:tcW w:w="7532" w:type="dxa"/>
            <w:gridSpan w:val="2"/>
            <w:tcBorders>
              <w:tl2br w:val="nil"/>
              <w:tr2bl w:val="nil"/>
            </w:tcBorders>
            <w:vAlign w:val="center"/>
          </w:tcPr>
          <w:p>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五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pPr>
              <w:jc w:val="center"/>
              <w:rPr>
                <w:rFonts w:ascii="宋体" w:hAnsi="宋体"/>
                <w:b/>
                <w:color w:val="auto"/>
                <w:szCs w:val="21"/>
                <w:highlight w:val="none"/>
              </w:rPr>
            </w:pPr>
            <w:r>
              <w:rPr>
                <w:rFonts w:hint="eastAsia" w:ascii="宋体" w:hAnsi="宋体"/>
                <w:b/>
                <w:color w:val="auto"/>
                <w:szCs w:val="21"/>
                <w:highlight w:val="none"/>
              </w:rPr>
              <w:t>四、授予合同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pPr>
              <w:jc w:val="center"/>
              <w:rPr>
                <w:rFonts w:ascii="宋体" w:hAnsi="宋体"/>
                <w:color w:val="auto"/>
                <w:szCs w:val="21"/>
                <w:highlight w:val="none"/>
              </w:rPr>
            </w:pPr>
            <w:r>
              <w:rPr>
                <w:rFonts w:hint="eastAsia" w:ascii="宋体" w:hAnsi="宋体"/>
                <w:color w:val="auto"/>
                <w:szCs w:val="21"/>
                <w:highlight w:val="none"/>
              </w:rPr>
              <w:t>15</w:t>
            </w:r>
          </w:p>
        </w:tc>
        <w:tc>
          <w:tcPr>
            <w:tcW w:w="7532" w:type="dxa"/>
            <w:gridSpan w:val="2"/>
            <w:tcBorders>
              <w:tl2br w:val="nil"/>
              <w:tr2bl w:val="nil"/>
            </w:tcBorders>
            <w:shd w:val="clear" w:color="auto" w:fill="auto"/>
            <w:vAlign w:val="center"/>
          </w:tcPr>
          <w:p>
            <w:pPr>
              <w:jc w:val="both"/>
              <w:rPr>
                <w:rFonts w:ascii="宋体" w:hAnsi="宋体"/>
                <w:b/>
                <w:color w:val="auto"/>
                <w:szCs w:val="21"/>
                <w:highlight w:val="none"/>
              </w:rPr>
            </w:pPr>
            <w:r>
              <w:rPr>
                <w:rFonts w:hint="eastAsia" w:ascii="宋体" w:hAnsi="宋体"/>
                <w:b/>
                <w:color w:val="auto"/>
                <w:szCs w:val="21"/>
                <w:highlight w:val="none"/>
              </w:rPr>
              <w:t>履约担保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pPr>
              <w:spacing w:line="360" w:lineRule="exact"/>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pPr>
              <w:spacing w:line="360" w:lineRule="exact"/>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 xml:space="preserve"> 人民币壹拾万元整（¥10</w:t>
            </w:r>
            <w:r>
              <w:rPr>
                <w:rFonts w:ascii="宋体" w:hAnsi="宋体"/>
                <w:color w:val="auto"/>
                <w:szCs w:val="21"/>
                <w:highlight w:val="none"/>
                <w:u w:val="single"/>
              </w:rPr>
              <w:t>0</w:t>
            </w:r>
            <w:r>
              <w:rPr>
                <w:rFonts w:hint="eastAsia" w:ascii="宋体" w:hAnsi="宋体"/>
                <w:color w:val="auto"/>
                <w:szCs w:val="21"/>
                <w:highlight w:val="none"/>
                <w:u w:val="single"/>
              </w:rPr>
              <w:t>,000.00元）。</w:t>
            </w:r>
          </w:p>
          <w:p>
            <w:pPr>
              <w:spacing w:line="360" w:lineRule="exact"/>
              <w:jc w:val="both"/>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履约保证金账户信息：（中标结果公示后待中标单位与采购人协商确认）</w:t>
            </w:r>
          </w:p>
          <w:p>
            <w:pPr>
              <w:spacing w:line="360" w:lineRule="exact"/>
              <w:jc w:val="both"/>
              <w:rPr>
                <w:rFonts w:ascii="宋体" w:hAnsi="宋体"/>
                <w:color w:val="auto"/>
                <w:szCs w:val="21"/>
                <w:highlight w:val="none"/>
              </w:rPr>
            </w:pPr>
            <w:r>
              <w:rPr>
                <w:rFonts w:hint="eastAsia" w:ascii="宋体" w:hAnsi="宋体"/>
                <w:color w:val="auto"/>
                <w:szCs w:val="21"/>
                <w:highlight w:val="none"/>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pPr>
              <w:spacing w:line="360" w:lineRule="exact"/>
              <w:jc w:val="both"/>
              <w:rPr>
                <w:rFonts w:ascii="宋体" w:hAnsi="宋体"/>
                <w:color w:val="auto"/>
                <w:szCs w:val="21"/>
                <w:highlight w:val="none"/>
              </w:rPr>
            </w:pPr>
            <w:r>
              <w:rPr>
                <w:rFonts w:hint="eastAsia" w:ascii="宋体" w:hAnsi="宋体"/>
                <w:color w:val="auto"/>
                <w:szCs w:val="21"/>
                <w:highlight w:val="none"/>
              </w:rPr>
              <w:t>4.履约担保期限从合同签订之日起至项目完工验收合格并结算完毕后，经双方签字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pPr>
              <w:spacing w:line="360" w:lineRule="exact"/>
              <w:jc w:val="both"/>
              <w:rPr>
                <w:rFonts w:ascii="宋体" w:hAnsi="宋体"/>
                <w:color w:val="auto"/>
                <w:szCs w:val="21"/>
                <w:highlight w:val="none"/>
              </w:rPr>
            </w:pPr>
            <w:r>
              <w:rPr>
                <w:rFonts w:hint="eastAsia" w:ascii="宋体" w:hAnsi="宋体"/>
                <w:color w:val="auto"/>
                <w:szCs w:val="21"/>
                <w:highlight w:val="none"/>
              </w:rPr>
              <w:t>5、履约担保要求：</w:t>
            </w:r>
          </w:p>
          <w:p>
            <w:pPr>
              <w:spacing w:line="360" w:lineRule="exact"/>
              <w:jc w:val="both"/>
              <w:rPr>
                <w:rFonts w:ascii="宋体" w:hAnsi="宋体"/>
                <w:color w:val="auto"/>
                <w:szCs w:val="21"/>
                <w:highlight w:val="none"/>
              </w:rPr>
            </w:pPr>
            <w:r>
              <w:rPr>
                <w:rFonts w:hint="eastAsia" w:ascii="宋体" w:hAnsi="宋体"/>
                <w:color w:val="auto"/>
                <w:szCs w:val="21"/>
                <w:highlight w:val="none"/>
              </w:rPr>
              <w:t>（1）履约保函。如果中标人的履约担保是以银行保函形式提供的，则该银行保函应：</w:t>
            </w:r>
          </w:p>
          <w:p>
            <w:pPr>
              <w:spacing w:line="360" w:lineRule="exact"/>
              <w:jc w:val="both"/>
              <w:rPr>
                <w:rFonts w:ascii="宋体" w:hAnsi="宋体"/>
                <w:color w:val="auto"/>
                <w:szCs w:val="21"/>
                <w:highlight w:val="none"/>
              </w:rPr>
            </w:pPr>
            <w:r>
              <w:rPr>
                <w:rFonts w:hint="eastAsia" w:ascii="宋体" w:hAnsi="宋体"/>
                <w:color w:val="auto"/>
                <w:szCs w:val="21"/>
                <w:highlight w:val="none"/>
              </w:rPr>
              <w:t>①保函应由银行支行或以上银行机构开具，非东莞市行政区内的银行开具的保函要由银行所在地公证部门出具的公证书。</w:t>
            </w:r>
          </w:p>
          <w:p>
            <w:pPr>
              <w:spacing w:line="360" w:lineRule="exact"/>
              <w:jc w:val="both"/>
              <w:rPr>
                <w:rFonts w:ascii="宋体" w:hAnsi="宋体"/>
                <w:color w:val="auto"/>
                <w:szCs w:val="21"/>
                <w:highlight w:val="none"/>
              </w:rPr>
            </w:pPr>
            <w:r>
              <w:rPr>
                <w:rFonts w:hint="eastAsia" w:ascii="宋体" w:hAnsi="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pPr>
              <w:spacing w:line="360" w:lineRule="exact"/>
              <w:jc w:val="both"/>
              <w:rPr>
                <w:rFonts w:ascii="宋体" w:hAnsi="宋体"/>
                <w:color w:val="auto"/>
                <w:szCs w:val="21"/>
                <w:highlight w:val="none"/>
              </w:rPr>
            </w:pPr>
            <w:r>
              <w:rPr>
                <w:rFonts w:hint="eastAsia" w:ascii="宋体" w:hAnsi="宋体"/>
                <w:color w:val="auto"/>
                <w:szCs w:val="21"/>
                <w:highlight w:val="none"/>
              </w:rPr>
              <w:t>③履约保函必须打印，手写、涂改无效。</w:t>
            </w:r>
          </w:p>
          <w:p>
            <w:pPr>
              <w:spacing w:line="360" w:lineRule="exact"/>
              <w:jc w:val="both"/>
              <w:rPr>
                <w:rFonts w:ascii="宋体" w:hAnsi="宋体"/>
                <w:color w:val="auto"/>
                <w:szCs w:val="21"/>
                <w:highlight w:val="none"/>
              </w:rPr>
            </w:pPr>
            <w:r>
              <w:rPr>
                <w:rFonts w:hint="eastAsia" w:ascii="宋体" w:hAnsi="宋体"/>
                <w:color w:val="auto"/>
                <w:szCs w:val="21"/>
                <w:highlight w:val="none"/>
              </w:rPr>
              <w:t>（2）履约保证金。可采用电汇、银行汇票等银行转帐方式提交，但不可以采用现金方式提交。中标人必须保证履约保证金以中标人名称在签订合同前提交至采购人指定账户。</w:t>
            </w:r>
          </w:p>
          <w:p>
            <w:pPr>
              <w:spacing w:line="360" w:lineRule="exact"/>
              <w:jc w:val="both"/>
              <w:rPr>
                <w:rFonts w:ascii="宋体" w:hAnsi="宋体"/>
                <w:color w:val="auto"/>
                <w:szCs w:val="21"/>
                <w:highlight w:val="none"/>
              </w:rPr>
            </w:pPr>
            <w:r>
              <w:rPr>
                <w:rFonts w:hint="eastAsia" w:ascii="宋体" w:hAnsi="宋体"/>
                <w:color w:val="auto"/>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pPr>
              <w:spacing w:line="360" w:lineRule="exact"/>
              <w:jc w:val="both"/>
              <w:rPr>
                <w:rFonts w:ascii="宋体" w:hAnsi="宋体"/>
                <w:color w:val="auto"/>
                <w:szCs w:val="21"/>
                <w:highlight w:val="none"/>
              </w:rPr>
            </w:pPr>
            <w:r>
              <w:rPr>
                <w:rFonts w:hint="eastAsia" w:ascii="宋体" w:hAnsi="宋体"/>
                <w:color w:val="auto"/>
                <w:szCs w:val="21"/>
                <w:highlight w:val="none"/>
              </w:rPr>
              <w:t>（4）为取得履约担保所需的费用，由中标人承担；若工期延误，履约担保时间延长，延长费用由中标人承担。</w:t>
            </w:r>
          </w:p>
          <w:p>
            <w:pPr>
              <w:spacing w:line="360" w:lineRule="exact"/>
              <w:jc w:val="both"/>
              <w:rPr>
                <w:rFonts w:ascii="宋体" w:hAnsi="宋体"/>
                <w:color w:val="auto"/>
                <w:szCs w:val="21"/>
                <w:highlight w:val="none"/>
              </w:rPr>
            </w:pPr>
            <w:r>
              <w:rPr>
                <w:rFonts w:hint="eastAsia" w:ascii="宋体" w:hAnsi="宋体"/>
                <w:color w:val="auto"/>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pPr>
              <w:spacing w:line="360" w:lineRule="exact"/>
              <w:jc w:val="both"/>
              <w:rPr>
                <w:rFonts w:ascii="宋体" w:hAnsi="宋体"/>
                <w:color w:val="auto"/>
                <w:szCs w:val="21"/>
                <w:highlight w:val="none"/>
              </w:rPr>
            </w:pPr>
            <w:r>
              <w:rPr>
                <w:rFonts w:hint="eastAsia" w:ascii="宋体" w:hAnsi="宋体"/>
                <w:color w:val="auto"/>
                <w:szCs w:val="21"/>
                <w:highlight w:val="none"/>
              </w:rPr>
              <w:t>（6）下列任何情况发生时，采购人有权行使享有的担保权利：</w:t>
            </w:r>
          </w:p>
          <w:p>
            <w:pPr>
              <w:spacing w:line="360" w:lineRule="exact"/>
              <w:jc w:val="both"/>
              <w:rPr>
                <w:rFonts w:ascii="宋体" w:hAnsi="宋体"/>
                <w:color w:val="auto"/>
                <w:szCs w:val="21"/>
                <w:highlight w:val="none"/>
              </w:rPr>
            </w:pPr>
            <w:r>
              <w:rPr>
                <w:rFonts w:hint="eastAsia" w:ascii="宋体" w:hAnsi="宋体"/>
                <w:color w:val="auto"/>
                <w:szCs w:val="21"/>
                <w:highlight w:val="none"/>
              </w:rPr>
              <w:t>①中标人将本项目转让给他人，或者在投标文件中未说明，且未经采购人同意，将中标项目分包给他人的；</w:t>
            </w:r>
          </w:p>
          <w:p>
            <w:pPr>
              <w:spacing w:line="360" w:lineRule="exact"/>
              <w:jc w:val="both"/>
              <w:rPr>
                <w:rFonts w:ascii="宋体" w:hAnsi="宋体"/>
                <w:color w:val="auto"/>
                <w:szCs w:val="21"/>
                <w:highlight w:val="none"/>
              </w:rPr>
            </w:pPr>
            <w:r>
              <w:rPr>
                <w:rFonts w:hint="eastAsia" w:ascii="宋体" w:hAnsi="宋体"/>
                <w:color w:val="auto"/>
                <w:szCs w:val="21"/>
                <w:highlight w:val="none"/>
              </w:rPr>
              <w:t>②中标人在履行采购合同期间，违反有关法律法规的规定及合同约定的条款，损害了采购人的利益。</w:t>
            </w:r>
          </w:p>
          <w:p>
            <w:pPr>
              <w:spacing w:line="360" w:lineRule="exact"/>
              <w:jc w:val="both"/>
              <w:rPr>
                <w:rFonts w:ascii="宋体" w:hAnsi="宋体"/>
                <w:b/>
                <w:color w:val="auto"/>
                <w:szCs w:val="21"/>
                <w:highlight w:val="none"/>
              </w:rPr>
            </w:pPr>
            <w:r>
              <w:rPr>
                <w:rFonts w:hint="eastAsia" w:ascii="宋体" w:hAnsi="宋体"/>
                <w:color w:val="auto"/>
                <w:szCs w:val="21"/>
                <w:highlight w:val="none"/>
              </w:rPr>
              <w:t>（7）在整个项目验收合格后，中标人向采购人提交退回履约担保的申请，采购人办理履约担保退还手续。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pPr>
              <w:spacing w:line="360" w:lineRule="exact"/>
              <w:jc w:val="center"/>
              <w:rPr>
                <w:rFonts w:ascii="宋体" w:hAnsi="宋体"/>
                <w:color w:val="auto"/>
                <w:szCs w:val="21"/>
                <w:highlight w:val="none"/>
              </w:rPr>
            </w:pPr>
            <w:r>
              <w:rPr>
                <w:rFonts w:hint="eastAsia" w:ascii="宋体" w:hAnsi="宋体"/>
                <w:color w:val="auto"/>
                <w:szCs w:val="21"/>
                <w:highlight w:val="none"/>
              </w:rPr>
              <w:t>16</w:t>
            </w:r>
          </w:p>
        </w:tc>
        <w:tc>
          <w:tcPr>
            <w:tcW w:w="7532" w:type="dxa"/>
            <w:gridSpan w:val="2"/>
            <w:tcBorders>
              <w:tl2br w:val="nil"/>
              <w:tr2bl w:val="nil"/>
            </w:tcBorders>
            <w:vAlign w:val="center"/>
          </w:tcPr>
          <w:p>
            <w:pPr>
              <w:spacing w:line="360" w:lineRule="exact"/>
              <w:jc w:val="both"/>
              <w:rPr>
                <w:rFonts w:ascii="宋体" w:hAnsi="宋体"/>
                <w:b/>
                <w:color w:val="auto"/>
                <w:szCs w:val="21"/>
                <w:highlight w:val="none"/>
              </w:rPr>
            </w:pPr>
            <w:r>
              <w:rPr>
                <w:rFonts w:hint="eastAsia" w:ascii="宋体" w:hAnsi="宋体"/>
                <w:b/>
                <w:color w:val="auto"/>
                <w:szCs w:val="21"/>
                <w:highlight w:val="none"/>
              </w:rPr>
              <w:t>中标服务费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pPr>
              <w:spacing w:line="360" w:lineRule="exact"/>
              <w:jc w:val="center"/>
              <w:rPr>
                <w:rFonts w:ascii="宋体" w:hAnsi="宋体"/>
                <w:color w:val="auto"/>
                <w:szCs w:val="21"/>
                <w:highlight w:val="none"/>
              </w:rPr>
            </w:pPr>
          </w:p>
        </w:tc>
        <w:tc>
          <w:tcPr>
            <w:tcW w:w="7532" w:type="dxa"/>
            <w:gridSpan w:val="2"/>
            <w:tcBorders>
              <w:tl2br w:val="nil"/>
              <w:tr2bl w:val="nil"/>
            </w:tcBorders>
            <w:vAlign w:val="center"/>
          </w:tcPr>
          <w:p>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（1）本项目为资格采购项目，</w:t>
            </w:r>
            <w:r>
              <w:rPr>
                <w:rFonts w:hint="eastAsia"/>
                <w:color w:val="auto"/>
                <w:highlight w:val="none"/>
              </w:rPr>
              <w:t>中标六家，</w:t>
            </w:r>
            <w:r>
              <w:rPr>
                <w:rFonts w:hint="eastAsia" w:ascii="宋体" w:hAnsi="宋体"/>
                <w:color w:val="auto"/>
                <w:szCs w:val="21"/>
                <w:highlight w:val="none"/>
              </w:rPr>
              <w:t>每家中标服务费为叁仟元整。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pPr>
              <w:spacing w:line="360" w:lineRule="exact"/>
              <w:jc w:val="center"/>
              <w:rPr>
                <w:rFonts w:ascii="宋体" w:hAnsi="宋体"/>
                <w:color w:val="auto"/>
                <w:szCs w:val="21"/>
                <w:highlight w:val="none"/>
              </w:rPr>
            </w:pPr>
          </w:p>
        </w:tc>
        <w:tc>
          <w:tcPr>
            <w:tcW w:w="7532" w:type="dxa"/>
            <w:gridSpan w:val="2"/>
            <w:tcBorders>
              <w:tl2br w:val="nil"/>
              <w:tr2bl w:val="nil"/>
            </w:tcBorders>
            <w:vAlign w:val="center"/>
          </w:tcPr>
          <w:p>
            <w:pPr>
              <w:spacing w:line="360" w:lineRule="exact"/>
              <w:jc w:val="both"/>
              <w:rPr>
                <w:rFonts w:ascii="宋体" w:hAnsi="宋体"/>
                <w:color w:val="auto"/>
                <w:szCs w:val="21"/>
                <w:highlight w:val="none"/>
              </w:rPr>
            </w:pPr>
            <w:r>
              <w:rPr>
                <w:rFonts w:hint="eastAsia" w:ascii="宋体" w:hAnsi="宋体"/>
                <w:color w:val="auto"/>
                <w:szCs w:val="21"/>
                <w:highlight w:val="none"/>
              </w:rPr>
              <w:t>（2）中标服务费以转账或现金的形式支付。招标代理机构服务费汇入账号：</w:t>
            </w:r>
          </w:p>
          <w:p>
            <w:pPr>
              <w:spacing w:line="360" w:lineRule="exact"/>
              <w:jc w:val="both"/>
              <w:rPr>
                <w:rFonts w:ascii="宋体" w:hAnsi="宋体"/>
                <w:color w:val="auto"/>
                <w:szCs w:val="21"/>
                <w:highlight w:val="none"/>
              </w:rPr>
            </w:pPr>
            <w:r>
              <w:rPr>
                <w:rFonts w:hint="eastAsia" w:ascii="宋体" w:hAnsi="宋体"/>
                <w:color w:val="auto"/>
                <w:szCs w:val="21"/>
                <w:highlight w:val="none"/>
              </w:rPr>
              <w:t>单位名称：广东人信工程咨询有限公司东莞分公司</w:t>
            </w:r>
          </w:p>
          <w:p>
            <w:pPr>
              <w:spacing w:line="360" w:lineRule="exact"/>
              <w:jc w:val="both"/>
              <w:rPr>
                <w:rFonts w:ascii="宋体" w:hAnsi="宋体"/>
                <w:color w:val="auto"/>
                <w:szCs w:val="21"/>
                <w:highlight w:val="none"/>
              </w:rPr>
            </w:pPr>
            <w:r>
              <w:rPr>
                <w:rFonts w:hint="eastAsia" w:ascii="宋体" w:hAnsi="宋体"/>
                <w:color w:val="auto"/>
                <w:szCs w:val="21"/>
                <w:highlight w:val="none"/>
              </w:rPr>
              <w:t>开户银行：中国银行东莞分行</w:t>
            </w:r>
          </w:p>
          <w:p>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银行帐号：650959055748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pPr>
              <w:spacing w:line="360" w:lineRule="exact"/>
              <w:jc w:val="center"/>
              <w:rPr>
                <w:rFonts w:ascii="宋体" w:hAnsi="宋体"/>
                <w:color w:val="auto"/>
                <w:szCs w:val="21"/>
                <w:highlight w:val="none"/>
              </w:rPr>
            </w:pPr>
            <w:r>
              <w:rPr>
                <w:rFonts w:hint="eastAsia" w:ascii="宋体" w:hAnsi="宋体"/>
                <w:color w:val="auto"/>
                <w:szCs w:val="21"/>
                <w:highlight w:val="none"/>
              </w:rPr>
              <w:t>17</w:t>
            </w:r>
          </w:p>
        </w:tc>
        <w:tc>
          <w:tcPr>
            <w:tcW w:w="7532" w:type="dxa"/>
            <w:gridSpan w:val="2"/>
            <w:tcBorders>
              <w:tl2br w:val="nil"/>
              <w:tr2bl w:val="nil"/>
            </w:tcBorders>
            <w:vAlign w:val="center"/>
          </w:tcPr>
          <w:p>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“★”条款要求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pPr>
              <w:spacing w:line="360" w:lineRule="exact"/>
              <w:jc w:val="center"/>
              <w:rPr>
                <w:rFonts w:ascii="宋体" w:hAnsi="宋体"/>
                <w:color w:val="auto"/>
                <w:szCs w:val="21"/>
                <w:highlight w:val="none"/>
              </w:rPr>
            </w:pPr>
          </w:p>
        </w:tc>
        <w:tc>
          <w:tcPr>
            <w:tcW w:w="7532" w:type="dxa"/>
            <w:gridSpan w:val="2"/>
            <w:tcBorders>
              <w:tl2br w:val="nil"/>
              <w:tr2bl w:val="nil"/>
            </w:tcBorders>
            <w:vAlign w:val="center"/>
          </w:tcPr>
          <w:p>
            <w:pPr>
              <w:widowControl w:val="0"/>
              <w:tabs>
                <w:tab w:val="left" w:pos="907"/>
              </w:tabs>
              <w:adjustRightInd/>
              <w:snapToGrid/>
              <w:spacing w:line="360" w:lineRule="exact"/>
              <w:jc w:val="both"/>
              <w:rPr>
                <w:rFonts w:ascii="宋体" w:hAnsi="宋体" w:cs="宋体"/>
                <w:color w:val="auto"/>
                <w:szCs w:val="21"/>
                <w:highlight w:val="none"/>
              </w:rPr>
            </w:pPr>
            <w:r>
              <w:rPr>
                <w:rFonts w:hint="eastAsia" w:ascii="宋体" w:hAnsi="宋体" w:cs="宋体"/>
                <w:color w:val="auto"/>
                <w:szCs w:val="21"/>
                <w:highlight w:val="none"/>
              </w:rPr>
              <w:t>1、★报价要求</w:t>
            </w:r>
          </w:p>
          <w:p>
            <w:pPr>
              <w:widowControl w:val="0"/>
              <w:tabs>
                <w:tab w:val="left" w:pos="907"/>
              </w:tabs>
              <w:adjustRightInd/>
              <w:snapToGrid/>
              <w:spacing w:line="360" w:lineRule="exact"/>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本项目为协议供货商资格入库，无需报价。实施采购时再进行竞价或择优等方式确定采购价。</w:t>
            </w:r>
          </w:p>
          <w:p>
            <w:pPr>
              <w:widowControl w:val="0"/>
              <w:tabs>
                <w:tab w:val="left" w:pos="907"/>
              </w:tabs>
              <w:adjustRightInd/>
              <w:snapToGrid/>
              <w:spacing w:line="360" w:lineRule="exact"/>
              <w:jc w:val="both"/>
              <w:rPr>
                <w:color w:val="auto"/>
                <w:highlight w:val="none"/>
              </w:rPr>
            </w:pPr>
            <w:r>
              <w:rPr>
                <w:rFonts w:hint="eastAsia" w:ascii="宋体" w:hAnsi="宋体" w:cs="宋体"/>
                <w:color w:val="auto"/>
                <w:szCs w:val="21"/>
                <w:highlight w:val="none"/>
              </w:rPr>
              <w:t>2、★参加投标的家数未达到入围家数时，作流标处理。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pPr>
              <w:widowControl w:val="0"/>
              <w:tabs>
                <w:tab w:val="left" w:pos="907"/>
              </w:tabs>
              <w:adjustRightInd/>
              <w:snapToGrid/>
              <w:spacing w:line="360" w:lineRule="exact"/>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pPr>
        <w:jc w:val="center"/>
        <w:rPr>
          <w:color w:val="auto"/>
          <w:highlight w:val="none"/>
        </w:rPr>
      </w:pPr>
      <w:r>
        <w:rPr>
          <w:rFonts w:hint="eastAsia"/>
          <w:color w:val="auto"/>
          <w:highlight w:val="none"/>
        </w:rPr>
        <w:br w:type="page"/>
      </w:r>
    </w:p>
    <w:p>
      <w:pPr>
        <w:pStyle w:val="4"/>
        <w:spacing w:before="0" w:after="0" w:line="240" w:lineRule="auto"/>
        <w:jc w:val="center"/>
        <w:rPr>
          <w:rFonts w:hAnsi="宋体" w:cs="宋体"/>
          <w:color w:val="auto"/>
          <w:sz w:val="21"/>
          <w:szCs w:val="21"/>
          <w:highlight w:val="none"/>
        </w:rPr>
      </w:pPr>
      <w:bookmarkStart w:id="4" w:name="_Toc216704941"/>
      <w:r>
        <w:rPr>
          <w:rFonts w:hint="eastAsia" w:ascii="宋体" w:hAnsi="宋体" w:cs="宋体"/>
          <w:color w:val="auto"/>
          <w:sz w:val="24"/>
          <w:szCs w:val="24"/>
          <w:highlight w:val="none"/>
        </w:rPr>
        <w:t>附表二：商务技术评分权重表（满分100分）</w:t>
      </w:r>
      <w:bookmarkEnd w:id="4"/>
    </w:p>
    <w:p>
      <w:pPr>
        <w:rPr>
          <w:color w:val="auto"/>
          <w:highlight w:val="none"/>
        </w:rPr>
      </w:pPr>
    </w:p>
    <w:p>
      <w:pPr>
        <w:rPr>
          <w:color w:val="auto"/>
          <w:highlight w:val="none"/>
        </w:rPr>
      </w:pPr>
      <w:r>
        <w:rPr>
          <w:rFonts w:hint="eastAsia"/>
          <w:color w:val="auto"/>
          <w:highlight w:val="none"/>
        </w:rPr>
        <w:t>一、商务评分标准：（总分：</w:t>
      </w:r>
      <w:r>
        <w:rPr>
          <w:rFonts w:hint="eastAsia"/>
          <w:color w:val="auto"/>
          <w:highlight w:val="none"/>
          <w:lang w:val="en-US" w:eastAsia="zh-CN"/>
        </w:rPr>
        <w:t>45</w:t>
      </w:r>
      <w:r>
        <w:rPr>
          <w:rFonts w:hint="eastAsia"/>
          <w:color w:val="auto"/>
          <w:highlight w:val="none"/>
        </w:rPr>
        <w:t>分）</w:t>
      </w:r>
    </w:p>
    <w:tbl>
      <w:tblPr>
        <w:tblStyle w:val="31"/>
        <w:tblW w:w="871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0"/>
        <w:gridCol w:w="958"/>
        <w:gridCol w:w="6420"/>
        <w:gridCol w:w="6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bCs/>
                <w:color w:val="auto"/>
                <w:sz w:val="22"/>
                <w:highlight w:val="none"/>
              </w:rPr>
            </w:pPr>
            <w:r>
              <w:rPr>
                <w:rFonts w:hint="eastAsia" w:cs="宋体" w:asciiTheme="minorEastAsia" w:hAnsiTheme="minorEastAsia" w:eastAsiaTheme="minorEastAsia"/>
                <w:b/>
                <w:bCs/>
                <w:color w:val="auto"/>
                <w:sz w:val="22"/>
                <w:highlight w:val="none"/>
              </w:rPr>
              <w:t>序号</w:t>
            </w:r>
          </w:p>
        </w:tc>
        <w:tc>
          <w:tcPr>
            <w:tcW w:w="958" w:type="dxa"/>
            <w:tcBorders>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bCs/>
                <w:color w:val="auto"/>
                <w:sz w:val="22"/>
                <w:highlight w:val="none"/>
              </w:rPr>
            </w:pPr>
            <w:r>
              <w:rPr>
                <w:rFonts w:hint="eastAsia" w:cs="宋体" w:asciiTheme="minorEastAsia" w:hAnsiTheme="minorEastAsia" w:eastAsiaTheme="minorEastAsia"/>
                <w:b/>
                <w:bCs/>
                <w:color w:val="auto"/>
                <w:sz w:val="22"/>
                <w:highlight w:val="none"/>
              </w:rPr>
              <w:t>评审内容</w:t>
            </w:r>
          </w:p>
        </w:tc>
        <w:tc>
          <w:tcPr>
            <w:tcW w:w="6420" w:type="dxa"/>
            <w:tcBorders>
              <w:left w:val="single" w:color="auto" w:sz="4" w:space="0"/>
              <w:right w:val="single" w:color="auto" w:sz="4" w:space="0"/>
            </w:tcBorders>
            <w:vAlign w:val="center"/>
          </w:tcPr>
          <w:p>
            <w:pPr>
              <w:jc w:val="center"/>
              <w:rPr>
                <w:rFonts w:cs="宋体" w:asciiTheme="minorEastAsia" w:hAnsiTheme="minorEastAsia" w:eastAsiaTheme="minorEastAsia"/>
                <w:b/>
                <w:bCs/>
                <w:color w:val="auto"/>
                <w:sz w:val="22"/>
                <w:highlight w:val="none"/>
              </w:rPr>
            </w:pPr>
            <w:r>
              <w:rPr>
                <w:rFonts w:hint="eastAsia" w:cs="宋体" w:asciiTheme="minorEastAsia" w:hAnsiTheme="minorEastAsia" w:eastAsiaTheme="minorEastAsia"/>
                <w:b/>
                <w:bCs/>
                <w:color w:val="auto"/>
                <w:sz w:val="22"/>
                <w:highlight w:val="none"/>
              </w:rPr>
              <w:t>评分细则</w:t>
            </w:r>
          </w:p>
        </w:tc>
        <w:tc>
          <w:tcPr>
            <w:tcW w:w="630" w:type="dxa"/>
            <w:tcBorders>
              <w:left w:val="single" w:color="auto" w:sz="4" w:space="0"/>
              <w:right w:val="single" w:color="auto" w:sz="4" w:space="0"/>
            </w:tcBorders>
            <w:vAlign w:val="center"/>
          </w:tcPr>
          <w:p>
            <w:pPr>
              <w:jc w:val="center"/>
              <w:rPr>
                <w:rFonts w:cs="宋体" w:asciiTheme="minorEastAsia" w:hAnsiTheme="minorEastAsia" w:eastAsiaTheme="minorEastAsia"/>
                <w:b/>
                <w:bCs/>
                <w:color w:val="auto"/>
                <w:sz w:val="22"/>
                <w:highlight w:val="none"/>
              </w:rPr>
            </w:pPr>
            <w:r>
              <w:rPr>
                <w:rFonts w:hint="eastAsia" w:cs="宋体" w:asciiTheme="minorEastAsia" w:hAnsiTheme="minorEastAsia" w:eastAsiaTheme="minorEastAsia"/>
                <w:b/>
                <w:bCs/>
                <w:color w:val="auto"/>
                <w:sz w:val="22"/>
                <w:highlight w:val="none"/>
              </w:rPr>
              <w:t>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vMerge w:val="restart"/>
            <w:tcBorders>
              <w:top w:val="single" w:color="auto" w:sz="4" w:space="0"/>
              <w:left w:val="single" w:color="auto" w:sz="4" w:space="0"/>
              <w:right w:val="single" w:color="auto" w:sz="4" w:space="0"/>
            </w:tcBorders>
            <w:vAlign w:val="center"/>
          </w:tcPr>
          <w:p>
            <w:pPr>
              <w:pStyle w:val="92"/>
              <w:numPr>
                <w:ilvl w:val="0"/>
                <w:numId w:val="0"/>
              </w:numPr>
              <w:ind w:left="0"/>
              <w:jc w:val="center"/>
              <w:rPr>
                <w:rFonts w:hint="eastAsia" w:asciiTheme="minorEastAsia" w:hAnsiTheme="minorEastAsia" w:eastAsiaTheme="minorEastAsia"/>
                <w:color w:val="auto"/>
                <w:sz w:val="22"/>
                <w:highlight w:val="none"/>
                <w:lang w:val="en-US" w:eastAsia="zh-CN"/>
              </w:rPr>
            </w:pPr>
            <w:r>
              <w:rPr>
                <w:rFonts w:hint="eastAsia" w:asciiTheme="minorEastAsia" w:hAnsiTheme="minorEastAsia" w:eastAsiaTheme="minorEastAsia"/>
                <w:color w:val="auto"/>
                <w:sz w:val="22"/>
                <w:highlight w:val="none"/>
                <w:lang w:val="en-US" w:eastAsia="zh-CN"/>
              </w:rPr>
              <w:t>1</w:t>
            </w:r>
          </w:p>
        </w:tc>
        <w:tc>
          <w:tcPr>
            <w:tcW w:w="958" w:type="dxa"/>
            <w:vMerge w:val="restart"/>
            <w:tcBorders>
              <w:top w:val="single" w:color="auto" w:sz="4" w:space="0"/>
              <w:left w:val="single" w:color="auto" w:sz="4" w:space="0"/>
              <w:right w:val="single" w:color="auto" w:sz="4" w:space="0"/>
            </w:tcBorders>
            <w:vAlign w:val="center"/>
          </w:tcPr>
          <w:p>
            <w:pPr>
              <w:textAlignment w:val="center"/>
              <w:rPr>
                <w:color w:val="auto"/>
                <w:szCs w:val="21"/>
                <w:highlight w:val="none"/>
              </w:rPr>
            </w:pPr>
            <w:r>
              <w:rPr>
                <w:rFonts w:hint="eastAsia"/>
                <w:color w:val="auto"/>
                <w:szCs w:val="21"/>
                <w:highlight w:val="none"/>
              </w:rPr>
              <w:t>企业综合实力</w:t>
            </w:r>
          </w:p>
        </w:tc>
        <w:tc>
          <w:tcPr>
            <w:tcW w:w="6420"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企业资质：</w:t>
            </w:r>
          </w:p>
          <w:p>
            <w:pPr>
              <w:rPr>
                <w:rFonts w:hint="default" w:ascii="Tahoma" w:hAnsi="Tahoma" w:eastAsia="宋体"/>
                <w:color w:val="auto"/>
                <w:sz w:val="21"/>
                <w:szCs w:val="22"/>
                <w:highlight w:val="none"/>
                <w:lang w:eastAsia="zh-CN"/>
              </w:rPr>
            </w:pPr>
            <w:r>
              <w:rPr>
                <w:rFonts w:hint="default" w:ascii="Tahoma" w:hAnsi="Tahoma" w:eastAsia="宋体"/>
                <w:color w:val="auto"/>
                <w:sz w:val="21"/>
                <w:szCs w:val="22"/>
                <w:highlight w:val="none"/>
                <w:lang w:eastAsia="zh-CN"/>
              </w:rPr>
              <w:t>（</w:t>
            </w:r>
            <w:r>
              <w:rPr>
                <w:rFonts w:hint="eastAsia"/>
                <w:color w:val="auto"/>
                <w:sz w:val="21"/>
                <w:szCs w:val="22"/>
                <w:highlight w:val="none"/>
                <w:lang w:val="en-US" w:eastAsia="zh-CN"/>
              </w:rPr>
              <w:t>1</w:t>
            </w:r>
            <w:r>
              <w:rPr>
                <w:rFonts w:hint="default" w:ascii="Tahoma" w:hAnsi="Tahoma" w:eastAsia="宋体"/>
                <w:color w:val="auto"/>
                <w:sz w:val="21"/>
                <w:szCs w:val="22"/>
                <w:highlight w:val="none"/>
                <w:lang w:eastAsia="zh-CN"/>
              </w:rPr>
              <w:t>）</w:t>
            </w:r>
            <w:r>
              <w:rPr>
                <w:rFonts w:hint="default" w:ascii="Tahoma" w:hAnsi="Tahoma" w:eastAsia="宋体"/>
                <w:color w:val="auto"/>
                <w:sz w:val="21"/>
                <w:szCs w:val="22"/>
                <w:highlight w:val="none"/>
              </w:rPr>
              <w:t>根据企业近三年的信誉状况进行评分，信誉</w:t>
            </w:r>
            <w:r>
              <w:rPr>
                <w:rFonts w:hint="default" w:ascii="Tahoma" w:hAnsi="Tahoma" w:eastAsia="宋体" w:cstheme="minorBidi"/>
                <w:color w:val="auto"/>
                <w:sz w:val="21"/>
                <w:szCs w:val="22"/>
                <w:highlight w:val="none"/>
              </w:rPr>
              <w:t>等级证书AA级得</w:t>
            </w:r>
            <w:r>
              <w:rPr>
                <w:rFonts w:hint="eastAsia"/>
                <w:color w:val="auto"/>
                <w:sz w:val="21"/>
                <w:szCs w:val="22"/>
                <w:highlight w:val="none"/>
                <w:lang w:val="en-US" w:eastAsia="zh-CN"/>
              </w:rPr>
              <w:t>3</w:t>
            </w:r>
            <w:r>
              <w:rPr>
                <w:rFonts w:hint="default" w:ascii="Tahoma" w:hAnsi="Tahoma" w:eastAsia="宋体"/>
                <w:color w:val="auto"/>
                <w:sz w:val="21"/>
                <w:szCs w:val="22"/>
                <w:highlight w:val="none"/>
              </w:rPr>
              <w:t>分，信誉等级证书每提高一个等级加</w:t>
            </w:r>
            <w:r>
              <w:rPr>
                <w:rFonts w:hint="eastAsia"/>
                <w:color w:val="auto"/>
                <w:sz w:val="21"/>
                <w:szCs w:val="22"/>
                <w:highlight w:val="none"/>
                <w:lang w:eastAsia="zh-CN"/>
              </w:rPr>
              <w:t>2</w:t>
            </w:r>
            <w:r>
              <w:rPr>
                <w:rFonts w:hint="default" w:ascii="Tahoma" w:hAnsi="Tahoma" w:eastAsia="宋体"/>
                <w:color w:val="auto"/>
                <w:sz w:val="21"/>
                <w:szCs w:val="22"/>
                <w:highlight w:val="none"/>
              </w:rPr>
              <w:t>分，最高得</w:t>
            </w:r>
            <w:r>
              <w:rPr>
                <w:rFonts w:hint="eastAsia"/>
                <w:color w:val="auto"/>
                <w:sz w:val="21"/>
                <w:szCs w:val="22"/>
                <w:highlight w:val="none"/>
                <w:lang w:eastAsia="zh-CN"/>
              </w:rPr>
              <w:t>5</w:t>
            </w:r>
            <w:r>
              <w:rPr>
                <w:rFonts w:hint="default" w:ascii="Tahoma" w:hAnsi="Tahoma" w:eastAsia="宋体"/>
                <w:color w:val="auto"/>
                <w:sz w:val="21"/>
                <w:szCs w:val="22"/>
                <w:highlight w:val="none"/>
              </w:rPr>
              <w:t>分。其他情况不得分。</w:t>
            </w:r>
            <w:r>
              <w:rPr>
                <w:rFonts w:hint="default" w:ascii="Tahoma" w:hAnsi="Tahoma" w:eastAsia="宋体"/>
                <w:color w:val="auto"/>
                <w:sz w:val="21"/>
                <w:szCs w:val="22"/>
                <w:highlight w:val="none"/>
                <w:lang w:eastAsia="zh-CN"/>
              </w:rPr>
              <w:t>（</w:t>
            </w:r>
            <w:r>
              <w:rPr>
                <w:rFonts w:hint="default" w:ascii="Tahoma" w:hAnsi="Tahoma" w:eastAsia="宋体"/>
                <w:color w:val="auto"/>
                <w:sz w:val="21"/>
                <w:szCs w:val="22"/>
                <w:highlight w:val="none"/>
                <w:lang w:val="en-US" w:eastAsia="zh-CN"/>
              </w:rPr>
              <w:t>需提供企业近</w:t>
            </w:r>
            <w:r>
              <w:rPr>
                <w:rFonts w:hint="default"/>
                <w:color w:val="auto"/>
                <w:highlight w:val="none"/>
                <w:lang w:val="en-US" w:eastAsia="zh-CN"/>
              </w:rPr>
              <w:t>3年财报</w:t>
            </w:r>
            <w:r>
              <w:rPr>
                <w:rFonts w:hint="default" w:ascii="Tahoma" w:hAnsi="Tahoma" w:eastAsia="宋体"/>
                <w:color w:val="auto"/>
                <w:sz w:val="21"/>
                <w:szCs w:val="22"/>
                <w:highlight w:val="none"/>
                <w:lang w:eastAsia="zh-CN"/>
              </w:rPr>
              <w:t>）</w:t>
            </w:r>
          </w:p>
          <w:p>
            <w:pPr>
              <w:rPr>
                <w:rFonts w:hint="eastAsia" w:ascii="Tahoma" w:hAnsi="Tahoma" w:eastAsia="宋体"/>
                <w:color w:val="auto"/>
                <w:sz w:val="21"/>
                <w:szCs w:val="22"/>
                <w:highlight w:val="none"/>
                <w:lang w:val="en-US" w:eastAsia="zh-CN"/>
              </w:rPr>
            </w:pPr>
            <w:r>
              <w:rPr>
                <w:rFonts w:hint="eastAsia"/>
                <w:color w:val="auto"/>
                <w:sz w:val="21"/>
                <w:szCs w:val="22"/>
                <w:highlight w:val="none"/>
                <w:lang w:eastAsia="zh-CN"/>
              </w:rPr>
              <w:t>（</w:t>
            </w:r>
            <w:r>
              <w:rPr>
                <w:rFonts w:hint="eastAsia"/>
                <w:color w:val="auto"/>
                <w:sz w:val="21"/>
                <w:szCs w:val="22"/>
                <w:highlight w:val="none"/>
                <w:lang w:val="en-US" w:eastAsia="zh-CN"/>
              </w:rPr>
              <w:t>2</w:t>
            </w:r>
            <w:r>
              <w:rPr>
                <w:rFonts w:hint="eastAsia"/>
                <w:color w:val="auto"/>
                <w:sz w:val="21"/>
                <w:szCs w:val="22"/>
                <w:highlight w:val="none"/>
                <w:lang w:eastAsia="zh-CN"/>
              </w:rPr>
              <w:t>）</w:t>
            </w:r>
            <w:r>
              <w:rPr>
                <w:rFonts w:hint="eastAsia" w:ascii="宋体" w:cs="宋体"/>
                <w:b w:val="0"/>
                <w:bCs w:val="0"/>
                <w:color w:val="auto"/>
                <w:sz w:val="21"/>
                <w:szCs w:val="21"/>
                <w:highlight w:val="none"/>
                <w:lang w:val="en-US" w:eastAsia="zh-CN"/>
              </w:rPr>
              <w:t>提供近三年公司（2022年-2024年）的财务报表，根据财务报表情况得分，依次为5分、4分、3分、2分、1分、0分。</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hint="default" w:cs="宋体" w:asciiTheme="minorEastAsia" w:hAnsiTheme="minorEastAsia" w:eastAsiaTheme="minorEastAsia"/>
                <w:color w:val="auto"/>
                <w:sz w:val="22"/>
                <w:highlight w:val="none"/>
                <w:lang w:val="en-US" w:eastAsia="zh-CN"/>
              </w:rPr>
            </w:pPr>
            <w:r>
              <w:rPr>
                <w:rFonts w:hint="eastAsia" w:cs="宋体" w:asciiTheme="minorEastAsia" w:hAnsiTheme="minorEastAsia" w:eastAsiaTheme="minorEastAsia"/>
                <w:color w:val="auto"/>
                <w:sz w:val="22"/>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vMerge w:val="continue"/>
            <w:tcBorders>
              <w:left w:val="single" w:color="auto" w:sz="4" w:space="0"/>
              <w:bottom w:val="single" w:color="auto" w:sz="4" w:space="0"/>
              <w:right w:val="single" w:color="auto" w:sz="4" w:space="0"/>
            </w:tcBorders>
            <w:vAlign w:val="center"/>
          </w:tcPr>
          <w:p>
            <w:pPr>
              <w:pStyle w:val="92"/>
              <w:numPr>
                <w:ilvl w:val="0"/>
                <w:numId w:val="0"/>
              </w:numPr>
              <w:ind w:left="420"/>
              <w:jc w:val="both"/>
              <w:rPr>
                <w:rFonts w:asciiTheme="minorEastAsia" w:hAnsiTheme="minorEastAsia" w:eastAsiaTheme="minorEastAsia"/>
                <w:color w:val="auto"/>
                <w:sz w:val="22"/>
                <w:highlight w:val="none"/>
              </w:rPr>
            </w:pPr>
          </w:p>
        </w:tc>
        <w:tc>
          <w:tcPr>
            <w:tcW w:w="958" w:type="dxa"/>
            <w:vMerge w:val="continue"/>
            <w:tcBorders>
              <w:left w:val="single" w:color="auto" w:sz="4" w:space="0"/>
              <w:bottom w:val="single" w:color="auto" w:sz="4" w:space="0"/>
              <w:right w:val="single" w:color="auto" w:sz="4" w:space="0"/>
            </w:tcBorders>
            <w:vAlign w:val="center"/>
          </w:tcPr>
          <w:p>
            <w:pPr>
              <w:textAlignment w:val="center"/>
              <w:rPr>
                <w:color w:val="auto"/>
                <w:szCs w:val="21"/>
                <w:highlight w:val="none"/>
              </w:rPr>
            </w:pPr>
          </w:p>
        </w:tc>
        <w:tc>
          <w:tcPr>
            <w:tcW w:w="6420"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highlight w:val="none"/>
              </w:rPr>
              <w:t>对投标人拟投入本项目的人员情况进行评审，拟派出项目负责人、助理或团队其他人员具有</w:t>
            </w:r>
            <w:r>
              <w:rPr>
                <w:rFonts w:hint="eastAsia"/>
                <w:color w:val="auto"/>
                <w:highlight w:val="none"/>
              </w:rPr>
              <w:t>《燃气经营企业从业人员专业培训考核合格证书》</w:t>
            </w:r>
            <w:r>
              <w:rPr>
                <w:color w:val="auto"/>
                <w:highlight w:val="none"/>
              </w:rPr>
              <w:t>的、且具有2年（含）以上同类项目经验的，每有1个人满足条件的得2分，本项最高得</w:t>
            </w:r>
            <w:r>
              <w:rPr>
                <w:rFonts w:hint="eastAsia"/>
                <w:color w:val="auto"/>
                <w:highlight w:val="none"/>
                <w:lang w:val="en-US" w:eastAsia="zh-CN"/>
              </w:rPr>
              <w:t>5</w:t>
            </w:r>
            <w:r>
              <w:rPr>
                <w:color w:val="auto"/>
                <w:highlight w:val="none"/>
              </w:rPr>
              <w:t>分。注：1.提供</w:t>
            </w:r>
            <w:r>
              <w:rPr>
                <w:rFonts w:hint="eastAsia"/>
                <w:color w:val="auto"/>
                <w:highlight w:val="none"/>
              </w:rPr>
              <w:t>相关</w:t>
            </w:r>
            <w:r>
              <w:rPr>
                <w:color w:val="auto"/>
                <w:highlight w:val="none"/>
              </w:rPr>
              <w:t>证书扫描件；2.提供上述人员投标截止日之前六个月以内任意月份的投标人代缴个税税单或参加社会保险的《投保单》或《社会保险参保人员证明》；3.提供上述人员的劳动合同扫描件。</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lang w:val="en-US" w:eastAsia="zh-CN"/>
              </w:rPr>
              <w:t>5</w:t>
            </w:r>
            <w:r>
              <w:rPr>
                <w:rFonts w:hint="eastAsia" w:cs="宋体" w:asciiTheme="minorEastAsia" w:hAnsiTheme="minorEastAsia" w:eastAsiaTheme="minorEastAsia"/>
                <w:color w:val="auto"/>
                <w:sz w:val="22"/>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tcBorders>
              <w:top w:val="single" w:color="auto" w:sz="4" w:space="0"/>
              <w:left w:val="single" w:color="auto" w:sz="4" w:space="0"/>
              <w:bottom w:val="single" w:color="auto" w:sz="4" w:space="0"/>
              <w:right w:val="single" w:color="auto" w:sz="4" w:space="0"/>
            </w:tcBorders>
            <w:vAlign w:val="center"/>
          </w:tcPr>
          <w:p>
            <w:pPr>
              <w:pStyle w:val="92"/>
              <w:numPr>
                <w:ilvl w:val="-1"/>
                <w:numId w:val="0"/>
              </w:numPr>
              <w:ind w:left="210" w:firstLine="0"/>
              <w:jc w:val="both"/>
              <w:rPr>
                <w:rFonts w:hint="eastAsia" w:asciiTheme="minorEastAsia" w:hAnsiTheme="minorEastAsia" w:eastAsiaTheme="minorEastAsia"/>
                <w:color w:val="auto"/>
                <w:sz w:val="22"/>
                <w:highlight w:val="none"/>
                <w:lang w:val="en-US" w:eastAsia="zh-CN"/>
              </w:rPr>
            </w:pPr>
            <w:r>
              <w:rPr>
                <w:rFonts w:hint="eastAsia" w:asciiTheme="minorEastAsia" w:hAnsiTheme="minorEastAsia" w:eastAsiaTheme="minorEastAsia"/>
                <w:color w:val="auto"/>
                <w:sz w:val="22"/>
                <w:highlight w:val="none"/>
                <w:lang w:val="en-US" w:eastAsia="zh-CN"/>
              </w:rPr>
              <w:t>2</w:t>
            </w:r>
          </w:p>
        </w:tc>
        <w:tc>
          <w:tcPr>
            <w:tcW w:w="958"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olor w:val="auto"/>
                <w:szCs w:val="21"/>
                <w:highlight w:val="none"/>
              </w:rPr>
              <w:t>同类项目业绩</w:t>
            </w:r>
          </w:p>
        </w:tc>
        <w:tc>
          <w:tcPr>
            <w:tcW w:w="6420"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olor w:val="auto"/>
                <w:szCs w:val="21"/>
                <w:highlight w:val="none"/>
              </w:rPr>
              <w:t>投标人2020年1月（合同签订时间）以来所投产品在华南地区销售量大于200吨的销售业绩为有效业绩，每提供一个有效业绩的得</w:t>
            </w:r>
            <w:r>
              <w:rPr>
                <w:rFonts w:hint="eastAsia"/>
                <w:color w:val="auto"/>
                <w:szCs w:val="21"/>
                <w:highlight w:val="none"/>
                <w:lang w:val="en-US" w:eastAsia="zh-CN"/>
              </w:rPr>
              <w:t>3</w:t>
            </w:r>
            <w:r>
              <w:rPr>
                <w:rFonts w:hint="eastAsia"/>
                <w:color w:val="auto"/>
                <w:szCs w:val="21"/>
                <w:highlight w:val="none"/>
              </w:rPr>
              <w:t>分，本项最高得</w:t>
            </w:r>
            <w:r>
              <w:rPr>
                <w:rFonts w:hint="eastAsia"/>
                <w:color w:val="auto"/>
                <w:szCs w:val="21"/>
                <w:highlight w:val="none"/>
                <w:lang w:val="en-US" w:eastAsia="zh-CN"/>
              </w:rPr>
              <w:t>20</w:t>
            </w:r>
            <w:r>
              <w:rPr>
                <w:rFonts w:hint="eastAsia"/>
                <w:color w:val="auto"/>
                <w:szCs w:val="21"/>
                <w:highlight w:val="none"/>
              </w:rPr>
              <w:t>分。(提供合同复印件，如合同中无法显示销售量的，则需提供其它证明材料)</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cs="Calibri" w:asciiTheme="minorEastAsia" w:hAnsiTheme="minorEastAsia" w:eastAsiaTheme="minorEastAsia"/>
                <w:color w:val="auto"/>
                <w:sz w:val="22"/>
                <w:highlight w:val="none"/>
              </w:rPr>
            </w:pPr>
            <w:r>
              <w:rPr>
                <w:rFonts w:hint="eastAsia" w:cs="Calibri" w:asciiTheme="minorEastAsia" w:hAnsiTheme="minorEastAsia" w:eastAsiaTheme="minorEastAsia"/>
                <w:color w:val="auto"/>
                <w:sz w:val="22"/>
                <w:highlight w:val="none"/>
                <w:lang w:val="en-US" w:eastAsia="zh-CN"/>
              </w:rPr>
              <w:t>20</w:t>
            </w:r>
            <w:r>
              <w:rPr>
                <w:rFonts w:hint="eastAsia" w:cs="Calibri" w:asciiTheme="minorEastAsia" w:hAnsiTheme="minorEastAsia" w:eastAsiaTheme="minorEastAsia"/>
                <w:color w:val="auto"/>
                <w:sz w:val="22"/>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tcBorders>
              <w:top w:val="single" w:color="auto" w:sz="4" w:space="0"/>
              <w:left w:val="single" w:color="auto" w:sz="4" w:space="0"/>
              <w:bottom w:val="single" w:color="auto" w:sz="4" w:space="0"/>
              <w:right w:val="single" w:color="auto" w:sz="4" w:space="0"/>
            </w:tcBorders>
            <w:vAlign w:val="center"/>
          </w:tcPr>
          <w:p>
            <w:pPr>
              <w:pStyle w:val="92"/>
              <w:numPr>
                <w:ilvl w:val="-1"/>
                <w:numId w:val="0"/>
              </w:numPr>
              <w:ind w:left="210" w:firstLine="0"/>
              <w:jc w:val="both"/>
              <w:rPr>
                <w:rFonts w:hint="eastAsia" w:asciiTheme="minorEastAsia" w:hAnsiTheme="minorEastAsia" w:eastAsiaTheme="minorEastAsia"/>
                <w:color w:val="auto"/>
                <w:sz w:val="22"/>
                <w:highlight w:val="none"/>
                <w:lang w:val="en-US" w:eastAsia="zh-CN"/>
              </w:rPr>
            </w:pPr>
            <w:r>
              <w:rPr>
                <w:rFonts w:hint="eastAsia" w:asciiTheme="minorEastAsia" w:hAnsiTheme="minorEastAsia" w:eastAsiaTheme="minorEastAsia"/>
                <w:color w:val="auto"/>
                <w:sz w:val="22"/>
                <w:highlight w:val="none"/>
                <w:lang w:val="en-US" w:eastAsia="zh-CN"/>
              </w:rPr>
              <w:t>3</w:t>
            </w:r>
          </w:p>
        </w:tc>
        <w:tc>
          <w:tcPr>
            <w:tcW w:w="958"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olor w:val="auto"/>
                <w:szCs w:val="21"/>
                <w:highlight w:val="none"/>
              </w:rPr>
              <w:t>便利性</w:t>
            </w:r>
          </w:p>
        </w:tc>
        <w:tc>
          <w:tcPr>
            <w:tcW w:w="642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color w:val="auto"/>
                <w:szCs w:val="21"/>
                <w:highlight w:val="none"/>
              </w:rPr>
              <w:t>从供应点至本项目</w:t>
            </w:r>
            <w:r>
              <w:rPr>
                <w:rFonts w:hint="eastAsia"/>
                <w:color w:val="auto"/>
                <w:szCs w:val="21"/>
                <w:highlight w:val="none"/>
                <w:lang w:val="en-US" w:eastAsia="zh-CN"/>
              </w:rPr>
              <w:t>加气站</w:t>
            </w:r>
            <w:r>
              <w:rPr>
                <w:rFonts w:hint="eastAsia"/>
                <w:color w:val="auto"/>
                <w:szCs w:val="21"/>
                <w:highlight w:val="none"/>
              </w:rPr>
              <w:t>储存地点（</w:t>
            </w:r>
            <w:r>
              <w:rPr>
                <w:rFonts w:hint="eastAsia" w:ascii="宋体" w:hAnsi="宋体" w:cs="宋体"/>
                <w:color w:val="auto"/>
                <w:szCs w:val="21"/>
                <w:highlight w:val="none"/>
              </w:rPr>
              <w:t>大岭山加气站：东莞市大岭山镇莞长路大岭山路段549号；厚街加气站：东莞市厚街镇博览大道与宝塔路交汇处。</w:t>
            </w:r>
            <w:r>
              <w:rPr>
                <w:rFonts w:hint="eastAsia"/>
                <w:color w:val="auto"/>
                <w:szCs w:val="21"/>
                <w:highlight w:val="none"/>
                <w:u w:val="none"/>
              </w:rPr>
              <w:t>）</w:t>
            </w:r>
            <w:r>
              <w:rPr>
                <w:rFonts w:hint="eastAsia"/>
                <w:color w:val="auto"/>
                <w:szCs w:val="21"/>
                <w:highlight w:val="none"/>
              </w:rPr>
              <w:t>的运输距离进行评分（以百度导航的导航时间为准）。</w:t>
            </w:r>
          </w:p>
          <w:p>
            <w:pPr>
              <w:rPr>
                <w:color w:val="auto"/>
                <w:szCs w:val="21"/>
                <w:highlight w:val="none"/>
              </w:rPr>
            </w:pPr>
            <w:r>
              <w:rPr>
                <w:rFonts w:hint="eastAsia"/>
                <w:color w:val="auto"/>
                <w:szCs w:val="21"/>
                <w:highlight w:val="none"/>
              </w:rPr>
              <w:t>（1）运输时间在2小时内（含），得10分；</w:t>
            </w:r>
          </w:p>
          <w:p>
            <w:pPr>
              <w:rPr>
                <w:color w:val="auto"/>
                <w:szCs w:val="21"/>
                <w:highlight w:val="none"/>
              </w:rPr>
            </w:pPr>
            <w:r>
              <w:rPr>
                <w:rFonts w:hint="eastAsia"/>
                <w:color w:val="auto"/>
                <w:szCs w:val="21"/>
                <w:highlight w:val="none"/>
              </w:rPr>
              <w:t>（2）运输时间在2-3小时内（不含3小时），得5分；</w:t>
            </w:r>
          </w:p>
          <w:p>
            <w:pPr>
              <w:rPr>
                <w:color w:val="auto"/>
                <w:szCs w:val="21"/>
                <w:highlight w:val="none"/>
              </w:rPr>
            </w:pPr>
            <w:r>
              <w:rPr>
                <w:rFonts w:hint="eastAsia"/>
                <w:color w:val="auto"/>
                <w:szCs w:val="21"/>
                <w:highlight w:val="none"/>
              </w:rPr>
              <w:t>（3）其他情形不得分。</w:t>
            </w:r>
          </w:p>
          <w:p>
            <w:pPr>
              <w:rPr>
                <w:color w:val="auto"/>
                <w:szCs w:val="21"/>
                <w:highlight w:val="none"/>
              </w:rPr>
            </w:pPr>
            <w:r>
              <w:rPr>
                <w:rFonts w:hint="eastAsia"/>
                <w:color w:val="auto"/>
                <w:szCs w:val="21"/>
                <w:highlight w:val="none"/>
              </w:rPr>
              <w:t>注：需提供承诺函，格式自拟；投标人需按实际情况作出承诺，如在履行合同中未能完成</w:t>
            </w:r>
            <w:r>
              <w:rPr>
                <w:rFonts w:hint="eastAsia" w:ascii="宋体" w:hAnsi="宋体" w:cs="宋体"/>
                <w:color w:val="auto"/>
                <w:szCs w:val="21"/>
                <w:highlight w:val="none"/>
              </w:rPr>
              <w:t>，采购人有权根据相关规定进行处罚，造成的一切经济损失与责任由对应的入围供应商承担与负责。</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cs="Calibri" w:asciiTheme="minorEastAsia" w:hAnsiTheme="minorEastAsia" w:eastAsiaTheme="minorEastAsia"/>
                <w:color w:val="auto"/>
                <w:sz w:val="22"/>
                <w:highlight w:val="none"/>
              </w:rPr>
            </w:pPr>
            <w:r>
              <w:rPr>
                <w:rFonts w:hint="eastAsia" w:cs="Calibri" w:asciiTheme="minorEastAsia" w:hAnsiTheme="minorEastAsia" w:eastAsiaTheme="minorEastAsia"/>
                <w:color w:val="auto"/>
                <w:sz w:val="22"/>
                <w:highlight w:val="none"/>
              </w:rPr>
              <w:t>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8088" w:type="dxa"/>
            <w:gridSpan w:val="3"/>
            <w:tcBorders>
              <w:top w:val="single" w:color="auto" w:sz="4" w:space="0"/>
              <w:left w:val="single" w:color="auto" w:sz="4" w:space="0"/>
              <w:bottom w:val="single" w:color="auto" w:sz="4" w:space="0"/>
              <w:right w:val="single" w:color="auto" w:sz="4" w:space="0"/>
            </w:tcBorders>
            <w:vAlign w:val="center"/>
          </w:tcPr>
          <w:p>
            <w:pPr>
              <w:tabs>
                <w:tab w:val="left" w:pos="1800"/>
                <w:tab w:val="left" w:pos="2340"/>
              </w:tabs>
              <w:ind w:firstLine="434"/>
              <w:jc w:val="center"/>
              <w:rPr>
                <w:rFonts w:cs="宋体" w:asciiTheme="minorEastAsia" w:hAnsiTheme="minorEastAsia" w:eastAsiaTheme="minorEastAsia"/>
                <w:b/>
                <w:bCs/>
                <w:color w:val="auto"/>
                <w:sz w:val="22"/>
                <w:highlight w:val="none"/>
              </w:rPr>
            </w:pPr>
            <w:r>
              <w:rPr>
                <w:rFonts w:hint="eastAsia" w:cs="宋体" w:asciiTheme="minorEastAsia" w:hAnsiTheme="minorEastAsia" w:eastAsiaTheme="minorEastAsia"/>
                <w:b/>
                <w:bCs/>
                <w:color w:val="auto"/>
                <w:sz w:val="22"/>
                <w:highlight w:val="none"/>
              </w:rPr>
              <w:t>合计</w:t>
            </w:r>
          </w:p>
        </w:tc>
        <w:tc>
          <w:tcPr>
            <w:tcW w:w="630" w:type="dxa"/>
            <w:tcBorders>
              <w:top w:val="single" w:color="auto" w:sz="4" w:space="0"/>
              <w:left w:val="single" w:color="auto" w:sz="4" w:space="0"/>
              <w:bottom w:val="single" w:color="auto" w:sz="4" w:space="0"/>
              <w:right w:val="single" w:color="auto" w:sz="4" w:space="0"/>
            </w:tcBorders>
            <w:vAlign w:val="center"/>
          </w:tcPr>
          <w:p>
            <w:pPr>
              <w:tabs>
                <w:tab w:val="left" w:pos="1800"/>
                <w:tab w:val="left" w:pos="2340"/>
              </w:tabs>
              <w:rPr>
                <w:rFonts w:cs="宋体" w:asciiTheme="minorEastAsia" w:hAnsiTheme="minorEastAsia" w:eastAsiaTheme="minorEastAsia"/>
                <w:b/>
                <w:bCs/>
                <w:color w:val="auto"/>
                <w:sz w:val="22"/>
                <w:highlight w:val="none"/>
              </w:rPr>
            </w:pPr>
            <w:r>
              <w:rPr>
                <w:rFonts w:hint="eastAsia" w:cs="宋体" w:asciiTheme="minorEastAsia" w:hAnsiTheme="minorEastAsia" w:eastAsiaTheme="minorEastAsia"/>
                <w:b/>
                <w:bCs/>
                <w:color w:val="auto"/>
                <w:sz w:val="22"/>
                <w:highlight w:val="none"/>
                <w:lang w:val="en-US" w:eastAsia="zh-CN"/>
              </w:rPr>
              <w:t>45</w:t>
            </w:r>
            <w:r>
              <w:rPr>
                <w:rFonts w:hint="eastAsia" w:cs="宋体" w:asciiTheme="minorEastAsia" w:hAnsiTheme="minorEastAsia" w:eastAsiaTheme="minorEastAsia"/>
                <w:b/>
                <w:bCs/>
                <w:color w:val="auto"/>
                <w:sz w:val="22"/>
                <w:highlight w:val="none"/>
              </w:rPr>
              <w:t>分</w:t>
            </w:r>
          </w:p>
        </w:tc>
      </w:tr>
    </w:tbl>
    <w:p>
      <w:pPr>
        <w:ind w:firstLine="220" w:firstLineChars="100"/>
        <w:rPr>
          <w:rFonts w:ascii="宋体" w:hAnsi="宋体" w:cs="宋体"/>
          <w:color w:val="auto"/>
          <w:sz w:val="22"/>
          <w:highlight w:val="none"/>
        </w:rPr>
      </w:pPr>
      <w:r>
        <w:rPr>
          <w:rFonts w:hint="eastAsia" w:ascii="宋体" w:hAnsi="宋体" w:cs="宋体"/>
          <w:color w:val="auto"/>
          <w:sz w:val="22"/>
          <w:highlight w:val="none"/>
        </w:rPr>
        <w:t>备注：（1）招标文件要求提交的与评价指标体系相关的各类有效资料，投标人如未按要求提交的，该项评分为零分。</w:t>
      </w:r>
    </w:p>
    <w:p>
      <w:pPr>
        <w:ind w:firstLine="440" w:firstLineChars="200"/>
        <w:rPr>
          <w:rFonts w:ascii="宋体" w:hAnsi="宋体" w:cs="宋体"/>
          <w:color w:val="auto"/>
          <w:sz w:val="22"/>
          <w:highlight w:val="none"/>
        </w:rPr>
      </w:pPr>
      <w:r>
        <w:rPr>
          <w:rFonts w:hint="eastAsia" w:ascii="宋体" w:hAnsi="宋体" w:cs="宋体"/>
          <w:color w:val="auto"/>
          <w:sz w:val="22"/>
          <w:highlight w:val="none"/>
        </w:rPr>
        <w:t>（2）商务得分为评委评分分值的算术平均值（四舍五入后，小数点后保留两位有效数）。</w:t>
      </w:r>
    </w:p>
    <w:p>
      <w:pPr>
        <w:ind w:firstLine="440" w:firstLineChars="200"/>
        <w:rPr>
          <w:color w:val="auto"/>
          <w:highlight w:val="none"/>
        </w:rPr>
      </w:pPr>
      <w:r>
        <w:rPr>
          <w:rFonts w:hint="eastAsia" w:ascii="宋体" w:hAnsi="宋体" w:cs="宋体"/>
          <w:color w:val="auto"/>
          <w:sz w:val="22"/>
          <w:highlight w:val="none"/>
        </w:rPr>
        <w:t>二、技术评分标准：（总分：</w:t>
      </w:r>
      <w:r>
        <w:rPr>
          <w:rFonts w:hint="eastAsia" w:ascii="宋体" w:hAnsi="宋体" w:cs="宋体"/>
          <w:color w:val="auto"/>
          <w:sz w:val="22"/>
          <w:highlight w:val="none"/>
          <w:lang w:val="en-US" w:eastAsia="zh-CN"/>
        </w:rPr>
        <w:t xml:space="preserve">55  </w:t>
      </w:r>
      <w:r>
        <w:rPr>
          <w:rFonts w:hint="eastAsia" w:ascii="宋体" w:hAnsi="宋体" w:cs="宋体"/>
          <w:color w:val="auto"/>
          <w:sz w:val="22"/>
          <w:highlight w:val="none"/>
        </w:rPr>
        <w:t>分）</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1307"/>
        <w:gridCol w:w="5710"/>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44" w:type="pct"/>
            <w:vAlign w:val="center"/>
          </w:tcPr>
          <w:p>
            <w:pPr>
              <w:jc w:val="center"/>
              <w:rPr>
                <w:rFonts w:cs="Calibri" w:asciiTheme="minorEastAsia" w:hAnsiTheme="minorEastAsia" w:eastAsiaTheme="minorEastAsia"/>
                <w:b/>
                <w:color w:val="auto"/>
                <w:sz w:val="22"/>
                <w:highlight w:val="none"/>
              </w:rPr>
            </w:pPr>
            <w:r>
              <w:rPr>
                <w:rFonts w:cs="Calibri" w:asciiTheme="minorEastAsia" w:hAnsiTheme="minorEastAsia" w:eastAsiaTheme="minorEastAsia"/>
                <w:b/>
                <w:color w:val="auto"/>
                <w:sz w:val="22"/>
                <w:highlight w:val="none"/>
              </w:rPr>
              <w:t>序号</w:t>
            </w:r>
          </w:p>
        </w:tc>
        <w:tc>
          <w:tcPr>
            <w:tcW w:w="767" w:type="pct"/>
            <w:tcBorders>
              <w:bottom w:val="single" w:color="auto" w:sz="4" w:space="0"/>
            </w:tcBorders>
            <w:vAlign w:val="center"/>
          </w:tcPr>
          <w:p>
            <w:pPr>
              <w:jc w:val="center"/>
              <w:rPr>
                <w:rFonts w:asciiTheme="minorEastAsia" w:hAnsiTheme="minorEastAsia" w:eastAsiaTheme="minorEastAsia"/>
                <w:b/>
                <w:color w:val="auto"/>
                <w:sz w:val="22"/>
                <w:highlight w:val="none"/>
              </w:rPr>
            </w:pPr>
            <w:r>
              <w:rPr>
                <w:rFonts w:hint="eastAsia" w:asciiTheme="minorEastAsia" w:hAnsiTheme="minorEastAsia" w:eastAsiaTheme="minorEastAsia"/>
                <w:b/>
                <w:color w:val="auto"/>
                <w:sz w:val="22"/>
                <w:highlight w:val="none"/>
              </w:rPr>
              <w:t>评审内容</w:t>
            </w:r>
          </w:p>
        </w:tc>
        <w:tc>
          <w:tcPr>
            <w:tcW w:w="3350" w:type="pct"/>
            <w:tcBorders>
              <w:bottom w:val="single" w:color="auto" w:sz="4" w:space="0"/>
            </w:tcBorders>
            <w:vAlign w:val="center"/>
          </w:tcPr>
          <w:p>
            <w:pPr>
              <w:jc w:val="center"/>
              <w:rPr>
                <w:rFonts w:asciiTheme="minorEastAsia" w:hAnsiTheme="minorEastAsia" w:eastAsiaTheme="minorEastAsia"/>
                <w:b/>
                <w:color w:val="auto"/>
                <w:sz w:val="22"/>
                <w:highlight w:val="none"/>
              </w:rPr>
            </w:pPr>
            <w:r>
              <w:rPr>
                <w:rFonts w:hint="eastAsia" w:asciiTheme="minorEastAsia" w:hAnsiTheme="minorEastAsia" w:eastAsiaTheme="minorEastAsia"/>
                <w:b/>
                <w:color w:val="auto"/>
                <w:sz w:val="22"/>
                <w:highlight w:val="none"/>
              </w:rPr>
              <w:t>评审细则</w:t>
            </w:r>
          </w:p>
        </w:tc>
        <w:tc>
          <w:tcPr>
            <w:tcW w:w="439" w:type="pct"/>
            <w:vAlign w:val="center"/>
          </w:tcPr>
          <w:p>
            <w:pPr>
              <w:jc w:val="center"/>
              <w:rPr>
                <w:rFonts w:cs="Calibri" w:asciiTheme="minorEastAsia" w:hAnsiTheme="minorEastAsia" w:eastAsiaTheme="minorEastAsia"/>
                <w:b/>
                <w:color w:val="auto"/>
                <w:sz w:val="22"/>
                <w:highlight w:val="none"/>
              </w:rPr>
            </w:pPr>
            <w:r>
              <w:rPr>
                <w:rFonts w:hint="eastAsia" w:cs="Calibri" w:asciiTheme="minorEastAsia" w:hAnsiTheme="minorEastAsia" w:eastAsiaTheme="minorEastAsia"/>
                <w:b/>
                <w:color w:val="auto"/>
                <w:sz w:val="22"/>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44" w:type="pct"/>
            <w:vAlign w:val="center"/>
          </w:tcPr>
          <w:p>
            <w:pPr>
              <w:jc w:val="center"/>
              <w:rPr>
                <w:rFonts w:cs="Calibri" w:asciiTheme="minorEastAsia" w:hAnsiTheme="minorEastAsia" w:eastAsiaTheme="minorEastAsia"/>
                <w:color w:val="auto"/>
                <w:sz w:val="22"/>
                <w:highlight w:val="none"/>
              </w:rPr>
            </w:pPr>
            <w:r>
              <w:rPr>
                <w:rFonts w:hint="eastAsia" w:cs="Calibri" w:asciiTheme="minorEastAsia" w:hAnsiTheme="minorEastAsia" w:eastAsiaTheme="minorEastAsia"/>
                <w:color w:val="auto"/>
                <w:sz w:val="22"/>
                <w:highlight w:val="none"/>
              </w:rPr>
              <w:t>1</w:t>
            </w:r>
          </w:p>
        </w:tc>
        <w:tc>
          <w:tcPr>
            <w:tcW w:w="767" w:type="pct"/>
            <w:tcBorders>
              <w:bottom w:val="single" w:color="auto" w:sz="4" w:space="0"/>
            </w:tcBorders>
            <w:vAlign w:val="center"/>
          </w:tcPr>
          <w:p>
            <w:pPr>
              <w:rPr>
                <w:color w:val="auto"/>
                <w:szCs w:val="21"/>
                <w:highlight w:val="none"/>
              </w:rPr>
            </w:pPr>
            <w:r>
              <w:rPr>
                <w:rFonts w:hint="eastAsia"/>
                <w:color w:val="auto"/>
                <w:szCs w:val="21"/>
                <w:highlight w:val="none"/>
              </w:rPr>
              <w:t>供货方案</w:t>
            </w:r>
          </w:p>
        </w:tc>
        <w:tc>
          <w:tcPr>
            <w:tcW w:w="3350" w:type="pct"/>
            <w:tcBorders>
              <w:bottom w:val="single" w:color="auto" w:sz="4" w:space="0"/>
            </w:tcBorders>
            <w:vAlign w:val="center"/>
          </w:tcPr>
          <w:p>
            <w:pPr>
              <w:rPr>
                <w:color w:val="auto"/>
                <w:highlight w:val="none"/>
              </w:rPr>
            </w:pPr>
            <w:r>
              <w:rPr>
                <w:color w:val="auto"/>
                <w:highlight w:val="none"/>
              </w:rPr>
              <w:t>根据投标人提供的</w:t>
            </w:r>
            <w:r>
              <w:rPr>
                <w:rFonts w:hint="eastAsia"/>
                <w:color w:val="auto"/>
                <w:highlight w:val="none"/>
              </w:rPr>
              <w:t>供货方案</w:t>
            </w:r>
            <w:r>
              <w:rPr>
                <w:color w:val="auto"/>
                <w:highlight w:val="none"/>
              </w:rPr>
              <w:t>进行综合评审：</w:t>
            </w:r>
          </w:p>
          <w:p>
            <w:pPr>
              <w:rPr>
                <w:color w:val="auto"/>
                <w:highlight w:val="none"/>
              </w:rPr>
            </w:pPr>
            <w:r>
              <w:rPr>
                <w:color w:val="auto"/>
                <w:highlight w:val="none"/>
              </w:rPr>
              <w:t>优：</w:t>
            </w:r>
            <w:r>
              <w:rPr>
                <w:rFonts w:hint="eastAsia"/>
                <w:color w:val="auto"/>
                <w:highlight w:val="none"/>
              </w:rPr>
              <w:t>供货方案</w:t>
            </w:r>
            <w:r>
              <w:rPr>
                <w:color w:val="auto"/>
                <w:highlight w:val="none"/>
              </w:rPr>
              <w:t>合理科学、目标明确，保证措施充分，工作计划分配体系完整，实施畅通，安全文明作业方案优，得1</w:t>
            </w:r>
            <w:r>
              <w:rPr>
                <w:rFonts w:hint="eastAsia"/>
                <w:color w:val="auto"/>
                <w:highlight w:val="none"/>
              </w:rPr>
              <w:t>5</w:t>
            </w:r>
            <w:r>
              <w:rPr>
                <w:color w:val="auto"/>
                <w:highlight w:val="none"/>
              </w:rPr>
              <w:t>分；</w:t>
            </w:r>
          </w:p>
          <w:p>
            <w:pPr>
              <w:rPr>
                <w:color w:val="auto"/>
                <w:highlight w:val="none"/>
              </w:rPr>
            </w:pPr>
            <w:r>
              <w:rPr>
                <w:color w:val="auto"/>
                <w:highlight w:val="none"/>
              </w:rPr>
              <w:t>良：进度节点控制、质量控制较为合理科学、目标较为明确，保证措施比较充分，工作计划分配体系较为完整，安全文明作业方案良，得</w:t>
            </w:r>
            <w:r>
              <w:rPr>
                <w:rFonts w:hint="eastAsia"/>
                <w:color w:val="auto"/>
                <w:highlight w:val="none"/>
              </w:rPr>
              <w:t>10</w:t>
            </w:r>
            <w:r>
              <w:rPr>
                <w:color w:val="auto"/>
                <w:highlight w:val="none"/>
              </w:rPr>
              <w:t>分；</w:t>
            </w:r>
          </w:p>
          <w:p>
            <w:pPr>
              <w:rPr>
                <w:color w:val="auto"/>
                <w:highlight w:val="none"/>
              </w:rPr>
            </w:pPr>
            <w:r>
              <w:rPr>
                <w:color w:val="auto"/>
                <w:highlight w:val="none"/>
              </w:rPr>
              <w:t>中：</w:t>
            </w:r>
            <w:r>
              <w:rPr>
                <w:rFonts w:hint="eastAsia"/>
                <w:color w:val="auto"/>
                <w:highlight w:val="none"/>
              </w:rPr>
              <w:t>供货方案</w:t>
            </w:r>
            <w:r>
              <w:rPr>
                <w:color w:val="auto"/>
                <w:highlight w:val="none"/>
              </w:rPr>
              <w:t>一般，有进度、质量控制目标，有保证措施及工作计划，安全文明作业方案中，得5分；</w:t>
            </w:r>
          </w:p>
          <w:p>
            <w:pPr>
              <w:rPr>
                <w:color w:val="auto"/>
                <w:highlight w:val="none"/>
              </w:rPr>
            </w:pPr>
            <w:r>
              <w:rPr>
                <w:color w:val="auto"/>
                <w:highlight w:val="none"/>
              </w:rPr>
              <w:t>差：</w:t>
            </w:r>
            <w:r>
              <w:rPr>
                <w:rFonts w:hint="eastAsia"/>
                <w:color w:val="auto"/>
                <w:highlight w:val="none"/>
              </w:rPr>
              <w:t>供货方案</w:t>
            </w:r>
            <w:r>
              <w:rPr>
                <w:color w:val="auto"/>
                <w:highlight w:val="none"/>
              </w:rPr>
              <w:t>不完善，有确定进度、质量目标，安全文明作业方案差，得3分；</w:t>
            </w:r>
          </w:p>
          <w:p>
            <w:pPr>
              <w:rPr>
                <w:color w:val="auto"/>
                <w:szCs w:val="21"/>
                <w:highlight w:val="none"/>
              </w:rPr>
            </w:pPr>
            <w:r>
              <w:rPr>
                <w:color w:val="auto"/>
                <w:highlight w:val="none"/>
              </w:rPr>
              <w:t>未提供对应方案不得分。</w:t>
            </w:r>
          </w:p>
        </w:tc>
        <w:tc>
          <w:tcPr>
            <w:tcW w:w="439" w:type="pct"/>
            <w:vAlign w:val="center"/>
          </w:tcPr>
          <w:p>
            <w:pPr>
              <w:jc w:val="center"/>
              <w:rPr>
                <w:rFonts w:cs="Calibri" w:asciiTheme="minorEastAsia" w:hAnsiTheme="minorEastAsia" w:eastAsiaTheme="minorEastAsia"/>
                <w:b/>
                <w:color w:val="auto"/>
                <w:sz w:val="22"/>
                <w:highlight w:val="none"/>
              </w:rPr>
            </w:pPr>
            <w:r>
              <w:rPr>
                <w:rFonts w:hint="eastAsia" w:cs="宋体" w:asciiTheme="minorEastAsia" w:hAnsiTheme="minorEastAsia" w:eastAsiaTheme="minorEastAsia"/>
                <w:color w:val="auto"/>
                <w:sz w:val="22"/>
                <w:highlight w:val="none"/>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44" w:type="pct"/>
            <w:vAlign w:val="center"/>
          </w:tcPr>
          <w:p>
            <w:pPr>
              <w:jc w:val="center"/>
              <w:rPr>
                <w:rFonts w:cs="Calibri" w:asciiTheme="minorEastAsia" w:hAnsiTheme="minorEastAsia" w:eastAsiaTheme="minorEastAsia"/>
                <w:color w:val="auto"/>
                <w:sz w:val="22"/>
                <w:highlight w:val="none"/>
              </w:rPr>
            </w:pPr>
            <w:r>
              <w:rPr>
                <w:rFonts w:hint="eastAsia" w:cs="Calibri" w:asciiTheme="minorEastAsia" w:hAnsiTheme="minorEastAsia" w:eastAsiaTheme="minorEastAsia"/>
                <w:color w:val="auto"/>
                <w:sz w:val="22"/>
                <w:highlight w:val="none"/>
              </w:rPr>
              <w:t>2</w:t>
            </w:r>
          </w:p>
        </w:tc>
        <w:tc>
          <w:tcPr>
            <w:tcW w:w="767" w:type="pct"/>
            <w:tcBorders>
              <w:bottom w:val="single" w:color="auto" w:sz="4" w:space="0"/>
            </w:tcBorders>
            <w:vAlign w:val="center"/>
          </w:tcPr>
          <w:p>
            <w:pPr>
              <w:rPr>
                <w:color w:val="auto"/>
                <w:szCs w:val="21"/>
                <w:highlight w:val="none"/>
              </w:rPr>
            </w:pPr>
            <w:r>
              <w:rPr>
                <w:rFonts w:hint="eastAsia"/>
                <w:color w:val="auto"/>
                <w:szCs w:val="21"/>
                <w:highlight w:val="none"/>
              </w:rPr>
              <w:t>应急供气能力</w:t>
            </w:r>
          </w:p>
        </w:tc>
        <w:tc>
          <w:tcPr>
            <w:tcW w:w="3350" w:type="pct"/>
            <w:tcBorders>
              <w:bottom w:val="single" w:color="auto" w:sz="4" w:space="0"/>
            </w:tcBorders>
            <w:vAlign w:val="center"/>
          </w:tcPr>
          <w:p>
            <w:pPr>
              <w:rPr>
                <w:color w:val="auto"/>
                <w:highlight w:val="none"/>
              </w:rPr>
            </w:pPr>
            <w:r>
              <w:rPr>
                <w:color w:val="auto"/>
                <w:highlight w:val="none"/>
              </w:rPr>
              <w:t>根据投标人提供项目实施应急服务预案评分：</w:t>
            </w:r>
          </w:p>
          <w:p>
            <w:pPr>
              <w:rPr>
                <w:color w:val="auto"/>
                <w:highlight w:val="none"/>
              </w:rPr>
            </w:pPr>
            <w:r>
              <w:rPr>
                <w:color w:val="auto"/>
                <w:highlight w:val="none"/>
              </w:rPr>
              <w:t>针对本项目拟定的突发事件的应急管理制度、处理措施和应急预案全面、科学、合理、可行且详细的，优于采购需求得</w:t>
            </w:r>
            <w:r>
              <w:rPr>
                <w:rFonts w:hint="eastAsia"/>
                <w:color w:val="auto"/>
                <w:highlight w:val="none"/>
              </w:rPr>
              <w:t>15</w:t>
            </w:r>
            <w:r>
              <w:rPr>
                <w:color w:val="auto"/>
                <w:highlight w:val="none"/>
              </w:rPr>
              <w:t>分；</w:t>
            </w:r>
          </w:p>
          <w:p>
            <w:pPr>
              <w:rPr>
                <w:color w:val="auto"/>
                <w:highlight w:val="none"/>
              </w:rPr>
            </w:pPr>
            <w:r>
              <w:rPr>
                <w:color w:val="auto"/>
                <w:highlight w:val="none"/>
              </w:rPr>
              <w:t>针对本项目拟定的突发事件（的应急管理制度、处理措施和应急预案基本全面、科学、合理、可行且基本详细的，完全满足采购需求得</w:t>
            </w:r>
            <w:r>
              <w:rPr>
                <w:rFonts w:hint="eastAsia"/>
                <w:color w:val="auto"/>
                <w:highlight w:val="none"/>
              </w:rPr>
              <w:t>10</w:t>
            </w:r>
            <w:r>
              <w:rPr>
                <w:color w:val="auto"/>
                <w:highlight w:val="none"/>
              </w:rPr>
              <w:t>分；</w:t>
            </w:r>
          </w:p>
          <w:p>
            <w:pPr>
              <w:rPr>
                <w:color w:val="auto"/>
                <w:highlight w:val="none"/>
              </w:rPr>
            </w:pPr>
            <w:r>
              <w:rPr>
                <w:color w:val="auto"/>
                <w:highlight w:val="none"/>
              </w:rPr>
              <w:t>针对本项目拟定的应急管理制度、突发事件（如突发疫情）的处理措施和应急预案不够全面、合理性、可行性一般，部分满足采购需求得</w:t>
            </w:r>
            <w:r>
              <w:rPr>
                <w:rFonts w:hint="eastAsia"/>
                <w:color w:val="auto"/>
                <w:highlight w:val="none"/>
              </w:rPr>
              <w:t>5</w:t>
            </w:r>
            <w:r>
              <w:rPr>
                <w:color w:val="auto"/>
                <w:highlight w:val="none"/>
              </w:rPr>
              <w:t>分；</w:t>
            </w:r>
          </w:p>
          <w:p>
            <w:pPr>
              <w:rPr>
                <w:color w:val="auto"/>
                <w:szCs w:val="21"/>
                <w:highlight w:val="none"/>
              </w:rPr>
            </w:pPr>
            <w:r>
              <w:rPr>
                <w:color w:val="auto"/>
                <w:highlight w:val="none"/>
              </w:rPr>
              <w:t>其他或无响应，得0分。</w:t>
            </w:r>
          </w:p>
        </w:tc>
        <w:tc>
          <w:tcPr>
            <w:tcW w:w="439" w:type="pct"/>
            <w:vAlign w:val="center"/>
          </w:tcPr>
          <w:p>
            <w:pPr>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44" w:type="pct"/>
            <w:vAlign w:val="center"/>
          </w:tcPr>
          <w:p>
            <w:pPr>
              <w:jc w:val="center"/>
              <w:rPr>
                <w:rFonts w:cs="Calibri" w:asciiTheme="minorEastAsia" w:hAnsiTheme="minorEastAsia" w:eastAsiaTheme="minorEastAsia"/>
                <w:color w:val="auto"/>
                <w:sz w:val="22"/>
                <w:highlight w:val="none"/>
              </w:rPr>
            </w:pPr>
            <w:r>
              <w:rPr>
                <w:rFonts w:cs="Calibri" w:asciiTheme="minorEastAsia" w:hAnsiTheme="minorEastAsia" w:eastAsiaTheme="minorEastAsia"/>
                <w:color w:val="auto"/>
                <w:sz w:val="22"/>
                <w:highlight w:val="none"/>
              </w:rPr>
              <w:t>3</w:t>
            </w:r>
          </w:p>
        </w:tc>
        <w:tc>
          <w:tcPr>
            <w:tcW w:w="767" w:type="pct"/>
            <w:tcBorders>
              <w:bottom w:val="single" w:color="auto" w:sz="4" w:space="0"/>
            </w:tcBorders>
            <w:vAlign w:val="center"/>
          </w:tcPr>
          <w:p>
            <w:pPr>
              <w:rPr>
                <w:color w:val="auto"/>
                <w:szCs w:val="21"/>
                <w:highlight w:val="none"/>
              </w:rPr>
            </w:pPr>
            <w:r>
              <w:rPr>
                <w:rFonts w:hint="eastAsia"/>
                <w:color w:val="auto"/>
                <w:szCs w:val="21"/>
                <w:highlight w:val="none"/>
              </w:rPr>
              <w:t>安全管理措施</w:t>
            </w:r>
          </w:p>
        </w:tc>
        <w:tc>
          <w:tcPr>
            <w:tcW w:w="3350" w:type="pct"/>
            <w:tcBorders>
              <w:bottom w:val="single" w:color="auto" w:sz="4" w:space="0"/>
            </w:tcBorders>
            <w:vAlign w:val="center"/>
          </w:tcPr>
          <w:p>
            <w:pPr>
              <w:rPr>
                <w:color w:val="auto"/>
                <w:highlight w:val="none"/>
              </w:rPr>
            </w:pPr>
            <w:r>
              <w:rPr>
                <w:color w:val="auto"/>
                <w:highlight w:val="none"/>
              </w:rPr>
              <w:t>根据投标人提供</w:t>
            </w:r>
            <w:r>
              <w:rPr>
                <w:rFonts w:hint="eastAsia"/>
                <w:color w:val="auto"/>
                <w:szCs w:val="21"/>
                <w:highlight w:val="none"/>
              </w:rPr>
              <w:t>安全管理措施</w:t>
            </w:r>
            <w:r>
              <w:rPr>
                <w:color w:val="auto"/>
                <w:highlight w:val="none"/>
              </w:rPr>
              <w:t>评分，内容包括：采购人发现</w:t>
            </w:r>
            <w:r>
              <w:rPr>
                <w:rFonts w:hint="eastAsia"/>
                <w:color w:val="auto"/>
                <w:highlight w:val="none"/>
              </w:rPr>
              <w:t>服务</w:t>
            </w:r>
            <w:r>
              <w:rPr>
                <w:color w:val="auto"/>
                <w:highlight w:val="none"/>
              </w:rPr>
              <w:t>质量可能不符合要求的处理。</w:t>
            </w:r>
          </w:p>
          <w:p>
            <w:pPr>
              <w:rPr>
                <w:color w:val="auto"/>
                <w:highlight w:val="none"/>
              </w:rPr>
            </w:pPr>
            <w:r>
              <w:rPr>
                <w:rFonts w:hint="eastAsia"/>
                <w:color w:val="auto"/>
                <w:szCs w:val="21"/>
                <w:highlight w:val="none"/>
              </w:rPr>
              <w:t>安全管理措施</w:t>
            </w:r>
            <w:r>
              <w:rPr>
                <w:color w:val="auto"/>
                <w:highlight w:val="none"/>
              </w:rPr>
              <w:t>科学合理、内容完整、详细、切实可行，优于采购需求，得</w:t>
            </w:r>
            <w:r>
              <w:rPr>
                <w:rFonts w:hint="eastAsia"/>
                <w:color w:val="auto"/>
                <w:highlight w:val="none"/>
              </w:rPr>
              <w:t>15</w:t>
            </w:r>
            <w:r>
              <w:rPr>
                <w:color w:val="auto"/>
                <w:highlight w:val="none"/>
              </w:rPr>
              <w:t>分；</w:t>
            </w:r>
          </w:p>
          <w:p>
            <w:pPr>
              <w:rPr>
                <w:color w:val="auto"/>
                <w:highlight w:val="none"/>
              </w:rPr>
            </w:pPr>
            <w:r>
              <w:rPr>
                <w:rFonts w:hint="eastAsia"/>
                <w:color w:val="auto"/>
                <w:szCs w:val="21"/>
                <w:highlight w:val="none"/>
              </w:rPr>
              <w:t>安全管理措施</w:t>
            </w:r>
            <w:r>
              <w:rPr>
                <w:color w:val="auto"/>
                <w:highlight w:val="none"/>
              </w:rPr>
              <w:t>基本科学合理、内容基本完整、详细、可行，完全满足采购需求，得</w:t>
            </w:r>
            <w:r>
              <w:rPr>
                <w:rFonts w:hint="eastAsia"/>
                <w:color w:val="auto"/>
                <w:highlight w:val="none"/>
              </w:rPr>
              <w:t>10</w:t>
            </w:r>
            <w:r>
              <w:rPr>
                <w:color w:val="auto"/>
                <w:highlight w:val="none"/>
              </w:rPr>
              <w:t>分；</w:t>
            </w:r>
          </w:p>
          <w:p>
            <w:pPr>
              <w:rPr>
                <w:color w:val="auto"/>
                <w:highlight w:val="none"/>
              </w:rPr>
            </w:pPr>
            <w:r>
              <w:rPr>
                <w:rFonts w:hint="eastAsia"/>
                <w:color w:val="auto"/>
                <w:szCs w:val="21"/>
                <w:highlight w:val="none"/>
              </w:rPr>
              <w:t>安全管理措施</w:t>
            </w:r>
            <w:r>
              <w:rPr>
                <w:color w:val="auto"/>
                <w:highlight w:val="none"/>
              </w:rPr>
              <w:t>不够全面、合理，可行性一般，部分满足采购需求，得</w:t>
            </w:r>
            <w:r>
              <w:rPr>
                <w:rFonts w:hint="eastAsia"/>
                <w:color w:val="auto"/>
                <w:highlight w:val="none"/>
              </w:rPr>
              <w:t>5</w:t>
            </w:r>
            <w:r>
              <w:rPr>
                <w:color w:val="auto"/>
                <w:highlight w:val="none"/>
              </w:rPr>
              <w:t>分；</w:t>
            </w:r>
          </w:p>
          <w:p>
            <w:pPr>
              <w:rPr>
                <w:color w:val="auto"/>
                <w:szCs w:val="21"/>
                <w:highlight w:val="none"/>
              </w:rPr>
            </w:pPr>
            <w:r>
              <w:rPr>
                <w:color w:val="auto"/>
                <w:highlight w:val="none"/>
              </w:rPr>
              <w:t>其他或无响应的，得0分。</w:t>
            </w:r>
          </w:p>
        </w:tc>
        <w:tc>
          <w:tcPr>
            <w:tcW w:w="439" w:type="pct"/>
            <w:vAlign w:val="center"/>
          </w:tcPr>
          <w:p>
            <w:pPr>
              <w:jc w:val="center"/>
              <w:rPr>
                <w:rFonts w:cs="宋体" w:asciiTheme="minorEastAsia" w:hAnsiTheme="minorEastAsia" w:eastAsiaTheme="minorEastAsia"/>
                <w:color w:val="auto"/>
                <w:sz w:val="22"/>
                <w:highlight w:val="none"/>
              </w:rPr>
            </w:pPr>
            <w:r>
              <w:rPr>
                <w:rFonts w:cs="宋体" w:asciiTheme="minorEastAsia" w:hAnsiTheme="minorEastAsia" w:eastAsiaTheme="minorEastAsia"/>
                <w:color w:val="auto"/>
                <w:sz w:val="22"/>
                <w:highlight w:val="none"/>
              </w:rPr>
              <w:t>1</w:t>
            </w:r>
            <w:r>
              <w:rPr>
                <w:rFonts w:hint="eastAsia" w:cs="宋体" w:asciiTheme="minorEastAsia" w:hAnsiTheme="minorEastAsia" w:eastAsiaTheme="minorEastAsia"/>
                <w:color w:val="auto"/>
                <w:sz w:val="22"/>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44" w:type="pct"/>
            <w:vAlign w:val="center"/>
          </w:tcPr>
          <w:p>
            <w:pPr>
              <w:jc w:val="center"/>
              <w:rPr>
                <w:rFonts w:cs="Calibri" w:asciiTheme="minorEastAsia" w:hAnsiTheme="minorEastAsia" w:eastAsiaTheme="minorEastAsia"/>
                <w:color w:val="auto"/>
                <w:sz w:val="22"/>
                <w:highlight w:val="none"/>
              </w:rPr>
            </w:pPr>
            <w:r>
              <w:rPr>
                <w:rFonts w:cs="Calibri" w:asciiTheme="minorEastAsia" w:hAnsiTheme="minorEastAsia" w:eastAsiaTheme="minorEastAsia"/>
                <w:color w:val="auto"/>
                <w:sz w:val="22"/>
                <w:highlight w:val="none"/>
              </w:rPr>
              <w:t>4</w:t>
            </w:r>
          </w:p>
        </w:tc>
        <w:tc>
          <w:tcPr>
            <w:tcW w:w="767" w:type="pct"/>
            <w:tcBorders>
              <w:bottom w:val="single" w:color="auto" w:sz="4" w:space="0"/>
            </w:tcBorders>
            <w:vAlign w:val="center"/>
          </w:tcPr>
          <w:p>
            <w:pPr>
              <w:rPr>
                <w:color w:val="auto"/>
                <w:szCs w:val="21"/>
                <w:highlight w:val="none"/>
              </w:rPr>
            </w:pPr>
            <w:r>
              <w:rPr>
                <w:rFonts w:hint="eastAsia"/>
                <w:color w:val="auto"/>
                <w:szCs w:val="21"/>
                <w:highlight w:val="none"/>
              </w:rPr>
              <w:t>售后服务</w:t>
            </w:r>
          </w:p>
        </w:tc>
        <w:tc>
          <w:tcPr>
            <w:tcW w:w="3350" w:type="pct"/>
            <w:tcBorders>
              <w:bottom w:val="single" w:color="auto" w:sz="4" w:space="0"/>
            </w:tcBorders>
            <w:vAlign w:val="center"/>
          </w:tcPr>
          <w:p>
            <w:pPr>
              <w:rPr>
                <w:color w:val="auto"/>
                <w:highlight w:val="none"/>
              </w:rPr>
            </w:pPr>
            <w:r>
              <w:rPr>
                <w:color w:val="auto"/>
                <w:highlight w:val="none"/>
              </w:rPr>
              <w:t>根据投标人提供售后安检服务方案评分，内容包括：</w:t>
            </w:r>
            <w:r>
              <w:rPr>
                <w:rFonts w:hint="eastAsia"/>
                <w:color w:val="auto"/>
                <w:szCs w:val="21"/>
                <w:highlight w:val="none"/>
              </w:rPr>
              <w:t>产品质量、质量检验周期等</w:t>
            </w:r>
            <w:r>
              <w:rPr>
                <w:color w:val="auto"/>
                <w:highlight w:val="none"/>
              </w:rPr>
              <w:t>。</w:t>
            </w:r>
          </w:p>
          <w:p>
            <w:pPr>
              <w:rPr>
                <w:color w:val="auto"/>
                <w:highlight w:val="none"/>
              </w:rPr>
            </w:pPr>
            <w:r>
              <w:rPr>
                <w:color w:val="auto"/>
                <w:highlight w:val="none"/>
              </w:rPr>
              <w:t>售后安检服务方案科学合理、内容完整、详细、切实可行，优于采购需求，得</w:t>
            </w:r>
            <w:r>
              <w:rPr>
                <w:rFonts w:hint="eastAsia"/>
                <w:color w:val="auto"/>
                <w:highlight w:val="none"/>
              </w:rPr>
              <w:t>1</w:t>
            </w:r>
            <w:r>
              <w:rPr>
                <w:rFonts w:hint="eastAsia"/>
                <w:color w:val="auto"/>
                <w:highlight w:val="none"/>
                <w:lang w:val="en-US" w:eastAsia="zh-CN"/>
              </w:rPr>
              <w:t>0</w:t>
            </w:r>
            <w:r>
              <w:rPr>
                <w:color w:val="auto"/>
                <w:highlight w:val="none"/>
              </w:rPr>
              <w:t xml:space="preserve">分； </w:t>
            </w:r>
          </w:p>
          <w:p>
            <w:pPr>
              <w:rPr>
                <w:color w:val="auto"/>
                <w:highlight w:val="none"/>
              </w:rPr>
            </w:pPr>
            <w:r>
              <w:rPr>
                <w:color w:val="auto"/>
                <w:highlight w:val="none"/>
              </w:rPr>
              <w:t>方案基本科学合理、内容基本完整、详细、可行，完全满足采购需求，得</w:t>
            </w:r>
            <w:r>
              <w:rPr>
                <w:rFonts w:hint="eastAsia"/>
                <w:color w:val="auto"/>
                <w:highlight w:val="none"/>
                <w:lang w:val="en-US" w:eastAsia="zh-CN"/>
              </w:rPr>
              <w:t>8</w:t>
            </w:r>
            <w:r>
              <w:rPr>
                <w:color w:val="auto"/>
                <w:highlight w:val="none"/>
              </w:rPr>
              <w:t>分；</w:t>
            </w:r>
          </w:p>
          <w:p>
            <w:pPr>
              <w:rPr>
                <w:color w:val="auto"/>
                <w:highlight w:val="none"/>
              </w:rPr>
            </w:pPr>
            <w:r>
              <w:rPr>
                <w:color w:val="auto"/>
                <w:highlight w:val="none"/>
              </w:rPr>
              <w:t>方案不够全面、合理，可行性一般，部分满足采购需求，得5分；</w:t>
            </w:r>
          </w:p>
          <w:p>
            <w:pPr>
              <w:rPr>
                <w:color w:val="auto"/>
                <w:szCs w:val="21"/>
                <w:highlight w:val="none"/>
              </w:rPr>
            </w:pPr>
            <w:r>
              <w:rPr>
                <w:color w:val="auto"/>
                <w:highlight w:val="none"/>
              </w:rPr>
              <w:t xml:space="preserve"> 其他或无响应的，得0分。</w:t>
            </w:r>
          </w:p>
        </w:tc>
        <w:tc>
          <w:tcPr>
            <w:tcW w:w="439" w:type="pct"/>
            <w:vAlign w:val="center"/>
          </w:tcPr>
          <w:p>
            <w:pPr>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1</w:t>
            </w:r>
            <w:r>
              <w:rPr>
                <w:rFonts w:hint="eastAsia" w:cs="宋体" w:asciiTheme="minorEastAsia" w:hAnsiTheme="minorEastAsia" w:eastAsiaTheme="minorEastAsia"/>
                <w:color w:val="auto"/>
                <w:sz w:val="22"/>
                <w:highlight w:val="none"/>
                <w:lang w:val="en-US" w:eastAsia="zh-CN"/>
              </w:rPr>
              <w:t>0</w:t>
            </w:r>
            <w:r>
              <w:rPr>
                <w:rFonts w:hint="eastAsia" w:cs="宋体" w:asciiTheme="minorEastAsia" w:hAnsiTheme="minorEastAsia" w:eastAsiaTheme="minorEastAsia"/>
                <w:color w:val="auto"/>
                <w:sz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561" w:type="pct"/>
            <w:gridSpan w:val="3"/>
            <w:vAlign w:val="center"/>
          </w:tcPr>
          <w:p>
            <w:pPr>
              <w:jc w:val="center"/>
              <w:rPr>
                <w:rFonts w:cs="Calibri" w:asciiTheme="minorEastAsia" w:hAnsiTheme="minorEastAsia" w:eastAsiaTheme="minorEastAsia"/>
                <w:b/>
                <w:color w:val="auto"/>
                <w:sz w:val="22"/>
                <w:highlight w:val="none"/>
              </w:rPr>
            </w:pPr>
            <w:r>
              <w:rPr>
                <w:rFonts w:cs="Calibri" w:asciiTheme="minorEastAsia" w:hAnsiTheme="minorEastAsia" w:eastAsiaTheme="minorEastAsia"/>
                <w:b/>
                <w:color w:val="auto"/>
                <w:sz w:val="22"/>
                <w:highlight w:val="none"/>
              </w:rPr>
              <w:t>合计</w:t>
            </w:r>
          </w:p>
        </w:tc>
        <w:tc>
          <w:tcPr>
            <w:tcW w:w="439" w:type="pct"/>
            <w:vAlign w:val="center"/>
          </w:tcPr>
          <w:p>
            <w:pPr>
              <w:jc w:val="center"/>
              <w:rPr>
                <w:rFonts w:cs="Calibri" w:asciiTheme="minorEastAsia" w:hAnsiTheme="minorEastAsia" w:eastAsiaTheme="minorEastAsia"/>
                <w:b/>
                <w:color w:val="auto"/>
                <w:sz w:val="22"/>
                <w:highlight w:val="none"/>
              </w:rPr>
            </w:pPr>
            <w:r>
              <w:rPr>
                <w:rFonts w:hint="eastAsia" w:cs="Calibri" w:asciiTheme="minorEastAsia" w:hAnsiTheme="minorEastAsia" w:eastAsiaTheme="minorEastAsia"/>
                <w:b/>
                <w:color w:val="auto"/>
                <w:sz w:val="22"/>
                <w:highlight w:val="none"/>
                <w:lang w:val="en-US" w:eastAsia="zh-CN"/>
              </w:rPr>
              <w:t>55</w:t>
            </w:r>
            <w:r>
              <w:rPr>
                <w:rFonts w:cs="Calibri" w:asciiTheme="minorEastAsia" w:hAnsiTheme="minorEastAsia" w:eastAsiaTheme="minorEastAsia"/>
                <w:b/>
                <w:color w:val="auto"/>
                <w:sz w:val="22"/>
                <w:highlight w:val="none"/>
              </w:rPr>
              <w:t>分</w:t>
            </w:r>
          </w:p>
        </w:tc>
      </w:tr>
    </w:tbl>
    <w:p>
      <w:pPr>
        <w:ind w:firstLine="220" w:firstLineChars="100"/>
        <w:rPr>
          <w:rFonts w:ascii="宋体" w:hAnsi="宋体" w:cs="宋体"/>
          <w:color w:val="auto"/>
          <w:sz w:val="22"/>
          <w:highlight w:val="none"/>
        </w:rPr>
      </w:pPr>
      <w:r>
        <w:rPr>
          <w:rFonts w:hint="eastAsia" w:ascii="宋体" w:hAnsi="宋体" w:cs="宋体"/>
          <w:color w:val="auto"/>
          <w:sz w:val="22"/>
          <w:highlight w:val="none"/>
        </w:rPr>
        <w:t>备注：（1）招标文件要求提交的与评价指标体系相关的各类有效资料，投标人如未按要求提交的，该项评分为零分。</w:t>
      </w:r>
    </w:p>
    <w:p>
      <w:pPr>
        <w:ind w:firstLine="440" w:firstLineChars="200"/>
        <w:rPr>
          <w:color w:val="auto"/>
          <w:highlight w:val="none"/>
        </w:rPr>
      </w:pPr>
      <w:r>
        <w:rPr>
          <w:rFonts w:hint="eastAsia" w:ascii="宋体" w:hAnsi="宋体" w:cs="宋体"/>
          <w:color w:val="auto"/>
          <w:sz w:val="22"/>
          <w:highlight w:val="none"/>
        </w:rPr>
        <w:t>（2）技术得分为评委评分分值的算术平均值（四舍五入后，小数点后保留两位有效数）。</w:t>
      </w:r>
    </w:p>
    <w:p>
      <w:pPr>
        <w:ind w:firstLine="420" w:firstLineChars="200"/>
        <w:rPr>
          <w:color w:val="auto"/>
          <w:highlight w:val="none"/>
        </w:rPr>
      </w:pPr>
      <w:r>
        <w:rPr>
          <w:rFonts w:hint="eastAsia"/>
          <w:color w:val="auto"/>
          <w:highlight w:val="none"/>
        </w:rPr>
        <w:br w:type="page"/>
      </w:r>
    </w:p>
    <w:p>
      <w:pPr>
        <w:pStyle w:val="3"/>
        <w:spacing w:before="0" w:after="0" w:line="240" w:lineRule="auto"/>
        <w:rPr>
          <w:color w:val="auto"/>
          <w:sz w:val="28"/>
          <w:szCs w:val="28"/>
          <w:highlight w:val="none"/>
        </w:rPr>
      </w:pPr>
      <w:bookmarkStart w:id="5" w:name="_Toc216704942"/>
      <w:r>
        <w:rPr>
          <w:rFonts w:hint="eastAsia"/>
          <w:color w:val="auto"/>
          <w:sz w:val="28"/>
          <w:szCs w:val="28"/>
          <w:highlight w:val="none"/>
        </w:rPr>
        <w:t>第三部分 用户需求书</w:t>
      </w:r>
      <w:bookmarkEnd w:id="5"/>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697"/>
        <w:gridCol w:w="62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条款名称</w:t>
            </w:r>
          </w:p>
        </w:tc>
        <w:tc>
          <w:tcPr>
            <w:tcW w:w="6270"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  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1"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合格投标人</w:t>
            </w:r>
          </w:p>
        </w:tc>
        <w:tc>
          <w:tcPr>
            <w:tcW w:w="6270" w:type="dxa"/>
            <w:vAlign w:val="center"/>
          </w:tcPr>
          <w:p>
            <w:pPr>
              <w:pStyle w:val="44"/>
              <w:keepNext w:val="0"/>
              <w:keepLines w:val="0"/>
              <w:pageBreakBefore w:val="0"/>
              <w:widowControl/>
              <w:kinsoku/>
              <w:wordWrap/>
              <w:overflowPunct/>
              <w:topLinePunct w:val="0"/>
              <w:autoSpaceDE/>
              <w:autoSpaceDN/>
              <w:bidi w:val="0"/>
              <w:adjustRightInd w:val="0"/>
              <w:snapToGrid w:val="0"/>
              <w:ind w:firstLine="0" w:firstLineChars="0"/>
              <w:textAlignment w:val="auto"/>
              <w:rPr>
                <w:rFonts w:hint="eastAsia" w:ascii="宋体" w:hAnsi="宋体" w:eastAsia="宋体" w:cs="宋体"/>
                <w:bCs/>
                <w:color w:val="auto"/>
                <w:kern w:val="44"/>
                <w:szCs w:val="21"/>
                <w:highlight w:val="none"/>
              </w:rPr>
            </w:pPr>
            <w:r>
              <w:rPr>
                <w:rFonts w:hint="eastAsia" w:ascii="宋体" w:hAnsi="宋体" w:eastAsia="宋体" w:cs="宋体"/>
                <w:color w:val="auto"/>
                <w:szCs w:val="21"/>
                <w:highlight w:val="none"/>
              </w:rPr>
              <w:t xml:space="preserve">详见“第一部分 </w:t>
            </w:r>
            <w:r>
              <w:rPr>
                <w:rFonts w:hint="eastAsia" w:ascii="宋体" w:hAnsi="宋体" w:eastAsia="宋体" w:cs="宋体"/>
                <w:color w:val="auto"/>
                <w:szCs w:val="21"/>
                <w:highlight w:val="none"/>
                <w:lang w:val="en-US" w:eastAsia="zh-CN"/>
              </w:rPr>
              <w:t>投标须知</w:t>
            </w:r>
            <w:r>
              <w:rPr>
                <w:rFonts w:hint="eastAsia" w:ascii="宋体" w:hAnsi="宋体" w:eastAsia="宋体" w:cs="宋体"/>
                <w:color w:val="auto"/>
                <w:szCs w:val="21"/>
                <w:highlight w:val="none"/>
              </w:rPr>
              <w:t>”中“二、投标人资格要求”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2"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w:t>
            </w:r>
            <w:r>
              <w:rPr>
                <w:rFonts w:hint="eastAsia" w:ascii="宋体" w:hAnsi="宋体" w:eastAsia="宋体" w:cs="宋体"/>
                <w:color w:val="auto"/>
                <w:szCs w:val="21"/>
                <w:highlight w:val="none"/>
              </w:rPr>
              <w:t>服务期</w:t>
            </w:r>
          </w:p>
        </w:tc>
        <w:tc>
          <w:tcPr>
            <w:tcW w:w="6270" w:type="dxa"/>
            <w:vAlign w:val="center"/>
          </w:tcPr>
          <w:p>
            <w:pPr>
              <w:pStyle w:val="41"/>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合同有效期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3"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cs="宋体"/>
                <w:bCs/>
                <w:color w:val="auto"/>
                <w:szCs w:val="21"/>
                <w:highlight w:val="none"/>
                <w:lang w:val="en-US" w:eastAsia="zh-CN"/>
              </w:rPr>
            </w:pPr>
            <w:r>
              <w:rPr>
                <w:rFonts w:hint="eastAsia" w:ascii="宋体" w:hAnsi="宋体" w:eastAsia="宋体" w:cs="宋体"/>
                <w:color w:val="auto"/>
                <w:szCs w:val="21"/>
                <w:highlight w:val="none"/>
              </w:rPr>
              <w:t>项目地点</w:t>
            </w:r>
          </w:p>
        </w:tc>
        <w:tc>
          <w:tcPr>
            <w:tcW w:w="627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大岭山加气站：东莞市大岭山镇莞长路大岭山路段549号；</w:t>
            </w:r>
          </w:p>
          <w:p>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hint="eastAsia"/>
                <w:color w:val="auto"/>
                <w:highlight w:val="none"/>
                <w:lang w:val="en-US" w:eastAsia="zh-CN"/>
              </w:rPr>
            </w:pPr>
            <w:r>
              <w:rPr>
                <w:rFonts w:hint="eastAsia" w:ascii="宋体" w:hAnsi="宋体" w:cs="宋体"/>
                <w:color w:val="auto"/>
                <w:szCs w:val="21"/>
                <w:highlight w:val="none"/>
                <w:lang w:val="en-US" w:eastAsia="zh-CN"/>
              </w:rPr>
              <w:t>厚街加气站：东莞市厚街镇博览大道与宝塔路交汇处。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3"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cs="宋体"/>
                <w:bCs/>
                <w:color w:val="auto"/>
                <w:szCs w:val="21"/>
                <w:highlight w:val="none"/>
                <w:lang w:val="en-US" w:eastAsia="zh-CN"/>
              </w:rPr>
            </w:pPr>
            <w:r>
              <w:rPr>
                <w:rFonts w:hint="eastAsia" w:ascii="宋体" w:hAnsi="宋体" w:cs="宋体"/>
                <w:bCs/>
                <w:color w:val="auto"/>
                <w:szCs w:val="21"/>
                <w:highlight w:val="none"/>
                <w:lang w:val="en-US" w:eastAsia="zh-CN"/>
              </w:rPr>
              <w:t>服务内容</w:t>
            </w:r>
          </w:p>
        </w:tc>
        <w:tc>
          <w:tcPr>
            <w:tcW w:w="6270" w:type="dxa"/>
            <w:vAlign w:val="center"/>
          </w:tcPr>
          <w:p>
            <w:pPr>
              <w:pStyle w:val="41"/>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firstLine="0" w:firstLineChars="0"/>
              <w:textAlignment w:val="auto"/>
              <w:rPr>
                <w:rFonts w:hint="default" w:eastAsia="宋体"/>
                <w:color w:val="auto"/>
                <w:highlight w:val="none"/>
                <w:lang w:val="en-US" w:eastAsia="zh-CN"/>
              </w:rPr>
            </w:pPr>
            <w:r>
              <w:rPr>
                <w:rFonts w:hint="eastAsia" w:ascii="宋体" w:hAnsi="宋体" w:eastAsia="宋体" w:cs="宋体"/>
                <w:color w:val="auto"/>
                <w:sz w:val="21"/>
                <w:szCs w:val="21"/>
                <w:highlight w:val="none"/>
              </w:rPr>
              <w:t>新锋交通公司自有加气站(大岭山站、厚街博览站)2026年</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月202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月约</w:t>
            </w:r>
            <w:r>
              <w:rPr>
                <w:rFonts w:hint="eastAsia" w:ascii="宋体" w:hAnsi="宋体" w:eastAsia="宋体" w:cs="宋体"/>
                <w:color w:val="auto"/>
                <w:sz w:val="21"/>
                <w:szCs w:val="21"/>
                <w:highlight w:val="none"/>
                <w:lang w:val="en-US" w:eastAsia="zh-CN"/>
              </w:rPr>
              <w:t>5.5万</w:t>
            </w:r>
            <w:r>
              <w:rPr>
                <w:rFonts w:hint="eastAsia" w:ascii="宋体" w:hAnsi="宋体" w:eastAsia="宋体" w:cs="宋体"/>
                <w:color w:val="auto"/>
                <w:sz w:val="21"/>
                <w:szCs w:val="21"/>
                <w:highlight w:val="none"/>
              </w:rPr>
              <w:t>吨液化天然气(L</w:t>
            </w:r>
            <w:r>
              <w:rPr>
                <w:rFonts w:hint="eastAsia" w:ascii="宋体" w:hAnsi="宋体" w:eastAsia="宋体" w:cs="宋体"/>
                <w:color w:val="auto"/>
                <w:sz w:val="21"/>
                <w:szCs w:val="21"/>
                <w:highlight w:val="none"/>
                <w:lang w:val="en-US" w:eastAsia="zh-CN"/>
              </w:rPr>
              <w:t>N</w:t>
            </w:r>
            <w:r>
              <w:rPr>
                <w:rFonts w:hint="eastAsia" w:ascii="宋体" w:hAnsi="宋体" w:eastAsia="宋体" w:cs="宋体"/>
                <w:color w:val="auto"/>
                <w:sz w:val="21"/>
                <w:szCs w:val="21"/>
                <w:highlight w:val="none"/>
              </w:rPr>
              <w:t>G)采购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每日按需求配送到指定站点。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7"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入围后供应商的确定</w:t>
            </w:r>
          </w:p>
        </w:tc>
        <w:tc>
          <w:tcPr>
            <w:tcW w:w="6270"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1.本次招标最终确定6家合格供应商纳入采购方《LNG供应商名单》，服务期内采购方仅从该名单中选择供应方；</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2.采购方每日向《供应商名单》中不少于3家供应商进行询价，以当日有效报价中的最低价确定当次供应方；</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3.若多家供应商报价一致，优先选择当月累计供货量较多的供应商；若累计供货量相同，则优先选择售后服务评价等级更高的供应商；</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4.若当日有效报价不足3家，仍以最低报价供应商作为当次供应方，无需重新询价；</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5.若中选供应商无法按计划配送，采购方可选择次低价供应商保障供应。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合同条款</w:t>
            </w:r>
          </w:p>
        </w:tc>
        <w:tc>
          <w:tcPr>
            <w:tcW w:w="627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投标人实质响应合同各条款。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采购方职责</w:t>
            </w:r>
          </w:p>
        </w:tc>
        <w:tc>
          <w:tcPr>
            <w:tcW w:w="6270"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eastAsia="zh-CN"/>
              </w:rPr>
              <w:t>每日完成次日采购价格询价，根据加气站实际需求，向供应方提交次日LNG采购及配送需求计划，明确需求数量、到站时间等核心信息；</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eastAsia="zh-CN"/>
              </w:rPr>
              <w:t>按本条款第4条约定及时办理付款手续；</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3.若发现产品质量、配送异常等问题，或需售后服务支持，应在24小时内将具体情况书面反馈至供应方。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供应方职责</w:t>
            </w:r>
          </w:p>
        </w:tc>
        <w:tc>
          <w:tcPr>
            <w:tcW w:w="6270"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按合同约定的质量标准、交货周期供应LNG，随货附带对应货源装车站的气质报告、产品合格证；</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2.收到采购方次日用气需求计划后，于当日16:00前完成配送安排，确定配送车辆、驾驶员信息，并将车辆牌号、驾驶员姓名及联系方式以书面或指定通讯方式告知采购方；</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3.保障配送车辆符合危险化学品运输资质要求，驾驶员具备相应从业资格。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售后服务要求</w:t>
            </w:r>
          </w:p>
        </w:tc>
        <w:tc>
          <w:tcPr>
            <w:tcW w:w="6270"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default" w:eastAsia="宋体"/>
                <w:color w:val="auto"/>
                <w:highlight w:val="none"/>
                <w:lang w:val="en-US" w:eastAsia="zh-CN"/>
              </w:rPr>
            </w:pPr>
            <w:r>
              <w:rPr>
                <w:rFonts w:hint="eastAsia"/>
                <w:color w:val="auto"/>
                <w:highlight w:val="none"/>
                <w:lang w:val="en-US" w:eastAsia="zh-CN"/>
              </w:rPr>
              <w:t>1.</w:t>
            </w:r>
            <w:r>
              <w:rPr>
                <w:rFonts w:hint="default" w:eastAsia="宋体"/>
                <w:color w:val="auto"/>
                <w:highlight w:val="none"/>
                <w:lang w:val="en-US" w:eastAsia="zh-CN"/>
              </w:rPr>
              <w:t>质量文件提供：每月向采购方提供至少1次对应货源装车站的气质报告（若装货站点调整，需在首次配送新站点货源时同步提供新报告）；</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default" w:eastAsia="宋体"/>
                <w:color w:val="auto"/>
                <w:highlight w:val="none"/>
                <w:lang w:val="en-US" w:eastAsia="zh-CN"/>
              </w:rPr>
            </w:pPr>
            <w:r>
              <w:rPr>
                <w:rFonts w:hint="default" w:eastAsia="宋体"/>
                <w:color w:val="auto"/>
                <w:highlight w:val="none"/>
                <w:lang w:val="en-US" w:eastAsia="zh-CN"/>
              </w:rPr>
              <w:t>2.配送时效保障：按采购方需求按时配送到站，实际到站时间与计划时间的偏差不得超过2小时（因不可抗力导致的晚点除外）；</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default" w:eastAsia="宋体"/>
                <w:color w:val="auto"/>
                <w:highlight w:val="none"/>
                <w:lang w:val="en-US" w:eastAsia="zh-CN"/>
              </w:rPr>
            </w:pPr>
            <w:r>
              <w:rPr>
                <w:rFonts w:hint="default" w:eastAsia="宋体"/>
                <w:color w:val="auto"/>
                <w:highlight w:val="none"/>
                <w:lang w:val="en-US" w:eastAsia="zh-CN"/>
              </w:rPr>
              <w:t>3.价格约束：销售价格不得高于广东省内任一LNG码头同期挂牌价；</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default" w:eastAsia="宋体"/>
                <w:color w:val="auto"/>
                <w:highlight w:val="none"/>
                <w:lang w:val="en-US" w:eastAsia="zh-CN"/>
              </w:rPr>
            </w:pPr>
            <w:r>
              <w:rPr>
                <w:rFonts w:hint="default" w:eastAsia="宋体"/>
                <w:color w:val="auto"/>
                <w:highlight w:val="none"/>
                <w:lang w:val="en-US" w:eastAsia="zh-CN"/>
              </w:rPr>
              <w:t>4.保供责任：当LNG市场资源紧张、供应方自有资源无法满足采购方需求时，应利用渠道优势尽合理努力筹措资源，且不得额外收取合同约定外的费用；筹措资源的价格、数量、交付计划等信息需提前告知采购方，采购方有权自主决定是否采购；</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default" w:eastAsia="宋体"/>
                <w:color w:val="auto"/>
                <w:highlight w:val="none"/>
                <w:lang w:val="en-US" w:eastAsia="zh-CN"/>
              </w:rPr>
            </w:pPr>
            <w:r>
              <w:rPr>
                <w:rFonts w:hint="default" w:eastAsia="宋体"/>
                <w:color w:val="auto"/>
                <w:highlight w:val="none"/>
                <w:lang w:val="en-US" w:eastAsia="zh-CN"/>
              </w:rPr>
              <w:t>5.发票开具：在双方完成对账单确认后3个工作日内（自然月最后一日前），向采购方开具符合税务要求的增值税发票。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atLeast"/>
        </w:trPr>
        <w:tc>
          <w:tcPr>
            <w:tcW w:w="718"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9</w:t>
            </w:r>
          </w:p>
        </w:tc>
        <w:tc>
          <w:tcPr>
            <w:tcW w:w="169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cs="宋体"/>
                <w:bCs/>
                <w:color w:val="auto"/>
                <w:szCs w:val="21"/>
                <w:highlight w:val="none"/>
                <w:lang w:val="en-US" w:eastAsia="zh-CN"/>
              </w:rPr>
              <w:t>付款方法和条件</w:t>
            </w:r>
          </w:p>
        </w:tc>
        <w:tc>
          <w:tcPr>
            <w:tcW w:w="6270"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default"/>
                <w:color w:val="auto"/>
                <w:highlight w:val="none"/>
                <w:lang w:val="en-US" w:eastAsia="zh-CN"/>
              </w:rPr>
            </w:pPr>
            <w:r>
              <w:rPr>
                <w:rFonts w:hint="eastAsia"/>
                <w:color w:val="auto"/>
                <w:highlight w:val="none"/>
                <w:lang w:val="en-US" w:eastAsia="zh-CN"/>
              </w:rPr>
              <w:t>1.采购方提交次日用气计划后，应于每周三将上一周的气费足额汇入供应方指定银行账户，汇款完成后将银行回执单以邮寄或电子邮件方式传送至供应方；供应方确认收款后，按计划安排后续供气。若采购方未及时支付气费或发车前气费余额不足，供应方有权暂停或取消当次供气。</w:t>
            </w:r>
          </w:p>
          <w:p>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default"/>
                <w:color w:val="auto"/>
                <w:highlight w:val="none"/>
                <w:lang w:val="en-US" w:eastAsia="zh-CN"/>
              </w:rPr>
            </w:pPr>
            <w:r>
              <w:rPr>
                <w:rFonts w:hint="eastAsia"/>
                <w:color w:val="auto"/>
                <w:highlight w:val="none"/>
                <w:lang w:val="en-US" w:eastAsia="zh-CN"/>
              </w:rPr>
              <w:t>2</w:t>
            </w:r>
            <w:r>
              <w:rPr>
                <w:rFonts w:hint="default"/>
                <w:color w:val="auto"/>
                <w:highlight w:val="none"/>
                <w:lang w:val="en-US" w:eastAsia="zh-CN"/>
              </w:rPr>
              <w:t>.气费按周结算：每周一为结算日，结算周期为</w:t>
            </w:r>
            <w:r>
              <w:rPr>
                <w:rFonts w:hint="eastAsia"/>
                <w:color w:val="auto"/>
                <w:highlight w:val="none"/>
                <w:lang w:val="en-US" w:eastAsia="zh-CN"/>
              </w:rPr>
              <w:t>“</w:t>
            </w:r>
            <w:r>
              <w:rPr>
                <w:rFonts w:hint="default"/>
                <w:color w:val="auto"/>
                <w:highlight w:val="none"/>
                <w:lang w:val="en-US" w:eastAsia="zh-CN"/>
              </w:rPr>
              <w:t>上上周六至本周五</w:t>
            </w:r>
            <w:r>
              <w:rPr>
                <w:rFonts w:hint="eastAsia"/>
                <w:color w:val="auto"/>
                <w:highlight w:val="none"/>
                <w:lang w:val="en-US" w:eastAsia="zh-CN"/>
              </w:rPr>
              <w:t>”</w:t>
            </w:r>
            <w:r>
              <w:rPr>
                <w:rFonts w:hint="default"/>
                <w:color w:val="auto"/>
                <w:highlight w:val="none"/>
                <w:lang w:val="en-US" w:eastAsia="zh-CN"/>
              </w:rPr>
              <w:t>的气费（周六、周日气费计入下一结算周期）。</w:t>
            </w:r>
          </w:p>
          <w:p>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0" w:firstLineChars="0"/>
              <w:textAlignment w:val="auto"/>
              <w:rPr>
                <w:rFonts w:hint="default" w:ascii="Tahoma" w:hAnsi="Tahoma" w:eastAsia="宋体" w:cstheme="minorBidi"/>
                <w:color w:val="auto"/>
                <w:sz w:val="21"/>
                <w:szCs w:val="22"/>
                <w:highlight w:val="none"/>
                <w:lang w:val="en-US" w:eastAsia="zh-CN" w:bidi="ar-SA"/>
              </w:rPr>
            </w:pPr>
            <w:r>
              <w:rPr>
                <w:rFonts w:hint="eastAsia"/>
                <w:color w:val="auto"/>
                <w:highlight w:val="none"/>
                <w:lang w:val="en-US" w:eastAsia="zh-CN"/>
              </w:rPr>
              <w:t>3</w:t>
            </w:r>
            <w:r>
              <w:rPr>
                <w:rFonts w:hint="default"/>
                <w:color w:val="auto"/>
                <w:highlight w:val="none"/>
                <w:lang w:val="en-US" w:eastAsia="zh-CN"/>
              </w:rPr>
              <w:t>.结算日当日，供应方应向采购方出具盖章确认的对账单（交付气量以供应方指定装车站签认的过磅单为准，销售单价以双方确认函约定价格为准）；采购方需在收到对账单后2个工作日内完成盖章确认，并以邮寄或电子邮件方式反馈至供应方。若上游气源价格调整，供应方有权重新核定销售价格，需提前3个工作日书面通知采购方。</w:t>
            </w:r>
          </w:p>
        </w:tc>
      </w:tr>
    </w:tbl>
    <w:p>
      <w:pPr>
        <w:rPr>
          <w:color w:val="auto"/>
          <w:highlight w:val="none"/>
        </w:rPr>
      </w:pPr>
    </w:p>
    <w:p>
      <w:pPr>
        <w:adjustRightInd/>
        <w:snapToGrid/>
        <w:spacing w:line="240" w:lineRule="auto"/>
        <w:rPr>
          <w:color w:val="auto"/>
          <w:highlight w:val="none"/>
        </w:rPr>
      </w:pPr>
      <w:r>
        <w:rPr>
          <w:color w:val="auto"/>
          <w:highlight w:val="none"/>
        </w:rPr>
        <w:br w:type="page"/>
      </w:r>
    </w:p>
    <w:p>
      <w:pPr>
        <w:rPr>
          <w:color w:val="auto"/>
          <w:highlight w:val="none"/>
        </w:rPr>
      </w:pPr>
    </w:p>
    <w:p>
      <w:pPr>
        <w:pStyle w:val="3"/>
        <w:spacing w:before="0" w:after="0" w:line="240" w:lineRule="auto"/>
        <w:rPr>
          <w:color w:val="auto"/>
          <w:sz w:val="24"/>
          <w:szCs w:val="24"/>
          <w:highlight w:val="none"/>
        </w:rPr>
      </w:pPr>
      <w:bookmarkStart w:id="6" w:name="_Toc216704943"/>
      <w:r>
        <w:rPr>
          <w:rFonts w:hint="eastAsia"/>
          <w:color w:val="auto"/>
          <w:sz w:val="28"/>
          <w:szCs w:val="28"/>
          <w:highlight w:val="none"/>
        </w:rPr>
        <w:t>第四部分 投标人须知</w:t>
      </w:r>
      <w:bookmarkEnd w:id="6"/>
    </w:p>
    <w:p>
      <w:pPr>
        <w:pStyle w:val="4"/>
        <w:numPr>
          <w:ilvl w:val="0"/>
          <w:numId w:val="2"/>
        </w:numPr>
        <w:spacing w:before="0" w:after="0" w:line="480" w:lineRule="auto"/>
        <w:jc w:val="center"/>
        <w:rPr>
          <w:rFonts w:ascii="宋体" w:hAnsi="宋体"/>
          <w:color w:val="auto"/>
          <w:highlight w:val="none"/>
        </w:rPr>
      </w:pPr>
      <w:bookmarkStart w:id="7" w:name="_Toc216704944"/>
      <w:r>
        <w:rPr>
          <w:rFonts w:hint="eastAsia" w:ascii="宋体" w:hAnsi="宋体"/>
          <w:color w:val="auto"/>
          <w:highlight w:val="none"/>
        </w:rPr>
        <w:t>说明</w:t>
      </w:r>
      <w:bookmarkEnd w:id="7"/>
    </w:p>
    <w:p>
      <w:pPr>
        <w:pStyle w:val="5"/>
        <w:widowControl w:val="0"/>
        <w:numPr>
          <w:ilvl w:val="0"/>
          <w:numId w:val="3"/>
        </w:numPr>
        <w:overflowPunct w:val="0"/>
        <w:rPr>
          <w:rFonts w:ascii="宋体" w:hAnsi="宋体" w:cs="宋体"/>
          <w:color w:val="auto"/>
          <w:sz w:val="21"/>
          <w:szCs w:val="21"/>
          <w:highlight w:val="none"/>
        </w:rPr>
      </w:pPr>
      <w:bookmarkStart w:id="8" w:name="_Toc3534"/>
      <w:bookmarkStart w:id="9" w:name="_Toc216704945"/>
      <w:r>
        <w:rPr>
          <w:rFonts w:hint="eastAsia" w:ascii="宋体" w:hAnsi="宋体" w:cs="宋体"/>
          <w:color w:val="auto"/>
          <w:sz w:val="21"/>
          <w:szCs w:val="21"/>
          <w:highlight w:val="none"/>
        </w:rPr>
        <w:t>适用范围</w:t>
      </w:r>
      <w:bookmarkEnd w:id="8"/>
      <w:bookmarkEnd w:id="9"/>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10" w:name="_Toc303084246"/>
      <w:bookmarkStart w:id="11" w:name="_Toc382049092"/>
      <w:bookmarkStart w:id="12" w:name="_Toc216704946"/>
      <w:bookmarkStart w:id="13" w:name="_Toc298847174"/>
      <w:bookmarkStart w:id="14" w:name="_Toc20286"/>
      <w:bookmarkStart w:id="15" w:name="_Toc1530"/>
      <w:r>
        <w:rPr>
          <w:rFonts w:hint="eastAsia" w:ascii="宋体" w:hAnsi="宋体" w:cs="宋体"/>
          <w:color w:val="auto"/>
          <w:sz w:val="21"/>
          <w:szCs w:val="21"/>
          <w:highlight w:val="none"/>
        </w:rPr>
        <w:t>定义</w:t>
      </w:r>
      <w:bookmarkEnd w:id="10"/>
      <w:bookmarkEnd w:id="11"/>
      <w:bookmarkEnd w:id="12"/>
      <w:bookmarkEnd w:id="13"/>
      <w:bookmarkEnd w:id="14"/>
      <w:bookmarkEnd w:id="15"/>
    </w:p>
    <w:p>
      <w:pPr>
        <w:pStyle w:val="44"/>
        <w:widowControl w:val="0"/>
        <w:adjustRightInd/>
        <w:snapToGrid/>
        <w:ind w:left="425" w:hanging="425"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16" w:name="_Toc216704947"/>
      <w:bookmarkStart w:id="17" w:name="_Toc11624"/>
      <w:r>
        <w:rPr>
          <w:rFonts w:hint="eastAsia" w:ascii="宋体" w:hAnsi="宋体" w:cs="宋体"/>
          <w:color w:val="auto"/>
          <w:sz w:val="21"/>
          <w:szCs w:val="21"/>
          <w:highlight w:val="none"/>
        </w:rPr>
        <w:t>货物和服务</w:t>
      </w:r>
      <w:bookmarkEnd w:id="16"/>
      <w:bookmarkEnd w:id="17"/>
    </w:p>
    <w:p>
      <w:pPr>
        <w:widowControl w:val="0"/>
        <w:numPr>
          <w:ilvl w:val="0"/>
          <w:numId w:val="0"/>
        </w:numPr>
        <w:overflowPunct w:val="0"/>
        <w:ind w:firstLine="420" w:firstLineChars="200"/>
        <w:rPr>
          <w:rFonts w:hint="eastAsia" w:ascii="宋体" w:hAnsi="宋体" w:eastAsia="宋体" w:cs="宋体"/>
          <w:color w:val="auto"/>
          <w:highlight w:val="none"/>
        </w:rPr>
      </w:pPr>
      <w:r>
        <w:rPr>
          <w:rFonts w:hint="eastAsia" w:ascii="宋体" w:hAnsi="宋体" w:cs="宋体"/>
          <w:color w:val="auto"/>
          <w:szCs w:val="21"/>
          <w:highlight w:val="none"/>
          <w:lang w:val="en-US" w:eastAsia="zh-CN"/>
        </w:rPr>
        <w:t>本项目所采购</w:t>
      </w:r>
      <w:r>
        <w:rPr>
          <w:rFonts w:hint="eastAsia" w:ascii="宋体" w:hAnsi="宋体" w:eastAsia="宋体" w:cs="宋体"/>
          <w:color w:val="auto"/>
          <w:szCs w:val="21"/>
          <w:highlight w:val="none"/>
        </w:rPr>
        <w:t>天然气质量</w:t>
      </w:r>
      <w:r>
        <w:rPr>
          <w:rFonts w:hint="eastAsia" w:ascii="宋体" w:hAnsi="宋体" w:cs="宋体"/>
          <w:color w:val="auto"/>
          <w:szCs w:val="21"/>
          <w:highlight w:val="none"/>
          <w:lang w:val="en-US" w:eastAsia="zh-CN"/>
        </w:rPr>
        <w:t>应</w:t>
      </w:r>
      <w:r>
        <w:rPr>
          <w:rFonts w:hint="eastAsia" w:ascii="宋体" w:hAnsi="宋体" w:eastAsia="宋体" w:cs="宋体"/>
          <w:color w:val="auto"/>
          <w:szCs w:val="21"/>
          <w:highlight w:val="none"/>
        </w:rPr>
        <w:t>符合中华人民共和国国家标准《天然气》(GB 17820-2018)中所规定的二类天然气标准</w:t>
      </w:r>
      <w:r>
        <w:rPr>
          <w:rFonts w:hint="eastAsia" w:ascii="宋体" w:hAnsi="宋体" w:cs="宋体"/>
          <w:color w:val="auto"/>
          <w:szCs w:val="21"/>
          <w:highlight w:val="none"/>
          <w:lang w:eastAsia="zh-CN"/>
        </w:rPr>
        <w:t>。</w:t>
      </w:r>
    </w:p>
    <w:p>
      <w:pPr>
        <w:rPr>
          <w:color w:val="auto"/>
          <w:highlight w:val="none"/>
        </w:rPr>
      </w:pPr>
    </w:p>
    <w:p>
      <w:pPr>
        <w:pStyle w:val="44"/>
        <w:widowControl w:val="0"/>
        <w:adjustRightInd/>
        <w:snapToGrid/>
        <w:ind w:left="425" w:hanging="425" w:firstLineChars="0"/>
        <w:jc w:val="both"/>
        <w:rPr>
          <w:rFonts w:ascii="宋体" w:hAnsi="宋体" w:cs="宋体"/>
          <w:vanish/>
          <w:color w:val="auto"/>
          <w:szCs w:val="21"/>
          <w:highlight w:val="none"/>
        </w:rPr>
      </w:pPr>
    </w:p>
    <w:p>
      <w:pPr>
        <w:pStyle w:val="5"/>
        <w:widowControl w:val="0"/>
        <w:numPr>
          <w:ilvl w:val="0"/>
          <w:numId w:val="3"/>
        </w:numPr>
        <w:overflowPunct w:val="0"/>
        <w:rPr>
          <w:rFonts w:ascii="宋体" w:hAnsi="宋体" w:cs="宋体"/>
          <w:color w:val="auto"/>
          <w:sz w:val="21"/>
          <w:szCs w:val="21"/>
          <w:highlight w:val="none"/>
        </w:rPr>
      </w:pPr>
      <w:bookmarkStart w:id="18" w:name="_Toc216704948"/>
      <w:bookmarkStart w:id="19" w:name="_Toc15719"/>
      <w:r>
        <w:rPr>
          <w:rFonts w:hint="eastAsia" w:ascii="宋体" w:hAnsi="宋体" w:cs="宋体"/>
          <w:color w:val="auto"/>
          <w:sz w:val="21"/>
          <w:szCs w:val="21"/>
          <w:highlight w:val="none"/>
        </w:rPr>
        <w:t>投标费用</w:t>
      </w:r>
      <w:bookmarkEnd w:id="18"/>
      <w:bookmarkEnd w:id="19"/>
    </w:p>
    <w:p>
      <w:pPr>
        <w:pStyle w:val="44"/>
        <w:widowControl w:val="0"/>
        <w:adjustRightInd/>
        <w:snapToGrid/>
        <w:ind w:left="425" w:hanging="425"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pPr>
        <w:widowControl w:val="0"/>
        <w:adjustRightInd/>
        <w:snapToGrid/>
        <w:jc w:val="both"/>
        <w:rPr>
          <w:rFonts w:ascii="宋体" w:hAnsi="宋体" w:cs="宋体"/>
          <w:color w:val="auto"/>
          <w:szCs w:val="21"/>
          <w:highlight w:val="none"/>
        </w:rPr>
      </w:pPr>
    </w:p>
    <w:p>
      <w:pPr>
        <w:pStyle w:val="5"/>
        <w:widowControl w:val="0"/>
        <w:numPr>
          <w:ilvl w:val="0"/>
          <w:numId w:val="3"/>
        </w:numPr>
        <w:overflowPunct w:val="0"/>
        <w:rPr>
          <w:rFonts w:ascii="宋体" w:hAnsi="宋体" w:cs="宋体"/>
          <w:color w:val="auto"/>
          <w:sz w:val="21"/>
          <w:szCs w:val="21"/>
          <w:highlight w:val="none"/>
        </w:rPr>
      </w:pPr>
      <w:bookmarkStart w:id="20" w:name="_Toc6180"/>
      <w:bookmarkStart w:id="21" w:name="_Toc216704949"/>
      <w:r>
        <w:rPr>
          <w:rFonts w:hint="eastAsia" w:ascii="宋体" w:hAnsi="宋体" w:cs="宋体"/>
          <w:color w:val="auto"/>
          <w:sz w:val="21"/>
          <w:szCs w:val="21"/>
          <w:highlight w:val="none"/>
        </w:rPr>
        <w:t>知识产权</w:t>
      </w:r>
      <w:bookmarkEnd w:id="20"/>
      <w:bookmarkEnd w:id="21"/>
    </w:p>
    <w:p>
      <w:pPr>
        <w:pStyle w:val="44"/>
        <w:widowControl w:val="0"/>
        <w:adjustRightInd/>
        <w:snapToGrid/>
        <w:ind w:left="425" w:hanging="425"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pPr>
        <w:widowControl w:val="0"/>
        <w:adjustRightInd/>
        <w:snapToGrid/>
        <w:ind w:left="567"/>
        <w:jc w:val="both"/>
        <w:rPr>
          <w:rFonts w:ascii="宋体" w:hAnsi="宋体" w:cs="宋体"/>
          <w:color w:val="auto"/>
          <w:szCs w:val="21"/>
          <w:highlight w:val="none"/>
        </w:rPr>
      </w:pPr>
    </w:p>
    <w:p>
      <w:pPr>
        <w:pStyle w:val="5"/>
        <w:widowControl w:val="0"/>
        <w:numPr>
          <w:ilvl w:val="0"/>
          <w:numId w:val="3"/>
        </w:numPr>
        <w:overflowPunct w:val="0"/>
        <w:rPr>
          <w:rFonts w:ascii="宋体" w:hAnsi="宋体" w:cs="宋体"/>
          <w:color w:val="auto"/>
          <w:sz w:val="21"/>
          <w:szCs w:val="21"/>
          <w:highlight w:val="none"/>
        </w:rPr>
      </w:pPr>
      <w:bookmarkStart w:id="22" w:name="_Toc2352"/>
      <w:bookmarkStart w:id="23" w:name="_Toc216704950"/>
      <w:r>
        <w:rPr>
          <w:rFonts w:hint="eastAsia" w:ascii="宋体" w:hAnsi="宋体" w:cs="宋体"/>
          <w:color w:val="auto"/>
          <w:sz w:val="21"/>
          <w:szCs w:val="21"/>
          <w:highlight w:val="none"/>
        </w:rPr>
        <w:t>关于联合体投标</w:t>
      </w:r>
      <w:bookmarkEnd w:id="22"/>
      <w:bookmarkEnd w:id="23"/>
    </w:p>
    <w:p>
      <w:pPr>
        <w:pStyle w:val="44"/>
        <w:widowControl w:val="0"/>
        <w:adjustRightInd/>
        <w:snapToGrid/>
        <w:ind w:left="425" w:hanging="425"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pPr>
        <w:widowControl w:val="0"/>
        <w:adjustRightInd/>
        <w:snapToGrid/>
        <w:ind w:left="567"/>
        <w:jc w:val="both"/>
        <w:rPr>
          <w:rFonts w:ascii="宋体" w:hAnsi="宋体" w:cs="宋体"/>
          <w:color w:val="auto"/>
          <w:szCs w:val="21"/>
          <w:highlight w:val="none"/>
        </w:rPr>
      </w:pPr>
    </w:p>
    <w:p>
      <w:pPr>
        <w:pStyle w:val="5"/>
        <w:widowControl w:val="0"/>
        <w:numPr>
          <w:ilvl w:val="0"/>
          <w:numId w:val="3"/>
        </w:numPr>
        <w:overflowPunct w:val="0"/>
        <w:rPr>
          <w:rFonts w:ascii="宋体" w:hAnsi="宋体" w:cs="宋体"/>
          <w:color w:val="auto"/>
          <w:sz w:val="21"/>
          <w:szCs w:val="21"/>
          <w:highlight w:val="none"/>
        </w:rPr>
      </w:pPr>
      <w:bookmarkStart w:id="24" w:name="_Toc3572"/>
      <w:bookmarkStart w:id="25" w:name="_Toc216704951"/>
      <w:r>
        <w:rPr>
          <w:rFonts w:hint="eastAsia" w:ascii="宋体" w:hAnsi="宋体" w:cs="宋体"/>
          <w:color w:val="auto"/>
          <w:sz w:val="21"/>
          <w:szCs w:val="21"/>
          <w:highlight w:val="none"/>
        </w:rPr>
        <w:t>关于分支机构投标</w:t>
      </w:r>
      <w:bookmarkEnd w:id="24"/>
      <w:bookmarkEnd w:id="25"/>
    </w:p>
    <w:p>
      <w:pPr>
        <w:pStyle w:val="44"/>
        <w:widowControl w:val="0"/>
        <w:adjustRightInd/>
        <w:snapToGrid/>
        <w:ind w:left="425" w:hanging="425" w:firstLineChars="0"/>
        <w:jc w:val="both"/>
        <w:rPr>
          <w:rFonts w:ascii="宋体" w:hAnsi="宋体" w:cs="宋体"/>
          <w:vanish/>
          <w:color w:val="auto"/>
          <w:szCs w:val="21"/>
          <w:highlight w:val="none"/>
        </w:rPr>
      </w:pPr>
      <w:bookmarkStart w:id="26" w:name="EB389f116341dd4693875bc7987e7327f3"/>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6"/>
    </w:p>
    <w:p>
      <w:pPr>
        <w:widowControl w:val="0"/>
        <w:adjustRightInd/>
        <w:snapToGrid/>
        <w:ind w:left="567"/>
        <w:jc w:val="both"/>
        <w:rPr>
          <w:rFonts w:ascii="宋体" w:hAnsi="宋体" w:cs="宋体"/>
          <w:color w:val="auto"/>
          <w:szCs w:val="21"/>
          <w:highlight w:val="none"/>
        </w:rPr>
      </w:pPr>
    </w:p>
    <w:p>
      <w:pPr>
        <w:pStyle w:val="5"/>
        <w:widowControl w:val="0"/>
        <w:numPr>
          <w:ilvl w:val="0"/>
          <w:numId w:val="3"/>
        </w:numPr>
        <w:overflowPunct w:val="0"/>
        <w:rPr>
          <w:rFonts w:ascii="宋体" w:hAnsi="宋体" w:cs="宋体"/>
          <w:color w:val="auto"/>
          <w:sz w:val="21"/>
          <w:szCs w:val="21"/>
          <w:highlight w:val="none"/>
        </w:rPr>
      </w:pPr>
      <w:bookmarkStart w:id="27" w:name="_Toc216704952"/>
      <w:r>
        <w:rPr>
          <w:rFonts w:hint="eastAsia" w:ascii="宋体" w:hAnsi="宋体" w:cs="宋体"/>
          <w:color w:val="auto"/>
          <w:sz w:val="21"/>
          <w:szCs w:val="21"/>
          <w:highlight w:val="none"/>
        </w:rPr>
        <w:t>踏勘现场</w:t>
      </w:r>
      <w:bookmarkEnd w:id="27"/>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pPr>
        <w:rPr>
          <w:rFonts w:ascii="宋体" w:hAnsi="宋体" w:cs="宋体"/>
          <w:color w:val="auto"/>
          <w:highlight w:val="none"/>
        </w:rPr>
      </w:pPr>
    </w:p>
    <w:p>
      <w:pPr>
        <w:pStyle w:val="4"/>
        <w:numPr>
          <w:ilvl w:val="0"/>
          <w:numId w:val="2"/>
        </w:numPr>
        <w:spacing w:before="0" w:after="0" w:line="360" w:lineRule="auto"/>
        <w:jc w:val="center"/>
        <w:rPr>
          <w:rFonts w:ascii="宋体" w:hAnsi="宋体" w:cs="宋体"/>
          <w:color w:val="auto"/>
          <w:highlight w:val="none"/>
        </w:rPr>
      </w:pPr>
      <w:bookmarkStart w:id="28" w:name="_Toc9444"/>
      <w:bookmarkStart w:id="29" w:name="_Toc216704953"/>
      <w:r>
        <w:rPr>
          <w:rFonts w:hint="eastAsia" w:ascii="宋体" w:hAnsi="宋体" w:cs="宋体"/>
          <w:color w:val="auto"/>
          <w:highlight w:val="none"/>
        </w:rPr>
        <w:t>采购文件</w:t>
      </w:r>
      <w:bookmarkEnd w:id="28"/>
      <w:bookmarkEnd w:id="29"/>
    </w:p>
    <w:p>
      <w:pPr>
        <w:pStyle w:val="5"/>
        <w:widowControl w:val="0"/>
        <w:numPr>
          <w:ilvl w:val="0"/>
          <w:numId w:val="3"/>
        </w:numPr>
        <w:overflowPunct w:val="0"/>
        <w:rPr>
          <w:rFonts w:ascii="宋体" w:hAnsi="宋体" w:cs="宋体"/>
          <w:color w:val="auto"/>
          <w:sz w:val="21"/>
          <w:szCs w:val="21"/>
          <w:highlight w:val="none"/>
        </w:rPr>
      </w:pPr>
      <w:bookmarkStart w:id="30" w:name="_Toc10638"/>
      <w:bookmarkStart w:id="31" w:name="_Toc216704954"/>
      <w:r>
        <w:rPr>
          <w:rFonts w:hint="eastAsia" w:ascii="宋体" w:hAnsi="宋体" w:cs="宋体"/>
          <w:color w:val="auto"/>
          <w:sz w:val="21"/>
          <w:szCs w:val="21"/>
          <w:highlight w:val="none"/>
        </w:rPr>
        <w:t>采购文件的组成</w:t>
      </w:r>
      <w:bookmarkEnd w:id="30"/>
      <w:bookmarkEnd w:id="31"/>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（1）投标邀请书；</w:t>
      </w:r>
    </w:p>
    <w:p>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（2）投标资料表；</w:t>
      </w:r>
    </w:p>
    <w:p>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（3）用户需求书；</w:t>
      </w:r>
    </w:p>
    <w:p>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（4）投标人须知；</w:t>
      </w:r>
    </w:p>
    <w:p>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（5）拟签订的合同文本；</w:t>
      </w:r>
    </w:p>
    <w:p>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（6）投标文件格式；</w:t>
      </w:r>
    </w:p>
    <w:p>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32" w:name="_Toc21392"/>
      <w:bookmarkStart w:id="33" w:name="_Toc216704955"/>
      <w:r>
        <w:rPr>
          <w:rFonts w:hint="eastAsia" w:ascii="宋体" w:hAnsi="宋体" w:cs="宋体"/>
          <w:color w:val="auto"/>
          <w:sz w:val="21"/>
          <w:szCs w:val="21"/>
          <w:highlight w:val="none"/>
        </w:rPr>
        <w:t>采购文件的澄清或修改</w:t>
      </w:r>
      <w:bookmarkEnd w:id="32"/>
      <w:bookmarkEnd w:id="33"/>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pPr>
        <w:widowControl w:val="0"/>
        <w:adjustRightInd/>
        <w:snapToGrid/>
        <w:ind w:left="567"/>
        <w:jc w:val="both"/>
        <w:rPr>
          <w:rFonts w:ascii="宋体" w:hAnsi="宋体" w:cs="宋体"/>
          <w:color w:val="auto"/>
          <w:szCs w:val="21"/>
          <w:highlight w:val="none"/>
        </w:rPr>
      </w:pPr>
    </w:p>
    <w:p>
      <w:pPr>
        <w:pStyle w:val="4"/>
        <w:numPr>
          <w:ilvl w:val="0"/>
          <w:numId w:val="2"/>
        </w:numPr>
        <w:spacing w:before="0" w:after="0" w:line="360" w:lineRule="auto"/>
        <w:jc w:val="center"/>
        <w:rPr>
          <w:rFonts w:ascii="宋体" w:hAnsi="宋体" w:cs="宋体"/>
          <w:color w:val="auto"/>
          <w:highlight w:val="none"/>
        </w:rPr>
      </w:pPr>
      <w:bookmarkStart w:id="34" w:name="_Toc12343"/>
      <w:bookmarkStart w:id="35" w:name="_Toc216704956"/>
      <w:r>
        <w:rPr>
          <w:rFonts w:hint="eastAsia" w:ascii="宋体" w:hAnsi="宋体" w:cs="宋体"/>
          <w:color w:val="auto"/>
          <w:highlight w:val="none"/>
        </w:rPr>
        <w:t>投标文件的编制</w:t>
      </w:r>
      <w:bookmarkEnd w:id="34"/>
      <w:bookmarkEnd w:id="35"/>
    </w:p>
    <w:p>
      <w:pPr>
        <w:pStyle w:val="5"/>
        <w:widowControl w:val="0"/>
        <w:numPr>
          <w:ilvl w:val="0"/>
          <w:numId w:val="3"/>
        </w:numPr>
        <w:overflowPunct w:val="0"/>
        <w:rPr>
          <w:rFonts w:ascii="宋体" w:hAnsi="宋体" w:cs="宋体"/>
          <w:color w:val="auto"/>
          <w:sz w:val="21"/>
          <w:szCs w:val="21"/>
          <w:highlight w:val="none"/>
        </w:rPr>
      </w:pPr>
      <w:bookmarkStart w:id="36" w:name="_Toc16938"/>
      <w:bookmarkStart w:id="37" w:name="_Toc216704957"/>
      <w:r>
        <w:rPr>
          <w:rFonts w:hint="eastAsia" w:ascii="宋体" w:hAnsi="宋体" w:cs="宋体"/>
          <w:color w:val="auto"/>
          <w:sz w:val="21"/>
          <w:szCs w:val="21"/>
          <w:highlight w:val="none"/>
        </w:rPr>
        <w:t>投标文件的语言及度量衡单位</w:t>
      </w:r>
      <w:bookmarkEnd w:id="36"/>
      <w:bookmarkEnd w:id="37"/>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pPr>
        <w:widowControl w:val="0"/>
        <w:adjustRightInd/>
        <w:snapToGrid/>
        <w:ind w:left="567"/>
        <w:jc w:val="both"/>
        <w:rPr>
          <w:rFonts w:ascii="宋体" w:hAnsi="宋体" w:cs="宋体"/>
          <w:color w:val="auto"/>
          <w:szCs w:val="21"/>
          <w:highlight w:val="none"/>
        </w:rPr>
      </w:pPr>
    </w:p>
    <w:p>
      <w:pPr>
        <w:pStyle w:val="5"/>
        <w:widowControl w:val="0"/>
        <w:numPr>
          <w:ilvl w:val="0"/>
          <w:numId w:val="3"/>
        </w:numPr>
        <w:overflowPunct w:val="0"/>
        <w:rPr>
          <w:rFonts w:ascii="宋体" w:hAnsi="宋体" w:cs="宋体"/>
          <w:color w:val="auto"/>
          <w:sz w:val="21"/>
          <w:szCs w:val="21"/>
          <w:highlight w:val="none"/>
        </w:rPr>
      </w:pPr>
      <w:bookmarkStart w:id="38" w:name="_Toc303084256"/>
      <w:bookmarkStart w:id="39" w:name="_Toc11466"/>
      <w:bookmarkStart w:id="40" w:name="_Toc382049103"/>
      <w:bookmarkStart w:id="41" w:name="_Toc307934854"/>
      <w:bookmarkStart w:id="42" w:name="_Toc28866"/>
      <w:bookmarkStart w:id="43" w:name="_Toc216704958"/>
      <w:r>
        <w:rPr>
          <w:rFonts w:hint="eastAsia" w:ascii="宋体" w:hAnsi="宋体" w:cs="宋体"/>
          <w:color w:val="auto"/>
          <w:sz w:val="21"/>
          <w:szCs w:val="21"/>
          <w:highlight w:val="none"/>
        </w:rPr>
        <w:t>投标文件的组成</w:t>
      </w:r>
      <w:bookmarkEnd w:id="38"/>
      <w:bookmarkEnd w:id="39"/>
      <w:bookmarkEnd w:id="40"/>
      <w:bookmarkEnd w:id="41"/>
      <w:bookmarkEnd w:id="42"/>
      <w:bookmarkEnd w:id="43"/>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44" w:name="_Toc755"/>
      <w:bookmarkStart w:id="45" w:name="_Toc216704959"/>
      <w:r>
        <w:rPr>
          <w:rFonts w:hint="eastAsia" w:ascii="宋体" w:hAnsi="宋体" w:cs="宋体"/>
          <w:color w:val="auto"/>
          <w:sz w:val="21"/>
          <w:szCs w:val="21"/>
          <w:highlight w:val="none"/>
        </w:rPr>
        <w:t>投标文件编制</w:t>
      </w:r>
      <w:bookmarkEnd w:id="44"/>
      <w:bookmarkEnd w:id="45"/>
    </w:p>
    <w:p>
      <w:pPr>
        <w:pStyle w:val="44"/>
        <w:widowControl w:val="0"/>
        <w:numPr>
          <w:ilvl w:val="0"/>
          <w:numId w:val="4"/>
        </w:numPr>
        <w:adjustRightInd/>
        <w:snapToGrid/>
        <w:ind w:firstLineChars="0"/>
        <w:jc w:val="both"/>
        <w:rPr>
          <w:rFonts w:ascii="宋体" w:hAnsi="宋体" w:cs="宋体"/>
          <w:vanish/>
          <w:color w:val="auto"/>
          <w:szCs w:val="21"/>
          <w:highlight w:val="none"/>
        </w:rPr>
      </w:pPr>
      <w:bookmarkStart w:id="46" w:name="_Toc303084258"/>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pPr>
        <w:pStyle w:val="44"/>
        <w:widowControl w:val="0"/>
        <w:numPr>
          <w:ilvl w:val="0"/>
          <w:numId w:val="5"/>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pPr>
        <w:pStyle w:val="44"/>
        <w:widowControl w:val="0"/>
        <w:numPr>
          <w:ilvl w:val="0"/>
          <w:numId w:val="5"/>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6"/>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47" w:name="_Toc216704960"/>
      <w:bookmarkStart w:id="48" w:name="_Toc6154"/>
      <w:r>
        <w:rPr>
          <w:rFonts w:hint="eastAsia" w:ascii="宋体" w:hAnsi="宋体" w:cs="宋体"/>
          <w:color w:val="auto"/>
          <w:sz w:val="21"/>
          <w:szCs w:val="21"/>
          <w:highlight w:val="none"/>
        </w:rPr>
        <w:t>投标报价说明</w:t>
      </w:r>
      <w:bookmarkEnd w:id="47"/>
      <w:bookmarkEnd w:id="48"/>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49" w:name="_Toc216704961"/>
      <w:bookmarkStart w:id="50" w:name="_Toc17669"/>
      <w:r>
        <w:rPr>
          <w:rFonts w:hint="eastAsia" w:ascii="宋体" w:hAnsi="宋体" w:cs="宋体"/>
          <w:color w:val="auto"/>
          <w:sz w:val="21"/>
          <w:szCs w:val="21"/>
          <w:highlight w:val="none"/>
        </w:rPr>
        <w:t>投标人所提供的服务或货物的证明文件</w:t>
      </w:r>
      <w:bookmarkEnd w:id="49"/>
      <w:bookmarkEnd w:id="50"/>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bookmarkStart w:id="51" w:name="_Hlt107925668"/>
      <w:bookmarkEnd w:id="51"/>
      <w:bookmarkStart w:id="52" w:name="_Hlt107925638"/>
      <w:bookmarkEnd w:id="52"/>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pPr>
        <w:pStyle w:val="44"/>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pPr>
        <w:pStyle w:val="44"/>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pPr>
        <w:pStyle w:val="44"/>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（1）使用伪造、变造的许可证件；</w:t>
      </w:r>
    </w:p>
    <w:p>
      <w:pPr>
        <w:pStyle w:val="44"/>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（2）提供虚假的财务状况或者业绩；</w:t>
      </w:r>
    </w:p>
    <w:p>
      <w:pPr>
        <w:pStyle w:val="44"/>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pPr>
        <w:pStyle w:val="44"/>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（4）提供虚假的信用状况；</w:t>
      </w:r>
    </w:p>
    <w:p>
      <w:pPr>
        <w:pStyle w:val="44"/>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（5）其他弄虚作假的行为。</w:t>
      </w:r>
    </w:p>
    <w:p>
      <w:pPr>
        <w:pStyle w:val="5"/>
        <w:widowControl w:val="0"/>
        <w:numPr>
          <w:ilvl w:val="0"/>
          <w:numId w:val="3"/>
        </w:numPr>
        <w:overflowPunct w:val="0"/>
        <w:rPr>
          <w:rFonts w:ascii="宋体" w:hAnsi="宋体" w:cs="宋体"/>
          <w:color w:val="auto"/>
          <w:sz w:val="21"/>
          <w:szCs w:val="21"/>
          <w:highlight w:val="none"/>
        </w:rPr>
      </w:pPr>
      <w:bookmarkStart w:id="53" w:name="_Toc216704962"/>
      <w:bookmarkStart w:id="54" w:name="_Toc8324"/>
      <w:r>
        <w:rPr>
          <w:rFonts w:hint="eastAsia" w:ascii="宋体" w:hAnsi="宋体" w:cs="宋体"/>
          <w:color w:val="auto"/>
          <w:sz w:val="21"/>
          <w:szCs w:val="21"/>
          <w:highlight w:val="none"/>
        </w:rPr>
        <w:t>投标有效期</w:t>
      </w:r>
      <w:bookmarkEnd w:id="53"/>
      <w:bookmarkEnd w:id="54"/>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pPr>
        <w:widowControl w:val="0"/>
        <w:adjustRightInd/>
        <w:snapToGrid/>
        <w:ind w:left="567"/>
        <w:jc w:val="both"/>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55" w:name="_Toc12582"/>
      <w:bookmarkStart w:id="56" w:name="_Toc216704963"/>
      <w:r>
        <w:rPr>
          <w:rFonts w:hint="eastAsia" w:ascii="宋体" w:hAnsi="宋体" w:cs="宋体"/>
          <w:color w:val="auto"/>
          <w:sz w:val="21"/>
          <w:szCs w:val="21"/>
          <w:highlight w:val="none"/>
        </w:rPr>
        <w:t>投标保证金</w:t>
      </w:r>
      <w:bookmarkEnd w:id="55"/>
      <w:bookmarkEnd w:id="56"/>
    </w:p>
    <w:p>
      <w:pPr>
        <w:pStyle w:val="44"/>
        <w:widowControl w:val="0"/>
        <w:numPr>
          <w:ilvl w:val="0"/>
          <w:numId w:val="4"/>
        </w:numPr>
        <w:adjustRightInd/>
        <w:snapToGrid/>
        <w:ind w:firstLineChars="0"/>
        <w:jc w:val="both"/>
        <w:rPr>
          <w:rFonts w:ascii="宋体" w:hAnsi="宋体" w:cs="宋体"/>
          <w:vanish/>
          <w:color w:val="auto"/>
          <w:szCs w:val="21"/>
          <w:highlight w:val="none"/>
        </w:rPr>
      </w:pPr>
      <w:bookmarkStart w:id="57" w:name="_Ref179619405"/>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57"/>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pPr>
        <w:rPr>
          <w:rFonts w:ascii="宋体" w:hAnsi="宋体" w:cs="宋体"/>
          <w:color w:val="auto"/>
          <w:highlight w:val="none"/>
        </w:rPr>
      </w:pPr>
    </w:p>
    <w:p>
      <w:pPr>
        <w:pStyle w:val="4"/>
        <w:numPr>
          <w:ilvl w:val="0"/>
          <w:numId w:val="2"/>
        </w:numPr>
        <w:spacing w:before="0" w:after="0" w:line="360" w:lineRule="auto"/>
        <w:jc w:val="center"/>
        <w:rPr>
          <w:rFonts w:ascii="宋体" w:hAnsi="宋体" w:cs="宋体"/>
          <w:color w:val="auto"/>
          <w:highlight w:val="none"/>
        </w:rPr>
      </w:pPr>
      <w:bookmarkStart w:id="58" w:name="_Toc30352"/>
      <w:bookmarkStart w:id="59" w:name="_Toc216704964"/>
      <w:r>
        <w:rPr>
          <w:rFonts w:hint="eastAsia" w:ascii="宋体" w:hAnsi="宋体" w:cs="宋体"/>
          <w:color w:val="auto"/>
          <w:highlight w:val="none"/>
        </w:rPr>
        <w:t>投标文件的递交</w:t>
      </w:r>
      <w:bookmarkEnd w:id="58"/>
      <w:bookmarkEnd w:id="59"/>
    </w:p>
    <w:p>
      <w:pPr>
        <w:pStyle w:val="5"/>
        <w:widowControl w:val="0"/>
        <w:numPr>
          <w:ilvl w:val="0"/>
          <w:numId w:val="3"/>
        </w:numPr>
        <w:overflowPunct w:val="0"/>
        <w:rPr>
          <w:rFonts w:ascii="宋体" w:hAnsi="宋体" w:cs="宋体"/>
          <w:color w:val="auto"/>
          <w:sz w:val="21"/>
          <w:szCs w:val="21"/>
          <w:highlight w:val="none"/>
        </w:rPr>
      </w:pPr>
      <w:bookmarkStart w:id="60" w:name="_Toc303084264"/>
      <w:bookmarkStart w:id="61" w:name="_Toc24150"/>
      <w:bookmarkStart w:id="62" w:name="_Toc216704965"/>
      <w:bookmarkStart w:id="63" w:name="_Toc382049111"/>
      <w:bookmarkStart w:id="64" w:name="_Toc24997"/>
      <w:r>
        <w:rPr>
          <w:rFonts w:hint="eastAsia" w:ascii="宋体" w:hAnsi="宋体" w:cs="宋体"/>
          <w:color w:val="auto"/>
          <w:sz w:val="21"/>
          <w:szCs w:val="21"/>
          <w:highlight w:val="none"/>
        </w:rPr>
        <w:t>投标文件的装订，签署，密封和标记</w:t>
      </w:r>
      <w:bookmarkEnd w:id="60"/>
      <w:bookmarkEnd w:id="61"/>
      <w:bookmarkEnd w:id="62"/>
      <w:bookmarkEnd w:id="63"/>
      <w:bookmarkEnd w:id="64"/>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 xml:space="preserve">收件人： </w:t>
      </w:r>
    </w:p>
    <w:p>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投标单位名称：</w:t>
      </w:r>
    </w:p>
    <w:p>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项目名称：</w:t>
      </w:r>
    </w:p>
    <w:p>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项目采购项目编号：</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65" w:name="_Toc25895"/>
      <w:bookmarkStart w:id="66" w:name="_Toc216704966"/>
      <w:r>
        <w:rPr>
          <w:rFonts w:hint="eastAsia" w:ascii="宋体" w:hAnsi="宋体" w:cs="宋体"/>
          <w:color w:val="auto"/>
          <w:sz w:val="21"/>
          <w:szCs w:val="21"/>
          <w:highlight w:val="none"/>
        </w:rPr>
        <w:t>迟交的投标文件</w:t>
      </w:r>
      <w:bookmarkEnd w:id="65"/>
      <w:bookmarkEnd w:id="66"/>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67" w:name="_Toc216704967"/>
      <w:bookmarkStart w:id="68" w:name="_Toc9143"/>
      <w:r>
        <w:rPr>
          <w:rFonts w:hint="eastAsia" w:ascii="宋体" w:hAnsi="宋体" w:cs="宋体"/>
          <w:color w:val="auto"/>
          <w:sz w:val="21"/>
          <w:szCs w:val="21"/>
          <w:highlight w:val="none"/>
        </w:rPr>
        <w:t>投标样品（如需提交）</w:t>
      </w:r>
      <w:bookmarkEnd w:id="67"/>
      <w:bookmarkEnd w:id="68"/>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69" w:name="_Toc1712"/>
      <w:bookmarkStart w:id="70" w:name="_Toc9777"/>
      <w:bookmarkStart w:id="71" w:name="_Toc216704968"/>
      <w:bookmarkStart w:id="72" w:name="_Toc382049112"/>
      <w:bookmarkStart w:id="73" w:name="_Toc303084265"/>
      <w:r>
        <w:rPr>
          <w:rFonts w:hint="eastAsia" w:ascii="宋体" w:hAnsi="宋体" w:cs="宋体"/>
          <w:color w:val="auto"/>
          <w:sz w:val="21"/>
          <w:szCs w:val="21"/>
          <w:highlight w:val="none"/>
        </w:rPr>
        <w:t>投标截止期</w:t>
      </w:r>
      <w:bookmarkEnd w:id="69"/>
      <w:bookmarkEnd w:id="70"/>
      <w:bookmarkEnd w:id="71"/>
      <w:bookmarkEnd w:id="72"/>
      <w:bookmarkEnd w:id="73"/>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74" w:name="_Toc216704969"/>
      <w:bookmarkStart w:id="75" w:name="_Toc31417"/>
      <w:r>
        <w:rPr>
          <w:rFonts w:hint="eastAsia" w:ascii="宋体" w:hAnsi="宋体" w:cs="宋体"/>
          <w:color w:val="auto"/>
          <w:sz w:val="21"/>
          <w:szCs w:val="21"/>
          <w:highlight w:val="none"/>
        </w:rPr>
        <w:t>投标文件的补充、修改与撤回</w:t>
      </w:r>
      <w:bookmarkEnd w:id="74"/>
      <w:bookmarkEnd w:id="75"/>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pPr>
        <w:pStyle w:val="10"/>
        <w:rPr>
          <w:color w:val="auto"/>
          <w:highlight w:val="none"/>
        </w:rPr>
      </w:pPr>
    </w:p>
    <w:p>
      <w:pPr>
        <w:pStyle w:val="4"/>
        <w:numPr>
          <w:ilvl w:val="0"/>
          <w:numId w:val="2"/>
        </w:numPr>
        <w:spacing w:before="0" w:after="0" w:line="360" w:lineRule="auto"/>
        <w:jc w:val="center"/>
        <w:rPr>
          <w:rFonts w:ascii="宋体" w:hAnsi="宋体" w:cs="宋体"/>
          <w:color w:val="auto"/>
          <w:highlight w:val="none"/>
        </w:rPr>
      </w:pPr>
      <w:bookmarkStart w:id="76" w:name="_Toc7410"/>
      <w:bookmarkStart w:id="77" w:name="_Toc216704970"/>
      <w:r>
        <w:rPr>
          <w:rFonts w:hint="eastAsia" w:ascii="宋体" w:hAnsi="宋体" w:cs="宋体"/>
          <w:color w:val="auto"/>
          <w:highlight w:val="none"/>
        </w:rPr>
        <w:t>开标与评标</w:t>
      </w:r>
      <w:bookmarkEnd w:id="76"/>
      <w:bookmarkEnd w:id="77"/>
    </w:p>
    <w:p>
      <w:pPr>
        <w:pStyle w:val="5"/>
        <w:widowControl w:val="0"/>
        <w:numPr>
          <w:ilvl w:val="0"/>
          <w:numId w:val="3"/>
        </w:numPr>
        <w:overflowPunct w:val="0"/>
        <w:rPr>
          <w:rFonts w:ascii="宋体" w:hAnsi="宋体" w:cs="宋体"/>
          <w:color w:val="auto"/>
          <w:sz w:val="21"/>
          <w:szCs w:val="21"/>
          <w:highlight w:val="none"/>
        </w:rPr>
      </w:pPr>
      <w:bookmarkStart w:id="78" w:name="_Toc216704971"/>
      <w:bookmarkStart w:id="79" w:name="_Toc31671"/>
      <w:r>
        <w:rPr>
          <w:rFonts w:hint="eastAsia" w:ascii="宋体" w:hAnsi="宋体" w:cs="宋体"/>
          <w:color w:val="auto"/>
          <w:sz w:val="21"/>
          <w:szCs w:val="21"/>
          <w:highlight w:val="none"/>
        </w:rPr>
        <w:t>开标</w:t>
      </w:r>
      <w:bookmarkEnd w:id="78"/>
      <w:bookmarkEnd w:id="79"/>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开标程序：</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pPr>
        <w:widowControl w:val="0"/>
        <w:adjustRightInd/>
        <w:snapToGrid/>
        <w:ind w:left="567"/>
        <w:jc w:val="both"/>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80" w:name="_Toc3528"/>
      <w:bookmarkStart w:id="81" w:name="_Toc216704972"/>
      <w:r>
        <w:rPr>
          <w:rFonts w:hint="eastAsia" w:ascii="宋体" w:hAnsi="宋体" w:cs="宋体"/>
          <w:color w:val="auto"/>
          <w:sz w:val="21"/>
          <w:szCs w:val="21"/>
          <w:highlight w:val="none"/>
        </w:rPr>
        <w:t>评标委员会及评标方法</w:t>
      </w:r>
      <w:bookmarkEnd w:id="80"/>
      <w:bookmarkEnd w:id="81"/>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82" w:name="_Toc4198"/>
      <w:bookmarkStart w:id="83" w:name="_Toc216704973"/>
      <w:r>
        <w:rPr>
          <w:rFonts w:hint="eastAsia" w:ascii="宋体" w:hAnsi="宋体" w:cs="宋体"/>
          <w:color w:val="auto"/>
          <w:sz w:val="21"/>
          <w:szCs w:val="21"/>
          <w:highlight w:val="none"/>
        </w:rPr>
        <w:t>评审原则及评标过程的保密</w:t>
      </w:r>
      <w:bookmarkEnd w:id="82"/>
      <w:bookmarkEnd w:id="83"/>
    </w:p>
    <w:p>
      <w:pPr>
        <w:pStyle w:val="44"/>
        <w:widowControl w:val="0"/>
        <w:numPr>
          <w:ilvl w:val="0"/>
          <w:numId w:val="4"/>
        </w:numPr>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84" w:name="_Toc216704974"/>
      <w:r>
        <w:rPr>
          <w:rFonts w:hint="eastAsia" w:ascii="宋体" w:hAnsi="宋体" w:cs="宋体"/>
          <w:color w:val="auto"/>
          <w:sz w:val="21"/>
          <w:szCs w:val="21"/>
          <w:highlight w:val="none"/>
        </w:rPr>
        <w:t>评标程序</w:t>
      </w:r>
      <w:bookmarkEnd w:id="84"/>
    </w:p>
    <w:p>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pPr>
              <w:numPr>
                <w:ilvl w:val="0"/>
                <w:numId w:val="7"/>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612"/>
              </w:tabs>
              <w:rPr>
                <w:rFonts w:ascii="宋体" w:hAnsi="宋体" w:cs="宋体"/>
                <w:color w:val="auto"/>
                <w:szCs w:val="21"/>
                <w:highlight w:val="none"/>
              </w:rPr>
            </w:pPr>
            <w:r>
              <w:rPr>
                <w:rFonts w:hint="eastAsia" w:ascii="宋体" w:hAnsi="宋体" w:cs="宋体"/>
                <w:color w:val="auto"/>
                <w:szCs w:val="21"/>
                <w:highlight w:val="none"/>
              </w:rPr>
              <w:t>（5）投标人自招标公告发布之日起前两年内，在经营活动中没有因串通投标、弄虚作假、行贿、转包、违法分包、挂靠、死亡事故违法违规行为受到行政、刑事处罚的。以代理机构于投标截止日当天在“信用中国”网站查询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612"/>
              </w:tabs>
              <w:rPr>
                <w:rFonts w:ascii="宋体" w:hAnsi="宋体" w:cs="宋体"/>
                <w:color w:val="auto"/>
                <w:szCs w:val="21"/>
                <w:highlight w:val="none"/>
              </w:rPr>
            </w:pPr>
            <w:r>
              <w:rPr>
                <w:rFonts w:hint="eastAsia" w:ascii="宋体" w:hAnsi="宋体" w:cs="宋体"/>
                <w:color w:val="auto"/>
                <w:szCs w:val="21"/>
                <w:highlight w:val="none"/>
              </w:rPr>
              <w:t>（6）未被列入东实集团及下属企业相关领域黑名单。【以</w:t>
            </w:r>
            <w:r>
              <w:rPr>
                <w:rFonts w:hint="eastAsia" w:ascii="宋体" w:hAnsi="宋体" w:cs="宋体"/>
                <w:color w:val="auto"/>
                <w:szCs w:val="21"/>
                <w:highlight w:val="none"/>
                <w:lang w:val="zh-CN"/>
              </w:rPr>
              <w:t>东莞实业投资控股集团有限公司</w:t>
            </w:r>
            <w:r>
              <w:rPr>
                <w:rFonts w:hint="eastAsia" w:ascii="宋体" w:hAnsi="宋体" w:cs="宋体"/>
                <w:color w:val="auto"/>
                <w:szCs w:val="21"/>
                <w:highlight w:val="none"/>
              </w:rPr>
              <w:t>发文（东实通〔2021〕44号）、（东实通〔2021〕98号）</w:t>
            </w:r>
            <w:r>
              <w:rPr>
                <w:rFonts w:hint="eastAsia" w:ascii="宋体" w:hAnsi="宋体"/>
                <w:color w:val="auto"/>
                <w:szCs w:val="21"/>
                <w:highlight w:val="none"/>
              </w:rPr>
              <w:t>、</w:t>
            </w:r>
            <w:r>
              <w:rPr>
                <w:rFonts w:ascii="宋体" w:hAnsi="宋体"/>
                <w:color w:val="auto"/>
                <w:szCs w:val="21"/>
                <w:highlight w:val="none"/>
              </w:rPr>
              <w:t>（东实通〔2022〕75号）</w:t>
            </w:r>
            <w:r>
              <w:rPr>
                <w:rFonts w:hint="eastAsia" w:ascii="宋体" w:hAnsi="宋体"/>
                <w:color w:val="auto"/>
                <w:szCs w:val="21"/>
                <w:highlight w:val="none"/>
              </w:rPr>
              <w:t>、（东实通〔2023〕37号）、（东实通〔2024〕163号）、（东实通〔2024〕195号）</w:t>
            </w:r>
            <w:r>
              <w:rPr>
                <w:rFonts w:hint="eastAsia" w:ascii="宋体" w:hAnsi="宋体" w:cs="宋体"/>
                <w:color w:val="auto"/>
                <w:szCs w:val="21"/>
                <w:highlight w:val="none"/>
              </w:rPr>
              <w:t>为准，如有最新发文通知，按最新文件执行。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612"/>
              </w:tabs>
              <w:rPr>
                <w:rFonts w:ascii="宋体" w:hAnsi="宋体" w:cs="宋体"/>
                <w:color w:val="auto"/>
                <w:szCs w:val="21"/>
                <w:highlight w:val="none"/>
              </w:rPr>
            </w:pPr>
            <w:r>
              <w:rPr>
                <w:rFonts w:hint="eastAsia" w:ascii="宋体" w:hAnsi="宋体" w:cs="宋体"/>
                <w:color w:val="auto"/>
                <w:szCs w:val="21"/>
                <w:highlight w:val="none"/>
              </w:rPr>
              <w:t>（7）符合投标人资格要求中其他要求（如有）。（提供《附件9.相关资质证明文件》中对应证明文件。）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7"/>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7"/>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7"/>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法律、法规和采购文件规定的其他无效情形。</w:t>
            </w:r>
          </w:p>
        </w:tc>
      </w:tr>
    </w:tbl>
    <w:p>
      <w:pPr>
        <w:widowControl w:val="0"/>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pPr>
        <w:widowControl w:val="0"/>
        <w:tabs>
          <w:tab w:val="left" w:pos="907"/>
        </w:tabs>
        <w:adjustRightInd/>
        <w:snapToGrid/>
        <w:ind w:left="567"/>
        <w:jc w:val="both"/>
        <w:rPr>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85" w:name="_Toc4799"/>
      <w:bookmarkStart w:id="86" w:name="_Toc216704975"/>
      <w:r>
        <w:rPr>
          <w:rFonts w:hint="eastAsia" w:ascii="宋体" w:hAnsi="宋体" w:cs="宋体"/>
          <w:color w:val="auto"/>
          <w:sz w:val="21"/>
          <w:szCs w:val="21"/>
          <w:highlight w:val="none"/>
        </w:rPr>
        <w:t>商务、技术、价格评审（具体评审项目详见投标资料表）</w:t>
      </w:r>
      <w:bookmarkEnd w:id="85"/>
      <w:bookmarkEnd w:id="86"/>
    </w:p>
    <w:p>
      <w:pPr>
        <w:pStyle w:val="44"/>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pPr>
        <w:widowControl w:val="0"/>
        <w:tabs>
          <w:tab w:val="left" w:pos="907"/>
        </w:tabs>
        <w:adjustRightInd/>
        <w:snapToGrid/>
        <w:ind w:left="567"/>
        <w:jc w:val="both"/>
        <w:rPr>
          <w:rFonts w:ascii="宋体" w:hAnsi="宋体" w:cs="宋体"/>
          <w:color w:val="auto"/>
          <w:szCs w:val="21"/>
          <w:highlight w:val="none"/>
        </w:rPr>
      </w:pPr>
    </w:p>
    <w:p>
      <w:pPr>
        <w:pStyle w:val="5"/>
        <w:widowControl w:val="0"/>
        <w:numPr>
          <w:ilvl w:val="0"/>
          <w:numId w:val="3"/>
        </w:numPr>
        <w:overflowPunct w:val="0"/>
        <w:rPr>
          <w:rFonts w:ascii="宋体" w:hAnsi="宋体" w:cs="宋体"/>
          <w:color w:val="auto"/>
          <w:sz w:val="21"/>
          <w:szCs w:val="21"/>
          <w:highlight w:val="none"/>
        </w:rPr>
      </w:pPr>
      <w:bookmarkStart w:id="87" w:name="_Toc316375620"/>
      <w:bookmarkStart w:id="88" w:name="_Toc20328"/>
      <w:bookmarkStart w:id="89" w:name="_Toc382049120"/>
      <w:bookmarkStart w:id="90" w:name="_Toc216704976"/>
      <w:bookmarkStart w:id="91" w:name="_Toc21663"/>
      <w:r>
        <w:rPr>
          <w:rFonts w:hint="eastAsia" w:ascii="宋体" w:hAnsi="宋体" w:cs="宋体"/>
          <w:color w:val="auto"/>
          <w:sz w:val="21"/>
          <w:szCs w:val="21"/>
          <w:highlight w:val="none"/>
        </w:rPr>
        <w:t>纪律和保密</w:t>
      </w:r>
      <w:bookmarkEnd w:id="87"/>
      <w:r>
        <w:rPr>
          <w:rFonts w:hint="eastAsia" w:ascii="宋体" w:hAnsi="宋体" w:cs="宋体"/>
          <w:color w:val="auto"/>
          <w:sz w:val="21"/>
          <w:szCs w:val="21"/>
          <w:highlight w:val="none"/>
        </w:rPr>
        <w:t>事项</w:t>
      </w:r>
      <w:bookmarkEnd w:id="88"/>
      <w:bookmarkEnd w:id="89"/>
      <w:bookmarkEnd w:id="90"/>
      <w:bookmarkEnd w:id="91"/>
    </w:p>
    <w:p>
      <w:pPr>
        <w:pStyle w:val="44"/>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pPr>
        <w:rPr>
          <w:rFonts w:ascii="宋体" w:hAnsi="宋体" w:cs="宋体"/>
          <w:color w:val="auto"/>
          <w:highlight w:val="none"/>
        </w:rPr>
      </w:pPr>
    </w:p>
    <w:p>
      <w:pPr>
        <w:pStyle w:val="4"/>
        <w:numPr>
          <w:ilvl w:val="0"/>
          <w:numId w:val="2"/>
        </w:numPr>
        <w:spacing w:before="0" w:after="0" w:line="360" w:lineRule="auto"/>
        <w:jc w:val="center"/>
        <w:rPr>
          <w:rFonts w:ascii="宋体" w:hAnsi="宋体" w:cs="宋体"/>
          <w:color w:val="auto"/>
          <w:highlight w:val="none"/>
        </w:rPr>
      </w:pPr>
      <w:bookmarkStart w:id="92" w:name="_Toc1109"/>
      <w:bookmarkStart w:id="93" w:name="_Toc216704977"/>
      <w:r>
        <w:rPr>
          <w:rFonts w:hint="eastAsia" w:ascii="宋体" w:hAnsi="宋体" w:cs="宋体"/>
          <w:color w:val="auto"/>
          <w:highlight w:val="none"/>
        </w:rPr>
        <w:t>授予合同</w:t>
      </w:r>
      <w:bookmarkEnd w:id="92"/>
      <w:bookmarkEnd w:id="93"/>
    </w:p>
    <w:p>
      <w:pPr>
        <w:pStyle w:val="5"/>
        <w:widowControl w:val="0"/>
        <w:numPr>
          <w:ilvl w:val="0"/>
          <w:numId w:val="3"/>
        </w:numPr>
        <w:overflowPunct w:val="0"/>
        <w:rPr>
          <w:rFonts w:ascii="宋体" w:hAnsi="宋体" w:cs="宋体"/>
          <w:color w:val="auto"/>
          <w:sz w:val="21"/>
          <w:szCs w:val="21"/>
          <w:highlight w:val="none"/>
        </w:rPr>
      </w:pPr>
      <w:bookmarkStart w:id="94" w:name="_Toc508284011"/>
      <w:bookmarkStart w:id="95" w:name="_Toc22623"/>
      <w:bookmarkStart w:id="96" w:name="_Toc216704978"/>
      <w:r>
        <w:rPr>
          <w:rFonts w:hint="eastAsia" w:ascii="宋体" w:hAnsi="宋体" w:cs="宋体"/>
          <w:color w:val="auto"/>
          <w:sz w:val="21"/>
          <w:szCs w:val="21"/>
          <w:highlight w:val="none"/>
        </w:rPr>
        <w:t>合同授予标准</w:t>
      </w:r>
      <w:bookmarkEnd w:id="94"/>
      <w:bookmarkEnd w:id="95"/>
      <w:bookmarkEnd w:id="96"/>
    </w:p>
    <w:p>
      <w:pPr>
        <w:pStyle w:val="44"/>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97" w:name="_Toc216704979"/>
      <w:bookmarkStart w:id="98" w:name="_Toc10545"/>
      <w:bookmarkStart w:id="99" w:name="_Toc508284013"/>
      <w:r>
        <w:rPr>
          <w:rFonts w:hint="eastAsia" w:ascii="宋体" w:hAnsi="宋体" w:cs="宋体"/>
          <w:color w:val="auto"/>
          <w:sz w:val="21"/>
          <w:szCs w:val="21"/>
          <w:highlight w:val="none"/>
        </w:rPr>
        <w:t>发布中标结果</w:t>
      </w:r>
      <w:bookmarkEnd w:id="97"/>
      <w:bookmarkEnd w:id="98"/>
      <w:bookmarkEnd w:id="99"/>
    </w:p>
    <w:p>
      <w:pPr>
        <w:pStyle w:val="44"/>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pPr>
        <w:widowControl w:val="0"/>
        <w:tabs>
          <w:tab w:val="left" w:pos="907"/>
        </w:tabs>
        <w:adjustRightInd/>
        <w:snapToGrid/>
        <w:jc w:val="both"/>
        <w:rPr>
          <w:rFonts w:ascii="宋体" w:hAnsi="宋体" w:cs="宋体"/>
          <w:color w:val="auto"/>
          <w:szCs w:val="21"/>
          <w:highlight w:val="none"/>
        </w:rPr>
      </w:pPr>
    </w:p>
    <w:p>
      <w:pPr>
        <w:pStyle w:val="5"/>
        <w:widowControl w:val="0"/>
        <w:numPr>
          <w:ilvl w:val="0"/>
          <w:numId w:val="3"/>
        </w:numPr>
        <w:overflowPunct w:val="0"/>
        <w:rPr>
          <w:rFonts w:ascii="宋体" w:hAnsi="宋体" w:cs="宋体"/>
          <w:color w:val="auto"/>
          <w:sz w:val="21"/>
          <w:szCs w:val="21"/>
          <w:highlight w:val="none"/>
        </w:rPr>
      </w:pPr>
      <w:bookmarkStart w:id="100" w:name="_Toc216704980"/>
      <w:bookmarkStart w:id="101" w:name="_Toc11420"/>
      <w:r>
        <w:rPr>
          <w:rFonts w:hint="eastAsia" w:ascii="宋体" w:hAnsi="宋体" w:cs="宋体"/>
          <w:color w:val="auto"/>
          <w:sz w:val="21"/>
          <w:szCs w:val="21"/>
          <w:highlight w:val="none"/>
        </w:rPr>
        <w:t>资格后审</w:t>
      </w:r>
      <w:bookmarkEnd w:id="100"/>
      <w:bookmarkEnd w:id="101"/>
    </w:p>
    <w:p>
      <w:pPr>
        <w:pStyle w:val="44"/>
        <w:widowControl w:val="0"/>
        <w:numPr>
          <w:ilvl w:val="0"/>
          <w:numId w:val="4"/>
        </w:numPr>
        <w:tabs>
          <w:tab w:val="left" w:pos="567"/>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采购人将有权根据本文件中的要求，对评委会推荐的中标候选人进行资格后审。</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pPr>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102" w:name="_Toc216704981"/>
      <w:bookmarkStart w:id="103" w:name="_Toc27302"/>
      <w:r>
        <w:rPr>
          <w:rFonts w:hint="eastAsia" w:ascii="宋体" w:hAnsi="宋体" w:cs="宋体"/>
          <w:color w:val="auto"/>
          <w:sz w:val="21"/>
          <w:szCs w:val="21"/>
          <w:highlight w:val="none"/>
        </w:rPr>
        <w:t>合同的签订与履行</w:t>
      </w:r>
      <w:bookmarkEnd w:id="102"/>
      <w:bookmarkEnd w:id="103"/>
    </w:p>
    <w:p>
      <w:pPr>
        <w:pStyle w:val="44"/>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pPr>
        <w:widowControl w:val="0"/>
        <w:tabs>
          <w:tab w:val="left" w:pos="907"/>
        </w:tabs>
        <w:adjustRightInd/>
        <w:snapToGrid/>
        <w:jc w:val="both"/>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104" w:name="_Toc303084277"/>
      <w:bookmarkStart w:id="105" w:name="_Toc382049124"/>
      <w:bookmarkStart w:id="106" w:name="_Toc29009"/>
      <w:bookmarkStart w:id="107" w:name="_Toc216704982"/>
      <w:bookmarkStart w:id="108" w:name="_Toc6617"/>
      <w:r>
        <w:rPr>
          <w:rFonts w:hint="eastAsia" w:ascii="宋体" w:hAnsi="宋体" w:cs="宋体"/>
          <w:color w:val="auto"/>
          <w:sz w:val="21"/>
          <w:szCs w:val="21"/>
          <w:highlight w:val="none"/>
        </w:rPr>
        <w:t>履约</w:t>
      </w:r>
      <w:bookmarkEnd w:id="104"/>
      <w:bookmarkEnd w:id="105"/>
      <w:bookmarkEnd w:id="106"/>
      <w:r>
        <w:rPr>
          <w:rFonts w:hint="eastAsia" w:ascii="宋体" w:hAnsi="宋体" w:cs="宋体"/>
          <w:color w:val="auto"/>
          <w:sz w:val="21"/>
          <w:szCs w:val="21"/>
          <w:highlight w:val="none"/>
        </w:rPr>
        <w:t>担保</w:t>
      </w:r>
      <w:bookmarkEnd w:id="107"/>
      <w:bookmarkEnd w:id="108"/>
    </w:p>
    <w:p>
      <w:pPr>
        <w:pStyle w:val="44"/>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①保函应由银行支行或以上银行机构开具。</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¥10,000.00元。中标人人必须保证履约保证金以中标人的名称在（合同约定的日期）前提交至采购人指定账户。</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pPr>
        <w:widowControl w:val="0"/>
        <w:tabs>
          <w:tab w:val="left" w:pos="907"/>
        </w:tabs>
        <w:adjustRightInd/>
        <w:snapToGrid/>
        <w:jc w:val="both"/>
        <w:rPr>
          <w:rFonts w:ascii="宋体" w:hAnsi="宋体" w:cs="宋体"/>
          <w:color w:val="auto"/>
          <w:highlight w:val="none"/>
        </w:rPr>
      </w:pPr>
    </w:p>
    <w:p>
      <w:pPr>
        <w:pStyle w:val="5"/>
        <w:widowControl w:val="0"/>
        <w:numPr>
          <w:ilvl w:val="0"/>
          <w:numId w:val="3"/>
        </w:numPr>
        <w:overflowPunct w:val="0"/>
        <w:rPr>
          <w:rFonts w:ascii="宋体" w:hAnsi="宋体" w:cs="宋体"/>
          <w:color w:val="auto"/>
          <w:sz w:val="21"/>
          <w:szCs w:val="21"/>
          <w:highlight w:val="none"/>
        </w:rPr>
      </w:pPr>
      <w:bookmarkStart w:id="109" w:name="_Toc18880"/>
      <w:bookmarkStart w:id="110" w:name="_Toc216704983"/>
      <w:r>
        <w:rPr>
          <w:rFonts w:hint="eastAsia" w:ascii="宋体" w:hAnsi="宋体" w:cs="宋体"/>
          <w:color w:val="auto"/>
          <w:sz w:val="21"/>
          <w:szCs w:val="21"/>
          <w:highlight w:val="none"/>
        </w:rPr>
        <w:t>预付款保函（适用于预付款支付）</w:t>
      </w:r>
      <w:bookmarkEnd w:id="109"/>
      <w:bookmarkEnd w:id="110"/>
    </w:p>
    <w:p>
      <w:pPr>
        <w:pStyle w:val="44"/>
        <w:widowControl w:val="0"/>
        <w:numPr>
          <w:ilvl w:val="0"/>
          <w:numId w:val="4"/>
        </w:numPr>
        <w:tabs>
          <w:tab w:val="left" w:pos="567"/>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w:t>
      </w:r>
    </w:p>
    <w:p>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（2）必须打印，手写、涂改无效</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pPr>
        <w:rPr>
          <w:rFonts w:ascii="宋体" w:hAnsi="宋体" w:cs="宋体"/>
          <w:color w:val="auto"/>
          <w:highlight w:val="none"/>
        </w:rPr>
      </w:pPr>
    </w:p>
    <w:p>
      <w:pPr>
        <w:pStyle w:val="4"/>
        <w:numPr>
          <w:ilvl w:val="0"/>
          <w:numId w:val="2"/>
        </w:numPr>
        <w:spacing w:before="0" w:after="0" w:line="360" w:lineRule="auto"/>
        <w:jc w:val="center"/>
        <w:rPr>
          <w:rFonts w:ascii="宋体" w:hAnsi="宋体" w:cs="宋体"/>
          <w:color w:val="auto"/>
          <w:highlight w:val="none"/>
        </w:rPr>
      </w:pPr>
      <w:bookmarkStart w:id="111" w:name="_Toc21814"/>
      <w:bookmarkStart w:id="112" w:name="_Toc216704984"/>
      <w:r>
        <w:rPr>
          <w:rFonts w:hint="eastAsia" w:ascii="宋体" w:hAnsi="宋体" w:cs="宋体"/>
          <w:color w:val="auto"/>
          <w:highlight w:val="none"/>
        </w:rPr>
        <w:t>异议</w:t>
      </w:r>
      <w:bookmarkEnd w:id="111"/>
      <w:bookmarkEnd w:id="112"/>
    </w:p>
    <w:p>
      <w:pPr>
        <w:pStyle w:val="5"/>
        <w:widowControl w:val="0"/>
        <w:numPr>
          <w:ilvl w:val="0"/>
          <w:numId w:val="3"/>
        </w:numPr>
        <w:overflowPunct w:val="0"/>
        <w:rPr>
          <w:rFonts w:ascii="宋体" w:hAnsi="宋体" w:cs="宋体"/>
          <w:color w:val="auto"/>
          <w:sz w:val="21"/>
          <w:szCs w:val="21"/>
          <w:highlight w:val="none"/>
        </w:rPr>
      </w:pPr>
      <w:bookmarkStart w:id="113" w:name="_Toc216704985"/>
      <w:bookmarkStart w:id="114" w:name="_Toc9791"/>
      <w:r>
        <w:rPr>
          <w:rFonts w:hint="eastAsia" w:ascii="宋体" w:hAnsi="宋体" w:cs="宋体"/>
          <w:color w:val="auto"/>
          <w:sz w:val="21"/>
          <w:szCs w:val="21"/>
          <w:highlight w:val="none"/>
        </w:rPr>
        <w:t>异议</w:t>
      </w:r>
      <w:bookmarkEnd w:id="113"/>
      <w:bookmarkEnd w:id="114"/>
    </w:p>
    <w:p>
      <w:pPr>
        <w:pStyle w:val="44"/>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pPr>
        <w:widowControl w:val="0"/>
        <w:tabs>
          <w:tab w:val="left" w:pos="907"/>
        </w:tabs>
        <w:adjustRightInd/>
        <w:snapToGrid/>
        <w:ind w:firstLine="420" w:firstLineChars="200"/>
        <w:jc w:val="both"/>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pPr>
        <w:rPr>
          <w:rFonts w:ascii="宋体" w:hAnsi="宋体" w:cs="宋体"/>
          <w:color w:val="auto"/>
          <w:highlight w:val="none"/>
        </w:rPr>
      </w:pPr>
    </w:p>
    <w:p>
      <w:pPr>
        <w:pStyle w:val="4"/>
        <w:numPr>
          <w:ilvl w:val="0"/>
          <w:numId w:val="2"/>
        </w:numPr>
        <w:spacing w:before="0" w:after="0" w:line="360" w:lineRule="auto"/>
        <w:jc w:val="center"/>
        <w:rPr>
          <w:rFonts w:ascii="宋体" w:hAnsi="宋体" w:cs="宋体"/>
          <w:color w:val="auto"/>
          <w:highlight w:val="none"/>
        </w:rPr>
      </w:pPr>
      <w:bookmarkStart w:id="115" w:name="_Toc18965"/>
      <w:bookmarkStart w:id="116" w:name="_Toc216704986"/>
      <w:r>
        <w:rPr>
          <w:rFonts w:hint="eastAsia" w:ascii="宋体" w:hAnsi="宋体" w:cs="宋体"/>
          <w:color w:val="auto"/>
          <w:highlight w:val="none"/>
        </w:rPr>
        <w:t>其他</w:t>
      </w:r>
      <w:bookmarkEnd w:id="115"/>
      <w:bookmarkEnd w:id="116"/>
    </w:p>
    <w:p>
      <w:pPr>
        <w:pStyle w:val="5"/>
        <w:widowControl w:val="0"/>
        <w:numPr>
          <w:ilvl w:val="0"/>
          <w:numId w:val="3"/>
        </w:numPr>
        <w:overflowPunct w:val="0"/>
        <w:rPr>
          <w:rFonts w:ascii="宋体" w:hAnsi="宋体" w:cs="宋体"/>
          <w:color w:val="auto"/>
          <w:sz w:val="21"/>
          <w:szCs w:val="21"/>
          <w:highlight w:val="none"/>
        </w:rPr>
      </w:pPr>
      <w:bookmarkStart w:id="117" w:name="_Toc216704987"/>
      <w:bookmarkStart w:id="118" w:name="_Toc1587"/>
      <w:r>
        <w:rPr>
          <w:rFonts w:hint="eastAsia" w:ascii="宋体" w:hAnsi="宋体" w:cs="宋体"/>
          <w:color w:val="auto"/>
          <w:sz w:val="21"/>
          <w:szCs w:val="21"/>
          <w:highlight w:val="none"/>
        </w:rPr>
        <w:t>采购文件的解释权</w:t>
      </w:r>
      <w:bookmarkEnd w:id="117"/>
      <w:bookmarkEnd w:id="118"/>
    </w:p>
    <w:p>
      <w:pPr>
        <w:pStyle w:val="44"/>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pPr>
        <w:widowControl w:val="0"/>
        <w:numPr>
          <w:ilvl w:val="1"/>
          <w:numId w:val="9"/>
        </w:numPr>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br w:type="page"/>
      </w:r>
    </w:p>
    <w:p>
      <w:pPr>
        <w:pStyle w:val="3"/>
        <w:spacing w:before="0" w:after="0" w:line="240" w:lineRule="auto"/>
        <w:rPr>
          <w:color w:val="auto"/>
          <w:sz w:val="28"/>
          <w:szCs w:val="28"/>
          <w:highlight w:val="none"/>
        </w:rPr>
      </w:pPr>
      <w:bookmarkStart w:id="119" w:name="_Toc216704988"/>
      <w:r>
        <w:rPr>
          <w:rFonts w:hint="eastAsia"/>
          <w:color w:val="auto"/>
          <w:sz w:val="28"/>
          <w:szCs w:val="28"/>
          <w:highlight w:val="none"/>
        </w:rPr>
        <w:t>第五部分 合同条款格式</w:t>
      </w:r>
      <w:bookmarkEnd w:id="119"/>
      <w:bookmarkStart w:id="120" w:name="_Toc15636"/>
    </w:p>
    <w:bookmarkEnd w:id="120"/>
    <w:p>
      <w:pPr>
        <w:rPr>
          <w:color w:val="auto"/>
          <w:highlight w:val="none"/>
          <w:lang w:bidi="zh-CN"/>
        </w:rPr>
      </w:pPr>
      <w:bookmarkStart w:id="121" w:name="_Hlt109815959"/>
      <w:bookmarkEnd w:id="121"/>
    </w:p>
    <w:p>
      <w:pPr>
        <w:jc w:val="center"/>
        <w:rPr>
          <w:rFonts w:eastAsia="黑体"/>
          <w:bCs/>
          <w:color w:val="auto"/>
          <w:spacing w:val="20"/>
          <w:sz w:val="28"/>
          <w:szCs w:val="18"/>
          <w:highlight w:val="none"/>
        </w:rPr>
      </w:pPr>
      <w:bookmarkStart w:id="122" w:name="_Toc2829"/>
      <w:r>
        <w:rPr>
          <w:rFonts w:hint="eastAsia" w:eastAsia="黑体"/>
          <w:bCs/>
          <w:color w:val="auto"/>
          <w:spacing w:val="20"/>
          <w:sz w:val="28"/>
          <w:szCs w:val="18"/>
          <w:highlight w:val="none"/>
        </w:rPr>
        <w:t xml:space="preserve">         </w:t>
      </w:r>
    </w:p>
    <w:p>
      <w:pPr>
        <w:jc w:val="center"/>
        <w:rPr>
          <w:rFonts w:eastAsia="黑体"/>
          <w:bCs/>
          <w:color w:val="auto"/>
          <w:spacing w:val="20"/>
          <w:sz w:val="28"/>
          <w:szCs w:val="18"/>
          <w:highlight w:val="none"/>
        </w:rPr>
      </w:pPr>
      <w:r>
        <w:rPr>
          <w:rFonts w:hint="eastAsia" w:eastAsia="黑体"/>
          <w:bCs/>
          <w:color w:val="auto"/>
          <w:spacing w:val="20"/>
          <w:sz w:val="28"/>
          <w:szCs w:val="18"/>
          <w:highlight w:val="none"/>
        </w:rPr>
        <w:t xml:space="preserve">           合同编号：</w:t>
      </w:r>
    </w:p>
    <w:p>
      <w:pPr>
        <w:jc w:val="center"/>
        <w:rPr>
          <w:rFonts w:eastAsia="黑体"/>
          <w:b/>
          <w:color w:val="auto"/>
          <w:spacing w:val="20"/>
          <w:sz w:val="44"/>
          <w:highlight w:val="none"/>
        </w:rPr>
      </w:pPr>
    </w:p>
    <w:p>
      <w:pPr>
        <w:spacing w:line="560" w:lineRule="exact"/>
        <w:jc w:val="center"/>
        <w:rPr>
          <w:rFonts w:hAnsi="宋体"/>
          <w:b/>
          <w:color w:val="auto"/>
          <w:sz w:val="52"/>
          <w:szCs w:val="52"/>
          <w:highlight w:val="none"/>
        </w:rPr>
      </w:pPr>
    </w:p>
    <w:p>
      <w:pPr>
        <w:spacing w:line="560" w:lineRule="exact"/>
        <w:jc w:val="center"/>
        <w:rPr>
          <w:rFonts w:hAnsi="宋体"/>
          <w:b/>
          <w:color w:val="auto"/>
          <w:sz w:val="52"/>
          <w:szCs w:val="52"/>
          <w:highlight w:val="none"/>
        </w:rPr>
      </w:pPr>
    </w:p>
    <w:p>
      <w:pPr>
        <w:spacing w:line="560" w:lineRule="exact"/>
        <w:jc w:val="center"/>
        <w:rPr>
          <w:rFonts w:hAnsi="宋体"/>
          <w:b/>
          <w:color w:val="auto"/>
          <w:sz w:val="52"/>
          <w:szCs w:val="52"/>
          <w:highlight w:val="none"/>
        </w:rPr>
      </w:pPr>
    </w:p>
    <w:p>
      <w:pPr>
        <w:spacing w:line="560" w:lineRule="exact"/>
        <w:jc w:val="center"/>
        <w:rPr>
          <w:rFonts w:hint="eastAsia" w:hAnsi="宋体"/>
          <w:b/>
          <w:color w:val="auto"/>
          <w:sz w:val="52"/>
          <w:szCs w:val="52"/>
          <w:highlight w:val="none"/>
        </w:rPr>
      </w:pPr>
      <w:r>
        <w:rPr>
          <w:rFonts w:hint="eastAsia" w:hAnsi="宋体"/>
          <w:b/>
          <w:color w:val="auto"/>
          <w:sz w:val="52"/>
          <w:szCs w:val="52"/>
          <w:highlight w:val="none"/>
        </w:rPr>
        <w:t>液化</w:t>
      </w:r>
      <w:r>
        <w:rPr>
          <w:rFonts w:hAnsi="宋体"/>
          <w:b/>
          <w:color w:val="auto"/>
          <w:sz w:val="52"/>
          <w:szCs w:val="52"/>
          <w:highlight w:val="none"/>
        </w:rPr>
        <w:t>天然气</w:t>
      </w:r>
      <w:r>
        <w:rPr>
          <w:rFonts w:hint="eastAsia" w:hAnsi="宋体"/>
          <w:b/>
          <w:color w:val="auto"/>
          <w:sz w:val="52"/>
          <w:szCs w:val="52"/>
          <w:highlight w:val="none"/>
        </w:rPr>
        <w:t>（LNG）购销合同</w:t>
      </w:r>
    </w:p>
    <w:p>
      <w:pPr>
        <w:spacing w:line="360" w:lineRule="auto"/>
        <w:jc w:val="center"/>
        <w:rPr>
          <w:rFonts w:hint="eastAsia" w:ascii="宋体" w:hAnsi="宋体" w:eastAsia="宋体"/>
          <w:b/>
          <w:bCs/>
          <w:color w:val="auto"/>
          <w:spacing w:val="20"/>
          <w:sz w:val="21"/>
          <w:szCs w:val="21"/>
          <w:highlight w:val="none"/>
          <w:lang w:eastAsia="zh-CN"/>
        </w:rPr>
      </w:pPr>
      <w:r>
        <w:rPr>
          <w:rFonts w:hint="eastAsia" w:ascii="宋体" w:hAnsi="宋体"/>
          <w:b/>
          <w:bCs/>
          <w:color w:val="auto"/>
          <w:spacing w:val="20"/>
          <w:sz w:val="21"/>
          <w:szCs w:val="21"/>
          <w:highlight w:val="none"/>
          <w:lang w:eastAsia="zh-CN"/>
        </w:rPr>
        <w:t>（本合同文本仅供参考，实际以签订合同为准）</w:t>
      </w:r>
    </w:p>
    <w:p>
      <w:pPr>
        <w:pStyle w:val="30"/>
        <w:rPr>
          <w:color w:val="auto"/>
          <w:highlight w:val="none"/>
        </w:rPr>
      </w:pPr>
    </w:p>
    <w:p>
      <w:pPr>
        <w:spacing w:line="560" w:lineRule="exact"/>
        <w:rPr>
          <w:rFonts w:hAnsi="宋体"/>
          <w:b/>
          <w:color w:val="auto"/>
          <w:sz w:val="52"/>
          <w:szCs w:val="52"/>
          <w:highlight w:val="none"/>
        </w:rPr>
      </w:pPr>
    </w:p>
    <w:p>
      <w:pPr>
        <w:spacing w:line="560" w:lineRule="exact"/>
        <w:jc w:val="center"/>
        <w:rPr>
          <w:rFonts w:hAnsi="宋体"/>
          <w:color w:val="auto"/>
          <w:sz w:val="28"/>
          <w:szCs w:val="28"/>
          <w:highlight w:val="none"/>
        </w:rPr>
      </w:pPr>
    </w:p>
    <w:p>
      <w:pPr>
        <w:spacing w:line="560" w:lineRule="exact"/>
        <w:jc w:val="center"/>
        <w:rPr>
          <w:b/>
          <w:color w:val="auto"/>
          <w:sz w:val="30"/>
          <w:szCs w:val="30"/>
          <w:highlight w:val="none"/>
        </w:rPr>
      </w:pPr>
    </w:p>
    <w:p>
      <w:pPr>
        <w:spacing w:line="560" w:lineRule="exact"/>
        <w:jc w:val="center"/>
        <w:rPr>
          <w:b/>
          <w:color w:val="auto"/>
          <w:sz w:val="30"/>
          <w:szCs w:val="30"/>
          <w:highlight w:val="none"/>
        </w:rPr>
      </w:pPr>
    </w:p>
    <w:p>
      <w:pPr>
        <w:spacing w:line="560" w:lineRule="exact"/>
        <w:jc w:val="center"/>
        <w:rPr>
          <w:b/>
          <w:color w:val="auto"/>
          <w:sz w:val="30"/>
          <w:szCs w:val="30"/>
          <w:highlight w:val="none"/>
        </w:rPr>
      </w:pPr>
    </w:p>
    <w:p>
      <w:pPr>
        <w:spacing w:line="560" w:lineRule="exact"/>
        <w:jc w:val="center"/>
        <w:rPr>
          <w:b/>
          <w:color w:val="auto"/>
          <w:sz w:val="30"/>
          <w:szCs w:val="30"/>
          <w:highlight w:val="none"/>
        </w:rPr>
      </w:pPr>
    </w:p>
    <w:p>
      <w:pPr>
        <w:spacing w:line="560" w:lineRule="exact"/>
        <w:rPr>
          <w:b/>
          <w:color w:val="auto"/>
          <w:sz w:val="32"/>
          <w:szCs w:val="28"/>
          <w:highlight w:val="none"/>
        </w:rPr>
      </w:pPr>
    </w:p>
    <w:p>
      <w:pPr>
        <w:spacing w:line="560" w:lineRule="exact"/>
        <w:rPr>
          <w:b/>
          <w:color w:val="auto"/>
          <w:sz w:val="32"/>
          <w:szCs w:val="28"/>
          <w:highlight w:val="none"/>
          <w:u w:val="single"/>
        </w:rPr>
      </w:pPr>
      <w:r>
        <w:rPr>
          <w:rFonts w:hint="eastAsia"/>
          <w:b/>
          <w:color w:val="auto"/>
          <w:sz w:val="32"/>
          <w:szCs w:val="28"/>
          <w:highlight w:val="none"/>
        </w:rPr>
        <w:t xml:space="preserve">            买方：东莞新锋交通能源发展有限公司</w:t>
      </w:r>
    </w:p>
    <w:p>
      <w:pPr>
        <w:spacing w:line="560" w:lineRule="exact"/>
        <w:ind w:firstLine="1928" w:firstLineChars="600"/>
        <w:rPr>
          <w:color w:val="auto"/>
          <w:sz w:val="32"/>
          <w:szCs w:val="28"/>
          <w:highlight w:val="none"/>
        </w:rPr>
      </w:pPr>
      <w:r>
        <w:rPr>
          <w:rFonts w:hint="eastAsia"/>
          <w:b/>
          <w:color w:val="auto"/>
          <w:sz w:val="32"/>
          <w:szCs w:val="28"/>
          <w:highlight w:val="none"/>
        </w:rPr>
        <w:t>卖方：XX公司</w:t>
      </w:r>
    </w:p>
    <w:p>
      <w:pPr>
        <w:spacing w:line="560" w:lineRule="exact"/>
        <w:jc w:val="center"/>
        <w:rPr>
          <w:b/>
          <w:color w:val="auto"/>
          <w:sz w:val="48"/>
          <w:szCs w:val="44"/>
          <w:highlight w:val="none"/>
        </w:rPr>
      </w:pPr>
    </w:p>
    <w:p>
      <w:pPr>
        <w:spacing w:line="560" w:lineRule="exact"/>
        <w:jc w:val="center"/>
        <w:rPr>
          <w:b/>
          <w:color w:val="auto"/>
          <w:sz w:val="44"/>
          <w:szCs w:val="44"/>
          <w:highlight w:val="none"/>
        </w:rPr>
      </w:pPr>
    </w:p>
    <w:p>
      <w:pPr>
        <w:spacing w:line="560" w:lineRule="exact"/>
        <w:jc w:val="center"/>
        <w:rPr>
          <w:b/>
          <w:color w:val="auto"/>
          <w:sz w:val="44"/>
          <w:szCs w:val="44"/>
          <w:highlight w:val="none"/>
        </w:rPr>
      </w:pPr>
    </w:p>
    <w:p>
      <w:pPr>
        <w:spacing w:line="560" w:lineRule="exact"/>
        <w:jc w:val="center"/>
        <w:rPr>
          <w:b/>
          <w:color w:val="auto"/>
          <w:sz w:val="44"/>
          <w:szCs w:val="44"/>
          <w:highlight w:val="none"/>
        </w:rPr>
      </w:pPr>
    </w:p>
    <w:p>
      <w:pPr>
        <w:spacing w:line="560" w:lineRule="exact"/>
        <w:jc w:val="center"/>
        <w:rPr>
          <w:b/>
          <w:color w:val="auto"/>
          <w:sz w:val="44"/>
          <w:szCs w:val="44"/>
          <w:highlight w:val="none"/>
        </w:rPr>
      </w:pPr>
    </w:p>
    <w:p>
      <w:pPr>
        <w:spacing w:line="560" w:lineRule="exact"/>
        <w:jc w:val="center"/>
        <w:rPr>
          <w:b/>
          <w:color w:val="auto"/>
          <w:sz w:val="44"/>
          <w:szCs w:val="44"/>
          <w:highlight w:val="none"/>
        </w:rPr>
      </w:pPr>
    </w:p>
    <w:p>
      <w:pPr>
        <w:spacing w:line="560" w:lineRule="exact"/>
        <w:jc w:val="center"/>
        <w:rPr>
          <w:rFonts w:hAnsi="宋体"/>
          <w:b/>
          <w:color w:val="auto"/>
          <w:sz w:val="32"/>
          <w:highlight w:val="none"/>
        </w:rPr>
      </w:pPr>
      <w:r>
        <w:rPr>
          <w:rFonts w:hint="eastAsia" w:hAnsi="宋体"/>
          <w:b/>
          <w:color w:val="auto"/>
          <w:sz w:val="32"/>
          <w:highlight w:val="none"/>
        </w:rPr>
        <w:t xml:space="preserve">签订日期：    </w:t>
      </w:r>
      <w:r>
        <w:rPr>
          <w:rFonts w:hAnsi="宋体"/>
          <w:b/>
          <w:color w:val="auto"/>
          <w:sz w:val="32"/>
          <w:highlight w:val="none"/>
        </w:rPr>
        <w:t>年</w:t>
      </w:r>
      <w:r>
        <w:rPr>
          <w:rFonts w:hint="eastAsia" w:hAnsi="宋体"/>
          <w:b/>
          <w:color w:val="auto"/>
          <w:sz w:val="32"/>
          <w:highlight w:val="none"/>
        </w:rPr>
        <w:t xml:space="preserve">  月  日</w:t>
      </w:r>
    </w:p>
    <w:p>
      <w:pPr>
        <w:spacing w:line="560" w:lineRule="exact"/>
        <w:jc w:val="center"/>
        <w:rPr>
          <w:b/>
          <w:color w:val="auto"/>
          <w:sz w:val="48"/>
          <w:szCs w:val="44"/>
          <w:highlight w:val="none"/>
        </w:rPr>
      </w:pPr>
    </w:p>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LNG销售合同</w:t>
      </w:r>
    </w:p>
    <w:p>
      <w:pPr>
        <w:spacing w:line="480" w:lineRule="exact"/>
        <w:ind w:firstLine="420" w:firstLineChars="200"/>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本液化天然气(LNG)购销合同（以下简称</w:t>
      </w:r>
      <w:r>
        <w:rPr>
          <w:rFonts w:hint="eastAsia" w:asciiTheme="minorEastAsia" w:hAnsiTheme="minorEastAsia" w:eastAsiaTheme="minorEastAsia"/>
          <w:bCs/>
          <w:color w:val="auto"/>
          <w:szCs w:val="21"/>
          <w:highlight w:val="none"/>
        </w:rPr>
        <w:t>“</w:t>
      </w:r>
      <w:r>
        <w:rPr>
          <w:rFonts w:asciiTheme="minorEastAsia" w:hAnsiTheme="minorEastAsia" w:eastAsiaTheme="minorEastAsia"/>
          <w:bCs/>
          <w:color w:val="auto"/>
          <w:szCs w:val="21"/>
          <w:highlight w:val="none"/>
        </w:rPr>
        <w:t>本合同</w:t>
      </w:r>
      <w:r>
        <w:rPr>
          <w:rFonts w:hint="eastAsia" w:asciiTheme="minorEastAsia" w:hAnsiTheme="minorEastAsia" w:eastAsiaTheme="minorEastAsia"/>
          <w:bCs/>
          <w:color w:val="auto"/>
          <w:szCs w:val="21"/>
          <w:highlight w:val="none"/>
        </w:rPr>
        <w:t>”</w:t>
      </w:r>
      <w:r>
        <w:rPr>
          <w:rFonts w:asciiTheme="minorEastAsia" w:hAnsiTheme="minorEastAsia" w:eastAsiaTheme="minorEastAsia"/>
          <w:bCs/>
          <w:color w:val="auto"/>
          <w:szCs w:val="21"/>
          <w:highlight w:val="none"/>
        </w:rPr>
        <w:t>)由以下缔约</w:t>
      </w:r>
    </w:p>
    <w:p>
      <w:pPr>
        <w:spacing w:line="480" w:lineRule="exact"/>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方签署：</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买方：</w:t>
      </w:r>
      <w:r>
        <w:rPr>
          <w:rFonts w:hint="eastAsia" w:asciiTheme="minorEastAsia" w:hAnsiTheme="minorEastAsia" w:eastAsiaTheme="minorEastAsia"/>
          <w:color w:val="auto"/>
          <w:szCs w:val="21"/>
          <w:highlight w:val="none"/>
        </w:rPr>
        <w:t>东莞新锋交通能源发展有限公司</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统一社会信用代码：</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法定代表人：</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通讯地址：</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联系人：</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联系电话：</w:t>
      </w:r>
    </w:p>
    <w:p>
      <w:pPr>
        <w:spacing w:line="480" w:lineRule="exact"/>
        <w:ind w:left="559" w:leftChars="266"/>
        <w:rPr>
          <w:rFonts w:asciiTheme="minorEastAsia" w:hAnsiTheme="minorEastAsia" w:eastAsiaTheme="minorEastAsia"/>
          <w:color w:val="auto"/>
          <w:szCs w:val="21"/>
          <w:highlight w:val="none"/>
        </w:rPr>
      </w:pPr>
      <w:r>
        <w:rPr>
          <w:rFonts w:hint="eastAsia" w:cs="Times New Roman" w:asciiTheme="minorEastAsia" w:hAnsiTheme="minorEastAsia" w:eastAsiaTheme="minorEastAsia"/>
          <w:b/>
          <w:color w:val="auto"/>
          <w:szCs w:val="21"/>
          <w:highlight w:val="none"/>
        </w:rPr>
        <w:t>开户银行：</w:t>
      </w:r>
    </w:p>
    <w:p>
      <w:pPr>
        <w:spacing w:line="480" w:lineRule="exact"/>
        <w:ind w:firstLine="422" w:firstLineChars="200"/>
        <w:rPr>
          <w:rFonts w:asciiTheme="minorEastAsia" w:hAnsiTheme="minorEastAsia" w:eastAsiaTheme="minorEastAsia"/>
          <w:b/>
          <w:color w:val="auto"/>
          <w:szCs w:val="21"/>
          <w:highlight w:val="none"/>
        </w:rPr>
      </w:pPr>
      <w:r>
        <w:rPr>
          <w:rFonts w:hint="eastAsia" w:cs="Times New Roman" w:asciiTheme="minorEastAsia" w:hAnsiTheme="minorEastAsia" w:eastAsiaTheme="minorEastAsia"/>
          <w:b/>
          <w:color w:val="auto"/>
          <w:szCs w:val="21"/>
          <w:highlight w:val="none"/>
        </w:rPr>
        <w:t>银行账号：</w:t>
      </w:r>
    </w:p>
    <w:p>
      <w:pPr>
        <w:pStyle w:val="10"/>
        <w:spacing w:line="480" w:lineRule="exact"/>
        <w:rPr>
          <w:rFonts w:asciiTheme="minorEastAsia" w:hAnsiTheme="minorEastAsia" w:eastAsiaTheme="minorEastAsia"/>
          <w:color w:val="auto"/>
          <w:sz w:val="21"/>
          <w:szCs w:val="21"/>
          <w:highlight w:val="none"/>
        </w:rPr>
      </w:pPr>
    </w:p>
    <w:p>
      <w:pPr>
        <w:spacing w:line="480" w:lineRule="exact"/>
        <w:ind w:firstLine="422" w:firstLineChars="20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卖方：</w:t>
      </w:r>
      <w:r>
        <w:rPr>
          <w:rFonts w:hint="eastAsia" w:asciiTheme="minorEastAsia" w:hAnsiTheme="minorEastAsia" w:eastAsiaTheme="minorEastAsia"/>
          <w:color w:val="auto"/>
          <w:szCs w:val="21"/>
          <w:highlight w:val="none"/>
        </w:rPr>
        <w:t>XX公司</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统一社会信用代码：</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法定代表人：</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通讯地址：</w:t>
      </w:r>
    </w:p>
    <w:p>
      <w:pPr>
        <w:spacing w:line="48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联系人：</w:t>
      </w:r>
    </w:p>
    <w:p>
      <w:pPr>
        <w:spacing w:line="480" w:lineRule="exact"/>
        <w:ind w:firstLine="422" w:firstLineChars="20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联系电话：</w:t>
      </w:r>
    </w:p>
    <w:p>
      <w:pPr>
        <w:spacing w:line="480" w:lineRule="exact"/>
        <w:ind w:left="559" w:leftChars="266"/>
        <w:rPr>
          <w:rFonts w:asciiTheme="minorEastAsia" w:hAnsiTheme="minorEastAsia" w:eastAsiaTheme="minorEastAsia"/>
          <w:color w:val="auto"/>
          <w:szCs w:val="21"/>
          <w:highlight w:val="none"/>
        </w:rPr>
      </w:pPr>
      <w:r>
        <w:rPr>
          <w:rFonts w:hint="eastAsia" w:cs="Times New Roman" w:asciiTheme="minorEastAsia" w:hAnsiTheme="minorEastAsia" w:eastAsiaTheme="minorEastAsia"/>
          <w:b/>
          <w:color w:val="auto"/>
          <w:szCs w:val="21"/>
          <w:highlight w:val="none"/>
        </w:rPr>
        <w:t>开户银行：</w:t>
      </w:r>
    </w:p>
    <w:p>
      <w:pPr>
        <w:spacing w:line="480" w:lineRule="exact"/>
        <w:ind w:left="559" w:leftChars="266"/>
        <w:rPr>
          <w:rFonts w:asciiTheme="minorEastAsia" w:hAnsiTheme="minorEastAsia" w:eastAsiaTheme="minorEastAsia"/>
          <w:color w:val="auto"/>
          <w:szCs w:val="21"/>
          <w:highlight w:val="none"/>
        </w:rPr>
      </w:pPr>
      <w:r>
        <w:rPr>
          <w:rFonts w:hint="eastAsia" w:cs="Times New Roman" w:asciiTheme="minorEastAsia" w:hAnsiTheme="minorEastAsia" w:eastAsiaTheme="minorEastAsia"/>
          <w:b/>
          <w:color w:val="auto"/>
          <w:szCs w:val="21"/>
          <w:highlight w:val="none"/>
        </w:rPr>
        <w:t>银行账号：</w:t>
      </w:r>
    </w:p>
    <w:p>
      <w:pPr>
        <w:spacing w:line="48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以上缔约双方合称“双方”，任何一方单独称为</w:t>
      </w:r>
      <w:r>
        <w:rPr>
          <w:rFonts w:hint="eastAsia" w:asciiTheme="minorEastAsia" w:hAnsiTheme="minorEastAsia" w:eastAsiaTheme="minorEastAsia"/>
          <w:bCs/>
          <w:color w:val="auto"/>
          <w:szCs w:val="21"/>
          <w:highlight w:val="none"/>
        </w:rPr>
        <w:t>“</w:t>
      </w:r>
      <w:r>
        <w:rPr>
          <w:rFonts w:hint="eastAsia" w:asciiTheme="minorEastAsia" w:hAnsiTheme="minorEastAsia" w:eastAsiaTheme="minorEastAsia"/>
          <w:color w:val="auto"/>
          <w:szCs w:val="21"/>
          <w:highlight w:val="none"/>
        </w:rPr>
        <w:t>卖方”或</w:t>
      </w:r>
      <w:r>
        <w:rPr>
          <w:rFonts w:hint="eastAsia" w:asciiTheme="minorEastAsia" w:hAnsiTheme="minorEastAsia" w:eastAsiaTheme="minorEastAsia"/>
          <w:bCs/>
          <w:color w:val="auto"/>
          <w:szCs w:val="21"/>
          <w:highlight w:val="none"/>
        </w:rPr>
        <w:t>“</w:t>
      </w:r>
      <w:r>
        <w:rPr>
          <w:rFonts w:hint="eastAsia" w:asciiTheme="minorEastAsia" w:hAnsiTheme="minorEastAsia" w:eastAsiaTheme="minorEastAsia"/>
          <w:color w:val="auto"/>
          <w:szCs w:val="21"/>
          <w:highlight w:val="none"/>
        </w:rPr>
        <w:t>买方”。</w:t>
      </w:r>
    </w:p>
    <w:p>
      <w:pPr>
        <w:spacing w:line="56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根据《中华人民共和国民法典》等相关法律法规，本着平等互利、诚实信用的原则，就有关液化天然气购销和接收、交付等事宜，双方一致同意如下本合同条款并在签署后全面履行本合同。</w:t>
      </w:r>
    </w:p>
    <w:p>
      <w:pPr>
        <w:spacing w:line="560" w:lineRule="exact"/>
        <w:ind w:firstLine="422" w:firstLineChars="200"/>
        <w:rPr>
          <w:rFonts w:asciiTheme="minorEastAsia" w:hAnsiTheme="minorEastAsia" w:eastAsiaTheme="minorEastAsia"/>
          <w:b/>
          <w:color w:val="auto"/>
          <w:szCs w:val="21"/>
          <w:highlight w:val="none"/>
        </w:rPr>
      </w:pPr>
    </w:p>
    <w:p>
      <w:pPr>
        <w:pStyle w:val="10"/>
        <w:rPr>
          <w:rFonts w:asciiTheme="minorEastAsia" w:hAnsiTheme="minorEastAsia" w:eastAsiaTheme="minorEastAsia"/>
          <w:b/>
          <w:color w:val="auto"/>
          <w:sz w:val="21"/>
          <w:szCs w:val="21"/>
          <w:highlight w:val="none"/>
        </w:rPr>
      </w:pPr>
    </w:p>
    <w:p>
      <w:pPr>
        <w:spacing w:line="56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目录</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第一章 定义和解释                                    </w:t>
      </w:r>
      <w:r>
        <w:rPr>
          <w:rFonts w:hint="eastAsia" w:asciiTheme="minorEastAsia" w:hAnsiTheme="minorEastAsia" w:eastAsiaTheme="minorEastAsia"/>
          <w:b/>
          <w:color w:val="auto"/>
          <w:szCs w:val="21"/>
          <w:highlight w:val="none"/>
          <w:lang w:val="en-US" w:eastAsia="zh-CN"/>
        </w:rPr>
        <w:t>36</w:t>
      </w:r>
    </w:p>
    <w:p>
      <w:pPr>
        <w:spacing w:line="56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 xml:space="preserve">第二章 合同期限                                      </w:t>
      </w:r>
      <w:r>
        <w:rPr>
          <w:rFonts w:hint="eastAsia" w:asciiTheme="minorEastAsia" w:hAnsiTheme="minorEastAsia" w:eastAsiaTheme="minorEastAsia"/>
          <w:b/>
          <w:color w:val="auto"/>
          <w:szCs w:val="21"/>
          <w:highlight w:val="none"/>
          <w:lang w:val="en-US" w:eastAsia="zh-CN"/>
        </w:rPr>
        <w:t>36</w:t>
      </w:r>
    </w:p>
    <w:p>
      <w:pPr>
        <w:spacing w:line="56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 xml:space="preserve">第三章 确认函                                        </w:t>
      </w:r>
      <w:r>
        <w:rPr>
          <w:rFonts w:hint="eastAsia" w:asciiTheme="minorEastAsia" w:hAnsiTheme="minorEastAsia" w:eastAsiaTheme="minorEastAsia"/>
          <w:b/>
          <w:color w:val="auto"/>
          <w:szCs w:val="21"/>
          <w:highlight w:val="none"/>
          <w:lang w:val="en-US" w:eastAsia="zh-CN"/>
        </w:rPr>
        <w:t>36</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第四章 标的物和质量                                  </w:t>
      </w:r>
      <w:r>
        <w:rPr>
          <w:rFonts w:hint="eastAsia" w:asciiTheme="minorEastAsia" w:hAnsiTheme="minorEastAsia" w:eastAsiaTheme="minorEastAsia"/>
          <w:b/>
          <w:color w:val="auto"/>
          <w:szCs w:val="21"/>
          <w:highlight w:val="none"/>
          <w:lang w:val="en-US" w:eastAsia="zh-CN"/>
        </w:rPr>
        <w:t>37</w:t>
      </w:r>
    </w:p>
    <w:p>
      <w:pPr>
        <w:spacing w:line="56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 xml:space="preserve">第五章 计划上报与确认                                </w:t>
      </w:r>
      <w:r>
        <w:rPr>
          <w:rFonts w:hint="eastAsia" w:asciiTheme="minorEastAsia" w:hAnsiTheme="minorEastAsia" w:eastAsiaTheme="minorEastAsia"/>
          <w:b/>
          <w:color w:val="auto"/>
          <w:szCs w:val="21"/>
          <w:highlight w:val="none"/>
          <w:lang w:val="en-US" w:eastAsia="zh-CN"/>
        </w:rPr>
        <w:t>37</w:t>
      </w:r>
    </w:p>
    <w:p>
      <w:pPr>
        <w:spacing w:line="56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 xml:space="preserve">第六章 付款与结算                                    </w:t>
      </w:r>
      <w:r>
        <w:rPr>
          <w:rFonts w:hint="eastAsia" w:asciiTheme="minorEastAsia" w:hAnsiTheme="minorEastAsia" w:eastAsiaTheme="minorEastAsia"/>
          <w:b/>
          <w:color w:val="auto"/>
          <w:szCs w:val="21"/>
          <w:highlight w:val="none"/>
          <w:lang w:val="en-US" w:eastAsia="zh-CN"/>
        </w:rPr>
        <w:t>37</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第七章 天然气交付                                    </w:t>
      </w:r>
      <w:r>
        <w:rPr>
          <w:rFonts w:hint="eastAsia" w:asciiTheme="minorEastAsia" w:hAnsiTheme="minorEastAsia" w:eastAsiaTheme="minorEastAsia"/>
          <w:b/>
          <w:color w:val="auto"/>
          <w:szCs w:val="21"/>
          <w:highlight w:val="none"/>
          <w:lang w:val="en-US" w:eastAsia="zh-CN"/>
        </w:rPr>
        <w:t>39</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第八章违约责任                                       </w:t>
      </w:r>
      <w:r>
        <w:rPr>
          <w:rFonts w:hint="eastAsia" w:asciiTheme="minorEastAsia" w:hAnsiTheme="minorEastAsia" w:eastAsiaTheme="minorEastAsia"/>
          <w:b/>
          <w:color w:val="auto"/>
          <w:szCs w:val="21"/>
          <w:highlight w:val="none"/>
          <w:lang w:val="en-US" w:eastAsia="zh-CN"/>
        </w:rPr>
        <w:t>40</w:t>
      </w:r>
    </w:p>
    <w:p>
      <w:pPr>
        <w:spacing w:line="560" w:lineRule="exact"/>
        <w:ind w:firstLine="422" w:firstLineChars="200"/>
        <w:rPr>
          <w:rFonts w:hint="eastAsia"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第九章不可抗力                                       </w:t>
      </w:r>
      <w:r>
        <w:rPr>
          <w:rFonts w:hint="eastAsia" w:asciiTheme="minorEastAsia" w:hAnsiTheme="minorEastAsia" w:eastAsiaTheme="minorEastAsia"/>
          <w:b/>
          <w:color w:val="auto"/>
          <w:szCs w:val="21"/>
          <w:highlight w:val="none"/>
          <w:lang w:val="en-US" w:eastAsia="zh-CN"/>
        </w:rPr>
        <w:t>40</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第十章保密                                          </w:t>
      </w:r>
      <w:r>
        <w:rPr>
          <w:rFonts w:hint="eastAsia" w:asciiTheme="minorEastAsia" w:hAnsiTheme="minorEastAsia" w:eastAsiaTheme="minorEastAsia"/>
          <w:b/>
          <w:color w:val="auto"/>
          <w:szCs w:val="21"/>
          <w:highlight w:val="none"/>
          <w:lang w:val="en-US" w:eastAsia="zh-CN"/>
        </w:rPr>
        <w:t>42</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第十一章争议解决                                    </w:t>
      </w:r>
      <w:r>
        <w:rPr>
          <w:rFonts w:hint="eastAsia" w:asciiTheme="minorEastAsia" w:hAnsiTheme="minorEastAsia" w:eastAsiaTheme="minorEastAsia"/>
          <w:b/>
          <w:color w:val="auto"/>
          <w:szCs w:val="21"/>
          <w:highlight w:val="none"/>
          <w:lang w:val="en-US" w:eastAsia="zh-CN"/>
        </w:rPr>
        <w:t>42</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第十二章 适用法律                                   </w:t>
      </w:r>
      <w:r>
        <w:rPr>
          <w:rFonts w:hint="eastAsia" w:asciiTheme="minorEastAsia" w:hAnsiTheme="minorEastAsia" w:eastAsiaTheme="minorEastAsia"/>
          <w:b/>
          <w:color w:val="auto"/>
          <w:szCs w:val="21"/>
          <w:highlight w:val="none"/>
          <w:lang w:val="en-US" w:eastAsia="zh-CN"/>
        </w:rPr>
        <w:t>42</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第十三章 其他                                       </w:t>
      </w:r>
      <w:r>
        <w:rPr>
          <w:rFonts w:hint="eastAsia" w:asciiTheme="minorEastAsia" w:hAnsiTheme="minorEastAsia" w:eastAsiaTheme="minorEastAsia"/>
          <w:b/>
          <w:color w:val="auto"/>
          <w:szCs w:val="21"/>
          <w:highlight w:val="none"/>
          <w:lang w:val="en-US" w:eastAsia="zh-CN"/>
        </w:rPr>
        <w:t>42</w:t>
      </w:r>
    </w:p>
    <w:p>
      <w:pPr>
        <w:spacing w:line="560" w:lineRule="exact"/>
        <w:ind w:firstLine="422" w:firstLineChars="20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 xml:space="preserve">附件一：                                            </w:t>
      </w:r>
      <w:r>
        <w:rPr>
          <w:rFonts w:hint="eastAsia" w:asciiTheme="minorEastAsia" w:hAnsiTheme="minorEastAsia" w:eastAsiaTheme="minorEastAsia"/>
          <w:b/>
          <w:color w:val="auto"/>
          <w:szCs w:val="21"/>
          <w:highlight w:val="none"/>
          <w:lang w:val="en-US" w:eastAsia="zh-CN"/>
        </w:rPr>
        <w:t>45</w:t>
      </w:r>
    </w:p>
    <w:p>
      <w:pPr>
        <w:adjustRightInd/>
        <w:snapToGrid/>
        <w:spacing w:line="240" w:lineRule="auto"/>
        <w:rPr>
          <w:rFonts w:asciiTheme="minorEastAsia" w:hAnsiTheme="minorEastAsia" w:eastAsiaTheme="minorEastAsia"/>
          <w:b/>
          <w:color w:val="auto"/>
          <w:szCs w:val="21"/>
          <w:highlight w:val="none"/>
        </w:rPr>
      </w:pPr>
      <w:r>
        <w:rPr>
          <w:rFonts w:asciiTheme="minorEastAsia" w:hAnsiTheme="minorEastAsia" w:eastAsiaTheme="minorEastAsia"/>
          <w:b/>
          <w:color w:val="auto"/>
          <w:szCs w:val="21"/>
          <w:highlight w:val="none"/>
        </w:rPr>
        <w:br w:type="page"/>
      </w:r>
    </w:p>
    <w:p>
      <w:pPr>
        <w:numPr>
          <w:ilvl w:val="0"/>
          <w:numId w:val="10"/>
        </w:numPr>
        <w:spacing w:line="560" w:lineRule="exact"/>
        <w:ind w:firstLine="422" w:firstLineChars="200"/>
        <w:rPr>
          <w:rFonts w:hint="eastAsia"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定义和解释</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1.“不可抗力”指本合同第九章条款所规定。</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2.“液化天然气(LNG)”:包括但不限于液化天然气(LNG)等非管道输送的天然气。</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3.“日”:指从任何一个公历日,自该日00:00 时起至该日 24:00 时止的期间</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4.“周”:指从任何一个公历周第一日00:00时起至该公历周最后一日24:00时止的期间，星期一为公历周的第一日。</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5.“月”:指从某个公历月第一日00:00时起至该公历月最后一日24:00时止的期间。</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6.“工作日”指除星期六、星期日或中国的公共假日以外的任何日子。</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7.结算周期:上月26日0:00至下月25日24:00的期间，如另有约定按约定执行。</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8.结算日:每月 26日为结算日，如另有约定按约定执行。</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9.“时间”:除非另有规定，本合同所提及的任何时间均指北京时间。</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10.“吨”:指公制的公吨，等于1000公斤，本合同中用做液化天然气计量单位</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11.“标准立方米”指一个大气压下，20℃时1立方米天然气的体积。</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12.“车辆”:指用于运输液化天然气液体的专用槽车。</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13.“上游供应商”指上游现货LNG的供应商。</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14.“终端客户”指买方指定的下游LNG购买用户。</w:t>
      </w:r>
      <w:bookmarkStart w:id="123" w:name="_Toc225059994"/>
    </w:p>
    <w:p>
      <w:pPr>
        <w:spacing w:line="360" w:lineRule="auto"/>
        <w:jc w:val="both"/>
        <w:rPr>
          <w:rFonts w:hint="eastAsia" w:ascii="宋体" w:hAnsi="宋体"/>
          <w:b/>
          <w:color w:val="auto"/>
          <w:sz w:val="21"/>
          <w:szCs w:val="21"/>
          <w:highlight w:val="none"/>
        </w:rPr>
      </w:pPr>
    </w:p>
    <w:p>
      <w:pPr>
        <w:spacing w:line="360" w:lineRule="auto"/>
        <w:jc w:val="both"/>
        <w:rPr>
          <w:rFonts w:ascii="宋体" w:hAnsi="宋体"/>
          <w:b/>
          <w:color w:val="auto"/>
          <w:sz w:val="21"/>
          <w:szCs w:val="21"/>
          <w:highlight w:val="none"/>
        </w:rPr>
      </w:pPr>
      <w:r>
        <w:rPr>
          <w:rFonts w:hint="eastAsia" w:ascii="宋体" w:hAnsi="宋体"/>
          <w:b/>
          <w:color w:val="auto"/>
          <w:sz w:val="21"/>
          <w:szCs w:val="21"/>
          <w:highlight w:val="none"/>
        </w:rPr>
        <w:t>第</w:t>
      </w:r>
      <w:r>
        <w:rPr>
          <w:rFonts w:hint="eastAsia" w:ascii="宋体" w:hAnsi="宋体"/>
          <w:b/>
          <w:color w:val="auto"/>
          <w:sz w:val="21"/>
          <w:szCs w:val="21"/>
          <w:highlight w:val="none"/>
          <w:lang w:val="en-US" w:eastAsia="zh-CN"/>
        </w:rPr>
        <w:t>二</w:t>
      </w:r>
      <w:r>
        <w:rPr>
          <w:rFonts w:hint="eastAsia" w:ascii="宋体" w:hAnsi="宋体"/>
          <w:b/>
          <w:color w:val="auto"/>
          <w:sz w:val="21"/>
          <w:szCs w:val="21"/>
          <w:highlight w:val="none"/>
        </w:rPr>
        <w:t>条　</w:t>
      </w:r>
      <w:r>
        <w:rPr>
          <w:rFonts w:hint="eastAsia" w:ascii="宋体" w:hAnsi="宋体"/>
          <w:b/>
          <w:color w:val="auto"/>
          <w:sz w:val="21"/>
          <w:szCs w:val="21"/>
          <w:highlight w:val="none"/>
          <w:lang w:val="en-US" w:eastAsia="zh-CN"/>
        </w:rPr>
        <w:t>合</w:t>
      </w:r>
      <w:r>
        <w:rPr>
          <w:rFonts w:hint="eastAsia" w:ascii="宋体" w:hAnsi="宋体"/>
          <w:b/>
          <w:color w:val="auto"/>
          <w:sz w:val="21"/>
          <w:szCs w:val="21"/>
          <w:highlight w:val="none"/>
        </w:rPr>
        <w:t>同期限及用气数量和范围</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1.本合同约定的履行期限:自202年   月   日起，至202年   月   日止。</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2.本合同约定买方在合同期内的采购数量以双方最终结算气量为准。</w:t>
      </w:r>
    </w:p>
    <w:p>
      <w:pPr>
        <w:spacing w:line="360" w:lineRule="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3.本合同项下天然气的用气范围:买方指定的用气地点。</w:t>
      </w:r>
    </w:p>
    <w:bookmarkEnd w:id="123"/>
    <w:p>
      <w:pPr>
        <w:ind w:firstLine="422" w:firstLineChars="200"/>
        <w:rPr>
          <w:rFonts w:asciiTheme="minorEastAsia" w:hAnsiTheme="minorEastAsia" w:eastAsiaTheme="minorEastAsia"/>
          <w:b/>
          <w:color w:val="auto"/>
          <w:szCs w:val="21"/>
          <w:highlight w:val="none"/>
        </w:rPr>
      </w:pPr>
    </w:p>
    <w:p>
      <w:pPr>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第三条 确认函</w:t>
      </w:r>
    </w:p>
    <w:p>
      <w:pPr>
        <w:spacing w:line="360" w:lineRule="auto"/>
        <w:ind w:firstLine="420" w:firstLineChars="200"/>
        <w:rPr>
          <w:rFonts w:asciiTheme="minorEastAsia" w:hAnsiTheme="minorEastAsia" w:eastAsiaTheme="minorEastAsia"/>
          <w:color w:val="auto"/>
          <w:sz w:val="21"/>
          <w:szCs w:val="21"/>
          <w:highlight w:val="none"/>
        </w:rPr>
      </w:pPr>
      <w:r>
        <w:rPr>
          <w:rFonts w:hint="eastAsia" w:ascii="宋体" w:hAnsi="宋体"/>
          <w:color w:val="auto"/>
          <w:sz w:val="21"/>
          <w:szCs w:val="21"/>
          <w:highlight w:val="none"/>
          <w:lang w:val="en-US" w:eastAsia="zh-CN"/>
        </w:rPr>
        <w:t>本合同不对液化天然气交付计划和交付地点作约定，双方以本合同附件一格式交付《LNG交付计划确认函》(下称“确认函”)约定为准。确认函中应说明:(1)上游LNG交付点;(2)交付日期:(3)含税销售价格;(4)下游终端用户及指定的下游LNG交付点。</w:t>
      </w:r>
    </w:p>
    <w:p>
      <w:pPr>
        <w:spacing w:line="52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第四章 标的物和质量</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1.本合同约定的标的物为液化天然气（以下简称“LNG”)。</w:t>
      </w:r>
    </w:p>
    <w:p>
      <w:pPr>
        <w:spacing w:line="360" w:lineRule="auto"/>
        <w:ind w:firstLine="420" w:firstLineChars="200"/>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2.在本合同的有效期内，卖方交付给买方的液化天然气，应符合中国国家GB17820-2018《天然气》（以现行有效的最新版本为准）国标二类天然气气质标准。</w:t>
      </w:r>
    </w:p>
    <w:p>
      <w:pPr>
        <w:spacing w:line="360" w:lineRule="auto"/>
        <w:ind w:firstLine="420" w:firstLineChars="200"/>
        <w:rPr>
          <w:rFonts w:hint="eastAsia" w:ascii="宋体" w:hAnsi="宋体"/>
          <w:color w:val="auto"/>
          <w:sz w:val="21"/>
          <w:szCs w:val="21"/>
          <w:highlight w:val="none"/>
        </w:rPr>
      </w:pPr>
      <w:r>
        <w:rPr>
          <w:rFonts w:hint="eastAsia" w:asciiTheme="minorEastAsia" w:hAnsiTheme="minorEastAsia" w:eastAsiaTheme="minorEastAsia"/>
          <w:color w:val="auto"/>
          <w:szCs w:val="21"/>
          <w:highlight w:val="none"/>
          <w:lang w:val="en-US" w:eastAsia="zh-CN"/>
        </w:rPr>
        <w:t>3.</w:t>
      </w:r>
      <w:r>
        <w:rPr>
          <w:rFonts w:hint="eastAsia" w:ascii="宋体" w:hAnsi="宋体"/>
          <w:color w:val="auto"/>
          <w:sz w:val="21"/>
          <w:szCs w:val="21"/>
          <w:highlight w:val="none"/>
        </w:rPr>
        <w:t>除</w:t>
      </w:r>
      <w:r>
        <w:rPr>
          <w:rFonts w:hint="eastAsia" w:ascii="宋体" w:hAnsi="宋体"/>
          <w:color w:val="auto"/>
          <w:sz w:val="21"/>
          <w:szCs w:val="21"/>
          <w:highlight w:val="none"/>
          <w:lang w:val="en-US" w:eastAsia="zh-CN"/>
        </w:rPr>
        <w:t>本章</w:t>
      </w:r>
      <w:r>
        <w:rPr>
          <w:rFonts w:hint="eastAsia" w:ascii="宋体" w:hAnsi="宋体"/>
          <w:color w:val="auto"/>
          <w:sz w:val="21"/>
          <w:szCs w:val="21"/>
          <w:highlight w:val="none"/>
        </w:rPr>
        <w:t xml:space="preserve"> </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款约定的标准及气质报告外,卖方不再向买方提供其他气质证明。</w:t>
      </w:r>
    </w:p>
    <w:p>
      <w:pPr>
        <w:spacing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4</w:t>
      </w:r>
      <w:r>
        <w:rPr>
          <w:rFonts w:hint="eastAsia" w:ascii="宋体" w:hAnsi="宋体"/>
          <w:color w:val="auto"/>
          <w:sz w:val="21"/>
          <w:szCs w:val="21"/>
          <w:highlight w:val="none"/>
          <w:lang w:val="en-US" w:eastAsia="zh-CN"/>
        </w:rPr>
        <w:t>.</w:t>
      </w:r>
      <w:r>
        <w:rPr>
          <w:rFonts w:hint="eastAsia" w:ascii="宋体" w:hAnsi="宋体"/>
          <w:color w:val="auto"/>
          <w:sz w:val="21"/>
          <w:szCs w:val="21"/>
          <w:highlight w:val="none"/>
        </w:rPr>
        <w:t xml:space="preserve"> 双方如对气质质量有异议，以具有检测资质的第三方出具的检测报告为准。提出进行第三方检测的一方应当承担相应的检测费用，若存在过错方，则由过错方承担相应的检测费用。</w:t>
      </w:r>
    </w:p>
    <w:p>
      <w:pPr>
        <w:spacing w:line="520" w:lineRule="exact"/>
        <w:ind w:firstLine="0" w:firstLineChars="0"/>
        <w:rPr>
          <w:rFonts w:asciiTheme="minorEastAsia" w:hAnsiTheme="minorEastAsia" w:eastAsiaTheme="minorEastAsia"/>
          <w:color w:val="auto"/>
          <w:szCs w:val="21"/>
          <w:highlight w:val="none"/>
        </w:rPr>
      </w:pPr>
    </w:p>
    <w:p>
      <w:pPr>
        <w:spacing w:line="520" w:lineRule="exact"/>
        <w:ind w:firstLine="422" w:firstLineChars="20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第五章 计划上报与确认</w:t>
      </w:r>
    </w:p>
    <w:p>
      <w:pPr>
        <w:spacing w:line="52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.买方每日完成次日采购价格询价工作，并根据加气站实际用气需求，向乙方（供应方）提交次日LNG采购及配送需求计划，明确需求数量、到站时间等核心信息。</w:t>
      </w:r>
    </w:p>
    <w:p>
      <w:pPr>
        <w:spacing w:line="52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2.卖方收到买方提交的次日用气需求计划后，于当日内完成次日LNG配送安排，确定配送车辆、驾驶员信息，并将车辆牌号、驾驶员姓名及联系方式等配送信息书面（或指定通讯方式）告知甲方。</w:t>
      </w:r>
    </w:p>
    <w:p>
      <w:pPr>
        <w:spacing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计划变更: 如需变更日配送计划须买方提前</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日通过有效方式通知卖方卖方同意后实施。如车已经按计划到原配送站，卖方根据中标的分卸费用，按实际多出距离进行计算。</w:t>
      </w:r>
    </w:p>
    <w:p>
      <w:pPr>
        <w:spacing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液源变更:如因不可抗力因素无法使用原上游液源配送时，卖方需通过有效方式通知买方，买方同意后调整为送到价格次低的上游液源，以此类推。</w:t>
      </w:r>
    </w:p>
    <w:p>
      <w:pPr>
        <w:spacing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如卖方因非不可抗力因素调整液源,则送到价格仍按最初确认价格进行结算。</w:t>
      </w:r>
    </w:p>
    <w:p>
      <w:pPr>
        <w:spacing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买卖双方须相互配合计划传送方式,传送方式包括但不限于传真、网络电子平台或其他信息化系统等。双方应确保信息传递的准确性和及时性，若因信息传递错误或延误导致的损失，由责任方承担。</w:t>
      </w:r>
    </w:p>
    <w:p>
      <w:pPr>
        <w:spacing w:line="360" w:lineRule="auto"/>
        <w:ind w:firstLine="422" w:firstLineChars="200"/>
        <w:jc w:val="center"/>
        <w:rPr>
          <w:rFonts w:hint="eastAsia" w:ascii="宋体" w:hAnsi="宋体"/>
          <w:b/>
          <w:bCs/>
          <w:color w:val="auto"/>
          <w:sz w:val="21"/>
          <w:szCs w:val="21"/>
          <w:highlight w:val="none"/>
        </w:rPr>
      </w:pPr>
    </w:p>
    <w:p>
      <w:pPr>
        <w:spacing w:line="520" w:lineRule="exact"/>
        <w:ind w:firstLine="422" w:firstLineChars="200"/>
        <w:rPr>
          <w:rFonts w:asciiTheme="minorEastAsia" w:hAnsiTheme="minorEastAsia" w:eastAsiaTheme="minorEastAsia"/>
          <w:b/>
          <w:color w:val="auto"/>
          <w:szCs w:val="21"/>
          <w:highlight w:val="none"/>
        </w:rPr>
      </w:pPr>
      <w:r>
        <w:rPr>
          <w:rFonts w:hint="eastAsia" w:cs="Times New Roman" w:asciiTheme="minorEastAsia" w:hAnsiTheme="minorEastAsia" w:eastAsiaTheme="minorEastAsia"/>
          <w:b/>
          <w:color w:val="auto"/>
          <w:szCs w:val="21"/>
          <w:highlight w:val="none"/>
        </w:rPr>
        <w:t>第六章 付款与结算</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1.本合同项下的天然气气费采用周结的方式。</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2.买方向卖方提交用气计划后，应于每周三将上一周的气费汇入卖方指定的银行账户，汇款后将银行回执单以邮寄或电子邮件等方式传送至卖方，卖方确认收到气费后安排后续的供气。买方必须及时支付气费，如未及时支付气费或发车前气费不足，卖方有权取消供气。</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3.本合同项下的天然气气费每周结算一次，每周一为结算日，结算日结算上上周六至上周五的货款。周六合周日货款计入下一周期结算。</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4.每周的结算日，卖方应向买方出具盖章确认的对账单，交付气量以卖方指定交付点LNG装车站出具签认的过磅单为准，销售单价以确认函上价格为准。买方在收到卖方传送的对账单后需要在2个工作日内进行盖章确认并以邮寄或电子邮件等方式反馈至卖方。如遇到上游价格调整，卖方有权对价格重新核定。</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5.本合同期最后一次结算完毕后，买卖双方对往来款项进行询证</w:t>
      </w:r>
      <w:r>
        <w:rPr>
          <w:rFonts w:hint="eastAsia" w:cs="Times New Roman" w:asciiTheme="minorEastAsia" w:hAnsiTheme="minorEastAsia" w:eastAsiaTheme="minorEastAsia"/>
          <w:color w:val="auto"/>
          <w:szCs w:val="21"/>
          <w:highlight w:val="none"/>
        </w:rPr>
        <w:t>确认，卖方在卖方收到买方提交退款沟通函后5个工作日内将账户剩余气费退还至买方。</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6.LNG损耗：因为LNG交付点计量原因以及LNG槽车运输原因，可能导致卖方在上游供应商采购的LNG总数量与买方下游装车LNG总数量以及下游销售LNG总数量不一致的情况，为避免解释不一致的情况，交付气量以卖方指定交付点LNG装车站出具签认的过磅单为准。</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7.误差计算方式：若</w:t>
      </w:r>
      <w:r>
        <w:rPr>
          <w:rFonts w:hint="eastAsia" w:cs="Times New Roman" w:asciiTheme="minorEastAsia" w:hAnsiTheme="minorEastAsia" w:eastAsiaTheme="minorEastAsia"/>
          <w:color w:val="auto"/>
          <w:szCs w:val="21"/>
          <w:highlight w:val="none"/>
          <w:lang w:val="en-US" w:eastAsia="zh-CN"/>
        </w:rPr>
        <w:t>计量</w:t>
      </w:r>
      <w:r>
        <w:rPr>
          <w:rFonts w:hint="eastAsia" w:cs="Times New Roman" w:asciiTheme="minorEastAsia" w:hAnsiTheme="minorEastAsia" w:eastAsiaTheme="minorEastAsia"/>
          <w:color w:val="auto"/>
          <w:szCs w:val="21"/>
          <w:highlight w:val="none"/>
        </w:rPr>
        <w:t>误差超过200公斤（即上游加气量-下游卸气量&gt;200公斤／车），由买方承担超出200公斤以外部分的气差损失。若由卖方责任（包含但不限千卸气不当、罐内压力高、地磅不准等因素）造成的气差损失，买方不予承担。若计量误差超过-200公斤（即上游加气屋－下游卸气量&lt;-200公斤／车），由卖方支付买方超出200公斤以外部分对应的气费。</w:t>
      </w:r>
    </w:p>
    <w:p>
      <w:pPr>
        <w:pStyle w:val="10"/>
        <w:ind w:firstLine="420" w:firstLineChars="200"/>
        <w:rPr>
          <w:rFonts w:asciiTheme="minorEastAsia" w:hAnsiTheme="minorEastAsia" w:eastAsiaTheme="minorEastAsia"/>
          <w:color w:val="auto"/>
          <w:sz w:val="21"/>
          <w:szCs w:val="21"/>
          <w:highlight w:val="none"/>
        </w:rPr>
      </w:pPr>
      <w:r>
        <w:rPr>
          <w:rFonts w:hint="eastAsia" w:cs="Times New Roman" w:asciiTheme="minorEastAsia" w:hAnsiTheme="minorEastAsia" w:eastAsiaTheme="minorEastAsia"/>
          <w:color w:val="auto"/>
          <w:kern w:val="2"/>
          <w:sz w:val="21"/>
          <w:szCs w:val="21"/>
          <w:highlight w:val="none"/>
          <w:lang w:val="en-US" w:bidi="ar-SA"/>
        </w:rPr>
        <w:t>8.卖方应在对账完成后的3个工作日内向买方开具发票，并以邮寄等方式寄出。若发生对账或开票错误，双方应当重新核对，并在发生此错误后的下一个结算日进行多退少补。</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9.卖方收款信息</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账户名称：</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mc:AlternateContent>
          <mc:Choice Requires="wps">
            <w:drawing>
              <wp:anchor distT="0" distB="0" distL="114300" distR="114300" simplePos="0" relativeHeight="251659264" behindDoc="0" locked="0" layoutInCell="1" allowOverlap="1">
                <wp:simplePos x="0" y="0"/>
                <wp:positionH relativeFrom="page">
                  <wp:posOffset>7403465</wp:posOffset>
                </wp:positionH>
                <wp:positionV relativeFrom="paragraph">
                  <wp:posOffset>107315</wp:posOffset>
                </wp:positionV>
                <wp:extent cx="260985" cy="260985"/>
                <wp:effectExtent l="0" t="0" r="0" b="0"/>
                <wp:wrapNone/>
                <wp:docPr id="5" name="文本框 5"/>
                <wp:cNvGraphicFramePr/>
                <a:graphic xmlns:a="http://schemas.openxmlformats.org/drawingml/2006/main">
                  <a:graphicData uri="http://schemas.microsoft.com/office/word/2010/wordprocessingShape">
                    <wps:wsp>
                      <wps:cNvSpPr txBox="1"/>
                      <wps:spPr>
                        <a:xfrm>
                          <a:off x="0" y="0"/>
                          <a:ext cx="260985" cy="260985"/>
                        </a:xfrm>
                        <a:prstGeom prst="rect">
                          <a:avLst/>
                        </a:prstGeom>
                        <a:noFill/>
                        <a:ln>
                          <a:noFill/>
                        </a:ln>
                      </wps:spPr>
                      <wps:txbx>
                        <w:txbxContent>
                          <w:p>
                            <w:pPr>
                              <w:spacing w:line="156" w:lineRule="auto"/>
                              <w:ind w:left="20"/>
                              <w:rPr>
                                <w:sz w:val="37"/>
                              </w:rPr>
                            </w:pPr>
                            <w:r>
                              <w:rPr>
                                <w:color w:val="EB7980"/>
                                <w:sz w:val="37"/>
                              </w:rPr>
                              <w:t>｀</w:t>
                            </w:r>
                          </w:p>
                        </w:txbxContent>
                      </wps:txbx>
                      <wps:bodyPr vert="eaVert" lIns="0" tIns="0" rIns="0" bIns="0" upright="1"/>
                    </wps:wsp>
                  </a:graphicData>
                </a:graphic>
              </wp:anchor>
            </w:drawing>
          </mc:Choice>
          <mc:Fallback>
            <w:pict>
              <v:shape id="_x0000_s1026" o:spid="_x0000_s1026" o:spt="202" type="#_x0000_t202" style="position:absolute;left:0pt;margin-left:582.95pt;margin-top:8.45pt;height:20.55pt;width:20.55pt;mso-position-horizontal-relative:page;z-index:251659264;mso-width-relative:page;mso-height-relative:page;" filled="f" stroked="f" coordsize="21600,21600" o:gfxdata="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JqOos9YAAAALAQAADwAAAAAA&#10;AAABACAAAAAiAAAAZHJzL2Rvd25yZXYueG1sUEsBAhQAFAAAAAgAh07iQMXABDujAQAAMQMAAA4A&#10;AAAAAAAAAQAgAAAAJQEAAGRycy9lMm9Eb2MueG1sUEsFBgAAAAAGAAYAWQEAADoFAAAAAA==&#10;">
                <v:fill on="f" focussize="0,0"/>
                <v:stroke on="f"/>
                <v:imagedata o:title=""/>
                <o:lock v:ext="edit" aspectratio="f"/>
                <v:textbox inset="0mm,0mm,0mm,0mm" style="layout-flow:vertical-ideographic;">
                  <w:txbxContent>
                    <w:p>
                      <w:pPr>
                        <w:spacing w:line="156" w:lineRule="auto"/>
                        <w:ind w:left="20"/>
                        <w:rPr>
                          <w:sz w:val="37"/>
                        </w:rPr>
                      </w:pPr>
                      <w:r>
                        <w:rPr>
                          <w:color w:val="EB7980"/>
                          <w:sz w:val="37"/>
                        </w:rPr>
                        <w:t>｀</w:t>
                      </w:r>
                    </w:p>
                  </w:txbxContent>
                </v:textbox>
              </v:shape>
            </w:pict>
          </mc:Fallback>
        </mc:AlternateContent>
      </w:r>
      <w:r>
        <w:rPr>
          <w:rFonts w:hint="eastAsia" w:cs="Times New Roman" w:asciiTheme="minorEastAsia" w:hAnsiTheme="minorEastAsia" w:eastAsiaTheme="minorEastAsia"/>
          <w:color w:val="auto"/>
          <w:szCs w:val="21"/>
          <w:highlight w:val="none"/>
        </w:rPr>
        <w:t>银行账号：</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开户银行：</w:t>
      </w:r>
    </w:p>
    <w:p>
      <w:pPr>
        <w:spacing w:line="520" w:lineRule="exact"/>
        <w:ind w:firstLine="420" w:firstLineChars="200"/>
        <w:rPr>
          <w:rFonts w:asciiTheme="minorEastAsia" w:hAnsiTheme="minorEastAsia" w:eastAsiaTheme="minorEastAsia"/>
          <w:color w:val="auto"/>
          <w:szCs w:val="21"/>
          <w:highlight w:val="none"/>
        </w:rPr>
      </w:pP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10.买方开票信息</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名称：东莞新锋交通能源发展有限公司</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税号：91449006698357121</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单位地址：广东省东莞市松山湖园区新城路5号2栋503室</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电话：0769-86980090</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开户银行：广发银行股份有限公司东莞宏伟路支行</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银行账号：106002512010003323</w:t>
      </w:r>
    </w:p>
    <w:p>
      <w:pPr>
        <w:spacing w:line="520" w:lineRule="exact"/>
        <w:ind w:firstLine="420" w:firstLineChars="200"/>
        <w:rPr>
          <w:rFonts w:asciiTheme="minorEastAsia" w:hAnsiTheme="minorEastAsia" w:eastAsiaTheme="minorEastAsia"/>
          <w:color w:val="auto"/>
          <w:szCs w:val="21"/>
          <w:highlight w:val="none"/>
        </w:rPr>
      </w:pPr>
    </w:p>
    <w:p>
      <w:pPr>
        <w:spacing w:line="520" w:lineRule="exact"/>
        <w:ind w:firstLine="422" w:firstLineChars="200"/>
        <w:rPr>
          <w:rFonts w:asciiTheme="minorEastAsia" w:hAnsiTheme="minorEastAsia" w:eastAsiaTheme="minorEastAsia"/>
          <w:b/>
          <w:color w:val="auto"/>
          <w:szCs w:val="21"/>
          <w:highlight w:val="none"/>
        </w:rPr>
      </w:pPr>
      <w:r>
        <w:rPr>
          <w:rFonts w:hint="eastAsia" w:cs="Times New Roman" w:asciiTheme="minorEastAsia" w:hAnsiTheme="minorEastAsia" w:eastAsiaTheme="minorEastAsia"/>
          <w:b/>
          <w:color w:val="auto"/>
          <w:szCs w:val="21"/>
          <w:highlight w:val="none"/>
        </w:rPr>
        <w:t>第七章 天然气交付</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1.LNG的运输方式为汽车运输，为买方自提或卖方配送（包括买方／卖方委托第三方承运）。</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2.自提业务中，卖方交付给买方的天然气，在卖方指定上游LNG交付点进行交付；配送业务中，卖方交付给买方的天然气，在买方指定LNG交付点进行交付。天然气的具体交付地点以双方签订的《确认函》（附件一）约定为准。</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3.自提业务中，交付点为卖方指定接收站LNG装车撬法兰片与买方LNG槽车法兰片的连接点；配送业务中，交付点为买方指定卸气站LNG装车撬法兰片与买方LNG槽车法兰片的连接点。</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4.交付点前LNG的风险由卖方承担，交付点后LNG的风险由买方承担。LNG越过交付点后卖方交付即完成，卖方对液化天然气的所有权和风险即转移给买方。</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5.按照本合同交付的液化天然气，以重量计量，单位为吨，计量工具为汽车地衡。交付的天然气以卖方指定上游供应商LNG装车站交付设施汽车地衡的计量值为准并作为结算依据。</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6.自提业务中，买方的LNG槽车承运商必须经过LNG接收站（或其他LNG上游供应商）资格认证，LNG接收站（或其他LNG上游供应商）有权对买方的LNG槽车承运商的健康安全保安环保管理情况进行检查。买方应保证LNG承运商应听从液化厂／接收站LNG装车站工作人员的指挥。买方应对LNG槽车在LNG接收站（或其他LNG上游供应商）的装载、运输、下游交付进行安全监管并承担相关安全责任。</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7.自提业务中，买方槽车到达卖方指定LNG  液化厂／接收站卸气场地之时起，买方 应当在规定期限内完成装卸气作业。若由千买方原因未能在规定期限内完成装卸气作业而导致卖方支付接收站额外费用（如滞期费），需由买方承担该等额外费用。</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8.配送业务中，卖方LNG槽车到达买方指定卸气站，买方须在12小时内完成卸气。如12小时内未能完成卸气的，每增加一小时，买方须向卖方支付100元／小时的压撬费。不足一小时仍按照一小时计算收费。</w:t>
      </w:r>
    </w:p>
    <w:p>
      <w:pPr>
        <w:pStyle w:val="10"/>
        <w:rPr>
          <w:rFonts w:asciiTheme="minorEastAsia" w:hAnsiTheme="minorEastAsia" w:eastAsiaTheme="minorEastAsia"/>
          <w:color w:val="auto"/>
          <w:sz w:val="21"/>
          <w:szCs w:val="21"/>
          <w:highlight w:val="none"/>
        </w:rPr>
      </w:pPr>
    </w:p>
    <w:p>
      <w:pPr>
        <w:spacing w:line="520" w:lineRule="exact"/>
        <w:ind w:firstLine="422" w:firstLineChars="200"/>
        <w:rPr>
          <w:rFonts w:asciiTheme="minorEastAsia" w:hAnsiTheme="minorEastAsia" w:eastAsiaTheme="minorEastAsia"/>
          <w:b/>
          <w:color w:val="auto"/>
          <w:szCs w:val="21"/>
          <w:highlight w:val="none"/>
        </w:rPr>
      </w:pPr>
      <w:r>
        <w:rPr>
          <w:rFonts w:hint="eastAsia" w:cs="Times New Roman" w:asciiTheme="minorEastAsia" w:hAnsiTheme="minorEastAsia" w:eastAsiaTheme="minorEastAsia"/>
          <w:b/>
          <w:color w:val="auto"/>
          <w:szCs w:val="21"/>
          <w:highlight w:val="none"/>
        </w:rPr>
        <w:t>第八章 违约责任</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1.买方的违约责任：由于买方行为不符合本合同约定，给卖方造成直接损失的，买方应当赔偿其可用文件证明的直接损失。</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2.卖方的违约责任：由于卖方行为不符合本合同约定，给买方造成直接损失的，卖方应当承赔偿其可用文件证明的直接损失。</w:t>
      </w:r>
    </w:p>
    <w:p>
      <w:pPr>
        <w:spacing w:line="520" w:lineRule="exact"/>
        <w:ind w:firstLine="420" w:firstLineChars="200"/>
        <w:rPr>
          <w:rFonts w:asciiTheme="minorEastAsia" w:hAnsiTheme="minorEastAsia" w:eastAsiaTheme="minorEastAsia"/>
          <w:color w:val="auto"/>
          <w:szCs w:val="21"/>
          <w:highlight w:val="none"/>
        </w:rPr>
      </w:pPr>
    </w:p>
    <w:p>
      <w:pPr>
        <w:pStyle w:val="10"/>
        <w:ind w:firstLine="422" w:firstLineChars="200"/>
        <w:rPr>
          <w:rFonts w:asciiTheme="minorEastAsia" w:hAnsiTheme="minorEastAsia" w:eastAsiaTheme="minorEastAsia"/>
          <w:color w:val="auto"/>
          <w:sz w:val="21"/>
          <w:szCs w:val="21"/>
          <w:highlight w:val="none"/>
        </w:rPr>
      </w:pPr>
      <w:r>
        <w:rPr>
          <w:rFonts w:hint="eastAsia" w:cs="Times New Roman" w:asciiTheme="minorEastAsia" w:hAnsiTheme="minorEastAsia" w:eastAsiaTheme="minorEastAsia"/>
          <w:b/>
          <w:color w:val="auto"/>
          <w:kern w:val="2"/>
          <w:sz w:val="21"/>
          <w:szCs w:val="21"/>
          <w:highlight w:val="none"/>
          <w:lang w:val="en-US" w:bidi="ar-SA"/>
        </w:rPr>
        <w:t>第九章 不可抗力</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1.“不可抗力” 指在本合同签署后发生的、本合同签署和履行时不能预见的、其发生与后果是无法合理避免或克服的、合理妨碍任何一方全部或部分履约的所有事件。为避免疑义，构成不可抗力的行为、事件或情况应包括（但不限千）下述行为、事件和情况：</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（1）火灾、水灾、干旱、爆炸、闪电、风暴、暴雨、腿风、旋风、台风、龙卷风、地震、地陷、土蚀、地面下沉、道路冲塌、疫情或其他天灾；</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（2）战争（无论是否宣战）、骚乱、内战、封锁、叛乱、公敌行动、入侵、禁运、革命、破坏或恐怖行动的严重威胁；</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（3）罢工、闭厂或其他劳资纠纷（提出不可抗力一方单独发生的罢工、闭厂或其他劳资纠纷除外）；</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（4）化学或放射性污染或电离放射；</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（5）上游停产或规模性减产、政府行政性交通管制、交通事故引起的必经之路堵塞；</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（6）征用、国有化、强制收购、没收或任何其它行动， 包括由在其法定权力范围内行事的任何中国中央和省、直辖市、自治区政府、其任何部门或任何中国立法机关，通过颁布或实施命令、指令、裁定、法律、法规或政策而进行的征用、国有化、强制收购、没收或任何其它行动。</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2.如果发生不可抗力事件，影响任何一方履行其于本合同项下的义务，则该等义务应在不可抗力事件影响的范围内和不可抗力事件造成的延误期内暂时中止履行，而不视为违约。</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3.遇有上述不可抗力的一方应立即通知另一方，并在5个工作日内提供不可抗力事件发生地公证机关或有权机关出具的不可抗力详情及合同不能履行、或者部分不能履行、或者需要延期履行理由的有效证明。</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4.如果发生不可抗力事件，双方应按不可抗力事件对合同履行的影响程度，协商确定部分或全部延期履行合同或者部分或全部终止履行合同，并相应地免除受不可抗力事件影响一方在该期间不能履行或不能全部履行或延迟履行合同的责任，但受影响一方应尽一切合理努力将不可抗力事件的影响减少到最低限度。</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5.一旦不可抗力事件的影响解除，遇有不可抗力事件影响的一方应立即恢复履行其于本合同项下的义务。</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6.对于未按期履行其合同义务的任何一方，在逾期履行的时间内发生不可抗力事件，致使合同不能履行、或者部分不能履行，或者需要延期履行，其违约责任不能免除。</w:t>
      </w:r>
    </w:p>
    <w:p>
      <w:pPr>
        <w:spacing w:line="520" w:lineRule="exact"/>
        <w:ind w:firstLine="420" w:firstLineChars="200"/>
        <w:rPr>
          <w:rFonts w:asciiTheme="minorEastAsia" w:hAnsiTheme="minorEastAsia" w:eastAsiaTheme="minorEastAsia"/>
          <w:color w:val="auto"/>
          <w:szCs w:val="21"/>
          <w:highlight w:val="none"/>
        </w:rPr>
      </w:pPr>
    </w:p>
    <w:p>
      <w:pPr>
        <w:spacing w:line="520" w:lineRule="exact"/>
        <w:ind w:firstLine="422" w:firstLineChars="200"/>
        <w:rPr>
          <w:rFonts w:asciiTheme="minorEastAsia" w:hAnsiTheme="minorEastAsia" w:eastAsiaTheme="minorEastAsia"/>
          <w:b/>
          <w:bCs/>
          <w:color w:val="auto"/>
          <w:szCs w:val="21"/>
          <w:highlight w:val="none"/>
        </w:rPr>
      </w:pPr>
      <w:r>
        <w:rPr>
          <w:rFonts w:hint="eastAsia" w:cs="Times New Roman" w:asciiTheme="minorEastAsia" w:hAnsiTheme="minorEastAsia" w:eastAsiaTheme="minorEastAsia"/>
          <w:b/>
          <w:bCs/>
          <w:color w:val="auto"/>
          <w:szCs w:val="21"/>
          <w:highlight w:val="none"/>
        </w:rPr>
        <w:t>第十章 保密</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1.本合同自生效之日起，本合同的任何条款及相关信息均应依照本条的约定予以保密。未经另一方事先书面同意，双方中任何一方不得将本合同的条款全部或部分透露给第三方。违约方承担由此给守约方造成的一切经济损失。</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mc:AlternateContent>
          <mc:Choice Requires="wps">
            <w:drawing>
              <wp:anchor distT="0" distB="0" distL="114300" distR="114300" simplePos="0" relativeHeight="251660288" behindDoc="0" locked="0" layoutInCell="1" allowOverlap="1">
                <wp:simplePos x="0" y="0"/>
                <wp:positionH relativeFrom="page">
                  <wp:posOffset>7519670</wp:posOffset>
                </wp:positionH>
                <wp:positionV relativeFrom="paragraph">
                  <wp:posOffset>1379220</wp:posOffset>
                </wp:positionV>
                <wp:extent cx="67310" cy="10858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7310" cy="108585"/>
                        </a:xfrm>
                        <a:prstGeom prst="rect">
                          <a:avLst/>
                        </a:prstGeom>
                        <a:noFill/>
                        <a:ln>
                          <a:noFill/>
                        </a:ln>
                      </wps:spPr>
                      <wps:txbx>
                        <w:txbxContent>
                          <w:p>
                            <w:pPr>
                              <w:spacing w:line="132" w:lineRule="auto"/>
                              <w:ind w:left="20"/>
                              <w:rPr>
                                <w:sz w:val="13"/>
                              </w:rPr>
                            </w:pPr>
                            <w:r>
                              <w:rPr>
                                <w:color w:val="D87B85"/>
                                <w:sz w:val="13"/>
                              </w:rPr>
                              <w:t>t</w:t>
                            </w:r>
                          </w:p>
                        </w:txbxContent>
                      </wps:txbx>
                      <wps:bodyPr vert="eaVert" lIns="0" tIns="0" rIns="0" bIns="0" upright="1"/>
                    </wps:wsp>
                  </a:graphicData>
                </a:graphic>
              </wp:anchor>
            </w:drawing>
          </mc:Choice>
          <mc:Fallback>
            <w:pict>
              <v:shape id="_x0000_s1026" o:spid="_x0000_s1026" o:spt="202" type="#_x0000_t202" style="position:absolute;left:0pt;margin-left:592.1pt;margin-top:108.6pt;height:8.55pt;width:5.3pt;mso-position-horizontal-relative:page;z-index:251660288;mso-width-relative:page;mso-height-relative:page;" filled="f" stroked="f" coordsize="21600,21600" o:gfxdata="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jpCbHYAAAADQEAAA8A&#10;AAAAAAAAAQAgAAAAIgAAAGRycy9kb3ducmV2LnhtbFBLAQIUABQAAAAIAIdO4kCkXf1EpQEAADAD&#10;AAAOAAAAAAAAAAEAIAAAACcBAABkcnMvZTJvRG9jLnhtbFBLBQYAAAAABgAGAFkBAAA+BQAAAAA=&#10;">
                <v:fill on="f" focussize="0,0"/>
                <v:stroke on="f"/>
                <v:imagedata o:title=""/>
                <o:lock v:ext="edit" aspectratio="f"/>
                <v:textbox inset="0mm,0mm,0mm,0mm" style="layout-flow:vertical-ideographic;">
                  <w:txbxContent>
                    <w:p>
                      <w:pPr>
                        <w:spacing w:line="132" w:lineRule="auto"/>
                        <w:ind w:left="20"/>
                        <w:rPr>
                          <w:sz w:val="13"/>
                        </w:rPr>
                      </w:pPr>
                      <w:r>
                        <w:rPr>
                          <w:color w:val="D87B85"/>
                          <w:sz w:val="13"/>
                        </w:rPr>
                        <w:t>t</w:t>
                      </w:r>
                    </w:p>
                  </w:txbxContent>
                </v:textbox>
              </v:shape>
            </w:pict>
          </mc:Fallback>
        </mc:AlternateContent>
      </w:r>
      <w:r>
        <w:rPr>
          <w:rFonts w:hint="eastAsia" w:cs="Times New Roman" w:asciiTheme="minorEastAsia" w:hAnsiTheme="minorEastAsia" w:eastAsiaTheme="minorEastAsia"/>
          <w:color w:val="auto"/>
          <w:szCs w:val="21"/>
          <w:highlight w:val="none"/>
        </w:rPr>
        <w:t>2.双方中的任何一方将全部或部分合同信息透露给以下人员或机构，无须经过另一方同意。即提供给该方主管、董事、雇员、关联机构、律师、会计师等中介机构，但该方应要求上述人员保密；提供给双方具有管辖权的政府部门或机构、或答复司法传讯等法律程序。</w:t>
      </w:r>
    </w:p>
    <w:p>
      <w:pPr>
        <w:spacing w:line="520" w:lineRule="exact"/>
        <w:ind w:firstLine="420" w:firstLineChars="200"/>
        <w:rPr>
          <w:rFonts w:asciiTheme="minorEastAsia" w:hAnsiTheme="minorEastAsia" w:eastAsiaTheme="minorEastAsia"/>
          <w:color w:val="auto"/>
          <w:szCs w:val="21"/>
          <w:highlight w:val="none"/>
        </w:rPr>
      </w:pPr>
    </w:p>
    <w:p>
      <w:pPr>
        <w:spacing w:line="520" w:lineRule="exact"/>
        <w:ind w:firstLine="422" w:firstLineChars="200"/>
        <w:rPr>
          <w:rFonts w:asciiTheme="minorEastAsia" w:hAnsiTheme="minorEastAsia" w:eastAsiaTheme="minorEastAsia"/>
          <w:b/>
          <w:bCs/>
          <w:color w:val="auto"/>
          <w:szCs w:val="21"/>
          <w:highlight w:val="none"/>
        </w:rPr>
      </w:pPr>
      <w:r>
        <w:rPr>
          <w:rFonts w:hint="eastAsia" w:cs="Times New Roman" w:asciiTheme="minorEastAsia" w:hAnsiTheme="minorEastAsia" w:eastAsiaTheme="minorEastAsia"/>
          <w:b/>
          <w:bCs/>
          <w:color w:val="auto"/>
          <w:szCs w:val="21"/>
          <w:highlight w:val="none"/>
        </w:rPr>
        <w:t>第十一章 争议解决</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双方在履行合同发生争议或纠纷时，应友好协商解决，若协商不成，双方中任何一方均可向卖方所在地人民法院提起诉讼。</w:t>
      </w:r>
    </w:p>
    <w:p>
      <w:pPr>
        <w:spacing w:line="520" w:lineRule="exact"/>
        <w:ind w:firstLine="420" w:firstLineChars="200"/>
        <w:rPr>
          <w:rFonts w:asciiTheme="minorEastAsia" w:hAnsiTheme="minorEastAsia" w:eastAsiaTheme="minorEastAsia"/>
          <w:color w:val="auto"/>
          <w:szCs w:val="21"/>
          <w:highlight w:val="none"/>
        </w:rPr>
      </w:pPr>
    </w:p>
    <w:p>
      <w:pPr>
        <w:spacing w:line="520" w:lineRule="exact"/>
        <w:ind w:firstLine="422" w:firstLineChars="200"/>
        <w:rPr>
          <w:rFonts w:asciiTheme="minorEastAsia" w:hAnsiTheme="minorEastAsia" w:eastAsiaTheme="minorEastAsia"/>
          <w:b/>
          <w:bCs/>
          <w:color w:val="auto"/>
          <w:szCs w:val="21"/>
          <w:highlight w:val="none"/>
        </w:rPr>
      </w:pPr>
      <w:r>
        <w:rPr>
          <w:rFonts w:hint="eastAsia" w:cs="Times New Roman" w:asciiTheme="minorEastAsia" w:hAnsiTheme="minorEastAsia" w:eastAsiaTheme="minorEastAsia"/>
          <w:b/>
          <w:bCs/>
          <w:color w:val="auto"/>
          <w:szCs w:val="21"/>
          <w:highlight w:val="none"/>
        </w:rPr>
        <w:t>第十二章 适用法律</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本合同适用我国相关的法律、法规及行业规范。</w:t>
      </w:r>
    </w:p>
    <w:p>
      <w:pPr>
        <w:spacing w:line="520" w:lineRule="exact"/>
        <w:ind w:firstLine="420" w:firstLineChars="200"/>
        <w:rPr>
          <w:rFonts w:asciiTheme="minorEastAsia" w:hAnsiTheme="minorEastAsia" w:eastAsiaTheme="minorEastAsia"/>
          <w:color w:val="auto"/>
          <w:szCs w:val="21"/>
          <w:highlight w:val="none"/>
        </w:rPr>
      </w:pPr>
    </w:p>
    <w:p>
      <w:pPr>
        <w:spacing w:line="520" w:lineRule="exact"/>
        <w:ind w:firstLine="422" w:firstLineChars="200"/>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mc:AlternateContent>
          <mc:Choice Requires="wps">
            <w:drawing>
              <wp:anchor distT="0" distB="0" distL="114300" distR="114300" simplePos="0" relativeHeight="251661312" behindDoc="0" locked="0" layoutInCell="1" allowOverlap="1">
                <wp:simplePos x="0" y="0"/>
                <wp:positionH relativeFrom="page">
                  <wp:posOffset>7481570</wp:posOffset>
                </wp:positionH>
                <wp:positionV relativeFrom="paragraph">
                  <wp:posOffset>-334645</wp:posOffset>
                </wp:positionV>
                <wp:extent cx="107315" cy="19494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07315" cy="194945"/>
                        </a:xfrm>
                        <a:prstGeom prst="rect">
                          <a:avLst/>
                        </a:prstGeom>
                        <a:noFill/>
                        <a:ln>
                          <a:noFill/>
                        </a:ln>
                      </wps:spPr>
                      <wps:txbx>
                        <w:txbxContent>
                          <w:p>
                            <w:pPr>
                              <w:spacing w:line="180" w:lineRule="auto"/>
                              <w:ind w:left="20"/>
                              <w:rPr>
                                <w:sz w:val="11"/>
                              </w:rPr>
                            </w:pPr>
                            <w:r>
                              <w:rPr>
                                <w:color w:val="DD6774"/>
                                <w:spacing w:val="15"/>
                                <w:position w:val="2"/>
                                <w:sz w:val="11"/>
                              </w:rPr>
                              <w:t>古</w:t>
                            </w:r>
                            <w:r>
                              <w:rPr>
                                <w:color w:val="DD6774"/>
                                <w:spacing w:val="-81"/>
                                <w:sz w:val="11"/>
                              </w:rPr>
                              <w:t>．</w:t>
                            </w:r>
                            <w:r>
                              <w:rPr>
                                <w:color w:val="DD6774"/>
                                <w:position w:val="2"/>
                                <w:sz w:val="11"/>
                              </w:rPr>
                              <w:t>上</w:t>
                            </w:r>
                          </w:p>
                        </w:txbxContent>
                      </wps:txbx>
                      <wps:bodyPr vert="eaVert" lIns="0" tIns="0" rIns="0" bIns="0" upright="1"/>
                    </wps:wsp>
                  </a:graphicData>
                </a:graphic>
              </wp:anchor>
            </w:drawing>
          </mc:Choice>
          <mc:Fallback>
            <w:pict>
              <v:shape id="_x0000_s1026" o:spid="_x0000_s1026" o:spt="202" type="#_x0000_t202" style="position:absolute;left:0pt;margin-left:589.1pt;margin-top:-26.35pt;height:15.35pt;width:8.45pt;mso-position-horizontal-relative:page;z-index:251661312;mso-width-relative:page;mso-height-relative:page;" filled="f" stroked="f" coordsize="21600,21600" o:gfxdata="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9K17Q9gAAAANAQAA&#10;DwAAAAAAAAABACAAAAAiAAAAZHJzL2Rvd25yZXYueG1sUEsBAhQAFAAAAAgAh07iQE0KyOinAQAA&#10;MwMAAA4AAAAAAAAAAQAgAAAAJwEAAGRycy9lMm9Eb2MueG1sUEsFBgAAAAAGAAYAWQEAAEAFAAAA&#10;AA==&#10;">
                <v:fill on="f" focussize="0,0"/>
                <v:stroke on="f"/>
                <v:imagedata o:title=""/>
                <o:lock v:ext="edit" aspectratio="f"/>
                <v:textbox inset="0mm,0mm,0mm,0mm" style="layout-flow:vertical-ideographic;">
                  <w:txbxContent>
                    <w:p>
                      <w:pPr>
                        <w:spacing w:line="180" w:lineRule="auto"/>
                        <w:ind w:left="20"/>
                        <w:rPr>
                          <w:sz w:val="11"/>
                        </w:rPr>
                      </w:pPr>
                      <w:r>
                        <w:rPr>
                          <w:color w:val="DD6774"/>
                          <w:spacing w:val="15"/>
                          <w:position w:val="2"/>
                          <w:sz w:val="11"/>
                        </w:rPr>
                        <w:t>古</w:t>
                      </w:r>
                      <w:r>
                        <w:rPr>
                          <w:color w:val="DD6774"/>
                          <w:spacing w:val="-81"/>
                          <w:sz w:val="11"/>
                        </w:rPr>
                        <w:t>．</w:t>
                      </w:r>
                      <w:r>
                        <w:rPr>
                          <w:color w:val="DD6774"/>
                          <w:position w:val="2"/>
                          <w:sz w:val="11"/>
                        </w:rPr>
                        <w:t>上</w:t>
                      </w:r>
                    </w:p>
                  </w:txbxContent>
                </v:textbox>
              </v:shape>
            </w:pict>
          </mc:Fallback>
        </mc:AlternateContent>
      </w:r>
      <w:r>
        <w:rPr>
          <w:rFonts w:hint="eastAsia" w:asciiTheme="minorEastAsia" w:hAnsiTheme="minorEastAsia" w:eastAsiaTheme="minorEastAsia"/>
          <w:b/>
          <w:bCs/>
          <w:color w:val="auto"/>
          <w:szCs w:val="21"/>
          <w:highlight w:val="none"/>
        </w:rPr>
        <mc:AlternateContent>
          <mc:Choice Requires="wps">
            <w:drawing>
              <wp:anchor distT="0" distB="0" distL="114300" distR="114300" simplePos="0" relativeHeight="251662336" behindDoc="0" locked="0" layoutInCell="1" allowOverlap="1">
                <wp:simplePos x="0" y="0"/>
                <wp:positionH relativeFrom="page">
                  <wp:posOffset>7485380</wp:posOffset>
                </wp:positionH>
                <wp:positionV relativeFrom="paragraph">
                  <wp:posOffset>-69215</wp:posOffset>
                </wp:positionV>
                <wp:extent cx="113030" cy="14478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13030" cy="144780"/>
                        </a:xfrm>
                        <a:prstGeom prst="rect">
                          <a:avLst/>
                        </a:prstGeom>
                        <a:noFill/>
                        <a:ln>
                          <a:noFill/>
                        </a:ln>
                      </wps:spPr>
                      <wps:txbx>
                        <w:txbxContent>
                          <w:p>
                            <w:pPr>
                              <w:spacing w:line="192" w:lineRule="auto"/>
                              <w:ind w:left="20"/>
                              <w:rPr>
                                <w:sz w:val="11"/>
                              </w:rPr>
                            </w:pPr>
                            <w:r>
                              <w:rPr>
                                <w:color w:val="DD6774"/>
                                <w:spacing w:val="-88"/>
                                <w:position w:val="-2"/>
                                <w:sz w:val="11"/>
                              </w:rPr>
                              <w:t>、</w:t>
                            </w:r>
                            <w:r>
                              <w:rPr>
                                <w:color w:val="BD6779"/>
                                <w:spacing w:val="-56"/>
                                <w:sz w:val="11"/>
                              </w:rPr>
                              <w:t>·</w:t>
                            </w:r>
                            <w:r>
                              <w:rPr>
                                <w:color w:val="D87B85"/>
                                <w:sz w:val="11"/>
                              </w:rPr>
                              <w:t>/</w:t>
                            </w:r>
                          </w:p>
                        </w:txbxContent>
                      </wps:txbx>
                      <wps:bodyPr vert="eaVert" lIns="0" tIns="0" rIns="0" bIns="0" upright="1"/>
                    </wps:wsp>
                  </a:graphicData>
                </a:graphic>
              </wp:anchor>
            </w:drawing>
          </mc:Choice>
          <mc:Fallback>
            <w:pict>
              <v:shape id="_x0000_s1026" o:spid="_x0000_s1026" o:spt="202" type="#_x0000_t202" style="position:absolute;left:0pt;margin-left:589.4pt;margin-top:-5.45pt;height:11.4pt;width:8.9pt;mso-position-horizontal-relative:page;z-index:251662336;mso-width-relative:page;mso-height-relative:page;" filled="f" stroked="f" coordsize="21600,21600" o:gfxdata="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DsCJ63XAAAADAEAAA8A&#10;AAAAAAAAAQAgAAAAIgAAAGRycy9kb3ducmV2LnhtbFBLAQIUABQAAAAIAIdO4kCTg9m9pgEAADMD&#10;AAAOAAAAAAAAAAEAIAAAACYBAABkcnMvZTJvRG9jLnhtbFBLBQYAAAAABgAGAFkBAAA+BQAAAAA=&#10;">
                <v:fill on="f" focussize="0,0"/>
                <v:stroke on="f"/>
                <v:imagedata o:title=""/>
                <o:lock v:ext="edit" aspectratio="f"/>
                <v:textbox inset="0mm,0mm,0mm,0mm" style="layout-flow:vertical-ideographic;">
                  <w:txbxContent>
                    <w:p>
                      <w:pPr>
                        <w:spacing w:line="192" w:lineRule="auto"/>
                        <w:ind w:left="20"/>
                        <w:rPr>
                          <w:sz w:val="11"/>
                        </w:rPr>
                      </w:pPr>
                      <w:r>
                        <w:rPr>
                          <w:color w:val="DD6774"/>
                          <w:spacing w:val="-88"/>
                          <w:position w:val="-2"/>
                          <w:sz w:val="11"/>
                        </w:rPr>
                        <w:t>、</w:t>
                      </w:r>
                      <w:r>
                        <w:rPr>
                          <w:color w:val="BD6779"/>
                          <w:spacing w:val="-56"/>
                          <w:sz w:val="11"/>
                        </w:rPr>
                        <w:t>·</w:t>
                      </w:r>
                      <w:r>
                        <w:rPr>
                          <w:color w:val="D87B85"/>
                          <w:sz w:val="11"/>
                        </w:rPr>
                        <w:t>/</w:t>
                      </w:r>
                    </w:p>
                  </w:txbxContent>
                </v:textbox>
              </v:shape>
            </w:pict>
          </mc:Fallback>
        </mc:AlternateContent>
      </w:r>
      <w:r>
        <w:rPr>
          <w:rFonts w:hint="eastAsia" w:asciiTheme="minorEastAsia" w:hAnsiTheme="minorEastAsia" w:eastAsiaTheme="minorEastAsia"/>
          <w:b/>
          <w:bCs/>
          <w:color w:val="auto"/>
          <w:szCs w:val="21"/>
          <w:highlight w:val="none"/>
        </w:rPr>
        <mc:AlternateContent>
          <mc:Choice Requires="wps">
            <w:drawing>
              <wp:anchor distT="0" distB="0" distL="114300" distR="114300" simplePos="0" relativeHeight="251663360" behindDoc="0" locked="0" layoutInCell="1" allowOverlap="1">
                <wp:simplePos x="0" y="0"/>
                <wp:positionH relativeFrom="page">
                  <wp:posOffset>7482205</wp:posOffset>
                </wp:positionH>
                <wp:positionV relativeFrom="paragraph">
                  <wp:posOffset>158750</wp:posOffset>
                </wp:positionV>
                <wp:extent cx="98425" cy="15176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98425" cy="151765"/>
                        </a:xfrm>
                        <a:prstGeom prst="rect">
                          <a:avLst/>
                        </a:prstGeom>
                        <a:noFill/>
                        <a:ln>
                          <a:noFill/>
                        </a:ln>
                      </wps:spPr>
                      <wps:txbx>
                        <w:txbxContent>
                          <w:p>
                            <w:pPr>
                              <w:spacing w:line="168" w:lineRule="auto"/>
                              <w:ind w:left="20"/>
                              <w:rPr>
                                <w:sz w:val="10"/>
                              </w:rPr>
                            </w:pPr>
                            <w:r>
                              <w:rPr>
                                <w:color w:val="BD6779"/>
                                <w:spacing w:val="-21"/>
                                <w:sz w:val="11"/>
                              </w:rPr>
                              <w:t>，</w:t>
                            </w:r>
                            <w:r>
                              <w:rPr>
                                <w:color w:val="D87B85"/>
                                <w:spacing w:val="-93"/>
                                <w:position w:val="3"/>
                                <w:sz w:val="10"/>
                              </w:rPr>
                              <w:t>`</w:t>
                            </w:r>
                            <w:r>
                              <w:rPr>
                                <w:color w:val="D87B85"/>
                                <w:position w:val="1"/>
                                <w:sz w:val="10"/>
                              </w:rPr>
                              <w:t>7</w:t>
                            </w:r>
                          </w:p>
                        </w:txbxContent>
                      </wps:txbx>
                      <wps:bodyPr vert="eaVert" lIns="0" tIns="0" rIns="0" bIns="0" upright="1"/>
                    </wps:wsp>
                  </a:graphicData>
                </a:graphic>
              </wp:anchor>
            </w:drawing>
          </mc:Choice>
          <mc:Fallback>
            <w:pict>
              <v:shape id="_x0000_s1026" o:spid="_x0000_s1026" o:spt="202" type="#_x0000_t202" style="position:absolute;left:0pt;margin-left:589.15pt;margin-top:12.5pt;height:11.95pt;width:7.75pt;mso-position-horizontal-relative:page;z-index:251663360;mso-width-relative:page;mso-height-relative:page;" filled="f" stroked="f" coordsize="21600,21600" o:gfxdata="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nL8mH1wAAAAsBAAAP&#10;AAAAAAAAAAEAIAAAACIAAABkcnMvZG93bnJldi54bWxQSwECFAAUAAAACACHTuJA0NCYS6cBAAAy&#10;AwAADgAAAAAAAAABACAAAAAmAQAAZHJzL2Uyb0RvYy54bWxQSwUGAAAAAAYABgBZAQAAPwUAAAAA&#10;">
                <v:fill on="f" focussize="0,0"/>
                <v:stroke on="f"/>
                <v:imagedata o:title=""/>
                <o:lock v:ext="edit" aspectratio="f"/>
                <v:textbox inset="0mm,0mm,0mm,0mm" style="layout-flow:vertical-ideographic;">
                  <w:txbxContent>
                    <w:p>
                      <w:pPr>
                        <w:spacing w:line="168" w:lineRule="auto"/>
                        <w:ind w:left="20"/>
                        <w:rPr>
                          <w:sz w:val="10"/>
                        </w:rPr>
                      </w:pPr>
                      <w:r>
                        <w:rPr>
                          <w:color w:val="BD6779"/>
                          <w:spacing w:val="-21"/>
                          <w:sz w:val="11"/>
                        </w:rPr>
                        <w:t>，</w:t>
                      </w:r>
                      <w:r>
                        <w:rPr>
                          <w:color w:val="D87B85"/>
                          <w:spacing w:val="-93"/>
                          <w:position w:val="3"/>
                          <w:sz w:val="10"/>
                        </w:rPr>
                        <w:t>`</w:t>
                      </w:r>
                      <w:r>
                        <w:rPr>
                          <w:color w:val="D87B85"/>
                          <w:position w:val="1"/>
                          <w:sz w:val="10"/>
                        </w:rPr>
                        <w:t>7</w:t>
                      </w:r>
                    </w:p>
                  </w:txbxContent>
                </v:textbox>
              </v:shape>
            </w:pict>
          </mc:Fallback>
        </mc:AlternateContent>
      </w:r>
      <w:r>
        <w:rPr>
          <w:rFonts w:hint="eastAsia" w:cs="Times New Roman" w:asciiTheme="minorEastAsia" w:hAnsiTheme="minorEastAsia" w:eastAsiaTheme="minorEastAsia"/>
          <w:b/>
          <w:bCs/>
          <w:color w:val="auto"/>
          <w:szCs w:val="21"/>
          <w:highlight w:val="none"/>
        </w:rPr>
        <w:t>第十三章 其他</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1.本合同未尽事宜，经双方协商一致可以签订补充条款或补充协议，与本合同具有同等法律效力。</w:t>
      </w:r>
    </w:p>
    <w:p>
      <w:pPr>
        <w:spacing w:line="520" w:lineRule="exact"/>
        <w:ind w:firstLine="420" w:firstLineChars="200"/>
        <w:rPr>
          <w:rFonts w:asciiTheme="minorEastAsia" w:hAnsiTheme="minorEastAsia" w:eastAsiaTheme="minorEastAsia"/>
          <w:color w:val="auto"/>
          <w:szCs w:val="21"/>
          <w:highlight w:val="none"/>
        </w:rPr>
      </w:pPr>
      <w:r>
        <w:rPr>
          <w:rFonts w:hint="eastAsia" w:cs="Times New Roman" w:asciiTheme="minorEastAsia" w:hAnsiTheme="minorEastAsia" w:eastAsiaTheme="minorEastAsia"/>
          <w:color w:val="auto"/>
          <w:szCs w:val="21"/>
          <w:highlight w:val="none"/>
        </w:rPr>
        <w:t>2.本合同一式肆份，自双方签字盖章后，于文首载明签订日期起生效，双方各持贰份，均具同等效力。</w:t>
      </w:r>
    </w:p>
    <w:p>
      <w:pPr>
        <w:spacing w:line="520" w:lineRule="exact"/>
        <w:ind w:firstLine="420" w:firstLineChars="200"/>
        <w:rPr>
          <w:rFonts w:asciiTheme="minorEastAsia" w:hAnsiTheme="minorEastAsia" w:eastAsiaTheme="minorEastAsia"/>
          <w:color w:val="auto"/>
          <w:szCs w:val="21"/>
          <w:highlight w:val="none"/>
        </w:rPr>
      </w:pP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附件：</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r>
        <w:rPr>
          <w:rFonts w:hint="eastAsia" w:cs="Times New Roman" w:asciiTheme="minorEastAsia" w:hAnsiTheme="minorEastAsia" w:eastAsiaTheme="minorEastAsia"/>
          <w:color w:val="auto"/>
          <w:szCs w:val="21"/>
          <w:highlight w:val="none"/>
        </w:rPr>
        <w:t>LNG交付计划确认函</w:t>
      </w: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2.双方营业执照</w:t>
      </w:r>
    </w:p>
    <w:p>
      <w:pPr>
        <w:spacing w:line="520" w:lineRule="exact"/>
        <w:ind w:firstLine="420" w:firstLineChars="200"/>
        <w:rPr>
          <w:rFonts w:asciiTheme="minorEastAsia" w:hAnsiTheme="minorEastAsia" w:eastAsiaTheme="minorEastAsia"/>
          <w:color w:val="auto"/>
          <w:szCs w:val="21"/>
          <w:highlight w:val="none"/>
        </w:rPr>
      </w:pPr>
    </w:p>
    <w:p>
      <w:pPr>
        <w:spacing w:line="52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（以下为签署页，无正文）</w:t>
      </w:r>
    </w:p>
    <w:p>
      <w:pPr>
        <w:adjustRightInd/>
        <w:snapToGrid/>
        <w:spacing w:line="240" w:lineRule="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br w:type="page"/>
      </w:r>
    </w:p>
    <w:p>
      <w:pPr>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（本页为签署页）</w:t>
      </w:r>
    </w:p>
    <w:p>
      <w:pPr>
        <w:ind w:firstLine="420" w:firstLineChars="200"/>
        <w:rPr>
          <w:rFonts w:asciiTheme="minorEastAsia" w:hAnsiTheme="minorEastAsia" w:eastAsiaTheme="minorEastAsia"/>
          <w:color w:val="auto"/>
          <w:szCs w:val="21"/>
          <w:highlight w:val="none"/>
        </w:rPr>
      </w:pPr>
    </w:p>
    <w:p>
      <w:pPr>
        <w:ind w:firstLine="420" w:firstLineChars="200"/>
        <w:rPr>
          <w:rFonts w:asciiTheme="minorEastAsia" w:hAnsiTheme="minorEastAsia" w:eastAsiaTheme="minorEastAsia"/>
          <w:color w:val="auto"/>
          <w:szCs w:val="21"/>
          <w:highlight w:val="none"/>
        </w:rPr>
      </w:pPr>
    </w:p>
    <w:p>
      <w:pPr>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甲方：</w:t>
      </w:r>
    </w:p>
    <w:p>
      <w:pP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法定代表人/授权代表：</w:t>
      </w:r>
    </w:p>
    <w:p>
      <w:pP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签订日期：</w:t>
      </w:r>
    </w:p>
    <w:p>
      <w:pPr>
        <w:rPr>
          <w:rFonts w:asciiTheme="minorEastAsia" w:hAnsiTheme="minorEastAsia" w:eastAsiaTheme="minorEastAsia"/>
          <w:color w:val="auto"/>
          <w:szCs w:val="21"/>
          <w:highlight w:val="none"/>
        </w:rPr>
      </w:pPr>
    </w:p>
    <w:p>
      <w:pPr>
        <w:rPr>
          <w:rFonts w:asciiTheme="minorEastAsia" w:hAnsiTheme="minorEastAsia" w:eastAsiaTheme="minorEastAsia"/>
          <w:color w:val="auto"/>
          <w:szCs w:val="21"/>
          <w:highlight w:val="none"/>
        </w:rPr>
      </w:pPr>
    </w:p>
    <w:p>
      <w:pP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乙方：</w:t>
      </w:r>
    </w:p>
    <w:p>
      <w:pP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法定代表人/授权代表：</w:t>
      </w:r>
    </w:p>
    <w:p>
      <w:pPr>
        <w:rPr>
          <w:rFonts w:ascii="仿宋_GB2312" w:hAnsi="宋体" w:eastAsia="仿宋_GB2312"/>
          <w:color w:val="auto"/>
          <w:sz w:val="28"/>
          <w:szCs w:val="28"/>
          <w:highlight w:val="none"/>
        </w:rPr>
      </w:pPr>
      <w:r>
        <w:rPr>
          <w:rFonts w:hint="eastAsia" w:asciiTheme="minorEastAsia" w:hAnsiTheme="minorEastAsia" w:eastAsiaTheme="minorEastAsia"/>
          <w:color w:val="auto"/>
          <w:szCs w:val="21"/>
          <w:highlight w:val="none"/>
        </w:rPr>
        <w:t>签订日期：</w:t>
      </w:r>
    </w:p>
    <w:p>
      <w:pPr>
        <w:adjustRightInd/>
        <w:snapToGrid/>
        <w:spacing w:line="240" w:lineRule="auto"/>
        <w:rPr>
          <w:rFonts w:ascii="宋体" w:hAnsi="宋体"/>
          <w:b/>
          <w:color w:val="auto"/>
          <w:sz w:val="28"/>
          <w:szCs w:val="28"/>
          <w:highlight w:val="none"/>
        </w:rPr>
      </w:pPr>
      <w:r>
        <w:rPr>
          <w:rFonts w:ascii="宋体" w:hAnsi="宋体"/>
          <w:b/>
          <w:color w:val="auto"/>
          <w:sz w:val="28"/>
          <w:szCs w:val="28"/>
          <w:highlight w:val="none"/>
        </w:rPr>
        <w:br w:type="page"/>
      </w:r>
    </w:p>
    <w:p>
      <w:pPr>
        <w:pStyle w:val="10"/>
        <w:rPr>
          <w:b/>
          <w:color w:val="auto"/>
          <w:sz w:val="21"/>
          <w:szCs w:val="21"/>
          <w:highlight w:val="none"/>
        </w:rPr>
      </w:pPr>
      <w:r>
        <w:rPr>
          <w:rFonts w:hint="eastAsia"/>
          <w:b/>
          <w:color w:val="auto"/>
          <w:sz w:val="21"/>
          <w:szCs w:val="21"/>
          <w:highlight w:val="none"/>
          <w:lang w:val="en-US"/>
        </w:rPr>
        <w:t>附件1：LNG交付计划确认函</w:t>
      </w:r>
    </w:p>
    <w:p>
      <w:pPr>
        <w:pStyle w:val="10"/>
        <w:rPr>
          <w:b/>
          <w:color w:val="auto"/>
          <w:sz w:val="21"/>
          <w:szCs w:val="21"/>
          <w:highlight w:val="none"/>
        </w:rPr>
      </w:pPr>
    </w:p>
    <w:p>
      <w:pPr>
        <w:pStyle w:val="10"/>
        <w:jc w:val="center"/>
        <w:rPr>
          <w:b/>
          <w:color w:val="auto"/>
          <w:sz w:val="21"/>
          <w:szCs w:val="21"/>
          <w:highlight w:val="none"/>
        </w:rPr>
      </w:pPr>
      <w:r>
        <w:rPr>
          <w:rFonts w:hint="eastAsia"/>
          <w:b/>
          <w:color w:val="auto"/>
          <w:sz w:val="21"/>
          <w:szCs w:val="21"/>
          <w:highlight w:val="none"/>
          <w:lang w:val="en-US"/>
        </w:rPr>
        <w:t>LNG交付计划确认函</w:t>
      </w:r>
    </w:p>
    <w:p>
      <w:pPr>
        <w:pStyle w:val="10"/>
        <w:ind w:firstLine="420" w:firstLineChars="200"/>
        <w:rPr>
          <w:bCs/>
          <w:color w:val="auto"/>
          <w:sz w:val="21"/>
          <w:szCs w:val="21"/>
          <w:highlight w:val="none"/>
        </w:rPr>
      </w:pPr>
      <w:r>
        <w:rPr>
          <w:bCs/>
          <w:color w:val="auto"/>
          <w:sz w:val="21"/>
          <w:szCs w:val="21"/>
          <w:highlight w:val="none"/>
          <w:lang w:val="en-US"/>
        </w:rPr>
        <w:t>根据双方签署《液化天然气(LNG)购销合同》，本着友好合作，互惠互利的原则，双方就供气合同事项确认如下：</w:t>
      </w:r>
    </w:p>
    <w:p>
      <w:pPr>
        <w:pStyle w:val="10"/>
        <w:ind w:firstLine="420" w:firstLineChars="200"/>
        <w:rPr>
          <w:bCs/>
          <w:color w:val="auto"/>
          <w:sz w:val="21"/>
          <w:szCs w:val="21"/>
          <w:highlight w:val="none"/>
        </w:rPr>
      </w:pPr>
      <w:r>
        <w:rPr>
          <w:rFonts w:hint="eastAsia"/>
          <w:bCs/>
          <w:color w:val="auto"/>
          <w:sz w:val="21"/>
          <w:szCs w:val="21"/>
          <w:highlight w:val="none"/>
          <w:lang w:val="en-US"/>
        </w:rPr>
        <w:t>1.气量计划</w:t>
      </w:r>
    </w:p>
    <w:tbl>
      <w:tblPr>
        <w:tblStyle w:val="32"/>
        <w:tblW w:w="8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
        <w:gridCol w:w="1450"/>
        <w:gridCol w:w="1450"/>
        <w:gridCol w:w="1450"/>
        <w:gridCol w:w="1450"/>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450" w:type="dxa"/>
            <w:vAlign w:val="center"/>
          </w:tcPr>
          <w:p>
            <w:pPr>
              <w:pStyle w:val="10"/>
              <w:ind w:left="800"/>
              <w:jc w:val="center"/>
              <w:rPr>
                <w:bCs/>
                <w:color w:val="auto"/>
                <w:sz w:val="21"/>
                <w:szCs w:val="21"/>
                <w:highlight w:val="none"/>
              </w:rPr>
            </w:pPr>
            <w:r>
              <w:rPr>
                <w:rFonts w:hint="eastAsia"/>
                <w:bCs/>
                <w:color w:val="auto"/>
                <w:sz w:val="21"/>
                <w:szCs w:val="21"/>
                <w:highlight w:val="none"/>
                <w:lang w:val="en-US"/>
              </w:rPr>
              <w:t>供应商</w:t>
            </w:r>
          </w:p>
        </w:tc>
        <w:tc>
          <w:tcPr>
            <w:tcW w:w="1450" w:type="dxa"/>
            <w:vAlign w:val="center"/>
          </w:tcPr>
          <w:p>
            <w:pPr>
              <w:pStyle w:val="10"/>
              <w:ind w:left="800"/>
              <w:jc w:val="center"/>
              <w:rPr>
                <w:bCs/>
                <w:color w:val="auto"/>
                <w:sz w:val="21"/>
                <w:szCs w:val="21"/>
                <w:highlight w:val="none"/>
              </w:rPr>
            </w:pPr>
            <w:r>
              <w:rPr>
                <w:rFonts w:hint="eastAsia"/>
                <w:bCs/>
                <w:color w:val="auto"/>
                <w:sz w:val="21"/>
                <w:szCs w:val="21"/>
                <w:highlight w:val="none"/>
                <w:lang w:val="en-US"/>
              </w:rPr>
              <w:t>提货日期</w:t>
            </w:r>
          </w:p>
        </w:tc>
        <w:tc>
          <w:tcPr>
            <w:tcW w:w="1450" w:type="dxa"/>
            <w:vAlign w:val="center"/>
          </w:tcPr>
          <w:p>
            <w:pPr>
              <w:pStyle w:val="10"/>
              <w:ind w:left="800"/>
              <w:jc w:val="center"/>
              <w:rPr>
                <w:bCs/>
                <w:color w:val="auto"/>
                <w:sz w:val="21"/>
                <w:szCs w:val="21"/>
                <w:highlight w:val="none"/>
              </w:rPr>
            </w:pPr>
            <w:r>
              <w:rPr>
                <w:rFonts w:hint="eastAsia"/>
                <w:bCs/>
                <w:color w:val="auto"/>
                <w:sz w:val="21"/>
                <w:szCs w:val="21"/>
                <w:highlight w:val="none"/>
                <w:lang w:val="en-US"/>
              </w:rPr>
              <w:t>提货点</w:t>
            </w:r>
          </w:p>
        </w:tc>
        <w:tc>
          <w:tcPr>
            <w:tcW w:w="1450" w:type="dxa"/>
            <w:vAlign w:val="center"/>
          </w:tcPr>
          <w:p>
            <w:pPr>
              <w:pStyle w:val="10"/>
              <w:ind w:left="800"/>
              <w:jc w:val="center"/>
              <w:rPr>
                <w:bCs/>
                <w:color w:val="auto"/>
                <w:sz w:val="21"/>
                <w:szCs w:val="21"/>
                <w:highlight w:val="none"/>
              </w:rPr>
            </w:pPr>
            <w:r>
              <w:rPr>
                <w:rFonts w:hint="eastAsia"/>
                <w:bCs/>
                <w:color w:val="auto"/>
                <w:sz w:val="21"/>
                <w:szCs w:val="21"/>
                <w:highlight w:val="none"/>
                <w:lang w:val="en-US"/>
              </w:rPr>
              <w:t>到达站</w:t>
            </w:r>
          </w:p>
        </w:tc>
        <w:tc>
          <w:tcPr>
            <w:tcW w:w="1450" w:type="dxa"/>
            <w:vAlign w:val="center"/>
          </w:tcPr>
          <w:p>
            <w:pPr>
              <w:pStyle w:val="10"/>
              <w:spacing w:line="240" w:lineRule="atLeast"/>
              <w:ind w:left="800"/>
              <w:jc w:val="center"/>
              <w:rPr>
                <w:bCs/>
                <w:color w:val="auto"/>
                <w:sz w:val="21"/>
                <w:szCs w:val="21"/>
                <w:highlight w:val="none"/>
              </w:rPr>
            </w:pPr>
            <w:r>
              <w:rPr>
                <w:rFonts w:hint="eastAsia"/>
                <w:bCs/>
                <w:color w:val="auto"/>
                <w:sz w:val="21"/>
                <w:szCs w:val="21"/>
                <w:highlight w:val="none"/>
                <w:lang w:val="en-US"/>
              </w:rPr>
              <w:t>含税价格（元/吨）</w:t>
            </w:r>
          </w:p>
        </w:tc>
        <w:tc>
          <w:tcPr>
            <w:tcW w:w="1450" w:type="dxa"/>
            <w:vAlign w:val="center"/>
          </w:tcPr>
          <w:p>
            <w:pPr>
              <w:pStyle w:val="10"/>
              <w:ind w:left="800"/>
              <w:jc w:val="center"/>
              <w:rPr>
                <w:bCs/>
                <w:color w:val="auto"/>
                <w:sz w:val="21"/>
                <w:szCs w:val="21"/>
                <w:highlight w:val="none"/>
              </w:rPr>
            </w:pPr>
            <w:r>
              <w:rPr>
                <w:rFonts w:hint="eastAsia"/>
                <w:bCs/>
                <w:color w:val="auto"/>
                <w:sz w:val="21"/>
                <w:szCs w:val="21"/>
                <w:highlight w:val="none"/>
                <w:lang w:val="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c>
          <w:tcPr>
            <w:tcW w:w="1450" w:type="dxa"/>
            <w:vAlign w:val="center"/>
          </w:tcPr>
          <w:p>
            <w:pPr>
              <w:pStyle w:val="10"/>
              <w:ind w:left="800"/>
              <w:jc w:val="center"/>
              <w:rPr>
                <w:bCs/>
                <w:color w:val="auto"/>
                <w:sz w:val="21"/>
                <w:szCs w:val="21"/>
                <w:highlight w:val="none"/>
              </w:rPr>
            </w:pPr>
          </w:p>
        </w:tc>
      </w:tr>
    </w:tbl>
    <w:p>
      <w:pPr>
        <w:pStyle w:val="10"/>
        <w:ind w:firstLine="420" w:firstLineChars="200"/>
        <w:rPr>
          <w:bCs/>
          <w:color w:val="auto"/>
          <w:sz w:val="21"/>
          <w:szCs w:val="21"/>
          <w:highlight w:val="none"/>
        </w:rPr>
      </w:pPr>
      <w:r>
        <w:rPr>
          <w:bCs/>
          <w:color w:val="auto"/>
          <w:sz w:val="21"/>
          <w:szCs w:val="21"/>
          <w:highlight w:val="none"/>
          <w:lang w:val="en-US"/>
        </w:rPr>
        <w:t>备注：</w:t>
      </w:r>
    </w:p>
    <w:p>
      <w:pPr>
        <w:pStyle w:val="10"/>
        <w:ind w:firstLine="420" w:firstLineChars="200"/>
        <w:rPr>
          <w:bCs/>
          <w:color w:val="auto"/>
          <w:sz w:val="21"/>
          <w:szCs w:val="21"/>
          <w:highlight w:val="none"/>
        </w:rPr>
      </w:pPr>
      <w:r>
        <w:rPr>
          <w:rFonts w:hint="eastAsia"/>
          <w:bCs/>
          <w:color w:val="auto"/>
          <w:sz w:val="21"/>
          <w:szCs w:val="21"/>
          <w:highlight w:val="none"/>
          <w:lang w:val="en-US"/>
        </w:rPr>
        <w:t>（1）</w:t>
      </w:r>
      <w:r>
        <w:rPr>
          <w:bCs/>
          <w:color w:val="auto"/>
          <w:sz w:val="21"/>
          <w:szCs w:val="21"/>
          <w:highlight w:val="none"/>
          <w:lang w:val="en-US"/>
        </w:rPr>
        <w:t>以上价格均为含税价格，如上游气源价格调整，卖方将相应调整价格。</w:t>
      </w:r>
    </w:p>
    <w:p>
      <w:pPr>
        <w:pStyle w:val="10"/>
        <w:ind w:firstLine="420" w:firstLineChars="200"/>
        <w:rPr>
          <w:bCs/>
          <w:color w:val="auto"/>
          <w:sz w:val="21"/>
          <w:szCs w:val="21"/>
          <w:highlight w:val="none"/>
        </w:rPr>
      </w:pPr>
      <w:r>
        <w:rPr>
          <w:rFonts w:hint="eastAsia"/>
          <w:bCs/>
          <w:color w:val="auto"/>
          <w:sz w:val="21"/>
          <w:szCs w:val="21"/>
          <w:highlight w:val="none"/>
          <w:lang w:val="en-US"/>
        </w:rPr>
        <w:t>（2）</w:t>
      </w:r>
      <w:r>
        <w:rPr>
          <w:bCs/>
          <w:color w:val="auto"/>
          <w:sz w:val="21"/>
          <w:szCs w:val="21"/>
          <w:highlight w:val="none"/>
          <w:lang w:val="en-US"/>
        </w:rPr>
        <w:t>交付计划量为计划数，实际交付气噩以上游供应商过磅单为准。</w:t>
      </w:r>
    </w:p>
    <w:p>
      <w:pPr>
        <w:pStyle w:val="10"/>
        <w:ind w:firstLine="420" w:firstLineChars="200"/>
        <w:rPr>
          <w:bCs/>
          <w:color w:val="auto"/>
          <w:sz w:val="21"/>
          <w:szCs w:val="21"/>
          <w:highlight w:val="none"/>
        </w:rPr>
      </w:pPr>
      <w:r>
        <w:rPr>
          <w:rFonts w:hint="eastAsia"/>
          <w:bCs/>
          <w:color w:val="auto"/>
          <w:sz w:val="21"/>
          <w:szCs w:val="21"/>
          <w:highlight w:val="none"/>
          <w:lang w:val="en-US"/>
        </w:rPr>
        <w:t>2.本确认函一式两份，其余条款按照《液化天然气(LNG)购销合同》执行。</w:t>
      </w:r>
    </w:p>
    <w:p>
      <w:pPr>
        <w:pStyle w:val="10"/>
        <w:ind w:firstLine="1260" w:firstLineChars="600"/>
        <w:rPr>
          <w:bCs/>
          <w:color w:val="auto"/>
          <w:sz w:val="21"/>
          <w:szCs w:val="21"/>
          <w:highlight w:val="none"/>
        </w:rPr>
      </w:pPr>
      <w:r>
        <w:rPr>
          <w:rFonts w:hint="eastAsia"/>
          <w:bCs/>
          <w:color w:val="auto"/>
          <w:sz w:val="21"/>
          <w:szCs w:val="21"/>
          <w:highlight w:val="none"/>
          <w:lang w:val="en-US"/>
        </w:rPr>
        <w:t>XX</w:t>
      </w:r>
      <w:r>
        <w:rPr>
          <w:bCs/>
          <w:color w:val="auto"/>
          <w:sz w:val="21"/>
          <w:szCs w:val="21"/>
          <w:highlight w:val="none"/>
          <w:lang w:val="en-US"/>
        </w:rPr>
        <w:t>公司</w:t>
      </w:r>
      <w:r>
        <w:rPr>
          <w:rFonts w:hint="eastAsia"/>
          <w:bCs/>
          <w:color w:val="auto"/>
          <w:sz w:val="21"/>
          <w:szCs w:val="21"/>
          <w:highlight w:val="none"/>
          <w:lang w:val="en-US"/>
        </w:rPr>
        <w:t xml:space="preserve">            东莞新锋交通能源发展有限</w:t>
      </w:r>
      <w:r>
        <w:rPr>
          <w:bCs/>
          <w:color w:val="auto"/>
          <w:sz w:val="21"/>
          <w:szCs w:val="21"/>
          <w:highlight w:val="none"/>
          <w:lang w:val="en-US"/>
        </w:rPr>
        <w:t>公司</w:t>
      </w:r>
    </w:p>
    <w:p>
      <w:pPr>
        <w:pStyle w:val="10"/>
        <w:ind w:firstLine="630" w:firstLineChars="300"/>
        <w:rPr>
          <w:bCs/>
          <w:color w:val="auto"/>
          <w:sz w:val="21"/>
          <w:szCs w:val="21"/>
          <w:highlight w:val="none"/>
        </w:rPr>
      </w:pPr>
      <w:r>
        <w:rPr>
          <w:bCs/>
          <w:color w:val="auto"/>
          <w:sz w:val="21"/>
          <w:szCs w:val="21"/>
          <w:highlight w:val="none"/>
          <w:lang w:val="en-US"/>
        </w:rPr>
        <w:t>（盖章）</w:t>
      </w:r>
      <w:r>
        <w:rPr>
          <w:rFonts w:hint="eastAsia"/>
          <w:bCs/>
          <w:color w:val="auto"/>
          <w:sz w:val="21"/>
          <w:szCs w:val="21"/>
          <w:highlight w:val="none"/>
          <w:lang w:val="en-US"/>
        </w:rPr>
        <w:t xml:space="preserve">                              </w:t>
      </w:r>
      <w:r>
        <w:rPr>
          <w:bCs/>
          <w:color w:val="auto"/>
          <w:sz w:val="21"/>
          <w:szCs w:val="21"/>
          <w:highlight w:val="none"/>
          <w:lang w:val="en-US"/>
        </w:rPr>
        <w:t>（盖章）</w:t>
      </w:r>
    </w:p>
    <w:p>
      <w:pPr>
        <w:pStyle w:val="10"/>
        <w:rPr>
          <w:bCs/>
          <w:color w:val="auto"/>
          <w:sz w:val="21"/>
          <w:szCs w:val="21"/>
          <w:highlight w:val="none"/>
          <w:lang w:val="en-US"/>
        </w:rPr>
      </w:pPr>
      <w:r>
        <w:rPr>
          <w:rFonts w:hint="eastAsia"/>
          <w:bCs/>
          <w:color w:val="auto"/>
          <w:sz w:val="21"/>
          <w:szCs w:val="21"/>
          <w:highlight w:val="none"/>
          <w:lang w:val="en-US"/>
        </w:rPr>
        <w:t>日期：    年  月  日                日期：    年  月  日</w:t>
      </w:r>
    </w:p>
    <w:p>
      <w:pPr>
        <w:adjustRightInd/>
        <w:snapToGrid/>
        <w:spacing w:line="240" w:lineRule="auto"/>
        <w:rPr>
          <w:rFonts w:ascii="宋体" w:hAnsi="宋体" w:cs="宋体"/>
          <w:bCs/>
          <w:color w:val="auto"/>
          <w:szCs w:val="21"/>
          <w:highlight w:val="none"/>
          <w:lang w:bidi="zh-CN"/>
        </w:rPr>
      </w:pPr>
      <w:r>
        <w:rPr>
          <w:bCs/>
          <w:color w:val="auto"/>
          <w:szCs w:val="21"/>
          <w:highlight w:val="none"/>
        </w:rPr>
        <w:br w:type="page"/>
      </w:r>
    </w:p>
    <w:p>
      <w:pPr>
        <w:pStyle w:val="10"/>
        <w:rPr>
          <w:bCs/>
          <w:color w:val="auto"/>
          <w:sz w:val="21"/>
          <w:szCs w:val="21"/>
          <w:highlight w:val="none"/>
        </w:rPr>
      </w:pPr>
    </w:p>
    <w:p>
      <w:pPr>
        <w:pStyle w:val="10"/>
        <w:rPr>
          <w:bCs/>
          <w:color w:val="auto"/>
          <w:sz w:val="21"/>
          <w:szCs w:val="21"/>
          <w:highlight w:val="none"/>
        </w:rPr>
      </w:pPr>
      <w:r>
        <w:rPr>
          <w:rFonts w:hint="eastAsia"/>
          <w:bCs/>
          <w:color w:val="auto"/>
          <w:sz w:val="21"/>
          <w:szCs w:val="21"/>
          <w:highlight w:val="none"/>
          <w:lang w:val="en-US"/>
        </w:rPr>
        <w:t>附件2：</w:t>
      </w:r>
      <w:r>
        <w:rPr>
          <w:rFonts w:hint="eastAsia"/>
          <w:bCs/>
          <w:color w:val="auto"/>
          <w:sz w:val="21"/>
          <w:szCs w:val="21"/>
          <w:highlight w:val="none"/>
        </w:rPr>
        <w:t>双方营业执照</w:t>
      </w:r>
    </w:p>
    <w:p>
      <w:pPr>
        <w:adjustRightInd/>
        <w:snapToGrid/>
        <w:spacing w:line="240" w:lineRule="auto"/>
        <w:rPr>
          <w:color w:val="auto"/>
          <w:highlight w:val="none"/>
        </w:rPr>
      </w:pPr>
    </w:p>
    <w:p>
      <w:pPr>
        <w:rPr>
          <w:color w:val="auto"/>
          <w:highlight w:val="none"/>
        </w:rPr>
      </w:pPr>
      <w:r>
        <w:rPr>
          <w:rFonts w:hint="eastAsia"/>
          <w:color w:val="auto"/>
          <w:highlight w:val="none"/>
        </w:rPr>
        <w:br w:type="page"/>
      </w:r>
    </w:p>
    <w:p>
      <w:pPr>
        <w:adjustRightInd/>
        <w:snapToGrid/>
        <w:spacing w:line="240" w:lineRule="auto"/>
        <w:rPr>
          <w:color w:val="auto"/>
          <w:highlight w:val="none"/>
        </w:rPr>
      </w:pPr>
      <w:r>
        <w:rPr>
          <w:rFonts w:hint="eastAsia"/>
          <w:color w:val="auto"/>
          <w:highlight w:val="none"/>
        </w:rPr>
        <w:t>附件：</w:t>
      </w:r>
      <w:bookmarkEnd w:id="122"/>
      <w:r>
        <w:rPr>
          <w:rFonts w:hint="eastAsia"/>
          <w:color w:val="auto"/>
          <w:highlight w:val="none"/>
        </w:rPr>
        <w:t>3</w:t>
      </w:r>
    </w:p>
    <w:p>
      <w:pPr>
        <w:rPr>
          <w:color w:val="auto"/>
          <w:highlight w:val="none"/>
        </w:rPr>
      </w:pPr>
    </w:p>
    <w:p>
      <w:pPr>
        <w:adjustRightInd/>
        <w:snapToGrid/>
        <w:spacing w:line="240" w:lineRule="auto"/>
        <w:jc w:val="center"/>
        <w:rPr>
          <w:color w:val="auto"/>
          <w:highlight w:val="none"/>
        </w:rPr>
      </w:pPr>
      <w:bookmarkStart w:id="124" w:name="_Toc7003"/>
      <w:r>
        <w:rPr>
          <w:rFonts w:hint="eastAsia"/>
          <w:color w:val="auto"/>
          <w:highlight w:val="none"/>
        </w:rPr>
        <w:t>阳光合作协议</w:t>
      </w:r>
      <w:bookmarkEnd w:id="124"/>
    </w:p>
    <w:p>
      <w:pPr>
        <w:pStyle w:val="10"/>
        <w:rPr>
          <w:color w:val="auto"/>
          <w:highlight w:val="none"/>
          <w:lang w:val="en-US"/>
        </w:rPr>
      </w:pPr>
      <w:r>
        <w:rPr>
          <w:rFonts w:hint="eastAsia"/>
          <w:color w:val="auto"/>
          <w:highlight w:val="none"/>
          <w:lang w:val="en-US"/>
        </w:rPr>
        <w:t xml:space="preserve">            （本合同文本仅供参考，实际以签订合同为准）</w:t>
      </w:r>
    </w:p>
    <w:p>
      <w:pPr>
        <w:adjustRightInd/>
        <w:snapToGrid/>
        <w:spacing w:line="240" w:lineRule="auto"/>
        <w:rPr>
          <w:color w:val="auto"/>
          <w:highlight w:val="none"/>
        </w:rPr>
      </w:pPr>
    </w:p>
    <w:p>
      <w:pPr>
        <w:adjustRightInd/>
        <w:snapToGrid/>
        <w:spacing w:line="240" w:lineRule="auto"/>
        <w:rPr>
          <w:color w:val="auto"/>
          <w:highlight w:val="none"/>
        </w:rPr>
      </w:pPr>
      <w:r>
        <w:rPr>
          <w:rFonts w:hint="eastAsia"/>
          <w:color w:val="auto"/>
          <w:highlight w:val="none"/>
        </w:rPr>
        <w:t>甲方（采购人全称）：</w:t>
      </w:r>
    </w:p>
    <w:p>
      <w:pPr>
        <w:rPr>
          <w:color w:val="auto"/>
          <w:highlight w:val="none"/>
        </w:rPr>
      </w:pPr>
      <w:r>
        <w:rPr>
          <w:rFonts w:hint="eastAsia"/>
          <w:color w:val="auto"/>
          <w:highlight w:val="none"/>
        </w:rPr>
        <w:t>乙方（中标人全称）：</w:t>
      </w:r>
    </w:p>
    <w:p>
      <w:pPr>
        <w:adjustRightInd/>
        <w:snapToGrid/>
        <w:spacing w:line="240" w:lineRule="auto"/>
        <w:rPr>
          <w:color w:val="auto"/>
          <w:highlight w:val="none"/>
        </w:rPr>
      </w:pPr>
      <w:r>
        <w:rPr>
          <w:rFonts w:hint="eastAsia"/>
          <w:color w:val="auto"/>
          <w:highlight w:val="none"/>
        </w:rPr>
        <w:t>甲乙双方于      年      月      日签署了《</w:t>
      </w:r>
      <w:r>
        <w:rPr>
          <w:color w:val="auto"/>
          <w:highlight w:val="none"/>
          <w:lang w:bidi="zh-CN"/>
        </w:rPr>
        <w:t>液化天然气（LNG）购销合同</w:t>
      </w:r>
      <w:r>
        <w:rPr>
          <w:rFonts w:hint="eastAsia"/>
          <w:color w:val="auto"/>
          <w:highlight w:val="none"/>
        </w:rPr>
        <w:t>》（以下简称原合同），为加强双方阳光合作，保证职员职业安全，甲乙双方经协商签订本协议并作为双方共同遵守的阳光合作行为准则。</w:t>
      </w:r>
    </w:p>
    <w:p>
      <w:pPr>
        <w:numPr>
          <w:ilvl w:val="255"/>
          <w:numId w:val="0"/>
        </w:numPr>
        <w:adjustRightInd/>
        <w:snapToGrid/>
        <w:spacing w:line="240" w:lineRule="auto"/>
        <w:rPr>
          <w:color w:val="auto"/>
          <w:highlight w:val="none"/>
        </w:rPr>
      </w:pPr>
      <w:bookmarkStart w:id="125" w:name="_Toc31373"/>
      <w:r>
        <w:rPr>
          <w:rFonts w:hint="eastAsia"/>
          <w:color w:val="auto"/>
          <w:highlight w:val="none"/>
        </w:rPr>
        <w:t>甲方责任</w:t>
      </w:r>
      <w:bookmarkEnd w:id="125"/>
    </w:p>
    <w:p>
      <w:pPr>
        <w:adjustRightInd/>
        <w:snapToGrid/>
        <w:spacing w:line="240" w:lineRule="auto"/>
        <w:rPr>
          <w:color w:val="auto"/>
          <w:highlight w:val="none"/>
        </w:rPr>
      </w:pPr>
      <w:r>
        <w:rPr>
          <w:rFonts w:hint="eastAsia"/>
          <w:color w:val="auto"/>
          <w:highlight w:val="none"/>
        </w:rPr>
        <w:t>1.甲方有责任向乙方介绍本单位有关采购管理通用原则和本协议的规定。</w:t>
      </w:r>
    </w:p>
    <w:p>
      <w:pPr>
        <w:adjustRightInd/>
        <w:snapToGrid/>
        <w:spacing w:line="240" w:lineRule="auto"/>
        <w:rPr>
          <w:color w:val="auto"/>
          <w:highlight w:val="none"/>
        </w:rPr>
      </w:pPr>
      <w:bookmarkStart w:id="126" w:name="_Toc2646"/>
      <w:r>
        <w:rPr>
          <w:rFonts w:hint="eastAsia"/>
          <w:color w:val="auto"/>
          <w:highlight w:val="none"/>
        </w:rPr>
        <w:t>2.甲方有责任对本单位相关人员进行阳光合作教育。</w:t>
      </w:r>
      <w:bookmarkEnd w:id="126"/>
    </w:p>
    <w:p>
      <w:pPr>
        <w:adjustRightInd/>
        <w:snapToGrid/>
        <w:spacing w:line="240" w:lineRule="auto"/>
        <w:rPr>
          <w:color w:val="auto"/>
          <w:highlight w:val="none"/>
        </w:rPr>
      </w:pPr>
      <w:r>
        <w:rPr>
          <w:rFonts w:hint="eastAsia"/>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pPr>
        <w:adjustRightInd/>
        <w:snapToGrid/>
        <w:spacing w:line="240" w:lineRule="auto"/>
        <w:rPr>
          <w:color w:val="auto"/>
          <w:highlight w:val="none"/>
        </w:rPr>
      </w:pPr>
      <w:r>
        <w:rPr>
          <w:rFonts w:hint="eastAsia"/>
          <w:color w:val="auto"/>
          <w:highlight w:val="none"/>
        </w:rPr>
        <w:t>4.甲方人员如违反阳光合作管理制度及本协议规定，甲方视情节轻重、影响大小给予行政及经济处罚。</w:t>
      </w:r>
    </w:p>
    <w:p>
      <w:pPr>
        <w:adjustRightInd/>
        <w:snapToGrid/>
        <w:spacing w:line="240" w:lineRule="auto"/>
        <w:rPr>
          <w:color w:val="auto"/>
          <w:highlight w:val="none"/>
        </w:rPr>
      </w:pPr>
      <w:r>
        <w:rPr>
          <w:rFonts w:hint="eastAsia"/>
          <w:color w:val="auto"/>
          <w:highlight w:val="none"/>
        </w:rPr>
        <w:t>5．对于乙方举报甲方人员违反阳光合作规定的情况，甲方应及时进行调查，根据调查情况进行处理，并将调查结果向乙方反馈。</w:t>
      </w:r>
    </w:p>
    <w:p>
      <w:pPr>
        <w:adjustRightInd/>
        <w:snapToGrid/>
        <w:spacing w:line="240" w:lineRule="auto"/>
        <w:rPr>
          <w:color w:val="auto"/>
          <w:highlight w:val="none"/>
        </w:rPr>
      </w:pPr>
      <w:r>
        <w:rPr>
          <w:rFonts w:hint="eastAsia"/>
          <w:color w:val="auto"/>
          <w:highlight w:val="none"/>
        </w:rPr>
        <w:t>6.接受举报的一方应为举报方保密，不得对举报方进行报复，对举报属实和严格遵守《阳光合作协议》的合作方，在同等条件下给予后续合作的优先权。</w:t>
      </w:r>
    </w:p>
    <w:p>
      <w:pPr>
        <w:numPr>
          <w:ilvl w:val="255"/>
          <w:numId w:val="0"/>
        </w:numPr>
        <w:adjustRightInd/>
        <w:snapToGrid/>
        <w:spacing w:line="240" w:lineRule="auto"/>
        <w:rPr>
          <w:color w:val="auto"/>
          <w:highlight w:val="none"/>
        </w:rPr>
      </w:pPr>
      <w:bookmarkStart w:id="127" w:name="_Toc31188"/>
      <w:r>
        <w:rPr>
          <w:rFonts w:hint="eastAsia"/>
          <w:color w:val="auto"/>
          <w:highlight w:val="none"/>
        </w:rPr>
        <w:t>乙方责任</w:t>
      </w:r>
      <w:bookmarkEnd w:id="127"/>
    </w:p>
    <w:p>
      <w:pPr>
        <w:adjustRightInd/>
        <w:snapToGrid/>
        <w:spacing w:line="240" w:lineRule="auto"/>
        <w:rPr>
          <w:color w:val="auto"/>
          <w:highlight w:val="none"/>
        </w:rPr>
      </w:pPr>
      <w:r>
        <w:rPr>
          <w:rFonts w:hint="eastAsia"/>
          <w:color w:val="auto"/>
          <w:highlight w:val="none"/>
        </w:rPr>
        <w:t>1.乙方应保证乙方人员了解甲方有关采购管理通用原则和及本协议的规定，并遵照执行。</w:t>
      </w:r>
    </w:p>
    <w:p>
      <w:pPr>
        <w:adjustRightInd/>
        <w:snapToGrid/>
        <w:spacing w:line="240" w:lineRule="auto"/>
        <w:rPr>
          <w:color w:val="auto"/>
          <w:highlight w:val="none"/>
        </w:rPr>
      </w:pPr>
      <w:r>
        <w:rPr>
          <w:rFonts w:hint="eastAsia"/>
          <w:color w:val="auto"/>
          <w:highlight w:val="none"/>
        </w:rPr>
        <w:t>2.乙方不得以任何形式给予甲方人员回扣、赠送实物、现金、有价证券、礼券等有价物品或提供旅游等其他可能影响职务行为公正履行的活动（以下统称“财物”）。</w:t>
      </w:r>
    </w:p>
    <w:p>
      <w:pPr>
        <w:adjustRightInd/>
        <w:snapToGrid/>
        <w:spacing w:line="240" w:lineRule="auto"/>
        <w:rPr>
          <w:color w:val="auto"/>
          <w:highlight w:val="none"/>
        </w:rPr>
      </w:pPr>
      <w:r>
        <w:rPr>
          <w:rFonts w:hint="eastAsia"/>
          <w:color w:val="auto"/>
          <w:highlight w:val="none"/>
        </w:rPr>
        <w:t>3.乙方有责任接受甲方对乙方在合作期间阳光合作管理执行情况的监督，并对甲方相关调查工作主动配合。</w:t>
      </w:r>
    </w:p>
    <w:p>
      <w:pPr>
        <w:adjustRightInd/>
        <w:snapToGrid/>
        <w:spacing w:line="240" w:lineRule="auto"/>
        <w:rPr>
          <w:color w:val="auto"/>
          <w:highlight w:val="none"/>
        </w:rPr>
      </w:pPr>
      <w:r>
        <w:rPr>
          <w:rFonts w:hint="eastAsia"/>
          <w:color w:val="auto"/>
          <w:highlight w:val="none"/>
        </w:rPr>
        <w:t>4.乙方有义务就甲方人员任何形式的索取或收受财物行为及时向甲方（直接联系人为东莞市能源投资集团有限公司企业管理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能源集团（东莞市能源投资集团有限公司及下属子公司）合格供应商。</w:t>
      </w:r>
    </w:p>
    <w:p>
      <w:pPr>
        <w:adjustRightInd/>
        <w:snapToGrid/>
        <w:spacing w:line="240" w:lineRule="auto"/>
        <w:rPr>
          <w:color w:val="auto"/>
          <w:highlight w:val="none"/>
        </w:rPr>
      </w:pPr>
      <w:r>
        <w:rPr>
          <w:rFonts w:hint="eastAsia"/>
          <w:color w:val="auto"/>
          <w:highlight w:val="none"/>
        </w:rPr>
        <w:t xml:space="preserve">5．甲方接受乙方实名或匿名举报，保证为举报者的信息保密，常设举报部门及电话： </w:t>
      </w:r>
    </w:p>
    <w:p>
      <w:pPr>
        <w:adjustRightInd/>
        <w:snapToGrid/>
        <w:spacing w:line="240" w:lineRule="auto"/>
        <w:rPr>
          <w:color w:val="auto"/>
          <w:highlight w:val="none"/>
        </w:rPr>
      </w:pPr>
      <w:r>
        <w:rPr>
          <w:rFonts w:hint="eastAsia"/>
          <w:color w:val="auto"/>
          <w:highlight w:val="none"/>
        </w:rPr>
        <w:t>举报受理部门：东莞市能源投资集团有限公司企业管理部</w:t>
      </w:r>
    </w:p>
    <w:p>
      <w:pPr>
        <w:adjustRightInd/>
        <w:snapToGrid/>
        <w:spacing w:line="240" w:lineRule="auto"/>
        <w:rPr>
          <w:color w:val="auto"/>
          <w:highlight w:val="none"/>
        </w:rPr>
      </w:pPr>
      <w:r>
        <w:rPr>
          <w:rFonts w:hint="eastAsia"/>
          <w:color w:val="auto"/>
          <w:highlight w:val="none"/>
        </w:rPr>
        <w:t>能源集团举报邮箱：dgnyqgb@dg-energy.com</w:t>
      </w:r>
    </w:p>
    <w:p>
      <w:pPr>
        <w:adjustRightInd/>
        <w:snapToGrid/>
        <w:spacing w:line="240" w:lineRule="auto"/>
        <w:rPr>
          <w:color w:val="auto"/>
          <w:highlight w:val="none"/>
        </w:rPr>
      </w:pPr>
      <w:r>
        <w:rPr>
          <w:rFonts w:hint="eastAsia"/>
          <w:color w:val="auto"/>
          <w:highlight w:val="none"/>
        </w:rPr>
        <w:t>能源集团举报电话：0769-23328000（周一至周五9:00-12:00和14:00-17:30）</w:t>
      </w:r>
    </w:p>
    <w:p>
      <w:pPr>
        <w:adjustRightInd/>
        <w:snapToGrid/>
        <w:spacing w:line="240" w:lineRule="auto"/>
        <w:rPr>
          <w:color w:val="auto"/>
          <w:highlight w:val="none"/>
        </w:rPr>
      </w:pPr>
      <w:r>
        <w:rPr>
          <w:rFonts w:hint="eastAsia"/>
          <w:color w:val="auto"/>
          <w:highlight w:val="none"/>
        </w:rPr>
        <w:t>邮寄地址：东莞市松山湖新城大道5号龙怡智谷D栋，东莞市能源投资集团有限公司企业管理部收，邮编523000。</w:t>
      </w:r>
    </w:p>
    <w:p>
      <w:pPr>
        <w:numPr>
          <w:ilvl w:val="255"/>
          <w:numId w:val="0"/>
        </w:numPr>
        <w:adjustRightInd/>
        <w:snapToGrid/>
        <w:spacing w:line="240" w:lineRule="auto"/>
        <w:rPr>
          <w:color w:val="auto"/>
          <w:highlight w:val="none"/>
        </w:rPr>
      </w:pPr>
      <w:bookmarkStart w:id="128" w:name="_Toc6654"/>
      <w:r>
        <w:rPr>
          <w:rFonts w:hint="eastAsia"/>
          <w:color w:val="auto"/>
          <w:highlight w:val="none"/>
        </w:rPr>
        <w:t>其他</w:t>
      </w:r>
      <w:bookmarkEnd w:id="128"/>
    </w:p>
    <w:p>
      <w:pPr>
        <w:adjustRightInd/>
        <w:snapToGrid/>
        <w:spacing w:line="240" w:lineRule="auto"/>
        <w:rPr>
          <w:color w:val="auto"/>
          <w:highlight w:val="none"/>
        </w:rPr>
      </w:pPr>
      <w:bookmarkStart w:id="129" w:name="_Toc19457"/>
      <w:r>
        <w:rPr>
          <w:rFonts w:hint="eastAsia"/>
          <w:color w:val="auto"/>
          <w:highlight w:val="none"/>
        </w:rPr>
        <w:t>1.本协议是原合同的补充协议，与原合同有同等法律效力。</w:t>
      </w:r>
      <w:bookmarkEnd w:id="129"/>
    </w:p>
    <w:p>
      <w:pPr>
        <w:adjustRightInd/>
        <w:snapToGrid/>
        <w:spacing w:line="240" w:lineRule="auto"/>
        <w:rPr>
          <w:color w:val="auto"/>
          <w:highlight w:val="none"/>
        </w:rPr>
      </w:pPr>
      <w:r>
        <w:rPr>
          <w:rFonts w:hint="eastAsia"/>
          <w:color w:val="auto"/>
          <w:highlight w:val="none"/>
        </w:rPr>
        <w:t>2.本协议一式伍份，甲方执叁份，乙方执贰份,具有同等法律效力。</w:t>
      </w:r>
    </w:p>
    <w:p>
      <w:pPr>
        <w:adjustRightInd/>
        <w:snapToGrid/>
        <w:spacing w:line="240" w:lineRule="auto"/>
        <w:rPr>
          <w:color w:val="auto"/>
          <w:highlight w:val="none"/>
        </w:rPr>
      </w:pPr>
      <w:bookmarkStart w:id="130" w:name="_Toc8995"/>
      <w:r>
        <w:rPr>
          <w:rFonts w:hint="eastAsia"/>
          <w:color w:val="auto"/>
          <w:highlight w:val="none"/>
        </w:rPr>
        <w:t>3.本协议经双方签署后生效。</w:t>
      </w:r>
      <w:bookmarkEnd w:id="130"/>
    </w:p>
    <w:p>
      <w:pPr>
        <w:adjustRightInd/>
        <w:snapToGrid/>
        <w:spacing w:line="240" w:lineRule="auto"/>
        <w:rPr>
          <w:color w:val="auto"/>
          <w:highlight w:val="none"/>
        </w:rPr>
      </w:pPr>
    </w:p>
    <w:p>
      <w:pPr>
        <w:adjustRightInd/>
        <w:snapToGrid/>
        <w:spacing w:line="240" w:lineRule="auto"/>
        <w:rPr>
          <w:color w:val="auto"/>
          <w:highlight w:val="none"/>
        </w:rPr>
      </w:pPr>
      <w:r>
        <w:rPr>
          <w:rFonts w:hint="eastAsia"/>
          <w:color w:val="auto"/>
          <w:highlight w:val="none"/>
        </w:rPr>
        <w:t xml:space="preserve">甲方（盖章）：                     </w:t>
      </w:r>
      <w:r>
        <w:rPr>
          <w:rFonts w:hint="eastAsia"/>
          <w:color w:val="auto"/>
          <w:highlight w:val="none"/>
          <w:lang w:val="en-US" w:eastAsia="zh-CN"/>
        </w:rPr>
        <w:t xml:space="preserve">     </w:t>
      </w:r>
      <w:r>
        <w:rPr>
          <w:rFonts w:hint="eastAsia"/>
          <w:color w:val="auto"/>
          <w:highlight w:val="none"/>
        </w:rPr>
        <w:t xml:space="preserve"> 乙方（盖章）： </w:t>
      </w:r>
    </w:p>
    <w:p>
      <w:pPr>
        <w:adjustRightInd/>
        <w:snapToGrid/>
        <w:spacing w:line="240" w:lineRule="auto"/>
        <w:rPr>
          <w:color w:val="auto"/>
          <w:highlight w:val="none"/>
        </w:rPr>
      </w:pPr>
    </w:p>
    <w:p>
      <w:pPr>
        <w:adjustRightInd/>
        <w:snapToGrid/>
        <w:spacing w:line="240" w:lineRule="auto"/>
        <w:rPr>
          <w:color w:val="auto"/>
          <w:highlight w:val="none"/>
        </w:rPr>
      </w:pPr>
      <w:r>
        <w:rPr>
          <w:rFonts w:hint="eastAsia"/>
          <w:color w:val="auto"/>
          <w:highlight w:val="none"/>
        </w:rPr>
        <w:t>法定代表人（授权代表）：</w:t>
      </w:r>
      <w:r>
        <w:rPr>
          <w:rFonts w:hint="eastAsia"/>
          <w:color w:val="auto"/>
          <w:highlight w:val="none"/>
        </w:rPr>
        <w:tab/>
      </w:r>
      <w:r>
        <w:rPr>
          <w:rFonts w:hint="eastAsia"/>
          <w:color w:val="auto"/>
          <w:highlight w:val="none"/>
        </w:rPr>
        <w:tab/>
      </w:r>
      <w:r>
        <w:rPr>
          <w:rFonts w:hint="eastAsia"/>
          <w:color w:val="auto"/>
          <w:highlight w:val="none"/>
        </w:rPr>
        <w:t xml:space="preserve">  </w:t>
      </w:r>
      <w:r>
        <w:rPr>
          <w:rFonts w:hint="eastAsia"/>
          <w:color w:val="auto"/>
          <w:highlight w:val="none"/>
        </w:rPr>
        <w:tab/>
      </w:r>
      <w:r>
        <w:rPr>
          <w:rFonts w:hint="eastAsia"/>
          <w:color w:val="auto"/>
          <w:highlight w:val="none"/>
        </w:rPr>
        <w:t>法定代表人（授权代表）：</w:t>
      </w:r>
    </w:p>
    <w:p>
      <w:pPr>
        <w:adjustRightInd/>
        <w:snapToGrid/>
        <w:spacing w:line="240" w:lineRule="auto"/>
        <w:rPr>
          <w:color w:val="auto"/>
          <w:highlight w:val="none"/>
        </w:rPr>
      </w:pPr>
    </w:p>
    <w:p>
      <w:pPr>
        <w:adjustRightInd/>
        <w:snapToGrid/>
        <w:spacing w:line="240" w:lineRule="auto"/>
        <w:rPr>
          <w:color w:val="auto"/>
          <w:highlight w:val="none"/>
        </w:rPr>
      </w:pPr>
      <w:r>
        <w:rPr>
          <w:rFonts w:hint="eastAsia"/>
          <w:color w:val="auto"/>
          <w:highlight w:val="none"/>
        </w:rPr>
        <w:t>签约日期：   年   月   日</w:t>
      </w:r>
      <w:r>
        <w:rPr>
          <w:rFonts w:hint="eastAsia"/>
          <w:color w:val="auto"/>
          <w:highlight w:val="none"/>
        </w:rPr>
        <w:tab/>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rPr>
        <w:t>签约日期：   年   月   日</w:t>
      </w:r>
    </w:p>
    <w:p>
      <w:pPr>
        <w:rPr>
          <w:color w:val="auto"/>
          <w:highlight w:val="none"/>
        </w:rPr>
      </w:pPr>
      <w:r>
        <w:rPr>
          <w:color w:val="auto"/>
          <w:highlight w:val="none"/>
        </w:rPr>
        <w:br w:type="page"/>
      </w:r>
    </w:p>
    <w:p>
      <w:pPr>
        <w:pStyle w:val="3"/>
        <w:spacing w:before="0" w:after="0" w:line="240" w:lineRule="auto"/>
        <w:rPr>
          <w:color w:val="auto"/>
          <w:sz w:val="28"/>
          <w:szCs w:val="28"/>
          <w:highlight w:val="none"/>
        </w:rPr>
      </w:pPr>
      <w:bookmarkStart w:id="131" w:name="_Toc216704989"/>
      <w:r>
        <w:rPr>
          <w:rFonts w:hint="eastAsia"/>
          <w:color w:val="auto"/>
          <w:sz w:val="28"/>
          <w:szCs w:val="28"/>
          <w:highlight w:val="none"/>
        </w:rPr>
        <w:t>第六部分 附件－投标文件格式</w:t>
      </w:r>
      <w:bookmarkEnd w:id="131"/>
    </w:p>
    <w:p>
      <w:pPr>
        <w:rPr>
          <w:color w:val="auto"/>
          <w:highlight w:val="none"/>
        </w:rPr>
      </w:pPr>
    </w:p>
    <w:p>
      <w:pPr>
        <w:pStyle w:val="5"/>
        <w:widowControl w:val="0"/>
        <w:overflowPunct w:val="0"/>
        <w:spacing w:line="240" w:lineRule="auto"/>
        <w:rPr>
          <w:rFonts w:ascii="宋体" w:hAnsi="宋体"/>
          <w:color w:val="auto"/>
          <w:sz w:val="21"/>
          <w:szCs w:val="21"/>
          <w:highlight w:val="none"/>
        </w:rPr>
      </w:pPr>
      <w:bookmarkStart w:id="132" w:name="_Toc216704990"/>
      <w:r>
        <w:rPr>
          <w:rFonts w:hint="eastAsia" w:ascii="宋体" w:hAnsi="宋体"/>
          <w:color w:val="auto"/>
          <w:sz w:val="21"/>
          <w:szCs w:val="21"/>
          <w:highlight w:val="none"/>
        </w:rPr>
        <w:t>投标文件目录</w:t>
      </w:r>
      <w:bookmarkEnd w:id="132"/>
    </w:p>
    <w:p>
      <w:pPr>
        <w:jc w:val="center"/>
        <w:rPr>
          <w:rFonts w:ascii="黑体" w:eastAsia="黑体"/>
          <w:color w:val="auto"/>
          <w:sz w:val="32"/>
          <w:szCs w:val="32"/>
          <w:highlight w:val="none"/>
        </w:rPr>
      </w:pPr>
    </w:p>
    <w:p>
      <w:pPr>
        <w:jc w:val="center"/>
        <w:rPr>
          <w:rFonts w:ascii="黑体" w:eastAsia="黑体"/>
          <w:color w:val="auto"/>
          <w:sz w:val="32"/>
          <w:szCs w:val="32"/>
          <w:highlight w:val="none"/>
        </w:rPr>
      </w:pPr>
      <w:r>
        <w:rPr>
          <w:rFonts w:hint="eastAsia" w:ascii="黑体" w:eastAsia="黑体"/>
          <w:color w:val="auto"/>
          <w:sz w:val="32"/>
          <w:szCs w:val="32"/>
          <w:highlight w:val="none"/>
        </w:rPr>
        <w:t>目录</w:t>
      </w:r>
    </w:p>
    <w:p>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pPr>
        <w:adjustRightInd/>
        <w:snapToGrid/>
        <w:spacing w:line="276" w:lineRule="auto"/>
        <w:rPr>
          <w:rFonts w:ascii="宋体" w:hAnsi="宋体"/>
          <w:color w:val="auto"/>
          <w:szCs w:val="21"/>
          <w:highlight w:val="none"/>
        </w:rPr>
      </w:pPr>
    </w:p>
    <w:p>
      <w:pPr>
        <w:adjustRightInd/>
        <w:snapToGrid/>
        <w:spacing w:line="276" w:lineRule="auto"/>
        <w:rPr>
          <w:rFonts w:ascii="宋体" w:hAnsi="宋体"/>
          <w:color w:val="auto"/>
          <w:szCs w:val="21"/>
          <w:highlight w:val="none"/>
        </w:rPr>
      </w:pPr>
    </w:p>
    <w:p>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pP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pPr>
        <w:pStyle w:val="5"/>
        <w:widowControl w:val="0"/>
        <w:overflowPunct w:val="0"/>
        <w:spacing w:line="240" w:lineRule="auto"/>
        <w:rPr>
          <w:rFonts w:ascii="宋体" w:hAnsi="宋体"/>
          <w:color w:val="auto"/>
          <w:sz w:val="21"/>
          <w:szCs w:val="21"/>
          <w:highlight w:val="none"/>
        </w:rPr>
      </w:pPr>
      <w:bookmarkStart w:id="133" w:name="_Toc216704991"/>
      <w:r>
        <w:rPr>
          <w:rFonts w:hint="eastAsia" w:ascii="宋体" w:hAnsi="宋体"/>
          <w:color w:val="auto"/>
          <w:sz w:val="21"/>
          <w:szCs w:val="21"/>
          <w:highlight w:val="none"/>
        </w:rPr>
        <w:t>附件1.评分标准索引表</w:t>
      </w:r>
      <w:bookmarkEnd w:id="133"/>
    </w:p>
    <w:p>
      <w:pPr>
        <w:adjustRightInd/>
        <w:snapToGrid/>
        <w:spacing w:line="276" w:lineRule="auto"/>
        <w:rPr>
          <w:rFonts w:ascii="宋体" w:hAnsi="宋体"/>
          <w:color w:val="auto"/>
          <w:szCs w:val="21"/>
          <w:highlight w:val="none"/>
        </w:rPr>
      </w:pPr>
    </w:p>
    <w:p>
      <w:pP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pP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pP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pP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pP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pPr>
              <w:jc w:val="center"/>
              <w:rPr>
                <w:rFonts w:ascii="宋体" w:hAnsi="宋体" w:cs="宋体"/>
                <w:color w:val="auto"/>
                <w:highlight w:val="none"/>
              </w:rPr>
            </w:pPr>
            <w:r>
              <w:rPr>
                <w:rFonts w:hint="eastAsia" w:ascii="宋体" w:hAnsi="宋体" w:cs="宋体"/>
                <w:color w:val="auto"/>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pPr>
              <w:rPr>
                <w:rFonts w:ascii="宋体" w:hAnsi="宋体" w:cs="宋体"/>
                <w:color w:val="auto"/>
                <w:highlight w:val="none"/>
              </w:rPr>
            </w:pPr>
            <w:r>
              <w:rPr>
                <w:rFonts w:hint="eastAsia" w:ascii="宋体" w:hAnsi="宋体" w:cs="宋体"/>
                <w:color w:val="auto"/>
                <w:highlight w:val="none"/>
              </w:rPr>
              <w:t>商务评审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pPr>
              <w:rPr>
                <w:rFonts w:ascii="宋体" w:hAnsi="宋体" w:cs="宋体"/>
                <w:color w:val="auto"/>
                <w:highlight w:val="none"/>
              </w:rPr>
            </w:pPr>
            <w:r>
              <w:rPr>
                <w:rFonts w:hint="eastAsia" w:ascii="宋体" w:hAnsi="宋体" w:cs="宋体"/>
                <w:color w:val="auto"/>
                <w:highlight w:val="none"/>
              </w:rPr>
              <w:t>技术评审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4"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c>
          <w:tcPr>
            <w:tcW w:w="1705" w:type="dxa"/>
            <w:vAlign w:val="center"/>
          </w:tcPr>
          <w:p>
            <w:pPr>
              <w:jc w:val="center"/>
              <w:rPr>
                <w:rFonts w:ascii="宋体" w:hAnsi="宋体" w:cs="宋体"/>
                <w:color w:val="auto"/>
                <w:highlight w:val="none"/>
              </w:rPr>
            </w:pPr>
          </w:p>
        </w:tc>
      </w:tr>
    </w:tbl>
    <w:p>
      <w:pPr>
        <w:rPr>
          <w:rFonts w:ascii="宋体" w:hAnsi="宋体"/>
          <w:color w:val="auto"/>
          <w:szCs w:val="21"/>
          <w:highlight w:val="none"/>
        </w:rPr>
      </w:pPr>
    </w:p>
    <w:p>
      <w:pPr>
        <w:rPr>
          <w:rFonts w:ascii="宋体" w:hAnsi="宋体"/>
          <w:color w:val="auto"/>
          <w:szCs w:val="21"/>
          <w:highlight w:val="none"/>
        </w:rPr>
      </w:pPr>
      <w:r>
        <w:rPr>
          <w:rFonts w:hint="eastAsia" w:ascii="宋体" w:hAnsi="宋体"/>
          <w:color w:val="auto"/>
          <w:szCs w:val="21"/>
          <w:highlight w:val="none"/>
        </w:rPr>
        <w:t>注：</w:t>
      </w:r>
    </w:p>
    <w:p>
      <w:pPr>
        <w:numPr>
          <w:ilvl w:val="0"/>
          <w:numId w:val="11"/>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pPr>
        <w:pStyle w:val="10"/>
        <w:spacing w:before="0"/>
        <w:ind w:left="0"/>
        <w:rPr>
          <w:color w:val="auto"/>
          <w:highlight w:val="none"/>
        </w:rPr>
      </w:pPr>
    </w:p>
    <w:p>
      <w:pPr>
        <w:adjustRightInd/>
        <w:snapToGrid/>
        <w:spacing w:line="276" w:lineRule="auto"/>
        <w:rPr>
          <w:rFonts w:ascii="宋体" w:hAnsi="宋体"/>
          <w:color w:val="auto"/>
          <w:szCs w:val="21"/>
          <w:highlight w:val="none"/>
        </w:rPr>
      </w:pPr>
    </w:p>
    <w:p>
      <w:pPr>
        <w:adjustRightInd/>
        <w:snapToGrid/>
        <w:spacing w:line="276" w:lineRule="auto"/>
        <w:rPr>
          <w:rFonts w:ascii="宋体" w:hAnsi="宋体"/>
          <w:color w:val="auto"/>
          <w:szCs w:val="21"/>
          <w:highlight w:val="none"/>
        </w:rPr>
      </w:pPr>
    </w:p>
    <w:p>
      <w:pPr>
        <w:adjustRightInd/>
        <w:snapToGrid/>
        <w:spacing w:line="276" w:lineRule="auto"/>
        <w:rPr>
          <w:rFonts w:ascii="宋体" w:hAnsi="宋体"/>
          <w:color w:val="auto"/>
          <w:szCs w:val="21"/>
          <w:highlight w:val="none"/>
        </w:rPr>
      </w:pPr>
    </w:p>
    <w:p>
      <w:pPr>
        <w:adjustRightInd/>
        <w:snapToGrid/>
        <w:spacing w:line="276" w:lineRule="auto"/>
        <w:rPr>
          <w:rFonts w:ascii="宋体" w:hAnsi="宋体"/>
          <w:color w:val="auto"/>
          <w:szCs w:val="21"/>
          <w:highlight w:val="none"/>
        </w:rPr>
      </w:pPr>
    </w:p>
    <w:p>
      <w:pPr>
        <w:adjustRightInd/>
        <w:snapToGrid/>
        <w:spacing w:line="276" w:lineRule="auto"/>
        <w:rPr>
          <w:rFonts w:ascii="宋体" w:hAnsi="宋体"/>
          <w:color w:val="auto"/>
          <w:szCs w:val="21"/>
          <w:highlight w:val="none"/>
        </w:rPr>
      </w:pPr>
    </w:p>
    <w:p>
      <w:pP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pPr>
        <w:jc w:val="center"/>
        <w:rPr>
          <w:rFonts w:ascii="黑体" w:eastAsia="黑体"/>
          <w:color w:val="auto"/>
          <w:sz w:val="52"/>
          <w:szCs w:val="52"/>
          <w:highlight w:val="none"/>
        </w:rPr>
      </w:pPr>
      <w:bookmarkStart w:id="134" w:name="_Toc18450"/>
      <w:bookmarkStart w:id="135" w:name="_Toc30918"/>
      <w:bookmarkStart w:id="136" w:name="_Toc28154"/>
      <w:bookmarkStart w:id="137" w:name="_Toc21746"/>
      <w:bookmarkStart w:id="138" w:name="_Toc20335"/>
    </w:p>
    <w:p>
      <w:pPr>
        <w:pStyle w:val="3"/>
        <w:spacing w:before="0" w:after="0" w:line="360" w:lineRule="auto"/>
        <w:jc w:val="center"/>
        <w:rPr>
          <w:color w:val="auto"/>
          <w:sz w:val="72"/>
          <w:szCs w:val="72"/>
          <w:highlight w:val="none"/>
        </w:rPr>
      </w:pPr>
      <w:bookmarkStart w:id="139" w:name="_Toc216704992"/>
      <w:r>
        <w:rPr>
          <w:rFonts w:hint="eastAsia"/>
          <w:color w:val="auto"/>
          <w:sz w:val="72"/>
          <w:szCs w:val="72"/>
          <w:highlight w:val="none"/>
        </w:rPr>
        <w:t>价格文件</w:t>
      </w:r>
      <w:bookmarkEnd w:id="134"/>
      <w:bookmarkEnd w:id="135"/>
      <w:bookmarkEnd w:id="139"/>
      <w:bookmarkStart w:id="140" w:name="_Hlt10519799"/>
      <w:bookmarkEnd w:id="140"/>
      <w:bookmarkStart w:id="141" w:name="_Hlt10456397"/>
      <w:bookmarkEnd w:id="141"/>
    </w:p>
    <w:p>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36"/>
      <w:bookmarkEnd w:id="137"/>
      <w:bookmarkEnd w:id="138"/>
    </w:p>
    <w:p>
      <w:pPr>
        <w:rPr>
          <w:color w:val="auto"/>
          <w:highlight w:val="none"/>
        </w:rPr>
      </w:pPr>
    </w:p>
    <w:p>
      <w:pPr>
        <w:pStyle w:val="10"/>
        <w:rPr>
          <w:color w:val="auto"/>
          <w:highlight w:val="none"/>
        </w:rPr>
      </w:pPr>
    </w:p>
    <w:p>
      <w:pPr>
        <w:pStyle w:val="29"/>
        <w:spacing w:before="0" w:after="0"/>
        <w:ind w:left="0" w:firstLine="240"/>
        <w:rPr>
          <w:color w:val="auto"/>
          <w:highlight w:val="none"/>
        </w:rPr>
      </w:pPr>
    </w:p>
    <w:p>
      <w:pPr>
        <w:rPr>
          <w:b/>
          <w:bCs/>
          <w:color w:val="auto"/>
          <w:sz w:val="32"/>
          <w:szCs w:val="32"/>
          <w:highlight w:val="none"/>
        </w:rPr>
      </w:pPr>
      <w:r>
        <w:rPr>
          <w:rFonts w:hint="eastAsia"/>
          <w:b/>
          <w:bCs/>
          <w:color w:val="auto"/>
          <w:sz w:val="32"/>
          <w:szCs w:val="32"/>
          <w:highlight w:val="none"/>
        </w:rPr>
        <w:t>项目名称：</w:t>
      </w:r>
    </w:p>
    <w:p>
      <w:pPr>
        <w:rPr>
          <w:b/>
          <w:bCs/>
          <w:color w:val="auto"/>
          <w:sz w:val="32"/>
          <w:szCs w:val="32"/>
          <w:highlight w:val="none"/>
        </w:rPr>
      </w:pPr>
      <w:r>
        <w:rPr>
          <w:rFonts w:hint="eastAsia"/>
          <w:b/>
          <w:bCs/>
          <w:color w:val="auto"/>
          <w:sz w:val="32"/>
          <w:szCs w:val="32"/>
          <w:highlight w:val="none"/>
        </w:rPr>
        <w:t>项目编号：</w:t>
      </w:r>
    </w:p>
    <w:p>
      <w:pPr>
        <w:rPr>
          <w:b/>
          <w:bCs/>
          <w:color w:val="auto"/>
          <w:sz w:val="32"/>
          <w:szCs w:val="32"/>
          <w:highlight w:val="none"/>
        </w:rPr>
      </w:pPr>
      <w:r>
        <w:rPr>
          <w:rFonts w:hint="eastAsia"/>
          <w:b/>
          <w:bCs/>
          <w:color w:val="auto"/>
          <w:sz w:val="32"/>
          <w:szCs w:val="32"/>
          <w:highlight w:val="none"/>
        </w:rPr>
        <w:t>包组号（如有）：</w:t>
      </w:r>
    </w:p>
    <w:p>
      <w:pPr>
        <w:rPr>
          <w:b/>
          <w:bCs/>
          <w:color w:val="auto"/>
          <w:sz w:val="32"/>
          <w:szCs w:val="32"/>
          <w:highlight w:val="none"/>
        </w:rPr>
      </w:pPr>
      <w:r>
        <w:rPr>
          <w:rFonts w:hint="eastAsia"/>
          <w:b/>
          <w:bCs/>
          <w:color w:val="auto"/>
          <w:sz w:val="32"/>
          <w:szCs w:val="32"/>
          <w:highlight w:val="none"/>
        </w:rPr>
        <w:t>投标人名称：</w:t>
      </w:r>
    </w:p>
    <w:p>
      <w:pPr>
        <w:rPr>
          <w:b/>
          <w:bCs/>
          <w:color w:val="auto"/>
          <w:sz w:val="32"/>
          <w:szCs w:val="32"/>
          <w:highlight w:val="none"/>
        </w:rPr>
      </w:pPr>
      <w:r>
        <w:rPr>
          <w:rFonts w:hint="eastAsia"/>
          <w:b/>
          <w:bCs/>
          <w:color w:val="auto"/>
          <w:sz w:val="32"/>
          <w:szCs w:val="32"/>
          <w:highlight w:val="none"/>
        </w:rPr>
        <w:t>日    期：</w:t>
      </w:r>
    </w:p>
    <w:p>
      <w:pPr>
        <w:rPr>
          <w:color w:val="auto"/>
          <w:spacing w:val="1390"/>
          <w:w w:val="100"/>
          <w:kern w:val="0"/>
          <w:highlight w:val="none"/>
          <w:fitText w:val="1600" w:id="437591866"/>
        </w:rPr>
      </w:pPr>
    </w:p>
    <w:p>
      <w:pPr>
        <w:pStyle w:val="10"/>
        <w:rPr>
          <w:color w:val="auto"/>
          <w:highlight w:val="none"/>
        </w:rPr>
      </w:pPr>
    </w:p>
    <w:p>
      <w:pPr>
        <w:pStyle w:val="29"/>
        <w:ind w:firstLine="240"/>
        <w:rPr>
          <w:color w:val="auto"/>
          <w:highlight w:val="none"/>
        </w:rPr>
      </w:pPr>
    </w:p>
    <w:p>
      <w:pPr>
        <w:pStyle w:val="24"/>
        <w:rPr>
          <w:color w:val="auto"/>
          <w:highlight w:val="none"/>
        </w:rPr>
      </w:pPr>
    </w:p>
    <w:p>
      <w:pPr>
        <w:rPr>
          <w:color w:val="auto"/>
          <w:highlight w:val="none"/>
        </w:rPr>
      </w:pPr>
    </w:p>
    <w:p>
      <w:pPr>
        <w:pStyle w:val="10"/>
        <w:rPr>
          <w:color w:val="auto"/>
          <w:highlight w:val="none"/>
        </w:rPr>
      </w:pPr>
    </w:p>
    <w:p>
      <w:pPr>
        <w:pStyle w:val="29"/>
        <w:ind w:firstLine="240"/>
        <w:rPr>
          <w:color w:val="auto"/>
          <w:highlight w:val="none"/>
        </w:rPr>
      </w:pPr>
    </w:p>
    <w:p>
      <w:pPr>
        <w:pStyle w:val="24"/>
        <w:rPr>
          <w:color w:val="auto"/>
          <w:highlight w:val="none"/>
        </w:rPr>
      </w:pPr>
    </w:p>
    <w:p>
      <w:pPr>
        <w:pStyle w:val="24"/>
        <w:ind w:left="0"/>
        <w:rPr>
          <w:color w:val="auto"/>
          <w:highlight w:val="none"/>
        </w:rPr>
      </w:pPr>
    </w:p>
    <w:p>
      <w:pPr>
        <w:rPr>
          <w:rFonts w:ascii="宋体" w:hAnsi="宋体"/>
          <w:color w:val="auto"/>
          <w:szCs w:val="21"/>
          <w:highlight w:val="none"/>
        </w:rPr>
      </w:pPr>
      <w:r>
        <w:rPr>
          <w:rFonts w:hint="eastAsia" w:ascii="宋体" w:hAnsi="宋体"/>
          <w:color w:val="auto"/>
          <w:szCs w:val="21"/>
          <w:highlight w:val="none"/>
        </w:rPr>
        <w:br w:type="page"/>
      </w:r>
    </w:p>
    <w:p>
      <w:pPr>
        <w:pStyle w:val="5"/>
        <w:widowControl w:val="0"/>
        <w:overflowPunct w:val="0"/>
        <w:spacing w:line="240" w:lineRule="auto"/>
        <w:rPr>
          <w:rFonts w:ascii="宋体" w:hAnsi="宋体"/>
          <w:color w:val="auto"/>
          <w:sz w:val="21"/>
          <w:szCs w:val="21"/>
          <w:highlight w:val="none"/>
        </w:rPr>
      </w:pPr>
      <w:bookmarkStart w:id="142" w:name="_Toc216704993"/>
      <w:r>
        <w:rPr>
          <w:rFonts w:hint="eastAsia" w:ascii="宋体" w:hAnsi="宋体"/>
          <w:color w:val="auto"/>
          <w:sz w:val="21"/>
          <w:szCs w:val="21"/>
          <w:highlight w:val="none"/>
        </w:rPr>
        <w:t>附件2.开标一览表格式</w:t>
      </w:r>
      <w:bookmarkEnd w:id="142"/>
    </w:p>
    <w:p>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pPr>
        <w:rPr>
          <w:color w:val="auto"/>
          <w:highlight w:val="none"/>
        </w:rPr>
      </w:pPr>
    </w:p>
    <w:p>
      <w:pPr>
        <w:rPr>
          <w:rFonts w:ascii="宋体" w:hAnsi="宋体"/>
          <w:color w:val="auto"/>
          <w:szCs w:val="21"/>
          <w:highlight w:val="none"/>
        </w:rPr>
      </w:pPr>
      <w:r>
        <w:rPr>
          <w:rFonts w:hint="eastAsia" w:ascii="宋体" w:hAnsi="宋体"/>
          <w:color w:val="auto"/>
          <w:szCs w:val="21"/>
          <w:highlight w:val="none"/>
        </w:rPr>
        <w:t>投标人名称：</w:t>
      </w:r>
    </w:p>
    <w:p>
      <w:pPr>
        <w:rPr>
          <w:color w:val="auto"/>
          <w:szCs w:val="21"/>
          <w:highlight w:val="none"/>
        </w:rPr>
      </w:pPr>
      <w:r>
        <w:rPr>
          <w:rFonts w:hint="eastAsia" w:ascii="宋体" w:hAnsi="宋体"/>
          <w:color w:val="auto"/>
          <w:szCs w:val="21"/>
          <w:highlight w:val="none"/>
        </w:rPr>
        <w:t>采购项目编号：</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4"/>
        <w:gridCol w:w="2956"/>
        <w:gridCol w:w="2305"/>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82" w:type="pct"/>
            <w:vAlign w:val="center"/>
          </w:tcPr>
          <w:p>
            <w:pPr>
              <w:spacing w:line="240" w:lineRule="auto"/>
              <w:jc w:val="center"/>
              <w:rPr>
                <w:rFonts w:ascii="宋体" w:hAnsi="宋体" w:cs="宋体"/>
                <w:color w:val="auto"/>
                <w:kern w:val="28"/>
                <w:szCs w:val="21"/>
                <w:highlight w:val="none"/>
              </w:rPr>
            </w:pPr>
            <w:r>
              <w:rPr>
                <w:rFonts w:hint="eastAsia" w:ascii="宋体" w:hAnsi="宋体"/>
                <w:color w:val="auto"/>
                <w:szCs w:val="21"/>
                <w:highlight w:val="none"/>
              </w:rPr>
              <w:t>项目名称</w:t>
            </w:r>
          </w:p>
        </w:tc>
        <w:tc>
          <w:tcPr>
            <w:tcW w:w="1735" w:type="pct"/>
            <w:vAlign w:val="center"/>
          </w:tcPr>
          <w:p>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含税投标报价</w:t>
            </w:r>
          </w:p>
        </w:tc>
        <w:tc>
          <w:tcPr>
            <w:tcW w:w="1353" w:type="pct"/>
            <w:vAlign w:val="center"/>
          </w:tcPr>
          <w:p>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服务期</w:t>
            </w:r>
          </w:p>
        </w:tc>
        <w:tc>
          <w:tcPr>
            <w:tcW w:w="730" w:type="pct"/>
            <w:vAlign w:val="center"/>
          </w:tcPr>
          <w:p>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182" w:type="pct"/>
            <w:vAlign w:val="center"/>
          </w:tcPr>
          <w:p>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新锋交通LNG气源供应商准入招标项目（第二次）</w:t>
            </w:r>
          </w:p>
        </w:tc>
        <w:tc>
          <w:tcPr>
            <w:tcW w:w="1735" w:type="pct"/>
            <w:vAlign w:val="center"/>
          </w:tcPr>
          <w:p>
            <w:pPr>
              <w:spacing w:line="240" w:lineRule="auto"/>
              <w:jc w:val="center"/>
              <w:rPr>
                <w:rFonts w:ascii="宋体" w:hAnsi="宋体" w:cs="宋体"/>
                <w:color w:val="auto"/>
                <w:szCs w:val="21"/>
                <w:highlight w:val="none"/>
              </w:rPr>
            </w:pPr>
            <w:r>
              <w:rPr>
                <w:rFonts w:hint="eastAsia"/>
                <w:color w:val="auto"/>
                <w:szCs w:val="21"/>
                <w:highlight w:val="none"/>
              </w:rPr>
              <w:t>本项目为协议供货商资格入库，无需报价。实施采购时再进行竞价或择优等方式确定采购价。</w:t>
            </w:r>
          </w:p>
        </w:tc>
        <w:tc>
          <w:tcPr>
            <w:tcW w:w="1353" w:type="pct"/>
            <w:vAlign w:val="center"/>
          </w:tcPr>
          <w:p>
            <w:pPr>
              <w:pStyle w:val="68"/>
              <w:jc w:val="center"/>
              <w:rPr>
                <w:rFonts w:hAnsi="宋体"/>
                <w:color w:val="auto"/>
                <w:sz w:val="21"/>
                <w:szCs w:val="21"/>
                <w:highlight w:val="none"/>
              </w:rPr>
            </w:pPr>
            <w:r>
              <w:rPr>
                <w:rFonts w:hint="eastAsia"/>
                <w:color w:val="auto"/>
                <w:sz w:val="21"/>
                <w:szCs w:val="21"/>
                <w:highlight w:val="none"/>
              </w:rPr>
              <w:t>合同有效期</w:t>
            </w:r>
          </w:p>
        </w:tc>
        <w:tc>
          <w:tcPr>
            <w:tcW w:w="730" w:type="pct"/>
            <w:vAlign w:val="center"/>
          </w:tcPr>
          <w:p>
            <w:pPr>
              <w:pStyle w:val="68"/>
              <w:jc w:val="center"/>
              <w:rPr>
                <w:rFonts w:hAnsi="宋体"/>
                <w:color w:val="auto"/>
                <w:sz w:val="21"/>
                <w:szCs w:val="21"/>
                <w:highlight w:val="none"/>
              </w:rPr>
            </w:pPr>
          </w:p>
        </w:tc>
      </w:tr>
    </w:tbl>
    <w:p>
      <w:pPr>
        <w:rPr>
          <w:rFonts w:ascii="宋体" w:hAnsi="宋体"/>
          <w:color w:val="auto"/>
          <w:szCs w:val="21"/>
          <w:highlight w:val="none"/>
        </w:rPr>
      </w:pPr>
    </w:p>
    <w:p>
      <w:pPr>
        <w:ind w:firstLine="359" w:firstLineChars="171"/>
        <w:rPr>
          <w:rFonts w:ascii="宋体" w:hAnsi="宋体"/>
          <w:color w:val="auto"/>
          <w:szCs w:val="21"/>
          <w:highlight w:val="none"/>
        </w:rPr>
      </w:pPr>
    </w:p>
    <w:p>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pPr>
        <w:ind w:firstLine="359" w:firstLineChars="171"/>
        <w:rPr>
          <w:rFonts w:ascii="宋体" w:hAnsi="宋体"/>
          <w:color w:val="auto"/>
          <w:szCs w:val="21"/>
          <w:highlight w:val="none"/>
        </w:rPr>
      </w:pPr>
      <w:r>
        <w:rPr>
          <w:rFonts w:hint="eastAsia" w:ascii="宋体" w:hAnsi="宋体"/>
          <w:color w:val="auto"/>
          <w:szCs w:val="21"/>
          <w:highlight w:val="none"/>
        </w:rPr>
        <w:t>日期：</w:t>
      </w:r>
    </w:p>
    <w:p>
      <w:pPr>
        <w:ind w:firstLine="359" w:firstLineChars="171"/>
        <w:rPr>
          <w:rFonts w:ascii="宋体" w:hAnsi="宋体"/>
          <w:color w:val="auto"/>
          <w:szCs w:val="21"/>
          <w:highlight w:val="none"/>
        </w:rPr>
      </w:pPr>
    </w:p>
    <w:p>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pPr>
        <w:ind w:firstLine="420" w:firstLineChars="200"/>
        <w:rPr>
          <w:rFonts w:ascii="宋体" w:hAnsi="宋体"/>
          <w:color w:val="auto"/>
          <w:szCs w:val="21"/>
          <w:highlight w:val="none"/>
        </w:rPr>
      </w:pPr>
      <w:r>
        <w:rPr>
          <w:rFonts w:hint="eastAsia" w:ascii="宋体" w:hAnsi="宋体"/>
          <w:color w:val="auto"/>
          <w:szCs w:val="21"/>
          <w:highlight w:val="none"/>
        </w:rPr>
        <w:t>1、投标总价必须准确唯一且应包含采购文件要求的所有费用。</w:t>
      </w:r>
    </w:p>
    <w:p>
      <w:pP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p>
      <w:pPr>
        <w:rPr>
          <w:rFonts w:ascii="宋体" w:hAnsi="宋体"/>
          <w:color w:val="auto"/>
          <w:szCs w:val="21"/>
          <w:highlight w:val="none"/>
        </w:rPr>
      </w:pPr>
      <w:r>
        <w:rPr>
          <w:rFonts w:hint="eastAsia" w:ascii="宋体" w:hAnsi="宋体"/>
          <w:color w:val="auto"/>
          <w:szCs w:val="21"/>
          <w:highlight w:val="none"/>
        </w:rPr>
        <w:br w:type="page"/>
      </w:r>
    </w:p>
    <w:p>
      <w:pPr>
        <w:pStyle w:val="5"/>
        <w:widowControl w:val="0"/>
        <w:overflowPunct w:val="0"/>
        <w:spacing w:line="240" w:lineRule="auto"/>
        <w:rPr>
          <w:rFonts w:ascii="宋体" w:hAnsi="宋体"/>
          <w:color w:val="auto"/>
          <w:sz w:val="21"/>
          <w:szCs w:val="21"/>
          <w:highlight w:val="none"/>
        </w:rPr>
      </w:pPr>
      <w:bookmarkStart w:id="143" w:name="_Toc216704994"/>
      <w:r>
        <w:rPr>
          <w:rFonts w:hint="eastAsia" w:ascii="宋体" w:hAnsi="宋体"/>
          <w:color w:val="auto"/>
          <w:sz w:val="21"/>
          <w:szCs w:val="21"/>
          <w:highlight w:val="none"/>
        </w:rPr>
        <w:t>附件3.报价明细表格式</w:t>
      </w:r>
      <w:bookmarkEnd w:id="143"/>
    </w:p>
    <w:p>
      <w:pPr>
        <w:jc w:val="center"/>
        <w:rPr>
          <w:rFonts w:ascii="黑体" w:eastAsia="黑体"/>
          <w:color w:val="auto"/>
          <w:sz w:val="32"/>
          <w:szCs w:val="32"/>
          <w:highlight w:val="none"/>
        </w:rPr>
      </w:pPr>
      <w:bookmarkStart w:id="144" w:name="_Toc31062"/>
      <w:bookmarkStart w:id="145" w:name="_Toc31172"/>
      <w:r>
        <w:rPr>
          <w:rFonts w:hint="eastAsia" w:ascii="黑体" w:eastAsia="黑体"/>
          <w:color w:val="auto"/>
          <w:sz w:val="32"/>
          <w:szCs w:val="32"/>
          <w:highlight w:val="none"/>
        </w:rPr>
        <w:t>报价明细表</w:t>
      </w:r>
      <w:bookmarkEnd w:id="144"/>
      <w:bookmarkEnd w:id="145"/>
    </w:p>
    <w:p>
      <w:pPr>
        <w:pStyle w:val="78"/>
        <w:spacing w:before="0" w:after="0"/>
        <w:jc w:val="right"/>
        <w:rPr>
          <w:rFonts w:ascii="宋体" w:hAnsi="宋体" w:cs="宋体"/>
          <w:color w:val="auto"/>
          <w:szCs w:val="21"/>
          <w:highlight w:val="none"/>
        </w:rPr>
      </w:pPr>
      <w:r>
        <w:rPr>
          <w:rFonts w:hint="eastAsia" w:ascii="宋体" w:hAnsi="宋体" w:cs="宋体"/>
          <w:color w:val="auto"/>
          <w:szCs w:val="21"/>
          <w:highlight w:val="none"/>
        </w:rPr>
        <w:t>单位：元</w:t>
      </w:r>
    </w:p>
    <w:tbl>
      <w:tblPr>
        <w:tblStyle w:val="31"/>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772"/>
        <w:gridCol w:w="2059"/>
        <w:gridCol w:w="859"/>
        <w:gridCol w:w="996"/>
        <w:gridCol w:w="1076"/>
        <w:gridCol w:w="10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82" w:type="dxa"/>
            <w:tcBorders>
              <w:tl2br w:val="nil"/>
              <w:tr2bl w:val="nil"/>
            </w:tcBorders>
            <w:vAlign w:val="center"/>
          </w:tcPr>
          <w:p>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序号</w:t>
            </w:r>
          </w:p>
        </w:tc>
        <w:tc>
          <w:tcPr>
            <w:tcW w:w="1772" w:type="dxa"/>
            <w:tcBorders>
              <w:tl2br w:val="nil"/>
              <w:tr2bl w:val="nil"/>
            </w:tcBorders>
            <w:vAlign w:val="center"/>
          </w:tcPr>
          <w:p>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服务名称</w:t>
            </w: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服务内容</w:t>
            </w: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数量</w:t>
            </w: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单价</w:t>
            </w: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w:t>
            </w: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368" w:type="dxa"/>
            <w:gridSpan w:val="5"/>
            <w:tcBorders>
              <w:tl2br w:val="nil"/>
              <w:tr2bl w:val="nil"/>
            </w:tcBorders>
            <w:vAlign w:val="center"/>
          </w:tcPr>
          <w:p>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合计总价</w:t>
            </w:r>
          </w:p>
        </w:tc>
        <w:tc>
          <w:tcPr>
            <w:tcW w:w="2154" w:type="dxa"/>
            <w:gridSpan w:val="2"/>
            <w:tcBorders>
              <w:tl2br w:val="nil"/>
              <w:tr2bl w:val="nil"/>
            </w:tcBorders>
            <w:vAlign w:val="center"/>
          </w:tcPr>
          <w:p>
            <w:pPr>
              <w:spacing w:before="100" w:beforeAutospacing="1" w:after="100" w:afterAutospacing="1"/>
              <w:jc w:val="center"/>
              <w:rPr>
                <w:rFonts w:ascii="宋体" w:hAnsi="宋体"/>
                <w:color w:val="auto"/>
                <w:szCs w:val="21"/>
                <w:highlight w:val="none"/>
              </w:rPr>
            </w:pPr>
          </w:p>
        </w:tc>
      </w:tr>
    </w:tbl>
    <w:p>
      <w:pPr>
        <w:rPr>
          <w:rFonts w:ascii="宋体" w:hAnsi="宋体" w:cs="宋体"/>
          <w:b/>
          <w:color w:val="auto"/>
          <w:szCs w:val="21"/>
          <w:highlight w:val="none"/>
        </w:rPr>
      </w:pPr>
    </w:p>
    <w:p>
      <w:pPr>
        <w:rPr>
          <w:color w:val="auto"/>
          <w:highlight w:val="none"/>
        </w:rPr>
      </w:pPr>
    </w:p>
    <w:p>
      <w:pPr>
        <w:rPr>
          <w:rFonts w:ascii="宋体" w:hAnsi="宋体"/>
          <w:color w:val="auto"/>
          <w:szCs w:val="21"/>
          <w:highlight w:val="none"/>
        </w:rPr>
      </w:pPr>
      <w:r>
        <w:rPr>
          <w:rFonts w:hint="eastAsia" w:ascii="宋体" w:hAnsi="宋体"/>
          <w:color w:val="auto"/>
          <w:szCs w:val="21"/>
          <w:highlight w:val="none"/>
        </w:rPr>
        <w:t>投标人代表签字：</w:t>
      </w:r>
    </w:p>
    <w:p>
      <w:pPr>
        <w:rPr>
          <w:rFonts w:ascii="宋体" w:hAnsi="宋体"/>
          <w:color w:val="auto"/>
          <w:szCs w:val="21"/>
          <w:highlight w:val="none"/>
        </w:rPr>
      </w:pPr>
      <w:r>
        <w:rPr>
          <w:rFonts w:hint="eastAsia" w:ascii="宋体" w:hAnsi="宋体"/>
          <w:color w:val="auto"/>
          <w:szCs w:val="21"/>
          <w:highlight w:val="none"/>
        </w:rPr>
        <w:t>投标人盖章：</w:t>
      </w:r>
    </w:p>
    <w:p>
      <w:pPr>
        <w:rPr>
          <w:rFonts w:ascii="宋体" w:hAnsi="宋体"/>
          <w:color w:val="auto"/>
          <w:szCs w:val="21"/>
          <w:highlight w:val="none"/>
        </w:rPr>
      </w:pPr>
      <w:r>
        <w:rPr>
          <w:rFonts w:hint="eastAsia" w:ascii="宋体" w:hAnsi="宋体"/>
          <w:color w:val="auto"/>
          <w:szCs w:val="21"/>
          <w:highlight w:val="none"/>
        </w:rPr>
        <w:t>日期：</w:t>
      </w:r>
      <w:bookmarkStart w:id="146" w:name="_Toc12412"/>
    </w:p>
    <w:p>
      <w:pPr>
        <w:rPr>
          <w:rFonts w:ascii="宋体" w:hAnsi="宋体"/>
          <w:color w:val="auto"/>
          <w:szCs w:val="21"/>
          <w:highlight w:val="none"/>
        </w:rPr>
      </w:pPr>
      <w:r>
        <w:rPr>
          <w:rFonts w:hint="eastAsia" w:ascii="宋体" w:hAnsi="宋体" w:cs="宋体"/>
          <w:b/>
          <w:color w:val="auto"/>
          <w:szCs w:val="21"/>
          <w:highlight w:val="none"/>
        </w:rPr>
        <w:t>注：如不涉及，可不提供此表。</w:t>
      </w:r>
    </w:p>
    <w:bookmarkEnd w:id="146"/>
    <w:p>
      <w:pPr>
        <w:rPr>
          <w:color w:val="auto"/>
          <w:sz w:val="52"/>
          <w:szCs w:val="52"/>
          <w:highlight w:val="none"/>
        </w:rPr>
      </w:pPr>
    </w:p>
    <w:p>
      <w:pPr>
        <w:pStyle w:val="3"/>
        <w:spacing w:before="0" w:after="0" w:line="360" w:lineRule="auto"/>
        <w:jc w:val="center"/>
        <w:rPr>
          <w:color w:val="auto"/>
          <w:sz w:val="72"/>
          <w:szCs w:val="72"/>
          <w:highlight w:val="none"/>
        </w:rPr>
      </w:pPr>
      <w:bookmarkStart w:id="147" w:name="_Toc216704995"/>
      <w:r>
        <w:rPr>
          <w:rFonts w:hint="eastAsia"/>
          <w:color w:val="auto"/>
          <w:sz w:val="72"/>
          <w:szCs w:val="72"/>
          <w:highlight w:val="none"/>
        </w:rPr>
        <w:t>商务文件</w:t>
      </w:r>
      <w:bookmarkEnd w:id="147"/>
    </w:p>
    <w:p>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pPr>
        <w:rPr>
          <w:color w:val="auto"/>
          <w:highlight w:val="none"/>
        </w:rPr>
      </w:pPr>
    </w:p>
    <w:p>
      <w:pPr>
        <w:pStyle w:val="10"/>
        <w:rPr>
          <w:color w:val="auto"/>
          <w:highlight w:val="none"/>
        </w:rPr>
      </w:pPr>
    </w:p>
    <w:p>
      <w:pPr>
        <w:pStyle w:val="29"/>
        <w:ind w:firstLine="240"/>
        <w:rPr>
          <w:color w:val="auto"/>
          <w:highlight w:val="none"/>
        </w:rPr>
      </w:pPr>
    </w:p>
    <w:p>
      <w:pPr>
        <w:rPr>
          <w:b/>
          <w:bCs/>
          <w:color w:val="auto"/>
          <w:sz w:val="32"/>
          <w:szCs w:val="32"/>
          <w:highlight w:val="none"/>
        </w:rPr>
      </w:pPr>
      <w:r>
        <w:rPr>
          <w:rFonts w:hint="eastAsia"/>
          <w:b/>
          <w:bCs/>
          <w:color w:val="auto"/>
          <w:sz w:val="32"/>
          <w:szCs w:val="32"/>
          <w:highlight w:val="none"/>
        </w:rPr>
        <w:t>项目名称：</w:t>
      </w:r>
    </w:p>
    <w:p>
      <w:pPr>
        <w:rPr>
          <w:b/>
          <w:bCs/>
          <w:color w:val="auto"/>
          <w:sz w:val="32"/>
          <w:szCs w:val="32"/>
          <w:highlight w:val="none"/>
        </w:rPr>
      </w:pPr>
      <w:r>
        <w:rPr>
          <w:rFonts w:hint="eastAsia"/>
          <w:b/>
          <w:bCs/>
          <w:color w:val="auto"/>
          <w:sz w:val="32"/>
          <w:szCs w:val="32"/>
          <w:highlight w:val="none"/>
        </w:rPr>
        <w:t>项目编号：</w:t>
      </w:r>
    </w:p>
    <w:p>
      <w:pPr>
        <w:rPr>
          <w:b/>
          <w:bCs/>
          <w:color w:val="auto"/>
          <w:sz w:val="32"/>
          <w:szCs w:val="32"/>
          <w:highlight w:val="none"/>
        </w:rPr>
      </w:pPr>
      <w:r>
        <w:rPr>
          <w:b/>
          <w:bCs/>
          <w:color w:val="auto"/>
          <w:sz w:val="32"/>
          <w:szCs w:val="32"/>
          <w:highlight w:val="none"/>
          <w:lang w:val="en-US"/>
        </w:rPr>
        <w:t>包组号（如有）：</w:t>
      </w:r>
    </w:p>
    <w:p>
      <w:pPr>
        <w:rPr>
          <w:b/>
          <w:bCs/>
          <w:color w:val="auto"/>
          <w:sz w:val="32"/>
          <w:szCs w:val="32"/>
          <w:highlight w:val="none"/>
        </w:rPr>
      </w:pPr>
      <w:r>
        <w:rPr>
          <w:rFonts w:hint="eastAsia"/>
          <w:b/>
          <w:bCs/>
          <w:color w:val="auto"/>
          <w:sz w:val="32"/>
          <w:szCs w:val="32"/>
          <w:highlight w:val="none"/>
        </w:rPr>
        <w:t>投标人名称：</w:t>
      </w:r>
    </w:p>
    <w:p>
      <w:pPr>
        <w:rPr>
          <w:rFonts w:hint="eastAsia"/>
          <w:b/>
          <w:bCs/>
          <w:color w:val="auto"/>
          <w:sz w:val="32"/>
          <w:szCs w:val="32"/>
          <w:highlight w:val="none"/>
        </w:rPr>
      </w:pPr>
      <w:r>
        <w:rPr>
          <w:rFonts w:hint="eastAsia"/>
          <w:b/>
          <w:bCs/>
          <w:color w:val="auto"/>
          <w:sz w:val="32"/>
          <w:szCs w:val="32"/>
          <w:highlight w:val="none"/>
        </w:rPr>
        <w:t>日    期：</w:t>
      </w:r>
    </w:p>
    <w:p>
      <w:pPr>
        <w:pStyle w:val="10"/>
        <w:rPr>
          <w:b/>
          <w:color w:val="auto"/>
          <w:spacing w:val="1280"/>
          <w:w w:val="100"/>
          <w:kern w:val="0"/>
          <w:sz w:val="32"/>
          <w:szCs w:val="32"/>
          <w:highlight w:val="none"/>
          <w:fitText w:val="1600" w:id="2061173831"/>
        </w:rPr>
      </w:pPr>
    </w:p>
    <w:p>
      <w:pPr>
        <w:pStyle w:val="29"/>
        <w:ind w:firstLine="321"/>
        <w:rPr>
          <w:b/>
          <w:color w:val="auto"/>
          <w:sz w:val="32"/>
          <w:szCs w:val="32"/>
          <w:highlight w:val="none"/>
        </w:rPr>
      </w:pPr>
    </w:p>
    <w:p>
      <w:pPr>
        <w:pStyle w:val="24"/>
        <w:rPr>
          <w:rFonts w:ascii="宋体" w:hAnsi="宋体" w:cs="宋体"/>
          <w:b/>
          <w:color w:val="auto"/>
          <w:sz w:val="32"/>
          <w:szCs w:val="32"/>
          <w:highlight w:val="none"/>
        </w:rPr>
      </w:pPr>
    </w:p>
    <w:p>
      <w:pPr>
        <w:rPr>
          <w:rFonts w:ascii="宋体" w:hAnsi="宋体" w:cs="宋体"/>
          <w:b/>
          <w:color w:val="auto"/>
          <w:sz w:val="32"/>
          <w:szCs w:val="32"/>
          <w:highlight w:val="none"/>
        </w:rPr>
      </w:pPr>
    </w:p>
    <w:p>
      <w:pPr>
        <w:pStyle w:val="10"/>
        <w:rPr>
          <w:b/>
          <w:color w:val="auto"/>
          <w:sz w:val="32"/>
          <w:szCs w:val="32"/>
          <w:highlight w:val="none"/>
        </w:rPr>
      </w:pPr>
    </w:p>
    <w:p>
      <w:pPr>
        <w:rPr>
          <w:color w:val="auto"/>
          <w:highlight w:val="none"/>
        </w:rPr>
      </w:pPr>
    </w:p>
    <w:p>
      <w:pPr>
        <w:rPr>
          <w:rFonts w:ascii="宋体" w:hAnsi="宋体"/>
          <w:color w:val="auto"/>
          <w:szCs w:val="21"/>
          <w:highlight w:val="none"/>
        </w:rPr>
      </w:pPr>
      <w:r>
        <w:rPr>
          <w:rFonts w:hint="eastAsia" w:ascii="宋体" w:hAnsi="宋体"/>
          <w:color w:val="auto"/>
          <w:szCs w:val="21"/>
          <w:highlight w:val="none"/>
        </w:rPr>
        <w:br w:type="page"/>
      </w:r>
    </w:p>
    <w:p>
      <w:pPr>
        <w:pStyle w:val="5"/>
        <w:widowControl w:val="0"/>
        <w:overflowPunct w:val="0"/>
        <w:spacing w:line="240" w:lineRule="auto"/>
        <w:rPr>
          <w:color w:val="auto"/>
          <w:highlight w:val="none"/>
        </w:rPr>
      </w:pPr>
      <w:bookmarkStart w:id="148" w:name="_Toc216704996"/>
      <w:r>
        <w:rPr>
          <w:rFonts w:hint="eastAsia" w:ascii="宋体" w:hAnsi="宋体"/>
          <w:color w:val="auto"/>
          <w:sz w:val="21"/>
          <w:szCs w:val="21"/>
          <w:highlight w:val="none"/>
        </w:rPr>
        <w:t>附件4.投标书格式</w:t>
      </w:r>
      <w:bookmarkEnd w:id="148"/>
    </w:p>
    <w:p>
      <w:pPr>
        <w:jc w:val="center"/>
        <w:rPr>
          <w:rFonts w:ascii="宋体" w:hAnsi="宋体"/>
          <w:color w:val="auto"/>
          <w:szCs w:val="21"/>
          <w:highlight w:val="none"/>
        </w:rPr>
      </w:pPr>
      <w:r>
        <w:rPr>
          <w:rFonts w:hint="eastAsia" w:ascii="黑体" w:eastAsia="黑体"/>
          <w:color w:val="auto"/>
          <w:sz w:val="32"/>
          <w:szCs w:val="32"/>
          <w:highlight w:val="none"/>
        </w:rPr>
        <w:t>投标书</w:t>
      </w:r>
    </w:p>
    <w:p>
      <w:pPr>
        <w:rPr>
          <w:rFonts w:ascii="宋体" w:hAnsi="宋体"/>
          <w:color w:val="auto"/>
          <w:szCs w:val="21"/>
          <w:highlight w:val="none"/>
        </w:rPr>
      </w:pPr>
      <w:r>
        <w:rPr>
          <w:rFonts w:hint="eastAsia" w:ascii="宋体" w:hAnsi="宋体"/>
          <w:color w:val="auto"/>
          <w:szCs w:val="21"/>
          <w:highlight w:val="none"/>
        </w:rPr>
        <w:t>致：广东人信工程咨询有限公司</w:t>
      </w:r>
    </w:p>
    <w:p>
      <w:pPr>
        <w:rPr>
          <w:rFonts w:ascii="宋体" w:hAnsi="宋体"/>
          <w:color w:val="auto"/>
          <w:szCs w:val="21"/>
          <w:highlight w:val="none"/>
        </w:rPr>
      </w:pPr>
    </w:p>
    <w:p>
      <w:pP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pP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pPr>
        <w:widowControl w:val="0"/>
        <w:numPr>
          <w:ilvl w:val="0"/>
          <w:numId w:val="12"/>
        </w:numP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pPr>
        <w:rPr>
          <w:rFonts w:ascii="宋体" w:hAnsi="宋体"/>
          <w:color w:val="auto"/>
          <w:szCs w:val="21"/>
          <w:highlight w:val="none"/>
        </w:rPr>
      </w:pPr>
      <w:r>
        <w:rPr>
          <w:rFonts w:hint="eastAsia" w:ascii="宋体" w:hAnsi="宋体"/>
          <w:color w:val="auto"/>
          <w:szCs w:val="21"/>
          <w:highlight w:val="none"/>
        </w:rPr>
        <w:t>地址：　　　　　　　　　　　　　　　　　　　 电子邮箱：</w:t>
      </w:r>
    </w:p>
    <w:p>
      <w:pPr>
        <w:rPr>
          <w:rFonts w:ascii="宋体" w:hAnsi="宋体"/>
          <w:color w:val="auto"/>
          <w:szCs w:val="21"/>
          <w:highlight w:val="none"/>
        </w:rPr>
      </w:pPr>
      <w:r>
        <w:rPr>
          <w:rFonts w:hint="eastAsia" w:ascii="宋体" w:hAnsi="宋体"/>
          <w:color w:val="auto"/>
          <w:szCs w:val="21"/>
          <w:highlight w:val="none"/>
        </w:rPr>
        <w:t>电话/移动电话：　　　　　　　　　　　　　　　</w:t>
      </w:r>
    </w:p>
    <w:p>
      <w:pPr>
        <w:rPr>
          <w:rFonts w:ascii="宋体" w:hAnsi="宋体"/>
          <w:color w:val="auto"/>
          <w:szCs w:val="21"/>
          <w:highlight w:val="none"/>
        </w:rPr>
      </w:pPr>
      <w:r>
        <w:rPr>
          <w:rFonts w:hint="eastAsia" w:ascii="宋体" w:hAnsi="宋体"/>
          <w:color w:val="auto"/>
          <w:szCs w:val="21"/>
          <w:highlight w:val="none"/>
        </w:rPr>
        <w:t xml:space="preserve">投标人法定代表人（或其授权代表）签字： </w:t>
      </w:r>
    </w:p>
    <w:p>
      <w:pPr>
        <w:rPr>
          <w:rFonts w:ascii="宋体" w:hAnsi="宋体"/>
          <w:color w:val="auto"/>
          <w:szCs w:val="21"/>
          <w:highlight w:val="none"/>
        </w:rPr>
      </w:pPr>
      <w:r>
        <w:rPr>
          <w:rFonts w:hint="eastAsia" w:ascii="宋体" w:hAnsi="宋体"/>
          <w:color w:val="auto"/>
          <w:szCs w:val="21"/>
          <w:highlight w:val="none"/>
        </w:rPr>
        <w:t xml:space="preserve">投标人名称（全称）： </w:t>
      </w:r>
    </w:p>
    <w:p>
      <w:pPr>
        <w:rPr>
          <w:rFonts w:ascii="宋体" w:hAnsi="宋体"/>
          <w:color w:val="auto"/>
          <w:szCs w:val="21"/>
          <w:highlight w:val="none"/>
        </w:rPr>
      </w:pPr>
      <w:r>
        <w:rPr>
          <w:rFonts w:hint="eastAsia" w:ascii="宋体" w:hAnsi="宋体"/>
          <w:color w:val="auto"/>
          <w:szCs w:val="21"/>
          <w:highlight w:val="none"/>
        </w:rPr>
        <w:t xml:space="preserve">投标人盖章： </w:t>
      </w:r>
    </w:p>
    <w:p>
      <w:pPr>
        <w:rPr>
          <w:color w:val="auto"/>
          <w:highlight w:val="none"/>
        </w:rPr>
      </w:pPr>
      <w:r>
        <w:rPr>
          <w:rFonts w:hint="eastAsia" w:ascii="宋体" w:hAnsi="宋体"/>
          <w:color w:val="auto"/>
          <w:szCs w:val="21"/>
          <w:highlight w:val="none"/>
        </w:rPr>
        <w:t>日期：</w:t>
      </w:r>
      <w:r>
        <w:rPr>
          <w:color w:val="auto"/>
          <w:highlight w:val="none"/>
        </w:rPr>
        <w:br w:type="page"/>
      </w:r>
    </w:p>
    <w:p>
      <w:pPr>
        <w:pStyle w:val="5"/>
        <w:widowControl w:val="0"/>
        <w:overflowPunct w:val="0"/>
        <w:spacing w:line="240" w:lineRule="auto"/>
        <w:rPr>
          <w:rFonts w:ascii="宋体" w:hAnsi="宋体"/>
          <w:color w:val="auto"/>
          <w:sz w:val="21"/>
          <w:szCs w:val="21"/>
          <w:highlight w:val="none"/>
        </w:rPr>
      </w:pPr>
      <w:bookmarkStart w:id="149" w:name="_Toc216704997"/>
      <w:r>
        <w:rPr>
          <w:rFonts w:hint="eastAsia" w:ascii="宋体" w:hAnsi="宋体"/>
          <w:color w:val="auto"/>
          <w:sz w:val="21"/>
          <w:szCs w:val="21"/>
          <w:highlight w:val="none"/>
        </w:rPr>
        <w:t>附件5. 法定代表人证明书格式</w:t>
      </w:r>
      <w:bookmarkEnd w:id="149"/>
    </w:p>
    <w:p>
      <w:pPr>
        <w:rPr>
          <w:color w:val="auto"/>
          <w:highlight w:val="none"/>
        </w:rPr>
      </w:pPr>
    </w:p>
    <w:p>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pPr>
        <w:pStyle w:val="47"/>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致：广东人信工程咨询有限公司</w:t>
      </w:r>
    </w:p>
    <w:p>
      <w:pPr>
        <w:pStyle w:val="47"/>
        <w:spacing w:line="420" w:lineRule="atLeast"/>
        <w:ind w:firstLine="433"/>
        <w:rPr>
          <w:rFonts w:ascii="宋体" w:eastAsia="宋体"/>
          <w:color w:val="auto"/>
          <w:sz w:val="21"/>
          <w:szCs w:val="21"/>
          <w:highlight w:val="none"/>
        </w:rPr>
      </w:pPr>
    </w:p>
    <w:p>
      <w:pPr>
        <w:pStyle w:val="47"/>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pPr>
        <w:pStyle w:val="47"/>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pPr>
        <w:pStyle w:val="47"/>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pPr>
        <w:pStyle w:val="47"/>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pPr>
        <w:pStyle w:val="47"/>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pPr>
        <w:pStyle w:val="47"/>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pPr>
        <w:pStyle w:val="47"/>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pP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pPr>
        <w:pStyle w:val="47"/>
        <w:spacing w:line="500" w:lineRule="atLeast"/>
        <w:ind w:firstLine="3517" w:firstLineChars="1675"/>
        <w:rPr>
          <w:rFonts w:ascii="宋体" w:eastAsia="宋体"/>
          <w:color w:val="auto"/>
          <w:sz w:val="21"/>
          <w:szCs w:val="21"/>
          <w:highlight w:val="none"/>
        </w:rPr>
      </w:pPr>
    </w:p>
    <w:p>
      <w:pPr>
        <w:pStyle w:val="47"/>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7"/>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pPr>
        <w:pStyle w:val="47"/>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pPr>
        <w:pStyle w:val="47"/>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pPr>
        <w:pStyle w:val="47"/>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pPr>
        <w:ind w:firstLine="420" w:firstLineChars="200"/>
        <w:rPr>
          <w:rFonts w:ascii="宋体" w:hAnsi="宋体"/>
          <w:color w:val="auto"/>
          <w:szCs w:val="21"/>
          <w:highlight w:val="none"/>
        </w:rPr>
      </w:pPr>
    </w:p>
    <w:p>
      <w:pP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1"/>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PrEx>
        <w:trPr>
          <w:trHeight w:val="2517" w:hRule="atLeast"/>
          <w:jc w:val="center"/>
        </w:trPr>
        <w:tc>
          <w:tcPr>
            <w:tcW w:w="4182" w:type="dxa"/>
            <w:vAlign w:val="center"/>
          </w:tcPr>
          <w:p>
            <w:pPr>
              <w:pStyle w:val="47"/>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pPr>
              <w:pStyle w:val="47"/>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pPr>
        <w:rPr>
          <w:color w:val="auto"/>
          <w:highlight w:val="none"/>
        </w:rPr>
      </w:pPr>
    </w:p>
    <w:p>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pPr>
        <w:pStyle w:val="5"/>
        <w:widowControl w:val="0"/>
        <w:overflowPunct w:val="0"/>
        <w:spacing w:line="240" w:lineRule="auto"/>
        <w:rPr>
          <w:color w:val="auto"/>
          <w:highlight w:val="none"/>
        </w:rPr>
      </w:pPr>
      <w:bookmarkStart w:id="150" w:name="_Toc216704998"/>
      <w:r>
        <w:rPr>
          <w:rFonts w:hint="eastAsia" w:ascii="宋体" w:hAnsi="宋体"/>
          <w:color w:val="auto"/>
          <w:sz w:val="21"/>
          <w:szCs w:val="21"/>
          <w:highlight w:val="none"/>
        </w:rPr>
        <w:t>附件6.法定代表人授权书格式</w:t>
      </w:r>
      <w:bookmarkEnd w:id="150"/>
    </w:p>
    <w:p>
      <w:pPr>
        <w:rPr>
          <w:color w:val="auto"/>
          <w:highlight w:val="none"/>
        </w:rPr>
      </w:pPr>
    </w:p>
    <w:p>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pPr>
        <w:pStyle w:val="47"/>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致：广东人信工程咨询有限公司</w:t>
      </w:r>
    </w:p>
    <w:p>
      <w:pPr>
        <w:pStyle w:val="47"/>
        <w:spacing w:line="420" w:lineRule="atLeast"/>
        <w:ind w:firstLine="433"/>
        <w:rPr>
          <w:rFonts w:ascii="宋体" w:eastAsia="宋体"/>
          <w:color w:val="auto"/>
          <w:sz w:val="21"/>
          <w:szCs w:val="21"/>
          <w:highlight w:val="none"/>
        </w:rPr>
      </w:pPr>
    </w:p>
    <w:p>
      <w:pP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pP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pPr>
        <w:pStyle w:val="47"/>
        <w:spacing w:line="500" w:lineRule="atLeast"/>
        <w:ind w:firstLine="3517" w:firstLineChars="1675"/>
        <w:rPr>
          <w:rFonts w:ascii="宋体" w:eastAsia="宋体"/>
          <w:color w:val="auto"/>
          <w:sz w:val="21"/>
          <w:szCs w:val="21"/>
          <w:highlight w:val="none"/>
        </w:rPr>
      </w:pPr>
    </w:p>
    <w:p>
      <w:pPr>
        <w:pStyle w:val="47"/>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7"/>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pPr>
        <w:pStyle w:val="47"/>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pPr>
        <w:pStyle w:val="47"/>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pPr>
        <w:pStyle w:val="47"/>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pPr>
        <w:pStyle w:val="47"/>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pPr>
        <w:pStyle w:val="47"/>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pPr>
        <w:pStyle w:val="47"/>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pPr>
        <w:pStyle w:val="47"/>
        <w:spacing w:line="460" w:lineRule="exact"/>
        <w:ind w:firstLine="433"/>
        <w:rPr>
          <w:rFonts w:ascii="宋体" w:eastAsia="宋体"/>
          <w:color w:val="auto"/>
          <w:sz w:val="21"/>
          <w:szCs w:val="21"/>
          <w:highlight w:val="none"/>
        </w:rPr>
      </w:pPr>
    </w:p>
    <w:p>
      <w:pPr>
        <w:ind w:firstLine="420" w:firstLineChars="200"/>
        <w:rPr>
          <w:color w:val="auto"/>
          <w:highlight w:val="none"/>
        </w:rPr>
      </w:pPr>
      <w:r>
        <w:rPr>
          <w:rFonts w:hint="eastAsia" w:ascii="宋体" w:hAnsi="宋体"/>
          <w:color w:val="auto"/>
          <w:szCs w:val="21"/>
          <w:highlight w:val="none"/>
        </w:rPr>
        <w:t>须附：被授权人身份证复印件。</w:t>
      </w:r>
    </w:p>
    <w:tbl>
      <w:tblPr>
        <w:tblStyle w:val="31"/>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pPr>
              <w:pStyle w:val="47"/>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pPr>
              <w:pStyle w:val="47"/>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pPr>
        <w:adjustRightInd/>
        <w:snapToGrid/>
        <w:spacing w:line="276" w:lineRule="auto"/>
        <w:rPr>
          <w:color w:val="auto"/>
          <w:highlight w:val="none"/>
        </w:rPr>
      </w:pPr>
      <w:bookmarkStart w:id="151" w:name="_Toc22486"/>
      <w:r>
        <w:rPr>
          <w:rFonts w:hint="eastAsia" w:ascii="宋体" w:hAnsi="宋体"/>
          <w:color w:val="auto"/>
          <w:szCs w:val="21"/>
          <w:highlight w:val="none"/>
        </w:rPr>
        <w:br w:type="page"/>
      </w:r>
    </w:p>
    <w:p>
      <w:pPr>
        <w:pStyle w:val="5"/>
        <w:widowControl w:val="0"/>
        <w:overflowPunct w:val="0"/>
        <w:spacing w:line="240" w:lineRule="auto"/>
        <w:rPr>
          <w:rFonts w:ascii="宋体" w:hAnsi="宋体"/>
          <w:color w:val="auto"/>
          <w:sz w:val="21"/>
          <w:szCs w:val="21"/>
          <w:highlight w:val="none"/>
        </w:rPr>
      </w:pPr>
      <w:bookmarkStart w:id="152" w:name="_Toc216704999"/>
      <w:r>
        <w:rPr>
          <w:rFonts w:hint="eastAsia" w:ascii="宋体" w:hAnsi="宋体"/>
          <w:color w:val="auto"/>
          <w:sz w:val="21"/>
          <w:szCs w:val="21"/>
          <w:highlight w:val="none"/>
        </w:rPr>
        <w:t>附件7.资格申明</w:t>
      </w:r>
      <w:bookmarkEnd w:id="152"/>
    </w:p>
    <w:p>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pPr>
        <w:pStyle w:val="47"/>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广东人信工程咨询有限公司：</w:t>
      </w:r>
    </w:p>
    <w:p>
      <w:pPr>
        <w:ind w:firstLine="420" w:firstLineChars="200"/>
        <w:rPr>
          <w:rFonts w:ascii="宋体" w:hAnsi="宋体"/>
          <w:color w:val="auto"/>
          <w:szCs w:val="21"/>
          <w:highlight w:val="none"/>
        </w:rPr>
      </w:pPr>
    </w:p>
    <w:p>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pP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xxxx公司</w:t>
      </w:r>
      <w:r>
        <w:rPr>
          <w:rFonts w:ascii="宋体" w:hAnsi="宋体"/>
          <w:color w:val="auto"/>
          <w:szCs w:val="21"/>
          <w:highlight w:val="none"/>
          <w:u w:val="singl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xxxx公司</w:t>
      </w:r>
      <w:r>
        <w:rPr>
          <w:rFonts w:ascii="宋体" w:hAnsi="宋体"/>
          <w:color w:val="auto"/>
          <w:szCs w:val="21"/>
          <w:highlight w:val="none"/>
        </w:rPr>
        <w:t>（采购代理机构）</w:t>
      </w:r>
      <w:r>
        <w:rPr>
          <w:rFonts w:hint="eastAsia" w:ascii="宋体" w:hAnsi="宋体"/>
          <w:color w:val="auto"/>
          <w:szCs w:val="21"/>
          <w:highlight w:val="none"/>
        </w:rPr>
        <w:t>。</w:t>
      </w:r>
    </w:p>
    <w:p>
      <w:pPr>
        <w:pStyle w:val="47"/>
        <w:spacing w:line="500" w:lineRule="atLeast"/>
        <w:ind w:firstLine="3517" w:firstLineChars="1675"/>
        <w:rPr>
          <w:rFonts w:ascii="宋体" w:eastAsia="宋体"/>
          <w:color w:val="auto"/>
          <w:sz w:val="21"/>
          <w:szCs w:val="21"/>
          <w:highlight w:val="none"/>
        </w:rPr>
      </w:pPr>
    </w:p>
    <w:p>
      <w:pPr>
        <w:pStyle w:val="47"/>
        <w:spacing w:line="500" w:lineRule="atLeast"/>
        <w:ind w:firstLine="3517" w:firstLineChars="1675"/>
        <w:rPr>
          <w:rFonts w:ascii="宋体" w:eastAsia="宋体"/>
          <w:color w:val="auto"/>
          <w:sz w:val="21"/>
          <w:szCs w:val="21"/>
          <w:highlight w:val="none"/>
        </w:rPr>
      </w:pPr>
    </w:p>
    <w:p>
      <w:pPr>
        <w:pStyle w:val="47"/>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7"/>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法定代表人或其授权代表（签名或盖私章）：</w:t>
      </w:r>
    </w:p>
    <w:p>
      <w:pPr>
        <w:pStyle w:val="47"/>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pPr>
        <w:pStyle w:val="47"/>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pPr>
        <w:pStyle w:val="5"/>
        <w:widowControl w:val="0"/>
        <w:overflowPunct w:val="0"/>
        <w:spacing w:line="240" w:lineRule="auto"/>
        <w:rPr>
          <w:rFonts w:ascii="宋体" w:hAnsi="宋体"/>
          <w:color w:val="auto"/>
          <w:sz w:val="21"/>
          <w:szCs w:val="21"/>
          <w:highlight w:val="none"/>
        </w:rPr>
      </w:pPr>
      <w:bookmarkStart w:id="153" w:name="_Toc216705000"/>
      <w:r>
        <w:rPr>
          <w:rFonts w:hint="eastAsia" w:ascii="宋体" w:hAnsi="宋体"/>
          <w:color w:val="auto"/>
          <w:sz w:val="21"/>
          <w:szCs w:val="21"/>
          <w:highlight w:val="none"/>
        </w:rPr>
        <w:t>附件8.营业执照</w:t>
      </w:r>
      <w:bookmarkEnd w:id="153"/>
    </w:p>
    <w:p>
      <w:pPr>
        <w:jc w:val="center"/>
        <w:rPr>
          <w:rFonts w:ascii="黑体" w:eastAsia="黑体"/>
          <w:color w:val="auto"/>
          <w:sz w:val="28"/>
          <w:szCs w:val="28"/>
          <w:highlight w:val="none"/>
        </w:rPr>
      </w:pPr>
      <w:bookmarkStart w:id="154" w:name="_Toc4926"/>
      <w:bookmarkStart w:id="155" w:name="_Toc17470"/>
      <w:bookmarkStart w:id="156" w:name="_Toc24210"/>
      <w:bookmarkStart w:id="157" w:name="_Toc5919"/>
      <w:bookmarkStart w:id="158" w:name="_Toc1511"/>
      <w:r>
        <w:rPr>
          <w:rFonts w:hint="eastAsia" w:ascii="黑体" w:eastAsia="黑体"/>
          <w:color w:val="auto"/>
          <w:sz w:val="28"/>
          <w:szCs w:val="28"/>
          <w:highlight w:val="none"/>
        </w:rPr>
        <w:t>营业执照</w:t>
      </w:r>
      <w:bookmarkEnd w:id="154"/>
      <w:bookmarkEnd w:id="155"/>
      <w:bookmarkEnd w:id="156"/>
      <w:bookmarkEnd w:id="157"/>
      <w:bookmarkEnd w:id="158"/>
    </w:p>
    <w:p>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pPr>
        <w:pStyle w:val="5"/>
        <w:widowControl w:val="0"/>
        <w:overflowPunct w:val="0"/>
        <w:spacing w:line="240" w:lineRule="auto"/>
        <w:rPr>
          <w:rFonts w:ascii="宋体" w:hAnsi="宋体"/>
          <w:color w:val="auto"/>
          <w:sz w:val="21"/>
          <w:szCs w:val="21"/>
          <w:highlight w:val="none"/>
        </w:rPr>
      </w:pPr>
      <w:bookmarkStart w:id="159" w:name="_Toc216705001"/>
      <w:r>
        <w:rPr>
          <w:rFonts w:hint="eastAsia" w:ascii="宋体" w:hAnsi="宋体"/>
          <w:color w:val="auto"/>
          <w:sz w:val="21"/>
          <w:szCs w:val="21"/>
          <w:highlight w:val="none"/>
        </w:rPr>
        <w:t>附件9.相关资质证明文件</w:t>
      </w:r>
      <w:bookmarkEnd w:id="159"/>
    </w:p>
    <w:p>
      <w:pPr>
        <w:rPr>
          <w:color w:val="auto"/>
          <w:highlight w:val="none"/>
        </w:rPr>
      </w:pPr>
    </w:p>
    <w:p>
      <w:pPr>
        <w:jc w:val="center"/>
        <w:rPr>
          <w:rFonts w:ascii="黑体" w:eastAsia="黑体"/>
          <w:color w:val="auto"/>
          <w:sz w:val="28"/>
          <w:szCs w:val="28"/>
          <w:highlight w:val="none"/>
        </w:rPr>
      </w:pPr>
      <w:bookmarkStart w:id="160" w:name="_Toc16698"/>
      <w:bookmarkStart w:id="161" w:name="_Toc30307"/>
      <w:bookmarkStart w:id="162" w:name="_Toc16233"/>
      <w:bookmarkStart w:id="163" w:name="_Toc9592"/>
      <w:bookmarkStart w:id="164" w:name="_Toc13458"/>
      <w:r>
        <w:rPr>
          <w:rFonts w:hint="eastAsia" w:ascii="黑体" w:eastAsia="黑体"/>
          <w:color w:val="auto"/>
          <w:sz w:val="28"/>
          <w:szCs w:val="28"/>
          <w:highlight w:val="none"/>
        </w:rPr>
        <w:t>相关资质证明文件</w:t>
      </w:r>
      <w:bookmarkEnd w:id="151"/>
      <w:bookmarkEnd w:id="160"/>
      <w:bookmarkEnd w:id="161"/>
      <w:bookmarkEnd w:id="162"/>
      <w:bookmarkEnd w:id="163"/>
      <w:bookmarkEnd w:id="164"/>
    </w:p>
    <w:p>
      <w:pPr>
        <w:numPr>
          <w:ilvl w:val="0"/>
          <w:numId w:val="13"/>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pPr>
        <w:numPr>
          <w:ilvl w:val="0"/>
          <w:numId w:val="13"/>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pPr>
        <w:pStyle w:val="5"/>
        <w:widowControl w:val="0"/>
        <w:overflowPunct w:val="0"/>
        <w:spacing w:line="240" w:lineRule="auto"/>
        <w:rPr>
          <w:rFonts w:ascii="楷体_GB2312" w:eastAsia="楷体_GB2312"/>
          <w:color w:val="auto"/>
          <w:highlight w:val="none"/>
        </w:rPr>
      </w:pPr>
      <w:bookmarkStart w:id="165" w:name="_Toc216705002"/>
      <w:r>
        <w:rPr>
          <w:rFonts w:hint="eastAsia" w:ascii="宋体" w:hAnsi="宋体"/>
          <w:color w:val="auto"/>
          <w:sz w:val="21"/>
          <w:szCs w:val="21"/>
          <w:highlight w:val="none"/>
        </w:rPr>
        <w:t>附件10.在经营活动中没有重大违法记录的书面声明格式</w:t>
      </w:r>
      <w:bookmarkEnd w:id="165"/>
    </w:p>
    <w:p>
      <w:pPr>
        <w:rPr>
          <w:color w:val="auto"/>
          <w:highlight w:val="none"/>
        </w:rPr>
      </w:pPr>
    </w:p>
    <w:p>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pPr>
        <w:ind w:firstLine="420" w:firstLineChars="200"/>
        <w:rPr>
          <w:rFonts w:ascii="宋体" w:hAnsi="宋体" w:cs="宋体"/>
          <w:color w:val="auto"/>
          <w:szCs w:val="21"/>
          <w:highlight w:val="none"/>
        </w:rPr>
      </w:pPr>
    </w:p>
    <w:p>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东莞新锋交通能源发展有限公司：</w:t>
      </w:r>
    </w:p>
    <w:p>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XX）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pPr>
        <w:ind w:firstLine="420" w:firstLineChars="200"/>
        <w:rPr>
          <w:rFonts w:ascii="宋体" w:hAnsi="宋体" w:cs="宋体"/>
          <w:color w:val="auto"/>
          <w:szCs w:val="21"/>
          <w:highlight w:val="none"/>
        </w:rPr>
      </w:pPr>
    </w:p>
    <w:p>
      <w:pPr>
        <w:rPr>
          <w:rFonts w:ascii="宋体" w:hAnsi="宋体" w:cs="宋体"/>
          <w:color w:val="auto"/>
          <w:szCs w:val="21"/>
          <w:highlight w:val="none"/>
        </w:rPr>
      </w:pP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pPr>
        <w:rPr>
          <w:rFonts w:ascii="宋体" w:hAnsi="宋体" w:cs="宋体"/>
          <w:color w:val="auto"/>
          <w:szCs w:val="21"/>
          <w:highlight w:val="none"/>
        </w:rPr>
      </w:pP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pPr>
        <w:adjustRightInd/>
        <w:snapToGrid/>
        <w:spacing w:line="240" w:lineRule="auto"/>
        <w:rPr>
          <w:rFonts w:ascii="宋体" w:hAnsi="宋体" w:cs="宋体"/>
          <w:color w:val="auto"/>
          <w:szCs w:val="21"/>
          <w:highlight w:val="none"/>
        </w:rPr>
      </w:pPr>
      <w:r>
        <w:rPr>
          <w:rFonts w:ascii="宋体" w:hAnsi="宋体" w:cs="宋体"/>
          <w:color w:val="auto"/>
          <w:szCs w:val="21"/>
          <w:highlight w:val="none"/>
        </w:rPr>
        <w:br w:type="page"/>
      </w:r>
    </w:p>
    <w:p>
      <w:pPr>
        <w:pStyle w:val="5"/>
        <w:widowControl w:val="0"/>
        <w:overflowPunct w:val="0"/>
        <w:spacing w:line="240" w:lineRule="auto"/>
        <w:rPr>
          <w:rFonts w:ascii="楷体_GB2312" w:eastAsia="楷体_GB2312"/>
          <w:color w:val="auto"/>
          <w:highlight w:val="none"/>
        </w:rPr>
      </w:pPr>
      <w:bookmarkStart w:id="166" w:name="_Toc216705003"/>
      <w:r>
        <w:rPr>
          <w:rFonts w:hint="eastAsia" w:ascii="宋体" w:hAnsi="宋体"/>
          <w:color w:val="auto"/>
          <w:sz w:val="21"/>
          <w:szCs w:val="21"/>
          <w:highlight w:val="none"/>
        </w:rPr>
        <w:t>附件11.承诺书格式</w:t>
      </w:r>
      <w:bookmarkEnd w:id="166"/>
    </w:p>
    <w:p>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pPr>
        <w:pStyle w:val="47"/>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致：广东人信工程咨询有限公司</w:t>
      </w:r>
    </w:p>
    <w:p>
      <w:pPr>
        <w:jc w:val="center"/>
        <w:rPr>
          <w:rFonts w:ascii="宋体" w:hAnsi="宋体" w:cs="宋体"/>
          <w:color w:val="auto"/>
          <w:szCs w:val="21"/>
          <w:highlight w:val="none"/>
        </w:rPr>
      </w:pPr>
    </w:p>
    <w:p>
      <w:pPr>
        <w:pStyle w:val="47"/>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pPr>
        <w:pStyle w:val="47"/>
        <w:spacing w:line="420" w:lineRule="exact"/>
        <w:ind w:firstLine="433"/>
        <w:rPr>
          <w:rFonts w:ascii="宋体" w:eastAsia="宋体" w:cs="宋体"/>
          <w:color w:val="auto"/>
          <w:sz w:val="21"/>
          <w:szCs w:val="21"/>
          <w:highlight w:val="none"/>
        </w:rPr>
      </w:pPr>
    </w:p>
    <w:p>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pPr>
        <w:rPr>
          <w:color w:val="auto"/>
          <w:highlight w:val="none"/>
        </w:rPr>
      </w:pPr>
    </w:p>
    <w:p>
      <w:pPr>
        <w:rPr>
          <w:rFonts w:ascii="宋体" w:hAnsi="宋体"/>
          <w:color w:val="auto"/>
          <w:szCs w:val="21"/>
          <w:highlight w:val="none"/>
        </w:rPr>
      </w:pPr>
      <w:r>
        <w:rPr>
          <w:rFonts w:ascii="宋体" w:hAnsi="宋体"/>
          <w:color w:val="auto"/>
          <w:szCs w:val="21"/>
          <w:highlight w:val="none"/>
        </w:rPr>
        <w:br w:type="page"/>
      </w:r>
      <w:r>
        <w:rPr>
          <w:rFonts w:hint="eastAsia" w:ascii="宋体" w:hAnsi="宋体"/>
          <w:color w:val="auto"/>
          <w:szCs w:val="21"/>
          <w:highlight w:val="none"/>
        </w:rPr>
        <w:t>附件12.商务需求条款偏离表格式</w:t>
      </w:r>
    </w:p>
    <w:p>
      <w:pPr>
        <w:jc w:val="center"/>
        <w:rPr>
          <w:rFonts w:ascii="黑体" w:eastAsia="黑体"/>
          <w:color w:val="auto"/>
          <w:sz w:val="28"/>
          <w:szCs w:val="28"/>
          <w:highlight w:val="none"/>
        </w:rPr>
      </w:pPr>
    </w:p>
    <w:p>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1"/>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pP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pP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pP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pPr>
              <w:jc w:val="center"/>
              <w:rPr>
                <w:rFonts w:ascii="宋体" w:hAnsi="宋体"/>
                <w:color w:val="auto"/>
                <w:szCs w:val="21"/>
                <w:highlight w:val="none"/>
              </w:rPr>
            </w:pPr>
            <w:r>
              <w:rPr>
                <w:rFonts w:hint="eastAsia" w:ascii="宋体" w:hAnsi="宋体"/>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pPr>
              <w:jc w:val="center"/>
              <w:rPr>
                <w:rFonts w:ascii="宋体" w:hAnsi="宋体"/>
                <w:color w:val="auto"/>
                <w:szCs w:val="21"/>
                <w:highlight w:val="none"/>
              </w:rPr>
            </w:pPr>
          </w:p>
        </w:tc>
        <w:tc>
          <w:tcPr>
            <w:tcW w:w="1620" w:type="dxa"/>
            <w:vAlign w:val="center"/>
          </w:tcPr>
          <w:p>
            <w:pPr>
              <w:jc w:val="center"/>
              <w:rPr>
                <w:rFonts w:ascii="宋体" w:hAnsi="宋体"/>
                <w:color w:val="auto"/>
                <w:szCs w:val="21"/>
                <w:highlight w:val="none"/>
              </w:rPr>
            </w:pPr>
          </w:p>
        </w:tc>
        <w:tc>
          <w:tcPr>
            <w:tcW w:w="1360" w:type="dxa"/>
            <w:vAlign w:val="center"/>
          </w:tcPr>
          <w:p>
            <w:pPr>
              <w:jc w:val="center"/>
              <w:rPr>
                <w:rFonts w:ascii="宋体" w:hAnsi="宋体"/>
                <w:color w:val="auto"/>
                <w:szCs w:val="21"/>
                <w:highlight w:val="none"/>
              </w:rPr>
            </w:pPr>
          </w:p>
        </w:tc>
        <w:tc>
          <w:tcPr>
            <w:tcW w:w="1587" w:type="dxa"/>
            <w:vAlign w:val="center"/>
          </w:tcPr>
          <w:p>
            <w:pPr>
              <w:jc w:val="center"/>
              <w:rPr>
                <w:rFonts w:ascii="宋体" w:hAnsi="宋体"/>
                <w:color w:val="auto"/>
                <w:szCs w:val="21"/>
                <w:highlight w:val="none"/>
              </w:rPr>
            </w:pPr>
          </w:p>
        </w:tc>
        <w:tc>
          <w:tcPr>
            <w:tcW w:w="1133" w:type="dxa"/>
            <w:vAlign w:val="center"/>
          </w:tcPr>
          <w:p>
            <w:pPr>
              <w:jc w:val="center"/>
              <w:rPr>
                <w:rFonts w:ascii="宋体" w:hAnsi="宋体"/>
                <w:color w:val="auto"/>
                <w:szCs w:val="21"/>
                <w:highlight w:val="none"/>
              </w:rPr>
            </w:pPr>
          </w:p>
        </w:tc>
        <w:tc>
          <w:tcPr>
            <w:tcW w:w="1730" w:type="dxa"/>
            <w:vAlign w:val="center"/>
          </w:tcPr>
          <w:p>
            <w:pPr>
              <w:jc w:val="center"/>
              <w:rPr>
                <w:rFonts w:ascii="宋体" w:hAnsi="宋体"/>
                <w:color w:val="auto"/>
                <w:szCs w:val="21"/>
                <w:highlight w:val="none"/>
              </w:rPr>
            </w:pPr>
          </w:p>
        </w:tc>
      </w:tr>
    </w:tbl>
    <w:p>
      <w:pPr>
        <w:rPr>
          <w:rFonts w:ascii="宋体" w:hAnsi="宋体"/>
          <w:color w:val="auto"/>
          <w:szCs w:val="21"/>
          <w:highlight w:val="none"/>
        </w:rPr>
      </w:pPr>
    </w:p>
    <w:p>
      <w:pPr>
        <w:rPr>
          <w:rFonts w:ascii="宋体" w:hAnsi="宋体"/>
          <w:color w:val="auto"/>
          <w:szCs w:val="21"/>
          <w:highlight w:val="none"/>
        </w:rPr>
      </w:pPr>
      <w:r>
        <w:rPr>
          <w:rFonts w:hint="eastAsia" w:ascii="宋体" w:hAnsi="宋体"/>
          <w:color w:val="auto"/>
          <w:szCs w:val="21"/>
          <w:highlight w:val="none"/>
        </w:rPr>
        <w:t>投标人代表签字：</w:t>
      </w:r>
    </w:p>
    <w:p>
      <w:pPr>
        <w:rPr>
          <w:rFonts w:ascii="宋体" w:hAnsi="宋体"/>
          <w:color w:val="auto"/>
          <w:szCs w:val="21"/>
          <w:highlight w:val="none"/>
        </w:rPr>
      </w:pPr>
      <w:r>
        <w:rPr>
          <w:rFonts w:hint="eastAsia" w:ascii="宋体" w:hAnsi="宋体"/>
          <w:color w:val="auto"/>
          <w:szCs w:val="21"/>
          <w:highlight w:val="none"/>
        </w:rPr>
        <w:t>投标人盖章：</w:t>
      </w:r>
    </w:p>
    <w:p>
      <w:pPr>
        <w:rPr>
          <w:rFonts w:ascii="宋体" w:hAnsi="宋体"/>
          <w:color w:val="auto"/>
          <w:szCs w:val="21"/>
          <w:highlight w:val="none"/>
        </w:rPr>
      </w:pPr>
    </w:p>
    <w:p>
      <w:pPr>
        <w:ind w:left="718" w:hanging="718" w:hangingChars="342"/>
        <w:rPr>
          <w:rFonts w:ascii="宋体" w:hAnsi="宋体"/>
          <w:color w:val="auto"/>
          <w:szCs w:val="21"/>
          <w:highlight w:val="none"/>
        </w:rPr>
      </w:pPr>
      <w:r>
        <w:rPr>
          <w:rFonts w:hint="eastAsia" w:ascii="宋体" w:hAnsi="宋体"/>
          <w:color w:val="auto"/>
          <w:szCs w:val="21"/>
          <w:highlight w:val="none"/>
        </w:rPr>
        <w:t>注：</w:t>
      </w:r>
    </w:p>
    <w:p>
      <w:pP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pPr>
        <w:rPr>
          <w:rFonts w:ascii="宋体" w:hAnsi="宋体"/>
          <w:color w:val="auto"/>
          <w:szCs w:val="21"/>
          <w:highlight w:val="none"/>
        </w:rPr>
      </w:pPr>
      <w:r>
        <w:rPr>
          <w:rFonts w:hint="eastAsia" w:ascii="宋体" w:hAnsi="宋体"/>
          <w:color w:val="auto"/>
          <w:szCs w:val="21"/>
          <w:highlight w:val="none"/>
        </w:rPr>
        <w:br w:type="page"/>
      </w:r>
    </w:p>
    <w:p>
      <w:pPr>
        <w:pStyle w:val="5"/>
        <w:widowControl w:val="0"/>
        <w:overflowPunct w:val="0"/>
        <w:spacing w:line="240" w:lineRule="auto"/>
        <w:rPr>
          <w:rFonts w:ascii="宋体" w:hAnsi="宋体"/>
          <w:color w:val="auto"/>
          <w:sz w:val="30"/>
          <w:szCs w:val="30"/>
          <w:highlight w:val="none"/>
        </w:rPr>
      </w:pPr>
      <w:bookmarkStart w:id="167" w:name="_Toc216705004"/>
      <w:r>
        <w:rPr>
          <w:rFonts w:hint="eastAsia" w:ascii="宋体" w:hAnsi="宋体"/>
          <w:color w:val="auto"/>
          <w:sz w:val="21"/>
          <w:szCs w:val="21"/>
          <w:highlight w:val="none"/>
        </w:rPr>
        <w:t>附件13.业绩表</w:t>
      </w:r>
      <w:bookmarkEnd w:id="167"/>
    </w:p>
    <w:p>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2"/>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pP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pP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pP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pPr>
              <w:adjustRightInd/>
              <w:snapToGrid/>
              <w:jc w:val="center"/>
              <w:rPr>
                <w:rFonts w:ascii="宋体" w:hAnsi="宋体"/>
                <w:color w:val="auto"/>
                <w:szCs w:val="21"/>
                <w:highlight w:val="none"/>
              </w:rPr>
            </w:pPr>
            <w:r>
              <w:rPr>
                <w:rFonts w:hint="eastAsia" w:ascii="宋体" w:hAnsi="宋体"/>
                <w:color w:val="auto"/>
                <w:szCs w:val="21"/>
                <w:highlight w:val="none"/>
              </w:rPr>
              <w:t>项目合同签订时间</w:t>
            </w:r>
          </w:p>
        </w:tc>
        <w:tc>
          <w:tcPr>
            <w:tcW w:w="1697" w:type="dxa"/>
            <w:vAlign w:val="center"/>
          </w:tcPr>
          <w:p>
            <w:pP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pPr>
              <w:adjustRightInd/>
              <w:snapToGrid/>
              <w:jc w:val="center"/>
              <w:rPr>
                <w:rFonts w:ascii="宋体" w:hAnsi="宋体"/>
                <w:color w:val="auto"/>
                <w:szCs w:val="21"/>
                <w:highlight w:val="none"/>
              </w:rPr>
            </w:pPr>
          </w:p>
        </w:tc>
        <w:tc>
          <w:tcPr>
            <w:tcW w:w="1705" w:type="dxa"/>
            <w:vAlign w:val="center"/>
          </w:tcPr>
          <w:p>
            <w:pPr>
              <w:adjustRightInd/>
              <w:snapToGrid/>
              <w:jc w:val="center"/>
              <w:rPr>
                <w:rFonts w:ascii="宋体" w:hAnsi="宋体"/>
                <w:color w:val="auto"/>
                <w:szCs w:val="21"/>
                <w:highlight w:val="none"/>
              </w:rPr>
            </w:pPr>
          </w:p>
        </w:tc>
        <w:tc>
          <w:tcPr>
            <w:tcW w:w="1706" w:type="dxa"/>
            <w:vAlign w:val="center"/>
          </w:tcPr>
          <w:p>
            <w:pPr>
              <w:adjustRightInd/>
              <w:snapToGrid/>
              <w:jc w:val="center"/>
              <w:rPr>
                <w:rFonts w:ascii="宋体" w:hAnsi="宋体"/>
                <w:color w:val="auto"/>
                <w:szCs w:val="21"/>
                <w:highlight w:val="none"/>
              </w:rPr>
            </w:pPr>
          </w:p>
        </w:tc>
        <w:tc>
          <w:tcPr>
            <w:tcW w:w="1705" w:type="dxa"/>
            <w:vAlign w:val="center"/>
          </w:tcPr>
          <w:p>
            <w:pPr>
              <w:adjustRightInd/>
              <w:snapToGrid/>
              <w:jc w:val="center"/>
              <w:rPr>
                <w:rFonts w:ascii="宋体" w:hAnsi="宋体"/>
                <w:color w:val="auto"/>
                <w:szCs w:val="21"/>
                <w:highlight w:val="none"/>
              </w:rPr>
            </w:pPr>
          </w:p>
        </w:tc>
        <w:tc>
          <w:tcPr>
            <w:tcW w:w="1697" w:type="dxa"/>
            <w:vAlign w:val="center"/>
          </w:tcPr>
          <w:p>
            <w:pPr>
              <w:adjustRightInd/>
              <w:snapToGrid/>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706"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697" w:type="dxa"/>
          </w:tcPr>
          <w:p>
            <w:pP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706"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697" w:type="dxa"/>
          </w:tcPr>
          <w:p>
            <w:pP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706"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697" w:type="dxa"/>
          </w:tcPr>
          <w:p>
            <w:pP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706"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697" w:type="dxa"/>
          </w:tcPr>
          <w:p>
            <w:pP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706" w:type="dxa"/>
          </w:tcPr>
          <w:p>
            <w:pPr>
              <w:adjustRightInd/>
              <w:snapToGrid/>
              <w:rPr>
                <w:rFonts w:ascii="宋体" w:hAnsi="宋体"/>
                <w:color w:val="auto"/>
                <w:szCs w:val="21"/>
                <w:highlight w:val="none"/>
              </w:rPr>
            </w:pPr>
          </w:p>
        </w:tc>
        <w:tc>
          <w:tcPr>
            <w:tcW w:w="1705" w:type="dxa"/>
          </w:tcPr>
          <w:p>
            <w:pPr>
              <w:adjustRightInd/>
              <w:snapToGrid/>
              <w:rPr>
                <w:rFonts w:ascii="宋体" w:hAnsi="宋体"/>
                <w:color w:val="auto"/>
                <w:szCs w:val="21"/>
                <w:highlight w:val="none"/>
              </w:rPr>
            </w:pPr>
          </w:p>
        </w:tc>
        <w:tc>
          <w:tcPr>
            <w:tcW w:w="1697" w:type="dxa"/>
          </w:tcPr>
          <w:p>
            <w:pPr>
              <w:adjustRightInd/>
              <w:snapToGrid/>
              <w:rPr>
                <w:rFonts w:ascii="宋体" w:hAnsi="宋体"/>
                <w:color w:val="auto"/>
                <w:szCs w:val="21"/>
                <w:highlight w:val="none"/>
              </w:rPr>
            </w:pPr>
          </w:p>
        </w:tc>
      </w:tr>
    </w:tbl>
    <w:p>
      <w:pPr>
        <w:pStyle w:val="44"/>
        <w:rPr>
          <w:rFonts w:ascii="宋体" w:hAnsi="宋体"/>
          <w:color w:val="auto"/>
          <w:szCs w:val="21"/>
          <w:highlight w:val="none"/>
        </w:rPr>
      </w:pPr>
    </w:p>
    <w:p>
      <w:pPr>
        <w:pStyle w:val="44"/>
        <w:rPr>
          <w:rFonts w:ascii="宋体" w:hAnsi="宋体"/>
          <w:color w:val="auto"/>
          <w:szCs w:val="21"/>
          <w:highlight w:val="none"/>
        </w:rPr>
      </w:pPr>
      <w:r>
        <w:rPr>
          <w:rFonts w:hint="eastAsia" w:ascii="宋体" w:hAnsi="宋体"/>
          <w:color w:val="auto"/>
          <w:szCs w:val="21"/>
          <w:highlight w:val="none"/>
        </w:rPr>
        <w:t>注：</w:t>
      </w:r>
    </w:p>
    <w:p>
      <w:pPr>
        <w:pStyle w:val="44"/>
        <w:numPr>
          <w:ilvl w:val="0"/>
          <w:numId w:val="14"/>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pPr>
        <w:pStyle w:val="44"/>
        <w:numPr>
          <w:ilvl w:val="0"/>
          <w:numId w:val="14"/>
        </w:numP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pPr>
        <w:rPr>
          <w:rFonts w:ascii="宋体" w:hAnsi="宋体"/>
          <w:color w:val="auto"/>
          <w:szCs w:val="21"/>
          <w:highlight w:val="none"/>
        </w:rPr>
      </w:pPr>
      <w:r>
        <w:rPr>
          <w:rFonts w:hint="eastAsia" w:ascii="宋体" w:hAnsi="宋体"/>
          <w:color w:val="auto"/>
          <w:szCs w:val="21"/>
          <w:highlight w:val="none"/>
        </w:rPr>
        <w:br w:type="page"/>
      </w:r>
    </w:p>
    <w:p>
      <w:pPr>
        <w:pStyle w:val="10"/>
        <w:rPr>
          <w:color w:val="auto"/>
          <w:szCs w:val="21"/>
          <w:highlight w:val="none"/>
        </w:rPr>
        <w:sectPr>
          <w:headerReference r:id="rId11" w:type="first"/>
          <w:footerReference r:id="rId13" w:type="first"/>
          <w:headerReference r:id="rId9" w:type="default"/>
          <w:footerReference r:id="rId12" w:type="default"/>
          <w:headerReference r:id="rId10" w:type="even"/>
          <w:pgSz w:w="11906" w:h="16838"/>
          <w:pgMar w:top="1440" w:right="1800" w:bottom="1440" w:left="1800" w:header="708" w:footer="708" w:gutter="0"/>
          <w:cols w:space="708" w:num="1"/>
          <w:titlePg/>
          <w:docGrid w:type="lines" w:linePitch="360" w:charSpace="0"/>
        </w:sectPr>
      </w:pPr>
    </w:p>
    <w:p>
      <w:pPr>
        <w:pStyle w:val="5"/>
        <w:widowControl w:val="0"/>
        <w:overflowPunct w:val="0"/>
        <w:spacing w:line="240" w:lineRule="auto"/>
        <w:rPr>
          <w:color w:val="auto"/>
          <w:highlight w:val="none"/>
        </w:rPr>
      </w:pPr>
      <w:bookmarkStart w:id="168" w:name="_Toc216705005"/>
      <w:r>
        <w:rPr>
          <w:rFonts w:hint="eastAsia" w:ascii="宋体" w:hAnsi="宋体"/>
          <w:color w:val="auto"/>
          <w:sz w:val="21"/>
          <w:szCs w:val="21"/>
          <w:highlight w:val="none"/>
        </w:rPr>
        <w:t>附件14.联合体协议书</w:t>
      </w:r>
      <w:r>
        <w:rPr>
          <w:rFonts w:hint="eastAsia"/>
          <w:color w:val="auto"/>
          <w:highlight w:val="none"/>
        </w:rPr>
        <w:t>（如有）</w:t>
      </w:r>
      <w:bookmarkEnd w:id="168"/>
    </w:p>
    <w:p>
      <w:pPr>
        <w:rPr>
          <w:color w:val="auto"/>
          <w:highlight w:val="none"/>
        </w:rPr>
      </w:pPr>
    </w:p>
    <w:p>
      <w:pPr>
        <w:jc w:val="center"/>
        <w:rPr>
          <w:rFonts w:hAnsi="宋体" w:cs="宋体"/>
          <w:color w:val="auto"/>
          <w:highlight w:val="none"/>
        </w:rPr>
      </w:pPr>
      <w:r>
        <w:rPr>
          <w:rFonts w:hint="eastAsia" w:hAnsi="宋体" w:cs="宋体"/>
          <w:b/>
          <w:bCs/>
          <w:color w:val="auto"/>
          <w:highlight w:val="none"/>
        </w:rPr>
        <w:t>联合体共同投标协议书</w:t>
      </w:r>
    </w:p>
    <w:p>
      <w:pPr>
        <w:jc w:val="center"/>
        <w:rPr>
          <w:rFonts w:hAnsi="宋体" w:cs="宋体"/>
          <w:color w:val="auto"/>
          <w:highlight w:val="none"/>
        </w:rPr>
      </w:pPr>
    </w:p>
    <w:p>
      <w:pPr>
        <w:rPr>
          <w:rFonts w:hAnsi="宋体" w:cs="宋体"/>
          <w:color w:val="auto"/>
          <w:szCs w:val="21"/>
          <w:highlight w:val="none"/>
        </w:rPr>
      </w:pPr>
      <w:r>
        <w:rPr>
          <w:rFonts w:hint="eastAsia" w:hAnsi="宋体" w:cs="宋体"/>
          <w:color w:val="auto"/>
          <w:szCs w:val="21"/>
          <w:highlight w:val="none"/>
        </w:rPr>
        <w:t>立约方：（甲公司全称）</w:t>
      </w:r>
    </w:p>
    <w:p>
      <w:pPr>
        <w:rPr>
          <w:rFonts w:hAnsi="宋体" w:cs="宋体"/>
          <w:color w:val="auto"/>
          <w:szCs w:val="21"/>
          <w:highlight w:val="none"/>
        </w:rPr>
      </w:pPr>
      <w:r>
        <w:rPr>
          <w:rFonts w:hint="eastAsia" w:hAnsi="宋体" w:cs="宋体"/>
          <w:color w:val="auto"/>
          <w:szCs w:val="21"/>
          <w:highlight w:val="none"/>
        </w:rPr>
        <w:t>（乙公司全称）</w:t>
      </w:r>
    </w:p>
    <w:p>
      <w:pPr>
        <w:rPr>
          <w:rFonts w:hAnsi="宋体" w:cs="宋体"/>
          <w:color w:val="auto"/>
          <w:szCs w:val="21"/>
          <w:highlight w:val="none"/>
        </w:rPr>
      </w:pPr>
      <w:r>
        <w:rPr>
          <w:rFonts w:hint="eastAsia" w:hAnsi="宋体" w:cs="宋体"/>
          <w:color w:val="auto"/>
          <w:szCs w:val="21"/>
          <w:highlight w:val="none"/>
        </w:rPr>
        <w:t>（……公司全称）</w:t>
      </w:r>
    </w:p>
    <w:p>
      <w:pP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的招标活动。经各方充分协商一致，就项目的投标和合同实施阶段的有关事务协商一致订立协议如下：</w:t>
      </w:r>
    </w:p>
    <w:p>
      <w:pPr>
        <w:rPr>
          <w:rFonts w:hAnsi="宋体" w:cs="宋体"/>
          <w:color w:val="auto"/>
          <w:szCs w:val="21"/>
          <w:highlight w:val="none"/>
        </w:rPr>
      </w:pPr>
      <w:r>
        <w:rPr>
          <w:rFonts w:hint="eastAsia" w:hAnsi="宋体" w:cs="宋体"/>
          <w:color w:val="auto"/>
          <w:szCs w:val="21"/>
          <w:highlight w:val="none"/>
        </w:rPr>
        <w:t>一、联合体各方关系</w:t>
      </w:r>
    </w:p>
    <w:p>
      <w:pP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pP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pPr>
        <w:rPr>
          <w:rFonts w:hAnsi="宋体" w:cs="宋体"/>
          <w:color w:val="auto"/>
          <w:szCs w:val="21"/>
          <w:highlight w:val="none"/>
        </w:rPr>
      </w:pPr>
      <w:r>
        <w:rPr>
          <w:rFonts w:hint="eastAsia" w:hAnsi="宋体" w:cs="宋体"/>
          <w:color w:val="auto"/>
          <w:szCs w:val="21"/>
          <w:highlight w:val="none"/>
        </w:rPr>
        <w:t>二、联合体内部有关事项约定如下：</w:t>
      </w:r>
    </w:p>
    <w:p>
      <w:pP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pP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pP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pPr>
        <w:rPr>
          <w:rFonts w:hAnsi="宋体" w:cs="宋体"/>
          <w:color w:val="auto"/>
          <w:szCs w:val="21"/>
          <w:highlight w:val="none"/>
        </w:rPr>
      </w:pPr>
      <w:r>
        <w:rPr>
          <w:rFonts w:hint="eastAsia" w:hAnsi="宋体" w:cs="宋体"/>
          <w:color w:val="auto"/>
          <w:szCs w:val="21"/>
          <w:highlight w:val="none"/>
        </w:rPr>
        <w:t>4.联合体各成员单位内部的职责分工如下：</w:t>
      </w:r>
    </w:p>
    <w:p>
      <w:pPr>
        <w:rPr>
          <w:rFonts w:hAnsi="宋体" w:cs="宋体"/>
          <w:color w:val="auto"/>
          <w:szCs w:val="21"/>
          <w:highlight w:val="none"/>
        </w:rPr>
      </w:pPr>
      <w:r>
        <w:rPr>
          <w:rFonts w:hint="eastAsia" w:hAnsi="宋体" w:cs="宋体"/>
          <w:color w:val="auto"/>
          <w:szCs w:val="21"/>
          <w:highlight w:val="none"/>
        </w:rPr>
        <w:t>（1）</w:t>
      </w:r>
    </w:p>
    <w:p>
      <w:pPr>
        <w:rPr>
          <w:color w:val="auto"/>
          <w:highlight w:val="none"/>
        </w:rPr>
      </w:pPr>
      <w:r>
        <w:rPr>
          <w:rFonts w:hint="eastAsia" w:hAnsi="宋体" w:cs="宋体"/>
          <w:color w:val="auto"/>
          <w:szCs w:val="21"/>
          <w:highlight w:val="none"/>
        </w:rPr>
        <w:t>（2）</w:t>
      </w:r>
    </w:p>
    <w:p>
      <w:pP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pP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pP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pP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pPr>
        <w:rPr>
          <w:rFonts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pPr>
        <w:rPr>
          <w:rFonts w:hAnsi="宋体" w:cs="宋体"/>
          <w:color w:val="auto"/>
          <w:szCs w:val="21"/>
          <w:highlight w:val="none"/>
        </w:rPr>
      </w:pPr>
    </w:p>
    <w:p>
      <w:pPr>
        <w:pStyle w:val="10"/>
        <w:rPr>
          <w:color w:val="auto"/>
          <w:sz w:val="21"/>
          <w:szCs w:val="21"/>
          <w:highlight w:val="none"/>
        </w:rPr>
      </w:pPr>
      <w:r>
        <w:rPr>
          <w:rFonts w:hint="eastAsia"/>
          <w:color w:val="auto"/>
          <w:sz w:val="21"/>
          <w:szCs w:val="21"/>
          <w:highlight w:val="none"/>
        </w:rPr>
        <w:t>注：本协议书由委托人签字的，应附法定代表人签字的授权委托书。</w:t>
      </w:r>
    </w:p>
    <w:p>
      <w:pPr>
        <w:pStyle w:val="10"/>
        <w:rPr>
          <w:color w:val="auto"/>
          <w:sz w:val="21"/>
          <w:szCs w:val="21"/>
          <w:highlight w:val="none"/>
        </w:rPr>
      </w:pPr>
      <w:r>
        <w:rPr>
          <w:rFonts w:hint="eastAsia"/>
          <w:color w:val="auto"/>
          <w:sz w:val="21"/>
          <w:szCs w:val="21"/>
          <w:highlight w:val="none"/>
        </w:rPr>
        <w:t>牵头人名称：_______________________（盖单位公章）</w:t>
      </w:r>
    </w:p>
    <w:p>
      <w:pPr>
        <w:pStyle w:val="10"/>
        <w:rPr>
          <w:color w:val="auto"/>
          <w:sz w:val="21"/>
          <w:szCs w:val="21"/>
          <w:highlight w:val="none"/>
        </w:rPr>
      </w:pPr>
      <w:r>
        <w:rPr>
          <w:rFonts w:hint="eastAsia"/>
          <w:color w:val="auto"/>
          <w:sz w:val="21"/>
          <w:szCs w:val="21"/>
          <w:highlight w:val="none"/>
        </w:rPr>
        <w:t>法定代表人或其委托代理人：_____________（签字）</w:t>
      </w:r>
    </w:p>
    <w:p>
      <w:pPr>
        <w:pStyle w:val="10"/>
        <w:rPr>
          <w:color w:val="auto"/>
          <w:sz w:val="21"/>
          <w:szCs w:val="21"/>
          <w:highlight w:val="none"/>
        </w:rPr>
      </w:pPr>
    </w:p>
    <w:p>
      <w:pPr>
        <w:pStyle w:val="10"/>
        <w:rPr>
          <w:color w:val="auto"/>
          <w:sz w:val="21"/>
          <w:szCs w:val="21"/>
          <w:highlight w:val="none"/>
        </w:rPr>
      </w:pPr>
      <w:r>
        <w:rPr>
          <w:rFonts w:hint="eastAsia"/>
          <w:color w:val="auto"/>
          <w:sz w:val="21"/>
          <w:szCs w:val="21"/>
          <w:highlight w:val="none"/>
        </w:rPr>
        <w:t>成员一名称：_______________________（盖单位公章）</w:t>
      </w:r>
    </w:p>
    <w:p>
      <w:pPr>
        <w:pStyle w:val="10"/>
        <w:rPr>
          <w:color w:val="auto"/>
          <w:sz w:val="21"/>
          <w:szCs w:val="21"/>
          <w:highlight w:val="none"/>
        </w:rPr>
      </w:pPr>
      <w:r>
        <w:rPr>
          <w:rFonts w:hint="eastAsia"/>
          <w:color w:val="auto"/>
          <w:sz w:val="21"/>
          <w:szCs w:val="21"/>
          <w:highlight w:val="none"/>
        </w:rPr>
        <w:t>法定代表人或其委托代理人：_____________（签字）</w:t>
      </w:r>
    </w:p>
    <w:p>
      <w:pPr>
        <w:pStyle w:val="10"/>
        <w:rPr>
          <w:color w:val="auto"/>
          <w:sz w:val="21"/>
          <w:szCs w:val="21"/>
          <w:highlight w:val="none"/>
        </w:rPr>
      </w:pPr>
    </w:p>
    <w:p>
      <w:pPr>
        <w:pStyle w:val="10"/>
        <w:rPr>
          <w:color w:val="auto"/>
          <w:sz w:val="21"/>
          <w:szCs w:val="21"/>
          <w:highlight w:val="none"/>
        </w:rPr>
      </w:pPr>
      <w:r>
        <w:rPr>
          <w:rFonts w:hint="eastAsia"/>
          <w:color w:val="auto"/>
          <w:sz w:val="21"/>
          <w:szCs w:val="21"/>
          <w:highlight w:val="none"/>
        </w:rPr>
        <w:t>成员二名称：_______________________（盖单位公章）</w:t>
      </w:r>
    </w:p>
    <w:p>
      <w:pPr>
        <w:pStyle w:val="10"/>
        <w:rPr>
          <w:color w:val="auto"/>
          <w:sz w:val="21"/>
          <w:szCs w:val="21"/>
          <w:highlight w:val="none"/>
        </w:rPr>
      </w:pPr>
      <w:r>
        <w:rPr>
          <w:rFonts w:hint="eastAsia"/>
          <w:color w:val="auto"/>
          <w:sz w:val="21"/>
          <w:szCs w:val="21"/>
          <w:highlight w:val="none"/>
        </w:rPr>
        <w:t>法定代表人或其委托代理人：_____________（签字）</w:t>
      </w:r>
    </w:p>
    <w:p>
      <w:pPr>
        <w:pStyle w:val="10"/>
        <w:ind w:firstLine="210" w:firstLineChars="100"/>
        <w:jc w:val="both"/>
        <w:rPr>
          <w:color w:val="auto"/>
          <w:sz w:val="21"/>
          <w:szCs w:val="21"/>
          <w:highlight w:val="none"/>
        </w:rPr>
      </w:pPr>
      <w:r>
        <w:rPr>
          <w:rFonts w:hint="eastAsia"/>
          <w:color w:val="auto"/>
          <w:sz w:val="21"/>
          <w:szCs w:val="21"/>
          <w:highlight w:val="none"/>
        </w:rPr>
        <w:t>……</w:t>
      </w:r>
    </w:p>
    <w:p>
      <w:pPr>
        <w:pStyle w:val="10"/>
        <w:rPr>
          <w:color w:val="auto"/>
          <w:highlight w:val="none"/>
          <w:lang w:val="en-US"/>
        </w:rPr>
        <w:sectPr>
          <w:pgSz w:w="11906" w:h="16838"/>
          <w:pgMar w:top="1440" w:right="1800" w:bottom="1440" w:left="1800" w:header="708" w:footer="708" w:gutter="0"/>
          <w:cols w:space="708" w:num="1"/>
          <w:titlePg/>
          <w:docGrid w:type="lines" w:linePitch="360" w:charSpace="0"/>
        </w:sectPr>
      </w:pPr>
      <w:r>
        <w:rPr>
          <w:rFonts w:hint="eastAsia"/>
          <w:color w:val="auto"/>
          <w:sz w:val="21"/>
          <w:szCs w:val="21"/>
          <w:highlight w:val="none"/>
        </w:rPr>
        <w:t xml:space="preserve">        年     月     日</w:t>
      </w:r>
    </w:p>
    <w:p>
      <w:pPr>
        <w:pStyle w:val="10"/>
        <w:rPr>
          <w:color w:val="auto"/>
          <w:highlight w:val="none"/>
        </w:rPr>
      </w:pPr>
    </w:p>
    <w:p>
      <w:pPr>
        <w:pStyle w:val="3"/>
        <w:spacing w:before="0" w:after="0" w:line="360" w:lineRule="auto"/>
        <w:jc w:val="center"/>
        <w:rPr>
          <w:color w:val="auto"/>
          <w:sz w:val="72"/>
          <w:szCs w:val="72"/>
          <w:highlight w:val="none"/>
        </w:rPr>
      </w:pPr>
      <w:bookmarkStart w:id="169" w:name="_Toc216705006"/>
      <w:r>
        <w:rPr>
          <w:rFonts w:hint="eastAsia"/>
          <w:color w:val="auto"/>
          <w:sz w:val="72"/>
          <w:szCs w:val="72"/>
          <w:highlight w:val="none"/>
        </w:rPr>
        <w:t>技术文件</w:t>
      </w:r>
      <w:bookmarkEnd w:id="169"/>
    </w:p>
    <w:p>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pPr>
        <w:rPr>
          <w:color w:val="auto"/>
          <w:highlight w:val="none"/>
        </w:rPr>
      </w:pPr>
    </w:p>
    <w:p>
      <w:pPr>
        <w:pStyle w:val="10"/>
        <w:rPr>
          <w:color w:val="auto"/>
          <w:highlight w:val="none"/>
        </w:rPr>
      </w:pPr>
    </w:p>
    <w:p>
      <w:pPr>
        <w:pStyle w:val="29"/>
        <w:ind w:firstLine="240"/>
        <w:rPr>
          <w:color w:val="auto"/>
          <w:highlight w:val="none"/>
        </w:rPr>
      </w:pPr>
    </w:p>
    <w:p>
      <w:pPr>
        <w:rPr>
          <w:b/>
          <w:bCs/>
          <w:color w:val="auto"/>
          <w:sz w:val="32"/>
          <w:szCs w:val="32"/>
          <w:highlight w:val="none"/>
        </w:rPr>
      </w:pPr>
      <w:r>
        <w:rPr>
          <w:rFonts w:hint="eastAsia"/>
          <w:b/>
          <w:bCs/>
          <w:color w:val="auto"/>
          <w:sz w:val="32"/>
          <w:szCs w:val="32"/>
          <w:highlight w:val="none"/>
        </w:rPr>
        <w:t>项目名称：</w:t>
      </w:r>
    </w:p>
    <w:p>
      <w:pPr>
        <w:rPr>
          <w:b/>
          <w:bCs/>
          <w:color w:val="auto"/>
          <w:sz w:val="32"/>
          <w:szCs w:val="32"/>
          <w:highlight w:val="none"/>
        </w:rPr>
      </w:pPr>
      <w:r>
        <w:rPr>
          <w:rFonts w:hint="eastAsia"/>
          <w:b/>
          <w:bCs/>
          <w:color w:val="auto"/>
          <w:sz w:val="32"/>
          <w:szCs w:val="32"/>
          <w:highlight w:val="none"/>
        </w:rPr>
        <w:t>项目编号：</w:t>
      </w:r>
    </w:p>
    <w:p>
      <w:pPr>
        <w:rPr>
          <w:b/>
          <w:bCs/>
          <w:color w:val="auto"/>
          <w:sz w:val="32"/>
          <w:szCs w:val="32"/>
          <w:highlight w:val="none"/>
        </w:rPr>
      </w:pPr>
      <w:r>
        <w:rPr>
          <w:b/>
          <w:bCs/>
          <w:color w:val="auto"/>
          <w:sz w:val="32"/>
          <w:szCs w:val="32"/>
          <w:highlight w:val="none"/>
          <w:lang w:val="en-US"/>
        </w:rPr>
        <w:t>包组号（如有）：</w:t>
      </w:r>
    </w:p>
    <w:p>
      <w:pPr>
        <w:rPr>
          <w:b/>
          <w:bCs/>
          <w:color w:val="auto"/>
          <w:sz w:val="32"/>
          <w:szCs w:val="32"/>
          <w:highlight w:val="none"/>
        </w:rPr>
      </w:pPr>
      <w:r>
        <w:rPr>
          <w:rFonts w:hint="eastAsia"/>
          <w:b/>
          <w:bCs/>
          <w:color w:val="auto"/>
          <w:sz w:val="32"/>
          <w:szCs w:val="32"/>
          <w:highlight w:val="none"/>
        </w:rPr>
        <w:t>投标人名称：</w:t>
      </w:r>
    </w:p>
    <w:p>
      <w:pPr>
        <w:rPr>
          <w:b/>
          <w:bCs/>
          <w:color w:val="auto"/>
          <w:sz w:val="32"/>
          <w:szCs w:val="32"/>
          <w:highlight w:val="none"/>
        </w:rPr>
      </w:pPr>
      <w:r>
        <w:rPr>
          <w:rFonts w:hint="eastAsia"/>
          <w:b/>
          <w:bCs/>
          <w:color w:val="auto"/>
          <w:sz w:val="32"/>
          <w:szCs w:val="32"/>
          <w:highlight w:val="none"/>
        </w:rPr>
        <w:t>日    期：</w:t>
      </w:r>
    </w:p>
    <w:p>
      <w:pPr>
        <w:rPr>
          <w:rFonts w:ascii="宋体" w:hAnsi="宋体"/>
          <w:color w:val="auto"/>
          <w:szCs w:val="21"/>
          <w:highlight w:val="none"/>
        </w:rPr>
      </w:pPr>
      <w:r>
        <w:rPr>
          <w:rFonts w:hint="eastAsia" w:ascii="宋体" w:hAnsi="宋体"/>
          <w:color w:val="auto"/>
          <w:spacing w:val="1390"/>
          <w:w w:val="100"/>
          <w:kern w:val="0"/>
          <w:szCs w:val="21"/>
          <w:highlight w:val="none"/>
          <w:fitText w:val="1600" w:id="2061173831"/>
        </w:rPr>
        <w:br w:type="page"/>
      </w:r>
    </w:p>
    <w:p>
      <w:pPr>
        <w:pStyle w:val="5"/>
        <w:widowControl w:val="0"/>
        <w:overflowPunct w:val="0"/>
        <w:spacing w:line="240" w:lineRule="auto"/>
        <w:rPr>
          <w:rFonts w:ascii="宋体" w:hAnsi="宋体"/>
          <w:color w:val="auto"/>
          <w:sz w:val="21"/>
          <w:szCs w:val="21"/>
          <w:highlight w:val="none"/>
        </w:rPr>
      </w:pPr>
      <w:bookmarkStart w:id="170" w:name="_Toc216705007"/>
      <w:r>
        <w:rPr>
          <w:rFonts w:hint="eastAsia" w:ascii="宋体" w:hAnsi="宋体"/>
          <w:color w:val="auto"/>
          <w:sz w:val="21"/>
          <w:szCs w:val="21"/>
          <w:highlight w:val="none"/>
        </w:rPr>
        <w:t>附件15. 技术规格偏离表格式</w:t>
      </w:r>
      <w:bookmarkEnd w:id="170"/>
    </w:p>
    <w:p>
      <w:pPr>
        <w:jc w:val="center"/>
        <w:rPr>
          <w:rFonts w:ascii="黑体" w:eastAsia="黑体"/>
          <w:color w:val="auto"/>
          <w:sz w:val="28"/>
          <w:szCs w:val="28"/>
          <w:highlight w:val="none"/>
        </w:rPr>
      </w:pPr>
    </w:p>
    <w:p>
      <w:pP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pP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pP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pP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pPr>
              <w:jc w:val="center"/>
              <w:rPr>
                <w:rFonts w:ascii="宋体" w:hAnsi="宋体"/>
                <w:color w:val="auto"/>
                <w:szCs w:val="21"/>
                <w:highlight w:val="none"/>
              </w:rPr>
            </w:pPr>
            <w:r>
              <w:rPr>
                <w:rFonts w:hint="eastAsia" w:ascii="宋体" w:hAnsi="宋体"/>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jc w:val="center"/>
              <w:rPr>
                <w:rFonts w:ascii="宋体" w:hAnsi="宋体"/>
                <w:color w:val="auto"/>
                <w:szCs w:val="21"/>
                <w:highlight w:val="none"/>
              </w:rPr>
            </w:pPr>
          </w:p>
        </w:tc>
        <w:tc>
          <w:tcPr>
            <w:tcW w:w="1902" w:type="dxa"/>
            <w:vAlign w:val="center"/>
          </w:tcPr>
          <w:p>
            <w:pPr>
              <w:jc w:val="center"/>
              <w:rPr>
                <w:rFonts w:ascii="宋体" w:hAnsi="宋体"/>
                <w:color w:val="auto"/>
                <w:szCs w:val="21"/>
                <w:highlight w:val="none"/>
              </w:rPr>
            </w:pPr>
          </w:p>
        </w:tc>
        <w:tc>
          <w:tcPr>
            <w:tcW w:w="1370" w:type="dxa"/>
            <w:vAlign w:val="center"/>
          </w:tcPr>
          <w:p>
            <w:pPr>
              <w:jc w:val="center"/>
              <w:rPr>
                <w:rFonts w:ascii="宋体" w:hAnsi="宋体"/>
                <w:color w:val="auto"/>
                <w:szCs w:val="21"/>
                <w:highlight w:val="none"/>
              </w:rPr>
            </w:pPr>
          </w:p>
        </w:tc>
        <w:tc>
          <w:tcPr>
            <w:tcW w:w="1629" w:type="dxa"/>
            <w:vAlign w:val="center"/>
          </w:tcPr>
          <w:p>
            <w:pPr>
              <w:jc w:val="center"/>
              <w:rPr>
                <w:rFonts w:ascii="宋体" w:hAnsi="宋体"/>
                <w:color w:val="auto"/>
                <w:szCs w:val="21"/>
                <w:highlight w:val="none"/>
              </w:rPr>
            </w:pPr>
          </w:p>
        </w:tc>
        <w:tc>
          <w:tcPr>
            <w:tcW w:w="1239" w:type="dxa"/>
            <w:vAlign w:val="center"/>
          </w:tcPr>
          <w:p>
            <w:pPr>
              <w:jc w:val="center"/>
              <w:rPr>
                <w:rFonts w:ascii="宋体" w:hAnsi="宋体"/>
                <w:color w:val="auto"/>
                <w:szCs w:val="21"/>
                <w:highlight w:val="none"/>
              </w:rPr>
            </w:pPr>
          </w:p>
        </w:tc>
        <w:tc>
          <w:tcPr>
            <w:tcW w:w="1544" w:type="dxa"/>
            <w:vAlign w:val="center"/>
          </w:tcPr>
          <w:p>
            <w:pPr>
              <w:jc w:val="center"/>
              <w:rPr>
                <w:rFonts w:ascii="宋体" w:hAnsi="宋体"/>
                <w:color w:val="auto"/>
                <w:szCs w:val="21"/>
                <w:highlight w:val="none"/>
              </w:rPr>
            </w:pPr>
          </w:p>
        </w:tc>
      </w:tr>
    </w:tbl>
    <w:p>
      <w:pPr>
        <w:rPr>
          <w:rFonts w:ascii="宋体" w:hAnsi="宋体"/>
          <w:color w:val="auto"/>
          <w:szCs w:val="21"/>
          <w:highlight w:val="none"/>
        </w:rPr>
      </w:pPr>
    </w:p>
    <w:p>
      <w:pPr>
        <w:rPr>
          <w:rFonts w:ascii="宋体" w:hAnsi="宋体"/>
          <w:color w:val="auto"/>
          <w:szCs w:val="21"/>
          <w:highlight w:val="none"/>
        </w:rPr>
      </w:pPr>
      <w:r>
        <w:rPr>
          <w:rFonts w:hint="eastAsia" w:ascii="宋体" w:hAnsi="宋体"/>
          <w:color w:val="auto"/>
          <w:szCs w:val="21"/>
          <w:highlight w:val="none"/>
        </w:rPr>
        <w:t>投标人代表签字：</w:t>
      </w:r>
    </w:p>
    <w:p>
      <w:pPr>
        <w:rPr>
          <w:rFonts w:ascii="宋体" w:hAnsi="宋体"/>
          <w:color w:val="auto"/>
          <w:szCs w:val="21"/>
          <w:highlight w:val="none"/>
        </w:rPr>
      </w:pPr>
      <w:r>
        <w:rPr>
          <w:rFonts w:hint="eastAsia" w:ascii="宋体" w:hAnsi="宋体"/>
          <w:color w:val="auto"/>
          <w:szCs w:val="21"/>
          <w:highlight w:val="none"/>
        </w:rPr>
        <w:t>投标人盖章：</w:t>
      </w:r>
    </w:p>
    <w:p>
      <w:pPr>
        <w:ind w:firstLine="178" w:firstLineChars="85"/>
        <w:rPr>
          <w:rFonts w:ascii="宋体" w:hAnsi="宋体"/>
          <w:color w:val="auto"/>
          <w:szCs w:val="21"/>
          <w:highlight w:val="none"/>
        </w:rPr>
      </w:pPr>
    </w:p>
    <w:p>
      <w:pPr>
        <w:rPr>
          <w:rFonts w:ascii="宋体" w:hAnsi="宋体"/>
          <w:color w:val="auto"/>
          <w:szCs w:val="21"/>
          <w:highlight w:val="none"/>
        </w:rPr>
      </w:pPr>
      <w:r>
        <w:rPr>
          <w:rFonts w:hint="eastAsia" w:ascii="宋体" w:hAnsi="宋体"/>
          <w:color w:val="auto"/>
          <w:szCs w:val="21"/>
          <w:highlight w:val="none"/>
        </w:rPr>
        <w:t>注：</w:t>
      </w:r>
    </w:p>
    <w:p>
      <w:pP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pPr>
        <w:adjustRightInd/>
        <w:snapToGrid/>
        <w:spacing w:line="276" w:lineRule="auto"/>
        <w:rPr>
          <w:color w:val="auto"/>
          <w:highlight w:val="none"/>
        </w:rPr>
      </w:pPr>
    </w:p>
    <w:p>
      <w:pPr>
        <w:adjustRightInd/>
        <w:snapToGrid/>
        <w:spacing w:line="276" w:lineRule="auto"/>
        <w:rPr>
          <w:color w:val="auto"/>
          <w:highlight w:val="none"/>
        </w:rPr>
      </w:pPr>
    </w:p>
    <w:p>
      <w:pPr>
        <w:rPr>
          <w:rFonts w:ascii="宋体" w:hAnsi="宋体"/>
          <w:color w:val="auto"/>
          <w:szCs w:val="21"/>
          <w:highlight w:val="none"/>
        </w:rPr>
      </w:pPr>
      <w:bookmarkStart w:id="171" w:name="_Toc17691"/>
      <w:r>
        <w:rPr>
          <w:rFonts w:hint="eastAsia" w:ascii="宋体" w:hAnsi="宋体"/>
          <w:color w:val="auto"/>
          <w:szCs w:val="21"/>
          <w:highlight w:val="none"/>
        </w:rPr>
        <w:br w:type="page"/>
      </w:r>
    </w:p>
    <w:bookmarkEnd w:id="171"/>
    <w:p>
      <w:pPr>
        <w:pStyle w:val="5"/>
        <w:widowControl w:val="0"/>
        <w:overflowPunct w:val="0"/>
        <w:spacing w:line="240" w:lineRule="auto"/>
        <w:rPr>
          <w:rFonts w:ascii="宋体" w:hAnsi="宋体"/>
          <w:color w:val="auto"/>
          <w:sz w:val="21"/>
          <w:szCs w:val="21"/>
          <w:highlight w:val="none"/>
        </w:rPr>
      </w:pPr>
      <w:bookmarkStart w:id="172" w:name="_Toc216705008"/>
      <w:r>
        <w:rPr>
          <w:rFonts w:hint="eastAsia" w:ascii="宋体" w:hAnsi="宋体"/>
          <w:color w:val="auto"/>
          <w:sz w:val="21"/>
          <w:szCs w:val="21"/>
          <w:highlight w:val="none"/>
        </w:rPr>
        <w:t>附件16.项目实施方案格式</w:t>
      </w:r>
      <w:bookmarkEnd w:id="172"/>
    </w:p>
    <w:p>
      <w:pPr>
        <w:jc w:val="center"/>
        <w:rPr>
          <w:rFonts w:ascii="黑体" w:eastAsia="黑体"/>
          <w:color w:val="auto"/>
          <w:sz w:val="32"/>
          <w:szCs w:val="32"/>
          <w:highlight w:val="none"/>
        </w:rPr>
      </w:pPr>
    </w:p>
    <w:p>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pPr>
        <w:jc w:val="center"/>
        <w:rPr>
          <w:rFonts w:ascii="黑体" w:eastAsia="黑体"/>
          <w:color w:val="auto"/>
          <w:sz w:val="32"/>
          <w:szCs w:val="32"/>
          <w:highlight w:val="none"/>
        </w:rPr>
      </w:pPr>
    </w:p>
    <w:p>
      <w:pPr>
        <w:ind w:left="718" w:leftChars="200" w:hanging="298" w:hangingChars="142"/>
        <w:rPr>
          <w:rFonts w:ascii="宋体" w:hAnsi="宋体"/>
          <w:color w:val="auto"/>
          <w:szCs w:val="21"/>
          <w:highlight w:val="none"/>
        </w:rPr>
      </w:pPr>
      <w:r>
        <w:rPr>
          <w:rFonts w:hint="eastAsia" w:ascii="宋体" w:hAnsi="宋体"/>
          <w:color w:val="auto"/>
          <w:szCs w:val="21"/>
          <w:highlight w:val="none"/>
        </w:rPr>
        <w:t>1、为完成本项目投标人临时投入的设备</w:t>
      </w:r>
    </w:p>
    <w:p>
      <w:pPr>
        <w:ind w:left="718" w:leftChars="200" w:hanging="298" w:hangingChars="142"/>
        <w:rPr>
          <w:rFonts w:ascii="宋体" w:hAnsi="宋体"/>
          <w:color w:val="auto"/>
          <w:szCs w:val="21"/>
          <w:highlight w:val="none"/>
        </w:rPr>
      </w:pPr>
      <w:r>
        <w:rPr>
          <w:rFonts w:hint="eastAsia" w:ascii="宋体" w:hAnsi="宋体"/>
          <w:color w:val="auto"/>
          <w:szCs w:val="21"/>
          <w:highlight w:val="none"/>
        </w:rPr>
        <w:t>2、为完成本项目投标人投入的人员以及具体工作安排</w:t>
      </w:r>
    </w:p>
    <w:p>
      <w:pPr>
        <w:ind w:left="718" w:leftChars="200" w:hanging="298" w:hangingChars="142"/>
        <w:rPr>
          <w:rFonts w:ascii="宋体" w:hAnsi="宋体"/>
          <w:color w:val="auto"/>
          <w:szCs w:val="21"/>
          <w:highlight w:val="none"/>
        </w:rPr>
      </w:pPr>
      <w:r>
        <w:rPr>
          <w:rFonts w:hint="eastAsia" w:ascii="宋体" w:hAnsi="宋体"/>
          <w:color w:val="auto"/>
          <w:szCs w:val="21"/>
          <w:highlight w:val="none"/>
        </w:rPr>
        <w:t>3、投标人为本项目制定的具体项目实施方案与项目实施流程</w:t>
      </w:r>
    </w:p>
    <w:p>
      <w:pPr>
        <w:ind w:left="718" w:leftChars="200" w:hanging="298" w:hangingChars="142"/>
        <w:rPr>
          <w:rFonts w:ascii="宋体" w:hAnsi="宋体"/>
          <w:color w:val="auto"/>
          <w:szCs w:val="21"/>
          <w:highlight w:val="none"/>
        </w:rPr>
      </w:pPr>
      <w:r>
        <w:rPr>
          <w:rFonts w:hint="eastAsia" w:ascii="宋体" w:hAnsi="宋体"/>
          <w:color w:val="auto"/>
          <w:szCs w:val="21"/>
          <w:highlight w:val="none"/>
        </w:rPr>
        <w:t>4、服务方案</w:t>
      </w:r>
    </w:p>
    <w:p>
      <w:pPr>
        <w:ind w:left="718" w:leftChars="200" w:hanging="298" w:hangingChars="142"/>
        <w:rPr>
          <w:rFonts w:ascii="宋体" w:hAnsi="宋体"/>
          <w:color w:val="auto"/>
          <w:szCs w:val="21"/>
          <w:highlight w:val="none"/>
        </w:rPr>
      </w:pPr>
      <w:r>
        <w:rPr>
          <w:rFonts w:hint="eastAsia" w:ascii="宋体" w:hAnsi="宋体"/>
          <w:color w:val="auto"/>
          <w:szCs w:val="21"/>
          <w:highlight w:val="none"/>
        </w:rPr>
        <w:t>5、..........</w:t>
      </w:r>
    </w:p>
    <w:p>
      <w:pP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rPr>
        <w:t>自行编写。</w:t>
      </w:r>
    </w:p>
    <w:p>
      <w:pPr>
        <w:ind w:left="718" w:leftChars="200" w:hanging="298" w:hangingChars="142"/>
        <w:rPr>
          <w:rFonts w:ascii="宋体" w:hAnsi="宋体"/>
          <w:color w:val="auto"/>
          <w:szCs w:val="21"/>
          <w:highlight w:val="none"/>
        </w:rPr>
      </w:pPr>
    </w:p>
    <w:p>
      <w:pPr>
        <w:ind w:left="718" w:leftChars="200" w:hanging="298" w:hangingChars="142"/>
        <w:rPr>
          <w:rFonts w:ascii="宋体" w:hAnsi="宋体"/>
          <w:color w:val="auto"/>
          <w:szCs w:val="21"/>
          <w:highlight w:val="none"/>
        </w:rPr>
      </w:pPr>
    </w:p>
    <w:p>
      <w:pP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pPr>
        <w:pStyle w:val="5"/>
        <w:widowControl w:val="0"/>
        <w:overflowPunct w:val="0"/>
        <w:spacing w:line="240" w:lineRule="auto"/>
        <w:rPr>
          <w:rFonts w:ascii="宋体" w:hAnsi="宋体"/>
          <w:color w:val="auto"/>
          <w:sz w:val="21"/>
          <w:szCs w:val="21"/>
          <w:highlight w:val="none"/>
        </w:rPr>
      </w:pPr>
      <w:bookmarkStart w:id="173" w:name="_Toc216705009"/>
      <w:r>
        <w:rPr>
          <w:rFonts w:hint="eastAsia" w:ascii="宋体" w:hAnsi="宋体"/>
          <w:color w:val="auto"/>
          <w:sz w:val="21"/>
          <w:szCs w:val="21"/>
          <w:highlight w:val="none"/>
        </w:rPr>
        <w:t>附件17.实施本项目的有关人员资料表格式</w:t>
      </w:r>
      <w:bookmarkEnd w:id="173"/>
    </w:p>
    <w:p>
      <w:pPr>
        <w:jc w:val="center"/>
        <w:rPr>
          <w:rFonts w:ascii="宋体" w:hAnsi="宋体"/>
          <w:color w:val="auto"/>
          <w:szCs w:val="21"/>
          <w:highlight w:val="none"/>
        </w:rPr>
      </w:pPr>
    </w:p>
    <w:p>
      <w:pP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jc w:val="center"/>
              <w:rPr>
                <w:rFonts w:ascii="宋体" w:hAnsi="宋体"/>
                <w:color w:val="auto"/>
                <w:szCs w:val="21"/>
                <w:highlight w:val="none"/>
              </w:rPr>
            </w:pPr>
            <w:r>
              <w:rPr>
                <w:rFonts w:hint="eastAsia" w:ascii="宋体" w:hAnsi="宋体"/>
                <w:color w:val="auto"/>
                <w:szCs w:val="21"/>
                <w:highlight w:val="none"/>
              </w:rPr>
              <w:t>序号</w:t>
            </w:r>
          </w:p>
        </w:tc>
        <w:tc>
          <w:tcPr>
            <w:tcW w:w="412" w:type="pct"/>
            <w:vAlign w:val="center"/>
          </w:tcPr>
          <w:p>
            <w:pPr>
              <w:jc w:val="center"/>
              <w:rPr>
                <w:rFonts w:ascii="宋体" w:hAnsi="宋体"/>
                <w:color w:val="auto"/>
                <w:szCs w:val="21"/>
                <w:highlight w:val="none"/>
              </w:rPr>
            </w:pPr>
            <w:r>
              <w:rPr>
                <w:rFonts w:hint="eastAsia" w:ascii="宋体" w:hAnsi="宋体"/>
                <w:color w:val="auto"/>
                <w:szCs w:val="21"/>
                <w:highlight w:val="none"/>
              </w:rPr>
              <w:t>姓名</w:t>
            </w:r>
          </w:p>
        </w:tc>
        <w:tc>
          <w:tcPr>
            <w:tcW w:w="1092" w:type="pct"/>
            <w:vAlign w:val="center"/>
          </w:tcPr>
          <w:p>
            <w:pPr>
              <w:jc w:val="center"/>
              <w:rPr>
                <w:rFonts w:ascii="宋体" w:hAnsi="宋体"/>
                <w:color w:val="auto"/>
                <w:szCs w:val="21"/>
                <w:highlight w:val="none"/>
              </w:rPr>
            </w:pPr>
            <w:r>
              <w:rPr>
                <w:rFonts w:hint="eastAsia" w:ascii="宋体" w:hAnsi="宋体"/>
                <w:color w:val="auto"/>
                <w:szCs w:val="21"/>
                <w:highlight w:val="none"/>
              </w:rPr>
              <w:t>本项目拟任岗位</w:t>
            </w:r>
          </w:p>
        </w:tc>
        <w:tc>
          <w:tcPr>
            <w:tcW w:w="412" w:type="pct"/>
            <w:vAlign w:val="center"/>
          </w:tcPr>
          <w:p>
            <w:pPr>
              <w:jc w:val="center"/>
              <w:rPr>
                <w:rFonts w:ascii="宋体" w:hAnsi="宋体"/>
                <w:color w:val="auto"/>
                <w:szCs w:val="21"/>
                <w:highlight w:val="none"/>
              </w:rPr>
            </w:pPr>
            <w:r>
              <w:rPr>
                <w:rFonts w:hint="eastAsia" w:ascii="宋体" w:hAnsi="宋体"/>
                <w:color w:val="auto"/>
                <w:szCs w:val="21"/>
                <w:highlight w:val="none"/>
              </w:rPr>
              <w:t>性别</w:t>
            </w:r>
          </w:p>
        </w:tc>
        <w:tc>
          <w:tcPr>
            <w:tcW w:w="412" w:type="pct"/>
            <w:vAlign w:val="center"/>
          </w:tcPr>
          <w:p>
            <w:pPr>
              <w:jc w:val="center"/>
              <w:rPr>
                <w:rFonts w:ascii="宋体" w:hAnsi="宋体"/>
                <w:color w:val="auto"/>
                <w:szCs w:val="21"/>
                <w:highlight w:val="none"/>
              </w:rPr>
            </w:pPr>
            <w:r>
              <w:rPr>
                <w:rFonts w:hint="eastAsia" w:ascii="宋体" w:hAnsi="宋体"/>
                <w:color w:val="auto"/>
                <w:szCs w:val="21"/>
                <w:highlight w:val="none"/>
              </w:rPr>
              <w:t>年龄</w:t>
            </w:r>
          </w:p>
        </w:tc>
        <w:tc>
          <w:tcPr>
            <w:tcW w:w="683" w:type="pct"/>
            <w:vAlign w:val="center"/>
          </w:tcPr>
          <w:p>
            <w:pPr>
              <w:jc w:val="center"/>
              <w:rPr>
                <w:rFonts w:ascii="宋体" w:hAnsi="宋体"/>
                <w:color w:val="auto"/>
                <w:szCs w:val="21"/>
                <w:highlight w:val="none"/>
              </w:rPr>
            </w:pPr>
            <w:r>
              <w:rPr>
                <w:rFonts w:hint="eastAsia" w:ascii="宋体" w:hAnsi="宋体"/>
                <w:color w:val="auto"/>
                <w:szCs w:val="21"/>
                <w:highlight w:val="none"/>
              </w:rPr>
              <w:t>技术职称</w:t>
            </w:r>
          </w:p>
        </w:tc>
        <w:tc>
          <w:tcPr>
            <w:tcW w:w="480" w:type="pct"/>
            <w:vAlign w:val="center"/>
          </w:tcPr>
          <w:p>
            <w:pPr>
              <w:jc w:val="center"/>
              <w:rPr>
                <w:rFonts w:ascii="宋体" w:hAnsi="宋体"/>
                <w:color w:val="auto"/>
                <w:szCs w:val="21"/>
                <w:highlight w:val="none"/>
              </w:rPr>
            </w:pPr>
            <w:r>
              <w:rPr>
                <w:rFonts w:hint="eastAsia" w:ascii="宋体" w:hAnsi="宋体"/>
                <w:color w:val="auto"/>
                <w:szCs w:val="21"/>
                <w:highlight w:val="none"/>
              </w:rPr>
              <w:t>专 业</w:t>
            </w:r>
          </w:p>
        </w:tc>
        <w:tc>
          <w:tcPr>
            <w:tcW w:w="683" w:type="pct"/>
            <w:vAlign w:val="center"/>
          </w:tcPr>
          <w:p>
            <w:pPr>
              <w:jc w:val="center"/>
              <w:rPr>
                <w:rFonts w:ascii="宋体" w:hAnsi="宋体"/>
                <w:color w:val="auto"/>
                <w:szCs w:val="21"/>
                <w:highlight w:val="none"/>
              </w:rPr>
            </w:pPr>
            <w:r>
              <w:rPr>
                <w:rFonts w:hint="eastAsia" w:ascii="宋体" w:hAnsi="宋体"/>
                <w:color w:val="auto"/>
                <w:szCs w:val="21"/>
                <w:highlight w:val="none"/>
              </w:rPr>
              <w:t>资质证书</w:t>
            </w:r>
          </w:p>
        </w:tc>
        <w:tc>
          <w:tcPr>
            <w:tcW w:w="412" w:type="pct"/>
            <w:tcBorders>
              <w:right w:val="single" w:color="auto" w:sz="6" w:space="0"/>
            </w:tcBorders>
            <w:vAlign w:val="center"/>
          </w:tcPr>
          <w:p>
            <w:pPr>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109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412"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80" w:type="pct"/>
            <w:vAlign w:val="center"/>
          </w:tcPr>
          <w:p>
            <w:pPr>
              <w:spacing w:line="288" w:lineRule="auto"/>
              <w:jc w:val="center"/>
              <w:rPr>
                <w:rFonts w:ascii="宋体" w:hAnsi="宋体"/>
                <w:color w:val="auto"/>
                <w:szCs w:val="21"/>
                <w:highlight w:val="none"/>
              </w:rPr>
            </w:pPr>
          </w:p>
        </w:tc>
        <w:tc>
          <w:tcPr>
            <w:tcW w:w="683" w:type="pct"/>
            <w:vAlign w:val="center"/>
          </w:tcPr>
          <w:p>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pPr>
              <w:spacing w:line="288" w:lineRule="auto"/>
              <w:jc w:val="center"/>
              <w:rPr>
                <w:rFonts w:ascii="宋体" w:hAnsi="宋体"/>
                <w:color w:val="auto"/>
                <w:szCs w:val="21"/>
                <w:highlight w:val="none"/>
              </w:rPr>
            </w:pPr>
          </w:p>
        </w:tc>
      </w:tr>
    </w:tbl>
    <w:p>
      <w:pPr>
        <w:ind w:firstLine="178" w:firstLineChars="85"/>
        <w:rPr>
          <w:rFonts w:ascii="宋体" w:hAnsi="宋体"/>
          <w:color w:val="auto"/>
          <w:szCs w:val="21"/>
          <w:highlight w:val="none"/>
        </w:rPr>
      </w:pPr>
    </w:p>
    <w:p>
      <w:pP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pP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pPr>
        <w:ind w:firstLine="178" w:firstLineChars="85"/>
        <w:rPr>
          <w:rFonts w:ascii="宋体" w:hAnsi="宋体"/>
          <w:color w:val="auto"/>
          <w:szCs w:val="21"/>
          <w:highlight w:val="none"/>
        </w:rPr>
      </w:pPr>
      <w:r>
        <w:rPr>
          <w:rFonts w:hint="eastAsia" w:ascii="宋体" w:hAnsi="宋体"/>
          <w:color w:val="auto"/>
          <w:szCs w:val="21"/>
          <w:highlight w:val="none"/>
        </w:rPr>
        <w:t>投标人盖章：</w:t>
      </w:r>
    </w:p>
    <w:p>
      <w:pPr>
        <w:rPr>
          <w:rFonts w:ascii="宋体" w:hAnsi="宋体"/>
          <w:color w:val="auto"/>
          <w:szCs w:val="21"/>
          <w:highlight w:val="none"/>
        </w:rPr>
      </w:pPr>
      <w:r>
        <w:rPr>
          <w:rFonts w:hint="eastAsia" w:ascii="宋体" w:hAnsi="宋体"/>
          <w:color w:val="auto"/>
          <w:szCs w:val="21"/>
          <w:highlight w:val="none"/>
        </w:rPr>
        <w:t>注：</w:t>
      </w:r>
    </w:p>
    <w:p>
      <w:pPr>
        <w:pStyle w:val="44"/>
        <w:numPr>
          <w:ilvl w:val="0"/>
          <w:numId w:val="15"/>
        </w:numP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pPr>
        <w:pStyle w:val="44"/>
        <w:numPr>
          <w:ilvl w:val="0"/>
          <w:numId w:val="15"/>
        </w:numP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pP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pPr>
        <w:pStyle w:val="44"/>
        <w:numPr>
          <w:ilvl w:val="0"/>
          <w:numId w:val="15"/>
        </w:numPr>
        <w:ind w:firstLineChars="0"/>
        <w:rPr>
          <w:rFonts w:ascii="宋体" w:hAnsi="宋体" w:cs="Times New Roman"/>
          <w:color w:val="auto"/>
          <w:szCs w:val="21"/>
          <w:highlight w:val="none"/>
        </w:rPr>
      </w:pPr>
      <w:r>
        <w:rPr>
          <w:rFonts w:hint="eastAsia" w:ascii="宋体" w:hAnsi="宋体"/>
          <w:color w:val="auto"/>
          <w:szCs w:val="21"/>
          <w:highlight w:val="none"/>
        </w:rPr>
        <w:br w:type="page"/>
      </w:r>
    </w:p>
    <w:p>
      <w:pPr>
        <w:pStyle w:val="5"/>
        <w:widowControl w:val="0"/>
        <w:overflowPunct w:val="0"/>
        <w:spacing w:line="240" w:lineRule="auto"/>
        <w:rPr>
          <w:color w:val="auto"/>
          <w:highlight w:val="none"/>
        </w:rPr>
      </w:pPr>
      <w:bookmarkStart w:id="174" w:name="_Toc216705010"/>
      <w:r>
        <w:rPr>
          <w:rFonts w:hint="eastAsia" w:ascii="宋体" w:hAnsi="宋体"/>
          <w:color w:val="auto"/>
          <w:sz w:val="21"/>
          <w:szCs w:val="21"/>
          <w:highlight w:val="none"/>
        </w:rPr>
        <w:t>附件18.投标保证金汇入情况说明格式</w:t>
      </w:r>
      <w:bookmarkEnd w:id="174"/>
    </w:p>
    <w:p>
      <w:pPr>
        <w:rPr>
          <w:color w:val="auto"/>
          <w:highlight w:val="none"/>
        </w:rPr>
      </w:pPr>
    </w:p>
    <w:p>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pPr>
        <w:spacing w:line="480" w:lineRule="auto"/>
        <w:rPr>
          <w:rFonts w:ascii="宋体" w:hAnsi="宋体"/>
          <w:color w:val="auto"/>
          <w:szCs w:val="21"/>
          <w:highlight w:val="none"/>
        </w:rPr>
      </w:pPr>
      <w:r>
        <w:rPr>
          <w:rFonts w:hint="eastAsia" w:ascii="宋体" w:hAnsi="宋体"/>
          <w:color w:val="auto"/>
          <w:szCs w:val="21"/>
          <w:highlight w:val="none"/>
        </w:rPr>
        <w:t>致：东莞新锋交通能源发展有限公司：</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pP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pP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pP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pPr>
        <w:spacing w:line="480" w:lineRule="auto"/>
        <w:rPr>
          <w:rFonts w:ascii="宋体" w:hAnsi="宋体"/>
          <w:color w:val="auto"/>
          <w:szCs w:val="21"/>
          <w:highlight w:val="none"/>
        </w:rPr>
      </w:pPr>
      <w:r>
        <w:rPr>
          <w:rFonts w:hint="eastAsia" w:ascii="宋体" w:hAnsi="宋体"/>
          <w:color w:val="auto"/>
          <w:szCs w:val="21"/>
          <w:highlight w:val="none"/>
        </w:rPr>
        <w:t>单位名称：</w:t>
      </w:r>
    </w:p>
    <w:p>
      <w:pPr>
        <w:spacing w:line="480" w:lineRule="auto"/>
        <w:rPr>
          <w:rFonts w:ascii="宋体" w:hAnsi="宋体"/>
          <w:color w:val="auto"/>
          <w:szCs w:val="21"/>
          <w:highlight w:val="none"/>
        </w:rPr>
      </w:pPr>
      <w:r>
        <w:rPr>
          <w:rFonts w:hint="eastAsia" w:ascii="宋体" w:hAnsi="宋体"/>
          <w:color w:val="auto"/>
          <w:szCs w:val="21"/>
          <w:highlight w:val="none"/>
        </w:rPr>
        <w:t>单位地址：</w:t>
      </w:r>
    </w:p>
    <w:p>
      <w:pPr>
        <w:spacing w:line="480" w:lineRule="auto"/>
        <w:rPr>
          <w:rFonts w:ascii="宋体" w:hAnsi="宋体"/>
          <w:color w:val="auto"/>
          <w:szCs w:val="21"/>
          <w:highlight w:val="none"/>
        </w:rPr>
      </w:pPr>
      <w:r>
        <w:rPr>
          <w:rFonts w:hint="eastAsia" w:ascii="宋体" w:hAnsi="宋体"/>
          <w:color w:val="auto"/>
          <w:szCs w:val="21"/>
          <w:highlight w:val="none"/>
        </w:rPr>
        <w:t>联系人：</w:t>
      </w:r>
    </w:p>
    <w:p>
      <w:pPr>
        <w:spacing w:line="480" w:lineRule="auto"/>
        <w:rPr>
          <w:rFonts w:ascii="宋体" w:hAnsi="宋体"/>
          <w:color w:val="auto"/>
          <w:szCs w:val="21"/>
          <w:highlight w:val="none"/>
        </w:rPr>
      </w:pPr>
      <w:r>
        <w:rPr>
          <w:rFonts w:hint="eastAsia" w:ascii="宋体" w:hAnsi="宋体"/>
          <w:color w:val="auto"/>
          <w:szCs w:val="21"/>
          <w:highlight w:val="none"/>
        </w:rPr>
        <w:t>单位电话： 联系人手机：</w:t>
      </w:r>
    </w:p>
    <w:p>
      <w:pPr>
        <w:rPr>
          <w:rFonts w:ascii="宋体" w:hAnsi="宋体"/>
          <w:color w:val="auto"/>
          <w:szCs w:val="21"/>
          <w:highlight w:val="none"/>
        </w:rPr>
      </w:pPr>
    </w:p>
    <w:p>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1"/>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pStyle w:val="5"/>
        <w:numPr>
          <w:ilvl w:val="255"/>
          <w:numId w:val="0"/>
        </w:numPr>
        <w:tabs>
          <w:tab w:val="left" w:pos="720"/>
          <w:tab w:val="left" w:pos="3840"/>
        </w:tabs>
        <w:ind w:left="283"/>
        <w:jc w:val="both"/>
        <w:rPr>
          <w:rFonts w:ascii="宋体" w:hAnsi="宋体"/>
          <w:color w:val="auto"/>
          <w:sz w:val="21"/>
          <w:szCs w:val="21"/>
          <w:highlight w:val="none"/>
        </w:rPr>
      </w:pPr>
      <w:bookmarkStart w:id="175" w:name="_Toc4866"/>
      <w:bookmarkStart w:id="176" w:name="_Toc1562"/>
      <w:bookmarkStart w:id="177" w:name="_Toc216705011"/>
      <w:bookmarkStart w:id="178" w:name="_Toc14605"/>
      <w:bookmarkStart w:id="179" w:name="_Toc19947"/>
      <w:bookmarkStart w:id="180" w:name="_Toc18296"/>
      <w:bookmarkStart w:id="181" w:name="_Toc2144"/>
      <w:bookmarkStart w:id="182" w:name="_Toc29855"/>
      <w:bookmarkStart w:id="183" w:name="_Toc17028"/>
      <w:bookmarkStart w:id="184" w:name="_Toc25861"/>
      <w:bookmarkStart w:id="185" w:name="_Toc28623"/>
      <w:r>
        <w:rPr>
          <w:rFonts w:hint="eastAsia" w:ascii="宋体" w:hAnsi="宋体"/>
          <w:color w:val="auto"/>
          <w:sz w:val="21"/>
          <w:szCs w:val="21"/>
          <w:highlight w:val="none"/>
        </w:rPr>
        <w:t>附件19.不可撤销履约保函</w:t>
      </w:r>
      <w:bookmarkEnd w:id="175"/>
      <w:bookmarkEnd w:id="176"/>
      <w:bookmarkEnd w:id="177"/>
      <w:bookmarkEnd w:id="178"/>
      <w:bookmarkEnd w:id="179"/>
      <w:bookmarkEnd w:id="180"/>
      <w:bookmarkEnd w:id="181"/>
      <w:bookmarkEnd w:id="182"/>
      <w:bookmarkEnd w:id="183"/>
      <w:bookmarkEnd w:id="184"/>
      <w:bookmarkEnd w:id="185"/>
    </w:p>
    <w:p>
      <w:pPr>
        <w:jc w:val="center"/>
        <w:rPr>
          <w:rFonts w:ascii="宋体" w:hAnsi="宋体"/>
          <w:color w:val="auto"/>
          <w:highlight w:val="none"/>
        </w:rPr>
      </w:pPr>
      <w:r>
        <w:rPr>
          <w:rFonts w:hint="eastAsia" w:ascii="宋体" w:hAnsi="宋体"/>
          <w:color w:val="auto"/>
          <w:highlight w:val="none"/>
        </w:rPr>
        <w:t>银行编号：</w:t>
      </w:r>
    </w:p>
    <w:p>
      <w:pP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pP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pP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pP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pP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pP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pPr>
        <w:ind w:firstLine="2824" w:firstLineChars="1345"/>
        <w:rPr>
          <w:rFonts w:ascii="宋体" w:hAnsi="宋体"/>
          <w:color w:val="auto"/>
          <w:highlight w:val="none"/>
        </w:rPr>
      </w:pPr>
    </w:p>
    <w:p>
      <w:pP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pP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pP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pP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pP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pPr>
        <w:pStyle w:val="11"/>
        <w:ind w:firstLine="171"/>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pPr>
        <w:rPr>
          <w:rFonts w:ascii="宋体" w:hAnsi="宋体"/>
          <w:color w:val="auto"/>
          <w:szCs w:val="21"/>
          <w:highlight w:val="none"/>
        </w:rPr>
      </w:pPr>
    </w:p>
    <w:p>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pPr>
        <w:pStyle w:val="5"/>
        <w:numPr>
          <w:ilvl w:val="255"/>
          <w:numId w:val="0"/>
        </w:numPr>
        <w:tabs>
          <w:tab w:val="left" w:pos="720"/>
          <w:tab w:val="left" w:pos="3840"/>
        </w:tabs>
        <w:ind w:left="283"/>
        <w:jc w:val="both"/>
        <w:rPr>
          <w:rFonts w:ascii="宋体" w:hAnsi="宋体"/>
          <w:color w:val="auto"/>
          <w:sz w:val="21"/>
          <w:szCs w:val="21"/>
          <w:highlight w:val="none"/>
        </w:rPr>
      </w:pPr>
      <w:bookmarkStart w:id="186" w:name="_Toc216705012"/>
      <w:r>
        <w:rPr>
          <w:rFonts w:hint="eastAsia" w:ascii="宋体" w:hAnsi="宋体"/>
          <w:color w:val="auto"/>
          <w:sz w:val="21"/>
          <w:szCs w:val="21"/>
          <w:highlight w:val="none"/>
        </w:rPr>
        <w:t>附件20.预付款保函（适用于预付款支付）</w:t>
      </w:r>
      <w:bookmarkEnd w:id="186"/>
    </w:p>
    <w:p>
      <w:pPr>
        <w:pStyle w:val="11"/>
        <w:ind w:firstLine="171"/>
        <w:rPr>
          <w:color w:val="auto"/>
          <w:szCs w:val="24"/>
          <w:highlight w:val="none"/>
        </w:rPr>
      </w:pPr>
    </w:p>
    <w:p>
      <w:pPr>
        <w:jc w:val="center"/>
        <w:rPr>
          <w:rFonts w:ascii="黑体" w:eastAsia="黑体"/>
          <w:color w:val="auto"/>
          <w:sz w:val="28"/>
          <w:szCs w:val="28"/>
          <w:highlight w:val="none"/>
        </w:rPr>
      </w:pPr>
      <w:bookmarkStart w:id="187" w:name="_Toc31418"/>
      <w:bookmarkStart w:id="188" w:name="_Toc6877"/>
      <w:bookmarkStart w:id="189" w:name="_Toc7374"/>
      <w:bookmarkStart w:id="190" w:name="_Toc10315"/>
      <w:bookmarkStart w:id="191" w:name="_Toc20669"/>
      <w:bookmarkStart w:id="192" w:name="_Toc29728"/>
      <w:bookmarkStart w:id="193" w:name="_Toc1039"/>
      <w:bookmarkStart w:id="194" w:name="_Toc27545"/>
      <w:bookmarkStart w:id="195" w:name="_Toc25494"/>
      <w:bookmarkStart w:id="196" w:name="_Toc5034"/>
      <w:bookmarkStart w:id="197" w:name="_Toc29054"/>
      <w:bookmarkStart w:id="198" w:name="_Toc3295"/>
      <w:r>
        <w:rPr>
          <w:rFonts w:hint="eastAsia" w:ascii="黑体" w:eastAsia="黑体"/>
          <w:color w:val="auto"/>
          <w:sz w:val="28"/>
          <w:szCs w:val="28"/>
          <w:highlight w:val="none"/>
        </w:rPr>
        <w:t>不可撤销预付款保函</w:t>
      </w:r>
      <w:bookmarkEnd w:id="187"/>
      <w:bookmarkEnd w:id="188"/>
      <w:bookmarkEnd w:id="189"/>
      <w:bookmarkEnd w:id="190"/>
      <w:bookmarkEnd w:id="191"/>
      <w:bookmarkEnd w:id="192"/>
      <w:bookmarkEnd w:id="193"/>
      <w:bookmarkEnd w:id="194"/>
      <w:bookmarkEnd w:id="195"/>
      <w:bookmarkEnd w:id="196"/>
      <w:bookmarkEnd w:id="197"/>
      <w:bookmarkEnd w:id="198"/>
    </w:p>
    <w:p>
      <w:pP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pPr>
        <w:ind w:firstLine="6300"/>
        <w:rPr>
          <w:color w:val="auto"/>
          <w:szCs w:val="21"/>
          <w:highlight w:val="none"/>
        </w:rPr>
      </w:pPr>
    </w:p>
    <w:p>
      <w:pP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pP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pPr>
        <w:ind w:firstLine="437"/>
        <w:rPr>
          <w:rFonts w:ascii="宋体" w:hAnsi="宋体"/>
          <w:color w:val="auto"/>
          <w:szCs w:val="21"/>
          <w:highlight w:val="none"/>
        </w:rPr>
      </w:pPr>
      <w:r>
        <w:rPr>
          <w:rFonts w:hint="eastAsia" w:ascii="宋体" w:hAnsi="宋体"/>
          <w:color w:val="auto"/>
          <w:szCs w:val="24"/>
          <w:highlight w:val="none"/>
        </w:rPr>
        <w:t>根据上述合同（采购文件）规定，中标人应向采购人提供一份金额为合同总价的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pP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pP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pP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pPr>
        <w:rPr>
          <w:rFonts w:ascii="宋体" w:hAnsi="宋体"/>
          <w:color w:val="auto"/>
          <w:szCs w:val="21"/>
          <w:highlight w:val="none"/>
        </w:rPr>
      </w:pPr>
    </w:p>
    <w:p>
      <w:pPr>
        <w:ind w:firstLine="437"/>
        <w:rPr>
          <w:rFonts w:ascii="宋体" w:hAnsi="宋体"/>
          <w:color w:val="auto"/>
          <w:szCs w:val="21"/>
          <w:highlight w:val="none"/>
        </w:rPr>
      </w:pPr>
    </w:p>
    <w:p>
      <w:pP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pP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pP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pP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pP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pPr>
        <w:pStyle w:val="11"/>
        <w:ind w:firstLine="171"/>
        <w:rPr>
          <w:color w:val="auto"/>
          <w:szCs w:val="21"/>
          <w:highlight w:val="none"/>
        </w:rPr>
      </w:pPr>
    </w:p>
    <w:p>
      <w:pPr>
        <w:pStyle w:val="11"/>
        <w:ind w:firstLine="171"/>
        <w:rPr>
          <w:color w:val="auto"/>
          <w:szCs w:val="21"/>
          <w:highlight w:val="none"/>
        </w:rPr>
      </w:pPr>
    </w:p>
    <w:p>
      <w:pP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pPr>
        <w:pStyle w:val="10"/>
        <w:rPr>
          <w:color w:val="auto"/>
          <w:highlight w:val="none"/>
        </w:rPr>
      </w:pPr>
      <w:bookmarkStart w:id="199" w:name="_Toc1968"/>
    </w:p>
    <w:p>
      <w:pPr>
        <w:jc w:val="center"/>
        <w:outlineLvl w:val="1"/>
        <w:rPr>
          <w:rFonts w:eastAsia="黑体"/>
          <w:color w:val="auto"/>
          <w:sz w:val="72"/>
          <w:szCs w:val="72"/>
          <w:highlight w:val="none"/>
        </w:rPr>
      </w:pPr>
      <w:bookmarkStart w:id="200" w:name="_Toc216705013"/>
      <w:r>
        <w:rPr>
          <w:rFonts w:hint="eastAsia" w:eastAsia="黑体"/>
          <w:color w:val="auto"/>
          <w:sz w:val="72"/>
          <w:szCs w:val="72"/>
          <w:highlight w:val="none"/>
        </w:rPr>
        <w:t>唱标信封</w:t>
      </w:r>
      <w:bookmarkEnd w:id="200"/>
    </w:p>
    <w:p>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pPr>
        <w:rPr>
          <w:color w:val="auto"/>
          <w:highlight w:val="none"/>
        </w:rPr>
      </w:pPr>
    </w:p>
    <w:p>
      <w:pPr>
        <w:pStyle w:val="10"/>
        <w:rPr>
          <w:color w:val="auto"/>
          <w:highlight w:val="none"/>
        </w:rPr>
      </w:pPr>
    </w:p>
    <w:p>
      <w:pPr>
        <w:pStyle w:val="29"/>
        <w:ind w:firstLine="240"/>
        <w:rPr>
          <w:color w:val="auto"/>
          <w:highlight w:val="none"/>
        </w:rPr>
      </w:pPr>
    </w:p>
    <w:p>
      <w:pPr>
        <w:pStyle w:val="29"/>
        <w:ind w:firstLine="240"/>
        <w:rPr>
          <w:color w:val="auto"/>
          <w:highlight w:val="none"/>
        </w:rPr>
      </w:pPr>
    </w:p>
    <w:p>
      <w:pP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pP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pPr>
        <w:pStyle w:val="10"/>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pP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pP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pPr>
        <w:rPr>
          <w:rFonts w:ascii="宋体" w:hAnsi="宋体"/>
          <w:color w:val="auto"/>
          <w:szCs w:val="21"/>
          <w:highlight w:val="none"/>
        </w:rPr>
      </w:pPr>
      <w:r>
        <w:rPr>
          <w:rFonts w:hint="eastAsia" w:ascii="宋体" w:hAnsi="宋体"/>
          <w:color w:val="auto"/>
          <w:szCs w:val="21"/>
          <w:highlight w:val="none"/>
        </w:rPr>
        <w:br w:type="page"/>
      </w:r>
    </w:p>
    <w:p>
      <w:pPr>
        <w:outlineLvl w:val="1"/>
        <w:rPr>
          <w:color w:val="auto"/>
          <w:sz w:val="72"/>
          <w:szCs w:val="72"/>
          <w:highlight w:val="none"/>
        </w:rPr>
        <w:sectPr>
          <w:pgSz w:w="11906" w:h="16838"/>
          <w:pgMar w:top="1440" w:right="1800" w:bottom="1440" w:left="1800" w:header="708" w:footer="708" w:gutter="0"/>
          <w:cols w:space="708" w:num="1"/>
          <w:titlePg/>
          <w:docGrid w:type="lines" w:linePitch="360" w:charSpace="0"/>
        </w:sectPr>
      </w:pPr>
    </w:p>
    <w:bookmarkEnd w:id="199"/>
    <w:p>
      <w:pPr>
        <w:pStyle w:val="5"/>
        <w:numPr>
          <w:ilvl w:val="255"/>
          <w:numId w:val="0"/>
        </w:numPr>
        <w:tabs>
          <w:tab w:val="left" w:pos="720"/>
          <w:tab w:val="left" w:pos="3840"/>
        </w:tabs>
        <w:ind w:left="283"/>
        <w:jc w:val="both"/>
        <w:rPr>
          <w:rFonts w:ascii="宋体" w:hAnsi="宋体"/>
          <w:color w:val="auto"/>
          <w:sz w:val="21"/>
          <w:szCs w:val="21"/>
          <w:highlight w:val="none"/>
        </w:rPr>
      </w:pPr>
      <w:bookmarkStart w:id="201" w:name="_Toc216705014"/>
      <w:r>
        <w:rPr>
          <w:rFonts w:hint="eastAsia" w:ascii="宋体" w:hAnsi="宋体"/>
          <w:color w:val="auto"/>
          <w:sz w:val="21"/>
          <w:szCs w:val="21"/>
          <w:highlight w:val="none"/>
        </w:rPr>
        <w:t>附件21.唱标信封内装（内容务必与投标文件正本一致）</w:t>
      </w:r>
      <w:bookmarkEnd w:id="201"/>
    </w:p>
    <w:p>
      <w:pPr>
        <w:numPr>
          <w:ilvl w:val="0"/>
          <w:numId w:val="16"/>
        </w:numPr>
        <w:ind w:firstLineChars="200"/>
        <w:rPr>
          <w:rFonts w:hAnsi="宋体"/>
          <w:color w:val="auto"/>
          <w:szCs w:val="21"/>
          <w:highlight w:val="none"/>
        </w:rPr>
      </w:pPr>
      <w:r>
        <w:rPr>
          <w:rFonts w:hint="eastAsia" w:hAnsi="宋体"/>
          <w:color w:val="auto"/>
          <w:szCs w:val="21"/>
          <w:highlight w:val="none"/>
        </w:rPr>
        <w:t>开标一览表加盖公章；</w:t>
      </w:r>
    </w:p>
    <w:p>
      <w:pPr>
        <w:numPr>
          <w:ilvl w:val="0"/>
          <w:numId w:val="16"/>
        </w:numPr>
        <w:ind w:firstLineChars="200"/>
        <w:rPr>
          <w:rFonts w:hAnsi="宋体"/>
          <w:color w:val="auto"/>
          <w:szCs w:val="21"/>
          <w:highlight w:val="none"/>
        </w:rPr>
      </w:pPr>
      <w:r>
        <w:rPr>
          <w:rFonts w:hint="eastAsia" w:hAnsi="宋体"/>
          <w:color w:val="auto"/>
          <w:szCs w:val="21"/>
          <w:highlight w:val="none"/>
        </w:rPr>
        <w:t>法定代表人证明书加盖公章；</w:t>
      </w:r>
    </w:p>
    <w:p>
      <w:pPr>
        <w:numPr>
          <w:ilvl w:val="0"/>
          <w:numId w:val="16"/>
        </w:numPr>
        <w:ind w:firstLineChars="200"/>
        <w:rPr>
          <w:rFonts w:hAnsi="宋体"/>
          <w:color w:val="auto"/>
          <w:szCs w:val="21"/>
          <w:highlight w:val="none"/>
        </w:rPr>
      </w:pPr>
      <w:r>
        <w:rPr>
          <w:rFonts w:hint="eastAsia" w:hAnsi="宋体"/>
          <w:color w:val="auto"/>
          <w:szCs w:val="21"/>
          <w:highlight w:val="none"/>
        </w:rPr>
        <w:t>法定代表人授权委托书加盖公章（法定代表人投标的除外）；</w:t>
      </w:r>
    </w:p>
    <w:p>
      <w:pPr>
        <w:numPr>
          <w:ilvl w:val="0"/>
          <w:numId w:val="16"/>
        </w:numPr>
        <w:ind w:firstLineChars="200"/>
        <w:rPr>
          <w:rFonts w:hAnsi="宋体"/>
          <w:color w:val="auto"/>
          <w:szCs w:val="21"/>
          <w:highlight w:val="none"/>
        </w:rPr>
      </w:pPr>
      <w:r>
        <w:rPr>
          <w:rFonts w:hint="eastAsia" w:hAnsi="宋体"/>
          <w:color w:val="auto"/>
          <w:szCs w:val="21"/>
          <w:highlight w:val="none"/>
        </w:rPr>
        <w:t>投标保证金汇入情况说明（含银行汇款凭证）或投标保函加盖公章；</w:t>
      </w:r>
    </w:p>
    <w:p>
      <w:pPr>
        <w:numPr>
          <w:ilvl w:val="0"/>
          <w:numId w:val="16"/>
        </w:numPr>
        <w:ind w:firstLineChars="200"/>
        <w:rPr>
          <w:rFonts w:hAnsi="宋体"/>
          <w:color w:val="auto"/>
          <w:szCs w:val="21"/>
          <w:highlight w:val="none"/>
        </w:rPr>
      </w:pPr>
      <w:r>
        <w:rPr>
          <w:rFonts w:hint="eastAsia" w:hAnsi="宋体"/>
          <w:color w:val="auto"/>
          <w:szCs w:val="21"/>
          <w:highlight w:val="none"/>
        </w:rPr>
        <w:t>投标文件电子文件（U盘，须含盖章版PDF投标文件和WORD版投标文件各一版，文字采用WORD文档，计算表格采用 EXCEL文档。）</w:t>
      </w:r>
    </w:p>
    <w:p>
      <w:pPr>
        <w:rPr>
          <w:rFonts w:ascii="宋体" w:hAnsi="宋体" w:cs="宋体"/>
          <w:color w:val="auto"/>
          <w:szCs w:val="21"/>
          <w:highlight w:val="none"/>
        </w:rPr>
      </w:pPr>
    </w:p>
    <w:p>
      <w:pPr>
        <w:pStyle w:val="10"/>
        <w:rPr>
          <w:color w:val="auto"/>
          <w:highlight w:val="none"/>
        </w:rPr>
      </w:pPr>
    </w:p>
    <w:sectPr>
      <w:pgSz w:w="11906" w:h="16838"/>
      <w:pgMar w:top="1440" w:right="1800" w:bottom="1440" w:left="1800" w:header="708" w:footer="708" w:gutter="0"/>
      <w:cols w:space="708" w:num="1"/>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2000000000000000000"/>
    <w:charset w:val="86"/>
    <w:family w:val="script"/>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1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18"/>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pPr>
                            <w:pStyle w:val="18"/>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74</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xsfqk0wAAAAUB&#10;AAAPAAAAAAAAAAEAIAAAACIAAABkcnMvZG93bnJldi54bWxQSwECFAAUAAAACACHTuJAwUn3La4B&#10;AABCAwAADgAAAAAAAAABACAAAAAiAQAAZHJzL2Uyb0RvYy54bWxQSwUGAAAAAAYABgBZAQAAQgUA&#10;AAAA&#10;">
              <v:fill on="f" focussize="0,0"/>
              <v:stroke on="f"/>
              <v:imagedata o:title=""/>
              <o:lock v:ext="edit" aspectratio="f"/>
              <v:textbox inset="0mm,0mm,0mm,0mm" style="mso-fit-shape-to-text:t;">
                <w:txbxContent>
                  <w:p>
                    <w:pPr>
                      <w:pStyle w:val="18"/>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74</w:t>
                    </w:r>
                    <w:r>
                      <w:fldChar w:fldCharType="end"/>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pPr>
                            <w:pStyle w:val="18"/>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74</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RggSLNIAAAAFAQAA&#10;DwAAAAAAAAABACAAAAAiAAAAZHJzL2Rvd25yZXYueG1sUEsBAhQAFAAAAAgAh07iQPzF/Y2tAQAA&#10;QgMAAA4AAAAAAAAAAQAgAAAAIQEAAGRycy9lMm9Eb2MueG1sUEsFBgAAAAAGAAYAWQEAAEAFAAAA&#10;AA==&#10;">
              <v:fill on="f" focussize="0,0"/>
              <v:stroke on="f"/>
              <v:imagedata o:title=""/>
              <o:lock v:ext="edit" aspectratio="f"/>
              <v:textbox inset="0mm,0mm,0mm,0mm" style="mso-fit-shape-to-text:t;">
                <w:txbxContent>
                  <w:p>
                    <w:pPr>
                      <w:pStyle w:val="18"/>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74</w:t>
                    </w:r>
                    <w: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2456F0"/>
    <w:multiLevelType w:val="singleLevel"/>
    <w:tmpl w:val="B92456F0"/>
    <w:lvl w:ilvl="0" w:tentative="0">
      <w:start w:val="1"/>
      <w:numFmt w:val="chineseCounting"/>
      <w:suff w:val="space"/>
      <w:lvlText w:val="第%1章"/>
      <w:lvlJc w:val="left"/>
      <w:rPr>
        <w:rFonts w:hint="eastAsia"/>
      </w:r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CFF174A5"/>
    <w:multiLevelType w:val="singleLevel"/>
    <w:tmpl w:val="CFF174A5"/>
    <w:lvl w:ilvl="0" w:tentative="0">
      <w:start w:val="1"/>
      <w:numFmt w:val="decimal"/>
      <w:suff w:val="nothing"/>
      <w:lvlText w:val="%1、"/>
      <w:lvlJc w:val="left"/>
    </w:lvl>
  </w:abstractNum>
  <w:abstractNum w:abstractNumId="4">
    <w:nsid w:val="D0047B7E"/>
    <w:multiLevelType w:val="singleLevel"/>
    <w:tmpl w:val="D0047B7E"/>
    <w:lvl w:ilvl="0" w:tentative="0">
      <w:start w:val="1"/>
      <w:numFmt w:val="decimal"/>
      <w:suff w:val="nothing"/>
      <w:lvlText w:val="%1、"/>
      <w:lvlJc w:val="left"/>
    </w:lvl>
  </w:abstractNum>
  <w:abstractNum w:abstractNumId="5">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7">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20D2348B"/>
    <w:multiLevelType w:val="singleLevel"/>
    <w:tmpl w:val="20D2348B"/>
    <w:lvl w:ilvl="0" w:tentative="0">
      <w:start w:val="1"/>
      <w:numFmt w:val="chineseCounting"/>
      <w:suff w:val="nothing"/>
      <w:lvlText w:val="（%1）"/>
      <w:lvlJc w:val="left"/>
      <w:rPr>
        <w:rFonts w:hint="eastAsia"/>
      </w:rPr>
    </w:lvl>
  </w:abstractNum>
  <w:abstractNum w:abstractNumId="9">
    <w:nsid w:val="22AB23D8"/>
    <w:multiLevelType w:val="multilevel"/>
    <w:tmpl w:val="22AB23D8"/>
    <w:lvl w:ilvl="0" w:tentative="0">
      <w:start w:val="1"/>
      <w:numFmt w:val="decimal"/>
      <w:pStyle w:val="92"/>
      <w:suff w:val="nothing"/>
      <w:lvlText w:val="%1"/>
      <w:lvlJc w:val="left"/>
      <w:pPr>
        <w:ind w:left="630" w:hanging="420"/>
      </w:pPr>
      <w:rPr>
        <w:rFonts w:hint="default" w:ascii="Times New Roman" w:hAnsi="Times New Roman" w:cs="Times New Roman"/>
        <w:b w:val="0"/>
      </w:rPr>
    </w:lvl>
    <w:lvl w:ilvl="1" w:tentative="0">
      <w:start w:val="1"/>
      <w:numFmt w:val="lowerLetter"/>
      <w:lvlText w:val="%2)"/>
      <w:lvlJc w:val="left"/>
      <w:pPr>
        <w:ind w:left="1050" w:hanging="420"/>
      </w:pPr>
      <w:rPr>
        <w:rFonts w:hint="eastAsia" w:cs="Times New Roman"/>
      </w:rPr>
    </w:lvl>
    <w:lvl w:ilvl="2" w:tentative="0">
      <w:start w:val="1"/>
      <w:numFmt w:val="lowerRoman"/>
      <w:lvlText w:val="%3."/>
      <w:lvlJc w:val="right"/>
      <w:pPr>
        <w:ind w:left="1470" w:hanging="420"/>
      </w:pPr>
      <w:rPr>
        <w:rFonts w:hint="eastAsia" w:cs="Times New Roman"/>
      </w:rPr>
    </w:lvl>
    <w:lvl w:ilvl="3" w:tentative="0">
      <w:start w:val="1"/>
      <w:numFmt w:val="decimal"/>
      <w:suff w:val="nothing"/>
      <w:lvlText w:val="%4."/>
      <w:lvlJc w:val="left"/>
      <w:pPr>
        <w:ind w:left="630" w:hanging="420"/>
      </w:pPr>
      <w:rPr>
        <w:rFonts w:hint="default" w:ascii="Times New Roman" w:hAnsi="Times New Roman" w:cs="Times New Roman"/>
        <w:b w:val="0"/>
      </w:rPr>
    </w:lvl>
    <w:lvl w:ilvl="4" w:tentative="0">
      <w:start w:val="1"/>
      <w:numFmt w:val="lowerLetter"/>
      <w:lvlText w:val="%5)"/>
      <w:lvlJc w:val="left"/>
      <w:pPr>
        <w:ind w:left="2310" w:hanging="420"/>
      </w:pPr>
      <w:rPr>
        <w:rFonts w:hint="eastAsia" w:cs="Times New Roman"/>
      </w:rPr>
    </w:lvl>
    <w:lvl w:ilvl="5" w:tentative="0">
      <w:start w:val="1"/>
      <w:numFmt w:val="lowerRoman"/>
      <w:lvlText w:val="%6."/>
      <w:lvlJc w:val="right"/>
      <w:pPr>
        <w:ind w:left="2730" w:hanging="420"/>
      </w:pPr>
      <w:rPr>
        <w:rFonts w:hint="eastAsia" w:cs="Times New Roman"/>
      </w:rPr>
    </w:lvl>
    <w:lvl w:ilvl="6" w:tentative="0">
      <w:start w:val="1"/>
      <w:numFmt w:val="decimal"/>
      <w:lvlText w:val="%7."/>
      <w:lvlJc w:val="left"/>
      <w:pPr>
        <w:ind w:left="3150" w:hanging="420"/>
      </w:pPr>
      <w:rPr>
        <w:rFonts w:hint="eastAsia" w:cs="Times New Roman"/>
      </w:rPr>
    </w:lvl>
    <w:lvl w:ilvl="7" w:tentative="0">
      <w:start w:val="1"/>
      <w:numFmt w:val="lowerLetter"/>
      <w:lvlText w:val="%8)"/>
      <w:lvlJc w:val="left"/>
      <w:pPr>
        <w:ind w:left="3570" w:hanging="420"/>
      </w:pPr>
      <w:rPr>
        <w:rFonts w:hint="eastAsia" w:cs="Times New Roman"/>
      </w:rPr>
    </w:lvl>
    <w:lvl w:ilvl="8" w:tentative="0">
      <w:start w:val="1"/>
      <w:numFmt w:val="lowerRoman"/>
      <w:lvlText w:val="%9."/>
      <w:lvlJc w:val="right"/>
      <w:pPr>
        <w:ind w:left="3990" w:hanging="420"/>
      </w:pPr>
      <w:rPr>
        <w:rFonts w:hint="eastAsia" w:cs="Times New Roman"/>
      </w:rPr>
    </w:lvl>
  </w:abstractNum>
  <w:abstractNum w:abstractNumId="10">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1">
    <w:nsid w:val="3F88662E"/>
    <w:multiLevelType w:val="singleLevel"/>
    <w:tmpl w:val="3F88662E"/>
    <w:lvl w:ilvl="0" w:tentative="0">
      <w:start w:val="1"/>
      <w:numFmt w:val="decimal"/>
      <w:suff w:val="space"/>
      <w:lvlText w:val="%1)"/>
      <w:lvlJc w:val="left"/>
    </w:lvl>
  </w:abstractNum>
  <w:abstractNum w:abstractNumId="12">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4">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9"/>
  </w:num>
  <w:num w:numId="2">
    <w:abstractNumId w:val="12"/>
  </w:num>
  <w:num w:numId="3">
    <w:abstractNumId w:val="10"/>
  </w:num>
  <w:num w:numId="4">
    <w:abstractNumId w:val="2"/>
  </w:num>
  <w:num w:numId="5">
    <w:abstractNumId w:val="15"/>
  </w:num>
  <w:num w:numId="6">
    <w:abstractNumId w:val="11"/>
  </w:num>
  <w:num w:numId="7">
    <w:abstractNumId w:val="6"/>
  </w:num>
  <w:num w:numId="8">
    <w:abstractNumId w:val="1"/>
  </w:num>
  <w:num w:numId="9">
    <w:abstractNumId w:val="7"/>
  </w:num>
  <w:num w:numId="10">
    <w:abstractNumId w:val="0"/>
  </w:num>
  <w:num w:numId="11">
    <w:abstractNumId w:val="3"/>
  </w:num>
  <w:num w:numId="12">
    <w:abstractNumId w:val="5"/>
  </w:num>
  <w:num w:numId="13">
    <w:abstractNumId w:val="8"/>
  </w:num>
  <w:num w:numId="14">
    <w:abstractNumId w:val="4"/>
  </w:num>
  <w:num w:numId="15">
    <w:abstractNumId w:val="1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hideSpellingErrors/>
  <w:trackRevisions w:val="1"/>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6"/>
    </o:shapelayout>
  </w:hdrShapeDefaults>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Y2ZDAwOTZkOGMwZDIzZTExMGYxYWE0OWFmOTJlZDYifQ=="/>
    <w:docVar w:name="KSO_WPS_MARK_KEY" w:val="60aec7f5-43cd-4ce8-9cf5-5c05948d1605"/>
  </w:docVars>
  <w:rsids>
    <w:rsidRoot w:val="00172A27"/>
    <w:rsid w:val="000054F8"/>
    <w:rsid w:val="00005A66"/>
    <w:rsid w:val="00006462"/>
    <w:rsid w:val="000300E4"/>
    <w:rsid w:val="0003307E"/>
    <w:rsid w:val="000336BA"/>
    <w:rsid w:val="000359A1"/>
    <w:rsid w:val="0005185D"/>
    <w:rsid w:val="0007500F"/>
    <w:rsid w:val="0008282E"/>
    <w:rsid w:val="00084F6D"/>
    <w:rsid w:val="00093A13"/>
    <w:rsid w:val="000A363F"/>
    <w:rsid w:val="000A42A8"/>
    <w:rsid w:val="000A5063"/>
    <w:rsid w:val="000A5DBD"/>
    <w:rsid w:val="000A6AFC"/>
    <w:rsid w:val="000C26A5"/>
    <w:rsid w:val="000C4524"/>
    <w:rsid w:val="000D44A6"/>
    <w:rsid w:val="000E2CB7"/>
    <w:rsid w:val="000F0E98"/>
    <w:rsid w:val="000F1444"/>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1E7A"/>
    <w:rsid w:val="0022503E"/>
    <w:rsid w:val="00225BB4"/>
    <w:rsid w:val="00226313"/>
    <w:rsid w:val="00236506"/>
    <w:rsid w:val="002373BB"/>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595E"/>
    <w:rsid w:val="00381C26"/>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75A80"/>
    <w:rsid w:val="00475BB4"/>
    <w:rsid w:val="00490B9E"/>
    <w:rsid w:val="00497577"/>
    <w:rsid w:val="004A05D7"/>
    <w:rsid w:val="004A2B28"/>
    <w:rsid w:val="004A69F1"/>
    <w:rsid w:val="004B3550"/>
    <w:rsid w:val="004B3F06"/>
    <w:rsid w:val="004C7FD6"/>
    <w:rsid w:val="004D08C0"/>
    <w:rsid w:val="004D1669"/>
    <w:rsid w:val="004D1736"/>
    <w:rsid w:val="004D51A2"/>
    <w:rsid w:val="004D5AFB"/>
    <w:rsid w:val="004E04FD"/>
    <w:rsid w:val="004F1BB7"/>
    <w:rsid w:val="0050759C"/>
    <w:rsid w:val="00510827"/>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2D85"/>
    <w:rsid w:val="005D52E7"/>
    <w:rsid w:val="005E3A40"/>
    <w:rsid w:val="005F021D"/>
    <w:rsid w:val="005F20A4"/>
    <w:rsid w:val="005F4EAE"/>
    <w:rsid w:val="005F573A"/>
    <w:rsid w:val="005F660B"/>
    <w:rsid w:val="005F7EB1"/>
    <w:rsid w:val="00604B81"/>
    <w:rsid w:val="0061246F"/>
    <w:rsid w:val="00613417"/>
    <w:rsid w:val="00613B25"/>
    <w:rsid w:val="0061545F"/>
    <w:rsid w:val="006175DE"/>
    <w:rsid w:val="006215AC"/>
    <w:rsid w:val="00621821"/>
    <w:rsid w:val="00622362"/>
    <w:rsid w:val="00622497"/>
    <w:rsid w:val="006276AD"/>
    <w:rsid w:val="006347A6"/>
    <w:rsid w:val="006378D4"/>
    <w:rsid w:val="00641E8C"/>
    <w:rsid w:val="0064416A"/>
    <w:rsid w:val="006476E3"/>
    <w:rsid w:val="00650DDC"/>
    <w:rsid w:val="00652983"/>
    <w:rsid w:val="0065365D"/>
    <w:rsid w:val="006546D0"/>
    <w:rsid w:val="006576FD"/>
    <w:rsid w:val="0066295C"/>
    <w:rsid w:val="00664F6B"/>
    <w:rsid w:val="006731D2"/>
    <w:rsid w:val="00680EB0"/>
    <w:rsid w:val="00682986"/>
    <w:rsid w:val="00691701"/>
    <w:rsid w:val="00691AE0"/>
    <w:rsid w:val="0069491E"/>
    <w:rsid w:val="006B004E"/>
    <w:rsid w:val="006B3E6C"/>
    <w:rsid w:val="006B4832"/>
    <w:rsid w:val="006B7878"/>
    <w:rsid w:val="006B7FD8"/>
    <w:rsid w:val="006C14BD"/>
    <w:rsid w:val="006C28E5"/>
    <w:rsid w:val="006C67A9"/>
    <w:rsid w:val="006D393E"/>
    <w:rsid w:val="006D43C5"/>
    <w:rsid w:val="006D4AD8"/>
    <w:rsid w:val="006E0B58"/>
    <w:rsid w:val="006E0C4B"/>
    <w:rsid w:val="00704F7B"/>
    <w:rsid w:val="007110BA"/>
    <w:rsid w:val="00711465"/>
    <w:rsid w:val="00713CA6"/>
    <w:rsid w:val="00716E96"/>
    <w:rsid w:val="00723B11"/>
    <w:rsid w:val="007343A7"/>
    <w:rsid w:val="00734BB2"/>
    <w:rsid w:val="00737823"/>
    <w:rsid w:val="0075028E"/>
    <w:rsid w:val="007528A6"/>
    <w:rsid w:val="007608B9"/>
    <w:rsid w:val="007724B4"/>
    <w:rsid w:val="0077462B"/>
    <w:rsid w:val="007902ED"/>
    <w:rsid w:val="007916E7"/>
    <w:rsid w:val="00793B6C"/>
    <w:rsid w:val="00797C5D"/>
    <w:rsid w:val="00797D2F"/>
    <w:rsid w:val="007A34B9"/>
    <w:rsid w:val="007A3EF1"/>
    <w:rsid w:val="007A4DB3"/>
    <w:rsid w:val="007A6F47"/>
    <w:rsid w:val="007A7779"/>
    <w:rsid w:val="007B114A"/>
    <w:rsid w:val="007C4F46"/>
    <w:rsid w:val="007C7297"/>
    <w:rsid w:val="007D1B4F"/>
    <w:rsid w:val="007D2F9E"/>
    <w:rsid w:val="007D3175"/>
    <w:rsid w:val="007D48BF"/>
    <w:rsid w:val="007D5C45"/>
    <w:rsid w:val="007E2543"/>
    <w:rsid w:val="007E4A26"/>
    <w:rsid w:val="007E7A17"/>
    <w:rsid w:val="007F01B0"/>
    <w:rsid w:val="007F259D"/>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6026F"/>
    <w:rsid w:val="008640F5"/>
    <w:rsid w:val="0087704E"/>
    <w:rsid w:val="00884843"/>
    <w:rsid w:val="008907DA"/>
    <w:rsid w:val="008A0587"/>
    <w:rsid w:val="008A7273"/>
    <w:rsid w:val="008B55B9"/>
    <w:rsid w:val="008B7726"/>
    <w:rsid w:val="008C05BA"/>
    <w:rsid w:val="008C3DFB"/>
    <w:rsid w:val="008D429E"/>
    <w:rsid w:val="008D5A10"/>
    <w:rsid w:val="008E319F"/>
    <w:rsid w:val="008E5B35"/>
    <w:rsid w:val="008E619C"/>
    <w:rsid w:val="008F6E0E"/>
    <w:rsid w:val="00906F49"/>
    <w:rsid w:val="00907417"/>
    <w:rsid w:val="00914604"/>
    <w:rsid w:val="00916A34"/>
    <w:rsid w:val="0092092D"/>
    <w:rsid w:val="00923533"/>
    <w:rsid w:val="00930A38"/>
    <w:rsid w:val="00934170"/>
    <w:rsid w:val="00936DED"/>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75C2"/>
    <w:rsid w:val="00A3295D"/>
    <w:rsid w:val="00A367D0"/>
    <w:rsid w:val="00A4012F"/>
    <w:rsid w:val="00A4190E"/>
    <w:rsid w:val="00A42E91"/>
    <w:rsid w:val="00A50383"/>
    <w:rsid w:val="00A61230"/>
    <w:rsid w:val="00A668C8"/>
    <w:rsid w:val="00A74ED3"/>
    <w:rsid w:val="00A77D83"/>
    <w:rsid w:val="00A813C5"/>
    <w:rsid w:val="00A824E6"/>
    <w:rsid w:val="00A832CD"/>
    <w:rsid w:val="00A858DC"/>
    <w:rsid w:val="00A94D14"/>
    <w:rsid w:val="00AA0EAD"/>
    <w:rsid w:val="00AB19CE"/>
    <w:rsid w:val="00AB2133"/>
    <w:rsid w:val="00AB3969"/>
    <w:rsid w:val="00AC0E7A"/>
    <w:rsid w:val="00AC187B"/>
    <w:rsid w:val="00AD6C13"/>
    <w:rsid w:val="00AE310E"/>
    <w:rsid w:val="00AE4FC5"/>
    <w:rsid w:val="00AF1B1B"/>
    <w:rsid w:val="00AF5F1F"/>
    <w:rsid w:val="00B027A4"/>
    <w:rsid w:val="00B04202"/>
    <w:rsid w:val="00B236B3"/>
    <w:rsid w:val="00B26806"/>
    <w:rsid w:val="00B31B24"/>
    <w:rsid w:val="00B4287F"/>
    <w:rsid w:val="00B4315F"/>
    <w:rsid w:val="00B43306"/>
    <w:rsid w:val="00B577D9"/>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3E74"/>
    <w:rsid w:val="00BD630F"/>
    <w:rsid w:val="00BD7C1B"/>
    <w:rsid w:val="00BE0825"/>
    <w:rsid w:val="00BE2EE6"/>
    <w:rsid w:val="00BF17FD"/>
    <w:rsid w:val="00BF2820"/>
    <w:rsid w:val="00BF41D4"/>
    <w:rsid w:val="00BF5AFB"/>
    <w:rsid w:val="00C16734"/>
    <w:rsid w:val="00C17B47"/>
    <w:rsid w:val="00C25C77"/>
    <w:rsid w:val="00C303E7"/>
    <w:rsid w:val="00C319C2"/>
    <w:rsid w:val="00C375BF"/>
    <w:rsid w:val="00C53CE5"/>
    <w:rsid w:val="00C612F8"/>
    <w:rsid w:val="00C62E44"/>
    <w:rsid w:val="00C63BD8"/>
    <w:rsid w:val="00C65954"/>
    <w:rsid w:val="00C7126B"/>
    <w:rsid w:val="00C72C24"/>
    <w:rsid w:val="00C73468"/>
    <w:rsid w:val="00C74986"/>
    <w:rsid w:val="00C80EC4"/>
    <w:rsid w:val="00C8568E"/>
    <w:rsid w:val="00CA32B5"/>
    <w:rsid w:val="00CB57AD"/>
    <w:rsid w:val="00CC009D"/>
    <w:rsid w:val="00CC584A"/>
    <w:rsid w:val="00CC5E4E"/>
    <w:rsid w:val="00CD0EAB"/>
    <w:rsid w:val="00CE2AF3"/>
    <w:rsid w:val="00CE621D"/>
    <w:rsid w:val="00CE66E8"/>
    <w:rsid w:val="00CF47FC"/>
    <w:rsid w:val="00D05388"/>
    <w:rsid w:val="00D114CD"/>
    <w:rsid w:val="00D14476"/>
    <w:rsid w:val="00D232FF"/>
    <w:rsid w:val="00D279AA"/>
    <w:rsid w:val="00D31215"/>
    <w:rsid w:val="00D332A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93BF5"/>
    <w:rsid w:val="00E97CC0"/>
    <w:rsid w:val="00EA22B8"/>
    <w:rsid w:val="00EA2524"/>
    <w:rsid w:val="00EA33E7"/>
    <w:rsid w:val="00EC092D"/>
    <w:rsid w:val="00EC0DF8"/>
    <w:rsid w:val="00EC7F91"/>
    <w:rsid w:val="00ED378B"/>
    <w:rsid w:val="00EE08F9"/>
    <w:rsid w:val="00EE70B3"/>
    <w:rsid w:val="00EF24AA"/>
    <w:rsid w:val="00EF5028"/>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67BE1"/>
    <w:rsid w:val="00F74FF3"/>
    <w:rsid w:val="00F97062"/>
    <w:rsid w:val="00F9745D"/>
    <w:rsid w:val="00FA07A9"/>
    <w:rsid w:val="00FA43A2"/>
    <w:rsid w:val="00FA54B2"/>
    <w:rsid w:val="00FC0FCB"/>
    <w:rsid w:val="00FC529F"/>
    <w:rsid w:val="00FC66E1"/>
    <w:rsid w:val="00FC7B53"/>
    <w:rsid w:val="00FD48CC"/>
    <w:rsid w:val="00FE62D1"/>
    <w:rsid w:val="00FE7B94"/>
    <w:rsid w:val="00FF0736"/>
    <w:rsid w:val="00FF2515"/>
    <w:rsid w:val="00FF26BF"/>
    <w:rsid w:val="0128370B"/>
    <w:rsid w:val="01336040"/>
    <w:rsid w:val="013C51B0"/>
    <w:rsid w:val="01651C23"/>
    <w:rsid w:val="018023CE"/>
    <w:rsid w:val="01881AD6"/>
    <w:rsid w:val="019127B6"/>
    <w:rsid w:val="01B71A01"/>
    <w:rsid w:val="01DC03CE"/>
    <w:rsid w:val="01E36F4E"/>
    <w:rsid w:val="0208150E"/>
    <w:rsid w:val="020F46EA"/>
    <w:rsid w:val="02287D63"/>
    <w:rsid w:val="024179E7"/>
    <w:rsid w:val="0246437B"/>
    <w:rsid w:val="026C53CF"/>
    <w:rsid w:val="02985CD5"/>
    <w:rsid w:val="02A741FD"/>
    <w:rsid w:val="02C16E5D"/>
    <w:rsid w:val="02D964CF"/>
    <w:rsid w:val="02DE5ECF"/>
    <w:rsid w:val="032E6AB8"/>
    <w:rsid w:val="03707410"/>
    <w:rsid w:val="039170C0"/>
    <w:rsid w:val="039240A3"/>
    <w:rsid w:val="03A0770F"/>
    <w:rsid w:val="03A27726"/>
    <w:rsid w:val="03A448B8"/>
    <w:rsid w:val="03B34A78"/>
    <w:rsid w:val="03C01631"/>
    <w:rsid w:val="03C656A9"/>
    <w:rsid w:val="03F33148"/>
    <w:rsid w:val="042F3419"/>
    <w:rsid w:val="04491596"/>
    <w:rsid w:val="047B4012"/>
    <w:rsid w:val="04822497"/>
    <w:rsid w:val="04974587"/>
    <w:rsid w:val="049A0C65"/>
    <w:rsid w:val="04A07C4B"/>
    <w:rsid w:val="04CF77F7"/>
    <w:rsid w:val="04DF1036"/>
    <w:rsid w:val="04E24985"/>
    <w:rsid w:val="050C01DF"/>
    <w:rsid w:val="05316537"/>
    <w:rsid w:val="053A5A77"/>
    <w:rsid w:val="055B4186"/>
    <w:rsid w:val="058E5918"/>
    <w:rsid w:val="0599183C"/>
    <w:rsid w:val="05A97DEC"/>
    <w:rsid w:val="05B23978"/>
    <w:rsid w:val="05C81981"/>
    <w:rsid w:val="05FC20B9"/>
    <w:rsid w:val="060043AE"/>
    <w:rsid w:val="060B3869"/>
    <w:rsid w:val="060C3203"/>
    <w:rsid w:val="06281344"/>
    <w:rsid w:val="062D4EC8"/>
    <w:rsid w:val="062E2064"/>
    <w:rsid w:val="062E6617"/>
    <w:rsid w:val="06452CD4"/>
    <w:rsid w:val="06640177"/>
    <w:rsid w:val="069B4E4A"/>
    <w:rsid w:val="06A26008"/>
    <w:rsid w:val="06AF1E3F"/>
    <w:rsid w:val="06BC41F2"/>
    <w:rsid w:val="06F415CC"/>
    <w:rsid w:val="070E26CD"/>
    <w:rsid w:val="07197D08"/>
    <w:rsid w:val="071E5C55"/>
    <w:rsid w:val="075C1FE5"/>
    <w:rsid w:val="077005AB"/>
    <w:rsid w:val="078F4581"/>
    <w:rsid w:val="07A715F3"/>
    <w:rsid w:val="07BF027F"/>
    <w:rsid w:val="07F06C60"/>
    <w:rsid w:val="07F5179D"/>
    <w:rsid w:val="08031A31"/>
    <w:rsid w:val="080E2872"/>
    <w:rsid w:val="08420CAE"/>
    <w:rsid w:val="08593839"/>
    <w:rsid w:val="087C4803"/>
    <w:rsid w:val="089A5AE8"/>
    <w:rsid w:val="09061A75"/>
    <w:rsid w:val="09182241"/>
    <w:rsid w:val="091D46DC"/>
    <w:rsid w:val="09325D4D"/>
    <w:rsid w:val="09510A7C"/>
    <w:rsid w:val="095F1030"/>
    <w:rsid w:val="09855177"/>
    <w:rsid w:val="09A17D47"/>
    <w:rsid w:val="09E00EC3"/>
    <w:rsid w:val="09EE5125"/>
    <w:rsid w:val="09F079B2"/>
    <w:rsid w:val="0A3D7585"/>
    <w:rsid w:val="0A462748"/>
    <w:rsid w:val="0A4D0C81"/>
    <w:rsid w:val="0A723E95"/>
    <w:rsid w:val="0A733243"/>
    <w:rsid w:val="0AA534D5"/>
    <w:rsid w:val="0AA650EB"/>
    <w:rsid w:val="0AA7129C"/>
    <w:rsid w:val="0AC55D37"/>
    <w:rsid w:val="0AF47339"/>
    <w:rsid w:val="0B121934"/>
    <w:rsid w:val="0B1F4D52"/>
    <w:rsid w:val="0B22594B"/>
    <w:rsid w:val="0B27506F"/>
    <w:rsid w:val="0B3061AD"/>
    <w:rsid w:val="0B5D4C70"/>
    <w:rsid w:val="0B9610F4"/>
    <w:rsid w:val="0BAC686E"/>
    <w:rsid w:val="0BBF77A4"/>
    <w:rsid w:val="0BD16C8D"/>
    <w:rsid w:val="0BDF26F7"/>
    <w:rsid w:val="0C027DB2"/>
    <w:rsid w:val="0C2B4952"/>
    <w:rsid w:val="0C516C55"/>
    <w:rsid w:val="0C5D161C"/>
    <w:rsid w:val="0C6A4F83"/>
    <w:rsid w:val="0C7B2220"/>
    <w:rsid w:val="0CB67D83"/>
    <w:rsid w:val="0CCF79BE"/>
    <w:rsid w:val="0CD20599"/>
    <w:rsid w:val="0CE53018"/>
    <w:rsid w:val="0D022470"/>
    <w:rsid w:val="0D0B5B12"/>
    <w:rsid w:val="0D133046"/>
    <w:rsid w:val="0D153F28"/>
    <w:rsid w:val="0D1F511A"/>
    <w:rsid w:val="0D305390"/>
    <w:rsid w:val="0D36429B"/>
    <w:rsid w:val="0D3A0F98"/>
    <w:rsid w:val="0D5D37FD"/>
    <w:rsid w:val="0D6A4502"/>
    <w:rsid w:val="0D7415CA"/>
    <w:rsid w:val="0D890E47"/>
    <w:rsid w:val="0DC64A00"/>
    <w:rsid w:val="0DCF786E"/>
    <w:rsid w:val="0DEB5FFA"/>
    <w:rsid w:val="0DF75C46"/>
    <w:rsid w:val="0DFC60BA"/>
    <w:rsid w:val="0E045D30"/>
    <w:rsid w:val="0E1C06B2"/>
    <w:rsid w:val="0E35000C"/>
    <w:rsid w:val="0E69691B"/>
    <w:rsid w:val="0E7900C2"/>
    <w:rsid w:val="0EBB5484"/>
    <w:rsid w:val="0EBD5AA3"/>
    <w:rsid w:val="0F085784"/>
    <w:rsid w:val="0F174BC9"/>
    <w:rsid w:val="0F5723EF"/>
    <w:rsid w:val="0F7C5FF6"/>
    <w:rsid w:val="0FC63FBD"/>
    <w:rsid w:val="0FDD003F"/>
    <w:rsid w:val="0FF63282"/>
    <w:rsid w:val="0FF87EA4"/>
    <w:rsid w:val="0FFF7484"/>
    <w:rsid w:val="10007DD4"/>
    <w:rsid w:val="100B77ED"/>
    <w:rsid w:val="10305890"/>
    <w:rsid w:val="10320369"/>
    <w:rsid w:val="103D5A1A"/>
    <w:rsid w:val="106A523D"/>
    <w:rsid w:val="106C564D"/>
    <w:rsid w:val="10767478"/>
    <w:rsid w:val="107B7B8F"/>
    <w:rsid w:val="107C67CE"/>
    <w:rsid w:val="10912D03"/>
    <w:rsid w:val="109944C4"/>
    <w:rsid w:val="109D68CB"/>
    <w:rsid w:val="10A949B8"/>
    <w:rsid w:val="10CB4D26"/>
    <w:rsid w:val="11144AFE"/>
    <w:rsid w:val="11200D07"/>
    <w:rsid w:val="11282EA7"/>
    <w:rsid w:val="11354F9A"/>
    <w:rsid w:val="116A3F32"/>
    <w:rsid w:val="11786AB5"/>
    <w:rsid w:val="118049D4"/>
    <w:rsid w:val="118561F8"/>
    <w:rsid w:val="11873B72"/>
    <w:rsid w:val="11914FAF"/>
    <w:rsid w:val="11A8021A"/>
    <w:rsid w:val="11B21219"/>
    <w:rsid w:val="11B4024C"/>
    <w:rsid w:val="11B62491"/>
    <w:rsid w:val="11CE5360"/>
    <w:rsid w:val="11DA73AF"/>
    <w:rsid w:val="11FC1ECD"/>
    <w:rsid w:val="12457C5E"/>
    <w:rsid w:val="124D097B"/>
    <w:rsid w:val="12511265"/>
    <w:rsid w:val="126561B4"/>
    <w:rsid w:val="127A3FFC"/>
    <w:rsid w:val="127D0E25"/>
    <w:rsid w:val="127E0B34"/>
    <w:rsid w:val="1283614B"/>
    <w:rsid w:val="12856FF3"/>
    <w:rsid w:val="129671FB"/>
    <w:rsid w:val="12A576FF"/>
    <w:rsid w:val="12B075B0"/>
    <w:rsid w:val="12C60D80"/>
    <w:rsid w:val="130523B3"/>
    <w:rsid w:val="13097496"/>
    <w:rsid w:val="13154AD2"/>
    <w:rsid w:val="131F7A3A"/>
    <w:rsid w:val="132645D0"/>
    <w:rsid w:val="133E6AC9"/>
    <w:rsid w:val="134312FF"/>
    <w:rsid w:val="13455ABC"/>
    <w:rsid w:val="1370322B"/>
    <w:rsid w:val="13BA0460"/>
    <w:rsid w:val="13BB41AE"/>
    <w:rsid w:val="13BB6BA7"/>
    <w:rsid w:val="13C24F9B"/>
    <w:rsid w:val="13C45A18"/>
    <w:rsid w:val="13C9247B"/>
    <w:rsid w:val="13C92A4D"/>
    <w:rsid w:val="13DE55D1"/>
    <w:rsid w:val="13E0285C"/>
    <w:rsid w:val="142B2E6D"/>
    <w:rsid w:val="143B2E0B"/>
    <w:rsid w:val="147C1943"/>
    <w:rsid w:val="148054E9"/>
    <w:rsid w:val="14892735"/>
    <w:rsid w:val="14906D6C"/>
    <w:rsid w:val="14BC67CB"/>
    <w:rsid w:val="14C1686D"/>
    <w:rsid w:val="14CC769D"/>
    <w:rsid w:val="14D764D5"/>
    <w:rsid w:val="14F43330"/>
    <w:rsid w:val="152509D7"/>
    <w:rsid w:val="15436F05"/>
    <w:rsid w:val="155541C5"/>
    <w:rsid w:val="15691FE3"/>
    <w:rsid w:val="15846271"/>
    <w:rsid w:val="158A62DE"/>
    <w:rsid w:val="158B5DDD"/>
    <w:rsid w:val="159565F3"/>
    <w:rsid w:val="15A41986"/>
    <w:rsid w:val="15B11221"/>
    <w:rsid w:val="15C16EB3"/>
    <w:rsid w:val="15CB76C9"/>
    <w:rsid w:val="15D359D7"/>
    <w:rsid w:val="160E7A2C"/>
    <w:rsid w:val="16111028"/>
    <w:rsid w:val="16175528"/>
    <w:rsid w:val="161F7731"/>
    <w:rsid w:val="163C77BE"/>
    <w:rsid w:val="163F4A7E"/>
    <w:rsid w:val="16573587"/>
    <w:rsid w:val="166C0E47"/>
    <w:rsid w:val="1679588C"/>
    <w:rsid w:val="168C2855"/>
    <w:rsid w:val="16903443"/>
    <w:rsid w:val="16994962"/>
    <w:rsid w:val="16A233CF"/>
    <w:rsid w:val="16A71041"/>
    <w:rsid w:val="16AA24BF"/>
    <w:rsid w:val="171463B8"/>
    <w:rsid w:val="171D3FE1"/>
    <w:rsid w:val="1742794A"/>
    <w:rsid w:val="17680CAB"/>
    <w:rsid w:val="176E4128"/>
    <w:rsid w:val="17783EA9"/>
    <w:rsid w:val="1783371F"/>
    <w:rsid w:val="178D7563"/>
    <w:rsid w:val="17B61794"/>
    <w:rsid w:val="17C52CBF"/>
    <w:rsid w:val="17C93012"/>
    <w:rsid w:val="17E62B67"/>
    <w:rsid w:val="180F4499"/>
    <w:rsid w:val="182201B4"/>
    <w:rsid w:val="18221ECE"/>
    <w:rsid w:val="18303840"/>
    <w:rsid w:val="183C3D90"/>
    <w:rsid w:val="18504A07"/>
    <w:rsid w:val="1859036F"/>
    <w:rsid w:val="18681814"/>
    <w:rsid w:val="18B0649B"/>
    <w:rsid w:val="18C8297B"/>
    <w:rsid w:val="18D418FC"/>
    <w:rsid w:val="18E16950"/>
    <w:rsid w:val="18FC7745"/>
    <w:rsid w:val="19027053"/>
    <w:rsid w:val="191677A6"/>
    <w:rsid w:val="191A26CF"/>
    <w:rsid w:val="19353F17"/>
    <w:rsid w:val="1973316B"/>
    <w:rsid w:val="19770684"/>
    <w:rsid w:val="199B7D44"/>
    <w:rsid w:val="19D35C0A"/>
    <w:rsid w:val="19DD405E"/>
    <w:rsid w:val="19E82D37"/>
    <w:rsid w:val="1A460CF5"/>
    <w:rsid w:val="1A6745A4"/>
    <w:rsid w:val="1A757778"/>
    <w:rsid w:val="1A7A6BB4"/>
    <w:rsid w:val="1A7D65D5"/>
    <w:rsid w:val="1A7F297D"/>
    <w:rsid w:val="1A831395"/>
    <w:rsid w:val="1A956EFC"/>
    <w:rsid w:val="1A9B268C"/>
    <w:rsid w:val="1A9D6244"/>
    <w:rsid w:val="1AAE0752"/>
    <w:rsid w:val="1AAF6004"/>
    <w:rsid w:val="1AB16AC1"/>
    <w:rsid w:val="1ABF1CEA"/>
    <w:rsid w:val="1B014DDE"/>
    <w:rsid w:val="1B0320FB"/>
    <w:rsid w:val="1B034A52"/>
    <w:rsid w:val="1B096F9A"/>
    <w:rsid w:val="1B317B2B"/>
    <w:rsid w:val="1B45344E"/>
    <w:rsid w:val="1B591D2B"/>
    <w:rsid w:val="1B5D76FB"/>
    <w:rsid w:val="1B683578"/>
    <w:rsid w:val="1B8C0040"/>
    <w:rsid w:val="1BA323E9"/>
    <w:rsid w:val="1BBA4E52"/>
    <w:rsid w:val="1BD05C3A"/>
    <w:rsid w:val="1BD9519A"/>
    <w:rsid w:val="1BDE2F66"/>
    <w:rsid w:val="1C2A22B3"/>
    <w:rsid w:val="1C5C6D90"/>
    <w:rsid w:val="1C750ECE"/>
    <w:rsid w:val="1CA56AF4"/>
    <w:rsid w:val="1CE1575A"/>
    <w:rsid w:val="1D196139"/>
    <w:rsid w:val="1D2E2708"/>
    <w:rsid w:val="1D5E02D1"/>
    <w:rsid w:val="1D7B74A7"/>
    <w:rsid w:val="1D7F0ED0"/>
    <w:rsid w:val="1DA31EB7"/>
    <w:rsid w:val="1DA55D97"/>
    <w:rsid w:val="1DBB6100"/>
    <w:rsid w:val="1DBE6816"/>
    <w:rsid w:val="1DC67725"/>
    <w:rsid w:val="1DCB4FF1"/>
    <w:rsid w:val="1DDC11E4"/>
    <w:rsid w:val="1DF5452A"/>
    <w:rsid w:val="1E010AF7"/>
    <w:rsid w:val="1E1C405A"/>
    <w:rsid w:val="1E2E29E0"/>
    <w:rsid w:val="1E301173"/>
    <w:rsid w:val="1E884D18"/>
    <w:rsid w:val="1EC2624D"/>
    <w:rsid w:val="1ED8781E"/>
    <w:rsid w:val="1EDD3235"/>
    <w:rsid w:val="1EE7283A"/>
    <w:rsid w:val="1EF45850"/>
    <w:rsid w:val="1EFA14C7"/>
    <w:rsid w:val="1F1102B0"/>
    <w:rsid w:val="1F240AD0"/>
    <w:rsid w:val="1F2F1047"/>
    <w:rsid w:val="1F3D19C3"/>
    <w:rsid w:val="1F43381C"/>
    <w:rsid w:val="1F6E6E77"/>
    <w:rsid w:val="1F7D6A3D"/>
    <w:rsid w:val="1FA4148D"/>
    <w:rsid w:val="1FC10FAB"/>
    <w:rsid w:val="1FC65577"/>
    <w:rsid w:val="1FD82385"/>
    <w:rsid w:val="20121621"/>
    <w:rsid w:val="201636E2"/>
    <w:rsid w:val="202E3F6D"/>
    <w:rsid w:val="2032134B"/>
    <w:rsid w:val="20325F7E"/>
    <w:rsid w:val="204778E7"/>
    <w:rsid w:val="204E554F"/>
    <w:rsid w:val="20546774"/>
    <w:rsid w:val="20590035"/>
    <w:rsid w:val="20851B47"/>
    <w:rsid w:val="209043E7"/>
    <w:rsid w:val="20926E7C"/>
    <w:rsid w:val="209A2C3D"/>
    <w:rsid w:val="20C75D9C"/>
    <w:rsid w:val="20E5011E"/>
    <w:rsid w:val="20FC799E"/>
    <w:rsid w:val="21286DA7"/>
    <w:rsid w:val="2134683B"/>
    <w:rsid w:val="21C82E72"/>
    <w:rsid w:val="21DE0801"/>
    <w:rsid w:val="21DE339D"/>
    <w:rsid w:val="22154DDD"/>
    <w:rsid w:val="221D4DB5"/>
    <w:rsid w:val="22336873"/>
    <w:rsid w:val="22396826"/>
    <w:rsid w:val="224A1FF4"/>
    <w:rsid w:val="225471A3"/>
    <w:rsid w:val="225E34DC"/>
    <w:rsid w:val="227D1295"/>
    <w:rsid w:val="22986943"/>
    <w:rsid w:val="229B678A"/>
    <w:rsid w:val="22AB3B7D"/>
    <w:rsid w:val="22AF3A08"/>
    <w:rsid w:val="22F92F75"/>
    <w:rsid w:val="23115247"/>
    <w:rsid w:val="23151041"/>
    <w:rsid w:val="239634D6"/>
    <w:rsid w:val="23BB4E7D"/>
    <w:rsid w:val="23C172D6"/>
    <w:rsid w:val="23CB1286"/>
    <w:rsid w:val="23D77537"/>
    <w:rsid w:val="23E6195D"/>
    <w:rsid w:val="23F04F64"/>
    <w:rsid w:val="242610A2"/>
    <w:rsid w:val="242654AA"/>
    <w:rsid w:val="24536530"/>
    <w:rsid w:val="24796091"/>
    <w:rsid w:val="24814CBE"/>
    <w:rsid w:val="24AC168B"/>
    <w:rsid w:val="24BB6664"/>
    <w:rsid w:val="24EC64CB"/>
    <w:rsid w:val="250E1318"/>
    <w:rsid w:val="25103738"/>
    <w:rsid w:val="253F46D8"/>
    <w:rsid w:val="254D0389"/>
    <w:rsid w:val="255527CF"/>
    <w:rsid w:val="25884C5D"/>
    <w:rsid w:val="258C3BEC"/>
    <w:rsid w:val="25A03144"/>
    <w:rsid w:val="25B2479F"/>
    <w:rsid w:val="25C15C5D"/>
    <w:rsid w:val="25D329B9"/>
    <w:rsid w:val="25E5427A"/>
    <w:rsid w:val="26276A31"/>
    <w:rsid w:val="26366F9D"/>
    <w:rsid w:val="263B1230"/>
    <w:rsid w:val="2642752B"/>
    <w:rsid w:val="26485508"/>
    <w:rsid w:val="26554808"/>
    <w:rsid w:val="265E685B"/>
    <w:rsid w:val="26607D95"/>
    <w:rsid w:val="26700955"/>
    <w:rsid w:val="26764041"/>
    <w:rsid w:val="26A16AE9"/>
    <w:rsid w:val="26A605D9"/>
    <w:rsid w:val="26AD0500"/>
    <w:rsid w:val="26B121A3"/>
    <w:rsid w:val="26E464C3"/>
    <w:rsid w:val="27004486"/>
    <w:rsid w:val="272E3097"/>
    <w:rsid w:val="272E6F74"/>
    <w:rsid w:val="273B7A3B"/>
    <w:rsid w:val="277E6655"/>
    <w:rsid w:val="2780046C"/>
    <w:rsid w:val="27933DEA"/>
    <w:rsid w:val="279748BD"/>
    <w:rsid w:val="27B36A67"/>
    <w:rsid w:val="27D9633F"/>
    <w:rsid w:val="280B2E27"/>
    <w:rsid w:val="2817105C"/>
    <w:rsid w:val="281E404F"/>
    <w:rsid w:val="28302479"/>
    <w:rsid w:val="2846581F"/>
    <w:rsid w:val="284A5CA4"/>
    <w:rsid w:val="286550ED"/>
    <w:rsid w:val="286602C8"/>
    <w:rsid w:val="28665C95"/>
    <w:rsid w:val="28736F5F"/>
    <w:rsid w:val="28B01D1E"/>
    <w:rsid w:val="28C2628C"/>
    <w:rsid w:val="28CC3373"/>
    <w:rsid w:val="28F47F99"/>
    <w:rsid w:val="28F579BA"/>
    <w:rsid w:val="290B3EB9"/>
    <w:rsid w:val="291D4F7D"/>
    <w:rsid w:val="292728C1"/>
    <w:rsid w:val="294E392A"/>
    <w:rsid w:val="2950768C"/>
    <w:rsid w:val="296D28D2"/>
    <w:rsid w:val="297A5FC4"/>
    <w:rsid w:val="29B51252"/>
    <w:rsid w:val="29E14657"/>
    <w:rsid w:val="29E474B8"/>
    <w:rsid w:val="29ED574B"/>
    <w:rsid w:val="29FA2D3E"/>
    <w:rsid w:val="29FE5CE6"/>
    <w:rsid w:val="2A45404F"/>
    <w:rsid w:val="2A4E09BB"/>
    <w:rsid w:val="2A510485"/>
    <w:rsid w:val="2A743AE8"/>
    <w:rsid w:val="2A7F1C4E"/>
    <w:rsid w:val="2A8D4F8F"/>
    <w:rsid w:val="2A917B34"/>
    <w:rsid w:val="2A9308A8"/>
    <w:rsid w:val="2A9F5AB8"/>
    <w:rsid w:val="2AB10C99"/>
    <w:rsid w:val="2AD74E8C"/>
    <w:rsid w:val="2AE266E7"/>
    <w:rsid w:val="2AE3766F"/>
    <w:rsid w:val="2AEC612E"/>
    <w:rsid w:val="2B0268A7"/>
    <w:rsid w:val="2B060F9E"/>
    <w:rsid w:val="2B0E56AB"/>
    <w:rsid w:val="2B1306E8"/>
    <w:rsid w:val="2B51141C"/>
    <w:rsid w:val="2B590601"/>
    <w:rsid w:val="2B710DB7"/>
    <w:rsid w:val="2B7408CF"/>
    <w:rsid w:val="2B7E4054"/>
    <w:rsid w:val="2B8A3101"/>
    <w:rsid w:val="2BBA6A76"/>
    <w:rsid w:val="2BCC03D1"/>
    <w:rsid w:val="2BDF1FBA"/>
    <w:rsid w:val="2C0C6D59"/>
    <w:rsid w:val="2C5B0D4B"/>
    <w:rsid w:val="2C8903AA"/>
    <w:rsid w:val="2C987C56"/>
    <w:rsid w:val="2CA156F3"/>
    <w:rsid w:val="2CC11460"/>
    <w:rsid w:val="2CC15BAA"/>
    <w:rsid w:val="2CC72A61"/>
    <w:rsid w:val="2CCE5EB2"/>
    <w:rsid w:val="2CDC3153"/>
    <w:rsid w:val="2CDF621C"/>
    <w:rsid w:val="2CE136D7"/>
    <w:rsid w:val="2CFE7A11"/>
    <w:rsid w:val="2CFF149A"/>
    <w:rsid w:val="2D201865"/>
    <w:rsid w:val="2D2B6EDE"/>
    <w:rsid w:val="2D4B5CEA"/>
    <w:rsid w:val="2D4C5B4C"/>
    <w:rsid w:val="2D542188"/>
    <w:rsid w:val="2D652658"/>
    <w:rsid w:val="2D855015"/>
    <w:rsid w:val="2D964A56"/>
    <w:rsid w:val="2DC16E0A"/>
    <w:rsid w:val="2DC80C49"/>
    <w:rsid w:val="2DCA6355"/>
    <w:rsid w:val="2DE2190A"/>
    <w:rsid w:val="2E030E17"/>
    <w:rsid w:val="2E166748"/>
    <w:rsid w:val="2E2054A0"/>
    <w:rsid w:val="2E482374"/>
    <w:rsid w:val="2E491580"/>
    <w:rsid w:val="2E556F01"/>
    <w:rsid w:val="2E8345A7"/>
    <w:rsid w:val="2E8E20B4"/>
    <w:rsid w:val="2EAA7BAE"/>
    <w:rsid w:val="2EC1207D"/>
    <w:rsid w:val="2ED06066"/>
    <w:rsid w:val="2ED1223D"/>
    <w:rsid w:val="2F000139"/>
    <w:rsid w:val="2F1B303D"/>
    <w:rsid w:val="2F3F11F4"/>
    <w:rsid w:val="2F5E0754"/>
    <w:rsid w:val="2F9F42DC"/>
    <w:rsid w:val="2FBB4121"/>
    <w:rsid w:val="2FBC2844"/>
    <w:rsid w:val="2FBE3786"/>
    <w:rsid w:val="2FC32F68"/>
    <w:rsid w:val="2FD56706"/>
    <w:rsid w:val="2FD6418B"/>
    <w:rsid w:val="2FF37AB3"/>
    <w:rsid w:val="30210B8A"/>
    <w:rsid w:val="30224DC7"/>
    <w:rsid w:val="303B4C3F"/>
    <w:rsid w:val="3073310C"/>
    <w:rsid w:val="309D6BE6"/>
    <w:rsid w:val="30AA1790"/>
    <w:rsid w:val="30D1567F"/>
    <w:rsid w:val="30EE385E"/>
    <w:rsid w:val="30F85AFE"/>
    <w:rsid w:val="31031402"/>
    <w:rsid w:val="31170995"/>
    <w:rsid w:val="31264A30"/>
    <w:rsid w:val="312651F8"/>
    <w:rsid w:val="31281149"/>
    <w:rsid w:val="31862EE3"/>
    <w:rsid w:val="31884E67"/>
    <w:rsid w:val="31A0275E"/>
    <w:rsid w:val="31A67308"/>
    <w:rsid w:val="31B91526"/>
    <w:rsid w:val="31BA7402"/>
    <w:rsid w:val="31C741D9"/>
    <w:rsid w:val="31DF2EF3"/>
    <w:rsid w:val="31EF0041"/>
    <w:rsid w:val="31F07BC8"/>
    <w:rsid w:val="320107F5"/>
    <w:rsid w:val="3223691B"/>
    <w:rsid w:val="324175CB"/>
    <w:rsid w:val="326A0524"/>
    <w:rsid w:val="326D4C85"/>
    <w:rsid w:val="327B7EDF"/>
    <w:rsid w:val="32AB70C5"/>
    <w:rsid w:val="32B31EDE"/>
    <w:rsid w:val="32CC41E5"/>
    <w:rsid w:val="32EF2122"/>
    <w:rsid w:val="32F17F41"/>
    <w:rsid w:val="332038B4"/>
    <w:rsid w:val="33247607"/>
    <w:rsid w:val="333014B0"/>
    <w:rsid w:val="335D0AF5"/>
    <w:rsid w:val="336917EF"/>
    <w:rsid w:val="336B2EA4"/>
    <w:rsid w:val="336B3E67"/>
    <w:rsid w:val="3370088C"/>
    <w:rsid w:val="33872039"/>
    <w:rsid w:val="339A687B"/>
    <w:rsid w:val="33DC2F78"/>
    <w:rsid w:val="3428227C"/>
    <w:rsid w:val="343230D5"/>
    <w:rsid w:val="3439428E"/>
    <w:rsid w:val="34520738"/>
    <w:rsid w:val="34571EF7"/>
    <w:rsid w:val="347918A5"/>
    <w:rsid w:val="34802E4C"/>
    <w:rsid w:val="349D37D5"/>
    <w:rsid w:val="34A61BDE"/>
    <w:rsid w:val="34BB7B5F"/>
    <w:rsid w:val="3522586C"/>
    <w:rsid w:val="35415EE7"/>
    <w:rsid w:val="35572473"/>
    <w:rsid w:val="35602226"/>
    <w:rsid w:val="356B72E7"/>
    <w:rsid w:val="356D2AC8"/>
    <w:rsid w:val="3572424F"/>
    <w:rsid w:val="35734CF3"/>
    <w:rsid w:val="35866014"/>
    <w:rsid w:val="359E5CE0"/>
    <w:rsid w:val="35D275C3"/>
    <w:rsid w:val="35E50FBB"/>
    <w:rsid w:val="362B215D"/>
    <w:rsid w:val="365929F8"/>
    <w:rsid w:val="366666CA"/>
    <w:rsid w:val="367070F4"/>
    <w:rsid w:val="367801A9"/>
    <w:rsid w:val="36807FCC"/>
    <w:rsid w:val="36AD519D"/>
    <w:rsid w:val="36B57705"/>
    <w:rsid w:val="36B93E53"/>
    <w:rsid w:val="36DC1DD3"/>
    <w:rsid w:val="36F3711D"/>
    <w:rsid w:val="36FC25DD"/>
    <w:rsid w:val="37090CD6"/>
    <w:rsid w:val="37122320"/>
    <w:rsid w:val="3754697A"/>
    <w:rsid w:val="37636A21"/>
    <w:rsid w:val="377C03A4"/>
    <w:rsid w:val="37A103ED"/>
    <w:rsid w:val="37A367C3"/>
    <w:rsid w:val="37BD33EE"/>
    <w:rsid w:val="37E02B23"/>
    <w:rsid w:val="37E345A6"/>
    <w:rsid w:val="37EA5E6E"/>
    <w:rsid w:val="37EC6A58"/>
    <w:rsid w:val="37FB2268"/>
    <w:rsid w:val="37FF016F"/>
    <w:rsid w:val="380F0693"/>
    <w:rsid w:val="382A6E2D"/>
    <w:rsid w:val="386E4145"/>
    <w:rsid w:val="387C5ABE"/>
    <w:rsid w:val="38B66D0C"/>
    <w:rsid w:val="38D41643"/>
    <w:rsid w:val="38EB6119"/>
    <w:rsid w:val="39044996"/>
    <w:rsid w:val="392C6D9B"/>
    <w:rsid w:val="393B020C"/>
    <w:rsid w:val="39506E15"/>
    <w:rsid w:val="396678D9"/>
    <w:rsid w:val="39790BE6"/>
    <w:rsid w:val="397A0ADB"/>
    <w:rsid w:val="39844799"/>
    <w:rsid w:val="39954B2B"/>
    <w:rsid w:val="39DA2245"/>
    <w:rsid w:val="39E66E3B"/>
    <w:rsid w:val="39FD4CC2"/>
    <w:rsid w:val="3A51228C"/>
    <w:rsid w:val="3A545E48"/>
    <w:rsid w:val="3A552E60"/>
    <w:rsid w:val="3A5D642F"/>
    <w:rsid w:val="3A744447"/>
    <w:rsid w:val="3A78219D"/>
    <w:rsid w:val="3A8C0752"/>
    <w:rsid w:val="3A995C5C"/>
    <w:rsid w:val="3AB210FC"/>
    <w:rsid w:val="3ADB7381"/>
    <w:rsid w:val="3AF04A37"/>
    <w:rsid w:val="3B043A1D"/>
    <w:rsid w:val="3B1E01C3"/>
    <w:rsid w:val="3B3E5B8A"/>
    <w:rsid w:val="3B563B4D"/>
    <w:rsid w:val="3B67303D"/>
    <w:rsid w:val="3B6E60F4"/>
    <w:rsid w:val="3B793A48"/>
    <w:rsid w:val="3B7E3699"/>
    <w:rsid w:val="3B811B43"/>
    <w:rsid w:val="3B85393E"/>
    <w:rsid w:val="3BCA4B8A"/>
    <w:rsid w:val="3BCD72F7"/>
    <w:rsid w:val="3BDB1118"/>
    <w:rsid w:val="3BEF1864"/>
    <w:rsid w:val="3BFC2F5F"/>
    <w:rsid w:val="3C2B101E"/>
    <w:rsid w:val="3C37146A"/>
    <w:rsid w:val="3C3D3625"/>
    <w:rsid w:val="3C414142"/>
    <w:rsid w:val="3C5B725E"/>
    <w:rsid w:val="3C84047F"/>
    <w:rsid w:val="3C88055A"/>
    <w:rsid w:val="3C9E57AB"/>
    <w:rsid w:val="3CA05E05"/>
    <w:rsid w:val="3CAF79B9"/>
    <w:rsid w:val="3CB35097"/>
    <w:rsid w:val="3CF737A2"/>
    <w:rsid w:val="3CFA4288"/>
    <w:rsid w:val="3D011321"/>
    <w:rsid w:val="3D10295A"/>
    <w:rsid w:val="3D184041"/>
    <w:rsid w:val="3D370C2A"/>
    <w:rsid w:val="3D414FC0"/>
    <w:rsid w:val="3D4F12A7"/>
    <w:rsid w:val="3D7B5F78"/>
    <w:rsid w:val="3D7D049C"/>
    <w:rsid w:val="3D87623F"/>
    <w:rsid w:val="3DE20EAE"/>
    <w:rsid w:val="3DEF3701"/>
    <w:rsid w:val="3E0572FD"/>
    <w:rsid w:val="3E0720FE"/>
    <w:rsid w:val="3E2819F6"/>
    <w:rsid w:val="3E287A22"/>
    <w:rsid w:val="3E5A7FE7"/>
    <w:rsid w:val="3E7D40EF"/>
    <w:rsid w:val="3E955A6A"/>
    <w:rsid w:val="3E964D81"/>
    <w:rsid w:val="3EC62D97"/>
    <w:rsid w:val="3EF66B2E"/>
    <w:rsid w:val="3F217914"/>
    <w:rsid w:val="3FA87249"/>
    <w:rsid w:val="3FD10810"/>
    <w:rsid w:val="3FD70BB0"/>
    <w:rsid w:val="3FFB55AC"/>
    <w:rsid w:val="40017152"/>
    <w:rsid w:val="401C5F9D"/>
    <w:rsid w:val="401C690C"/>
    <w:rsid w:val="401D7195"/>
    <w:rsid w:val="405C1C05"/>
    <w:rsid w:val="407A652F"/>
    <w:rsid w:val="40825D97"/>
    <w:rsid w:val="40836C36"/>
    <w:rsid w:val="40870EA3"/>
    <w:rsid w:val="409928E7"/>
    <w:rsid w:val="40997CFE"/>
    <w:rsid w:val="40C34607"/>
    <w:rsid w:val="40C81F93"/>
    <w:rsid w:val="40CE3DC0"/>
    <w:rsid w:val="40D7455A"/>
    <w:rsid w:val="40E743E5"/>
    <w:rsid w:val="40EB4012"/>
    <w:rsid w:val="41075C9E"/>
    <w:rsid w:val="410A1661"/>
    <w:rsid w:val="412813D3"/>
    <w:rsid w:val="412D5EA0"/>
    <w:rsid w:val="415A62F5"/>
    <w:rsid w:val="416D78C7"/>
    <w:rsid w:val="41734CBA"/>
    <w:rsid w:val="417F4E1A"/>
    <w:rsid w:val="418B0C8A"/>
    <w:rsid w:val="41A82190"/>
    <w:rsid w:val="41DE5999"/>
    <w:rsid w:val="41E1181A"/>
    <w:rsid w:val="41E32A20"/>
    <w:rsid w:val="41FA3241"/>
    <w:rsid w:val="420F7A65"/>
    <w:rsid w:val="4216611A"/>
    <w:rsid w:val="42321B6A"/>
    <w:rsid w:val="423E300F"/>
    <w:rsid w:val="425656C8"/>
    <w:rsid w:val="4257273C"/>
    <w:rsid w:val="42687ACE"/>
    <w:rsid w:val="4270145E"/>
    <w:rsid w:val="429E6041"/>
    <w:rsid w:val="42BF4B02"/>
    <w:rsid w:val="42DA01BE"/>
    <w:rsid w:val="42FD694D"/>
    <w:rsid w:val="43034DFA"/>
    <w:rsid w:val="431F14DE"/>
    <w:rsid w:val="436A6D17"/>
    <w:rsid w:val="437949AA"/>
    <w:rsid w:val="437D6687"/>
    <w:rsid w:val="438351F5"/>
    <w:rsid w:val="438D35EA"/>
    <w:rsid w:val="43BC1E57"/>
    <w:rsid w:val="43BD29AF"/>
    <w:rsid w:val="43D23F8D"/>
    <w:rsid w:val="43D43F1D"/>
    <w:rsid w:val="43F44423"/>
    <w:rsid w:val="43FA5777"/>
    <w:rsid w:val="44023422"/>
    <w:rsid w:val="44184A2D"/>
    <w:rsid w:val="441C1611"/>
    <w:rsid w:val="443C440B"/>
    <w:rsid w:val="44514F52"/>
    <w:rsid w:val="44761C8F"/>
    <w:rsid w:val="44835380"/>
    <w:rsid w:val="449722E3"/>
    <w:rsid w:val="449D7B09"/>
    <w:rsid w:val="44AE3FD4"/>
    <w:rsid w:val="44AF1360"/>
    <w:rsid w:val="44D0586F"/>
    <w:rsid w:val="44EF65A4"/>
    <w:rsid w:val="44FA2D53"/>
    <w:rsid w:val="4517434D"/>
    <w:rsid w:val="453C4912"/>
    <w:rsid w:val="45687813"/>
    <w:rsid w:val="4571374F"/>
    <w:rsid w:val="458B1BB0"/>
    <w:rsid w:val="45A41560"/>
    <w:rsid w:val="45AD31D6"/>
    <w:rsid w:val="45B93426"/>
    <w:rsid w:val="45CF1361"/>
    <w:rsid w:val="464C6420"/>
    <w:rsid w:val="46552F9B"/>
    <w:rsid w:val="467A0297"/>
    <w:rsid w:val="468678AF"/>
    <w:rsid w:val="468B7125"/>
    <w:rsid w:val="46B506EF"/>
    <w:rsid w:val="46C4691F"/>
    <w:rsid w:val="46CB53EF"/>
    <w:rsid w:val="46EE513F"/>
    <w:rsid w:val="470F5A71"/>
    <w:rsid w:val="473154FF"/>
    <w:rsid w:val="47685427"/>
    <w:rsid w:val="476C4065"/>
    <w:rsid w:val="4776701D"/>
    <w:rsid w:val="4779499C"/>
    <w:rsid w:val="477B6530"/>
    <w:rsid w:val="47801172"/>
    <w:rsid w:val="479D1D34"/>
    <w:rsid w:val="47B609C0"/>
    <w:rsid w:val="47EC3B04"/>
    <w:rsid w:val="47EC6277"/>
    <w:rsid w:val="48021483"/>
    <w:rsid w:val="481A219B"/>
    <w:rsid w:val="482D31EA"/>
    <w:rsid w:val="48447D02"/>
    <w:rsid w:val="485970A0"/>
    <w:rsid w:val="486A6E89"/>
    <w:rsid w:val="4875503B"/>
    <w:rsid w:val="48823516"/>
    <w:rsid w:val="48877686"/>
    <w:rsid w:val="488B498B"/>
    <w:rsid w:val="48B176C2"/>
    <w:rsid w:val="48B65C71"/>
    <w:rsid w:val="48D550F0"/>
    <w:rsid w:val="48FB1909"/>
    <w:rsid w:val="491F266E"/>
    <w:rsid w:val="492E6A57"/>
    <w:rsid w:val="494A2346"/>
    <w:rsid w:val="495839AA"/>
    <w:rsid w:val="49700A6F"/>
    <w:rsid w:val="49771AFE"/>
    <w:rsid w:val="49802948"/>
    <w:rsid w:val="4986089F"/>
    <w:rsid w:val="498B5309"/>
    <w:rsid w:val="499F0AAB"/>
    <w:rsid w:val="49BD295C"/>
    <w:rsid w:val="49C154CE"/>
    <w:rsid w:val="49C33FF5"/>
    <w:rsid w:val="49DB11EC"/>
    <w:rsid w:val="49E31DD1"/>
    <w:rsid w:val="49F31649"/>
    <w:rsid w:val="4A0030EE"/>
    <w:rsid w:val="4A0568D6"/>
    <w:rsid w:val="4A0C4F3C"/>
    <w:rsid w:val="4A162478"/>
    <w:rsid w:val="4A171EC9"/>
    <w:rsid w:val="4A1A1689"/>
    <w:rsid w:val="4A484D41"/>
    <w:rsid w:val="4A562C5D"/>
    <w:rsid w:val="4A6D15F8"/>
    <w:rsid w:val="4A7617B6"/>
    <w:rsid w:val="4A8C4FB8"/>
    <w:rsid w:val="4A9A25BD"/>
    <w:rsid w:val="4A9E0551"/>
    <w:rsid w:val="4AB542AE"/>
    <w:rsid w:val="4AB80EF1"/>
    <w:rsid w:val="4AE72FD9"/>
    <w:rsid w:val="4AF72FEA"/>
    <w:rsid w:val="4B1477B3"/>
    <w:rsid w:val="4B1F062C"/>
    <w:rsid w:val="4B243D9D"/>
    <w:rsid w:val="4B281425"/>
    <w:rsid w:val="4B6F66A1"/>
    <w:rsid w:val="4B85213F"/>
    <w:rsid w:val="4B8C2DEB"/>
    <w:rsid w:val="4BFA3C9F"/>
    <w:rsid w:val="4BFA7F6C"/>
    <w:rsid w:val="4C107F48"/>
    <w:rsid w:val="4C3117D0"/>
    <w:rsid w:val="4C3277BC"/>
    <w:rsid w:val="4C49713B"/>
    <w:rsid w:val="4C5C442D"/>
    <w:rsid w:val="4C6D42A9"/>
    <w:rsid w:val="4C716A38"/>
    <w:rsid w:val="4C9149E5"/>
    <w:rsid w:val="4C995A04"/>
    <w:rsid w:val="4CC0351C"/>
    <w:rsid w:val="4CC353EB"/>
    <w:rsid w:val="4CCC3C30"/>
    <w:rsid w:val="4CE64E14"/>
    <w:rsid w:val="4CE95EE5"/>
    <w:rsid w:val="4CF36F3C"/>
    <w:rsid w:val="4D007BC8"/>
    <w:rsid w:val="4D0602E5"/>
    <w:rsid w:val="4D1470BD"/>
    <w:rsid w:val="4D154882"/>
    <w:rsid w:val="4D1C3C50"/>
    <w:rsid w:val="4D312A0A"/>
    <w:rsid w:val="4D485AF8"/>
    <w:rsid w:val="4D603399"/>
    <w:rsid w:val="4D6A7284"/>
    <w:rsid w:val="4D6E30E1"/>
    <w:rsid w:val="4D867EE1"/>
    <w:rsid w:val="4DBC4C65"/>
    <w:rsid w:val="4DC9105D"/>
    <w:rsid w:val="4DE2009B"/>
    <w:rsid w:val="4DE8624B"/>
    <w:rsid w:val="4DF86974"/>
    <w:rsid w:val="4E0F235E"/>
    <w:rsid w:val="4E157689"/>
    <w:rsid w:val="4E471216"/>
    <w:rsid w:val="4E533FA5"/>
    <w:rsid w:val="4E550010"/>
    <w:rsid w:val="4E5F14CB"/>
    <w:rsid w:val="4E6808B0"/>
    <w:rsid w:val="4E780BC4"/>
    <w:rsid w:val="4EBA42F2"/>
    <w:rsid w:val="4EC00DDD"/>
    <w:rsid w:val="4ED908C5"/>
    <w:rsid w:val="4EF265BE"/>
    <w:rsid w:val="4EFB1C45"/>
    <w:rsid w:val="4F0C2A48"/>
    <w:rsid w:val="4F26273B"/>
    <w:rsid w:val="4F2D3A8A"/>
    <w:rsid w:val="4F32478A"/>
    <w:rsid w:val="4F3705F8"/>
    <w:rsid w:val="4F913A9A"/>
    <w:rsid w:val="4F9714A0"/>
    <w:rsid w:val="4F9B7EA7"/>
    <w:rsid w:val="4FAA3F91"/>
    <w:rsid w:val="4FAC3540"/>
    <w:rsid w:val="4FCC3F86"/>
    <w:rsid w:val="4FCF1583"/>
    <w:rsid w:val="4FD23E66"/>
    <w:rsid w:val="4FD277DC"/>
    <w:rsid w:val="4FD44D1B"/>
    <w:rsid w:val="4FDC066D"/>
    <w:rsid w:val="4FFA7625"/>
    <w:rsid w:val="503B138D"/>
    <w:rsid w:val="50453E7E"/>
    <w:rsid w:val="50594CF7"/>
    <w:rsid w:val="507D2599"/>
    <w:rsid w:val="508F5E0F"/>
    <w:rsid w:val="5096229D"/>
    <w:rsid w:val="509E157D"/>
    <w:rsid w:val="50A6165E"/>
    <w:rsid w:val="50D11485"/>
    <w:rsid w:val="50DC4184"/>
    <w:rsid w:val="50FB6146"/>
    <w:rsid w:val="51002139"/>
    <w:rsid w:val="512F4CA0"/>
    <w:rsid w:val="51361FFF"/>
    <w:rsid w:val="513D4C38"/>
    <w:rsid w:val="514C3EA7"/>
    <w:rsid w:val="51AC4D00"/>
    <w:rsid w:val="51F9105B"/>
    <w:rsid w:val="51FF3C99"/>
    <w:rsid w:val="521414F7"/>
    <w:rsid w:val="522A20E4"/>
    <w:rsid w:val="52363D4D"/>
    <w:rsid w:val="5241197A"/>
    <w:rsid w:val="524A2AC9"/>
    <w:rsid w:val="52521A20"/>
    <w:rsid w:val="528604EC"/>
    <w:rsid w:val="529E2C3A"/>
    <w:rsid w:val="52AC4ABC"/>
    <w:rsid w:val="52C201B9"/>
    <w:rsid w:val="52CE3361"/>
    <w:rsid w:val="52E57A12"/>
    <w:rsid w:val="52F20B62"/>
    <w:rsid w:val="531C4FCC"/>
    <w:rsid w:val="53416D34"/>
    <w:rsid w:val="53827E49"/>
    <w:rsid w:val="538A6BB9"/>
    <w:rsid w:val="539964FD"/>
    <w:rsid w:val="539B596B"/>
    <w:rsid w:val="539C1B81"/>
    <w:rsid w:val="539D7755"/>
    <w:rsid w:val="53A447B1"/>
    <w:rsid w:val="53AE750F"/>
    <w:rsid w:val="53D224B3"/>
    <w:rsid w:val="53F81D96"/>
    <w:rsid w:val="541D5DE8"/>
    <w:rsid w:val="541F57C4"/>
    <w:rsid w:val="544B5214"/>
    <w:rsid w:val="546D2C56"/>
    <w:rsid w:val="546F523C"/>
    <w:rsid w:val="54782FBD"/>
    <w:rsid w:val="5483138F"/>
    <w:rsid w:val="5488523A"/>
    <w:rsid w:val="549A6BFA"/>
    <w:rsid w:val="54C341E7"/>
    <w:rsid w:val="54D933CD"/>
    <w:rsid w:val="551751CF"/>
    <w:rsid w:val="5522558F"/>
    <w:rsid w:val="55244D7F"/>
    <w:rsid w:val="55305397"/>
    <w:rsid w:val="55362287"/>
    <w:rsid w:val="55432F3C"/>
    <w:rsid w:val="555E6E1F"/>
    <w:rsid w:val="5592403A"/>
    <w:rsid w:val="55A37FFD"/>
    <w:rsid w:val="55AE22F1"/>
    <w:rsid w:val="55B6323F"/>
    <w:rsid w:val="55C3227E"/>
    <w:rsid w:val="55CE1AA9"/>
    <w:rsid w:val="55F6381F"/>
    <w:rsid w:val="55FA2961"/>
    <w:rsid w:val="5602250F"/>
    <w:rsid w:val="564220BA"/>
    <w:rsid w:val="565E7F4F"/>
    <w:rsid w:val="565F3DA6"/>
    <w:rsid w:val="56914056"/>
    <w:rsid w:val="56B41C7D"/>
    <w:rsid w:val="56B61E36"/>
    <w:rsid w:val="56C36589"/>
    <w:rsid w:val="56CD5FF1"/>
    <w:rsid w:val="570D55B0"/>
    <w:rsid w:val="57293C95"/>
    <w:rsid w:val="572A6381"/>
    <w:rsid w:val="572B41B4"/>
    <w:rsid w:val="57365868"/>
    <w:rsid w:val="573C1959"/>
    <w:rsid w:val="57554571"/>
    <w:rsid w:val="57F65317"/>
    <w:rsid w:val="57FC2169"/>
    <w:rsid w:val="58024015"/>
    <w:rsid w:val="58096275"/>
    <w:rsid w:val="5819544F"/>
    <w:rsid w:val="582D6D32"/>
    <w:rsid w:val="582E6EF7"/>
    <w:rsid w:val="584E30E6"/>
    <w:rsid w:val="58546EFD"/>
    <w:rsid w:val="5881703E"/>
    <w:rsid w:val="58E26731"/>
    <w:rsid w:val="58EB1371"/>
    <w:rsid w:val="58EC7DAD"/>
    <w:rsid w:val="58ED38EB"/>
    <w:rsid w:val="58F27709"/>
    <w:rsid w:val="59091D98"/>
    <w:rsid w:val="590E4A97"/>
    <w:rsid w:val="591250FF"/>
    <w:rsid w:val="5920012C"/>
    <w:rsid w:val="593700E7"/>
    <w:rsid w:val="595578DE"/>
    <w:rsid w:val="597B384D"/>
    <w:rsid w:val="598B6C60"/>
    <w:rsid w:val="59996DA8"/>
    <w:rsid w:val="59A81C95"/>
    <w:rsid w:val="59C1599E"/>
    <w:rsid w:val="59C30F1B"/>
    <w:rsid w:val="59CE4759"/>
    <w:rsid w:val="59D90B78"/>
    <w:rsid w:val="5A814766"/>
    <w:rsid w:val="5A8C20D0"/>
    <w:rsid w:val="5ABC29E4"/>
    <w:rsid w:val="5AC7121C"/>
    <w:rsid w:val="5AD90B8D"/>
    <w:rsid w:val="5AE12927"/>
    <w:rsid w:val="5AE35472"/>
    <w:rsid w:val="5AF41CF3"/>
    <w:rsid w:val="5AF87CC9"/>
    <w:rsid w:val="5B07329F"/>
    <w:rsid w:val="5B4E1A44"/>
    <w:rsid w:val="5B8322E4"/>
    <w:rsid w:val="5B873201"/>
    <w:rsid w:val="5B8F4B9F"/>
    <w:rsid w:val="5B967767"/>
    <w:rsid w:val="5B9D1624"/>
    <w:rsid w:val="5BA975A0"/>
    <w:rsid w:val="5BBA55DA"/>
    <w:rsid w:val="5BBF73E2"/>
    <w:rsid w:val="5BEE5378"/>
    <w:rsid w:val="5C0C2FF6"/>
    <w:rsid w:val="5C1241CC"/>
    <w:rsid w:val="5C286807"/>
    <w:rsid w:val="5C34339E"/>
    <w:rsid w:val="5C355656"/>
    <w:rsid w:val="5C370E72"/>
    <w:rsid w:val="5C446BC8"/>
    <w:rsid w:val="5C4B56E1"/>
    <w:rsid w:val="5C7146B1"/>
    <w:rsid w:val="5C72705B"/>
    <w:rsid w:val="5C7C2768"/>
    <w:rsid w:val="5CAD3BC1"/>
    <w:rsid w:val="5CAE62DC"/>
    <w:rsid w:val="5CB23AE6"/>
    <w:rsid w:val="5CED5863"/>
    <w:rsid w:val="5D0D6DF5"/>
    <w:rsid w:val="5D4A5E05"/>
    <w:rsid w:val="5D543F38"/>
    <w:rsid w:val="5D580A8A"/>
    <w:rsid w:val="5D6579D6"/>
    <w:rsid w:val="5D7E6D71"/>
    <w:rsid w:val="5D893B14"/>
    <w:rsid w:val="5DB42C29"/>
    <w:rsid w:val="5E034293"/>
    <w:rsid w:val="5E051068"/>
    <w:rsid w:val="5E1219F7"/>
    <w:rsid w:val="5E18541D"/>
    <w:rsid w:val="5E291636"/>
    <w:rsid w:val="5E363F9E"/>
    <w:rsid w:val="5E48511F"/>
    <w:rsid w:val="5E655B72"/>
    <w:rsid w:val="5E8B0770"/>
    <w:rsid w:val="5EA06921"/>
    <w:rsid w:val="5EB423D7"/>
    <w:rsid w:val="5EBA259F"/>
    <w:rsid w:val="5EE1082B"/>
    <w:rsid w:val="5EE97BB4"/>
    <w:rsid w:val="5EF55BC9"/>
    <w:rsid w:val="5F085DDA"/>
    <w:rsid w:val="5F2D0165"/>
    <w:rsid w:val="5F2E2D52"/>
    <w:rsid w:val="5F506192"/>
    <w:rsid w:val="5F54198B"/>
    <w:rsid w:val="5F6C74C2"/>
    <w:rsid w:val="5F9D1350"/>
    <w:rsid w:val="5FA44AD1"/>
    <w:rsid w:val="5FB8280C"/>
    <w:rsid w:val="5FBE370A"/>
    <w:rsid w:val="5FC61F2E"/>
    <w:rsid w:val="5FC83407"/>
    <w:rsid w:val="5FD56E87"/>
    <w:rsid w:val="5FF0558C"/>
    <w:rsid w:val="60015A45"/>
    <w:rsid w:val="601A27F4"/>
    <w:rsid w:val="60292845"/>
    <w:rsid w:val="60327CCA"/>
    <w:rsid w:val="606F2632"/>
    <w:rsid w:val="6071543B"/>
    <w:rsid w:val="607921FE"/>
    <w:rsid w:val="607E12CC"/>
    <w:rsid w:val="608F62AE"/>
    <w:rsid w:val="609D7650"/>
    <w:rsid w:val="60B9251B"/>
    <w:rsid w:val="60E236C1"/>
    <w:rsid w:val="60E24B81"/>
    <w:rsid w:val="60E37983"/>
    <w:rsid w:val="61260B6B"/>
    <w:rsid w:val="612B3ABB"/>
    <w:rsid w:val="612E1A5D"/>
    <w:rsid w:val="614E5D7E"/>
    <w:rsid w:val="61816046"/>
    <w:rsid w:val="61BD04E4"/>
    <w:rsid w:val="61C81AB1"/>
    <w:rsid w:val="620B0059"/>
    <w:rsid w:val="62391564"/>
    <w:rsid w:val="624A22BE"/>
    <w:rsid w:val="6263230B"/>
    <w:rsid w:val="626E235A"/>
    <w:rsid w:val="626F60D5"/>
    <w:rsid w:val="62806AC7"/>
    <w:rsid w:val="62816669"/>
    <w:rsid w:val="6282086D"/>
    <w:rsid w:val="629007F7"/>
    <w:rsid w:val="62947BB2"/>
    <w:rsid w:val="62AB4D99"/>
    <w:rsid w:val="62B36CD7"/>
    <w:rsid w:val="62BA0953"/>
    <w:rsid w:val="62D03A7C"/>
    <w:rsid w:val="62F42FAE"/>
    <w:rsid w:val="62F648FE"/>
    <w:rsid w:val="63167A4F"/>
    <w:rsid w:val="631D2BD6"/>
    <w:rsid w:val="632571D6"/>
    <w:rsid w:val="635356F3"/>
    <w:rsid w:val="637D5B70"/>
    <w:rsid w:val="63825E77"/>
    <w:rsid w:val="638711DF"/>
    <w:rsid w:val="63A10995"/>
    <w:rsid w:val="63B94FC8"/>
    <w:rsid w:val="63C23EFA"/>
    <w:rsid w:val="63D255DA"/>
    <w:rsid w:val="63E7140D"/>
    <w:rsid w:val="63EB2168"/>
    <w:rsid w:val="63F854C1"/>
    <w:rsid w:val="63FB5857"/>
    <w:rsid w:val="64076B79"/>
    <w:rsid w:val="640B7654"/>
    <w:rsid w:val="64116D46"/>
    <w:rsid w:val="643A070A"/>
    <w:rsid w:val="64410A96"/>
    <w:rsid w:val="644C573D"/>
    <w:rsid w:val="64507EFB"/>
    <w:rsid w:val="65032F85"/>
    <w:rsid w:val="65086632"/>
    <w:rsid w:val="651304A7"/>
    <w:rsid w:val="65136B50"/>
    <w:rsid w:val="6531690D"/>
    <w:rsid w:val="65320485"/>
    <w:rsid w:val="655A12F3"/>
    <w:rsid w:val="657E2A35"/>
    <w:rsid w:val="65A94E9D"/>
    <w:rsid w:val="65AE59DE"/>
    <w:rsid w:val="65B96B3F"/>
    <w:rsid w:val="65BE1071"/>
    <w:rsid w:val="65C60A92"/>
    <w:rsid w:val="65DB19DF"/>
    <w:rsid w:val="65E22B80"/>
    <w:rsid w:val="66000D6B"/>
    <w:rsid w:val="660451CE"/>
    <w:rsid w:val="664B3BEB"/>
    <w:rsid w:val="665346B7"/>
    <w:rsid w:val="667C7CCE"/>
    <w:rsid w:val="668E08CF"/>
    <w:rsid w:val="66A12460"/>
    <w:rsid w:val="66BE2423"/>
    <w:rsid w:val="66DD6702"/>
    <w:rsid w:val="66E856F1"/>
    <w:rsid w:val="66FB0BAD"/>
    <w:rsid w:val="671B1623"/>
    <w:rsid w:val="671E6EBA"/>
    <w:rsid w:val="6731269C"/>
    <w:rsid w:val="675352AA"/>
    <w:rsid w:val="6759400B"/>
    <w:rsid w:val="675E528D"/>
    <w:rsid w:val="676C598C"/>
    <w:rsid w:val="67966EFB"/>
    <w:rsid w:val="679E7FA1"/>
    <w:rsid w:val="67A32389"/>
    <w:rsid w:val="67AA7926"/>
    <w:rsid w:val="67B768D0"/>
    <w:rsid w:val="67C779FD"/>
    <w:rsid w:val="67C85DAF"/>
    <w:rsid w:val="67F8169E"/>
    <w:rsid w:val="68281CFE"/>
    <w:rsid w:val="682A2352"/>
    <w:rsid w:val="682A2630"/>
    <w:rsid w:val="682E4A5B"/>
    <w:rsid w:val="682E7AFD"/>
    <w:rsid w:val="68623947"/>
    <w:rsid w:val="68707071"/>
    <w:rsid w:val="687A4379"/>
    <w:rsid w:val="687B015C"/>
    <w:rsid w:val="687E3889"/>
    <w:rsid w:val="6884222C"/>
    <w:rsid w:val="689373C7"/>
    <w:rsid w:val="68A957C8"/>
    <w:rsid w:val="68AD17BB"/>
    <w:rsid w:val="68D6620B"/>
    <w:rsid w:val="68D94D22"/>
    <w:rsid w:val="68F06F2B"/>
    <w:rsid w:val="69011241"/>
    <w:rsid w:val="692B2E4A"/>
    <w:rsid w:val="696A0B34"/>
    <w:rsid w:val="696A462C"/>
    <w:rsid w:val="69821807"/>
    <w:rsid w:val="698D6A17"/>
    <w:rsid w:val="699026E3"/>
    <w:rsid w:val="699E0BED"/>
    <w:rsid w:val="699F0522"/>
    <w:rsid w:val="69AA5583"/>
    <w:rsid w:val="69AD29EB"/>
    <w:rsid w:val="69D37590"/>
    <w:rsid w:val="69F20F61"/>
    <w:rsid w:val="69F954C1"/>
    <w:rsid w:val="6A11270F"/>
    <w:rsid w:val="6A1E1E73"/>
    <w:rsid w:val="6A2031B6"/>
    <w:rsid w:val="6A2F57D7"/>
    <w:rsid w:val="6A3924BB"/>
    <w:rsid w:val="6A3C1D40"/>
    <w:rsid w:val="6A6432E1"/>
    <w:rsid w:val="6AA23DFF"/>
    <w:rsid w:val="6AAA6F38"/>
    <w:rsid w:val="6AC61F6F"/>
    <w:rsid w:val="6AD34E53"/>
    <w:rsid w:val="6AD83EA1"/>
    <w:rsid w:val="6ADE74F0"/>
    <w:rsid w:val="6B1D62E8"/>
    <w:rsid w:val="6B723594"/>
    <w:rsid w:val="6B805156"/>
    <w:rsid w:val="6B945E48"/>
    <w:rsid w:val="6B974A7B"/>
    <w:rsid w:val="6BD50977"/>
    <w:rsid w:val="6BE450D3"/>
    <w:rsid w:val="6BE60C84"/>
    <w:rsid w:val="6BF56E85"/>
    <w:rsid w:val="6BFA3F30"/>
    <w:rsid w:val="6C151BD1"/>
    <w:rsid w:val="6C4F0900"/>
    <w:rsid w:val="6C6C32E1"/>
    <w:rsid w:val="6C6E3E15"/>
    <w:rsid w:val="6C8B1F5D"/>
    <w:rsid w:val="6CA46260"/>
    <w:rsid w:val="6CA85D3A"/>
    <w:rsid w:val="6CAA3931"/>
    <w:rsid w:val="6CE2512E"/>
    <w:rsid w:val="6CEA06D7"/>
    <w:rsid w:val="6CF70607"/>
    <w:rsid w:val="6D325918"/>
    <w:rsid w:val="6D3933CA"/>
    <w:rsid w:val="6D401810"/>
    <w:rsid w:val="6D6261FE"/>
    <w:rsid w:val="6D7B222A"/>
    <w:rsid w:val="6D7B61EC"/>
    <w:rsid w:val="6D8E03AA"/>
    <w:rsid w:val="6DB74B0F"/>
    <w:rsid w:val="6DBB089F"/>
    <w:rsid w:val="6DC63038"/>
    <w:rsid w:val="6DDC5608"/>
    <w:rsid w:val="6DDD1ACA"/>
    <w:rsid w:val="6DE30DE0"/>
    <w:rsid w:val="6DE6130A"/>
    <w:rsid w:val="6DF77C68"/>
    <w:rsid w:val="6E09491E"/>
    <w:rsid w:val="6E0D3655"/>
    <w:rsid w:val="6E1A437E"/>
    <w:rsid w:val="6E3A144E"/>
    <w:rsid w:val="6E5606D3"/>
    <w:rsid w:val="6E5F4465"/>
    <w:rsid w:val="6E8B1663"/>
    <w:rsid w:val="6E8C54DA"/>
    <w:rsid w:val="6EB752BD"/>
    <w:rsid w:val="6EF11E03"/>
    <w:rsid w:val="6EF1241D"/>
    <w:rsid w:val="6EF82916"/>
    <w:rsid w:val="6F0B1083"/>
    <w:rsid w:val="6F0B2DE7"/>
    <w:rsid w:val="6F111C62"/>
    <w:rsid w:val="6F2176E5"/>
    <w:rsid w:val="6F3A2A5F"/>
    <w:rsid w:val="6F4F7F03"/>
    <w:rsid w:val="6F5523A2"/>
    <w:rsid w:val="6F592303"/>
    <w:rsid w:val="6F5F5B74"/>
    <w:rsid w:val="6F682400"/>
    <w:rsid w:val="6F9600A4"/>
    <w:rsid w:val="6F98032D"/>
    <w:rsid w:val="6F9B1C65"/>
    <w:rsid w:val="6FA44937"/>
    <w:rsid w:val="6FAD3FB9"/>
    <w:rsid w:val="6FE82C9C"/>
    <w:rsid w:val="6FFB146E"/>
    <w:rsid w:val="70160742"/>
    <w:rsid w:val="7030610F"/>
    <w:rsid w:val="70612DB4"/>
    <w:rsid w:val="706516C3"/>
    <w:rsid w:val="70660714"/>
    <w:rsid w:val="70896E68"/>
    <w:rsid w:val="708A4844"/>
    <w:rsid w:val="70C94DCA"/>
    <w:rsid w:val="70E05E9D"/>
    <w:rsid w:val="71073061"/>
    <w:rsid w:val="711A201F"/>
    <w:rsid w:val="71215AE9"/>
    <w:rsid w:val="712864E5"/>
    <w:rsid w:val="71396ACC"/>
    <w:rsid w:val="715B60E9"/>
    <w:rsid w:val="716F0EE9"/>
    <w:rsid w:val="718A1CA9"/>
    <w:rsid w:val="7196674D"/>
    <w:rsid w:val="719E245E"/>
    <w:rsid w:val="71BA3FE5"/>
    <w:rsid w:val="71EA1FED"/>
    <w:rsid w:val="720D05A5"/>
    <w:rsid w:val="72165C6B"/>
    <w:rsid w:val="722021E3"/>
    <w:rsid w:val="722515A8"/>
    <w:rsid w:val="72290340"/>
    <w:rsid w:val="722C6DDA"/>
    <w:rsid w:val="72515945"/>
    <w:rsid w:val="729243CB"/>
    <w:rsid w:val="72BE5780"/>
    <w:rsid w:val="72E661B1"/>
    <w:rsid w:val="730313F6"/>
    <w:rsid w:val="730E4732"/>
    <w:rsid w:val="73370D24"/>
    <w:rsid w:val="73397FB3"/>
    <w:rsid w:val="73472C84"/>
    <w:rsid w:val="7359268C"/>
    <w:rsid w:val="735F327A"/>
    <w:rsid w:val="7366631C"/>
    <w:rsid w:val="736C263C"/>
    <w:rsid w:val="73723640"/>
    <w:rsid w:val="737311F5"/>
    <w:rsid w:val="73822063"/>
    <w:rsid w:val="738B73D5"/>
    <w:rsid w:val="739503EB"/>
    <w:rsid w:val="73A05B28"/>
    <w:rsid w:val="73C07D69"/>
    <w:rsid w:val="73C979D4"/>
    <w:rsid w:val="73DC335B"/>
    <w:rsid w:val="740B60EC"/>
    <w:rsid w:val="745E7D35"/>
    <w:rsid w:val="7465362D"/>
    <w:rsid w:val="7475188D"/>
    <w:rsid w:val="749E16A8"/>
    <w:rsid w:val="74A765F6"/>
    <w:rsid w:val="74B42AE4"/>
    <w:rsid w:val="74C54993"/>
    <w:rsid w:val="74EB68F6"/>
    <w:rsid w:val="750A429D"/>
    <w:rsid w:val="752739E7"/>
    <w:rsid w:val="75474B47"/>
    <w:rsid w:val="75533AB0"/>
    <w:rsid w:val="75614792"/>
    <w:rsid w:val="75761866"/>
    <w:rsid w:val="75784473"/>
    <w:rsid w:val="759407F3"/>
    <w:rsid w:val="75B10995"/>
    <w:rsid w:val="75B161B3"/>
    <w:rsid w:val="75DC6C44"/>
    <w:rsid w:val="75F05CC0"/>
    <w:rsid w:val="760C483B"/>
    <w:rsid w:val="760D3A60"/>
    <w:rsid w:val="762F6A19"/>
    <w:rsid w:val="76341B33"/>
    <w:rsid w:val="76736B32"/>
    <w:rsid w:val="76807C04"/>
    <w:rsid w:val="76AF35EE"/>
    <w:rsid w:val="76C27A74"/>
    <w:rsid w:val="76C726A5"/>
    <w:rsid w:val="76E3765E"/>
    <w:rsid w:val="76EF03D6"/>
    <w:rsid w:val="76FC2AFA"/>
    <w:rsid w:val="77236E66"/>
    <w:rsid w:val="772A3B52"/>
    <w:rsid w:val="77527424"/>
    <w:rsid w:val="77653671"/>
    <w:rsid w:val="77707007"/>
    <w:rsid w:val="778546CC"/>
    <w:rsid w:val="778B6B46"/>
    <w:rsid w:val="77A337B9"/>
    <w:rsid w:val="77B551B3"/>
    <w:rsid w:val="77B56730"/>
    <w:rsid w:val="77B92EBE"/>
    <w:rsid w:val="77C04A8B"/>
    <w:rsid w:val="77D85DB3"/>
    <w:rsid w:val="77EB1B74"/>
    <w:rsid w:val="782A3EA3"/>
    <w:rsid w:val="78490703"/>
    <w:rsid w:val="78947EF9"/>
    <w:rsid w:val="78A50513"/>
    <w:rsid w:val="78C43087"/>
    <w:rsid w:val="78D366C6"/>
    <w:rsid w:val="78D37FAF"/>
    <w:rsid w:val="78EF7AB5"/>
    <w:rsid w:val="790D6849"/>
    <w:rsid w:val="7930013D"/>
    <w:rsid w:val="795767E3"/>
    <w:rsid w:val="79586707"/>
    <w:rsid w:val="795E43DF"/>
    <w:rsid w:val="796518DD"/>
    <w:rsid w:val="79724BEF"/>
    <w:rsid w:val="797264AC"/>
    <w:rsid w:val="7996706A"/>
    <w:rsid w:val="79A14840"/>
    <w:rsid w:val="79AA0532"/>
    <w:rsid w:val="79FA22BC"/>
    <w:rsid w:val="79FE1DDD"/>
    <w:rsid w:val="7A0164E8"/>
    <w:rsid w:val="7A075767"/>
    <w:rsid w:val="7A0C15B3"/>
    <w:rsid w:val="7A212062"/>
    <w:rsid w:val="7A2522C9"/>
    <w:rsid w:val="7A277378"/>
    <w:rsid w:val="7A282A11"/>
    <w:rsid w:val="7A3A59B8"/>
    <w:rsid w:val="7A5D0F75"/>
    <w:rsid w:val="7A715CD2"/>
    <w:rsid w:val="7A921E9A"/>
    <w:rsid w:val="7A9648F8"/>
    <w:rsid w:val="7A991796"/>
    <w:rsid w:val="7A9E53BF"/>
    <w:rsid w:val="7AA914B9"/>
    <w:rsid w:val="7AAC0AB8"/>
    <w:rsid w:val="7ABF2475"/>
    <w:rsid w:val="7AC21562"/>
    <w:rsid w:val="7AD474A4"/>
    <w:rsid w:val="7AFC38DE"/>
    <w:rsid w:val="7B303E8C"/>
    <w:rsid w:val="7B7D6B6D"/>
    <w:rsid w:val="7B865D50"/>
    <w:rsid w:val="7B881416"/>
    <w:rsid w:val="7B8D34C3"/>
    <w:rsid w:val="7B971D84"/>
    <w:rsid w:val="7BAA4AD9"/>
    <w:rsid w:val="7BAB0CB7"/>
    <w:rsid w:val="7BB4028F"/>
    <w:rsid w:val="7BC1107E"/>
    <w:rsid w:val="7BF32F03"/>
    <w:rsid w:val="7BF50D2C"/>
    <w:rsid w:val="7C066F4E"/>
    <w:rsid w:val="7C1724A5"/>
    <w:rsid w:val="7C5906C2"/>
    <w:rsid w:val="7C8561DF"/>
    <w:rsid w:val="7CA54112"/>
    <w:rsid w:val="7CA553D9"/>
    <w:rsid w:val="7CAB27F5"/>
    <w:rsid w:val="7CAF438A"/>
    <w:rsid w:val="7CCE726D"/>
    <w:rsid w:val="7CD0350D"/>
    <w:rsid w:val="7CD04178"/>
    <w:rsid w:val="7CD71EA3"/>
    <w:rsid w:val="7CE50CE4"/>
    <w:rsid w:val="7CE94EE1"/>
    <w:rsid w:val="7CF877E9"/>
    <w:rsid w:val="7D134762"/>
    <w:rsid w:val="7D244CB3"/>
    <w:rsid w:val="7D2E5ABF"/>
    <w:rsid w:val="7D4A45B8"/>
    <w:rsid w:val="7D535AC7"/>
    <w:rsid w:val="7D964A74"/>
    <w:rsid w:val="7DE92997"/>
    <w:rsid w:val="7DFB43EA"/>
    <w:rsid w:val="7E007625"/>
    <w:rsid w:val="7E0737C8"/>
    <w:rsid w:val="7E131C51"/>
    <w:rsid w:val="7E176B90"/>
    <w:rsid w:val="7E2142A2"/>
    <w:rsid w:val="7E240411"/>
    <w:rsid w:val="7E48335A"/>
    <w:rsid w:val="7E797DE5"/>
    <w:rsid w:val="7E7B0BF2"/>
    <w:rsid w:val="7E8C18F4"/>
    <w:rsid w:val="7E8D75B6"/>
    <w:rsid w:val="7E8E672B"/>
    <w:rsid w:val="7EA27DDF"/>
    <w:rsid w:val="7EC67BB0"/>
    <w:rsid w:val="7ED809AD"/>
    <w:rsid w:val="7EF760EE"/>
    <w:rsid w:val="7F2536B5"/>
    <w:rsid w:val="7F2C3CE7"/>
    <w:rsid w:val="7F5A01CA"/>
    <w:rsid w:val="7F75661B"/>
    <w:rsid w:val="7FB17429"/>
    <w:rsid w:val="7FC237CA"/>
    <w:rsid w:val="7FC44366"/>
    <w:rsid w:val="7FDE7F11"/>
    <w:rsid w:val="7FF127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5"/>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6"/>
    <w:qFormat/>
    <w:uiPriority w:val="9"/>
    <w:pPr>
      <w:keepNext/>
      <w:keepLines/>
      <w:spacing w:before="340" w:after="330" w:line="576" w:lineRule="auto"/>
      <w:outlineLvl w:val="0"/>
    </w:pPr>
    <w:rPr>
      <w:b/>
      <w:kern w:val="44"/>
      <w:sz w:val="44"/>
    </w:rPr>
  </w:style>
  <w:style w:type="paragraph" w:styleId="3">
    <w:name w:val="heading 2"/>
    <w:basedOn w:val="1"/>
    <w:next w:val="1"/>
    <w:link w:val="4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5"/>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5"/>
    <w:semiHidden/>
    <w:unhideWhenUsed/>
    <w:qFormat/>
    <w:uiPriority w:val="9"/>
    <w:pPr>
      <w:keepNext/>
      <w:keepLines/>
      <w:spacing w:before="280" w:after="290" w:line="372" w:lineRule="auto"/>
      <w:outlineLvl w:val="4"/>
    </w:pPr>
    <w:rPr>
      <w:b/>
      <w:sz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toa heading"/>
    <w:basedOn w:val="1"/>
    <w:next w:val="1"/>
    <w:qFormat/>
    <w:uiPriority w:val="99"/>
    <w:pPr>
      <w:autoSpaceDE w:val="0"/>
      <w:autoSpaceDN w:val="0"/>
      <w:spacing w:before="120"/>
    </w:pPr>
    <w:rPr>
      <w:rFonts w:ascii="Arial" w:hAnsi="Arial"/>
      <w:snapToGrid w:val="0"/>
      <w:color w:val="000000"/>
      <w:szCs w:val="20"/>
    </w:rPr>
  </w:style>
  <w:style w:type="paragraph" w:styleId="9">
    <w:name w:val="annotation text"/>
    <w:basedOn w:val="1"/>
    <w:link w:val="64"/>
    <w:unhideWhenUsed/>
    <w:qFormat/>
    <w:uiPriority w:val="99"/>
  </w:style>
  <w:style w:type="paragraph" w:styleId="10">
    <w:name w:val="Body Text"/>
    <w:basedOn w:val="1"/>
    <w:next w:val="1"/>
    <w:link w:val="67"/>
    <w:qFormat/>
    <w:uiPriority w:val="1"/>
    <w:pPr>
      <w:spacing w:before="161"/>
      <w:ind w:left="120"/>
    </w:pPr>
    <w:rPr>
      <w:rFonts w:ascii="宋体" w:hAnsi="宋体" w:cs="宋体"/>
      <w:sz w:val="24"/>
      <w:lang w:val="zh-CN" w:bidi="zh-CN"/>
    </w:rPr>
  </w:style>
  <w:style w:type="paragraph" w:styleId="11">
    <w:name w:val="Body Text Indent"/>
    <w:basedOn w:val="1"/>
    <w:qFormat/>
    <w:uiPriority w:val="0"/>
    <w:pPr>
      <w:ind w:left="359" w:leftChars="171" w:firstLine="179" w:firstLineChars="85"/>
    </w:pPr>
    <w:rPr>
      <w:b/>
      <w:bCs/>
      <w:szCs w:val="26"/>
    </w:rPr>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6"/>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ody Text Indent 2"/>
    <w:basedOn w:val="1"/>
    <w:qFormat/>
    <w:uiPriority w:val="0"/>
    <w:pPr>
      <w:spacing w:line="500" w:lineRule="exact"/>
      <w:ind w:firstLine="540" w:firstLineChars="200"/>
    </w:pPr>
    <w:rPr>
      <w:rFonts w:ascii="宋体" w:hAnsi="宋体"/>
      <w:sz w:val="27"/>
      <w:szCs w:val="27"/>
    </w:rPr>
  </w:style>
  <w:style w:type="paragraph" w:styleId="17">
    <w:name w:val="Balloon Text"/>
    <w:basedOn w:val="1"/>
    <w:link w:val="59"/>
    <w:semiHidden/>
    <w:unhideWhenUsed/>
    <w:qFormat/>
    <w:uiPriority w:val="99"/>
    <w:rPr>
      <w:sz w:val="18"/>
      <w:szCs w:val="18"/>
    </w:rPr>
  </w:style>
  <w:style w:type="paragraph" w:styleId="18">
    <w:name w:val="footer"/>
    <w:basedOn w:val="1"/>
    <w:link w:val="58"/>
    <w:unhideWhenUsed/>
    <w:qFormat/>
    <w:uiPriority w:val="99"/>
    <w:pPr>
      <w:tabs>
        <w:tab w:val="center" w:pos="4153"/>
        <w:tab w:val="right" w:pos="8306"/>
      </w:tabs>
    </w:pPr>
    <w:rPr>
      <w:sz w:val="18"/>
      <w:szCs w:val="18"/>
    </w:rPr>
  </w:style>
  <w:style w:type="paragraph" w:styleId="19">
    <w:name w:val="envelope return"/>
    <w:basedOn w:val="1"/>
    <w:qFormat/>
    <w:uiPriority w:val="0"/>
  </w:style>
  <w:style w:type="paragraph" w:styleId="20">
    <w:name w:val="header"/>
    <w:basedOn w:val="1"/>
    <w:link w:val="57"/>
    <w:unhideWhenUsed/>
    <w:qFormat/>
    <w:uiPriority w:val="99"/>
    <w:pPr>
      <w:pBdr>
        <w:bottom w:val="single" w:color="auto" w:sz="6" w:space="1"/>
      </w:pBdr>
      <w:tabs>
        <w:tab w:val="center" w:pos="4153"/>
        <w:tab w:val="right" w:pos="8306"/>
      </w:tabs>
      <w:jc w:val="center"/>
    </w:pPr>
    <w:rPr>
      <w:sz w:val="18"/>
      <w:szCs w:val="18"/>
    </w:rPr>
  </w:style>
  <w:style w:type="paragraph" w:styleId="21">
    <w:name w:val="toc 1"/>
    <w:basedOn w:val="1"/>
    <w:next w:val="1"/>
    <w:unhideWhenUsed/>
    <w:qFormat/>
    <w:uiPriority w:val="39"/>
  </w:style>
  <w:style w:type="paragraph" w:styleId="22">
    <w:name w:val="toc 4"/>
    <w:basedOn w:val="1"/>
    <w:next w:val="1"/>
    <w:unhideWhenUsed/>
    <w:qFormat/>
    <w:uiPriority w:val="39"/>
    <w:pPr>
      <w:tabs>
        <w:tab w:val="right" w:leader="dot" w:pos="8296"/>
      </w:tabs>
      <w:spacing w:after="120"/>
      <w:ind w:left="1320" w:leftChars="600"/>
    </w:pPr>
  </w:style>
  <w:style w:type="paragraph" w:styleId="23">
    <w:name w:val="footnote text"/>
    <w:basedOn w:val="1"/>
    <w:semiHidden/>
    <w:unhideWhenUsed/>
    <w:qFormat/>
    <w:uiPriority w:val="99"/>
    <w:rPr>
      <w:sz w:val="18"/>
    </w:rPr>
  </w:style>
  <w:style w:type="paragraph" w:styleId="24">
    <w:name w:val="toc 6"/>
    <w:basedOn w:val="1"/>
    <w:next w:val="1"/>
    <w:qFormat/>
    <w:uiPriority w:val="39"/>
    <w:pPr>
      <w:ind w:left="1200"/>
    </w:pPr>
    <w:rPr>
      <w:rFonts w:ascii="Calibri" w:cs="Calibri"/>
      <w:sz w:val="18"/>
      <w:szCs w:val="18"/>
    </w:rPr>
  </w:style>
  <w:style w:type="paragraph" w:styleId="25">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6">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7">
    <w:name w:val="Normal (Web)"/>
    <w:basedOn w:val="1"/>
    <w:link w:val="61"/>
    <w:qFormat/>
    <w:uiPriority w:val="0"/>
    <w:pPr>
      <w:widowControl w:val="0"/>
      <w:adjustRightInd/>
      <w:snapToGrid/>
      <w:jc w:val="both"/>
    </w:pPr>
    <w:rPr>
      <w:rFonts w:asciiTheme="minorHAnsi" w:hAnsiTheme="minorHAnsi"/>
      <w:kern w:val="2"/>
      <w:sz w:val="24"/>
      <w:szCs w:val="24"/>
    </w:rPr>
  </w:style>
  <w:style w:type="paragraph" w:styleId="28">
    <w:name w:val="annotation subject"/>
    <w:basedOn w:val="9"/>
    <w:next w:val="9"/>
    <w:link w:val="65"/>
    <w:semiHidden/>
    <w:unhideWhenUsed/>
    <w:qFormat/>
    <w:uiPriority w:val="99"/>
    <w:rPr>
      <w:b/>
      <w:bCs/>
    </w:rPr>
  </w:style>
  <w:style w:type="paragraph" w:styleId="29">
    <w:name w:val="Body Text First Indent"/>
    <w:basedOn w:val="10"/>
    <w:next w:val="1"/>
    <w:qFormat/>
    <w:uiPriority w:val="0"/>
    <w:pPr>
      <w:spacing w:after="120"/>
      <w:ind w:firstLine="420" w:firstLineChars="100"/>
    </w:pPr>
    <w:rPr>
      <w:bCs/>
      <w:szCs w:val="21"/>
    </w:rPr>
  </w:style>
  <w:style w:type="paragraph" w:styleId="30">
    <w:name w:val="Body Text First Indent 2"/>
    <w:basedOn w:val="11"/>
    <w:next w:val="1"/>
    <w:qFormat/>
    <w:uiPriority w:val="0"/>
    <w:pPr>
      <w:ind w:left="0" w:leftChars="0" w:firstLine="420" w:firstLineChars="200"/>
    </w:pPr>
    <w:rPr>
      <w:rFonts w:ascii="Tahoma" w:hAnsi="Tahoma"/>
      <w:sz w:val="28"/>
    </w:rPr>
  </w:style>
  <w:style w:type="table" w:styleId="32">
    <w:name w:val="Table Grid"/>
    <w:basedOn w:val="3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basedOn w:val="33"/>
    <w:qFormat/>
    <w:uiPriority w:val="0"/>
  </w:style>
  <w:style w:type="character" w:styleId="35">
    <w:name w:val="Emphasis"/>
    <w:basedOn w:val="33"/>
    <w:qFormat/>
    <w:uiPriority w:val="20"/>
    <w:rPr>
      <w:i/>
      <w:iCs/>
    </w:rPr>
  </w:style>
  <w:style w:type="character" w:styleId="36">
    <w:name w:val="Hyperlink"/>
    <w:qFormat/>
    <w:uiPriority w:val="99"/>
    <w:rPr>
      <w:rFonts w:hint="eastAsia" w:ascii="宋体" w:hAnsi="宋体" w:eastAsia="宋体" w:cs="宋体"/>
      <w:b/>
      <w:color w:val="0031C1"/>
      <w:kern w:val="0"/>
      <w:sz w:val="18"/>
      <w:szCs w:val="18"/>
      <w:u w:val="none"/>
      <w:lang w:eastAsia="en-US"/>
    </w:rPr>
  </w:style>
  <w:style w:type="character" w:styleId="37">
    <w:name w:val="annotation reference"/>
    <w:basedOn w:val="33"/>
    <w:semiHidden/>
    <w:unhideWhenUsed/>
    <w:qFormat/>
    <w:uiPriority w:val="99"/>
    <w:rPr>
      <w:sz w:val="21"/>
      <w:szCs w:val="21"/>
    </w:rPr>
  </w:style>
  <w:style w:type="character" w:styleId="38">
    <w:name w:val="footnote reference"/>
    <w:basedOn w:val="33"/>
    <w:semiHidden/>
    <w:unhideWhenUsed/>
    <w:qFormat/>
    <w:uiPriority w:val="99"/>
    <w:rPr>
      <w:vertAlign w:val="superscript"/>
    </w:rPr>
  </w:style>
  <w:style w:type="paragraph" w:customStyle="1" w:styleId="39">
    <w:name w:val="Normal_7_0"/>
    <w:qFormat/>
    <w:uiPriority w:val="0"/>
    <w:pPr>
      <w:widowControl w:val="0"/>
      <w:jc w:val="both"/>
    </w:pPr>
    <w:rPr>
      <w:rFonts w:ascii="宋体" w:hAnsi="宋体" w:eastAsia="宋体" w:cs="宋体"/>
      <w:lang w:val="en-US" w:eastAsia="zh-CN" w:bidi="ar-SA"/>
    </w:rPr>
  </w:style>
  <w:style w:type="paragraph" w:customStyle="1" w:styleId="40">
    <w:name w:val="样式 正文首行缩进 + 首行缩进:  1 字符"/>
    <w:basedOn w:val="1"/>
    <w:next w:val="1"/>
    <w:qFormat/>
    <w:uiPriority w:val="0"/>
    <w:pPr>
      <w:ind w:firstLine="200" w:firstLineChars="200"/>
    </w:pPr>
    <w:rPr>
      <w:rFonts w:cs="宋体"/>
      <w:szCs w:val="20"/>
    </w:rPr>
  </w:style>
  <w:style w:type="paragraph" w:customStyle="1" w:styleId="41">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2">
    <w:name w:val="标题 2 字符"/>
    <w:basedOn w:val="33"/>
    <w:link w:val="3"/>
    <w:qFormat/>
    <w:uiPriority w:val="9"/>
    <w:rPr>
      <w:rFonts w:asciiTheme="majorHAnsi" w:hAnsiTheme="majorHAnsi" w:eastAsiaTheme="majorEastAsia" w:cstheme="majorBidi"/>
      <w:b/>
      <w:bCs/>
      <w:sz w:val="32"/>
      <w:szCs w:val="32"/>
    </w:rPr>
  </w:style>
  <w:style w:type="character" w:customStyle="1" w:styleId="43">
    <w:name w:val="标题 3 字符"/>
    <w:basedOn w:val="33"/>
    <w:link w:val="4"/>
    <w:qFormat/>
    <w:uiPriority w:val="9"/>
    <w:rPr>
      <w:rFonts w:ascii="Tahoma" w:hAnsi="Tahoma"/>
      <w:b/>
      <w:bCs/>
      <w:sz w:val="32"/>
      <w:szCs w:val="32"/>
    </w:rPr>
  </w:style>
  <w:style w:type="paragraph" w:styleId="44">
    <w:name w:val="List Paragraph"/>
    <w:basedOn w:val="1"/>
    <w:link w:val="66"/>
    <w:qFormat/>
    <w:uiPriority w:val="0"/>
    <w:pPr>
      <w:ind w:firstLine="420" w:firstLineChars="200"/>
    </w:pPr>
  </w:style>
  <w:style w:type="character" w:customStyle="1" w:styleId="45">
    <w:name w:val="标题 4 字符"/>
    <w:basedOn w:val="33"/>
    <w:link w:val="5"/>
    <w:qFormat/>
    <w:uiPriority w:val="9"/>
    <w:rPr>
      <w:rFonts w:eastAsia="宋体" w:asciiTheme="majorHAnsi" w:hAnsiTheme="majorHAnsi" w:cstheme="majorBidi"/>
      <w:b/>
      <w:bCs/>
      <w:sz w:val="24"/>
      <w:szCs w:val="28"/>
    </w:rPr>
  </w:style>
  <w:style w:type="character" w:customStyle="1" w:styleId="46">
    <w:name w:val="正文缩进2格 Char"/>
    <w:link w:val="47"/>
    <w:qFormat/>
    <w:uiPriority w:val="0"/>
    <w:rPr>
      <w:rFonts w:ascii="仿宋_GB2312" w:hAnsi="宋体" w:eastAsia="仿宋_GB2312"/>
      <w:kern w:val="2"/>
      <w:sz w:val="31"/>
    </w:rPr>
  </w:style>
  <w:style w:type="paragraph" w:customStyle="1" w:styleId="47">
    <w:name w:val="正文缩进2格"/>
    <w:basedOn w:val="1"/>
    <w:link w:val="46"/>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8">
    <w:name w:val="正文缩进4格"/>
    <w:basedOn w:val="47"/>
    <w:qFormat/>
    <w:uiPriority w:val="0"/>
    <w:pPr>
      <w:ind w:left="2" w:firstLine="538" w:firstLineChars="192"/>
    </w:pPr>
    <w:rPr>
      <w:color w:val="0000FF"/>
      <w:sz w:val="28"/>
    </w:rPr>
  </w:style>
  <w:style w:type="character" w:customStyle="1" w:styleId="49">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0">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1">
    <w:name w:val="标题1"/>
    <w:qFormat/>
    <w:uiPriority w:val="0"/>
    <w:rPr>
      <w:rFonts w:ascii="Times New Roman" w:hAnsi="Times New Roman" w:eastAsia="宋体" w:cs="Times New Roman"/>
      <w:b/>
      <w:kern w:val="0"/>
      <w:sz w:val="24"/>
      <w:szCs w:val="20"/>
      <w:lang w:eastAsia="en-US"/>
    </w:rPr>
  </w:style>
  <w:style w:type="character" w:customStyle="1" w:styleId="52">
    <w:name w:val="标题 3.1 Char"/>
    <w:link w:val="53"/>
    <w:qFormat/>
    <w:uiPriority w:val="0"/>
    <w:rPr>
      <w:rFonts w:ascii="宋体" w:hAnsi="宋体" w:eastAsia="宋体"/>
      <w:b/>
      <w:color w:val="FF0000"/>
      <w:kern w:val="2"/>
      <w:sz w:val="32"/>
    </w:rPr>
  </w:style>
  <w:style w:type="paragraph" w:customStyle="1" w:styleId="53">
    <w:name w:val="标题 3.1"/>
    <w:basedOn w:val="4"/>
    <w:link w:val="52"/>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4">
    <w:name w:val="样式 楷体_GB2312 小四"/>
    <w:qFormat/>
    <w:uiPriority w:val="0"/>
    <w:rPr>
      <w:rFonts w:ascii="楷体_GB2312" w:hAnsi="楷体_GB2312" w:eastAsia="仿宋_GB2312"/>
      <w:sz w:val="24"/>
    </w:rPr>
  </w:style>
  <w:style w:type="character" w:customStyle="1" w:styleId="55">
    <w:name w:val="纯文本 Char"/>
    <w:qFormat/>
    <w:uiPriority w:val="0"/>
    <w:rPr>
      <w:rFonts w:ascii="宋体" w:hAnsi="Courier New" w:eastAsia="宋体" w:cs="Times New Roman"/>
      <w:b/>
      <w:kern w:val="2"/>
      <w:sz w:val="21"/>
      <w:szCs w:val="20"/>
    </w:rPr>
  </w:style>
  <w:style w:type="character" w:customStyle="1" w:styleId="56">
    <w:name w:val="纯文本 字符"/>
    <w:basedOn w:val="33"/>
    <w:link w:val="14"/>
    <w:semiHidden/>
    <w:qFormat/>
    <w:uiPriority w:val="99"/>
    <w:rPr>
      <w:rFonts w:ascii="宋体" w:hAnsi="Courier New" w:eastAsia="宋体" w:cs="Courier New"/>
      <w:sz w:val="21"/>
      <w:szCs w:val="21"/>
    </w:rPr>
  </w:style>
  <w:style w:type="character" w:customStyle="1" w:styleId="57">
    <w:name w:val="页眉 字符"/>
    <w:basedOn w:val="33"/>
    <w:link w:val="20"/>
    <w:qFormat/>
    <w:uiPriority w:val="99"/>
    <w:rPr>
      <w:rFonts w:ascii="Tahoma" w:hAnsi="Tahoma"/>
      <w:sz w:val="18"/>
      <w:szCs w:val="18"/>
    </w:rPr>
  </w:style>
  <w:style w:type="character" w:customStyle="1" w:styleId="58">
    <w:name w:val="页脚 字符"/>
    <w:basedOn w:val="33"/>
    <w:link w:val="18"/>
    <w:qFormat/>
    <w:uiPriority w:val="99"/>
    <w:rPr>
      <w:rFonts w:ascii="Tahoma" w:hAnsi="Tahoma"/>
      <w:sz w:val="18"/>
      <w:szCs w:val="18"/>
    </w:rPr>
  </w:style>
  <w:style w:type="character" w:customStyle="1" w:styleId="59">
    <w:name w:val="批注框文本 字符"/>
    <w:basedOn w:val="33"/>
    <w:link w:val="17"/>
    <w:semiHidden/>
    <w:qFormat/>
    <w:uiPriority w:val="99"/>
    <w:rPr>
      <w:rFonts w:ascii="Tahoma" w:hAnsi="Tahoma"/>
      <w:sz w:val="18"/>
      <w:szCs w:val="18"/>
    </w:rPr>
  </w:style>
  <w:style w:type="paragraph" w:customStyle="1" w:styleId="60">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1">
    <w:name w:val="普通(网站) 字符"/>
    <w:link w:val="27"/>
    <w:qFormat/>
    <w:uiPriority w:val="0"/>
    <w:rPr>
      <w:rFonts w:eastAsia="宋体"/>
      <w:kern w:val="2"/>
      <w:sz w:val="24"/>
      <w:szCs w:val="24"/>
    </w:rPr>
  </w:style>
  <w:style w:type="paragraph" w:customStyle="1" w:styleId="62">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3">
    <w:name w:val="p141"/>
    <w:qFormat/>
    <w:uiPriority w:val="0"/>
    <w:rPr>
      <w:sz w:val="21"/>
      <w:szCs w:val="21"/>
    </w:rPr>
  </w:style>
  <w:style w:type="character" w:customStyle="1" w:styleId="64">
    <w:name w:val="批注文字 字符"/>
    <w:basedOn w:val="33"/>
    <w:link w:val="9"/>
    <w:qFormat/>
    <w:uiPriority w:val="99"/>
    <w:rPr>
      <w:rFonts w:ascii="Tahoma" w:hAnsi="Tahoma" w:eastAsia="微软雅黑" w:cstheme="minorBidi"/>
      <w:sz w:val="22"/>
      <w:szCs w:val="22"/>
    </w:rPr>
  </w:style>
  <w:style w:type="character" w:customStyle="1" w:styleId="65">
    <w:name w:val="批注主题 字符"/>
    <w:basedOn w:val="64"/>
    <w:link w:val="28"/>
    <w:semiHidden/>
    <w:qFormat/>
    <w:uiPriority w:val="99"/>
    <w:rPr>
      <w:rFonts w:ascii="Tahoma" w:hAnsi="Tahoma" w:eastAsia="微软雅黑" w:cstheme="minorBidi"/>
      <w:b/>
      <w:bCs/>
      <w:sz w:val="22"/>
      <w:szCs w:val="22"/>
    </w:rPr>
  </w:style>
  <w:style w:type="character" w:customStyle="1" w:styleId="66">
    <w:name w:val="列出段落 字符"/>
    <w:link w:val="44"/>
    <w:qFormat/>
    <w:uiPriority w:val="0"/>
    <w:rPr>
      <w:rFonts w:ascii="Tahoma" w:hAnsi="Tahoma" w:eastAsia="微软雅黑" w:cstheme="minorBidi"/>
      <w:sz w:val="22"/>
      <w:szCs w:val="22"/>
    </w:rPr>
  </w:style>
  <w:style w:type="character" w:customStyle="1" w:styleId="67">
    <w:name w:val="正文文本 字符"/>
    <w:basedOn w:val="33"/>
    <w:link w:val="10"/>
    <w:qFormat/>
    <w:uiPriority w:val="1"/>
    <w:rPr>
      <w:rFonts w:ascii="宋体" w:hAnsi="宋体" w:cs="宋体"/>
      <w:sz w:val="24"/>
      <w:szCs w:val="22"/>
      <w:lang w:val="zh-CN" w:bidi="zh-CN"/>
    </w:rPr>
  </w:style>
  <w:style w:type="paragraph" w:customStyle="1" w:styleId="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_Style 1"/>
    <w:basedOn w:val="1"/>
    <w:qFormat/>
    <w:uiPriority w:val="0"/>
    <w:pPr>
      <w:ind w:firstLine="420" w:firstLineChars="200"/>
    </w:pPr>
  </w:style>
  <w:style w:type="paragraph" w:customStyle="1" w:styleId="70">
    <w:name w:val="列出段落2"/>
    <w:basedOn w:val="1"/>
    <w:qFormat/>
    <w:uiPriority w:val="0"/>
    <w:pPr>
      <w:ind w:firstLine="420" w:firstLineChars="200"/>
    </w:pPr>
  </w:style>
  <w:style w:type="paragraph" w:customStyle="1" w:styleId="71">
    <w:name w:val="p0"/>
    <w:basedOn w:val="1"/>
    <w:qFormat/>
    <w:uiPriority w:val="0"/>
    <w:rPr>
      <w:szCs w:val="21"/>
    </w:rPr>
  </w:style>
  <w:style w:type="paragraph" w:customStyle="1" w:styleId="72">
    <w:name w:val="正文文本缩进 21"/>
    <w:basedOn w:val="1"/>
    <w:qFormat/>
    <w:uiPriority w:val="0"/>
    <w:pPr>
      <w:spacing w:line="480" w:lineRule="auto"/>
      <w:ind w:firstLine="540"/>
    </w:pPr>
    <w:rPr>
      <w:rFonts w:ascii="Calibri" w:hAnsi="Calibri"/>
      <w:sz w:val="20"/>
      <w:szCs w:val="20"/>
    </w:rPr>
  </w:style>
  <w:style w:type="paragraph" w:customStyle="1" w:styleId="73">
    <w:name w:val="_Style 2"/>
    <w:basedOn w:val="1"/>
    <w:qFormat/>
    <w:uiPriority w:val="0"/>
    <w:pPr>
      <w:ind w:firstLine="420" w:firstLineChars="200"/>
    </w:pPr>
  </w:style>
  <w:style w:type="paragraph" w:customStyle="1" w:styleId="74">
    <w:name w:val="msolistparagraph"/>
    <w:basedOn w:val="1"/>
    <w:qFormat/>
    <w:uiPriority w:val="0"/>
    <w:pPr>
      <w:ind w:firstLine="420" w:firstLineChars="200"/>
    </w:pPr>
    <w:rPr>
      <w:rFonts w:hint="eastAsia" w:hAnsi="宋体"/>
    </w:rPr>
  </w:style>
  <w:style w:type="character" w:customStyle="1" w:styleId="75">
    <w:name w:val="标题 5 字符"/>
    <w:link w:val="6"/>
    <w:qFormat/>
    <w:uiPriority w:val="0"/>
    <w:rPr>
      <w:b/>
      <w:sz w:val="28"/>
    </w:rPr>
  </w:style>
  <w:style w:type="character" w:customStyle="1" w:styleId="76">
    <w:name w:val="标题 1 字符"/>
    <w:link w:val="2"/>
    <w:qFormat/>
    <w:uiPriority w:val="9"/>
    <w:rPr>
      <w:b/>
      <w:kern w:val="44"/>
      <w:sz w:val="44"/>
    </w:rPr>
  </w:style>
  <w:style w:type="paragraph" w:customStyle="1" w:styleId="77">
    <w:name w:val="修订1"/>
    <w:hidden/>
    <w:semiHidden/>
    <w:qFormat/>
    <w:uiPriority w:val="99"/>
    <w:rPr>
      <w:rFonts w:ascii="Tahoma" w:hAnsi="Tahoma" w:eastAsia="宋体" w:cstheme="minorBidi"/>
      <w:sz w:val="21"/>
      <w:szCs w:val="22"/>
      <w:lang w:val="en-US" w:eastAsia="zh-CN" w:bidi="ar-SA"/>
    </w:rPr>
  </w:style>
  <w:style w:type="paragraph" w:customStyle="1" w:styleId="78">
    <w:name w:val="表格文字"/>
    <w:basedOn w:val="1"/>
    <w:qFormat/>
    <w:uiPriority w:val="0"/>
    <w:pPr>
      <w:adjustRightInd/>
      <w:spacing w:before="25" w:after="25"/>
    </w:pPr>
    <w:rPr>
      <w:rFonts w:ascii="Times New Roman"/>
      <w:bCs/>
      <w:spacing w:val="10"/>
      <w:szCs w:val="20"/>
    </w:rPr>
  </w:style>
  <w:style w:type="paragraph" w:customStyle="1" w:styleId="79">
    <w:name w:val="纯文本1"/>
    <w:basedOn w:val="80"/>
    <w:qFormat/>
    <w:uiPriority w:val="0"/>
    <w:rPr>
      <w:rFonts w:ascii="宋体" w:hAnsi="Courier New"/>
      <w:szCs w:val="20"/>
    </w:rPr>
  </w:style>
  <w:style w:type="paragraph" w:customStyle="1" w:styleId="80">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1">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2">
    <w:name w:val="Table Normal"/>
    <w:semiHidden/>
    <w:unhideWhenUsed/>
    <w:qFormat/>
    <w:uiPriority w:val="2"/>
    <w:tblPr>
      <w:tblCellMar>
        <w:top w:w="0" w:type="dxa"/>
        <w:left w:w="0" w:type="dxa"/>
        <w:bottom w:w="0" w:type="dxa"/>
        <w:right w:w="0" w:type="dxa"/>
      </w:tblCellMar>
    </w:tblPr>
  </w:style>
  <w:style w:type="paragraph" w:customStyle="1" w:styleId="83">
    <w:name w:val="Table Paragraph"/>
    <w:basedOn w:val="1"/>
    <w:qFormat/>
    <w:uiPriority w:val="1"/>
  </w:style>
  <w:style w:type="paragraph" w:customStyle="1" w:styleId="84">
    <w:name w:val="正文文本缩进1"/>
    <w:basedOn w:val="80"/>
    <w:qFormat/>
    <w:uiPriority w:val="0"/>
    <w:pPr>
      <w:spacing w:after="120"/>
      <w:ind w:left="420" w:leftChars="200"/>
    </w:pPr>
  </w:style>
  <w:style w:type="paragraph" w:customStyle="1" w:styleId="85">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6">
    <w:name w:val="纯文本2"/>
    <w:basedOn w:val="80"/>
    <w:qFormat/>
    <w:uiPriority w:val="0"/>
    <w:rPr>
      <w:rFonts w:ascii="宋体" w:hAnsi="Courier New"/>
      <w:szCs w:val="20"/>
    </w:rPr>
  </w:style>
  <w:style w:type="character" w:customStyle="1" w:styleId="87">
    <w:name w:val="font141"/>
    <w:qFormat/>
    <w:uiPriority w:val="0"/>
    <w:rPr>
      <w:rFonts w:hint="default" w:ascii="Times New Roman" w:hAnsi="Times New Roman" w:cs="Times New Roman"/>
      <w:color w:val="000000"/>
      <w:sz w:val="18"/>
      <w:szCs w:val="18"/>
      <w:u w:val="none"/>
    </w:rPr>
  </w:style>
  <w:style w:type="character" w:customStyle="1" w:styleId="88">
    <w:name w:val="font71"/>
    <w:qFormat/>
    <w:uiPriority w:val="0"/>
    <w:rPr>
      <w:rFonts w:hint="eastAsia" w:ascii="宋体" w:hAnsi="宋体" w:eastAsia="宋体" w:cs="宋体"/>
      <w:color w:val="000000"/>
      <w:sz w:val="18"/>
      <w:szCs w:val="18"/>
      <w:u w:val="none"/>
    </w:rPr>
  </w:style>
  <w:style w:type="paragraph" w:customStyle="1" w:styleId="89">
    <w:name w:val="列出段落3"/>
    <w:basedOn w:val="1"/>
    <w:qFormat/>
    <w:uiPriority w:val="0"/>
    <w:pPr>
      <w:ind w:firstLine="420" w:firstLineChars="200"/>
    </w:pPr>
  </w:style>
  <w:style w:type="paragraph" w:customStyle="1" w:styleId="90">
    <w:name w:val="样式 标题 2 + Times New Roman 四号 非加粗 段前: 5 磅 段后: 0 磅 行距: 固定值 20..."/>
    <w:basedOn w:val="3"/>
    <w:qFormat/>
    <w:uiPriority w:val="0"/>
    <w:pPr>
      <w:adjustRightInd/>
      <w:spacing w:before="100" w:after="0" w:line="400" w:lineRule="exact"/>
      <w:jc w:val="both"/>
    </w:pPr>
    <w:rPr>
      <w:rFonts w:ascii="Times New Roman" w:hAnsi="Times New Roman" w:cs="宋体"/>
      <w:bCs w:val="0"/>
      <w:kern w:val="2"/>
      <w:sz w:val="28"/>
    </w:rPr>
  </w:style>
  <w:style w:type="paragraph" w:customStyle="1" w:styleId="91">
    <w:name w:val="保留正文"/>
    <w:basedOn w:val="10"/>
    <w:qFormat/>
    <w:uiPriority w:val="0"/>
    <w:pPr>
      <w:keepNext/>
      <w:widowControl w:val="0"/>
      <w:adjustRightInd/>
      <w:snapToGrid/>
      <w:spacing w:before="0" w:after="160" w:line="240" w:lineRule="auto"/>
      <w:ind w:left="0"/>
      <w:jc w:val="both"/>
    </w:pPr>
    <w:rPr>
      <w:rFonts w:ascii="Times New Roman" w:hAnsi="Times New Roman" w:cs="Times New Roman"/>
      <w:kern w:val="2"/>
      <w:sz w:val="21"/>
      <w:szCs w:val="24"/>
      <w:lang w:val="en-US" w:bidi="ar-SA"/>
    </w:rPr>
  </w:style>
  <w:style w:type="paragraph" w:customStyle="1" w:styleId="92">
    <w:name w:val="列表段落1"/>
    <w:basedOn w:val="1"/>
    <w:link w:val="93"/>
    <w:qFormat/>
    <w:uiPriority w:val="99"/>
    <w:pPr>
      <w:widowControl w:val="0"/>
      <w:numPr>
        <w:ilvl w:val="0"/>
        <w:numId w:val="1"/>
      </w:numPr>
      <w:adjustRightInd/>
      <w:jc w:val="center"/>
    </w:pPr>
    <w:rPr>
      <w:rFonts w:ascii="Calibri" w:hAnsi="Calibri" w:cs="Times New Roman"/>
      <w:kern w:val="2"/>
    </w:rPr>
  </w:style>
  <w:style w:type="character" w:customStyle="1" w:styleId="93">
    <w:name w:val="列表段落 字符"/>
    <w:link w:val="92"/>
    <w:qFormat/>
    <w:locked/>
    <w:uiPriority w:val="99"/>
    <w:rPr>
      <w:rFonts w:ascii="Calibri" w:hAnsi="Calibr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E0EB28-4AD8-4C08-B175-FDB5BF868B1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76</Pages>
  <Words>3431</Words>
  <Characters>3960</Characters>
  <Lines>82</Lines>
  <Paragraphs>81</Paragraphs>
  <TotalTime>47</TotalTime>
  <ScaleCrop>false</ScaleCrop>
  <LinksUpToDate>false</LinksUpToDate>
  <CharactersWithSpaces>4121</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洪峰</cp:lastModifiedBy>
  <cp:lastPrinted>2025-11-05T02:38:00Z</cp:lastPrinted>
  <dcterms:modified xsi:type="dcterms:W3CDTF">2026-02-24T06:10:57Z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2E2DDA958A0F44AEB2E17A5E884DE04B_13</vt:lpwstr>
  </property>
  <property fmtid="{D5CDD505-2E9C-101B-9397-08002B2CF9AE}" pid="4" name="KSOTemplateDocerSaveRecord">
    <vt:lpwstr>eyJoZGlkIjoiZjU4NWFhMGMzNzUyMDc0OTg0MWY2YzhkNTYxN2ZhZGIiLCJ1c2VySWQiOiIxMTI0MjM1MDk0In0=</vt:lpwstr>
  </property>
</Properties>
</file>