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7AA6C">
      <w:pPr>
        <w:jc w:val="right"/>
        <w:rPr>
          <w:rFonts w:ascii="黑体" w:eastAsia="黑体"/>
          <w:color w:val="auto"/>
          <w:szCs w:val="21"/>
          <w:highlight w:val="none"/>
        </w:rPr>
      </w:pPr>
    </w:p>
    <w:p w14:paraId="3A58EFE6">
      <w:pPr>
        <w:pStyle w:val="43"/>
        <w:ind w:firstLine="400"/>
        <w:rPr>
          <w:color w:val="auto"/>
          <w:highlight w:val="none"/>
        </w:rPr>
      </w:pPr>
    </w:p>
    <w:p w14:paraId="44920DB0">
      <w:pPr>
        <w:rPr>
          <w:color w:val="auto"/>
          <w:highlight w:val="none"/>
        </w:rPr>
      </w:pPr>
    </w:p>
    <w:p w14:paraId="21B7F916">
      <w:pPr>
        <w:rPr>
          <w:color w:val="auto"/>
          <w:highlight w:val="none"/>
        </w:rPr>
      </w:pPr>
    </w:p>
    <w:p w14:paraId="62003E24">
      <w:pPr>
        <w:rPr>
          <w:color w:val="auto"/>
          <w:highlight w:val="none"/>
        </w:rPr>
      </w:pPr>
    </w:p>
    <w:p w14:paraId="21C3B717">
      <w:pPr>
        <w:ind w:right="-28"/>
        <w:jc w:val="center"/>
        <w:textAlignment w:val="bottom"/>
        <w:rPr>
          <w:rFonts w:hint="eastAsia"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255CF232">
      <w:pPr>
        <w:rPr>
          <w:color w:val="auto"/>
          <w:highlight w:val="none"/>
        </w:rPr>
      </w:pPr>
    </w:p>
    <w:p w14:paraId="7F67F2CC">
      <w:pPr>
        <w:pStyle w:val="2"/>
        <w:rPr>
          <w:rFonts w:hint="eastAsia"/>
          <w:color w:val="auto"/>
          <w:highlight w:val="none"/>
        </w:rPr>
      </w:pPr>
    </w:p>
    <w:p w14:paraId="177CC9A8">
      <w:pPr>
        <w:ind w:firstLine="240"/>
        <w:rPr>
          <w:color w:val="auto"/>
          <w:highlight w:val="none"/>
        </w:rPr>
      </w:pPr>
    </w:p>
    <w:tbl>
      <w:tblPr>
        <w:tblStyle w:val="31"/>
        <w:tblW w:w="8820" w:type="dxa"/>
        <w:tblInd w:w="4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4"/>
        <w:gridCol w:w="6816"/>
      </w:tblGrid>
      <w:tr w14:paraId="14204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004" w:type="dxa"/>
            <w:noWrap/>
            <w:vAlign w:val="center"/>
          </w:tcPr>
          <w:p w14:paraId="71D8B3DF">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816" w:type="dxa"/>
            <w:noWrap/>
            <w:vAlign w:val="center"/>
          </w:tcPr>
          <w:p w14:paraId="68211028">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东莞市新锋新能源有限公司裕隆厂区分布式光伏发电项目</w:t>
            </w:r>
          </w:p>
        </w:tc>
      </w:tr>
      <w:tr w14:paraId="13708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004" w:type="dxa"/>
            <w:noWrap/>
            <w:vAlign w:val="center"/>
          </w:tcPr>
          <w:p w14:paraId="1E502D6C">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816" w:type="dxa"/>
            <w:noWrap/>
            <w:vAlign w:val="center"/>
          </w:tcPr>
          <w:p w14:paraId="16C86A9F">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JHCG-DS-001(2026)</w:t>
            </w:r>
          </w:p>
        </w:tc>
      </w:tr>
      <w:tr w14:paraId="5A5F0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004" w:type="dxa"/>
            <w:noWrap/>
            <w:vAlign w:val="center"/>
          </w:tcPr>
          <w:p w14:paraId="6ED0BDFF">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816" w:type="dxa"/>
            <w:noWrap/>
            <w:vAlign w:val="center"/>
          </w:tcPr>
          <w:p w14:paraId="1EA3C818">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东莞市新锋新能源有限公司</w:t>
            </w:r>
          </w:p>
        </w:tc>
      </w:tr>
      <w:tr w14:paraId="2AAD0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004" w:type="dxa"/>
            <w:noWrap/>
            <w:vAlign w:val="center"/>
          </w:tcPr>
          <w:p w14:paraId="7811027B">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816" w:type="dxa"/>
            <w:noWrap/>
            <w:vAlign w:val="center"/>
          </w:tcPr>
          <w:p w14:paraId="64B3DA58">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广东建瀚工程管理有限公司</w:t>
            </w:r>
          </w:p>
        </w:tc>
      </w:tr>
    </w:tbl>
    <w:p w14:paraId="68E6213B">
      <w:pPr>
        <w:jc w:val="center"/>
        <w:rPr>
          <w:rFonts w:ascii="黑体" w:eastAsia="黑体"/>
          <w:color w:val="auto"/>
          <w:szCs w:val="21"/>
          <w:highlight w:val="none"/>
        </w:rPr>
      </w:pPr>
    </w:p>
    <w:p w14:paraId="2D50DDB8">
      <w:pPr>
        <w:jc w:val="center"/>
        <w:rPr>
          <w:rFonts w:ascii="黑体" w:eastAsia="黑体"/>
          <w:color w:val="auto"/>
          <w:szCs w:val="21"/>
          <w:highlight w:val="none"/>
        </w:rPr>
      </w:pPr>
    </w:p>
    <w:p w14:paraId="1134019B">
      <w:pPr>
        <w:jc w:val="center"/>
        <w:rPr>
          <w:rFonts w:ascii="黑体" w:eastAsia="黑体"/>
          <w:color w:val="auto"/>
          <w:szCs w:val="21"/>
          <w:highlight w:val="none"/>
        </w:rPr>
      </w:pPr>
    </w:p>
    <w:p w14:paraId="4C92784C">
      <w:pPr>
        <w:pStyle w:val="43"/>
        <w:ind w:firstLine="400"/>
        <w:rPr>
          <w:color w:val="auto"/>
          <w:highlight w:val="none"/>
        </w:rPr>
      </w:pPr>
    </w:p>
    <w:p w14:paraId="2DB0B733">
      <w:pPr>
        <w:jc w:val="center"/>
        <w:rPr>
          <w:rFonts w:ascii="黑体" w:eastAsia="黑体"/>
          <w:color w:val="auto"/>
          <w:szCs w:val="21"/>
          <w:highlight w:val="none"/>
        </w:rPr>
      </w:pPr>
    </w:p>
    <w:p w14:paraId="2B0FA7A7">
      <w:pPr>
        <w:jc w:val="center"/>
        <w:rPr>
          <w:rFonts w:ascii="黑体" w:eastAsia="黑体"/>
          <w:color w:val="auto"/>
          <w:szCs w:val="21"/>
          <w:highlight w:val="none"/>
        </w:rPr>
      </w:pPr>
    </w:p>
    <w:p w14:paraId="57520C21">
      <w:pPr>
        <w:spacing w:before="200"/>
        <w:jc w:val="center"/>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202</w:t>
      </w:r>
      <w:r>
        <w:rPr>
          <w:rFonts w:hint="eastAsia" w:ascii="黑体" w:hAnsi="黑体" w:eastAsia="黑体" w:cs="黑体"/>
          <w:bCs/>
          <w:color w:val="auto"/>
          <w:sz w:val="32"/>
          <w:szCs w:val="24"/>
          <w:highlight w:val="none"/>
          <w:lang w:val="en-US" w:eastAsia="zh-CN"/>
        </w:rPr>
        <w:t>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1</w:t>
      </w:r>
      <w:r>
        <w:rPr>
          <w:rFonts w:hint="eastAsia" w:ascii="黑体" w:hAnsi="黑体" w:eastAsia="黑体" w:cs="黑体"/>
          <w:bCs/>
          <w:color w:val="auto"/>
          <w:sz w:val="32"/>
          <w:szCs w:val="24"/>
          <w:highlight w:val="none"/>
        </w:rPr>
        <w:t>月</w:t>
      </w:r>
    </w:p>
    <w:p w14:paraId="40F23E8B">
      <w:pPr>
        <w:pStyle w:val="40"/>
        <w:spacing w:before="180"/>
        <w:ind w:firstLine="480"/>
        <w:rPr>
          <w:color w:val="auto"/>
          <w:highlight w:val="none"/>
        </w:rPr>
      </w:pPr>
      <w:r>
        <w:rPr>
          <w:rFonts w:hint="eastAsia"/>
          <w:color w:val="auto"/>
          <w:highlight w:val="none"/>
        </w:rPr>
        <w:br w:type="page"/>
      </w:r>
    </w:p>
    <w:p w14:paraId="3F9FC022">
      <w:pPr>
        <w:pStyle w:val="24"/>
        <w:ind w:left="0" w:left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目录</w:t>
      </w:r>
    </w:p>
    <w:p w14:paraId="24F3928F">
      <w:pPr>
        <w:pStyle w:val="24"/>
        <w:tabs>
          <w:tab w:val="right" w:leader="dot" w:pos="8306"/>
          <w:tab w:val="clear" w:pos="8296"/>
        </w:tabs>
        <w:jc w:val="center"/>
        <w:rPr>
          <w:rFonts w:hint="eastAsia" w:ascii="宋体" w:hAnsi="宋体" w:eastAsia="宋体" w:cs="宋体"/>
          <w:color w:val="auto"/>
          <w:sz w:val="21"/>
          <w:szCs w:val="21"/>
          <w:highlight w:val="none"/>
        </w:rPr>
      </w:pPr>
      <w:r>
        <w:rPr>
          <w:rStyle w:val="36"/>
          <w:rFonts w:hint="eastAsia" w:ascii="宋体" w:hAnsi="宋体" w:eastAsia="宋体" w:cs="宋体"/>
          <w:bCs/>
          <w:color w:val="auto"/>
          <w:sz w:val="21"/>
          <w:szCs w:val="21"/>
          <w:highlight w:val="none"/>
        </w:rPr>
        <w:fldChar w:fldCharType="begin"/>
      </w:r>
      <w:r>
        <w:rPr>
          <w:rStyle w:val="36"/>
          <w:rFonts w:hint="eastAsia" w:ascii="宋体" w:hAnsi="宋体" w:eastAsia="宋体" w:cs="宋体"/>
          <w:bCs/>
          <w:color w:val="auto"/>
          <w:sz w:val="21"/>
          <w:szCs w:val="21"/>
          <w:highlight w:val="none"/>
        </w:rPr>
        <w:instrText xml:space="preserve"> TOC \o "1-4" \h \z \u </w:instrText>
      </w:r>
      <w:r>
        <w:rPr>
          <w:rStyle w:val="36"/>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_Toc15412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第一部分投标邀请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_Toc15412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610FA24">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_Toc30589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投标邀请书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_Toc30589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AD7CFC9">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_Toc32532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第二部分相关资料表格</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_Toc32532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316125F">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_Toc15079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附表一：投标资料表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_Toc15079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10E3878">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_Toc21209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附表二：商务技术评分及价格权重表（满分100分）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_Toc21209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1A027A0">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_Toc7985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第三部分用户需求书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_Toc7985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953BE2F">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_Toc23116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第一章 商务需求书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_Toc23116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F35329A">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_Toc29319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第二章 技术需求书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_Toc29319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785B664">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_Toc3940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kern w:val="2"/>
          <w:sz w:val="21"/>
          <w:szCs w:val="21"/>
          <w:highlight w:val="none"/>
          <w:lang w:val="en-US" w:eastAsia="zh-CN"/>
        </w:rPr>
        <w:t>三</w:t>
      </w:r>
      <w:r>
        <w:rPr>
          <w:rFonts w:hint="eastAsia" w:ascii="宋体" w:hAnsi="宋体" w:eastAsia="宋体" w:cs="宋体"/>
          <w:bCs/>
          <w:color w:val="auto"/>
          <w:kern w:val="2"/>
          <w:sz w:val="21"/>
          <w:szCs w:val="21"/>
          <w:highlight w:val="none"/>
        </w:rPr>
        <w:t>、光伏发电设施技术要求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_Toc3940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2BCC3DD">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_Toc398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kern w:val="2"/>
          <w:sz w:val="21"/>
          <w:szCs w:val="21"/>
          <w:highlight w:val="none"/>
          <w:lang w:val="en-US" w:eastAsia="zh-CN"/>
        </w:rPr>
        <w:t>四、技术要求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3048DAC">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_Toc9340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kern w:val="2"/>
          <w:sz w:val="21"/>
          <w:szCs w:val="21"/>
          <w:highlight w:val="none"/>
          <w:lang w:val="en-US" w:eastAsia="zh-CN"/>
        </w:rPr>
        <w:t>五</w:t>
      </w:r>
      <w:r>
        <w:rPr>
          <w:rFonts w:hint="eastAsia" w:ascii="宋体" w:hAnsi="宋体" w:eastAsia="宋体" w:cs="宋体"/>
          <w:bCs/>
          <w:color w:val="auto"/>
          <w:kern w:val="2"/>
          <w:sz w:val="21"/>
          <w:szCs w:val="21"/>
          <w:highlight w:val="none"/>
        </w:rPr>
        <w:t>、安全运维技术要求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_Toc9340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8DDA9F3">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_Toc5212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kern w:val="2"/>
          <w:sz w:val="21"/>
          <w:szCs w:val="21"/>
          <w:highlight w:val="none"/>
          <w:lang w:val="en-US" w:eastAsia="zh-CN"/>
        </w:rPr>
        <w:t>六</w:t>
      </w:r>
      <w:r>
        <w:rPr>
          <w:rFonts w:hint="eastAsia" w:ascii="宋体" w:hAnsi="宋体" w:eastAsia="宋体" w:cs="宋体"/>
          <w:bCs/>
          <w:color w:val="auto"/>
          <w:kern w:val="2"/>
          <w:sz w:val="21"/>
          <w:szCs w:val="21"/>
          <w:highlight w:val="none"/>
        </w:rPr>
        <w:t>、设计规范和设计依据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_Toc5212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3CD7D38">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_Toc11245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kern w:val="2"/>
          <w:sz w:val="21"/>
          <w:szCs w:val="21"/>
          <w:highlight w:val="none"/>
          <w:lang w:val="en-US" w:eastAsia="zh-CN"/>
        </w:rPr>
        <w:t>七</w:t>
      </w:r>
      <w:r>
        <w:rPr>
          <w:rFonts w:hint="eastAsia" w:ascii="宋体" w:hAnsi="宋体" w:eastAsia="宋体" w:cs="宋体"/>
          <w:bCs/>
          <w:color w:val="auto"/>
          <w:kern w:val="2"/>
          <w:sz w:val="21"/>
          <w:szCs w:val="21"/>
          <w:highlight w:val="none"/>
        </w:rPr>
        <w:t>、消防要求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_Toc11245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4042C31">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_Toc7194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bCs/>
          <w:color w:val="auto"/>
          <w:kern w:val="2"/>
          <w:sz w:val="21"/>
          <w:szCs w:val="21"/>
          <w:highlight w:val="none"/>
          <w:lang w:val="en-US" w:eastAsia="zh-CN"/>
        </w:rPr>
        <w:t>八</w:t>
      </w:r>
      <w:r>
        <w:rPr>
          <w:rFonts w:hint="eastAsia" w:ascii="宋体" w:hAnsi="宋体" w:eastAsia="宋体" w:cs="宋体"/>
          <w:bCs/>
          <w:color w:val="auto"/>
          <w:kern w:val="2"/>
          <w:sz w:val="21"/>
          <w:szCs w:val="21"/>
          <w:highlight w:val="none"/>
        </w:rPr>
        <w:t>、特别要求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_Toc7194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E85EE72">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_Toc8613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第四部分投标人须知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_Toc8613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FB63FD3">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_Toc24252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一、 </w:t>
      </w:r>
      <w:r>
        <w:rPr>
          <w:rFonts w:hint="eastAsia" w:ascii="宋体" w:hAnsi="宋体" w:eastAsia="宋体" w:cs="宋体"/>
          <w:color w:val="auto"/>
          <w:sz w:val="21"/>
          <w:szCs w:val="21"/>
          <w:highlight w:val="none"/>
        </w:rPr>
        <w:t>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_Toc24252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3A3B00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_Toc3716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rPr>
        <w:t>适用范围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_Toc3716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913BCBD">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_Toc6515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 </w:t>
      </w:r>
      <w:r>
        <w:rPr>
          <w:rFonts w:hint="eastAsia" w:ascii="宋体" w:hAnsi="宋体" w:eastAsia="宋体" w:cs="宋体"/>
          <w:color w:val="auto"/>
          <w:sz w:val="21"/>
          <w:szCs w:val="21"/>
          <w:highlight w:val="none"/>
        </w:rPr>
        <w:t>定义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_Toc6515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A3071AD">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_Toc31614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3. </w:t>
      </w:r>
      <w:r>
        <w:rPr>
          <w:rFonts w:hint="eastAsia" w:ascii="宋体" w:hAnsi="宋体" w:eastAsia="宋体" w:cs="宋体"/>
          <w:color w:val="auto"/>
          <w:sz w:val="21"/>
          <w:szCs w:val="21"/>
          <w:highlight w:val="none"/>
        </w:rPr>
        <w:t>货物和服务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_Toc31614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12114E0">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_Toc6091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4. </w:t>
      </w:r>
      <w:r>
        <w:rPr>
          <w:rFonts w:hint="eastAsia" w:ascii="宋体" w:hAnsi="宋体" w:eastAsia="宋体" w:cs="宋体"/>
          <w:color w:val="auto"/>
          <w:sz w:val="21"/>
          <w:szCs w:val="21"/>
          <w:highlight w:val="none"/>
        </w:rPr>
        <w:t>投标费用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_Toc6091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F04F8B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_Toc23240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5. </w:t>
      </w:r>
      <w:r>
        <w:rPr>
          <w:rFonts w:hint="eastAsia" w:ascii="宋体" w:hAnsi="宋体" w:eastAsia="宋体" w:cs="宋体"/>
          <w:color w:val="auto"/>
          <w:sz w:val="21"/>
          <w:szCs w:val="21"/>
          <w:highlight w:val="none"/>
        </w:rPr>
        <w:t>知识产权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_Toc23240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BA1957C">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_Toc27792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6. </w:t>
      </w:r>
      <w:r>
        <w:rPr>
          <w:rFonts w:hint="eastAsia" w:ascii="宋体" w:hAnsi="宋体" w:eastAsia="宋体" w:cs="宋体"/>
          <w:color w:val="auto"/>
          <w:sz w:val="21"/>
          <w:szCs w:val="21"/>
          <w:highlight w:val="none"/>
        </w:rPr>
        <w:t>关于联合体投标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_Toc27792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1924271">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_Toc32685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7. </w:t>
      </w:r>
      <w:r>
        <w:rPr>
          <w:rFonts w:hint="eastAsia" w:ascii="宋体" w:hAnsi="宋体" w:eastAsia="宋体" w:cs="宋体"/>
          <w:color w:val="auto"/>
          <w:sz w:val="21"/>
          <w:szCs w:val="21"/>
          <w:highlight w:val="none"/>
        </w:rPr>
        <w:t>关于分支机构投标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_Toc32685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2C9CC57">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_Toc8935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8. </w:t>
      </w:r>
      <w:r>
        <w:rPr>
          <w:rFonts w:hint="eastAsia" w:ascii="宋体" w:hAnsi="宋体" w:eastAsia="宋体" w:cs="宋体"/>
          <w:color w:val="auto"/>
          <w:sz w:val="21"/>
          <w:szCs w:val="21"/>
          <w:highlight w:val="none"/>
        </w:rPr>
        <w:t>踏勘现场</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_Toc8935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77392B6">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_Toc16822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二、 </w:t>
      </w:r>
      <w:r>
        <w:rPr>
          <w:rFonts w:hint="eastAsia" w:ascii="宋体" w:hAnsi="宋体" w:eastAsia="宋体" w:cs="宋体"/>
          <w:color w:val="auto"/>
          <w:sz w:val="21"/>
          <w:szCs w:val="21"/>
          <w:highlight w:val="none"/>
        </w:rPr>
        <w:t>采购文件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_Toc16822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90B27B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_Toc12617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9. </w:t>
      </w:r>
      <w:r>
        <w:rPr>
          <w:rFonts w:hint="eastAsia" w:ascii="宋体" w:hAnsi="宋体" w:eastAsia="宋体" w:cs="宋体"/>
          <w:color w:val="auto"/>
          <w:sz w:val="21"/>
          <w:szCs w:val="21"/>
          <w:highlight w:val="none"/>
        </w:rPr>
        <w:t>采购文件的组成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_Toc12617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167062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_Toc3645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10. </w:t>
      </w:r>
      <w:r>
        <w:rPr>
          <w:rFonts w:hint="eastAsia" w:ascii="宋体" w:hAnsi="宋体" w:eastAsia="宋体" w:cs="宋体"/>
          <w:color w:val="auto"/>
          <w:sz w:val="21"/>
          <w:szCs w:val="21"/>
          <w:highlight w:val="none"/>
        </w:rPr>
        <w:t>采购文件的澄清或修改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_Toc3645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4E1BA23">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_Toc1347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三、 </w:t>
      </w:r>
      <w:r>
        <w:rPr>
          <w:rFonts w:hint="eastAsia" w:ascii="宋体" w:hAnsi="宋体" w:eastAsia="宋体" w:cs="宋体"/>
          <w:color w:val="auto"/>
          <w:sz w:val="21"/>
          <w:szCs w:val="21"/>
          <w:highlight w:val="none"/>
        </w:rPr>
        <w:t>投标文件的编制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_Toc1347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6F9A72E">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_Toc958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11. </w:t>
      </w:r>
      <w:r>
        <w:rPr>
          <w:rFonts w:hint="eastAsia" w:ascii="宋体" w:hAnsi="宋体" w:eastAsia="宋体" w:cs="宋体"/>
          <w:color w:val="auto"/>
          <w:sz w:val="21"/>
          <w:szCs w:val="21"/>
          <w:highlight w:val="none"/>
        </w:rPr>
        <w:t>投标文件的语言及度量衡单位</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_Toc958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B404D57">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_Toc30234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12. </w:t>
      </w:r>
      <w:r>
        <w:rPr>
          <w:rFonts w:hint="eastAsia" w:ascii="宋体" w:hAnsi="宋体" w:eastAsia="宋体" w:cs="宋体"/>
          <w:color w:val="auto"/>
          <w:sz w:val="21"/>
          <w:szCs w:val="21"/>
          <w:highlight w:val="none"/>
        </w:rPr>
        <w:t>投标文件的组成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_Toc30234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80A70CA">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_Toc19533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13. </w:t>
      </w:r>
      <w:r>
        <w:rPr>
          <w:rFonts w:hint="eastAsia" w:ascii="宋体" w:hAnsi="宋体" w:eastAsia="宋体" w:cs="宋体"/>
          <w:color w:val="auto"/>
          <w:sz w:val="21"/>
          <w:szCs w:val="21"/>
          <w:highlight w:val="none"/>
        </w:rPr>
        <w:t>投标文件编制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_Toc19533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E184F06">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_Toc7633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14. </w:t>
      </w:r>
      <w:r>
        <w:rPr>
          <w:rFonts w:hint="eastAsia" w:ascii="宋体" w:hAnsi="宋体" w:eastAsia="宋体" w:cs="宋体"/>
          <w:color w:val="auto"/>
          <w:sz w:val="21"/>
          <w:szCs w:val="21"/>
          <w:highlight w:val="none"/>
        </w:rPr>
        <w:t>投标报价说明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_Toc7633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48668C7">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_Toc22812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15. </w:t>
      </w:r>
      <w:r>
        <w:rPr>
          <w:rFonts w:hint="eastAsia" w:ascii="宋体" w:hAnsi="宋体" w:eastAsia="宋体" w:cs="宋体"/>
          <w:color w:val="auto"/>
          <w:sz w:val="21"/>
          <w:szCs w:val="21"/>
          <w:highlight w:val="none"/>
        </w:rPr>
        <w:t>投标人所提供的服务或货物的证明文件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_Toc22812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51</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27D1887">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_Toc21284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16. </w:t>
      </w:r>
      <w:r>
        <w:rPr>
          <w:rFonts w:hint="eastAsia" w:ascii="宋体" w:hAnsi="宋体" w:eastAsia="宋体" w:cs="宋体"/>
          <w:color w:val="auto"/>
          <w:sz w:val="21"/>
          <w:szCs w:val="21"/>
          <w:highlight w:val="none"/>
        </w:rPr>
        <w:t>投标有效期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_Toc21284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51</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E9A5058">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_Toc28421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17. </w:t>
      </w:r>
      <w:r>
        <w:rPr>
          <w:rFonts w:hint="eastAsia" w:ascii="宋体" w:hAnsi="宋体" w:eastAsia="宋体" w:cs="宋体"/>
          <w:color w:val="auto"/>
          <w:sz w:val="21"/>
          <w:szCs w:val="21"/>
          <w:highlight w:val="none"/>
        </w:rPr>
        <w:t>投标保证金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_Toc28421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51</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DA32E96">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_Toc5222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四、 </w:t>
      </w:r>
      <w:r>
        <w:rPr>
          <w:rFonts w:hint="eastAsia" w:ascii="宋体" w:hAnsi="宋体" w:eastAsia="宋体" w:cs="宋体"/>
          <w:color w:val="auto"/>
          <w:sz w:val="21"/>
          <w:szCs w:val="21"/>
          <w:highlight w:val="none"/>
        </w:rPr>
        <w:t>投标文件的递交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_Toc5222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52</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9B1BED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_Toc13413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18. </w:t>
      </w:r>
      <w:r>
        <w:rPr>
          <w:rFonts w:hint="eastAsia" w:ascii="宋体" w:hAnsi="宋体" w:eastAsia="宋体" w:cs="宋体"/>
          <w:color w:val="auto"/>
          <w:sz w:val="21"/>
          <w:szCs w:val="21"/>
          <w:highlight w:val="none"/>
        </w:rPr>
        <w:t>投标文件的装订，签署，密封和标记</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_Toc13413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52</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067283C">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_Toc29300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19. </w:t>
      </w:r>
      <w:r>
        <w:rPr>
          <w:rFonts w:hint="eastAsia" w:ascii="宋体" w:hAnsi="宋体" w:eastAsia="宋体" w:cs="宋体"/>
          <w:color w:val="auto"/>
          <w:sz w:val="21"/>
          <w:szCs w:val="21"/>
          <w:highlight w:val="none"/>
        </w:rPr>
        <w:t>迟交的投标文件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_Toc29300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2393DDD">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_Toc13007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20. </w:t>
      </w:r>
      <w:r>
        <w:rPr>
          <w:rFonts w:hint="eastAsia" w:ascii="宋体" w:hAnsi="宋体" w:eastAsia="宋体" w:cs="宋体"/>
          <w:color w:val="auto"/>
          <w:sz w:val="21"/>
          <w:szCs w:val="21"/>
          <w:highlight w:val="none"/>
        </w:rPr>
        <w:t>投标样品（如需提交）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_Toc13007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676DEC8">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_Toc17433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21. </w:t>
      </w:r>
      <w:r>
        <w:rPr>
          <w:rFonts w:hint="eastAsia" w:ascii="宋体" w:hAnsi="宋体" w:eastAsia="宋体" w:cs="宋体"/>
          <w:color w:val="auto"/>
          <w:sz w:val="21"/>
          <w:szCs w:val="21"/>
          <w:highlight w:val="none"/>
        </w:rPr>
        <w:t>投标截止期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_Toc17433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DE64BC8">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_Toc4960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22. </w:t>
      </w:r>
      <w:r>
        <w:rPr>
          <w:rFonts w:hint="eastAsia" w:ascii="宋体" w:hAnsi="宋体" w:eastAsia="宋体" w:cs="宋体"/>
          <w:color w:val="auto"/>
          <w:sz w:val="21"/>
          <w:szCs w:val="21"/>
          <w:highlight w:val="none"/>
        </w:rPr>
        <w:t>投标文件的补充、修改与撤回</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_Toc4960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4E3519A">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_Toc28040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五、 </w:t>
      </w:r>
      <w:r>
        <w:rPr>
          <w:rFonts w:hint="eastAsia" w:ascii="宋体" w:hAnsi="宋体" w:eastAsia="宋体" w:cs="宋体"/>
          <w:color w:val="auto"/>
          <w:sz w:val="21"/>
          <w:szCs w:val="21"/>
          <w:highlight w:val="none"/>
        </w:rPr>
        <w:t>开标与评标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_Toc28040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59DBFE0">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_Toc21187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23. </w:t>
      </w:r>
      <w:r>
        <w:rPr>
          <w:rFonts w:hint="eastAsia" w:ascii="宋体" w:hAnsi="宋体" w:eastAsia="宋体" w:cs="宋体"/>
          <w:color w:val="auto"/>
          <w:sz w:val="21"/>
          <w:szCs w:val="21"/>
          <w:highlight w:val="none"/>
        </w:rPr>
        <w:t>开标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_Toc21187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3AF0E86">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_Toc9452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24. </w:t>
      </w:r>
      <w:r>
        <w:rPr>
          <w:rFonts w:hint="eastAsia" w:ascii="宋体" w:hAnsi="宋体" w:eastAsia="宋体" w:cs="宋体"/>
          <w:color w:val="auto"/>
          <w:sz w:val="21"/>
          <w:szCs w:val="21"/>
          <w:highlight w:val="none"/>
        </w:rPr>
        <w:t>评标委员会及评标方法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_Toc9452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DFB02FC">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_Toc21016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25. </w:t>
      </w:r>
      <w:r>
        <w:rPr>
          <w:rFonts w:hint="eastAsia" w:ascii="宋体" w:hAnsi="宋体" w:eastAsia="宋体" w:cs="宋体"/>
          <w:color w:val="auto"/>
          <w:sz w:val="21"/>
          <w:szCs w:val="21"/>
          <w:highlight w:val="none"/>
        </w:rPr>
        <w:t>评审原则及评标过程的保密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_Toc21016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3B686C7">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_Toc9231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26. </w:t>
      </w:r>
      <w:r>
        <w:rPr>
          <w:rFonts w:hint="eastAsia" w:ascii="宋体" w:hAnsi="宋体" w:eastAsia="宋体" w:cs="宋体"/>
          <w:color w:val="auto"/>
          <w:sz w:val="21"/>
          <w:szCs w:val="21"/>
          <w:highlight w:val="none"/>
        </w:rPr>
        <w:t>评标程序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_Toc9231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0EF7008">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_Toc5218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27. </w:t>
      </w:r>
      <w:r>
        <w:rPr>
          <w:rFonts w:hint="eastAsia" w:ascii="宋体" w:hAnsi="宋体" w:eastAsia="宋体" w:cs="宋体"/>
          <w:color w:val="auto"/>
          <w:sz w:val="21"/>
          <w:szCs w:val="21"/>
          <w:highlight w:val="none"/>
        </w:rPr>
        <w:t>商务、技术、价格评审（具体评审项目详见投标资料表）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_Toc5218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200BAA1">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_Toc30894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28. </w:t>
      </w:r>
      <w:r>
        <w:rPr>
          <w:rFonts w:hint="eastAsia" w:ascii="宋体" w:hAnsi="宋体" w:eastAsia="宋体" w:cs="宋体"/>
          <w:color w:val="auto"/>
          <w:sz w:val="21"/>
          <w:szCs w:val="21"/>
          <w:highlight w:val="none"/>
        </w:rPr>
        <w:t>纪律和保密事项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_Toc30894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57CBA7F">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_Toc13359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六、 </w:t>
      </w:r>
      <w:r>
        <w:rPr>
          <w:rFonts w:hint="eastAsia" w:ascii="宋体" w:hAnsi="宋体" w:eastAsia="宋体" w:cs="宋体"/>
          <w:color w:val="auto"/>
          <w:sz w:val="21"/>
          <w:szCs w:val="21"/>
          <w:highlight w:val="none"/>
        </w:rPr>
        <w:t>授予合同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_Toc13359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58D664C">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_Toc28657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29. </w:t>
      </w:r>
      <w:r>
        <w:rPr>
          <w:rFonts w:hint="eastAsia" w:ascii="宋体" w:hAnsi="宋体" w:eastAsia="宋体" w:cs="宋体"/>
          <w:color w:val="auto"/>
          <w:sz w:val="21"/>
          <w:szCs w:val="21"/>
          <w:highlight w:val="none"/>
        </w:rPr>
        <w:t>合同授予标准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_Toc28657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4B72F8C">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_Toc15240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30. </w:t>
      </w:r>
      <w:r>
        <w:rPr>
          <w:rFonts w:hint="eastAsia" w:ascii="宋体" w:hAnsi="宋体" w:eastAsia="宋体" w:cs="宋体"/>
          <w:color w:val="auto"/>
          <w:sz w:val="21"/>
          <w:szCs w:val="21"/>
          <w:highlight w:val="none"/>
        </w:rPr>
        <w:t>发布中标结果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_Toc15240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4B57213">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_Toc16159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31. </w:t>
      </w:r>
      <w:r>
        <w:rPr>
          <w:rFonts w:hint="eastAsia" w:ascii="宋体" w:hAnsi="宋体" w:eastAsia="宋体" w:cs="宋体"/>
          <w:color w:val="auto"/>
          <w:sz w:val="21"/>
          <w:szCs w:val="21"/>
          <w:highlight w:val="none"/>
        </w:rPr>
        <w:t>资格后审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_Toc16159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D358D55">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_Toc6261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32. </w:t>
      </w:r>
      <w:r>
        <w:rPr>
          <w:rFonts w:hint="eastAsia" w:ascii="宋体" w:hAnsi="宋体" w:eastAsia="宋体" w:cs="宋体"/>
          <w:color w:val="auto"/>
          <w:sz w:val="21"/>
          <w:szCs w:val="21"/>
          <w:highlight w:val="none"/>
        </w:rPr>
        <w:t>合同的签订与履行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_Toc6261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DF0BC3F">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_Toc23183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33. </w:t>
      </w:r>
      <w:r>
        <w:rPr>
          <w:rFonts w:hint="eastAsia" w:ascii="宋体" w:hAnsi="宋体" w:eastAsia="宋体" w:cs="宋体"/>
          <w:color w:val="auto"/>
          <w:sz w:val="21"/>
          <w:szCs w:val="21"/>
          <w:highlight w:val="none"/>
        </w:rPr>
        <w:t>履约担保</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_Toc23183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0B4667B">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_Toc13654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七、 </w:t>
      </w:r>
      <w:r>
        <w:rPr>
          <w:rFonts w:hint="eastAsia" w:ascii="宋体" w:hAnsi="宋体" w:eastAsia="宋体" w:cs="宋体"/>
          <w:color w:val="auto"/>
          <w:sz w:val="21"/>
          <w:szCs w:val="21"/>
          <w:highlight w:val="none"/>
        </w:rPr>
        <w:t>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_Toc13654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DA4AF8A">
      <w:pPr>
        <w:pStyle w:val="1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_Toc14156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 xml:space="preserve">八、 </w:t>
      </w:r>
      <w:r>
        <w:rPr>
          <w:rFonts w:hint="eastAsia" w:ascii="宋体" w:hAnsi="宋体" w:eastAsia="宋体" w:cs="宋体"/>
          <w:color w:val="auto"/>
          <w:sz w:val="21"/>
          <w:szCs w:val="21"/>
          <w:highlight w:val="none"/>
        </w:rPr>
        <w:t>其他</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_Toc14156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67337D7">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_Toc2100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第六部分 附件－投标文件格式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_Toc2100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BB54A9E">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_Toc5411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价格文件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_Toc5411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8DF0EF7">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_Toc8658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商务文件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_Toc8658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12C8F24">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_Toc25667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附件1：商务评审评分标准索引表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_Toc25667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8826659">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_Toc17175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附件2.投标书格式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_Toc17175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92C2E82">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_Toc26198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附件3. 法定代表人证明书格式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_Toc26198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56</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8EAD32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_Toc26326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附件4.法定代表人授权书格式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_Toc26326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7ACD1B74">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_Toc27215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附件5.资格申明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_Toc27215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BC8DF5E">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_Toc17896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附件6.营业执照</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_Toc17896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FB49E4B">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_Toc25146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附件7.相关资质证明文件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_Toc25146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53293385">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_Toc7265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附件8.在经营活动中没有重大违法记录的书面声明格式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_Toc7265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61</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16AD383">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_Toc11083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附件9. 未被列入“信用中国”记录失信被执行人或重大税收违法失信主体或政府采购严重违法失信行为记录名单的证明资料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_Toc11083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62</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75163BF">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_Toc18014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附件10.承诺书格式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_Toc18014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882F892">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_Toc24030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附件11.商务需求条款偏离表格式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_Toc24030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10875D5A">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_Toc23716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附件12.业绩表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_Toc23716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AD2D821">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_Toc21042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体系认证资料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_Toc21042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66</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EB381B3">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_Toc5843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财务资料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_Toc5843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10B3BA9">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_Toc10307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 实施本项目的有关人员资料表格式（包括相关人员相关证书资料）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_Toc10307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68</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4095421A">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_Toc10349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 有关人员近期的社保缴纳情况</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_Toc10349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69</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3D9FD2A2">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_Toc21296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技术文件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_Toc21296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70</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680C9C8">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_Toc14101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附件1. 技术评分标准索引表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_Toc14101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71</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2D38E845">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_Toc27915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附件2. 技术规格偏离表格式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_Toc27915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5EEE996">
      <w:pPr>
        <w:pStyle w:val="21"/>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_Toc15270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附件3. 项目实施方案格式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_Toc15270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73</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019ACBCA">
      <w:pPr>
        <w:pStyle w:val="24"/>
        <w:tabs>
          <w:tab w:val="right" w:leader="dot" w:pos="8306"/>
          <w:tab w:val="clear" w:pos="8296"/>
        </w:tabs>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HYPERLINK \l _Toc32272 </w:instrText>
      </w:r>
      <w:r>
        <w:rPr>
          <w:rFonts w:hint="eastAsia" w:ascii="宋体" w:hAnsi="宋体" w:eastAsia="宋体" w:cs="宋体"/>
          <w:bCs/>
          <w:color w:val="auto"/>
          <w:sz w:val="21"/>
          <w:szCs w:val="21"/>
          <w:highlight w:val="none"/>
        </w:rPr>
        <w:fldChar w:fldCharType="separate"/>
      </w:r>
      <w:r>
        <w:rPr>
          <w:rFonts w:hint="eastAsia" w:ascii="宋体" w:hAnsi="宋体" w:eastAsia="宋体" w:cs="宋体"/>
          <w:color w:val="auto"/>
          <w:sz w:val="21"/>
          <w:szCs w:val="21"/>
          <w:highlight w:val="none"/>
        </w:rPr>
        <w:t>唱标信封</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_Toc32272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74</w:t>
      </w:r>
      <w:r>
        <w:rPr>
          <w:rFonts w:hint="eastAsia" w:ascii="宋体" w:hAnsi="宋体" w:eastAsia="宋体" w:cs="宋体"/>
          <w:color w:val="auto"/>
          <w:sz w:val="21"/>
          <w:szCs w:val="21"/>
          <w:highlight w:val="none"/>
        </w:rPr>
        <w:fldChar w:fldCharType="end"/>
      </w:r>
      <w:r>
        <w:rPr>
          <w:rFonts w:hint="eastAsia" w:ascii="宋体" w:hAnsi="宋体" w:eastAsia="宋体" w:cs="宋体"/>
          <w:bCs/>
          <w:color w:val="auto"/>
          <w:sz w:val="21"/>
          <w:szCs w:val="21"/>
          <w:highlight w:val="none"/>
        </w:rPr>
        <w:fldChar w:fldCharType="end"/>
      </w:r>
    </w:p>
    <w:p w14:paraId="6EA6AF98">
      <w:pPr>
        <w:pStyle w:val="21"/>
        <w:spacing w:after="0"/>
        <w:ind w:left="0" w:leftChars="0" w:firstLine="630" w:firstLineChars="300"/>
        <w:jc w:val="center"/>
        <w:rPr>
          <w:rFonts w:cs="宋体"/>
          <w:color w:val="auto"/>
          <w:szCs w:val="21"/>
          <w:highlight w:val="none"/>
        </w:rPr>
      </w:pPr>
      <w:r>
        <w:rPr>
          <w:rFonts w:hint="eastAsia" w:ascii="宋体" w:hAnsi="宋体" w:eastAsia="宋体" w:cs="宋体"/>
          <w:bCs/>
          <w:color w:val="auto"/>
          <w:szCs w:val="21"/>
          <w:highlight w:val="none"/>
        </w:rPr>
        <w:fldChar w:fldCharType="end"/>
      </w:r>
    </w:p>
    <w:p w14:paraId="4704DDCA">
      <w:pPr>
        <w:pStyle w:val="4"/>
        <w:spacing w:before="0" w:after="0" w:line="240" w:lineRule="auto"/>
        <w:rPr>
          <w:color w:val="auto"/>
          <w:sz w:val="28"/>
          <w:szCs w:val="28"/>
          <w:highlight w:val="none"/>
        </w:rPr>
      </w:pPr>
      <w:bookmarkStart w:id="0" w:name="_Toc15412"/>
      <w:r>
        <w:rPr>
          <w:rFonts w:hint="eastAsia"/>
          <w:color w:val="auto"/>
          <w:sz w:val="28"/>
          <w:szCs w:val="28"/>
          <w:highlight w:val="none"/>
        </w:rPr>
        <w:t>第一部分投标邀请</w:t>
      </w:r>
      <w:bookmarkEnd w:id="0"/>
      <w:bookmarkStart w:id="186" w:name="_GoBack"/>
      <w:bookmarkEnd w:id="186"/>
    </w:p>
    <w:p w14:paraId="1BD00F48">
      <w:pPr>
        <w:pStyle w:val="5"/>
        <w:spacing w:before="0" w:after="0" w:line="360" w:lineRule="auto"/>
        <w:jc w:val="center"/>
        <w:rPr>
          <w:rFonts w:hint="eastAsia" w:ascii="宋体" w:hAnsi="宋体" w:cs="宋体"/>
          <w:color w:val="auto"/>
          <w:highlight w:val="none"/>
        </w:rPr>
      </w:pPr>
      <w:bookmarkStart w:id="1" w:name="_Toc30589"/>
      <w:r>
        <w:rPr>
          <w:rFonts w:hint="eastAsia" w:ascii="宋体" w:hAnsi="宋体" w:cs="宋体"/>
          <w:color w:val="auto"/>
          <w:highlight w:val="none"/>
        </w:rPr>
        <w:t>投标邀请书</w:t>
      </w:r>
      <w:bookmarkEnd w:id="1"/>
    </w:p>
    <w:p w14:paraId="52EE37F3">
      <w:pPr>
        <w:ind w:firstLine="422" w:firstLineChars="200"/>
        <w:rPr>
          <w:rFonts w:hint="eastAsia" w:ascii="宋体" w:hAnsi="宋体"/>
          <w:color w:val="auto"/>
          <w:szCs w:val="21"/>
          <w:highlight w:val="none"/>
        </w:rPr>
      </w:pPr>
      <w:r>
        <w:rPr>
          <w:rFonts w:hint="eastAsia" w:ascii="宋体" w:hAnsi="宋体"/>
          <w:b/>
          <w:bCs/>
          <w:color w:val="auto"/>
          <w:szCs w:val="21"/>
          <w:highlight w:val="none"/>
          <w:u w:val="single"/>
          <w:lang w:eastAsia="zh-CN"/>
        </w:rPr>
        <w:t>广东建瀚工程管理有限公司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东莞市新锋新能源有限公司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东莞市新锋新能源有限公司裕隆厂区分布式光伏发电项目</w:t>
      </w:r>
      <w:r>
        <w:rPr>
          <w:rFonts w:hint="eastAsia" w:ascii="宋体" w:hAnsi="宋体"/>
          <w:color w:val="auto"/>
          <w:szCs w:val="21"/>
          <w:highlight w:val="none"/>
        </w:rPr>
        <w:t>（项目编号：</w:t>
      </w:r>
      <w:r>
        <w:rPr>
          <w:rFonts w:hint="eastAsia" w:ascii="宋体" w:hAnsi="宋体"/>
          <w:b/>
          <w:bCs/>
          <w:color w:val="auto"/>
          <w:szCs w:val="21"/>
          <w:highlight w:val="none"/>
          <w:lang w:eastAsia="zh-CN"/>
        </w:rPr>
        <w:t>JHCG-DS-001(2026)</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08C9FB69">
      <w:pPr>
        <w:ind w:firstLine="413" w:firstLineChars="196"/>
        <w:rPr>
          <w:rFonts w:hint="eastAsia" w:ascii="宋体" w:hAnsi="宋体"/>
          <w:b/>
          <w:color w:val="auto"/>
          <w:szCs w:val="21"/>
          <w:highlight w:val="none"/>
        </w:rPr>
      </w:pPr>
    </w:p>
    <w:p w14:paraId="4A2CF019">
      <w:pPr>
        <w:rPr>
          <w:rFonts w:hint="eastAsia" w:ascii="宋体" w:hAnsi="宋体"/>
          <w:b/>
          <w:color w:val="auto"/>
          <w:szCs w:val="21"/>
          <w:highlight w:val="none"/>
        </w:rPr>
      </w:pPr>
      <w:r>
        <w:rPr>
          <w:rFonts w:hint="eastAsia" w:ascii="宋体" w:hAnsi="宋体"/>
          <w:b/>
          <w:color w:val="auto"/>
          <w:szCs w:val="21"/>
          <w:highlight w:val="none"/>
        </w:rPr>
        <w:t>一、采购项目概况</w:t>
      </w:r>
    </w:p>
    <w:p w14:paraId="7604CDB8">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1、采购项目名称：</w:t>
      </w:r>
      <w:r>
        <w:rPr>
          <w:rFonts w:hint="eastAsia" w:ascii="宋体" w:hAnsi="宋体" w:cs="宋体"/>
          <w:b/>
          <w:color w:val="auto"/>
          <w:sz w:val="21"/>
          <w:szCs w:val="21"/>
          <w:highlight w:val="none"/>
          <w:u w:val="single"/>
          <w:lang w:eastAsia="zh-CN"/>
        </w:rPr>
        <w:t>东莞市新锋新能源有限公司裕隆厂区分布式光伏发电项目</w:t>
      </w:r>
    </w:p>
    <w:p w14:paraId="71138CC8">
      <w:pPr>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2、预算金额（元）：</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u w:val="single"/>
          <w:lang w:val="en-US" w:eastAsia="zh-CN"/>
        </w:rPr>
        <w:t>1,237,674.00</w:t>
      </w:r>
      <w:r>
        <w:rPr>
          <w:rFonts w:hint="eastAsia" w:ascii="宋体" w:hAnsi="宋体" w:eastAsia="宋体" w:cs="宋体"/>
          <w:color w:val="auto"/>
          <w:sz w:val="21"/>
          <w:szCs w:val="21"/>
          <w:highlight w:val="none"/>
          <w:u w:val="single"/>
        </w:rPr>
        <w:t>元</w:t>
      </w:r>
      <w:r>
        <w:rPr>
          <w:rFonts w:hint="eastAsia" w:ascii="宋体" w:hAnsi="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lang w:val="en-US" w:eastAsia="zh-CN"/>
        </w:rPr>
        <w:t>其中安全防护费：59,940.00元</w:t>
      </w:r>
      <w:r>
        <w:rPr>
          <w:rFonts w:hint="eastAsia" w:ascii="宋体" w:hAnsi="宋体" w:cs="宋体"/>
          <w:color w:val="auto"/>
          <w:sz w:val="21"/>
          <w:szCs w:val="21"/>
          <w:highlight w:val="none"/>
          <w:u w:val="single"/>
          <w:lang w:val="en-US" w:eastAsia="zh-CN"/>
        </w:rPr>
        <w:t>）</w:t>
      </w:r>
    </w:p>
    <w:p w14:paraId="3974EB51">
      <w:pPr>
        <w:ind w:firstLine="420" w:firstLineChars="200"/>
        <w:rPr>
          <w:rFonts w:hint="eastAsia" w:ascii="宋体" w:hAnsi="宋体" w:cs="宋体"/>
          <w:color w:val="auto"/>
          <w:sz w:val="21"/>
          <w:szCs w:val="21"/>
          <w:highlight w:val="none"/>
          <w:u w:val="singl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、最</w:t>
      </w:r>
      <w:r>
        <w:rPr>
          <w:rFonts w:hint="eastAsia" w:ascii="宋体" w:hAnsi="宋体" w:eastAsia="宋体" w:cs="宋体"/>
          <w:color w:val="auto"/>
          <w:sz w:val="21"/>
          <w:szCs w:val="21"/>
          <w:highlight w:val="none"/>
          <w:lang w:val="en-US" w:eastAsia="zh-CN"/>
        </w:rPr>
        <w:t>低</w:t>
      </w:r>
      <w:r>
        <w:rPr>
          <w:rFonts w:hint="eastAsia" w:ascii="宋体" w:hAnsi="宋体" w:eastAsia="宋体" w:cs="宋体"/>
          <w:color w:val="auto"/>
          <w:sz w:val="21"/>
          <w:szCs w:val="21"/>
          <w:highlight w:val="none"/>
        </w:rPr>
        <w:t>限价</w:t>
      </w:r>
      <w:r>
        <w:rPr>
          <w:rFonts w:hint="eastAsia" w:ascii="宋体" w:hAnsi="宋体" w:eastAsia="宋体" w:cs="宋体"/>
          <w:color w:val="auto"/>
          <w:sz w:val="21"/>
          <w:szCs w:val="21"/>
          <w:highlight w:val="none"/>
          <w:lang w:val="en-US" w:eastAsia="zh-CN"/>
        </w:rPr>
        <w:t>下浮率</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w:t>
      </w:r>
      <w:r>
        <w:rPr>
          <w:rFonts w:hint="eastAsia" w:ascii="宋体" w:hAnsi="宋体" w:cs="宋体"/>
          <w:color w:val="auto"/>
          <w:sz w:val="21"/>
          <w:szCs w:val="21"/>
          <w:highlight w:val="none"/>
          <w:u w:val="single"/>
          <w:lang w:val="en-US" w:eastAsia="zh-CN"/>
        </w:rPr>
        <w:t>.00</w:t>
      </w:r>
      <w:r>
        <w:rPr>
          <w:rFonts w:hint="eastAsia" w:ascii="宋体" w:hAnsi="宋体" w:eastAsia="宋体" w:cs="宋体"/>
          <w:color w:val="auto"/>
          <w:sz w:val="21"/>
          <w:szCs w:val="21"/>
          <w:highlight w:val="none"/>
          <w:u w:val="single"/>
          <w:lang w:val="en-US" w:eastAsia="zh-CN"/>
        </w:rPr>
        <w:t>%</w:t>
      </w:r>
    </w:p>
    <w:p w14:paraId="15FEC3EB">
      <w:pPr>
        <w:ind w:firstLine="420" w:firstLineChars="20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、本项目</w:t>
      </w:r>
      <w:r>
        <w:rPr>
          <w:rFonts w:hint="eastAsia" w:ascii="宋体" w:hAnsi="宋体" w:eastAsia="宋体" w:cs="宋体"/>
          <w:b/>
          <w:bCs/>
          <w:color w:val="auto"/>
          <w:sz w:val="21"/>
          <w:szCs w:val="21"/>
          <w:highlight w:val="none"/>
          <w:lang w:val="en-US" w:eastAsia="zh-CN"/>
        </w:rPr>
        <w:t>接受</w:t>
      </w:r>
      <w:r>
        <w:rPr>
          <w:rFonts w:hint="eastAsia" w:ascii="宋体" w:hAnsi="宋体" w:eastAsia="宋体" w:cs="宋体"/>
          <w:color w:val="auto"/>
          <w:sz w:val="21"/>
          <w:szCs w:val="21"/>
          <w:highlight w:val="none"/>
          <w:lang w:val="en-US" w:eastAsia="zh-CN"/>
        </w:rPr>
        <w:t>联合体投标。</w:t>
      </w:r>
    </w:p>
    <w:p w14:paraId="294893DB">
      <w:pPr>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、项目内容</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2"/>
        <w:gridCol w:w="1847"/>
        <w:gridCol w:w="1532"/>
        <w:gridCol w:w="2078"/>
      </w:tblGrid>
      <w:tr w14:paraId="143B9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797" w:type="pct"/>
            <w:vAlign w:val="center"/>
          </w:tcPr>
          <w:p w14:paraId="3E63334C">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项目内容</w:t>
            </w:r>
          </w:p>
        </w:tc>
        <w:tc>
          <w:tcPr>
            <w:tcW w:w="1084" w:type="pct"/>
            <w:vAlign w:val="center"/>
          </w:tcPr>
          <w:p w14:paraId="743F7D1B">
            <w:pPr>
              <w:spacing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项目规模</w:t>
            </w:r>
          </w:p>
        </w:tc>
        <w:tc>
          <w:tcPr>
            <w:tcW w:w="899" w:type="pct"/>
            <w:vAlign w:val="center"/>
          </w:tcPr>
          <w:p w14:paraId="3725E22B">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采购供货</w:t>
            </w:r>
          </w:p>
          <w:p w14:paraId="7C042BFC">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单位数量</w:t>
            </w:r>
          </w:p>
        </w:tc>
        <w:tc>
          <w:tcPr>
            <w:tcW w:w="1219" w:type="pct"/>
            <w:vAlign w:val="center"/>
          </w:tcPr>
          <w:p w14:paraId="0CF71479">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完工期</w:t>
            </w:r>
          </w:p>
        </w:tc>
      </w:tr>
      <w:tr w14:paraId="149E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797" w:type="pct"/>
            <w:vAlign w:val="center"/>
          </w:tcPr>
          <w:p w14:paraId="61A84021">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设备及设计服务采购</w:t>
            </w:r>
          </w:p>
        </w:tc>
        <w:tc>
          <w:tcPr>
            <w:tcW w:w="1084" w:type="pct"/>
            <w:vAlign w:val="center"/>
          </w:tcPr>
          <w:p w14:paraId="6E1DE610">
            <w:pPr>
              <w:spacing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399.6kWp</w:t>
            </w:r>
          </w:p>
        </w:tc>
        <w:tc>
          <w:tcPr>
            <w:tcW w:w="899" w:type="pct"/>
            <w:vAlign w:val="center"/>
          </w:tcPr>
          <w:p w14:paraId="3368B344">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1家</w:t>
            </w:r>
          </w:p>
        </w:tc>
        <w:tc>
          <w:tcPr>
            <w:tcW w:w="1219" w:type="pct"/>
            <w:vAlign w:val="center"/>
          </w:tcPr>
          <w:p w14:paraId="50EBA3A2">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130天</w:t>
            </w:r>
          </w:p>
        </w:tc>
      </w:tr>
    </w:tbl>
    <w:p w14:paraId="00783302">
      <w:pPr>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、项目需求：详细内容请参阅采购文件第三部分《用户需求书》。</w:t>
      </w:r>
    </w:p>
    <w:p w14:paraId="5D297DF6">
      <w:pPr>
        <w:rPr>
          <w:rFonts w:hint="eastAsia" w:ascii="宋体" w:hAnsi="宋体"/>
          <w:b/>
          <w:color w:val="auto"/>
          <w:szCs w:val="21"/>
          <w:highlight w:val="none"/>
        </w:rPr>
      </w:pPr>
      <w:r>
        <w:rPr>
          <w:rFonts w:hint="eastAsia" w:ascii="宋体" w:hAnsi="宋体"/>
          <w:b/>
          <w:color w:val="auto"/>
          <w:szCs w:val="21"/>
          <w:highlight w:val="none"/>
        </w:rPr>
        <w:t>二、投标人资格要求</w:t>
      </w:r>
    </w:p>
    <w:p w14:paraId="12970A32">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1、一般要求：</w:t>
      </w:r>
    </w:p>
    <w:p w14:paraId="6C79582D">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投标人须为在中华人民共和国境内登记注册的具有独立承担民事责任能力的法人或其他组织【提供《营业执照》复印件（加盖公章）或《事业单位法人证书》复印件（加盖公章）或其他主体证书复印件（加盖公章）】。</w:t>
      </w:r>
    </w:p>
    <w:p w14:paraId="16EA4E12">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49F34481">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（3）投标人的单位负责人为同一人或者存在直接控股、管理关系的不同投标人，不得参加同一合同项下的采购活动。</w:t>
      </w:r>
    </w:p>
    <w:p w14:paraId="19A5C781">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p w14:paraId="79A64176">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5）投标人自招标公告发布之日起前两年内，在经营活动中没有因串通投标、弄虚作假、行贿、转包、违法分包、挂靠、死亡事故违法违规行为受到行政、刑事处罚的。以代理机构于投标截止日当天在“信用中国”网站查询结果为准。</w:t>
      </w:r>
    </w:p>
    <w:p w14:paraId="26F902C5">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2、其他要求</w:t>
      </w:r>
    </w:p>
    <w:p w14:paraId="3626C878">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2.1供货安装单位</w:t>
      </w:r>
    </w:p>
    <w:p w14:paraId="1A4C94E2">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（1）投标人具有有效期内的以下其中一种资质：①电力工程施工总承包乙级（或以上）企业资质；②机电工程施工总承包乙级（或以上）企业资质；③输变电工程专业承包乙级（或以上）企业资质；</w:t>
      </w:r>
    </w:p>
    <w:p w14:paraId="2D345BA4">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【或更换资质证书前有效期内：①电力工程施工总承包二级（或以上）企业资质；②机电工程施工总承包二级（或以上）企业资质；③输变电工程专业承包二级（或以上）企业资质；】</w:t>
      </w:r>
    </w:p>
    <w:p w14:paraId="3886AD0B">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（2）具有《承装（修、试）电力设施许可证》承装类别三级（10千伏以下）或以上资质。</w:t>
      </w:r>
    </w:p>
    <w:p w14:paraId="28BF4CAD">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【或更换资质证书前有效期内：《承装（修、试）电力设施许可证》承装类别五级或以上资质】</w:t>
      </w:r>
    </w:p>
    <w:p w14:paraId="4B7896CA">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（3）具有在效期内的《安全生产许可证》。</w:t>
      </w:r>
    </w:p>
    <w:p w14:paraId="3F5DF216">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2.2 设计单位</w:t>
      </w:r>
    </w:p>
    <w:p w14:paraId="09FDE5A9">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投标人具有有效期内的以下其中一种资质：①工程设计综合资质；②工程设计电力行业乙级（或以上）资质；③工程设计电力行业（送变电工程）专业乙级（或以上）资质；④工程设计电力行业（新能源发电工程）专业乙级（或以上）资质；</w:t>
      </w:r>
    </w:p>
    <w:p w14:paraId="7AE6FB7B">
      <w:pP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3、业绩要求</w:t>
      </w:r>
    </w:p>
    <w:p w14:paraId="08B25267">
      <w:pPr>
        <w:ind w:firstLine="420" w:firstLineChars="200"/>
        <w:rPr>
          <w:rFonts w:hint="eastAsia"/>
          <w:color w:val="auto"/>
          <w:highlight w:val="none"/>
        </w:rPr>
      </w:pPr>
      <w:r>
        <w:rPr>
          <w:rFonts w:hint="eastAsia" w:ascii="宋体" w:hAnsi="宋体"/>
          <w:color w:val="auto"/>
          <w:szCs w:val="21"/>
          <w:highlight w:val="none"/>
          <w:lang w:val="en-US" w:eastAsia="zh-CN"/>
        </w:rPr>
        <w:t>投标人须具有本项目的以下其中一种业绩要求：①提供3个光伏发电系统安装项目业绩；②提供光伏发电系统安装项目业绩累计容量不少于3MW。（须提供合同复印件，若联合体投标，则需联合体中具有施工资质方提供方可）</w:t>
      </w:r>
    </w:p>
    <w:p w14:paraId="2FE05FC0">
      <w:pPr>
        <w:rPr>
          <w:rFonts w:hint="eastAsia" w:ascii="宋体" w:hAnsi="宋体"/>
          <w:b/>
          <w:color w:val="auto"/>
          <w:szCs w:val="21"/>
          <w:highlight w:val="none"/>
        </w:rPr>
      </w:pPr>
      <w:r>
        <w:rPr>
          <w:rFonts w:hint="eastAsia" w:ascii="宋体" w:hAnsi="宋体"/>
          <w:b/>
          <w:color w:val="auto"/>
          <w:szCs w:val="21"/>
          <w:highlight w:val="none"/>
        </w:rPr>
        <w:t>三、获取采购文件方式及要求</w:t>
      </w:r>
    </w:p>
    <w:p w14:paraId="018A6C9B">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lang w:val="en-US" w:eastAsia="zh-CN"/>
        </w:rPr>
        <w:t>文件</w:t>
      </w:r>
      <w:r>
        <w:rPr>
          <w:rFonts w:hint="eastAsia" w:ascii="宋体" w:hAnsi="宋体" w:eastAsia="宋体" w:cs="宋体"/>
          <w:color w:val="auto"/>
          <w:szCs w:val="21"/>
          <w:highlight w:val="none"/>
        </w:rPr>
        <w:t>领购时间：</w:t>
      </w:r>
      <w:r>
        <w:rPr>
          <w:rFonts w:hint="eastAsia" w:ascii="宋体" w:hAnsi="宋体" w:eastAsia="宋体" w:cs="宋体"/>
          <w:color w:val="auto"/>
          <w:szCs w:val="21"/>
          <w:highlight w:val="none"/>
          <w:lang w:val="en-US" w:eastAsia="zh-CN"/>
        </w:rPr>
        <w:t>2026年</w:t>
      </w:r>
      <w:r>
        <w:rPr>
          <w:rFonts w:hint="eastAsia" w:ascii="宋体" w:hAnsi="宋体" w:cs="宋体"/>
          <w:color w:val="auto"/>
          <w:szCs w:val="21"/>
          <w:highlight w:val="none"/>
          <w:lang w:val="en-US" w:eastAsia="zh-CN"/>
        </w:rPr>
        <w:t>01</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08</w:t>
      </w:r>
      <w:r>
        <w:rPr>
          <w:rFonts w:hint="eastAsia" w:ascii="宋体" w:hAnsi="宋体" w:eastAsia="宋体" w:cs="宋体"/>
          <w:color w:val="auto"/>
          <w:szCs w:val="21"/>
          <w:highlight w:val="none"/>
          <w:lang w:val="en-US" w:eastAsia="zh-CN"/>
        </w:rPr>
        <w:t>日至2026年</w:t>
      </w:r>
      <w:r>
        <w:rPr>
          <w:rFonts w:hint="eastAsia" w:ascii="宋体" w:hAnsi="宋体" w:cs="宋体"/>
          <w:color w:val="auto"/>
          <w:szCs w:val="21"/>
          <w:highlight w:val="none"/>
          <w:lang w:val="en-US" w:eastAsia="zh-CN"/>
        </w:rPr>
        <w:t>01</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21</w:t>
      </w:r>
      <w:r>
        <w:rPr>
          <w:rFonts w:hint="eastAsia" w:ascii="宋体" w:hAnsi="宋体" w:eastAsia="宋体" w:cs="宋体"/>
          <w:color w:val="auto"/>
          <w:szCs w:val="21"/>
          <w:highlight w:val="none"/>
          <w:lang w:val="en-US" w:eastAsia="zh-CN"/>
        </w:rPr>
        <w:t>日</w:t>
      </w:r>
      <w:r>
        <w:rPr>
          <w:rFonts w:hint="eastAsia" w:ascii="宋体" w:hAnsi="宋体" w:eastAsia="宋体" w:cs="宋体"/>
          <w:color w:val="auto"/>
          <w:szCs w:val="21"/>
          <w:highlight w:val="none"/>
        </w:rPr>
        <w:t>（节假日除外）</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自发出公告之日起14日</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，上午</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w:t>
      </w:r>
      <w:r>
        <w:rPr>
          <w:rFonts w:hint="eastAsia" w:ascii="宋体" w:hAnsi="宋体" w:eastAsia="宋体" w:cs="宋体"/>
          <w:color w:val="auto"/>
          <w:szCs w:val="21"/>
          <w:highlight w:val="none"/>
        </w:rPr>
        <w:t>0～12：00，下午14：30～17：30（北京时间）。</w:t>
      </w:r>
    </w:p>
    <w:p w14:paraId="31C535FB">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2、获取方式：现场购买。</w:t>
      </w:r>
    </w:p>
    <w:p w14:paraId="34ADDCCD">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3、获取文件地址：广东省东莞市莞城区美峰路8号1栋1001。</w:t>
      </w:r>
    </w:p>
    <w:p w14:paraId="7AF22CAB">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须提前准备如下材料：《营业执照》复印件（加盖公章）或《事业单位法人证书》复印件（加盖公章）或其他主体证明复印件（加盖公章），自然人参加投标须提供自然人的身份证明材料；分支机构投标的，须提供总公司和分公司营业执照副本复印件，以及总公司出具给分支机构的授权书；</w:t>
      </w:r>
    </w:p>
    <w:p w14:paraId="7D7E08E2">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、须在领购时间内进行报名，逾期报名无效，任何投标人因逾期报名或误缴费用而导致报名无效的，自行承担相应责任；</w:t>
      </w:r>
    </w:p>
    <w:p w14:paraId="7FE8DD7C">
      <w:pPr>
        <w:wordWrap w:val="0"/>
        <w:ind w:firstLine="420" w:firstLineChars="200"/>
        <w:rPr>
          <w:color w:val="auto"/>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lang w:val="en-US" w:eastAsia="zh-CN"/>
        </w:rPr>
        <w:t>、领购价格：每套售价300元（人民币），售后不退；领购咨询人：</w:t>
      </w:r>
      <w:r>
        <w:rPr>
          <w:rFonts w:hint="eastAsia" w:ascii="宋体" w:hAnsi="宋体" w:cs="宋体"/>
          <w:color w:val="auto"/>
          <w:szCs w:val="21"/>
          <w:highlight w:val="none"/>
          <w:lang w:val="en-US" w:eastAsia="zh-CN"/>
        </w:rPr>
        <w:t>黎</w:t>
      </w:r>
      <w:r>
        <w:rPr>
          <w:rFonts w:hint="eastAsia" w:ascii="宋体" w:hAnsi="宋体" w:eastAsia="宋体" w:cs="宋体"/>
          <w:color w:val="auto"/>
          <w:szCs w:val="21"/>
          <w:highlight w:val="none"/>
          <w:lang w:val="en-US" w:eastAsia="zh-CN"/>
        </w:rPr>
        <w:t>先生；领购咨询电话：0769-31000869</w:t>
      </w:r>
      <w:r>
        <w:rPr>
          <w:rFonts w:hint="eastAsia" w:ascii="宋体" w:hAnsi="宋体" w:cs="宋体"/>
          <w:color w:val="auto"/>
          <w:szCs w:val="21"/>
          <w:highlight w:val="none"/>
          <w:lang w:eastAsia="zh-CN"/>
        </w:rPr>
        <w:t>。</w:t>
      </w:r>
    </w:p>
    <w:p w14:paraId="37F0E520">
      <w:pPr>
        <w:rPr>
          <w:rFonts w:hint="eastAsia" w:ascii="宋体" w:hAnsi="宋体"/>
          <w:b/>
          <w:color w:val="auto"/>
          <w:szCs w:val="21"/>
          <w:highlight w:val="none"/>
        </w:rPr>
      </w:pPr>
      <w:r>
        <w:rPr>
          <w:rFonts w:hint="eastAsia" w:ascii="宋体" w:hAnsi="宋体"/>
          <w:b/>
          <w:color w:val="auto"/>
          <w:szCs w:val="21"/>
          <w:highlight w:val="none"/>
        </w:rPr>
        <w:t>四、投标文件的递交</w:t>
      </w:r>
    </w:p>
    <w:p w14:paraId="179EB821">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1、递交投标文件时间：</w:t>
      </w:r>
      <w:r>
        <w:rPr>
          <w:rFonts w:hint="eastAsia" w:ascii="宋体" w:hAnsi="宋体" w:eastAsia="宋体" w:cs="宋体"/>
          <w:color w:val="auto"/>
          <w:sz w:val="21"/>
          <w:szCs w:val="21"/>
          <w:highlight w:val="none"/>
          <w:lang w:eastAsia="zh-CN"/>
        </w:rPr>
        <w:t>202</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01</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28</w:t>
      </w:r>
      <w:r>
        <w:rPr>
          <w:rFonts w:hint="eastAsia" w:ascii="宋体" w:hAnsi="宋体" w:eastAsia="宋体" w:cs="宋体"/>
          <w:color w:val="auto"/>
          <w:sz w:val="21"/>
          <w:szCs w:val="21"/>
          <w:highlight w:val="none"/>
        </w:rPr>
        <w:t>日（北京时间）</w:t>
      </w:r>
      <w:r>
        <w:rPr>
          <w:rFonts w:hint="eastAsia" w:ascii="宋体" w:hAnsi="宋体" w:cs="宋体"/>
          <w:color w:val="auto"/>
          <w:sz w:val="21"/>
          <w:szCs w:val="21"/>
          <w:highlight w:val="none"/>
          <w:u w:val="single"/>
          <w:lang w:val="en-US" w:eastAsia="zh-CN"/>
        </w:rPr>
        <w:t xml:space="preserve">09 </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 xml:space="preserve"> 00 </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09</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w:t>
      </w:r>
    </w:p>
    <w:p w14:paraId="662D43E6">
      <w:pPr>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2、递交投标文件截止及开标时间：</w:t>
      </w:r>
      <w:r>
        <w:rPr>
          <w:rFonts w:hint="eastAsia" w:ascii="宋体" w:hAnsi="宋体" w:eastAsia="宋体" w:cs="宋体"/>
          <w:color w:val="auto"/>
          <w:sz w:val="21"/>
          <w:szCs w:val="21"/>
          <w:highlight w:val="none"/>
          <w:lang w:eastAsia="zh-CN"/>
        </w:rPr>
        <w:t>202</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01</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28</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09</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（北京时间），所有投标文件应于截止时间之前递交，迟交或以电报、传真形式的投标文件将拒绝接收。</w:t>
      </w:r>
    </w:p>
    <w:p w14:paraId="6E15D200">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3、开标地点：</w:t>
      </w:r>
      <w:r>
        <w:rPr>
          <w:rFonts w:hint="eastAsia" w:ascii="宋体" w:hAnsi="宋体" w:cs="宋体"/>
          <w:color w:val="auto"/>
          <w:sz w:val="21"/>
          <w:szCs w:val="21"/>
          <w:highlight w:val="none"/>
          <w:lang w:eastAsia="zh-CN"/>
        </w:rPr>
        <w:t>广东省东莞市莞城区美峰路8号1栋1001</w:t>
      </w:r>
      <w:r>
        <w:rPr>
          <w:rFonts w:hint="eastAsia" w:ascii="宋体" w:hAnsi="宋体" w:eastAsia="宋体" w:cs="宋体"/>
          <w:color w:val="auto"/>
          <w:sz w:val="21"/>
          <w:szCs w:val="21"/>
          <w:highlight w:val="none"/>
          <w:lang w:eastAsia="zh-CN"/>
        </w:rPr>
        <w:t>。</w:t>
      </w:r>
    </w:p>
    <w:p w14:paraId="070BA305">
      <w:pPr>
        <w:ind w:firstLine="411" w:firstLineChars="196"/>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4、开标事宜</w:t>
      </w:r>
      <w:r>
        <w:rPr>
          <w:rFonts w:hint="eastAsia" w:ascii="宋体" w:hAnsi="宋体" w:eastAsia="宋体" w:cs="宋体"/>
          <w:bCs/>
          <w:color w:val="auto"/>
          <w:sz w:val="21"/>
          <w:szCs w:val="21"/>
          <w:highlight w:val="none"/>
        </w:rPr>
        <w:t>：</w:t>
      </w:r>
      <w:r>
        <w:rPr>
          <w:rFonts w:hint="eastAsia" w:ascii="宋体" w:hAnsi="宋体" w:eastAsia="宋体" w:cs="宋体"/>
          <w:b/>
          <w:bCs w:val="0"/>
          <w:color w:val="auto"/>
          <w:sz w:val="21"/>
          <w:szCs w:val="21"/>
          <w:highlight w:val="none"/>
          <w:lang w:val="en-US" w:eastAsia="zh-CN"/>
        </w:rPr>
        <w:t>在递交投标文件时，投标人委托授权代表须为本单位正式员工（若联合体投标，允许是联合体任意一方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38685094">
      <w:pPr>
        <w:pStyle w:val="43"/>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535AD825">
      <w:pPr>
        <w:pStyle w:val="43"/>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3238600C">
      <w:pPr>
        <w:pStyle w:val="43"/>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57512593">
      <w:pPr>
        <w:rPr>
          <w:rFonts w:hint="eastAsia" w:ascii="宋体" w:hAnsi="宋体"/>
          <w:b/>
          <w:color w:val="auto"/>
          <w:szCs w:val="21"/>
          <w:highlight w:val="none"/>
        </w:rPr>
      </w:pPr>
      <w:r>
        <w:rPr>
          <w:rFonts w:hint="eastAsia" w:ascii="宋体" w:hAnsi="宋体"/>
          <w:b/>
          <w:color w:val="auto"/>
          <w:szCs w:val="21"/>
          <w:highlight w:val="none"/>
        </w:rPr>
        <w:t>五、发布公告的媒介</w:t>
      </w:r>
    </w:p>
    <w:p w14:paraId="4D59A8E1">
      <w:pPr>
        <w:pStyle w:val="43"/>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4EE240DE">
      <w:pPr>
        <w:pStyle w:val="43"/>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（1）中国招标投标公共服务平台（http://www.cebpubservice.com/）、</w:t>
      </w:r>
    </w:p>
    <w:p w14:paraId="47634826">
      <w:pPr>
        <w:pStyle w:val="43"/>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（2）东莞实业投资控股集团有限公司-招标采购栏目（http://www.dgsy.com.cn/）、</w:t>
      </w:r>
    </w:p>
    <w:p w14:paraId="1672C9CD">
      <w:pPr>
        <w:pStyle w:val="43"/>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（3）招标采购代理公司官网（https://www.jianhanzx.com/）</w:t>
      </w:r>
    </w:p>
    <w:p w14:paraId="23FCD4B0">
      <w:pPr>
        <w:pStyle w:val="43"/>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结果公告</w:t>
      </w:r>
      <w:r>
        <w:rPr>
          <w:rFonts w:hint="eastAsia" w:ascii="宋体" w:hAnsi="宋体" w:eastAsia="宋体" w:cs="宋体"/>
          <w:color w:val="auto"/>
          <w:sz w:val="21"/>
          <w:szCs w:val="21"/>
          <w:highlight w:val="none"/>
        </w:rPr>
        <w:t>发布媒介：</w:t>
      </w:r>
    </w:p>
    <w:p w14:paraId="1DC567AA">
      <w:pPr>
        <w:pStyle w:val="43"/>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（1）中国招标投标公共服务平台（http://www.cebpubservice.com/）、</w:t>
      </w:r>
    </w:p>
    <w:p w14:paraId="091C5B29">
      <w:pPr>
        <w:pStyle w:val="43"/>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（2）东莞实业投资控股集团有限公司-招标采购栏目（http://www.dgsy.com.cn/）、</w:t>
      </w:r>
    </w:p>
    <w:p w14:paraId="3D5FBD5D">
      <w:pPr>
        <w:pStyle w:val="43"/>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（3）招标采购代理公司官网（https://www.jianhanzx.com/）</w:t>
      </w:r>
    </w:p>
    <w:p w14:paraId="7C27264C">
      <w:pPr>
        <w:rPr>
          <w:rFonts w:hint="eastAsia" w:ascii="宋体" w:hAnsi="宋体"/>
          <w:b/>
          <w:color w:val="auto"/>
          <w:szCs w:val="21"/>
          <w:highlight w:val="none"/>
        </w:rPr>
      </w:pPr>
      <w:r>
        <w:rPr>
          <w:rFonts w:hint="eastAsia" w:ascii="宋体" w:hAnsi="宋体"/>
          <w:b/>
          <w:color w:val="auto"/>
          <w:szCs w:val="21"/>
          <w:highlight w:val="none"/>
        </w:rPr>
        <w:t>六、采购人及采购代理机构的名称、地址和联系方法</w:t>
      </w:r>
    </w:p>
    <w:p w14:paraId="47FC0B67">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采购人名称：</w:t>
      </w:r>
      <w:r>
        <w:rPr>
          <w:rFonts w:hint="eastAsia" w:ascii="宋体" w:hAnsi="宋体" w:eastAsia="宋体" w:cs="宋体"/>
          <w:color w:val="auto"/>
          <w:sz w:val="21"/>
          <w:szCs w:val="21"/>
          <w:highlight w:val="none"/>
          <w:lang w:eastAsia="zh-CN"/>
        </w:rPr>
        <w:t>东莞市新锋新能源有限公司</w:t>
      </w:r>
    </w:p>
    <w:p w14:paraId="174FA8EA">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采购人联系人：翟先生</w:t>
      </w:r>
    </w:p>
    <w:p w14:paraId="3B832275">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采购人地址：广东省东莞市松山湖园区新城路5号1栋601室</w:t>
      </w:r>
    </w:p>
    <w:p w14:paraId="5CD3A960">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采购人联系电话：0769-22899838-864</w:t>
      </w:r>
    </w:p>
    <w:p w14:paraId="2A9EA97E">
      <w:pPr>
        <w:ind w:firstLine="420" w:firstLineChars="200"/>
        <w:rPr>
          <w:rFonts w:hint="eastAsia" w:ascii="宋体" w:hAnsi="宋体" w:eastAsia="宋体" w:cs="宋体"/>
          <w:color w:val="auto"/>
          <w:sz w:val="21"/>
          <w:szCs w:val="21"/>
          <w:highlight w:val="none"/>
        </w:rPr>
      </w:pPr>
    </w:p>
    <w:p w14:paraId="1E12A061">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采购代理机构名称：</w:t>
      </w:r>
      <w:r>
        <w:rPr>
          <w:rFonts w:hint="eastAsia" w:ascii="宋体" w:hAnsi="宋体" w:eastAsia="宋体" w:cs="宋体"/>
          <w:color w:val="auto"/>
          <w:sz w:val="21"/>
          <w:szCs w:val="21"/>
          <w:highlight w:val="none"/>
          <w:lang w:eastAsia="zh-CN"/>
        </w:rPr>
        <w:t>广东建瀚工程管理有限公司</w:t>
      </w:r>
    </w:p>
    <w:p w14:paraId="19E1DA0A">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采购代理机构地址：</w:t>
      </w:r>
      <w:r>
        <w:rPr>
          <w:rFonts w:hint="eastAsia" w:ascii="宋体" w:hAnsi="宋体" w:eastAsia="宋体" w:cs="宋体"/>
          <w:color w:val="auto"/>
          <w:sz w:val="21"/>
          <w:szCs w:val="21"/>
          <w:highlight w:val="none"/>
          <w:lang w:eastAsia="zh-CN"/>
        </w:rPr>
        <w:t>广东省东莞市莞城区美峰路8号1栋1001</w:t>
      </w:r>
    </w:p>
    <w:p w14:paraId="6D596873">
      <w:p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采购代理机构联系人：</w:t>
      </w:r>
      <w:r>
        <w:rPr>
          <w:rFonts w:hint="eastAsia" w:ascii="宋体" w:hAnsi="宋体" w:eastAsia="宋体" w:cs="宋体"/>
          <w:color w:val="auto"/>
          <w:sz w:val="21"/>
          <w:szCs w:val="21"/>
          <w:highlight w:val="none"/>
          <w:lang w:val="en-US" w:eastAsia="zh-CN"/>
        </w:rPr>
        <w:t>黎工</w:t>
      </w:r>
    </w:p>
    <w:p w14:paraId="499A0E2F">
      <w:p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采购代理机构联系电话：</w:t>
      </w:r>
      <w:r>
        <w:rPr>
          <w:rFonts w:hint="eastAsia" w:ascii="宋体" w:hAnsi="宋体" w:eastAsia="宋体" w:cs="宋体"/>
          <w:color w:val="auto"/>
          <w:sz w:val="21"/>
          <w:szCs w:val="21"/>
          <w:highlight w:val="none"/>
          <w:lang w:eastAsia="zh-CN"/>
        </w:rPr>
        <w:t>0769-31000869</w:t>
      </w:r>
    </w:p>
    <w:p w14:paraId="30F54EA8">
      <w:p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采购代理机构邮箱：</w:t>
      </w:r>
      <w:r>
        <w:rPr>
          <w:rFonts w:hint="eastAsia" w:ascii="宋体" w:hAnsi="宋体" w:eastAsia="宋体" w:cs="宋体"/>
          <w:color w:val="auto"/>
          <w:sz w:val="21"/>
          <w:szCs w:val="21"/>
          <w:highlight w:val="none"/>
          <w:lang w:val="en-US" w:eastAsia="zh-CN"/>
        </w:rPr>
        <w:t>995080042@qq.com</w:t>
      </w:r>
    </w:p>
    <w:p w14:paraId="4C00AEC5">
      <w:pPr>
        <w:ind w:firstLine="420" w:firstLineChars="200"/>
        <w:jc w:val="right"/>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广东建瀚工程管理有限公司</w:t>
      </w:r>
    </w:p>
    <w:p w14:paraId="4A600E64">
      <w:pPr>
        <w:jc w:val="right"/>
        <w:rPr>
          <w:rFonts w:hint="eastAsia" w:ascii="黑体" w:hAnsi="宋体" w:eastAsia="黑体"/>
          <w:color w:val="auto"/>
          <w:highlight w:val="none"/>
        </w:rPr>
      </w:pPr>
      <w:r>
        <w:rPr>
          <w:rFonts w:hint="eastAsia" w:ascii="宋体" w:hAnsi="宋体" w:cs="宋体"/>
          <w:color w:val="auto"/>
          <w:sz w:val="21"/>
          <w:szCs w:val="21"/>
          <w:highlight w:val="none"/>
          <w:lang w:val="en-US" w:eastAsia="zh-CN"/>
        </w:rPr>
        <w:t>2026年1月</w:t>
      </w:r>
      <w:r>
        <w:rPr>
          <w:rFonts w:hint="eastAsia" w:ascii="宋体" w:hAnsi="宋体" w:cs="宋体"/>
          <w:color w:val="auto"/>
          <w:sz w:val="21"/>
          <w:szCs w:val="21"/>
          <w:highlight w:val="none"/>
          <w:lang w:val="en-US" w:eastAsia="zh-CN"/>
        </w:rPr>
        <w:t xml:space="preserve"> </w:t>
      </w:r>
      <w:r>
        <w:rPr>
          <w:rFonts w:hint="eastAsia" w:ascii="宋体" w:hAnsi="宋体" w:cs="宋体"/>
          <w:color w:val="auto"/>
          <w:szCs w:val="21"/>
          <w:highlight w:val="none"/>
        </w:rPr>
        <w:br w:type="page"/>
      </w:r>
    </w:p>
    <w:p w14:paraId="1AF3F0B2">
      <w:pPr>
        <w:pStyle w:val="4"/>
        <w:spacing w:before="0" w:after="0" w:line="240" w:lineRule="auto"/>
        <w:rPr>
          <w:color w:val="auto"/>
          <w:sz w:val="28"/>
          <w:szCs w:val="28"/>
          <w:highlight w:val="none"/>
        </w:rPr>
      </w:pPr>
      <w:bookmarkStart w:id="2" w:name="_Toc32532"/>
      <w:r>
        <w:rPr>
          <w:rFonts w:hint="eastAsia"/>
          <w:color w:val="auto"/>
          <w:sz w:val="28"/>
          <w:szCs w:val="28"/>
          <w:highlight w:val="none"/>
        </w:rPr>
        <w:t>第二部分相关资料表格</w:t>
      </w:r>
      <w:bookmarkEnd w:id="2"/>
    </w:p>
    <w:p w14:paraId="243CE4C4">
      <w:pPr>
        <w:pStyle w:val="5"/>
        <w:spacing w:before="0" w:after="0" w:line="240" w:lineRule="auto"/>
        <w:jc w:val="center"/>
        <w:rPr>
          <w:rFonts w:hint="eastAsia" w:ascii="宋体" w:hAnsi="宋体" w:cs="宋体"/>
          <w:color w:val="auto"/>
          <w:sz w:val="24"/>
          <w:szCs w:val="24"/>
          <w:highlight w:val="none"/>
        </w:rPr>
      </w:pPr>
      <w:bookmarkStart w:id="3" w:name="_Toc15079"/>
      <w:r>
        <w:rPr>
          <w:rFonts w:hint="eastAsia" w:ascii="宋体" w:hAnsi="宋体" w:cs="宋体"/>
          <w:color w:val="auto"/>
          <w:sz w:val="24"/>
          <w:szCs w:val="24"/>
          <w:highlight w:val="none"/>
        </w:rPr>
        <w:t>附表一：投标资料表</w:t>
      </w:r>
      <w:bookmarkEnd w:id="3"/>
    </w:p>
    <w:tbl>
      <w:tblPr>
        <w:tblStyle w:val="30"/>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Layout w:type="fixed"/>
        <w:tblCellMar>
          <w:top w:w="0" w:type="dxa"/>
          <w:left w:w="28" w:type="dxa"/>
          <w:bottom w:w="0" w:type="dxa"/>
          <w:right w:w="28" w:type="dxa"/>
        </w:tblCellMar>
      </w:tblPr>
      <w:tblGrid>
        <w:gridCol w:w="878"/>
        <w:gridCol w:w="2608"/>
        <w:gridCol w:w="4924"/>
      </w:tblGrid>
      <w:tr w14:paraId="2233C3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600" w:hRule="atLeast"/>
        </w:trPr>
        <w:tc>
          <w:tcPr>
            <w:tcW w:w="878" w:type="dxa"/>
            <w:tcBorders>
              <w:tl2br w:val="nil"/>
              <w:tr2bl w:val="nil"/>
            </w:tcBorders>
            <w:shd w:val="clear" w:color="auto" w:fill="FFFFFF" w:themeFill="background1"/>
            <w:vAlign w:val="center"/>
          </w:tcPr>
          <w:p w14:paraId="6FA19FD9">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shd w:val="clear" w:color="auto" w:fill="FFFFFF" w:themeFill="background1"/>
            <w:vAlign w:val="center"/>
          </w:tcPr>
          <w:p w14:paraId="12D37529">
            <w:pPr>
              <w:jc w:val="center"/>
              <w:rPr>
                <w:rFonts w:ascii="宋体" w:hAnsi="宋体"/>
                <w:b/>
                <w:color w:val="auto"/>
                <w:szCs w:val="21"/>
                <w:highlight w:val="none"/>
              </w:rPr>
            </w:pPr>
            <w:r>
              <w:rPr>
                <w:rFonts w:hint="eastAsia" w:ascii="宋体" w:hAnsi="宋体"/>
                <w:b/>
                <w:color w:val="auto"/>
                <w:szCs w:val="21"/>
                <w:highlight w:val="none"/>
              </w:rPr>
              <w:t>内容</w:t>
            </w:r>
          </w:p>
        </w:tc>
      </w:tr>
      <w:tr w14:paraId="7E3779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shd w:val="clear" w:color="auto" w:fill="FFFFFF" w:themeFill="background1"/>
            <w:vAlign w:val="center"/>
          </w:tcPr>
          <w:p w14:paraId="463FCA6B">
            <w:pPr>
              <w:jc w:val="center"/>
              <w:rPr>
                <w:rFonts w:ascii="宋体" w:hAnsi="宋体"/>
                <w:b/>
                <w:color w:val="auto"/>
                <w:szCs w:val="21"/>
                <w:highlight w:val="none"/>
              </w:rPr>
            </w:pPr>
            <w:r>
              <w:rPr>
                <w:rFonts w:hint="eastAsia" w:ascii="宋体" w:hAnsi="宋体"/>
                <w:b/>
                <w:color w:val="auto"/>
                <w:szCs w:val="21"/>
                <w:highlight w:val="none"/>
              </w:rPr>
              <w:t>一、说明</w:t>
            </w:r>
          </w:p>
        </w:tc>
      </w:tr>
      <w:tr w14:paraId="23846B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70C0FD40">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shd w:val="clear" w:color="auto" w:fill="FFFFFF" w:themeFill="background1"/>
            <w:vAlign w:val="center"/>
          </w:tcPr>
          <w:p w14:paraId="2A39A4BD">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3CC7CC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4B2CDF0B">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3C620166">
            <w:pPr>
              <w:rPr>
                <w:rFonts w:hint="eastAsia" w:ascii="宋体" w:hAnsi="宋体" w:eastAsia="宋体"/>
                <w:b/>
                <w:bCs/>
                <w:color w:val="auto"/>
                <w:szCs w:val="21"/>
                <w:highlight w:val="none"/>
                <w:lang w:eastAsia="zh-CN"/>
              </w:rPr>
            </w:pPr>
            <w:r>
              <w:rPr>
                <w:rFonts w:hint="eastAsia" w:ascii="宋体" w:hAnsi="宋体"/>
                <w:b w:val="0"/>
                <w:bCs w:val="0"/>
                <w:color w:val="auto"/>
                <w:szCs w:val="21"/>
                <w:highlight w:val="none"/>
              </w:rPr>
              <w:t>与项目预算一致</w:t>
            </w:r>
            <w:r>
              <w:rPr>
                <w:rFonts w:hint="eastAsia" w:ascii="宋体" w:hAnsi="宋体"/>
                <w:b w:val="0"/>
                <w:bCs w:val="0"/>
                <w:color w:val="auto"/>
                <w:szCs w:val="21"/>
                <w:highlight w:val="none"/>
                <w:lang w:eastAsia="zh-CN"/>
              </w:rPr>
              <w:t>。</w:t>
            </w:r>
          </w:p>
        </w:tc>
      </w:tr>
      <w:tr w14:paraId="6FFCF2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2" w:hRule="atLeast"/>
        </w:trPr>
        <w:tc>
          <w:tcPr>
            <w:tcW w:w="878" w:type="dxa"/>
            <w:vMerge w:val="restart"/>
            <w:tcBorders>
              <w:tl2br w:val="nil"/>
              <w:tr2bl w:val="nil"/>
            </w:tcBorders>
            <w:shd w:val="clear" w:color="auto" w:fill="FFFFFF" w:themeFill="background1"/>
            <w:vAlign w:val="center"/>
          </w:tcPr>
          <w:p w14:paraId="459BD3ED">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shd w:val="clear" w:color="auto" w:fill="FFFFFF" w:themeFill="background1"/>
            <w:vAlign w:val="center"/>
          </w:tcPr>
          <w:p w14:paraId="7EDF030A">
            <w:pPr>
              <w:rPr>
                <w:rFonts w:ascii="宋体" w:hAnsi="宋体"/>
                <w:b/>
                <w:bCs/>
                <w:color w:val="auto"/>
                <w:szCs w:val="21"/>
                <w:highlight w:val="none"/>
              </w:rPr>
            </w:pPr>
            <w:r>
              <w:rPr>
                <w:rFonts w:hint="eastAsia" w:ascii="宋体" w:hAnsi="宋体"/>
                <w:b/>
                <w:bCs/>
                <w:color w:val="auto"/>
                <w:szCs w:val="21"/>
                <w:highlight w:val="none"/>
              </w:rPr>
              <w:t>发包方式</w:t>
            </w:r>
          </w:p>
        </w:tc>
      </w:tr>
      <w:tr w14:paraId="228F62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3AFAA2B1">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784905D3">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固定总价包干；</w:t>
            </w:r>
          </w:p>
          <w:p w14:paraId="6F921D60">
            <w:pPr>
              <w:rPr>
                <w:rFonts w:ascii="宋体" w:hAnsi="宋体"/>
                <w:b/>
                <w:bCs/>
                <w:color w:val="auto"/>
                <w:szCs w:val="21"/>
                <w:highlight w:val="none"/>
              </w:rPr>
            </w:pPr>
            <w:r>
              <w:rPr>
                <w:rFonts w:hint="eastAsia" w:ascii="宋体" w:hAnsi="宋体"/>
                <w:color w:val="auto"/>
                <w:szCs w:val="21"/>
                <w:highlight w:val="none"/>
              </w:rPr>
              <w:sym w:font="Wingdings 2" w:char="0052"/>
            </w:r>
            <w:r>
              <w:rPr>
                <w:rFonts w:hint="eastAsia" w:ascii="宋体" w:hAnsi="宋体"/>
                <w:b/>
                <w:bCs/>
                <w:color w:val="auto"/>
                <w:szCs w:val="21"/>
                <w:highlight w:val="none"/>
              </w:rPr>
              <w:t>固定单价暂定总价包干；</w:t>
            </w:r>
          </w:p>
          <w:p w14:paraId="56DC1CE1">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64BE75DC">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2CA493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4AFFF28D">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7532" w:type="dxa"/>
            <w:gridSpan w:val="2"/>
            <w:tcBorders>
              <w:tl2br w:val="nil"/>
              <w:tr2bl w:val="nil"/>
            </w:tcBorders>
            <w:shd w:val="clear" w:color="auto" w:fill="FFFFFF" w:themeFill="background1"/>
            <w:vAlign w:val="center"/>
          </w:tcPr>
          <w:p w14:paraId="2B7D4852">
            <w:pPr>
              <w:rPr>
                <w:rFonts w:ascii="宋体" w:hAnsi="宋体"/>
                <w:b/>
                <w:bCs/>
                <w:color w:val="auto"/>
                <w:szCs w:val="21"/>
                <w:highlight w:val="none"/>
              </w:rPr>
            </w:pPr>
            <w:r>
              <w:rPr>
                <w:rFonts w:hint="eastAsia" w:ascii="宋体" w:hAnsi="宋体"/>
                <w:b/>
                <w:bCs/>
                <w:color w:val="auto"/>
                <w:szCs w:val="21"/>
                <w:highlight w:val="none"/>
              </w:rPr>
              <w:t>资金来源</w:t>
            </w:r>
          </w:p>
        </w:tc>
      </w:tr>
      <w:tr w14:paraId="70DFCE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40928322">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78F2A663">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18C3E5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7E649073">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7532" w:type="dxa"/>
            <w:gridSpan w:val="2"/>
            <w:tcBorders>
              <w:tl2br w:val="nil"/>
              <w:tr2bl w:val="nil"/>
            </w:tcBorders>
            <w:shd w:val="clear" w:color="auto" w:fill="FFFFFF" w:themeFill="background1"/>
            <w:vAlign w:val="center"/>
          </w:tcPr>
          <w:p w14:paraId="24198699">
            <w:pPr>
              <w:rPr>
                <w:rFonts w:ascii="宋体" w:hAnsi="宋体"/>
                <w:b/>
                <w:color w:val="auto"/>
                <w:szCs w:val="21"/>
                <w:highlight w:val="none"/>
              </w:rPr>
            </w:pPr>
            <w:r>
              <w:rPr>
                <w:rFonts w:hint="eastAsia" w:ascii="宋体" w:hAnsi="宋体"/>
                <w:b/>
                <w:color w:val="auto"/>
                <w:szCs w:val="21"/>
                <w:highlight w:val="none"/>
              </w:rPr>
              <w:t>踏勘现场</w:t>
            </w:r>
          </w:p>
        </w:tc>
      </w:tr>
      <w:tr w14:paraId="4AC502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736EB4FE">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4DEE53A5">
            <w:pPr>
              <w:rPr>
                <w:rFonts w:ascii="宋体" w:hAnsi="宋体"/>
                <w:bCs/>
                <w:color w:val="auto"/>
                <w:szCs w:val="21"/>
                <w:highlight w:val="none"/>
              </w:rPr>
            </w:pPr>
            <w:r>
              <w:rPr>
                <w:rFonts w:hint="eastAsia" w:ascii="宋体" w:hAnsi="宋体"/>
                <w:bCs/>
                <w:color w:val="auto"/>
                <w:szCs w:val="21"/>
                <w:highlight w:val="none"/>
                <w:lang w:eastAsia="zh-CN"/>
              </w:rPr>
              <w:t>☑</w:t>
            </w:r>
            <w:r>
              <w:rPr>
                <w:rFonts w:hint="eastAsia" w:ascii="宋体" w:hAnsi="宋体"/>
                <w:bCs/>
                <w:color w:val="auto"/>
                <w:szCs w:val="21"/>
                <w:highlight w:val="none"/>
              </w:rPr>
              <w:t>不组织 。</w:t>
            </w:r>
          </w:p>
          <w:p w14:paraId="2993A93D">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5FF494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shd w:val="clear" w:color="auto" w:fill="FFFFFF" w:themeFill="background1"/>
            <w:vAlign w:val="center"/>
          </w:tcPr>
          <w:p w14:paraId="22557A34">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1B61D0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25DDFB04">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7532" w:type="dxa"/>
            <w:gridSpan w:val="2"/>
            <w:tcBorders>
              <w:tl2br w:val="nil"/>
              <w:tr2bl w:val="nil"/>
            </w:tcBorders>
            <w:shd w:val="clear" w:color="auto" w:fill="FFFFFF" w:themeFill="background1"/>
            <w:vAlign w:val="center"/>
          </w:tcPr>
          <w:p w14:paraId="4ADAC459">
            <w:pPr>
              <w:rPr>
                <w:rFonts w:ascii="宋体" w:hAnsi="宋体"/>
                <w:b/>
                <w:color w:val="auto"/>
                <w:szCs w:val="21"/>
                <w:highlight w:val="none"/>
              </w:rPr>
            </w:pPr>
            <w:r>
              <w:rPr>
                <w:rFonts w:hint="eastAsia" w:ascii="宋体" w:hAnsi="宋体"/>
                <w:b/>
                <w:color w:val="auto"/>
                <w:szCs w:val="21"/>
                <w:highlight w:val="none"/>
              </w:rPr>
              <w:t>投标语言</w:t>
            </w:r>
          </w:p>
        </w:tc>
      </w:tr>
      <w:tr w14:paraId="6E00FC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62ADE3E7">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58E5FE4B">
            <w:pPr>
              <w:rPr>
                <w:rFonts w:ascii="宋体" w:hAnsi="宋体"/>
                <w:b/>
                <w:color w:val="auto"/>
                <w:szCs w:val="21"/>
                <w:highlight w:val="none"/>
              </w:rPr>
            </w:pPr>
            <w:r>
              <w:rPr>
                <w:rFonts w:hint="eastAsia" w:ascii="宋体" w:hAnsi="宋体"/>
                <w:color w:val="auto"/>
                <w:szCs w:val="21"/>
                <w:highlight w:val="none"/>
              </w:rPr>
              <w:t>中文。</w:t>
            </w:r>
          </w:p>
        </w:tc>
      </w:tr>
      <w:tr w14:paraId="7DDEF1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6BF1B879">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7532" w:type="dxa"/>
            <w:gridSpan w:val="2"/>
            <w:tcBorders>
              <w:tl2br w:val="nil"/>
              <w:tr2bl w:val="nil"/>
            </w:tcBorders>
            <w:shd w:val="clear" w:color="auto" w:fill="FFFFFF" w:themeFill="background1"/>
            <w:vAlign w:val="center"/>
          </w:tcPr>
          <w:p w14:paraId="08B3BCCA">
            <w:pPr>
              <w:jc w:val="both"/>
              <w:rPr>
                <w:rFonts w:ascii="宋体" w:hAnsi="宋体"/>
                <w:b/>
                <w:color w:val="auto"/>
                <w:szCs w:val="21"/>
                <w:highlight w:val="none"/>
              </w:rPr>
            </w:pPr>
            <w:r>
              <w:rPr>
                <w:rFonts w:hint="eastAsia" w:ascii="宋体" w:hAnsi="宋体"/>
                <w:b/>
                <w:color w:val="auto"/>
                <w:szCs w:val="21"/>
                <w:highlight w:val="none"/>
              </w:rPr>
              <w:t>投标报价</w:t>
            </w:r>
          </w:p>
        </w:tc>
      </w:tr>
      <w:tr w14:paraId="4CC5E3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0CAAE649">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5EA38574">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14EA48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shd w:val="clear" w:color="auto" w:fill="FFFFFF" w:themeFill="background1"/>
            <w:vAlign w:val="center"/>
          </w:tcPr>
          <w:p w14:paraId="4A00CD22">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7532" w:type="dxa"/>
            <w:gridSpan w:val="2"/>
            <w:tcBorders>
              <w:tl2br w:val="nil"/>
              <w:tr2bl w:val="nil"/>
            </w:tcBorders>
            <w:shd w:val="clear" w:color="auto" w:fill="FFFFFF" w:themeFill="background1"/>
            <w:vAlign w:val="center"/>
          </w:tcPr>
          <w:p w14:paraId="54ACD213">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08CB85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0" w:hRule="atLeast"/>
        </w:trPr>
        <w:tc>
          <w:tcPr>
            <w:tcW w:w="878" w:type="dxa"/>
            <w:vMerge w:val="continue"/>
            <w:tcBorders>
              <w:tl2br w:val="nil"/>
              <w:tr2bl w:val="nil"/>
            </w:tcBorders>
            <w:shd w:val="clear" w:color="auto" w:fill="FFFFFF" w:themeFill="background1"/>
            <w:vAlign w:val="center"/>
          </w:tcPr>
          <w:p w14:paraId="69EBF9C6">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1FCBDE96">
            <w:pPr>
              <w:jc w:val="both"/>
              <w:rPr>
                <w:rFonts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color w:val="auto"/>
                <w:szCs w:val="21"/>
                <w:highlight w:val="none"/>
                <w:lang w:val="en-US" w:eastAsia="zh-CN"/>
              </w:rPr>
              <w:t>人民币</w:t>
            </w:r>
            <w:r>
              <w:rPr>
                <w:rFonts w:hint="eastAsia" w:ascii="宋体" w:hAnsi="宋体"/>
                <w:b/>
                <w:bCs/>
                <w:color w:val="auto"/>
                <w:sz w:val="21"/>
                <w:szCs w:val="21"/>
                <w:highlight w:val="none"/>
                <w:u w:val="single"/>
                <w:lang w:val="en-US" w:eastAsia="zh-CN"/>
              </w:rPr>
              <w:t>20,000.00</w:t>
            </w:r>
            <w:r>
              <w:rPr>
                <w:rFonts w:hint="eastAsia" w:ascii="宋体" w:hAnsi="宋体"/>
                <w:b/>
                <w:bCs/>
                <w:color w:val="auto"/>
                <w:sz w:val="21"/>
                <w:szCs w:val="21"/>
                <w:highlight w:val="none"/>
                <w:lang w:val="en-US" w:eastAsia="zh-CN"/>
              </w:rPr>
              <w:t>元</w:t>
            </w:r>
            <w:r>
              <w:rPr>
                <w:rFonts w:hint="eastAsia" w:ascii="宋体" w:hAnsi="宋体"/>
                <w:color w:val="auto"/>
                <w:szCs w:val="21"/>
                <w:highlight w:val="none"/>
              </w:rPr>
              <w:t>。</w:t>
            </w:r>
          </w:p>
        </w:tc>
      </w:tr>
      <w:tr w14:paraId="758C20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273" w:hRule="atLeast"/>
        </w:trPr>
        <w:tc>
          <w:tcPr>
            <w:tcW w:w="878" w:type="dxa"/>
            <w:vMerge w:val="continue"/>
            <w:tcBorders>
              <w:tl2br w:val="nil"/>
              <w:tr2bl w:val="nil"/>
            </w:tcBorders>
            <w:shd w:val="clear" w:color="auto" w:fill="FFFFFF" w:themeFill="background1"/>
            <w:vAlign w:val="center"/>
          </w:tcPr>
          <w:p w14:paraId="09BEEAA1">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375DA5AE">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59CC34B9">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355C3E9F">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账户名称：</w:t>
            </w:r>
            <w:r>
              <w:rPr>
                <w:rFonts w:hint="eastAsia" w:hAnsi="宋体" w:cs="宋体"/>
                <w:color w:val="auto"/>
                <w:kern w:val="2"/>
                <w:szCs w:val="21"/>
                <w:highlight w:val="none"/>
                <w:u w:val="single"/>
                <w:lang w:val="zh-CN" w:eastAsia="zh-CN"/>
              </w:rPr>
              <w:t>广东建瀚工程管理有限公司东莞分公司</w:t>
            </w:r>
            <w:r>
              <w:rPr>
                <w:rFonts w:hint="eastAsia" w:hAnsi="宋体" w:cs="宋体"/>
                <w:color w:val="auto"/>
                <w:kern w:val="2"/>
                <w:szCs w:val="21"/>
                <w:highlight w:val="none"/>
                <w:u w:val="single"/>
                <w:lang w:val="zh-CN"/>
              </w:rPr>
              <w:t>；</w:t>
            </w:r>
          </w:p>
          <w:p w14:paraId="270AA42A">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开户银行：</w:t>
            </w:r>
            <w:r>
              <w:rPr>
                <w:rFonts w:hint="eastAsia" w:hAnsi="宋体" w:cs="宋体"/>
                <w:color w:val="auto"/>
                <w:kern w:val="2"/>
                <w:szCs w:val="21"/>
                <w:highlight w:val="none"/>
                <w:u w:val="single"/>
                <w:lang w:val="zh-CN" w:eastAsia="zh-CN"/>
              </w:rPr>
              <w:t>中国工商银行股份有限公司东莞分行</w:t>
            </w:r>
            <w:r>
              <w:rPr>
                <w:rFonts w:hint="eastAsia" w:hAnsi="宋体" w:cs="宋体"/>
                <w:color w:val="auto"/>
                <w:kern w:val="2"/>
                <w:szCs w:val="21"/>
                <w:highlight w:val="none"/>
                <w:u w:val="single"/>
                <w:lang w:val="zh-CN"/>
              </w:rPr>
              <w:t>；</w:t>
            </w:r>
          </w:p>
          <w:p w14:paraId="68BC75B9">
            <w:pPr>
              <w:tabs>
                <w:tab w:val="left" w:pos="567"/>
              </w:tabs>
              <w:ind w:firstLine="420" w:firstLineChars="200"/>
              <w:jc w:val="both"/>
              <w:rPr>
                <w:rFonts w:hint="eastAsia" w:ascii="宋体" w:hAnsi="宋体" w:eastAsia="宋体" w:cs="宋体"/>
                <w:color w:val="auto"/>
                <w:kern w:val="2"/>
                <w:szCs w:val="21"/>
                <w:highlight w:val="none"/>
                <w:lang w:val="zh-CN"/>
              </w:rPr>
            </w:pPr>
            <w:r>
              <w:rPr>
                <w:rFonts w:hint="eastAsia" w:hAnsi="宋体" w:cs="宋体"/>
                <w:color w:val="auto"/>
                <w:kern w:val="2"/>
                <w:szCs w:val="21"/>
                <w:highlight w:val="none"/>
                <w:lang w:val="zh-CN"/>
              </w:rPr>
              <w:t>银行帐</w:t>
            </w:r>
            <w:r>
              <w:rPr>
                <w:rFonts w:hint="eastAsia" w:ascii="宋体" w:hAnsi="宋体" w:eastAsia="宋体" w:cs="宋体"/>
                <w:color w:val="auto"/>
                <w:kern w:val="2"/>
                <w:szCs w:val="21"/>
                <w:highlight w:val="none"/>
                <w:lang w:val="zh-CN"/>
              </w:rPr>
              <w:t>号：</w:t>
            </w:r>
            <w:r>
              <w:rPr>
                <w:rFonts w:hint="eastAsia" w:ascii="宋体" w:hAnsi="宋体" w:eastAsia="宋体" w:cs="宋体"/>
                <w:color w:val="auto"/>
                <w:kern w:val="2"/>
                <w:szCs w:val="21"/>
                <w:highlight w:val="none"/>
                <w:u w:val="single"/>
                <w:lang w:val="zh-CN" w:eastAsia="zh-CN"/>
              </w:rPr>
              <w:t>2010021309200628206</w:t>
            </w:r>
            <w:r>
              <w:rPr>
                <w:rFonts w:hint="eastAsia" w:ascii="宋体" w:hAnsi="宋体" w:eastAsia="宋体" w:cs="宋体"/>
                <w:color w:val="auto"/>
                <w:kern w:val="2"/>
                <w:szCs w:val="21"/>
                <w:highlight w:val="none"/>
                <w:u w:val="single"/>
                <w:lang w:val="zh-CN"/>
              </w:rPr>
              <w:t>；</w:t>
            </w:r>
          </w:p>
          <w:p w14:paraId="4BE908C1">
            <w:pPr>
              <w:tabs>
                <w:tab w:val="left" w:pos="567"/>
              </w:tabs>
              <w:ind w:firstLine="420" w:firstLineChars="200"/>
              <w:jc w:val="both"/>
              <w:rPr>
                <w:rFonts w:hAnsi="宋体" w:cs="宋体"/>
                <w:color w:val="auto"/>
                <w:kern w:val="2"/>
                <w:szCs w:val="21"/>
                <w:highlight w:val="none"/>
                <w:lang w:val="zh-CN"/>
              </w:rPr>
            </w:pPr>
            <w:r>
              <w:rPr>
                <w:rFonts w:hint="eastAsia" w:ascii="宋体" w:hAnsi="宋体" w:eastAsia="宋体" w:cs="宋体"/>
                <w:color w:val="auto"/>
                <w:kern w:val="2"/>
                <w:szCs w:val="21"/>
                <w:highlight w:val="none"/>
                <w:u w:val="none"/>
              </w:rPr>
              <w:t>保证金相关事宜联系人</w:t>
            </w:r>
            <w:r>
              <w:rPr>
                <w:rFonts w:hint="eastAsia" w:ascii="宋体" w:hAnsi="宋体" w:eastAsia="宋体" w:cs="宋体"/>
                <w:color w:val="auto"/>
                <w:kern w:val="2"/>
                <w:szCs w:val="21"/>
                <w:highlight w:val="none"/>
                <w:u w:val="single"/>
              </w:rPr>
              <w:t>：</w:t>
            </w:r>
            <w:r>
              <w:rPr>
                <w:rFonts w:hint="eastAsia" w:ascii="宋体" w:hAnsi="宋体" w:cs="宋体"/>
                <w:color w:val="auto"/>
                <w:kern w:val="2"/>
                <w:szCs w:val="21"/>
                <w:highlight w:val="none"/>
                <w:u w:val="single"/>
                <w:lang w:val="en-US" w:eastAsia="zh-CN"/>
              </w:rPr>
              <w:t>黎先生</w:t>
            </w:r>
            <w:r>
              <w:rPr>
                <w:rFonts w:hint="eastAsia" w:ascii="宋体" w:hAnsi="宋体" w:eastAsia="宋体" w:cs="宋体"/>
                <w:color w:val="auto"/>
                <w:kern w:val="2"/>
                <w:szCs w:val="21"/>
                <w:highlight w:val="none"/>
                <w:u w:val="single"/>
              </w:rPr>
              <w:t xml:space="preserve">     联系电话：</w:t>
            </w:r>
            <w:r>
              <w:rPr>
                <w:rFonts w:hint="eastAsia" w:ascii="宋体" w:hAnsi="宋体" w:eastAsia="宋体" w:cs="宋体"/>
                <w:color w:val="auto"/>
                <w:kern w:val="2"/>
                <w:szCs w:val="21"/>
                <w:highlight w:val="none"/>
                <w:u w:val="single"/>
                <w:lang w:eastAsia="zh-CN"/>
              </w:rPr>
              <w:t>0769-31000869</w:t>
            </w:r>
          </w:p>
          <w:p w14:paraId="10A785A4">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2F4820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520" w:hRule="atLeast"/>
        </w:trPr>
        <w:tc>
          <w:tcPr>
            <w:tcW w:w="878" w:type="dxa"/>
            <w:vMerge w:val="restart"/>
            <w:tcBorders>
              <w:tl2br w:val="nil"/>
              <w:tr2bl w:val="nil"/>
            </w:tcBorders>
            <w:shd w:val="clear" w:color="auto" w:fill="FFFFFF" w:themeFill="background1"/>
            <w:vAlign w:val="center"/>
          </w:tcPr>
          <w:p w14:paraId="145382DD">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7532" w:type="dxa"/>
            <w:gridSpan w:val="2"/>
            <w:tcBorders>
              <w:tl2br w:val="nil"/>
              <w:tr2bl w:val="nil"/>
            </w:tcBorders>
            <w:shd w:val="clear" w:color="auto" w:fill="FFFFFF" w:themeFill="background1"/>
            <w:vAlign w:val="center"/>
          </w:tcPr>
          <w:p w14:paraId="1F0FEE52">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447DFE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1704" w:hRule="atLeast"/>
        </w:trPr>
        <w:tc>
          <w:tcPr>
            <w:tcW w:w="878" w:type="dxa"/>
            <w:vMerge w:val="continue"/>
            <w:tcBorders>
              <w:tl2br w:val="nil"/>
              <w:tr2bl w:val="nil"/>
            </w:tcBorders>
            <w:shd w:val="clear" w:color="auto" w:fill="FFFFFF" w:themeFill="background1"/>
            <w:vAlign w:val="center"/>
          </w:tcPr>
          <w:p w14:paraId="38BFB959">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289ABBE8">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676D30D9">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3DF3C8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4AB67827">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7532" w:type="dxa"/>
            <w:gridSpan w:val="2"/>
            <w:tcBorders>
              <w:tl2br w:val="nil"/>
              <w:tr2bl w:val="nil"/>
            </w:tcBorders>
            <w:shd w:val="clear" w:color="auto" w:fill="FFFFFF" w:themeFill="background1"/>
            <w:vAlign w:val="center"/>
          </w:tcPr>
          <w:p w14:paraId="2E9E663D">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1A54D7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06812D22">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4FF7CDA4">
            <w:pPr>
              <w:jc w:val="both"/>
              <w:rPr>
                <w:rFonts w:ascii="宋体" w:hAnsi="宋体"/>
                <w:b/>
                <w:color w:val="auto"/>
                <w:szCs w:val="21"/>
                <w:highlight w:val="none"/>
              </w:rPr>
            </w:pPr>
            <w:r>
              <w:rPr>
                <w:rFonts w:hint="eastAsia" w:ascii="宋体" w:hAnsi="宋体"/>
                <w:color w:val="auto"/>
                <w:szCs w:val="21"/>
                <w:highlight w:val="none"/>
              </w:rPr>
              <w:t>九十天。</w:t>
            </w:r>
          </w:p>
        </w:tc>
      </w:tr>
      <w:tr w14:paraId="28B430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shd w:val="clear" w:color="auto" w:fill="FFFFFF" w:themeFill="background1"/>
            <w:vAlign w:val="center"/>
          </w:tcPr>
          <w:p w14:paraId="14484EE2">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7532" w:type="dxa"/>
            <w:gridSpan w:val="2"/>
            <w:tcBorders>
              <w:tl2br w:val="nil"/>
              <w:tr2bl w:val="nil"/>
            </w:tcBorders>
            <w:shd w:val="clear" w:color="auto" w:fill="FFFFFF" w:themeFill="background1"/>
            <w:vAlign w:val="center"/>
          </w:tcPr>
          <w:p w14:paraId="0E236B6C">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38FD65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94" w:hRule="atLeast"/>
        </w:trPr>
        <w:tc>
          <w:tcPr>
            <w:tcW w:w="878" w:type="dxa"/>
            <w:vMerge w:val="continue"/>
            <w:tcBorders>
              <w:tl2br w:val="nil"/>
              <w:tr2bl w:val="nil"/>
            </w:tcBorders>
            <w:shd w:val="clear" w:color="auto" w:fill="FFFFFF" w:themeFill="background1"/>
            <w:vAlign w:val="center"/>
          </w:tcPr>
          <w:p w14:paraId="199764CF">
            <w:pPr>
              <w:jc w:val="center"/>
              <w:rPr>
                <w:rFonts w:ascii="宋体" w:hAnsi="宋体"/>
                <w:color w:val="auto"/>
                <w:szCs w:val="21"/>
                <w:highlight w:val="none"/>
              </w:rPr>
            </w:pPr>
          </w:p>
        </w:tc>
        <w:tc>
          <w:tcPr>
            <w:tcW w:w="2608" w:type="dxa"/>
            <w:tcBorders>
              <w:tl2br w:val="nil"/>
              <w:tr2bl w:val="nil"/>
            </w:tcBorders>
            <w:shd w:val="clear" w:color="auto" w:fill="FFFFFF" w:themeFill="background1"/>
            <w:vAlign w:val="center"/>
          </w:tcPr>
          <w:p w14:paraId="34A4C3A9">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shd w:val="clear" w:color="auto" w:fill="FFFFFF" w:themeFill="background1"/>
            <w:vAlign w:val="center"/>
          </w:tcPr>
          <w:p w14:paraId="7AE0E7AB">
            <w:pPr>
              <w:jc w:val="center"/>
              <w:rPr>
                <w:rFonts w:ascii="宋体" w:hAnsi="宋体"/>
                <w:b/>
                <w:color w:val="auto"/>
                <w:szCs w:val="21"/>
                <w:highlight w:val="none"/>
              </w:rPr>
            </w:pPr>
            <w:r>
              <w:rPr>
                <w:rFonts w:hint="eastAsia" w:ascii="宋体" w:hAnsi="宋体"/>
                <w:b/>
                <w:color w:val="auto"/>
                <w:szCs w:val="21"/>
                <w:highlight w:val="none"/>
              </w:rPr>
              <w:t>份数</w:t>
            </w:r>
          </w:p>
        </w:tc>
      </w:tr>
      <w:tr w14:paraId="56B488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shd w:val="clear" w:color="auto" w:fill="FFFFFF" w:themeFill="background1"/>
            <w:vAlign w:val="center"/>
          </w:tcPr>
          <w:p w14:paraId="77AF09FD">
            <w:pPr>
              <w:jc w:val="center"/>
              <w:rPr>
                <w:rFonts w:ascii="宋体" w:hAnsi="宋体"/>
                <w:color w:val="auto"/>
                <w:szCs w:val="21"/>
                <w:highlight w:val="none"/>
              </w:rPr>
            </w:pPr>
          </w:p>
        </w:tc>
        <w:tc>
          <w:tcPr>
            <w:tcW w:w="2608" w:type="dxa"/>
            <w:tcBorders>
              <w:tl2br w:val="nil"/>
              <w:tr2bl w:val="nil"/>
            </w:tcBorders>
            <w:shd w:val="clear" w:color="auto" w:fill="FFFFFF" w:themeFill="background1"/>
            <w:vAlign w:val="center"/>
          </w:tcPr>
          <w:p w14:paraId="5B312393">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shd w:val="clear" w:color="auto" w:fill="FFFFFF" w:themeFill="background1"/>
            <w:vAlign w:val="center"/>
          </w:tcPr>
          <w:p w14:paraId="00C8217F">
            <w:pPr>
              <w:jc w:val="center"/>
              <w:rPr>
                <w:rFonts w:ascii="宋体" w:hAnsi="宋体"/>
                <w:b/>
                <w:color w:val="auto"/>
                <w:szCs w:val="21"/>
                <w:highlight w:val="none"/>
              </w:rPr>
            </w:pPr>
            <w:r>
              <w:rPr>
                <w:rFonts w:hint="eastAsia" w:ascii="宋体" w:hAnsi="宋体"/>
                <w:b/>
                <w:color w:val="auto"/>
                <w:szCs w:val="21"/>
                <w:highlight w:val="none"/>
              </w:rPr>
              <w:t>1</w:t>
            </w:r>
          </w:p>
        </w:tc>
      </w:tr>
      <w:tr w14:paraId="292514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94" w:hRule="atLeast"/>
        </w:trPr>
        <w:tc>
          <w:tcPr>
            <w:tcW w:w="878" w:type="dxa"/>
            <w:vMerge w:val="continue"/>
            <w:tcBorders>
              <w:tl2br w:val="nil"/>
              <w:tr2bl w:val="nil"/>
            </w:tcBorders>
            <w:shd w:val="clear" w:color="auto" w:fill="FFFFFF" w:themeFill="background1"/>
            <w:vAlign w:val="center"/>
          </w:tcPr>
          <w:p w14:paraId="4AD5E4D3">
            <w:pPr>
              <w:jc w:val="center"/>
              <w:rPr>
                <w:rFonts w:ascii="宋体" w:hAnsi="宋体"/>
                <w:color w:val="auto"/>
                <w:szCs w:val="21"/>
                <w:highlight w:val="none"/>
              </w:rPr>
            </w:pPr>
          </w:p>
        </w:tc>
        <w:tc>
          <w:tcPr>
            <w:tcW w:w="2608" w:type="dxa"/>
            <w:tcBorders>
              <w:tl2br w:val="nil"/>
              <w:tr2bl w:val="nil"/>
            </w:tcBorders>
            <w:shd w:val="clear" w:color="auto" w:fill="FFFFFF" w:themeFill="background1"/>
            <w:vAlign w:val="center"/>
          </w:tcPr>
          <w:p w14:paraId="51E0BA33">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shd w:val="clear" w:color="auto" w:fill="FFFFFF" w:themeFill="background1"/>
            <w:vAlign w:val="center"/>
          </w:tcPr>
          <w:p w14:paraId="755B4F61">
            <w:pPr>
              <w:jc w:val="center"/>
              <w:rPr>
                <w:rFonts w:ascii="宋体" w:hAnsi="宋体"/>
                <w:b/>
                <w:color w:val="auto"/>
                <w:szCs w:val="21"/>
                <w:highlight w:val="none"/>
              </w:rPr>
            </w:pPr>
            <w:r>
              <w:rPr>
                <w:rFonts w:hint="eastAsia" w:ascii="宋体" w:hAnsi="宋体"/>
                <w:b/>
                <w:color w:val="auto"/>
                <w:szCs w:val="21"/>
                <w:highlight w:val="none"/>
              </w:rPr>
              <w:t>1</w:t>
            </w:r>
          </w:p>
        </w:tc>
      </w:tr>
      <w:tr w14:paraId="5FA956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shd w:val="clear" w:color="auto" w:fill="FFFFFF" w:themeFill="background1"/>
            <w:vAlign w:val="center"/>
          </w:tcPr>
          <w:p w14:paraId="5F4043BE">
            <w:pPr>
              <w:jc w:val="center"/>
              <w:rPr>
                <w:rFonts w:ascii="宋体" w:hAnsi="宋体"/>
                <w:color w:val="auto"/>
                <w:szCs w:val="21"/>
                <w:highlight w:val="none"/>
              </w:rPr>
            </w:pPr>
          </w:p>
        </w:tc>
        <w:tc>
          <w:tcPr>
            <w:tcW w:w="2608" w:type="dxa"/>
            <w:tcBorders>
              <w:tl2br w:val="nil"/>
              <w:tr2bl w:val="nil"/>
            </w:tcBorders>
            <w:shd w:val="clear" w:color="auto" w:fill="FFFFFF" w:themeFill="background1"/>
            <w:vAlign w:val="center"/>
          </w:tcPr>
          <w:p w14:paraId="2E55BCB8">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shd w:val="clear" w:color="auto" w:fill="FFFFFF" w:themeFill="background1"/>
            <w:vAlign w:val="center"/>
          </w:tcPr>
          <w:p w14:paraId="42602DEC">
            <w:pPr>
              <w:jc w:val="center"/>
              <w:rPr>
                <w:rFonts w:ascii="宋体" w:hAnsi="宋体"/>
                <w:b/>
                <w:color w:val="auto"/>
                <w:szCs w:val="21"/>
                <w:highlight w:val="none"/>
              </w:rPr>
            </w:pPr>
            <w:r>
              <w:rPr>
                <w:rFonts w:hint="eastAsia" w:ascii="宋体" w:hAnsi="宋体"/>
                <w:b/>
                <w:color w:val="auto"/>
                <w:szCs w:val="21"/>
                <w:highlight w:val="none"/>
              </w:rPr>
              <w:sym w:font="Wingdings 2" w:char="0052"/>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42CBBF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94" w:hRule="atLeast"/>
        </w:trPr>
        <w:tc>
          <w:tcPr>
            <w:tcW w:w="878" w:type="dxa"/>
            <w:vMerge w:val="continue"/>
            <w:tcBorders>
              <w:tl2br w:val="nil"/>
              <w:tr2bl w:val="nil"/>
            </w:tcBorders>
            <w:shd w:val="clear" w:color="auto" w:fill="FFFFFF" w:themeFill="background1"/>
            <w:vAlign w:val="center"/>
          </w:tcPr>
          <w:p w14:paraId="5F84044A">
            <w:pPr>
              <w:jc w:val="center"/>
              <w:rPr>
                <w:rFonts w:ascii="宋体" w:hAnsi="宋体"/>
                <w:color w:val="auto"/>
                <w:szCs w:val="21"/>
                <w:highlight w:val="none"/>
              </w:rPr>
            </w:pPr>
          </w:p>
        </w:tc>
        <w:tc>
          <w:tcPr>
            <w:tcW w:w="2608" w:type="dxa"/>
            <w:vMerge w:val="restart"/>
            <w:tcBorders>
              <w:tl2br w:val="nil"/>
              <w:tr2bl w:val="nil"/>
            </w:tcBorders>
            <w:shd w:val="clear" w:color="auto" w:fill="FFFFFF" w:themeFill="background1"/>
            <w:vAlign w:val="center"/>
          </w:tcPr>
          <w:p w14:paraId="502E10CB">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shd w:val="clear" w:color="auto" w:fill="FFFFFF" w:themeFill="background1"/>
            <w:vAlign w:val="center"/>
          </w:tcPr>
          <w:p w14:paraId="24540BDE">
            <w:pPr>
              <w:jc w:val="center"/>
              <w:rPr>
                <w:rFonts w:ascii="宋体" w:hAnsi="宋体"/>
                <w:b/>
                <w:color w:val="auto"/>
                <w:szCs w:val="21"/>
                <w:highlight w:val="none"/>
              </w:rPr>
            </w:pPr>
            <w:r>
              <w:rPr>
                <w:rFonts w:hint="eastAsia" w:ascii="宋体" w:hAnsi="宋体"/>
                <w:b/>
                <w:color w:val="auto"/>
                <w:szCs w:val="21"/>
                <w:highlight w:val="none"/>
              </w:rPr>
              <w:t>1</w:t>
            </w:r>
          </w:p>
        </w:tc>
      </w:tr>
      <w:tr w14:paraId="39FD22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shd w:val="clear" w:color="auto" w:fill="FFFFFF" w:themeFill="background1"/>
            <w:vAlign w:val="center"/>
          </w:tcPr>
          <w:p w14:paraId="3A29FEEC">
            <w:pPr>
              <w:jc w:val="center"/>
              <w:rPr>
                <w:rFonts w:ascii="宋体" w:hAnsi="宋体"/>
                <w:color w:val="auto"/>
                <w:szCs w:val="21"/>
                <w:highlight w:val="none"/>
              </w:rPr>
            </w:pPr>
          </w:p>
        </w:tc>
        <w:tc>
          <w:tcPr>
            <w:tcW w:w="2608" w:type="dxa"/>
            <w:vMerge w:val="continue"/>
            <w:tcBorders>
              <w:tl2br w:val="nil"/>
              <w:tr2bl w:val="nil"/>
            </w:tcBorders>
            <w:shd w:val="clear" w:color="auto" w:fill="FFFFFF" w:themeFill="background1"/>
            <w:vAlign w:val="center"/>
          </w:tcPr>
          <w:p w14:paraId="43AED0F6">
            <w:pPr>
              <w:jc w:val="center"/>
              <w:rPr>
                <w:rFonts w:ascii="宋体" w:hAnsi="宋体"/>
                <w:b/>
                <w:color w:val="auto"/>
                <w:szCs w:val="21"/>
                <w:highlight w:val="none"/>
              </w:rPr>
            </w:pPr>
          </w:p>
        </w:tc>
        <w:tc>
          <w:tcPr>
            <w:tcW w:w="4924" w:type="dxa"/>
            <w:tcBorders>
              <w:tl2br w:val="nil"/>
              <w:tr2bl w:val="nil"/>
            </w:tcBorders>
            <w:shd w:val="clear" w:color="auto" w:fill="FFFFFF" w:themeFill="background1"/>
            <w:vAlign w:val="center"/>
          </w:tcPr>
          <w:p w14:paraId="3DC894DD">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254DB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857" w:hRule="atLeast"/>
        </w:trPr>
        <w:tc>
          <w:tcPr>
            <w:tcW w:w="8410" w:type="dxa"/>
            <w:gridSpan w:val="3"/>
            <w:tcBorders>
              <w:tl2br w:val="nil"/>
              <w:tr2bl w:val="nil"/>
            </w:tcBorders>
            <w:shd w:val="clear" w:color="auto" w:fill="FFFFFF" w:themeFill="background1"/>
            <w:vAlign w:val="center"/>
          </w:tcPr>
          <w:p w14:paraId="4AD2B5DE">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0BF156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2610D845">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7532" w:type="dxa"/>
            <w:gridSpan w:val="2"/>
            <w:tcBorders>
              <w:tl2br w:val="nil"/>
              <w:tr2bl w:val="nil"/>
            </w:tcBorders>
            <w:shd w:val="clear" w:color="auto" w:fill="FFFFFF" w:themeFill="background1"/>
            <w:vAlign w:val="center"/>
          </w:tcPr>
          <w:p w14:paraId="15AAB305">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0B945B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160D315E">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74312EDC">
            <w:pPr>
              <w:jc w:val="both"/>
              <w:rPr>
                <w:rFonts w:ascii="宋体" w:hAnsi="宋体"/>
                <w:b/>
                <w:color w:val="auto"/>
                <w:szCs w:val="21"/>
                <w:highlight w:val="none"/>
              </w:rPr>
            </w:pPr>
            <w:r>
              <w:rPr>
                <w:rFonts w:hint="eastAsia" w:ascii="宋体" w:hAnsi="宋体"/>
                <w:color w:val="auto"/>
                <w:szCs w:val="21"/>
                <w:highlight w:val="none"/>
              </w:rPr>
              <w:t>综合评分法。</w:t>
            </w:r>
          </w:p>
        </w:tc>
      </w:tr>
      <w:tr w14:paraId="0D1E13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shd w:val="clear" w:color="auto" w:fill="FFFFFF" w:themeFill="background1"/>
            <w:vAlign w:val="center"/>
          </w:tcPr>
          <w:p w14:paraId="056EF376">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7532" w:type="dxa"/>
            <w:gridSpan w:val="2"/>
            <w:tcBorders>
              <w:tl2br w:val="nil"/>
              <w:tr2bl w:val="nil"/>
            </w:tcBorders>
            <w:shd w:val="clear" w:color="auto" w:fill="FFFFFF" w:themeFill="background1"/>
            <w:vAlign w:val="center"/>
          </w:tcPr>
          <w:p w14:paraId="55BC5865">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18E91B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084B6388">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0A9F7492">
            <w:pPr>
              <w:jc w:val="both"/>
              <w:rPr>
                <w:rFonts w:ascii="宋体" w:hAnsi="宋体"/>
                <w:b/>
                <w:color w:val="auto"/>
                <w:szCs w:val="21"/>
                <w:highlight w:val="none"/>
              </w:rPr>
            </w:pPr>
            <w:r>
              <w:rPr>
                <w:rFonts w:hint="eastAsia" w:ascii="宋体" w:hAnsi="宋体"/>
                <w:color w:val="auto"/>
                <w:szCs w:val="21"/>
                <w:highlight w:val="none"/>
              </w:rPr>
              <w:t>见附表二。</w:t>
            </w:r>
          </w:p>
        </w:tc>
      </w:tr>
      <w:tr w14:paraId="1AF6B9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shd w:val="clear" w:color="auto" w:fill="FFFFFF" w:themeFill="background1"/>
            <w:vAlign w:val="center"/>
          </w:tcPr>
          <w:p w14:paraId="04A88415">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7532" w:type="dxa"/>
            <w:gridSpan w:val="2"/>
            <w:tcBorders>
              <w:tl2br w:val="nil"/>
              <w:tr2bl w:val="nil"/>
            </w:tcBorders>
            <w:shd w:val="clear" w:color="auto" w:fill="FFFFFF" w:themeFill="background1"/>
            <w:vAlign w:val="center"/>
          </w:tcPr>
          <w:p w14:paraId="79F67040">
            <w:pPr>
              <w:jc w:val="both"/>
              <w:rPr>
                <w:rFonts w:ascii="宋体" w:hAnsi="宋体"/>
                <w:color w:val="auto"/>
                <w:szCs w:val="21"/>
                <w:highlight w:val="none"/>
              </w:rPr>
            </w:pPr>
            <w:r>
              <w:rPr>
                <w:rFonts w:hint="eastAsia" w:ascii="宋体" w:hAnsi="宋体"/>
                <w:b/>
                <w:color w:val="auto"/>
                <w:szCs w:val="21"/>
                <w:highlight w:val="none"/>
              </w:rPr>
              <w:t>评标委员会</w:t>
            </w:r>
          </w:p>
        </w:tc>
      </w:tr>
      <w:tr w14:paraId="0EA033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shd w:val="clear" w:color="auto" w:fill="FFFFFF" w:themeFill="background1"/>
            <w:vAlign w:val="center"/>
          </w:tcPr>
          <w:p w14:paraId="0875DB3B">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45EEE0B2">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五</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556932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cantSplit/>
          <w:trHeight w:val="748" w:hRule="atLeast"/>
        </w:trPr>
        <w:tc>
          <w:tcPr>
            <w:tcW w:w="8410" w:type="dxa"/>
            <w:gridSpan w:val="3"/>
            <w:tcBorders>
              <w:tl2br w:val="nil"/>
              <w:tr2bl w:val="nil"/>
            </w:tcBorders>
            <w:shd w:val="clear" w:color="auto" w:fill="FFFFFF" w:themeFill="background1"/>
            <w:vAlign w:val="center"/>
          </w:tcPr>
          <w:p w14:paraId="0611C839">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5165DC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shd w:val="clear" w:color="auto" w:fill="FFFFFF" w:themeFill="background1"/>
            <w:vAlign w:val="center"/>
          </w:tcPr>
          <w:p w14:paraId="0A374FF3">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14</w:t>
            </w:r>
          </w:p>
        </w:tc>
        <w:tc>
          <w:tcPr>
            <w:tcW w:w="7532" w:type="dxa"/>
            <w:gridSpan w:val="2"/>
            <w:tcBorders>
              <w:tl2br w:val="nil"/>
              <w:tr2bl w:val="nil"/>
            </w:tcBorders>
            <w:shd w:val="clear" w:color="auto" w:fill="FFFFFF" w:themeFill="background1"/>
            <w:vAlign w:val="center"/>
          </w:tcPr>
          <w:p w14:paraId="7D7A02D0">
            <w:pPr>
              <w:jc w:val="both"/>
              <w:rPr>
                <w:rFonts w:ascii="宋体" w:hAnsi="宋体"/>
                <w:b/>
                <w:color w:val="auto"/>
                <w:szCs w:val="21"/>
                <w:highlight w:val="none"/>
              </w:rPr>
            </w:pPr>
            <w:r>
              <w:rPr>
                <w:rFonts w:hint="eastAsia" w:ascii="宋体" w:hAnsi="宋体"/>
                <w:b/>
                <w:color w:val="auto"/>
                <w:szCs w:val="21"/>
                <w:highlight w:val="none"/>
              </w:rPr>
              <w:t>履约担保</w:t>
            </w:r>
          </w:p>
        </w:tc>
      </w:tr>
      <w:tr w14:paraId="314360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shd w:val="clear" w:color="auto" w:fill="FFFFFF" w:themeFill="background1"/>
            <w:vAlign w:val="center"/>
          </w:tcPr>
          <w:p w14:paraId="09624509">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243CA39D">
            <w:pPr>
              <w:jc w:val="both"/>
              <w:rPr>
                <w:rFonts w:ascii="宋体" w:hAnsi="宋体"/>
                <w:b/>
                <w:color w:val="auto"/>
                <w:szCs w:val="21"/>
                <w:highlight w:val="none"/>
              </w:rPr>
            </w:pPr>
            <w:r>
              <w:rPr>
                <w:rFonts w:hint="eastAsia" w:ascii="宋体" w:hAnsi="宋体"/>
                <w:color w:val="auto"/>
                <w:szCs w:val="21"/>
                <w:highlight w:val="none"/>
                <w:lang w:val="en-US" w:eastAsia="zh-CN"/>
              </w:rPr>
              <w:t>中标人应于本合同签订之日起7个日历日内，按合同总价的10%向采购人缴纳履约保证金。其中人民币50万元整（含本数），须以电汇或银行转账方式支付至采购人指定账户；剩余部分可选择电汇、银行转账方式支付至采购人指定账户，或提交银行机构出具的履约保函（担保公司出具的保函不予接受）。待本工程全部竣工验收合格且中标人无任何违约行为的，采购人应在工程竣工结算完成后，无息全额退还乙方已缴纳的履约保证金。</w:t>
            </w:r>
          </w:p>
        </w:tc>
      </w:tr>
      <w:tr w14:paraId="3D7B79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642" w:hRule="atLeast"/>
        </w:trPr>
        <w:tc>
          <w:tcPr>
            <w:tcW w:w="878" w:type="dxa"/>
            <w:vMerge w:val="restart"/>
            <w:tcBorders>
              <w:tl2br w:val="nil"/>
              <w:tr2bl w:val="nil"/>
            </w:tcBorders>
            <w:shd w:val="clear" w:color="auto" w:fill="FFFFFF" w:themeFill="background1"/>
            <w:vAlign w:val="center"/>
          </w:tcPr>
          <w:p w14:paraId="516B1BF9">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w:t>
            </w:r>
          </w:p>
        </w:tc>
        <w:tc>
          <w:tcPr>
            <w:tcW w:w="7532" w:type="dxa"/>
            <w:gridSpan w:val="2"/>
            <w:tcBorders>
              <w:tl2br w:val="nil"/>
              <w:tr2bl w:val="nil"/>
            </w:tcBorders>
            <w:shd w:val="clear" w:color="auto" w:fill="FFFFFF" w:themeFill="background1"/>
            <w:vAlign w:val="center"/>
          </w:tcPr>
          <w:p w14:paraId="66EDB88D">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07B6E8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80" w:hRule="atLeast"/>
        </w:trPr>
        <w:tc>
          <w:tcPr>
            <w:tcW w:w="878" w:type="dxa"/>
            <w:vMerge w:val="continue"/>
            <w:tcBorders>
              <w:tl2br w:val="nil"/>
              <w:tr2bl w:val="nil"/>
            </w:tcBorders>
            <w:shd w:val="clear" w:color="auto" w:fill="FFFFFF" w:themeFill="background1"/>
            <w:vAlign w:val="center"/>
          </w:tcPr>
          <w:p w14:paraId="51384F45">
            <w:pPr>
              <w:jc w:val="center"/>
              <w:rPr>
                <w:rFonts w:ascii="宋体" w:hAnsi="宋体"/>
                <w:color w:val="auto"/>
                <w:szCs w:val="21"/>
                <w:highlight w:val="none"/>
              </w:rPr>
            </w:pPr>
          </w:p>
        </w:tc>
        <w:tc>
          <w:tcPr>
            <w:tcW w:w="7532" w:type="dxa"/>
            <w:gridSpan w:val="2"/>
            <w:tcBorders>
              <w:tl2br w:val="nil"/>
              <w:tr2bl w:val="nil"/>
            </w:tcBorders>
            <w:shd w:val="clear" w:color="auto" w:fill="FFFFFF" w:themeFill="background1"/>
            <w:vAlign w:val="center"/>
          </w:tcPr>
          <w:p w14:paraId="2047E9CC">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olor w:val="auto"/>
                <w:szCs w:val="21"/>
                <w:highlight w:val="none"/>
              </w:rPr>
              <w:t>（1）中标服务费</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国家计委[计价格[2002]1980号]文和国家发改委[发改价格[2011]534号]文及相关规定</w:t>
            </w:r>
            <w:r>
              <w:rPr>
                <w:rFonts w:hint="eastAsia" w:ascii="宋体" w:hAnsi="宋体" w:eastAsia="宋体"/>
                <w:color w:val="auto"/>
                <w:szCs w:val="21"/>
                <w:highlight w:val="none"/>
                <w:lang w:eastAsia="zh-CN"/>
              </w:rPr>
              <w:t>并下浮</w:t>
            </w:r>
            <w:r>
              <w:rPr>
                <w:rFonts w:hint="eastAsia" w:ascii="宋体" w:hAnsi="宋体"/>
                <w:color w:val="auto"/>
                <w:szCs w:val="21"/>
                <w:highlight w:val="none"/>
                <w:lang w:val="en-US" w:eastAsia="zh-CN"/>
              </w:rPr>
              <w:t>30</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向中标单位收取，按差额定率累进法计算，以中标通知书中确定的中标总金额作为收费的计算</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；中标服务费最低收费标准为</w:t>
            </w:r>
            <w:r>
              <w:rPr>
                <w:rFonts w:hint="eastAsia" w:ascii="宋体" w:hAnsi="宋体" w:eastAsia="宋体"/>
                <w:color w:val="auto"/>
                <w:szCs w:val="21"/>
                <w:highlight w:val="none"/>
                <w:lang w:eastAsia="zh-CN"/>
              </w:rPr>
              <w:t>陆</w:t>
            </w:r>
            <w:r>
              <w:rPr>
                <w:rFonts w:hint="eastAsia" w:ascii="宋体" w:hAnsi="宋体" w:eastAsia="宋体"/>
                <w:color w:val="auto"/>
                <w:szCs w:val="21"/>
                <w:highlight w:val="none"/>
              </w:rPr>
              <w:t>仟元整。</w:t>
            </w:r>
          </w:p>
        </w:tc>
      </w:tr>
      <w:tr w14:paraId="7867E4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732" w:hRule="atLeast"/>
        </w:trPr>
        <w:tc>
          <w:tcPr>
            <w:tcW w:w="878" w:type="dxa"/>
            <w:vMerge w:val="continue"/>
            <w:tcBorders>
              <w:tl2br w:val="nil"/>
              <w:tr2bl w:val="nil"/>
            </w:tcBorders>
            <w:shd w:val="clear" w:color="auto" w:fill="FFFFFF" w:themeFill="background1"/>
            <w:vAlign w:val="center"/>
          </w:tcPr>
          <w:p w14:paraId="087EE6FB">
            <w:pPr>
              <w:jc w:val="center"/>
              <w:rPr>
                <w:rFonts w:hint="default" w:ascii="宋体" w:hAnsi="宋体" w:eastAsia="宋体"/>
                <w:color w:val="auto"/>
                <w:szCs w:val="21"/>
                <w:highlight w:val="none"/>
                <w:lang w:val="en-US" w:eastAsia="zh-CN"/>
              </w:rPr>
            </w:pPr>
          </w:p>
        </w:tc>
        <w:tc>
          <w:tcPr>
            <w:tcW w:w="7532" w:type="dxa"/>
            <w:gridSpan w:val="2"/>
            <w:tcBorders>
              <w:tl2br w:val="nil"/>
              <w:tr2bl w:val="nil"/>
            </w:tcBorders>
            <w:shd w:val="clear" w:color="auto" w:fill="FFFFFF" w:themeFill="background1"/>
            <w:vAlign w:val="center"/>
          </w:tcPr>
          <w:p w14:paraId="02DCBEC1">
            <w:pPr>
              <w:jc w:val="both"/>
              <w:rPr>
                <w:rFonts w:ascii="宋体" w:hAnsi="宋体" w:eastAsia="宋体" w:cstheme="minorBidi"/>
                <w:color w:val="auto"/>
                <w:sz w:val="21"/>
                <w:szCs w:val="21"/>
                <w:highlight w:val="none"/>
                <w:lang w:val="en-US" w:eastAsia="zh-CN" w:bidi="ar-SA"/>
              </w:rPr>
            </w:pPr>
            <w:r>
              <w:rPr>
                <w:rFonts w:hint="eastAsia" w:ascii="宋体" w:hAnsi="宋体" w:eastAsia="宋体" w:cstheme="minorBidi"/>
                <w:color w:val="auto"/>
                <w:sz w:val="21"/>
                <w:szCs w:val="21"/>
                <w:highlight w:val="none"/>
                <w:lang w:val="en-US" w:eastAsia="zh-CN" w:bidi="ar-SA"/>
              </w:rPr>
              <w:t>（2）本项目中标服务费由中标单位支付。</w:t>
            </w:r>
          </w:p>
        </w:tc>
      </w:tr>
      <w:tr w14:paraId="77AC89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FFFFFF" w:themeFill="background1"/>
          <w:tblCellMar>
            <w:top w:w="0" w:type="dxa"/>
            <w:left w:w="28" w:type="dxa"/>
            <w:bottom w:w="0" w:type="dxa"/>
            <w:right w:w="28" w:type="dxa"/>
          </w:tblCellMar>
        </w:tblPrEx>
        <w:trPr>
          <w:trHeight w:val="1087" w:hRule="atLeast"/>
        </w:trPr>
        <w:tc>
          <w:tcPr>
            <w:tcW w:w="8410" w:type="dxa"/>
            <w:gridSpan w:val="3"/>
            <w:tcBorders>
              <w:tl2br w:val="nil"/>
              <w:tr2bl w:val="nil"/>
            </w:tcBorders>
            <w:shd w:val="clear" w:color="auto" w:fill="FFFFFF" w:themeFill="background1"/>
            <w:vAlign w:val="center"/>
          </w:tcPr>
          <w:p w14:paraId="14CDFCB7">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02BA5E01">
      <w:pPr>
        <w:jc w:val="center"/>
        <w:rPr>
          <w:color w:val="auto"/>
          <w:highlight w:val="none"/>
        </w:rPr>
      </w:pPr>
      <w:r>
        <w:rPr>
          <w:rFonts w:hint="eastAsia"/>
          <w:color w:val="auto"/>
          <w:highlight w:val="none"/>
        </w:rPr>
        <w:br w:type="page"/>
      </w:r>
    </w:p>
    <w:p w14:paraId="75267B0F">
      <w:pPr>
        <w:pStyle w:val="5"/>
        <w:spacing w:before="0" w:after="0" w:line="240" w:lineRule="auto"/>
        <w:jc w:val="center"/>
        <w:rPr>
          <w:rFonts w:hint="eastAsia" w:hAnsi="宋体" w:cs="宋体"/>
          <w:color w:val="auto"/>
          <w:sz w:val="21"/>
          <w:szCs w:val="21"/>
          <w:highlight w:val="none"/>
        </w:rPr>
      </w:pPr>
      <w:bookmarkStart w:id="4" w:name="_Toc21209"/>
      <w:bookmarkStart w:id="5" w:name="_Toc31223"/>
      <w:r>
        <w:rPr>
          <w:rFonts w:hint="eastAsia" w:ascii="宋体" w:hAnsi="宋体" w:cs="宋体"/>
          <w:color w:val="auto"/>
          <w:sz w:val="24"/>
          <w:szCs w:val="24"/>
          <w:highlight w:val="none"/>
        </w:rPr>
        <w:t>附表二：商务技术评分及价格权重表（满分100分）</w:t>
      </w:r>
      <w:bookmarkEnd w:id="4"/>
      <w:bookmarkEnd w:id="5"/>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27"/>
        <w:gridCol w:w="883"/>
        <w:gridCol w:w="5722"/>
      </w:tblGrid>
      <w:tr w14:paraId="0E6C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22B5983">
            <w:pPr>
              <w:pStyle w:val="49"/>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227" w:type="dxa"/>
            <w:tcBorders>
              <w:top w:val="single" w:color="auto" w:sz="4" w:space="0"/>
              <w:left w:val="single" w:color="auto" w:sz="4" w:space="0"/>
              <w:bottom w:val="single" w:color="auto" w:sz="4" w:space="0"/>
              <w:right w:val="single" w:color="auto" w:sz="4" w:space="0"/>
            </w:tcBorders>
            <w:vAlign w:val="center"/>
          </w:tcPr>
          <w:p w14:paraId="4D54842F">
            <w:pPr>
              <w:pStyle w:val="49"/>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883" w:type="dxa"/>
            <w:tcBorders>
              <w:top w:val="single" w:color="auto" w:sz="4" w:space="0"/>
              <w:left w:val="single" w:color="auto" w:sz="4" w:space="0"/>
              <w:bottom w:val="single" w:color="auto" w:sz="4" w:space="0"/>
              <w:right w:val="single" w:color="auto" w:sz="4" w:space="0"/>
            </w:tcBorders>
            <w:vAlign w:val="center"/>
          </w:tcPr>
          <w:p w14:paraId="26B09B96">
            <w:pPr>
              <w:pStyle w:val="49"/>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722" w:type="dxa"/>
            <w:tcBorders>
              <w:top w:val="single" w:color="auto" w:sz="4" w:space="0"/>
              <w:left w:val="single" w:color="auto" w:sz="4" w:space="0"/>
              <w:bottom w:val="single" w:color="auto" w:sz="4" w:space="0"/>
              <w:right w:val="single" w:color="auto" w:sz="4" w:space="0"/>
            </w:tcBorders>
            <w:vAlign w:val="center"/>
          </w:tcPr>
          <w:p w14:paraId="558C5302">
            <w:pPr>
              <w:pStyle w:val="49"/>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6B75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C4F8ABC">
            <w:pPr>
              <w:pStyle w:val="49"/>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14:paraId="351C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5BCBEDB1">
            <w:pPr>
              <w:pStyle w:val="49"/>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right w:val="single" w:color="auto" w:sz="4" w:space="0"/>
            </w:tcBorders>
            <w:vAlign w:val="center"/>
          </w:tcPr>
          <w:p w14:paraId="5470C1D4">
            <w:pPr>
              <w:pStyle w:val="49"/>
              <w:spacing w:line="360" w:lineRule="auto"/>
              <w:ind w:firstLine="0" w:firstLineChars="0"/>
              <w:jc w:val="center"/>
              <w:rPr>
                <w:rFonts w:hint="eastAsia" w:ascii="宋体" w:eastAsia="宋体" w:cs="宋体"/>
                <w:color w:val="auto"/>
                <w:sz w:val="21"/>
                <w:szCs w:val="21"/>
                <w:highlight w:val="none"/>
                <w:u w:val="none"/>
                <w:lang w:eastAsia="zh-CN"/>
              </w:rPr>
            </w:pPr>
            <w:r>
              <w:rPr>
                <w:rFonts w:hint="eastAsia" w:ascii="宋体" w:eastAsia="宋体" w:cs="宋体"/>
                <w:color w:val="auto"/>
                <w:sz w:val="21"/>
                <w:szCs w:val="21"/>
                <w:highlight w:val="none"/>
                <w:u w:val="none"/>
              </w:rPr>
              <w:t>体系</w:t>
            </w:r>
            <w:r>
              <w:rPr>
                <w:rFonts w:hint="eastAsia" w:ascii="宋体" w:eastAsia="宋体" w:cs="宋体"/>
                <w:color w:val="auto"/>
                <w:sz w:val="21"/>
                <w:szCs w:val="21"/>
                <w:highlight w:val="none"/>
                <w:u w:val="none"/>
                <w:lang w:eastAsia="zh-CN"/>
              </w:rPr>
              <w:t>认证</w:t>
            </w:r>
          </w:p>
        </w:tc>
        <w:tc>
          <w:tcPr>
            <w:tcW w:w="883" w:type="dxa"/>
            <w:tcBorders>
              <w:top w:val="single" w:color="auto" w:sz="4" w:space="0"/>
              <w:left w:val="single" w:color="auto" w:sz="4" w:space="0"/>
              <w:bottom w:val="single" w:color="auto" w:sz="4" w:space="0"/>
              <w:right w:val="single" w:color="auto" w:sz="4" w:space="0"/>
            </w:tcBorders>
            <w:vAlign w:val="center"/>
          </w:tcPr>
          <w:p w14:paraId="06AEE0C1">
            <w:pPr>
              <w:pStyle w:val="49"/>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3</w:t>
            </w:r>
          </w:p>
        </w:tc>
        <w:tc>
          <w:tcPr>
            <w:tcW w:w="5722" w:type="dxa"/>
            <w:tcBorders>
              <w:top w:val="single" w:color="auto" w:sz="4" w:space="0"/>
              <w:left w:val="single" w:color="auto" w:sz="4" w:space="0"/>
              <w:bottom w:val="single" w:color="auto" w:sz="4" w:space="0"/>
              <w:right w:val="single" w:color="auto" w:sz="4" w:space="0"/>
            </w:tcBorders>
            <w:vAlign w:val="center"/>
          </w:tcPr>
          <w:p w14:paraId="3675EDE4">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7F090E5E">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31D11C8B">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2D9C9145">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5FA7893A">
            <w:pPr>
              <w:pStyle w:val="49"/>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eastAsia="宋体" w:cs="宋体"/>
                <w:b/>
                <w:bCs w:val="0"/>
                <w:color w:val="auto"/>
                <w:sz w:val="21"/>
                <w:szCs w:val="21"/>
                <w:highlight w:val="none"/>
                <w:u w:val="none"/>
                <w:lang w:val="zh-CN"/>
              </w:rPr>
              <w:t>注：投标人</w:t>
            </w:r>
            <w:r>
              <w:rPr>
                <w:rFonts w:hint="eastAsia" w:ascii="宋体" w:eastAsia="宋体" w:cs="宋体"/>
                <w:b/>
                <w:bCs w:val="0"/>
                <w:color w:val="auto"/>
                <w:sz w:val="21"/>
                <w:szCs w:val="21"/>
                <w:highlight w:val="none"/>
                <w:u w:val="none"/>
                <w:lang w:val="en-US" w:eastAsia="zh-CN"/>
              </w:rPr>
              <w:t>(或</w:t>
            </w:r>
            <w:r>
              <w:rPr>
                <w:rFonts w:hint="eastAsia" w:ascii="宋体" w:eastAsia="宋体" w:cs="宋体"/>
                <w:b/>
                <w:bCs w:val="0"/>
                <w:color w:val="auto"/>
                <w:sz w:val="21"/>
                <w:szCs w:val="21"/>
                <w:highlight w:val="none"/>
                <w:u w:val="none"/>
                <w:lang w:val="zh-CN"/>
              </w:rPr>
              <w:t>联合体任意一方</w:t>
            </w:r>
            <w:r>
              <w:rPr>
                <w:rFonts w:hint="eastAsia" w:ascii="宋体" w:eastAsia="宋体" w:cs="宋体"/>
                <w:b/>
                <w:bCs w:val="0"/>
                <w:color w:val="auto"/>
                <w:sz w:val="21"/>
                <w:szCs w:val="21"/>
                <w:highlight w:val="none"/>
                <w:u w:val="none"/>
                <w:lang w:val="en-US" w:eastAsia="zh-CN"/>
              </w:rPr>
              <w:t>)</w:t>
            </w:r>
            <w:r>
              <w:rPr>
                <w:rFonts w:hint="eastAsia" w:ascii="宋体" w:eastAsia="宋体" w:cs="宋体"/>
                <w:b/>
                <w:bCs w:val="0"/>
                <w:color w:val="auto"/>
                <w:sz w:val="21"/>
                <w:szCs w:val="21"/>
                <w:highlight w:val="none"/>
                <w:u w:val="none"/>
              </w:rPr>
              <w:t>每提供一项得</w:t>
            </w:r>
            <w:r>
              <w:rPr>
                <w:rFonts w:hint="eastAsia" w:ascii="宋体" w:eastAsia="宋体" w:cs="宋体"/>
                <w:b/>
                <w:bCs w:val="0"/>
                <w:color w:val="auto"/>
                <w:sz w:val="21"/>
                <w:szCs w:val="21"/>
                <w:highlight w:val="none"/>
                <w:u w:val="none"/>
                <w:lang w:val="en-US" w:eastAsia="zh-CN"/>
              </w:rPr>
              <w:t>1</w:t>
            </w:r>
            <w:r>
              <w:rPr>
                <w:rFonts w:hint="eastAsia" w:ascii="宋体" w:eastAsia="宋体" w:cs="宋体"/>
                <w:b/>
                <w:bCs w:val="0"/>
                <w:color w:val="auto"/>
                <w:sz w:val="21"/>
                <w:szCs w:val="21"/>
                <w:highlight w:val="none"/>
                <w:u w:val="none"/>
              </w:rPr>
              <w:t>分，本项最高得</w:t>
            </w:r>
            <w:r>
              <w:rPr>
                <w:rFonts w:hint="eastAsia" w:ascii="宋体" w:eastAsia="宋体" w:cs="宋体"/>
                <w:b/>
                <w:bCs w:val="0"/>
                <w:color w:val="auto"/>
                <w:sz w:val="21"/>
                <w:szCs w:val="21"/>
                <w:highlight w:val="none"/>
                <w:u w:val="none"/>
                <w:lang w:val="en-US" w:eastAsia="zh-CN"/>
              </w:rPr>
              <w:t>3</w:t>
            </w:r>
            <w:r>
              <w:rPr>
                <w:rFonts w:hint="eastAsia" w:ascii="宋体" w:eastAsia="宋体" w:cs="宋体"/>
                <w:b/>
                <w:bCs w:val="0"/>
                <w:color w:val="auto"/>
                <w:sz w:val="21"/>
                <w:szCs w:val="21"/>
                <w:highlight w:val="none"/>
                <w:u w:val="none"/>
              </w:rPr>
              <w:t>分</w:t>
            </w:r>
            <w:r>
              <w:rPr>
                <w:rFonts w:hint="eastAsia" w:ascii="宋体" w:eastAsia="宋体" w:cs="宋体"/>
                <w:b/>
                <w:bCs w:val="0"/>
                <w:color w:val="auto"/>
                <w:sz w:val="21"/>
                <w:szCs w:val="21"/>
                <w:highlight w:val="none"/>
                <w:u w:val="none"/>
                <w:lang w:val="en-US" w:eastAsia="zh-CN"/>
              </w:rPr>
              <w:t>,</w:t>
            </w:r>
            <w:r>
              <w:rPr>
                <w:rFonts w:hint="eastAsia" w:ascii="宋体" w:eastAsia="宋体" w:cs="宋体"/>
                <w:b/>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68B23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F394069">
            <w:pPr>
              <w:pStyle w:val="49"/>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227" w:type="dxa"/>
            <w:tcBorders>
              <w:top w:val="single" w:color="auto" w:sz="4" w:space="0"/>
              <w:left w:val="single" w:color="auto" w:sz="4" w:space="0"/>
              <w:bottom w:val="single" w:color="auto" w:sz="4" w:space="0"/>
              <w:right w:val="single" w:color="auto" w:sz="4" w:space="0"/>
            </w:tcBorders>
            <w:vAlign w:val="center"/>
          </w:tcPr>
          <w:p w14:paraId="01F660D9">
            <w:pPr>
              <w:pStyle w:val="49"/>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883" w:type="dxa"/>
            <w:tcBorders>
              <w:top w:val="single" w:color="auto" w:sz="4" w:space="0"/>
              <w:left w:val="single" w:color="auto" w:sz="4" w:space="0"/>
              <w:bottom w:val="single" w:color="auto" w:sz="4" w:space="0"/>
              <w:right w:val="single" w:color="auto" w:sz="4" w:space="0"/>
            </w:tcBorders>
            <w:vAlign w:val="center"/>
          </w:tcPr>
          <w:p w14:paraId="5FF96151">
            <w:pPr>
              <w:pStyle w:val="49"/>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2</w:t>
            </w:r>
          </w:p>
        </w:tc>
        <w:tc>
          <w:tcPr>
            <w:tcW w:w="5722" w:type="dxa"/>
            <w:tcBorders>
              <w:top w:val="single" w:color="auto" w:sz="4" w:space="0"/>
              <w:left w:val="single" w:color="auto" w:sz="4" w:space="0"/>
              <w:bottom w:val="single" w:color="auto" w:sz="4" w:space="0"/>
              <w:right w:val="single" w:color="auto" w:sz="4" w:space="0"/>
            </w:tcBorders>
            <w:vAlign w:val="center"/>
          </w:tcPr>
          <w:p w14:paraId="7F38554A">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w:t>
            </w:r>
            <w:r>
              <w:rPr>
                <w:rFonts w:hint="eastAsia" w:ascii="宋体" w:eastAsia="宋体" w:cs="宋体"/>
                <w:bCs/>
                <w:color w:val="auto"/>
                <w:sz w:val="21"/>
                <w:szCs w:val="21"/>
                <w:highlight w:val="none"/>
                <w:u w:val="none"/>
                <w:lang w:val="en-US" w:eastAsia="zh-CN"/>
              </w:rPr>
              <w:t>1月1日</w:t>
            </w:r>
            <w:r>
              <w:rPr>
                <w:rFonts w:hint="eastAsia" w:ascii="宋体" w:eastAsia="宋体" w:cs="宋体"/>
                <w:bCs/>
                <w:color w:val="auto"/>
                <w:sz w:val="21"/>
                <w:szCs w:val="21"/>
                <w:highlight w:val="none"/>
                <w:u w:val="none"/>
                <w:lang w:val="zh-CN"/>
              </w:rPr>
              <w:t>至今的财务状况进行评价，三年盈利得</w:t>
            </w:r>
            <w:r>
              <w:rPr>
                <w:rFonts w:hint="eastAsia" w:ascii="宋体" w:eastAsia="宋体" w:cs="宋体"/>
                <w:bCs/>
                <w:color w:val="auto"/>
                <w:sz w:val="21"/>
                <w:szCs w:val="21"/>
                <w:highlight w:val="none"/>
                <w:u w:val="none"/>
                <w:lang w:val="en-US" w:eastAsia="zh-CN"/>
              </w:rPr>
              <w:t>2</w:t>
            </w:r>
            <w:r>
              <w:rPr>
                <w:rFonts w:hint="eastAsia" w:ascii="宋体" w:eastAsia="宋体" w:cs="宋体"/>
                <w:bCs/>
                <w:color w:val="auto"/>
                <w:sz w:val="21"/>
                <w:szCs w:val="21"/>
                <w:highlight w:val="none"/>
                <w:u w:val="none"/>
                <w:lang w:val="zh-CN"/>
              </w:rPr>
              <w:t>分，两年盈利得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471C316E">
            <w:pPr>
              <w:pStyle w:val="49"/>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eastAsia="宋体"/>
                <w:color w:val="auto"/>
                <w:highlight w:val="none"/>
                <w:u w:val="none"/>
                <w:lang w:eastAsia="zh-CN"/>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w:t>
            </w:r>
            <w:r>
              <w:rPr>
                <w:rFonts w:hint="eastAsia" w:ascii="宋体" w:eastAsia="宋体" w:cs="宋体"/>
                <w:b/>
                <w:bCs/>
                <w:color w:val="auto"/>
                <w:sz w:val="21"/>
                <w:szCs w:val="21"/>
                <w:highlight w:val="none"/>
                <w:u w:val="none"/>
                <w:lang w:eastAsia="zh-CN"/>
              </w:rPr>
              <w:t>完整的</w:t>
            </w:r>
            <w:r>
              <w:rPr>
                <w:rFonts w:hint="eastAsia" w:ascii="宋体" w:eastAsia="宋体" w:cs="宋体"/>
                <w:b/>
                <w:bCs/>
                <w:color w:val="auto"/>
                <w:sz w:val="21"/>
                <w:szCs w:val="21"/>
                <w:highlight w:val="none"/>
                <w:u w:val="none"/>
              </w:rPr>
              <w:t>财务报表复印件加盖投标人公章</w:t>
            </w:r>
            <w:r>
              <w:rPr>
                <w:rFonts w:hint="eastAsia" w:ascii="宋体" w:eastAsia="宋体" w:cs="宋体"/>
                <w:b/>
                <w:bCs/>
                <w:color w:val="auto"/>
                <w:sz w:val="21"/>
                <w:szCs w:val="21"/>
                <w:highlight w:val="none"/>
                <w:u w:val="none"/>
                <w:lang w:eastAsia="zh-CN"/>
              </w:rPr>
              <w:t>，联合体成员需同时满足才可得分。</w:t>
            </w:r>
          </w:p>
        </w:tc>
      </w:tr>
      <w:tr w14:paraId="3486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0" w:hRule="atLeast"/>
          <w:jc w:val="center"/>
        </w:trPr>
        <w:tc>
          <w:tcPr>
            <w:tcW w:w="690" w:type="dxa"/>
            <w:tcBorders>
              <w:top w:val="single" w:color="auto" w:sz="4" w:space="0"/>
              <w:left w:val="single" w:color="auto" w:sz="4" w:space="0"/>
              <w:right w:val="single" w:color="auto" w:sz="4" w:space="0"/>
            </w:tcBorders>
            <w:vAlign w:val="center"/>
          </w:tcPr>
          <w:p w14:paraId="3DBD490C">
            <w:pPr>
              <w:pStyle w:val="49"/>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227" w:type="dxa"/>
            <w:tcBorders>
              <w:top w:val="single" w:color="auto" w:sz="4" w:space="0"/>
              <w:left w:val="single" w:color="auto" w:sz="4" w:space="0"/>
              <w:right w:val="single" w:color="auto" w:sz="4" w:space="0"/>
            </w:tcBorders>
            <w:vAlign w:val="center"/>
          </w:tcPr>
          <w:p w14:paraId="515A9443">
            <w:pPr>
              <w:pStyle w:val="49"/>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lang w:eastAsia="zh-CN"/>
              </w:rPr>
              <w:t>同类</w:t>
            </w:r>
            <w:r>
              <w:rPr>
                <w:rFonts w:hint="eastAsia" w:ascii="宋体" w:eastAsia="宋体" w:cs="宋体"/>
                <w:color w:val="auto"/>
                <w:sz w:val="21"/>
                <w:szCs w:val="21"/>
                <w:highlight w:val="none"/>
                <w:u w:val="none"/>
              </w:rPr>
              <w:t>业绩</w:t>
            </w:r>
          </w:p>
        </w:tc>
        <w:tc>
          <w:tcPr>
            <w:tcW w:w="883" w:type="dxa"/>
            <w:tcBorders>
              <w:top w:val="single" w:color="auto" w:sz="4" w:space="0"/>
              <w:left w:val="single" w:color="auto" w:sz="4" w:space="0"/>
              <w:bottom w:val="single" w:color="auto" w:sz="4" w:space="0"/>
              <w:right w:val="single" w:color="auto" w:sz="4" w:space="0"/>
            </w:tcBorders>
            <w:vAlign w:val="center"/>
          </w:tcPr>
          <w:p w14:paraId="1DDC53F6">
            <w:pPr>
              <w:pStyle w:val="49"/>
              <w:spacing w:line="360" w:lineRule="auto"/>
              <w:ind w:firstLine="0" w:firstLineChars="0"/>
              <w:jc w:val="center"/>
              <w:rPr>
                <w:rFonts w:hint="default"/>
                <w:color w:val="auto"/>
                <w:highlight w:val="none"/>
                <w:u w:val="none"/>
                <w:lang w:val="en-US"/>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5A48A211">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eastAsia="宋体" w:cs="宋体"/>
                <w:bCs/>
                <w:color w:val="auto"/>
                <w:sz w:val="21"/>
                <w:szCs w:val="21"/>
                <w:highlight w:val="none"/>
                <w:u w:val="none"/>
                <w:lang w:val="en-US" w:eastAsia="zh-CN"/>
              </w:rPr>
              <w:t>1、</w:t>
            </w:r>
            <w:r>
              <w:rPr>
                <w:rFonts w:hint="eastAsia" w:ascii="宋体" w:hAnsi="宋体" w:eastAsia="宋体" w:cs="宋体"/>
                <w:bCs/>
                <w:color w:val="auto"/>
                <w:sz w:val="21"/>
                <w:szCs w:val="21"/>
                <w:highlight w:val="none"/>
                <w:u w:val="none"/>
                <w:lang w:val="zh-CN" w:eastAsia="zh-CN"/>
              </w:rPr>
              <w:t>投标人具有的光伏发电系统</w:t>
            </w:r>
            <w:r>
              <w:rPr>
                <w:rFonts w:hint="eastAsia" w:ascii="宋体" w:eastAsia="宋体" w:cs="宋体"/>
                <w:bCs/>
                <w:color w:val="auto"/>
                <w:sz w:val="21"/>
                <w:szCs w:val="21"/>
                <w:highlight w:val="none"/>
                <w:u w:val="none"/>
                <w:lang w:val="en-US" w:eastAsia="zh-CN"/>
              </w:rPr>
              <w:t>安装</w:t>
            </w:r>
            <w:r>
              <w:rPr>
                <w:rFonts w:hint="eastAsia" w:ascii="宋体" w:hAnsi="宋体" w:eastAsia="宋体" w:cs="宋体"/>
                <w:bCs/>
                <w:color w:val="auto"/>
                <w:sz w:val="21"/>
                <w:szCs w:val="21"/>
                <w:highlight w:val="none"/>
                <w:u w:val="none"/>
                <w:lang w:val="zh-CN" w:eastAsia="zh-CN"/>
              </w:rPr>
              <w:t>项目业绩，每提供一个合同业绩得</w:t>
            </w: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分，本项最高得</w:t>
            </w:r>
            <w:r>
              <w:rPr>
                <w:rFonts w:hint="eastAsia" w:ascii="宋体" w:eastAsia="宋体" w:cs="宋体"/>
                <w:bCs/>
                <w:color w:val="auto"/>
                <w:sz w:val="21"/>
                <w:szCs w:val="21"/>
                <w:highlight w:val="none"/>
                <w:u w:val="none"/>
                <w:lang w:val="en-US" w:eastAsia="zh-CN"/>
              </w:rPr>
              <w:t>6</w:t>
            </w:r>
            <w:r>
              <w:rPr>
                <w:rFonts w:hint="eastAsia" w:ascii="宋体" w:hAnsi="宋体" w:eastAsia="宋体" w:cs="宋体"/>
                <w:bCs/>
                <w:color w:val="auto"/>
                <w:sz w:val="21"/>
                <w:szCs w:val="21"/>
                <w:highlight w:val="none"/>
                <w:u w:val="none"/>
                <w:lang w:val="zh-CN" w:eastAsia="zh-CN"/>
              </w:rPr>
              <w:t>分。</w:t>
            </w:r>
          </w:p>
          <w:p w14:paraId="3C4DD689">
            <w:pPr>
              <w:pStyle w:val="49"/>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default" w:ascii="宋体" w:hAnsi="宋体" w:eastAsia="宋体" w:cs="宋体"/>
                <w:b/>
                <w:bCs/>
                <w:color w:val="auto"/>
                <w:sz w:val="21"/>
                <w:szCs w:val="21"/>
                <w:highlight w:val="none"/>
                <w:u w:val="none"/>
                <w:lang w:val="en-US" w:eastAsia="zh-CN"/>
              </w:rPr>
            </w:pPr>
            <w:r>
              <w:rPr>
                <w:rFonts w:hint="eastAsia" w:ascii="宋体" w:hAnsi="宋体" w:eastAsia="宋体" w:cs="宋体"/>
                <w:b/>
                <w:color w:val="auto"/>
                <w:sz w:val="21"/>
                <w:szCs w:val="21"/>
                <w:highlight w:val="none"/>
                <w:u w:val="none"/>
                <w:lang w:val="zh-CN" w:eastAsia="zh-CN"/>
              </w:rPr>
              <w:t>注：须提供合同复印件和并网证明并同时加盖投标人公章，不符合以上要求得不得分。若联合体投标，联合体中具有施工资质方提供方可得分((①若安装与设计为同一项目只按一次计分②资格条件所提供的业绩不得分))</w:t>
            </w:r>
            <w:r>
              <w:rPr>
                <w:rFonts w:hint="eastAsia" w:ascii="宋体" w:eastAsia="宋体" w:cs="宋体"/>
                <w:b/>
                <w:color w:val="auto"/>
                <w:sz w:val="21"/>
                <w:szCs w:val="21"/>
                <w:highlight w:val="none"/>
                <w:u w:val="none"/>
                <w:lang w:val="zh-CN" w:eastAsia="zh-CN"/>
              </w:rPr>
              <w:t>。</w:t>
            </w:r>
          </w:p>
          <w:p w14:paraId="388942FC">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投标人具有的光伏发电</w:t>
            </w:r>
            <w:r>
              <w:rPr>
                <w:rFonts w:hint="eastAsia" w:ascii="宋体" w:eastAsia="宋体" w:cs="宋体"/>
                <w:bCs/>
                <w:color w:val="auto"/>
                <w:sz w:val="21"/>
                <w:szCs w:val="21"/>
                <w:highlight w:val="none"/>
                <w:u w:val="none"/>
                <w:lang w:val="zh-CN" w:eastAsia="zh-CN"/>
              </w:rPr>
              <w:t>设计</w:t>
            </w:r>
            <w:r>
              <w:rPr>
                <w:rFonts w:hint="eastAsia" w:ascii="宋体" w:hAnsi="宋体" w:eastAsia="宋体" w:cs="宋体"/>
                <w:bCs/>
                <w:color w:val="auto"/>
                <w:sz w:val="21"/>
                <w:szCs w:val="21"/>
                <w:highlight w:val="none"/>
                <w:u w:val="none"/>
                <w:lang w:val="zh-CN" w:eastAsia="zh-CN"/>
              </w:rPr>
              <w:t>项目业绩，每提供一个合同业绩得</w:t>
            </w: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分，本项最高得</w:t>
            </w:r>
            <w:r>
              <w:rPr>
                <w:rFonts w:hint="eastAsia" w:ascii="宋体" w:eastAsia="宋体" w:cs="宋体"/>
                <w:bCs/>
                <w:color w:val="auto"/>
                <w:sz w:val="21"/>
                <w:szCs w:val="21"/>
                <w:highlight w:val="none"/>
                <w:u w:val="none"/>
                <w:lang w:val="en-US" w:eastAsia="zh-CN"/>
              </w:rPr>
              <w:t>4</w:t>
            </w:r>
            <w:r>
              <w:rPr>
                <w:rFonts w:hint="eastAsia" w:ascii="宋体" w:hAnsi="宋体" w:eastAsia="宋体" w:cs="宋体"/>
                <w:bCs/>
                <w:color w:val="auto"/>
                <w:sz w:val="21"/>
                <w:szCs w:val="21"/>
                <w:highlight w:val="none"/>
                <w:u w:val="none"/>
                <w:lang w:val="zh-CN" w:eastAsia="zh-CN"/>
              </w:rPr>
              <w:t>分。</w:t>
            </w:r>
          </w:p>
          <w:p w14:paraId="3D2200D2">
            <w:pPr>
              <w:pStyle w:val="49"/>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hAnsi="宋体" w:eastAsia="宋体" w:cs="宋体"/>
                <w:b/>
                <w:bCs w:val="0"/>
                <w:color w:val="auto"/>
                <w:sz w:val="21"/>
                <w:szCs w:val="21"/>
                <w:highlight w:val="none"/>
                <w:u w:val="none"/>
                <w:lang w:val="zh-CN" w:eastAsia="zh-CN"/>
              </w:rPr>
              <w:t>注：须提供合同复印件并同时加盖投标人公章，不符合以上要求得不得分。</w:t>
            </w:r>
            <w:r>
              <w:rPr>
                <w:rFonts w:hint="eastAsia" w:ascii="宋体" w:hAnsi="宋体" w:eastAsia="宋体" w:cs="宋体"/>
                <w:b/>
                <w:bCs w:val="0"/>
                <w:color w:val="auto"/>
                <w:sz w:val="21"/>
                <w:szCs w:val="21"/>
                <w:highlight w:val="none"/>
                <w:u w:val="none"/>
                <w:lang w:val="en-US" w:eastAsia="zh-CN"/>
              </w:rPr>
              <w:t>若联合体投标，联合体中具有设计资质方提供方可得分(同一项目只按一次计分)</w:t>
            </w:r>
            <w:r>
              <w:rPr>
                <w:rFonts w:hint="eastAsia" w:ascii="宋体" w:hAnsi="宋体" w:eastAsia="宋体" w:cs="宋体"/>
                <w:b/>
                <w:bCs w:val="0"/>
                <w:color w:val="auto"/>
                <w:sz w:val="21"/>
                <w:szCs w:val="21"/>
                <w:highlight w:val="none"/>
                <w:u w:val="none"/>
                <w:lang w:val="zh-CN"/>
              </w:rPr>
              <w:t>。</w:t>
            </w:r>
          </w:p>
        </w:tc>
      </w:tr>
      <w:tr w14:paraId="36EE7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646F9D8">
            <w:pPr>
              <w:pStyle w:val="49"/>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4</w:t>
            </w:r>
          </w:p>
        </w:tc>
        <w:tc>
          <w:tcPr>
            <w:tcW w:w="1227" w:type="dxa"/>
            <w:tcBorders>
              <w:top w:val="single" w:color="auto" w:sz="4" w:space="0"/>
              <w:left w:val="single" w:color="auto" w:sz="4" w:space="0"/>
              <w:bottom w:val="single" w:color="auto" w:sz="4" w:space="0"/>
              <w:right w:val="single" w:color="auto" w:sz="4" w:space="0"/>
            </w:tcBorders>
            <w:vAlign w:val="center"/>
          </w:tcPr>
          <w:p w14:paraId="761D3128">
            <w:pPr>
              <w:pStyle w:val="49"/>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人员要求</w:t>
            </w:r>
          </w:p>
        </w:tc>
        <w:tc>
          <w:tcPr>
            <w:tcW w:w="883" w:type="dxa"/>
            <w:tcBorders>
              <w:top w:val="single" w:color="auto" w:sz="4" w:space="0"/>
              <w:left w:val="single" w:color="auto" w:sz="4" w:space="0"/>
              <w:bottom w:val="single" w:color="auto" w:sz="4" w:space="0"/>
              <w:right w:val="single" w:color="auto" w:sz="4" w:space="0"/>
            </w:tcBorders>
            <w:vAlign w:val="center"/>
          </w:tcPr>
          <w:p w14:paraId="3C20EE65">
            <w:pPr>
              <w:pStyle w:val="49"/>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555DDD5E">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根据投标人拟投入的团队人员进行综合评审：</w:t>
            </w:r>
          </w:p>
          <w:p w14:paraId="31320D25">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1、团队人员中具有注册于投标人本单位的机电工程专业二级注册建造师执业资格证书和有效的安全生产考核合格证（B证）</w:t>
            </w:r>
            <w:r>
              <w:rPr>
                <w:rFonts w:hint="eastAsia" w:ascii="宋体" w:eastAsia="宋体" w:cs="宋体"/>
                <w:color w:val="auto"/>
                <w:sz w:val="21"/>
                <w:szCs w:val="21"/>
                <w:highlight w:val="none"/>
                <w:u w:val="none"/>
                <w:lang w:val="en-US" w:eastAsia="zh-CN"/>
              </w:rPr>
              <w:t>的</w:t>
            </w:r>
            <w:r>
              <w:rPr>
                <w:rFonts w:hint="eastAsia" w:ascii="宋体" w:eastAsia="宋体" w:cs="宋体"/>
                <w:color w:val="auto"/>
                <w:sz w:val="21"/>
                <w:szCs w:val="21"/>
                <w:highlight w:val="none"/>
                <w:u w:val="none"/>
              </w:rPr>
              <w:t>，得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分；机电工程专业一级注册建造师执业资格证书和有效的安全生产考核合格证（B证），得</w:t>
            </w:r>
            <w:r>
              <w:rPr>
                <w:rFonts w:hint="eastAsia" w:ascii="宋体" w:eastAsia="宋体" w:cs="宋体"/>
                <w:color w:val="auto"/>
                <w:sz w:val="21"/>
                <w:szCs w:val="21"/>
                <w:highlight w:val="none"/>
                <w:u w:val="none"/>
                <w:lang w:val="en-US" w:eastAsia="zh-CN"/>
              </w:rPr>
              <w:t>4</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4</w:t>
            </w:r>
            <w:r>
              <w:rPr>
                <w:rFonts w:hint="eastAsia" w:ascii="宋体" w:eastAsia="宋体" w:cs="宋体"/>
                <w:color w:val="auto"/>
                <w:sz w:val="21"/>
                <w:szCs w:val="21"/>
                <w:highlight w:val="none"/>
                <w:u w:val="none"/>
              </w:rPr>
              <w:t>分；</w:t>
            </w:r>
          </w:p>
          <w:p w14:paraId="0591B3B1">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2、团队人员中具有</w:t>
            </w:r>
            <w:r>
              <w:rPr>
                <w:rFonts w:hint="eastAsia" w:ascii="宋体" w:eastAsia="宋体" w:cs="宋体"/>
                <w:color w:val="auto"/>
                <w:sz w:val="21"/>
                <w:szCs w:val="21"/>
                <w:highlight w:val="none"/>
                <w:u w:val="none"/>
                <w:lang w:val="en-US" w:eastAsia="zh-CN"/>
              </w:rPr>
              <w:t>电工作业证</w:t>
            </w:r>
            <w:r>
              <w:rPr>
                <w:rFonts w:hint="eastAsia" w:ascii="宋体" w:eastAsia="宋体" w:cs="宋体"/>
                <w:color w:val="auto"/>
                <w:sz w:val="21"/>
                <w:szCs w:val="21"/>
                <w:highlight w:val="none"/>
                <w:u w:val="none"/>
                <w:lang w:eastAsia="zh-CN"/>
              </w:rPr>
              <w:t>（</w:t>
            </w:r>
            <w:r>
              <w:rPr>
                <w:rFonts w:hint="eastAsia" w:ascii="宋体" w:eastAsia="宋体" w:cs="宋体"/>
                <w:color w:val="auto"/>
                <w:sz w:val="21"/>
                <w:szCs w:val="21"/>
                <w:highlight w:val="none"/>
                <w:u w:val="none"/>
                <w:lang w:val="en-US" w:eastAsia="zh-CN"/>
              </w:rPr>
              <w:t>特种作业操作证）</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1</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w:t>
            </w:r>
          </w:p>
          <w:p w14:paraId="3610ACDB">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3、团队人员中具有</w:t>
            </w:r>
            <w:r>
              <w:rPr>
                <w:rFonts w:hint="eastAsia" w:ascii="宋体" w:eastAsia="宋体" w:cs="宋体"/>
                <w:color w:val="auto"/>
                <w:sz w:val="21"/>
                <w:szCs w:val="21"/>
                <w:highlight w:val="none"/>
                <w:u w:val="none"/>
                <w:lang w:val="en-US" w:eastAsia="zh-CN"/>
              </w:rPr>
              <w:t>高处作业</w:t>
            </w:r>
            <w:r>
              <w:rPr>
                <w:rFonts w:hint="eastAsia" w:ascii="宋体" w:eastAsia="宋体" w:cs="宋体"/>
                <w:color w:val="auto"/>
                <w:sz w:val="21"/>
                <w:szCs w:val="21"/>
                <w:highlight w:val="none"/>
                <w:u w:val="none"/>
              </w:rPr>
              <w:t>证</w:t>
            </w:r>
            <w:r>
              <w:rPr>
                <w:rFonts w:hint="eastAsia" w:ascii="宋体" w:eastAsia="宋体" w:cs="宋体"/>
                <w:color w:val="auto"/>
                <w:sz w:val="21"/>
                <w:szCs w:val="21"/>
                <w:highlight w:val="none"/>
                <w:u w:val="none"/>
                <w:lang w:eastAsia="zh-CN"/>
              </w:rPr>
              <w:t>（</w:t>
            </w:r>
            <w:r>
              <w:rPr>
                <w:rFonts w:hint="eastAsia" w:ascii="宋体" w:eastAsia="宋体" w:cs="宋体"/>
                <w:color w:val="auto"/>
                <w:sz w:val="21"/>
                <w:szCs w:val="21"/>
                <w:highlight w:val="none"/>
                <w:u w:val="none"/>
                <w:lang w:val="en-US" w:eastAsia="zh-CN"/>
              </w:rPr>
              <w:t>特种作业操作证）</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1</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w:t>
            </w:r>
          </w:p>
          <w:p w14:paraId="03891C93">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4、团队人员中具有焊接与热切割作业证</w:t>
            </w:r>
            <w:r>
              <w:rPr>
                <w:rFonts w:hint="eastAsia" w:ascii="宋体" w:eastAsia="宋体" w:cs="宋体"/>
                <w:color w:val="auto"/>
                <w:sz w:val="21"/>
                <w:szCs w:val="21"/>
                <w:highlight w:val="none"/>
                <w:u w:val="none"/>
                <w:lang w:eastAsia="zh-CN"/>
              </w:rPr>
              <w:t>（</w:t>
            </w:r>
            <w:r>
              <w:rPr>
                <w:rFonts w:hint="eastAsia" w:ascii="宋体" w:eastAsia="宋体" w:cs="宋体"/>
                <w:color w:val="auto"/>
                <w:sz w:val="21"/>
                <w:szCs w:val="21"/>
                <w:highlight w:val="none"/>
                <w:u w:val="none"/>
                <w:lang w:val="en-US" w:eastAsia="zh-CN"/>
              </w:rPr>
              <w:t>特种作业操作证）</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1</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w:t>
            </w:r>
          </w:p>
          <w:p w14:paraId="678478C2">
            <w:pPr>
              <w:pStyle w:val="49"/>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ascii="宋体" w:eastAsia="宋体" w:cs="宋体"/>
                <w:color w:val="auto"/>
                <w:sz w:val="21"/>
                <w:szCs w:val="21"/>
                <w:highlight w:val="none"/>
                <w:u w:val="none"/>
                <w:lang w:eastAsia="zh-CN"/>
              </w:rPr>
            </w:pPr>
            <w:r>
              <w:rPr>
                <w:rFonts w:hint="eastAsia" w:ascii="宋体" w:eastAsia="宋体" w:cs="宋体"/>
                <w:b/>
                <w:bCs/>
                <w:color w:val="auto"/>
                <w:sz w:val="21"/>
                <w:szCs w:val="21"/>
                <w:highlight w:val="none"/>
                <w:u w:val="none"/>
              </w:rPr>
              <w:t>注：以上人员在履行期间，拟投入本项目的所有人员须专职服务本项目，如相关人员有变更应及时向采购人办理变更备案手续；提供的人员不得重复得分；须提供有效的相关证书复印件加盖投标人公章, 并提供社保部门出具的投标人为其购买的近六个月内任意一个月的社会保险证明材料加盖投标人公章，否则不得分，联合体任意一方提供即可得分。</w:t>
            </w:r>
          </w:p>
        </w:tc>
      </w:tr>
      <w:tr w14:paraId="02C0D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AFD9DC4">
            <w:pPr>
              <w:pStyle w:val="49"/>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5</w:t>
            </w:r>
          </w:p>
        </w:tc>
        <w:tc>
          <w:tcPr>
            <w:tcW w:w="1227" w:type="dxa"/>
            <w:tcBorders>
              <w:top w:val="single" w:color="auto" w:sz="4" w:space="0"/>
              <w:left w:val="single" w:color="auto" w:sz="4" w:space="0"/>
              <w:bottom w:val="single" w:color="auto" w:sz="4" w:space="0"/>
              <w:right w:val="single" w:color="auto" w:sz="4" w:space="0"/>
            </w:tcBorders>
            <w:vAlign w:val="center"/>
          </w:tcPr>
          <w:p w14:paraId="788F03A6">
            <w:pPr>
              <w:pStyle w:val="49"/>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企业信誉</w:t>
            </w:r>
          </w:p>
        </w:tc>
        <w:tc>
          <w:tcPr>
            <w:tcW w:w="883" w:type="dxa"/>
            <w:tcBorders>
              <w:top w:val="single" w:color="auto" w:sz="4" w:space="0"/>
              <w:left w:val="single" w:color="auto" w:sz="4" w:space="0"/>
              <w:bottom w:val="single" w:color="auto" w:sz="4" w:space="0"/>
              <w:right w:val="single" w:color="auto" w:sz="4" w:space="0"/>
            </w:tcBorders>
            <w:vAlign w:val="center"/>
          </w:tcPr>
          <w:p w14:paraId="3F051796">
            <w:pPr>
              <w:pStyle w:val="49"/>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153AFDEF">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投标人提供2022年1月1日至今未受到相关主管部门的行政处罚或开标前未处在行政处罚内的得5分;未提供证明材料或受到1次以上行政处罚并在开标前处于行政处罚内的不得分。(以信用中国查询截图为准)</w:t>
            </w:r>
          </w:p>
          <w:p w14:paraId="6B122B0D">
            <w:pPr>
              <w:pStyle w:val="49"/>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注:此处行政处罚指供应商因违法经营受到的警告、通报批评、200万元以下罚款、限制开展生产经营活动、限制从业的行政处罚。</w:t>
            </w:r>
          </w:p>
        </w:tc>
      </w:tr>
      <w:tr w14:paraId="5F087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3BEF001">
            <w:pPr>
              <w:pStyle w:val="49"/>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79E3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D16FC0A">
            <w:pPr>
              <w:pStyle w:val="49"/>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227" w:type="dxa"/>
            <w:tcBorders>
              <w:top w:val="single" w:color="auto" w:sz="4" w:space="0"/>
              <w:left w:val="single" w:color="auto" w:sz="4" w:space="0"/>
              <w:bottom w:val="single" w:color="auto" w:sz="4" w:space="0"/>
              <w:right w:val="single" w:color="auto" w:sz="4" w:space="0"/>
            </w:tcBorders>
            <w:vAlign w:val="center"/>
          </w:tcPr>
          <w:p w14:paraId="6A729D44">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项目实施（</w:t>
            </w:r>
            <w:r>
              <w:rPr>
                <w:rFonts w:hint="eastAsia" w:hAnsi="宋体" w:cs="宋体"/>
                <w:color w:val="auto"/>
                <w:spacing w:val="2"/>
                <w:szCs w:val="21"/>
                <w:highlight w:val="none"/>
                <w:u w:val="none"/>
                <w:lang w:eastAsia="zh-CN"/>
              </w:rPr>
              <w:t>设计、</w:t>
            </w:r>
            <w:r>
              <w:rPr>
                <w:rFonts w:hint="eastAsia" w:hAnsi="宋体" w:cs="宋体"/>
                <w:color w:val="auto"/>
                <w:spacing w:val="2"/>
                <w:szCs w:val="21"/>
                <w:highlight w:val="none"/>
                <w:u w:val="none"/>
              </w:rPr>
              <w:t>供货、安装）方案及进度计划</w:t>
            </w:r>
          </w:p>
        </w:tc>
        <w:tc>
          <w:tcPr>
            <w:tcW w:w="883" w:type="dxa"/>
            <w:tcBorders>
              <w:top w:val="single" w:color="auto" w:sz="4" w:space="0"/>
              <w:left w:val="single" w:color="auto" w:sz="4" w:space="0"/>
              <w:bottom w:val="single" w:color="auto" w:sz="4" w:space="0"/>
              <w:right w:val="single" w:color="auto" w:sz="4" w:space="0"/>
            </w:tcBorders>
            <w:vAlign w:val="center"/>
          </w:tcPr>
          <w:p w14:paraId="3C250D69">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3B7FE9FF">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w:t>
            </w:r>
            <w:r>
              <w:rPr>
                <w:rFonts w:hint="eastAsia" w:ascii="宋体" w:hAnsi="宋体" w:cs="宋体"/>
                <w:color w:val="auto"/>
                <w:szCs w:val="21"/>
                <w:highlight w:val="none"/>
                <w:u w:val="none"/>
                <w:lang w:eastAsia="zh-CN"/>
              </w:rPr>
              <w:t>初步设计方案、</w:t>
            </w:r>
            <w:r>
              <w:rPr>
                <w:rFonts w:hint="eastAsia" w:ascii="宋体" w:hAnsi="宋体" w:cs="宋体"/>
                <w:color w:val="auto"/>
                <w:szCs w:val="21"/>
                <w:highlight w:val="none"/>
                <w:u w:val="none"/>
              </w:rPr>
              <w:t>项目进度安排、项目验收方案、货物运输及保护措施、安装调试方案）进行评审：</w:t>
            </w:r>
          </w:p>
          <w:p w14:paraId="496BE2C7">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078F4655">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479ECCB0">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56C34107">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eastAsia="zh-CN"/>
              </w:rPr>
              <w:t>的，得</w:t>
            </w:r>
            <w:r>
              <w:rPr>
                <w:rFonts w:hint="eastAsia" w:ascii="宋体" w:hAnsi="宋体" w:cs="宋体"/>
                <w:color w:val="auto"/>
                <w:szCs w:val="21"/>
                <w:highlight w:val="none"/>
                <w:u w:val="none"/>
                <w:lang w:val="en-US" w:eastAsia="zh-CN"/>
              </w:rPr>
              <w:t>1分；</w:t>
            </w:r>
          </w:p>
          <w:p w14:paraId="78159CA3">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01EBC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0BA8E70">
            <w:pPr>
              <w:pStyle w:val="49"/>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bottom w:val="single" w:color="auto" w:sz="4" w:space="0"/>
              <w:right w:val="single" w:color="auto" w:sz="4" w:space="0"/>
            </w:tcBorders>
            <w:vAlign w:val="center"/>
          </w:tcPr>
          <w:p w14:paraId="64812B7D">
            <w:pPr>
              <w:widowControl w:val="0"/>
              <w:adjustRightInd/>
              <w:snapToGrid/>
              <w:jc w:val="center"/>
              <w:rPr>
                <w:rFonts w:hint="eastAsia" w:ascii="Tahoma" w:hAnsi="宋体" w:eastAsia="宋体" w:cs="宋体"/>
                <w:color w:val="auto"/>
                <w:spacing w:val="2"/>
                <w:sz w:val="21"/>
                <w:szCs w:val="21"/>
                <w:highlight w:val="none"/>
                <w:u w:val="none"/>
                <w:lang w:val="en-US" w:eastAsia="zh-CN" w:bidi="ar-SA"/>
              </w:rPr>
            </w:pPr>
            <w:r>
              <w:rPr>
                <w:rFonts w:hint="eastAsia" w:hAnsi="宋体" w:cs="宋体"/>
                <w:color w:val="auto"/>
                <w:spacing w:val="2"/>
                <w:szCs w:val="21"/>
                <w:highlight w:val="none"/>
                <w:u w:val="none"/>
                <w:lang w:eastAsia="zh-CN"/>
              </w:rPr>
              <w:t>产品性能</w:t>
            </w:r>
          </w:p>
        </w:tc>
        <w:tc>
          <w:tcPr>
            <w:tcW w:w="883" w:type="dxa"/>
            <w:tcBorders>
              <w:top w:val="single" w:color="auto" w:sz="4" w:space="0"/>
              <w:left w:val="single" w:color="auto" w:sz="4" w:space="0"/>
              <w:bottom w:val="single" w:color="auto" w:sz="4" w:space="0"/>
              <w:right w:val="single" w:color="auto" w:sz="4" w:space="0"/>
            </w:tcBorders>
            <w:vAlign w:val="center"/>
          </w:tcPr>
          <w:p w14:paraId="32E1C331">
            <w:pPr>
              <w:widowControl w:val="0"/>
              <w:adjustRightInd/>
              <w:snapToGrid/>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3EDC28E4">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根据投标人所投设备的综合性能</w:t>
            </w:r>
            <w:r>
              <w:rPr>
                <w:rFonts w:hint="eastAsia" w:ascii="宋体" w:hAnsi="宋体" w:eastAsia="宋体" w:cs="宋体"/>
                <w:color w:val="auto"/>
                <w:szCs w:val="21"/>
                <w:highlight w:val="none"/>
                <w:u w:val="none"/>
                <w:lang w:eastAsia="zh-CN"/>
              </w:rPr>
              <w:t>（包括设计与配置、材质、实用性、耐用性等）</w:t>
            </w:r>
            <w:r>
              <w:rPr>
                <w:rFonts w:hint="eastAsia" w:ascii="宋体" w:hAnsi="宋体" w:eastAsia="宋体" w:cs="宋体"/>
                <w:color w:val="auto"/>
                <w:szCs w:val="21"/>
                <w:highlight w:val="none"/>
                <w:u w:val="none"/>
              </w:rPr>
              <w:t>进行综合评分。</w:t>
            </w:r>
          </w:p>
          <w:p w14:paraId="6D52A93A">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①</w:t>
            </w:r>
            <w:r>
              <w:rPr>
                <w:rFonts w:hint="eastAsia" w:ascii="宋体" w:hAnsi="宋体" w:eastAsia="宋体" w:cs="宋体"/>
                <w:color w:val="auto"/>
                <w:szCs w:val="21"/>
                <w:highlight w:val="none"/>
                <w:u w:val="none"/>
              </w:rPr>
              <w:t>设备设计及配置先进，材质可靠，实用性、耐用性好，得</w:t>
            </w:r>
            <w:r>
              <w:rPr>
                <w:rFonts w:hint="eastAsia" w:ascii="宋体" w:hAnsi="宋体" w:eastAsia="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6D9C634F">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②</w:t>
            </w:r>
            <w:r>
              <w:rPr>
                <w:rFonts w:hint="eastAsia" w:ascii="宋体" w:hAnsi="宋体" w:eastAsia="宋体" w:cs="宋体"/>
                <w:color w:val="auto"/>
                <w:szCs w:val="21"/>
                <w:highlight w:val="none"/>
                <w:u w:val="none"/>
              </w:rPr>
              <w:t>设备设计及配置较为先进，材质可靠，实用性、耐用性一般，得</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796B2665">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③</w:t>
            </w:r>
            <w:r>
              <w:rPr>
                <w:rFonts w:hint="eastAsia" w:ascii="宋体" w:hAnsi="宋体" w:eastAsia="宋体" w:cs="宋体"/>
                <w:color w:val="auto"/>
                <w:szCs w:val="21"/>
                <w:highlight w:val="none"/>
                <w:u w:val="none"/>
              </w:rPr>
              <w:t>设备设计及配置一般，材质一般，实用性、耐用性一般，得</w:t>
            </w:r>
            <w:r>
              <w:rPr>
                <w:rFonts w:hint="eastAsia" w:ascii="宋体" w:hAnsi="宋体" w:eastAsia="宋体" w:cs="宋体"/>
                <w:color w:val="auto"/>
                <w:szCs w:val="21"/>
                <w:highlight w:val="none"/>
                <w:u w:val="none"/>
                <w:lang w:val="en-US" w:eastAsia="zh-CN"/>
              </w:rPr>
              <w:t>3</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5C304271">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val="zh-CN"/>
              </w:rPr>
              <w:t>④设备设计及配置差，材质差，实用性、耐用性差，得</w:t>
            </w:r>
            <w:r>
              <w:rPr>
                <w:rFonts w:hint="eastAsia" w:ascii="宋体" w:hAnsi="宋体" w:eastAsia="宋体" w:cs="宋体"/>
                <w:color w:val="auto"/>
                <w:szCs w:val="21"/>
                <w:highlight w:val="none"/>
                <w:u w:val="none"/>
              </w:rPr>
              <w:t>1</w:t>
            </w:r>
            <w:r>
              <w:rPr>
                <w:rFonts w:hint="eastAsia" w:ascii="宋体" w:hAnsi="宋体" w:eastAsia="宋体" w:cs="宋体"/>
                <w:color w:val="auto"/>
                <w:szCs w:val="21"/>
                <w:highlight w:val="none"/>
                <w:u w:val="none"/>
                <w:lang w:val="zh-CN"/>
              </w:rPr>
              <w:t>分；</w:t>
            </w:r>
          </w:p>
          <w:p w14:paraId="6464210A">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 w:val="21"/>
                <w:szCs w:val="21"/>
                <w:highlight w:val="none"/>
                <w:u w:val="none"/>
                <w:lang w:val="zh-CN" w:eastAsia="zh-CN" w:bidi="ar-SA"/>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未提供对应方案不得分。</w:t>
            </w:r>
          </w:p>
        </w:tc>
      </w:tr>
      <w:tr w14:paraId="5CDE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49BFA16">
            <w:pPr>
              <w:pStyle w:val="49"/>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3</w:t>
            </w:r>
          </w:p>
        </w:tc>
        <w:tc>
          <w:tcPr>
            <w:tcW w:w="1227" w:type="dxa"/>
            <w:tcBorders>
              <w:top w:val="single" w:color="auto" w:sz="4" w:space="0"/>
              <w:left w:val="single" w:color="auto" w:sz="4" w:space="0"/>
              <w:bottom w:val="single" w:color="auto" w:sz="4" w:space="0"/>
              <w:right w:val="single" w:color="auto" w:sz="4" w:space="0"/>
            </w:tcBorders>
            <w:vAlign w:val="center"/>
          </w:tcPr>
          <w:p w14:paraId="7EF283CC">
            <w:pPr>
              <w:widowControl w:val="0"/>
              <w:adjustRightInd/>
              <w:snapToGrid/>
              <w:jc w:val="center"/>
              <w:rPr>
                <w:rFonts w:ascii="宋体" w:hAnsi="宋体" w:cs="宋体"/>
                <w:color w:val="auto"/>
                <w:szCs w:val="21"/>
                <w:highlight w:val="none"/>
                <w:u w:val="none"/>
              </w:rPr>
            </w:pPr>
            <w:r>
              <w:rPr>
                <w:rFonts w:hint="eastAsia" w:hAnsi="宋体" w:cs="宋体"/>
                <w:color w:val="auto"/>
                <w:szCs w:val="21"/>
                <w:highlight w:val="none"/>
                <w:u w:val="none"/>
                <w:lang w:bidi="ar"/>
              </w:rPr>
              <w:t>质量保证措施</w:t>
            </w:r>
          </w:p>
        </w:tc>
        <w:tc>
          <w:tcPr>
            <w:tcW w:w="883" w:type="dxa"/>
            <w:tcBorders>
              <w:top w:val="single" w:color="auto" w:sz="4" w:space="0"/>
              <w:left w:val="single" w:color="auto" w:sz="4" w:space="0"/>
              <w:bottom w:val="single" w:color="auto" w:sz="4" w:space="0"/>
              <w:right w:val="single" w:color="auto" w:sz="4" w:space="0"/>
            </w:tcBorders>
            <w:vAlign w:val="center"/>
          </w:tcPr>
          <w:p w14:paraId="0CFFDF5A">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7771B677">
            <w:pPr>
              <w:keepNext w:val="0"/>
              <w:keepLines w:val="0"/>
              <w:pageBreakBefore w:val="0"/>
              <w:kinsoku/>
              <w:wordWrap/>
              <w:overflowPunct/>
              <w:topLinePunct w:val="0"/>
              <w:autoSpaceDE/>
              <w:autoSpaceDN/>
              <w:bidi w:val="0"/>
              <w:spacing w:line="312" w:lineRule="auto"/>
              <w:textAlignment w:val="auto"/>
              <w:rPr>
                <w:rFonts w:ascii="宋体" w:hAnsi="宋体" w:cs="宋体"/>
                <w:color w:val="auto"/>
                <w:szCs w:val="21"/>
                <w:highlight w:val="none"/>
                <w:u w:val="none"/>
              </w:rPr>
            </w:pPr>
            <w:r>
              <w:rPr>
                <w:rFonts w:hint="eastAsia" w:ascii="宋体" w:hAnsi="宋体" w:cs="宋体"/>
                <w:color w:val="auto"/>
                <w:szCs w:val="21"/>
                <w:highlight w:val="none"/>
                <w:u w:val="none"/>
              </w:rPr>
              <w:t>根据供应商提供质量保证措施方案（包括但不限于质量目标、项目质量的控制、质量保证措施等）进行评审；</w:t>
            </w:r>
          </w:p>
          <w:p w14:paraId="43F5E295">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①质量目标非常明确、对项目质量的控制非常详细、检验手段非常科学，质量保证措施非常具体，可行</w:t>
            </w:r>
            <w:r>
              <w:rPr>
                <w:rFonts w:hint="eastAsia" w:ascii="宋体" w:hAnsi="宋体" w:cs="宋体"/>
                <w:color w:val="auto"/>
                <w:szCs w:val="21"/>
                <w:highlight w:val="none"/>
                <w:u w:val="none"/>
                <w:lang w:val="en-US" w:eastAsia="zh-CN"/>
              </w:rPr>
              <w:t>性强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18BE5929">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②质量目标比较明确、对项目质量的控制较为详细、检验手段比较科学，质量保证措施比较具体，可行</w:t>
            </w:r>
            <w:r>
              <w:rPr>
                <w:rFonts w:hint="eastAsia" w:ascii="宋体" w:hAnsi="宋体" w:cs="宋体"/>
                <w:color w:val="auto"/>
                <w:szCs w:val="21"/>
                <w:highlight w:val="none"/>
                <w:u w:val="none"/>
                <w:lang w:val="en-US" w:eastAsia="zh-CN"/>
              </w:rPr>
              <w:t>性较强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09358EF0">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③质量目标基本明确、对项目质量的控制详细程度</w:t>
            </w:r>
            <w:r>
              <w:rPr>
                <w:rFonts w:hint="eastAsia" w:ascii="宋体" w:hAnsi="宋体" w:cs="宋体"/>
                <w:color w:val="auto"/>
                <w:szCs w:val="21"/>
                <w:highlight w:val="none"/>
                <w:u w:val="none"/>
                <w:lang w:val="en-US" w:eastAsia="zh-CN"/>
              </w:rPr>
              <w:t>一般</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一般</w:t>
            </w:r>
            <w:r>
              <w:rPr>
                <w:rFonts w:hint="eastAsia" w:ascii="宋体" w:hAnsi="宋体" w:cs="宋体"/>
                <w:color w:val="auto"/>
                <w:szCs w:val="21"/>
                <w:highlight w:val="none"/>
                <w:u w:val="none"/>
              </w:rPr>
              <w:t>，质量保证措施不够具体，可行性</w:t>
            </w:r>
            <w:r>
              <w:rPr>
                <w:rFonts w:hint="eastAsia" w:ascii="宋体" w:hAnsi="宋体" w:cs="宋体"/>
                <w:color w:val="auto"/>
                <w:szCs w:val="21"/>
                <w:highlight w:val="none"/>
                <w:u w:val="none"/>
                <w:lang w:eastAsia="zh-CN"/>
              </w:rPr>
              <w:t>一般的，得</w:t>
            </w:r>
            <w:r>
              <w:rPr>
                <w:rFonts w:hint="eastAsia" w:ascii="宋体" w:hAnsi="宋体" w:cs="宋体"/>
                <w:color w:val="auto"/>
                <w:szCs w:val="21"/>
                <w:highlight w:val="none"/>
                <w:u w:val="none"/>
                <w:lang w:val="en-US" w:eastAsia="zh-CN"/>
              </w:rPr>
              <w:t>3分；</w:t>
            </w:r>
          </w:p>
          <w:p w14:paraId="2A48150E">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eastAsia="zh-CN"/>
              </w:rPr>
              <w:t>④</w:t>
            </w:r>
            <w:r>
              <w:rPr>
                <w:rFonts w:hint="eastAsia" w:ascii="宋体" w:hAnsi="宋体" w:cs="宋体"/>
                <w:color w:val="auto"/>
                <w:szCs w:val="21"/>
                <w:highlight w:val="none"/>
                <w:u w:val="none"/>
              </w:rPr>
              <w:t>质量目标</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明确、对项目质量的控制</w:t>
            </w:r>
            <w:r>
              <w:rPr>
                <w:rFonts w:hint="eastAsia" w:ascii="宋体" w:hAnsi="宋体" w:cs="宋体"/>
                <w:color w:val="auto"/>
                <w:szCs w:val="21"/>
                <w:highlight w:val="none"/>
                <w:u w:val="none"/>
                <w:lang w:eastAsia="zh-CN"/>
              </w:rPr>
              <w:t>方案</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差</w:t>
            </w:r>
            <w:r>
              <w:rPr>
                <w:rFonts w:hint="eastAsia" w:ascii="宋体" w:hAnsi="宋体" w:cs="宋体"/>
                <w:color w:val="auto"/>
                <w:szCs w:val="21"/>
                <w:highlight w:val="none"/>
                <w:u w:val="none"/>
              </w:rPr>
              <w:t>，质量保证措施不具体，</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可行</w:t>
            </w:r>
            <w:r>
              <w:rPr>
                <w:rFonts w:hint="eastAsia" w:ascii="宋体" w:hAnsi="宋体" w:cs="宋体"/>
                <w:color w:val="auto"/>
                <w:szCs w:val="21"/>
                <w:highlight w:val="none"/>
                <w:u w:val="none"/>
                <w:lang w:eastAsia="zh-CN"/>
              </w:rPr>
              <w:t>的，得</w:t>
            </w:r>
            <w:r>
              <w:rPr>
                <w:rFonts w:hint="eastAsia" w:ascii="宋体" w:hAnsi="宋体" w:cs="宋体"/>
                <w:color w:val="auto"/>
                <w:szCs w:val="21"/>
                <w:highlight w:val="none"/>
                <w:u w:val="none"/>
                <w:lang w:val="en-US" w:eastAsia="zh-CN"/>
              </w:rPr>
              <w:t>1分；</w:t>
            </w:r>
          </w:p>
          <w:p w14:paraId="082E7176">
            <w:pPr>
              <w:keepNext w:val="0"/>
              <w:keepLines w:val="0"/>
              <w:pageBreakBefore w:val="0"/>
              <w:kinsoku/>
              <w:wordWrap/>
              <w:overflowPunct/>
              <w:topLinePunct w:val="0"/>
              <w:autoSpaceDE/>
              <w:autoSpaceDN/>
              <w:bidi w:val="0"/>
              <w:spacing w:line="312" w:lineRule="auto"/>
              <w:ind w:firstLine="420" w:firstLineChars="200"/>
              <w:textAlignment w:val="auto"/>
              <w:rPr>
                <w:rFonts w:hAnsi="宋体" w:cs="宋体"/>
                <w:color w:val="auto"/>
                <w:szCs w:val="21"/>
                <w:highlight w:val="none"/>
                <w:u w:val="none"/>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7ED14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B86D948">
            <w:pPr>
              <w:pStyle w:val="49"/>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4</w:t>
            </w:r>
          </w:p>
        </w:tc>
        <w:tc>
          <w:tcPr>
            <w:tcW w:w="1227" w:type="dxa"/>
            <w:tcBorders>
              <w:top w:val="single" w:color="auto" w:sz="4" w:space="0"/>
              <w:left w:val="single" w:color="auto" w:sz="4" w:space="0"/>
              <w:bottom w:val="single" w:color="auto" w:sz="4" w:space="0"/>
              <w:right w:val="single" w:color="auto" w:sz="4" w:space="0"/>
            </w:tcBorders>
            <w:vAlign w:val="center"/>
          </w:tcPr>
          <w:p w14:paraId="2A1EFAA3">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售后服务</w:t>
            </w:r>
          </w:p>
        </w:tc>
        <w:tc>
          <w:tcPr>
            <w:tcW w:w="883" w:type="dxa"/>
            <w:tcBorders>
              <w:top w:val="single" w:color="auto" w:sz="4" w:space="0"/>
              <w:left w:val="single" w:color="auto" w:sz="4" w:space="0"/>
              <w:bottom w:val="single" w:color="auto" w:sz="4" w:space="0"/>
              <w:right w:val="single" w:color="auto" w:sz="4" w:space="0"/>
            </w:tcBorders>
            <w:vAlign w:val="center"/>
          </w:tcPr>
          <w:p w14:paraId="5F86E2C5">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798CDDE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根据各投标人提供的售后服务方案（包括售后响应时间、技术支持和售后服务计划、质保期外的维修服务收费标准、服务质量保证、应急方案）进行</w:t>
            </w:r>
            <w:r>
              <w:rPr>
                <w:rFonts w:hint="eastAsia" w:ascii="宋体" w:hAnsi="宋体" w:eastAsia="宋体" w:cs="宋体"/>
                <w:color w:val="auto"/>
                <w:szCs w:val="21"/>
                <w:highlight w:val="none"/>
                <w:u w:val="none"/>
                <w:lang w:eastAsia="zh-CN"/>
              </w:rPr>
              <w:t>评审</w:t>
            </w:r>
            <w:r>
              <w:rPr>
                <w:rFonts w:hint="eastAsia" w:ascii="宋体" w:hAnsi="宋体" w:eastAsia="宋体" w:cs="宋体"/>
                <w:color w:val="auto"/>
                <w:szCs w:val="21"/>
                <w:highlight w:val="none"/>
                <w:u w:val="none"/>
              </w:rPr>
              <w:t>：</w:t>
            </w:r>
          </w:p>
          <w:p w14:paraId="510F2FB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①售后服务方案保障措施详细完整，</w:t>
            </w:r>
            <w:r>
              <w:rPr>
                <w:rFonts w:hint="eastAsia" w:ascii="宋体" w:hAnsi="宋体" w:eastAsia="宋体" w:cs="宋体"/>
                <w:color w:val="auto"/>
                <w:szCs w:val="21"/>
                <w:highlight w:val="none"/>
                <w:u w:val="none"/>
                <w:lang w:eastAsia="zh-CN"/>
              </w:rPr>
              <w:t>科学合理，</w:t>
            </w:r>
            <w:r>
              <w:rPr>
                <w:rFonts w:hint="eastAsia" w:ascii="宋体" w:hAnsi="宋体" w:eastAsia="宋体" w:cs="宋体"/>
                <w:color w:val="auto"/>
                <w:szCs w:val="21"/>
                <w:highlight w:val="none"/>
                <w:u w:val="none"/>
              </w:rPr>
              <w:t>切实可行的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eastAsia="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p>
          <w:p w14:paraId="5D5B5F4E">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②售后服务方案保障措施基本完整，</w:t>
            </w:r>
            <w:r>
              <w:rPr>
                <w:rFonts w:hint="eastAsia" w:ascii="宋体" w:hAnsi="宋体" w:eastAsia="宋体" w:cs="宋体"/>
                <w:color w:val="auto"/>
                <w:szCs w:val="21"/>
                <w:highlight w:val="none"/>
                <w:u w:val="none"/>
                <w:lang w:eastAsia="zh-CN"/>
              </w:rPr>
              <w:t>较科学合理，</w:t>
            </w:r>
            <w:r>
              <w:rPr>
                <w:rFonts w:hint="eastAsia" w:ascii="宋体" w:hAnsi="宋体" w:eastAsia="宋体" w:cs="宋体"/>
                <w:color w:val="auto"/>
                <w:szCs w:val="21"/>
                <w:highlight w:val="none"/>
                <w:u w:val="none"/>
              </w:rPr>
              <w:t>可行性</w:t>
            </w:r>
            <w:r>
              <w:rPr>
                <w:rFonts w:hint="eastAsia" w:ascii="宋体" w:hAnsi="宋体" w:eastAsia="宋体" w:cs="宋体"/>
                <w:color w:val="auto"/>
                <w:szCs w:val="21"/>
                <w:highlight w:val="none"/>
                <w:u w:val="none"/>
                <w:lang w:val="en-US" w:eastAsia="zh-CN"/>
              </w:rPr>
              <w:t>较强</w:t>
            </w:r>
            <w:r>
              <w:rPr>
                <w:rFonts w:hint="eastAsia" w:ascii="宋体" w:hAnsi="宋体" w:eastAsia="宋体" w:cs="宋体"/>
                <w:color w:val="auto"/>
                <w:szCs w:val="21"/>
                <w:highlight w:val="none"/>
                <w:u w:val="none"/>
              </w:rPr>
              <w:t>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p>
          <w:p w14:paraId="6A8B6C83">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③售后服务方案保障措施可行性</w:t>
            </w:r>
            <w:r>
              <w:rPr>
                <w:rFonts w:hint="eastAsia" w:ascii="宋体" w:hAnsi="宋体" w:eastAsia="宋体" w:cs="宋体"/>
                <w:color w:val="auto"/>
                <w:szCs w:val="21"/>
                <w:highlight w:val="none"/>
                <w:u w:val="none"/>
                <w:lang w:eastAsia="zh-CN"/>
              </w:rPr>
              <w:t>一般，合理性一般，不太可行的，得</w:t>
            </w:r>
            <w:r>
              <w:rPr>
                <w:rFonts w:hint="eastAsia" w:ascii="宋体" w:hAnsi="宋体" w:eastAsia="宋体" w:cs="宋体"/>
                <w:color w:val="auto"/>
                <w:szCs w:val="21"/>
                <w:highlight w:val="none"/>
                <w:u w:val="none"/>
                <w:lang w:val="en-US" w:eastAsia="zh-CN"/>
              </w:rPr>
              <w:t>3分</w:t>
            </w:r>
            <w:r>
              <w:rPr>
                <w:rFonts w:hint="eastAsia" w:ascii="宋体" w:hAnsi="宋体" w:eastAsia="宋体" w:cs="宋体"/>
                <w:color w:val="auto"/>
                <w:szCs w:val="21"/>
                <w:highlight w:val="none"/>
                <w:u w:val="none"/>
                <w:lang w:eastAsia="zh-CN"/>
              </w:rPr>
              <w:t>；</w:t>
            </w:r>
          </w:p>
          <w:p w14:paraId="131D1BCC">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lang w:eastAsia="zh-CN"/>
              </w:rPr>
              <w:t>④</w:t>
            </w:r>
            <w:r>
              <w:rPr>
                <w:rFonts w:hint="eastAsia" w:ascii="宋体" w:hAnsi="宋体" w:eastAsia="宋体" w:cs="宋体"/>
                <w:color w:val="auto"/>
                <w:szCs w:val="21"/>
                <w:highlight w:val="none"/>
                <w:u w:val="none"/>
              </w:rPr>
              <w:t>售后服务方案保障措施可行性</w:t>
            </w:r>
            <w:r>
              <w:rPr>
                <w:rFonts w:hint="eastAsia" w:ascii="宋体" w:hAnsi="宋体" w:eastAsia="宋体" w:cs="宋体"/>
                <w:color w:val="auto"/>
                <w:szCs w:val="21"/>
                <w:highlight w:val="none"/>
                <w:u w:val="none"/>
                <w:lang w:eastAsia="zh-CN"/>
              </w:rPr>
              <w:t>差，不合理的，不可行的，得</w:t>
            </w:r>
            <w:r>
              <w:rPr>
                <w:rFonts w:hint="eastAsia" w:ascii="宋体" w:hAnsi="宋体" w:eastAsia="宋体" w:cs="宋体"/>
                <w:color w:val="auto"/>
                <w:szCs w:val="21"/>
                <w:highlight w:val="none"/>
                <w:u w:val="none"/>
                <w:lang w:val="en-US" w:eastAsia="zh-CN"/>
              </w:rPr>
              <w:t>1分</w:t>
            </w:r>
            <w:r>
              <w:rPr>
                <w:rFonts w:hint="eastAsia" w:ascii="宋体" w:hAnsi="宋体" w:eastAsia="宋体" w:cs="宋体"/>
                <w:color w:val="auto"/>
                <w:szCs w:val="21"/>
                <w:highlight w:val="none"/>
                <w:u w:val="none"/>
                <w:lang w:eastAsia="zh-CN"/>
              </w:rPr>
              <w:t>；</w:t>
            </w:r>
          </w:p>
          <w:p w14:paraId="7C5CF488">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w:t>
            </w:r>
            <w:r>
              <w:rPr>
                <w:rFonts w:hint="eastAsia" w:ascii="宋体" w:hAnsi="宋体" w:eastAsia="宋体" w:cs="宋体"/>
                <w:color w:val="auto"/>
                <w:szCs w:val="21"/>
                <w:highlight w:val="none"/>
                <w:u w:val="none"/>
                <w:lang w:eastAsia="zh-CN"/>
              </w:rPr>
              <w:t>相关方案的</w:t>
            </w:r>
            <w:r>
              <w:rPr>
                <w:rFonts w:hint="eastAsia" w:ascii="宋体" w:hAnsi="宋体" w:eastAsia="宋体" w:cs="宋体"/>
                <w:color w:val="auto"/>
                <w:szCs w:val="21"/>
                <w:highlight w:val="none"/>
                <w:u w:val="none"/>
              </w:rPr>
              <w:t>，不得分</w:t>
            </w:r>
            <w:r>
              <w:rPr>
                <w:rFonts w:hint="eastAsia" w:ascii="宋体" w:hAnsi="宋体" w:eastAsia="宋体" w:cs="宋体"/>
                <w:color w:val="auto"/>
                <w:szCs w:val="21"/>
                <w:highlight w:val="none"/>
                <w:u w:val="none"/>
                <w:lang w:eastAsia="zh-CN"/>
              </w:rPr>
              <w:t>。</w:t>
            </w:r>
          </w:p>
        </w:tc>
      </w:tr>
      <w:tr w14:paraId="5C27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B91853B">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5B4B1674">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6B5CB46D">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tc>
      </w:tr>
      <w:tr w14:paraId="5BAF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60A3365">
            <w:pPr>
              <w:pStyle w:val="49"/>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50</w:t>
            </w:r>
            <w:r>
              <w:rPr>
                <w:rFonts w:hint="eastAsia" w:ascii="宋体" w:eastAsia="宋体" w:cs="宋体"/>
                <w:b/>
                <w:bCs/>
                <w:color w:val="auto"/>
                <w:sz w:val="21"/>
                <w:szCs w:val="21"/>
                <w:highlight w:val="none"/>
              </w:rPr>
              <w:t>分）</w:t>
            </w:r>
          </w:p>
        </w:tc>
      </w:tr>
      <w:tr w14:paraId="51CD8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0C646A3">
            <w:pPr>
              <w:pStyle w:val="49"/>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bottom w:val="single" w:color="auto" w:sz="4" w:space="0"/>
              <w:right w:val="single" w:color="auto" w:sz="4" w:space="0"/>
            </w:tcBorders>
            <w:vAlign w:val="center"/>
          </w:tcPr>
          <w:p w14:paraId="6D7FAE4D">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883" w:type="dxa"/>
            <w:tcBorders>
              <w:top w:val="single" w:color="auto" w:sz="4" w:space="0"/>
              <w:left w:val="single" w:color="auto" w:sz="4" w:space="0"/>
              <w:bottom w:val="single" w:color="auto" w:sz="4" w:space="0"/>
              <w:right w:val="single" w:color="auto" w:sz="4" w:space="0"/>
            </w:tcBorders>
            <w:vAlign w:val="center"/>
          </w:tcPr>
          <w:p w14:paraId="4472B858">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50</w:t>
            </w:r>
            <w:r>
              <w:rPr>
                <w:rFonts w:ascii="宋体" w:hAnsi="宋体" w:cs="宋体"/>
                <w:color w:val="auto"/>
                <w:kern w:val="2"/>
                <w:szCs w:val="21"/>
                <w:highlight w:val="none"/>
              </w:rPr>
              <w:t xml:space="preserve"> </w:t>
            </w:r>
          </w:p>
        </w:tc>
        <w:tc>
          <w:tcPr>
            <w:tcW w:w="5722" w:type="dxa"/>
            <w:tcBorders>
              <w:top w:val="single" w:color="auto" w:sz="4" w:space="0"/>
              <w:left w:val="single" w:color="auto" w:sz="4" w:space="0"/>
              <w:bottom w:val="single" w:color="auto" w:sz="4" w:space="0"/>
              <w:right w:val="single" w:color="auto" w:sz="4" w:space="0"/>
            </w:tcBorders>
            <w:vAlign w:val="center"/>
          </w:tcPr>
          <w:p w14:paraId="2D28C7D6">
            <w:pPr>
              <w:widowControl w:val="0"/>
              <w:adjustRightInd/>
              <w:snapToGrid/>
              <w:ind w:firstLine="420" w:firstLineChars="200"/>
              <w:rPr>
                <w:rFonts w:hint="default" w:ascii="宋体" w:hAnsi="宋体" w:cs="宋体" w:eastAsiaTheme="minorEastAsia"/>
                <w:color w:val="auto"/>
                <w:kern w:val="2"/>
                <w:szCs w:val="21"/>
                <w:highlight w:val="none"/>
                <w:lang w:val="en-US" w:eastAsia="zh-CN"/>
              </w:rPr>
            </w:pPr>
            <w:r>
              <w:rPr>
                <w:rFonts w:hint="eastAsia" w:ascii="宋体" w:hAnsi="宋体" w:cs="宋体"/>
                <w:color w:val="auto"/>
                <w:kern w:val="2"/>
                <w:szCs w:val="21"/>
                <w:highlight w:val="none"/>
                <w:lang w:val="zh-CN"/>
              </w:rPr>
              <w:t>满足采购文件要求，排除下浮率最高和最低的报价，剩余的投标人下浮率最高的为评标基准价，评标基准价与下浮率最高的投标人价格分均为满分。其余投标人的价格分（结果四舍五入后保留两位小数）统一按照下列公式计算：计算公式为：价格得分 = 50 -（评标基准价 - 投标人下浮率）÷1% ×2，价格得分最低为0分</w:t>
            </w:r>
            <w:r>
              <w:rPr>
                <w:rFonts w:hint="eastAsia" w:ascii="宋体" w:hAnsi="宋体" w:cs="宋体"/>
                <w:color w:val="auto"/>
                <w:kern w:val="2"/>
                <w:szCs w:val="21"/>
                <w:highlight w:val="none"/>
                <w:lang w:val="en-US" w:eastAsia="zh-CN"/>
              </w:rPr>
              <w:t>。</w:t>
            </w:r>
          </w:p>
        </w:tc>
      </w:tr>
    </w:tbl>
    <w:p w14:paraId="0AC68F04">
      <w:pPr>
        <w:ind w:firstLine="420" w:firstLineChars="200"/>
        <w:rPr>
          <w:color w:val="auto"/>
          <w:highlight w:val="none"/>
        </w:rPr>
      </w:pPr>
      <w:r>
        <w:rPr>
          <w:rFonts w:hint="eastAsia"/>
          <w:color w:val="auto"/>
          <w:highlight w:val="none"/>
        </w:rPr>
        <w:br w:type="page"/>
      </w:r>
    </w:p>
    <w:p w14:paraId="213775FE">
      <w:pPr>
        <w:pStyle w:val="4"/>
        <w:spacing w:before="0" w:after="0" w:line="240" w:lineRule="auto"/>
        <w:rPr>
          <w:color w:val="auto"/>
          <w:sz w:val="36"/>
          <w:szCs w:val="36"/>
          <w:highlight w:val="none"/>
        </w:rPr>
      </w:pPr>
      <w:bookmarkStart w:id="6" w:name="_Toc7985"/>
      <w:r>
        <w:rPr>
          <w:rFonts w:hint="eastAsia"/>
          <w:color w:val="auto"/>
          <w:sz w:val="28"/>
          <w:szCs w:val="28"/>
          <w:highlight w:val="none"/>
        </w:rPr>
        <w:t>第三部分用户需求书</w:t>
      </w:r>
      <w:bookmarkEnd w:id="6"/>
    </w:p>
    <w:p w14:paraId="154AA7D7">
      <w:pPr>
        <w:pStyle w:val="5"/>
        <w:spacing w:before="0" w:after="0" w:line="360" w:lineRule="auto"/>
        <w:jc w:val="center"/>
        <w:rPr>
          <w:color w:val="auto"/>
          <w:highlight w:val="none"/>
        </w:rPr>
      </w:pPr>
      <w:bookmarkStart w:id="7" w:name="_Toc23116"/>
      <w:bookmarkStart w:id="8" w:name="_Toc1593"/>
      <w:bookmarkStart w:id="9" w:name="_Toc14462"/>
      <w:bookmarkStart w:id="10" w:name="_Toc13112"/>
      <w:bookmarkStart w:id="11" w:name="_Toc24679"/>
      <w:bookmarkStart w:id="12" w:name="_Toc308786492"/>
      <w:bookmarkStart w:id="13" w:name="_Toc31278"/>
      <w:r>
        <w:rPr>
          <w:rFonts w:hint="eastAsia" w:ascii="宋体" w:hAnsi="宋体"/>
          <w:color w:val="auto"/>
          <w:highlight w:val="none"/>
        </w:rPr>
        <w:t>第一章 商务需求书</w:t>
      </w:r>
      <w:bookmarkEnd w:id="7"/>
      <w:bookmarkEnd w:id="8"/>
    </w:p>
    <w:p w14:paraId="0379EB07">
      <w:pPr>
        <w:rPr>
          <w:rFonts w:hint="eastAsia"/>
          <w:color w:val="auto"/>
          <w:highlight w:val="none"/>
          <w:u w:val="none"/>
        </w:rPr>
      </w:pPr>
      <w:r>
        <w:rPr>
          <w:rFonts w:hint="eastAsia" w:ascii="宋体" w:hAnsi="宋体" w:eastAsia="宋体" w:cs="宋体"/>
          <w:color w:val="auto"/>
          <w:sz w:val="21"/>
          <w:szCs w:val="21"/>
          <w:highlight w:val="none"/>
        </w:rPr>
        <w:t>项目名称：</w:t>
      </w:r>
      <w:r>
        <w:rPr>
          <w:rFonts w:hint="eastAsia" w:ascii="宋体" w:hAnsi="宋体" w:cs="宋体"/>
          <w:b/>
          <w:color w:val="auto"/>
          <w:sz w:val="21"/>
          <w:szCs w:val="21"/>
          <w:highlight w:val="none"/>
          <w:u w:val="none"/>
          <w:lang w:eastAsia="zh-CN"/>
        </w:rPr>
        <w:t>东莞市新锋新能源有限公司裕隆厂区分布式光伏发电项目</w:t>
      </w:r>
    </w:p>
    <w:tbl>
      <w:tblPr>
        <w:tblStyle w:val="30"/>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3059E3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trPr>
        <w:tc>
          <w:tcPr>
            <w:tcW w:w="718" w:type="dxa"/>
            <w:vAlign w:val="center"/>
          </w:tcPr>
          <w:p w14:paraId="7EB5ED69">
            <w:pPr>
              <w:jc w:val="center"/>
              <w:rPr>
                <w:rFonts w:hint="eastAsia" w:ascii="宋体" w:hAnsi="宋体" w:eastAsia="宋体" w:cs="宋体"/>
                <w:b/>
                <w:bCs/>
                <w:color w:val="auto"/>
                <w:szCs w:val="21"/>
                <w:highlight w:val="none"/>
              </w:rPr>
            </w:pPr>
            <w:bookmarkStart w:id="14" w:name="_Toc19316"/>
            <w:r>
              <w:rPr>
                <w:rFonts w:hint="eastAsia" w:ascii="宋体" w:hAnsi="宋体" w:eastAsia="宋体" w:cs="宋体"/>
                <w:b/>
                <w:bCs/>
                <w:color w:val="auto"/>
                <w:szCs w:val="21"/>
                <w:highlight w:val="none"/>
              </w:rPr>
              <w:t>序号</w:t>
            </w:r>
          </w:p>
        </w:tc>
        <w:tc>
          <w:tcPr>
            <w:tcW w:w="1501" w:type="dxa"/>
            <w:vAlign w:val="center"/>
          </w:tcPr>
          <w:p w14:paraId="5DB327E2">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条款名称</w:t>
            </w:r>
          </w:p>
        </w:tc>
        <w:tc>
          <w:tcPr>
            <w:tcW w:w="6466" w:type="dxa"/>
            <w:vAlign w:val="center"/>
          </w:tcPr>
          <w:p w14:paraId="41F71BC9">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  明</w:t>
            </w:r>
          </w:p>
        </w:tc>
      </w:tr>
      <w:tr w14:paraId="4CDE49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9" w:hRule="atLeast"/>
        </w:trPr>
        <w:tc>
          <w:tcPr>
            <w:tcW w:w="718" w:type="dxa"/>
            <w:vAlign w:val="center"/>
          </w:tcPr>
          <w:p w14:paraId="6F25A97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501" w:type="dxa"/>
            <w:vAlign w:val="center"/>
          </w:tcPr>
          <w:p w14:paraId="414225C4">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eastAsia="zh-CN"/>
              </w:rPr>
              <w:t>完工期</w:t>
            </w:r>
          </w:p>
        </w:tc>
        <w:tc>
          <w:tcPr>
            <w:tcW w:w="6466" w:type="dxa"/>
            <w:vAlign w:val="center"/>
          </w:tcPr>
          <w:p w14:paraId="56792873">
            <w:pPr>
              <w:pStyle w:val="43"/>
              <w:spacing w:line="360" w:lineRule="auto"/>
              <w:ind w:firstLine="420" w:firstLineChars="20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130</w:t>
            </w:r>
            <w:r>
              <w:rPr>
                <w:rFonts w:hint="eastAsia" w:ascii="宋体" w:hAnsi="宋体" w:eastAsia="宋体" w:cs="宋体"/>
                <w:color w:val="auto"/>
                <w:kern w:val="2"/>
                <w:sz w:val="21"/>
                <w:szCs w:val="21"/>
                <w:highlight w:val="none"/>
              </w:rPr>
              <w:t>天内完成（包括</w:t>
            </w:r>
            <w:r>
              <w:rPr>
                <w:rFonts w:hint="eastAsia" w:ascii="宋体" w:hAnsi="宋体" w:eastAsia="宋体" w:cs="宋体"/>
                <w:color w:val="auto"/>
                <w:kern w:val="2"/>
                <w:sz w:val="21"/>
                <w:szCs w:val="21"/>
                <w:highlight w:val="none"/>
                <w:lang w:eastAsia="zh-CN"/>
              </w:rPr>
              <w:t>设计、</w:t>
            </w:r>
            <w:r>
              <w:rPr>
                <w:rFonts w:hint="eastAsia" w:ascii="宋体" w:hAnsi="宋体" w:eastAsia="宋体" w:cs="宋体"/>
                <w:color w:val="auto"/>
                <w:kern w:val="2"/>
                <w:sz w:val="21"/>
                <w:szCs w:val="21"/>
                <w:highlight w:val="none"/>
              </w:rPr>
              <w:t>供货、</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、调试、验收</w:t>
            </w:r>
            <w:r>
              <w:rPr>
                <w:rFonts w:hint="eastAsia" w:ascii="宋体" w:hAnsi="宋体" w:eastAsia="宋体" w:cs="宋体"/>
                <w:color w:val="auto"/>
                <w:kern w:val="2"/>
                <w:sz w:val="21"/>
                <w:szCs w:val="21"/>
                <w:highlight w:val="none"/>
                <w:lang w:eastAsia="zh-CN"/>
              </w:rPr>
              <w:t>等</w:t>
            </w:r>
            <w:r>
              <w:rPr>
                <w:rFonts w:hint="eastAsia" w:ascii="宋体" w:hAnsi="宋体" w:eastAsia="宋体" w:cs="宋体"/>
                <w:color w:val="auto"/>
                <w:kern w:val="2"/>
                <w:sz w:val="21"/>
                <w:szCs w:val="21"/>
                <w:highlight w:val="none"/>
              </w:rPr>
              <w:t>工作）</w:t>
            </w:r>
            <w:r>
              <w:rPr>
                <w:rFonts w:hint="eastAsia" w:ascii="宋体" w:hAnsi="宋体" w:eastAsia="宋体" w:cs="宋体"/>
                <w:color w:val="auto"/>
                <w:kern w:val="2"/>
                <w:sz w:val="21"/>
                <w:szCs w:val="21"/>
                <w:highlight w:val="none"/>
                <w:lang w:eastAsia="zh-CN"/>
              </w:rPr>
              <w:t>。</w:t>
            </w:r>
          </w:p>
        </w:tc>
      </w:tr>
      <w:tr w14:paraId="2D636A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9" w:hRule="atLeast"/>
        </w:trPr>
        <w:tc>
          <w:tcPr>
            <w:tcW w:w="718" w:type="dxa"/>
            <w:vAlign w:val="center"/>
          </w:tcPr>
          <w:p w14:paraId="359CCE32">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1501" w:type="dxa"/>
            <w:vAlign w:val="center"/>
          </w:tcPr>
          <w:p w14:paraId="44DBB165">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项目地点</w:t>
            </w:r>
          </w:p>
        </w:tc>
        <w:tc>
          <w:tcPr>
            <w:tcW w:w="6466" w:type="dxa"/>
            <w:vAlign w:val="center"/>
          </w:tcPr>
          <w:p w14:paraId="25D2B618">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采购人指定地点。</w:t>
            </w:r>
          </w:p>
        </w:tc>
      </w:tr>
      <w:tr w14:paraId="37705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19" w:hRule="atLeast"/>
        </w:trPr>
        <w:tc>
          <w:tcPr>
            <w:tcW w:w="718" w:type="dxa"/>
            <w:vAlign w:val="center"/>
          </w:tcPr>
          <w:p w14:paraId="32E4FE7C">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1501" w:type="dxa"/>
            <w:vAlign w:val="center"/>
          </w:tcPr>
          <w:p w14:paraId="2A4B2FF2">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报价要求</w:t>
            </w:r>
          </w:p>
        </w:tc>
        <w:tc>
          <w:tcPr>
            <w:tcW w:w="6466" w:type="dxa"/>
            <w:vAlign w:val="center"/>
          </w:tcPr>
          <w:p w14:paraId="2EC35E1E">
            <w:pPr>
              <w:pStyle w:val="10"/>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投标报价应包括本次采购所有服务内容的费用，包括但不限于</w:t>
            </w:r>
            <w:r>
              <w:rPr>
                <w:rFonts w:hint="eastAsia" w:ascii="宋体" w:hAnsi="宋体" w:cs="宋体"/>
                <w:color w:val="auto"/>
                <w:szCs w:val="21"/>
                <w:highlight w:val="none"/>
                <w:lang w:eastAsia="zh-CN"/>
              </w:rPr>
              <w:t>设计费、</w:t>
            </w:r>
            <w:r>
              <w:rPr>
                <w:rFonts w:hint="eastAsia" w:ascii="宋体" w:hAnsi="宋体" w:eastAsia="宋体" w:cs="宋体"/>
                <w:color w:val="auto"/>
                <w:szCs w:val="21"/>
                <w:highlight w:val="none"/>
              </w:rPr>
              <w:t>人工、材料、成本、利润、机械设备使用费、措施费、税费以及合同实施过程中的不可预见费用等全部费用。</w:t>
            </w:r>
          </w:p>
          <w:p w14:paraId="4993938A">
            <w:pPr>
              <w:pStyle w:val="10"/>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 w:val="21"/>
                <w:szCs w:val="21"/>
                <w:highlight w:val="none"/>
                <w:lang w:val="en-US" w:eastAsia="zh-CN" w:bidi="zh-CN"/>
              </w:rPr>
              <w:t>2、</w:t>
            </w:r>
            <w:r>
              <w:rPr>
                <w:rFonts w:hint="eastAsia" w:ascii="宋体" w:hAnsi="宋体" w:eastAsia="宋体" w:cs="宋体"/>
                <w:color w:val="auto"/>
                <w:sz w:val="21"/>
                <w:szCs w:val="21"/>
                <w:highlight w:val="none"/>
                <w:lang w:val="en-US" w:eastAsia="zh-CN" w:bidi="zh-CN"/>
              </w:rPr>
              <w:t>设计费报价已包括完成本项目所有设计内容及文件要求的费用，供应商已在报价中考虑所有相关费用，不论</w:t>
            </w:r>
            <w:r>
              <w:rPr>
                <w:rFonts w:hint="eastAsia" w:ascii="宋体" w:hAnsi="宋体" w:cs="宋体"/>
                <w:color w:val="auto"/>
                <w:sz w:val="21"/>
                <w:szCs w:val="21"/>
                <w:highlight w:val="none"/>
                <w:lang w:val="en-US" w:eastAsia="zh-CN" w:bidi="zh-CN"/>
              </w:rPr>
              <w:t>投标人</w:t>
            </w:r>
            <w:r>
              <w:rPr>
                <w:rFonts w:hint="eastAsia" w:ascii="宋体" w:hAnsi="宋体" w:eastAsia="宋体" w:cs="宋体"/>
                <w:color w:val="auto"/>
                <w:sz w:val="21"/>
                <w:szCs w:val="21"/>
                <w:highlight w:val="none"/>
                <w:lang w:val="en-US" w:eastAsia="zh-CN" w:bidi="zh-CN"/>
              </w:rPr>
              <w:t>报价表是否有相应报价，其费用均视为已包含在报价中，采购人不另行计量支付。</w:t>
            </w:r>
          </w:p>
          <w:p w14:paraId="32516C47">
            <w:pPr>
              <w:pStyle w:val="10"/>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、本项目</w:t>
            </w:r>
            <w:r>
              <w:rPr>
                <w:rFonts w:hint="eastAsia" w:ascii="宋体" w:hAnsi="宋体" w:cs="宋体"/>
                <w:color w:val="auto"/>
                <w:szCs w:val="21"/>
                <w:highlight w:val="none"/>
                <w:lang w:val="en-US" w:eastAsia="zh-CN"/>
              </w:rPr>
              <w:t>安全防护费</w:t>
            </w:r>
            <w:r>
              <w:rPr>
                <w:rFonts w:hint="eastAsia" w:ascii="宋体" w:hAnsi="宋体" w:eastAsia="宋体" w:cs="宋体"/>
                <w:color w:val="auto"/>
                <w:szCs w:val="21"/>
                <w:highlight w:val="none"/>
                <w:lang w:val="en-US" w:eastAsia="zh-CN"/>
              </w:rPr>
              <w:t>：¥ 59,940.00元。</w:t>
            </w:r>
          </w:p>
          <w:p w14:paraId="642896B5">
            <w:pPr>
              <w:pStyle w:val="10"/>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4、单价上限表</w:t>
            </w:r>
          </w:p>
          <w:tbl>
            <w:tblPr>
              <w:tblStyle w:val="3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674"/>
              <w:gridCol w:w="855"/>
              <w:gridCol w:w="977"/>
              <w:gridCol w:w="1015"/>
              <w:gridCol w:w="1167"/>
              <w:gridCol w:w="1106"/>
            </w:tblGrid>
            <w:tr w14:paraId="37E8C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8" w:hRule="atLeast"/>
              </w:trPr>
              <w:tc>
                <w:tcPr>
                  <w:tcW w:w="3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A8CCD">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序号</w:t>
                  </w:r>
                </w:p>
              </w:tc>
              <w:tc>
                <w:tcPr>
                  <w:tcW w:w="1223" w:type="pct"/>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484F6104">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名称</w:t>
                  </w:r>
                </w:p>
              </w:tc>
              <w:tc>
                <w:tcPr>
                  <w:tcW w:w="7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6112C">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装机容量</w:t>
                  </w:r>
                </w:p>
                <w:p w14:paraId="0BEA1634">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（kWp）</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CCF19">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单价上限</w:t>
                  </w:r>
                  <w:r>
                    <w:rPr>
                      <w:rFonts w:hint="eastAsia" w:ascii="宋体" w:hAnsi="宋体" w:eastAsia="宋体" w:cs="宋体"/>
                      <w:b/>
                      <w:bCs/>
                      <w:i w:val="0"/>
                      <w:iCs w:val="0"/>
                      <w:color w:val="auto"/>
                      <w:kern w:val="0"/>
                      <w:sz w:val="16"/>
                      <w:szCs w:val="16"/>
                      <w:highlight w:val="none"/>
                      <w:u w:val="none"/>
                      <w:lang w:val="en-US" w:eastAsia="zh-CN" w:bidi="ar"/>
                    </w:rPr>
                    <w:br w:type="textWrapping"/>
                  </w:r>
                  <w:r>
                    <w:rPr>
                      <w:rFonts w:hint="eastAsia" w:ascii="宋体" w:hAnsi="宋体" w:eastAsia="宋体" w:cs="宋体"/>
                      <w:b/>
                      <w:bCs/>
                      <w:i w:val="0"/>
                      <w:iCs w:val="0"/>
                      <w:color w:val="auto"/>
                      <w:kern w:val="0"/>
                      <w:sz w:val="16"/>
                      <w:szCs w:val="16"/>
                      <w:highlight w:val="none"/>
                      <w:u w:val="none"/>
                      <w:lang w:val="en-US" w:eastAsia="zh-CN" w:bidi="ar"/>
                    </w:rPr>
                    <w:t>（元/Wp）</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DA143">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总价上限</w:t>
                  </w:r>
                </w:p>
                <w:p w14:paraId="7CA86B20">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（元）</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B5A68">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备注</w:t>
                  </w:r>
                </w:p>
              </w:tc>
            </w:tr>
            <w:tr w14:paraId="5B06B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36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1FD93179">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1</w:t>
                  </w:r>
                </w:p>
              </w:tc>
              <w:tc>
                <w:tcPr>
                  <w:tcW w:w="122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87BCC7">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平铺式（</w:t>
                  </w:r>
                  <w:r>
                    <w:rPr>
                      <w:rFonts w:hint="eastAsia" w:ascii="宋体" w:hAnsi="宋体" w:eastAsia="宋体" w:cs="宋体"/>
                      <w:i w:val="0"/>
                      <w:iCs w:val="0"/>
                      <w:color w:val="auto"/>
                      <w:kern w:val="2"/>
                      <w:sz w:val="16"/>
                      <w:szCs w:val="16"/>
                      <w:highlight w:val="none"/>
                      <w:u w:val="none"/>
                      <w:lang w:val="en-US" w:eastAsia="zh-CN" w:bidi="ar-SA"/>
                    </w:rPr>
                    <w:t>角驰型瓦夹具</w:t>
                  </w:r>
                  <w:r>
                    <w:rPr>
                      <w:rFonts w:hint="eastAsia" w:ascii="宋体" w:hAnsi="宋体" w:eastAsia="宋体" w:cs="宋体"/>
                      <w:i w:val="0"/>
                      <w:iCs w:val="0"/>
                      <w:color w:val="auto"/>
                      <w:kern w:val="0"/>
                      <w:sz w:val="16"/>
                      <w:szCs w:val="16"/>
                      <w:highlight w:val="none"/>
                      <w:u w:val="none"/>
                      <w:lang w:val="en-US" w:eastAsia="zh-CN" w:bidi="ar"/>
                    </w:rPr>
                    <w:t>）</w:t>
                  </w:r>
                </w:p>
              </w:tc>
              <w:tc>
                <w:tcPr>
                  <w:tcW w:w="782"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062B1326">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319.2</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10BDA">
                  <w:pPr>
                    <w:jc w:val="center"/>
                    <w:rPr>
                      <w:rFonts w:hint="eastAsia" w:ascii="宋体" w:hAnsi="宋体" w:eastAsia="宋体" w:cs="宋体"/>
                      <w:i w:val="0"/>
                      <w:iCs w:val="0"/>
                      <w:color w:val="auto"/>
                      <w:kern w:val="2"/>
                      <w:sz w:val="16"/>
                      <w:szCs w:val="16"/>
                      <w:highlight w:val="none"/>
                      <w:u w:val="none"/>
                      <w:lang w:val="en-US" w:eastAsia="zh-CN" w:bidi="ar-SA"/>
                    </w:rPr>
                  </w:pPr>
                  <w:r>
                    <w:rPr>
                      <w:rFonts w:hint="eastAsia" w:ascii="宋体" w:hAnsi="宋体" w:eastAsia="宋体" w:cs="宋体"/>
                      <w:i w:val="0"/>
                      <w:iCs w:val="0"/>
                      <w:color w:val="auto"/>
                      <w:kern w:val="2"/>
                      <w:sz w:val="16"/>
                      <w:szCs w:val="16"/>
                      <w:highlight w:val="none"/>
                      <w:u w:val="none"/>
                      <w:lang w:val="en-US" w:eastAsia="zh-CN" w:bidi="ar-SA"/>
                    </w:rPr>
                    <w:t>2.647</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A4E7">
                  <w:pPr>
                    <w:keepNext w:val="0"/>
                    <w:keepLines w:val="0"/>
                    <w:widowControl/>
                    <w:suppressLineNumbers w:val="0"/>
                    <w:jc w:val="center"/>
                    <w:textAlignment w:val="center"/>
                    <w:rPr>
                      <w:rFonts w:hint="eastAsia" w:ascii="宋体" w:hAnsi="宋体" w:eastAsia="宋体" w:cs="宋体"/>
                      <w:i w:val="0"/>
                      <w:iCs w:val="0"/>
                      <w:color w:val="auto"/>
                      <w:kern w:val="2"/>
                      <w:sz w:val="16"/>
                      <w:szCs w:val="16"/>
                      <w:highlight w:val="none"/>
                      <w:u w:val="none"/>
                      <w:lang w:val="en-US" w:eastAsia="zh-CN" w:bidi="ar-SA"/>
                    </w:rPr>
                  </w:pPr>
                  <w:r>
                    <w:rPr>
                      <w:rFonts w:hint="eastAsia" w:ascii="宋体" w:hAnsi="宋体" w:eastAsia="宋体" w:cs="宋体"/>
                      <w:i w:val="0"/>
                      <w:iCs w:val="0"/>
                      <w:color w:val="auto"/>
                      <w:kern w:val="2"/>
                      <w:sz w:val="16"/>
                      <w:szCs w:val="16"/>
                      <w:highlight w:val="none"/>
                      <w:u w:val="none"/>
                      <w:lang w:val="en-US" w:eastAsia="zh-CN" w:bidi="ar-SA"/>
                    </w:rPr>
                    <w:t>844,922.40</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CBF0">
                  <w:pPr>
                    <w:keepNext w:val="0"/>
                    <w:keepLines w:val="0"/>
                    <w:widowControl/>
                    <w:suppressLineNumbers w:val="0"/>
                    <w:jc w:val="center"/>
                    <w:textAlignment w:val="center"/>
                    <w:rPr>
                      <w:rFonts w:hint="eastAsia" w:ascii="宋体" w:hAnsi="宋体" w:eastAsia="宋体" w:cs="宋体"/>
                      <w:i w:val="0"/>
                      <w:iCs w:val="0"/>
                      <w:color w:val="auto"/>
                      <w:kern w:val="2"/>
                      <w:sz w:val="16"/>
                      <w:szCs w:val="16"/>
                      <w:highlight w:val="none"/>
                      <w:u w:val="none"/>
                      <w:lang w:val="en-US" w:eastAsia="zh-CN" w:bidi="ar-SA"/>
                    </w:rPr>
                  </w:pPr>
                  <w:r>
                    <w:rPr>
                      <w:rFonts w:hint="eastAsia" w:ascii="宋体" w:hAnsi="宋体" w:eastAsia="宋体" w:cs="宋体"/>
                      <w:i w:val="0"/>
                      <w:iCs w:val="0"/>
                      <w:color w:val="auto"/>
                      <w:kern w:val="2"/>
                      <w:sz w:val="16"/>
                      <w:szCs w:val="16"/>
                      <w:highlight w:val="none"/>
                      <w:u w:val="none"/>
                      <w:lang w:val="en-US" w:eastAsia="zh-CN" w:bidi="ar-SA"/>
                    </w:rPr>
                    <w:t>包干价，角驰型瓦夹具</w:t>
                  </w:r>
                </w:p>
              </w:tc>
            </w:tr>
            <w:tr w14:paraId="53173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36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3A5235DF">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2</w:t>
                  </w:r>
                </w:p>
              </w:tc>
              <w:tc>
                <w:tcPr>
                  <w:tcW w:w="122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2493385">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阵列式</w:t>
                  </w:r>
                </w:p>
              </w:tc>
              <w:tc>
                <w:tcPr>
                  <w:tcW w:w="782"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5001CB1F">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00AFE">
                  <w:pPr>
                    <w:jc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93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333B81B8">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881"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096693A8">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p>
              </w:tc>
            </w:tr>
            <w:tr w14:paraId="11339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36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058548B3">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3</w:t>
                  </w:r>
                </w:p>
              </w:tc>
              <w:tc>
                <w:tcPr>
                  <w:tcW w:w="122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D8922EE">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棚架式（方通）</w:t>
                  </w:r>
                </w:p>
              </w:tc>
              <w:tc>
                <w:tcPr>
                  <w:tcW w:w="782"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40A108C9">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80.4</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98744">
                  <w:pPr>
                    <w:jc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3.215</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6C6EF">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258,486.00</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CBA1B">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包干价，方通</w:t>
                  </w:r>
                </w:p>
              </w:tc>
            </w:tr>
            <w:tr w14:paraId="45F1C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364" w:type="pct"/>
                  <w:vMerge w:val="restart"/>
                  <w:tcBorders>
                    <w:top w:val="single" w:color="auto" w:sz="4" w:space="0"/>
                    <w:left w:val="single" w:color="auto" w:sz="4" w:space="0"/>
                    <w:right w:val="single" w:color="auto" w:sz="4" w:space="0"/>
                  </w:tcBorders>
                  <w:shd w:val="clear" w:color="auto" w:fill="auto"/>
                  <w:noWrap/>
                  <w:vAlign w:val="center"/>
                </w:tcPr>
                <w:p w14:paraId="72C219A8">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4</w:t>
                  </w:r>
                </w:p>
              </w:tc>
              <w:tc>
                <w:tcPr>
                  <w:tcW w:w="539" w:type="pct"/>
                  <w:vMerge w:val="restart"/>
                  <w:tcBorders>
                    <w:top w:val="single" w:color="auto" w:sz="4" w:space="0"/>
                    <w:left w:val="single" w:color="auto" w:sz="4" w:space="0"/>
                    <w:right w:val="single" w:color="auto" w:sz="4" w:space="0"/>
                  </w:tcBorders>
                  <w:shd w:val="clear" w:color="auto" w:fill="auto"/>
                  <w:vAlign w:val="center"/>
                </w:tcPr>
                <w:p w14:paraId="09D71997">
                  <w:pPr>
                    <w:jc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其他</w:t>
                  </w:r>
                </w:p>
              </w:tc>
              <w:tc>
                <w:tcPr>
                  <w:tcW w:w="684" w:type="pct"/>
                  <w:tcBorders>
                    <w:top w:val="single" w:color="auto" w:sz="4" w:space="0"/>
                    <w:left w:val="single" w:color="auto" w:sz="4" w:space="0"/>
                    <w:bottom w:val="single" w:color="auto" w:sz="4" w:space="0"/>
                    <w:right w:val="single" w:color="auto" w:sz="4" w:space="0"/>
                  </w:tcBorders>
                  <w:shd w:val="clear" w:color="auto" w:fill="auto"/>
                  <w:vAlign w:val="center"/>
                </w:tcPr>
                <w:p w14:paraId="703E49BB">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简易结构加固</w:t>
                  </w:r>
                </w:p>
              </w:tc>
              <w:tc>
                <w:tcPr>
                  <w:tcW w:w="782" w:type="pct"/>
                  <w:vMerge w:val="restart"/>
                  <w:tcBorders>
                    <w:left w:val="single" w:color="auto" w:sz="4" w:space="0"/>
                    <w:right w:val="single" w:color="000000" w:sz="4" w:space="0"/>
                  </w:tcBorders>
                  <w:shd w:val="clear" w:color="auto" w:fill="auto"/>
                  <w:noWrap/>
                  <w:vAlign w:val="center"/>
                </w:tcPr>
                <w:p w14:paraId="7E0A1928">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399.6</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998E">
                  <w:pPr>
                    <w:jc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0.195</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A4B54">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77,922.00</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5779">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不上人彩钢瓦屋顶需要，加固面积约2600㎡，含加固设计费与审图费、檩条增加</w:t>
                  </w:r>
                </w:p>
              </w:tc>
            </w:tr>
            <w:tr w14:paraId="3EB29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364" w:type="pct"/>
                  <w:vMerge w:val="continue"/>
                  <w:tcBorders>
                    <w:left w:val="single" w:color="auto" w:sz="4" w:space="0"/>
                    <w:right w:val="single" w:color="auto" w:sz="4" w:space="0"/>
                  </w:tcBorders>
                  <w:shd w:val="clear" w:color="auto" w:fill="auto"/>
                  <w:noWrap/>
                  <w:vAlign w:val="center"/>
                </w:tcPr>
                <w:p w14:paraId="6A054D1D">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p>
              </w:tc>
              <w:tc>
                <w:tcPr>
                  <w:tcW w:w="539" w:type="pct"/>
                  <w:vMerge w:val="continue"/>
                  <w:tcBorders>
                    <w:left w:val="single" w:color="auto" w:sz="4" w:space="0"/>
                    <w:right w:val="single" w:color="auto" w:sz="4" w:space="0"/>
                  </w:tcBorders>
                  <w:shd w:val="clear" w:color="auto" w:fill="auto"/>
                  <w:vAlign w:val="center"/>
                </w:tcPr>
                <w:p w14:paraId="650C8ECD">
                  <w:pPr>
                    <w:jc w:val="center"/>
                    <w:rPr>
                      <w:rFonts w:hint="eastAsia" w:ascii="宋体" w:hAnsi="宋体" w:eastAsia="宋体" w:cs="宋体"/>
                      <w:i w:val="0"/>
                      <w:iCs w:val="0"/>
                      <w:color w:val="auto"/>
                      <w:kern w:val="0"/>
                      <w:sz w:val="16"/>
                      <w:szCs w:val="16"/>
                      <w:highlight w:val="none"/>
                      <w:u w:val="none"/>
                      <w:lang w:val="en-US" w:eastAsia="zh-CN" w:bidi="ar"/>
                    </w:rPr>
                  </w:pPr>
                </w:p>
              </w:tc>
              <w:tc>
                <w:tcPr>
                  <w:tcW w:w="684" w:type="pct"/>
                  <w:tcBorders>
                    <w:top w:val="single" w:color="auto" w:sz="4" w:space="0"/>
                    <w:left w:val="single" w:color="auto" w:sz="4" w:space="0"/>
                    <w:bottom w:val="single" w:color="auto" w:sz="4" w:space="0"/>
                    <w:right w:val="single" w:color="auto" w:sz="4" w:space="0"/>
                  </w:tcBorders>
                  <w:shd w:val="clear" w:color="auto" w:fill="auto"/>
                  <w:vAlign w:val="center"/>
                </w:tcPr>
                <w:p w14:paraId="29A61AA1">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配电设备改造</w:t>
                  </w:r>
                </w:p>
              </w:tc>
              <w:tc>
                <w:tcPr>
                  <w:tcW w:w="782" w:type="pct"/>
                  <w:vMerge w:val="continue"/>
                  <w:tcBorders>
                    <w:left w:val="single" w:color="auto" w:sz="4" w:space="0"/>
                    <w:right w:val="single" w:color="000000" w:sz="4" w:space="0"/>
                  </w:tcBorders>
                  <w:shd w:val="clear" w:color="auto" w:fill="auto"/>
                  <w:noWrap/>
                  <w:vAlign w:val="center"/>
                </w:tcPr>
                <w:p w14:paraId="305A69E4">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AB2E0">
                  <w:pPr>
                    <w:jc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0.109</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037FA">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43,556.40</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8FFA">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电房配电设备老旧需要，以供电前期现场勘察报告为准</w:t>
                  </w:r>
                </w:p>
              </w:tc>
            </w:tr>
            <w:tr w14:paraId="067B8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364" w:type="pct"/>
                  <w:vMerge w:val="continue"/>
                  <w:tcBorders>
                    <w:left w:val="single" w:color="auto" w:sz="4" w:space="0"/>
                    <w:bottom w:val="single" w:color="auto" w:sz="4" w:space="0"/>
                    <w:right w:val="single" w:color="auto" w:sz="4" w:space="0"/>
                  </w:tcBorders>
                  <w:shd w:val="clear" w:color="auto" w:fill="auto"/>
                  <w:noWrap/>
                  <w:vAlign w:val="center"/>
                </w:tcPr>
                <w:p w14:paraId="087798E9">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p>
              </w:tc>
              <w:tc>
                <w:tcPr>
                  <w:tcW w:w="539" w:type="pct"/>
                  <w:vMerge w:val="continue"/>
                  <w:tcBorders>
                    <w:left w:val="single" w:color="auto" w:sz="4" w:space="0"/>
                    <w:bottom w:val="single" w:color="auto" w:sz="4" w:space="0"/>
                    <w:right w:val="single" w:color="auto" w:sz="4" w:space="0"/>
                  </w:tcBorders>
                  <w:shd w:val="clear" w:color="auto" w:fill="auto"/>
                  <w:vAlign w:val="center"/>
                </w:tcPr>
                <w:p w14:paraId="45E88DCD">
                  <w:pPr>
                    <w:jc w:val="center"/>
                    <w:rPr>
                      <w:rFonts w:hint="eastAsia" w:ascii="宋体" w:hAnsi="宋体" w:eastAsia="宋体" w:cs="宋体"/>
                      <w:i w:val="0"/>
                      <w:iCs w:val="0"/>
                      <w:color w:val="auto"/>
                      <w:kern w:val="0"/>
                      <w:sz w:val="16"/>
                      <w:szCs w:val="16"/>
                      <w:highlight w:val="none"/>
                      <w:u w:val="none"/>
                      <w:lang w:val="en-US" w:eastAsia="zh-CN" w:bidi="ar"/>
                    </w:rPr>
                  </w:pPr>
                </w:p>
              </w:tc>
              <w:tc>
                <w:tcPr>
                  <w:tcW w:w="684" w:type="pct"/>
                  <w:tcBorders>
                    <w:top w:val="single" w:color="auto" w:sz="4" w:space="0"/>
                    <w:left w:val="single" w:color="auto" w:sz="4" w:space="0"/>
                    <w:bottom w:val="single" w:color="auto" w:sz="4" w:space="0"/>
                    <w:right w:val="single" w:color="auto" w:sz="4" w:space="0"/>
                  </w:tcBorders>
                  <w:shd w:val="clear" w:color="auto" w:fill="auto"/>
                  <w:vAlign w:val="center"/>
                </w:tcPr>
                <w:p w14:paraId="76652BCB">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结构鉴定</w:t>
                  </w:r>
                </w:p>
              </w:tc>
              <w:tc>
                <w:tcPr>
                  <w:tcW w:w="782" w:type="pct"/>
                  <w:vMerge w:val="continue"/>
                  <w:tcBorders>
                    <w:left w:val="single" w:color="auto" w:sz="4" w:space="0"/>
                    <w:right w:val="single" w:color="000000" w:sz="4" w:space="0"/>
                  </w:tcBorders>
                  <w:shd w:val="clear" w:color="auto" w:fill="auto"/>
                  <w:noWrap/>
                  <w:vAlign w:val="center"/>
                </w:tcPr>
                <w:p w14:paraId="6221740D">
                  <w:pPr>
                    <w:keepNext w:val="0"/>
                    <w:keepLines w:val="0"/>
                    <w:widowControl/>
                    <w:suppressLineNumbers w:val="0"/>
                    <w:jc w:val="center"/>
                    <w:textAlignment w:val="center"/>
                    <w:rPr>
                      <w:rFonts w:hint="eastAsia" w:ascii="宋体" w:hAnsi="宋体" w:eastAsia="宋体" w:cs="宋体"/>
                      <w:i w:val="0"/>
                      <w:iCs w:val="0"/>
                      <w:color w:val="auto"/>
                      <w:kern w:val="0"/>
                      <w:sz w:val="16"/>
                      <w:szCs w:val="16"/>
                      <w:highlight w:val="none"/>
                      <w:u w:val="none"/>
                      <w:lang w:val="en-US" w:eastAsia="zh-CN" w:bidi="ar"/>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D5174">
                  <w:pPr>
                    <w:jc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0.032</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4009F">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12,787.20</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58DF2">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专业鉴定单位出具房屋结构安全鉴定报告</w:t>
                  </w:r>
                </w:p>
              </w:tc>
            </w:tr>
            <w:tr w14:paraId="1A004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903"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1A386C0">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合计</w:t>
                  </w:r>
                </w:p>
                <w:p w14:paraId="3A8448EC">
                  <w:pPr>
                    <w:jc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（含税）：</w:t>
                  </w:r>
                </w:p>
              </w:tc>
              <w:tc>
                <w:tcPr>
                  <w:tcW w:w="4096" w:type="pct"/>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F9D7F9D">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小写：1,237,674.00元</w:t>
                  </w:r>
                </w:p>
              </w:tc>
            </w:tr>
            <w:tr w14:paraId="6A90C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5000" w:type="pct"/>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5E20B798">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注：合同价以限价表中的单价根据投标下浮率进行下浮后保留三位小数（去尾法），总价以单价计算汇总金额结果为准，总价保留两位小数（四舍五入）</w:t>
                  </w:r>
                </w:p>
              </w:tc>
            </w:tr>
          </w:tbl>
          <w:p w14:paraId="37940DBC">
            <w:pPr>
              <w:pStyle w:val="10"/>
              <w:rPr>
                <w:rFonts w:hint="eastAsia" w:ascii="宋体" w:hAnsi="宋体" w:eastAsia="宋体" w:cs="宋体"/>
                <w:color w:val="auto"/>
                <w:szCs w:val="21"/>
                <w:highlight w:val="none"/>
                <w:lang w:val="en-US" w:eastAsia="zh-CN"/>
              </w:rPr>
            </w:pPr>
          </w:p>
          <w:p w14:paraId="5CB87B71">
            <w:pPr>
              <w:pStyle w:val="10"/>
              <w:ind w:firstLine="420" w:firstLineChars="20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5、本项目采用下浮率方式报价，报价范围：3%-100%，投标下浮率报价不得大于或等于100%，不得为负数，且是固定唯一值。例：若投标人打9.7折，即投标下浮率为：3%。 </w:t>
            </w:r>
          </w:p>
        </w:tc>
      </w:tr>
      <w:tr w14:paraId="1763A4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06ACE109">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4</w:t>
            </w:r>
          </w:p>
        </w:tc>
        <w:tc>
          <w:tcPr>
            <w:tcW w:w="1501" w:type="dxa"/>
            <w:vAlign w:val="center"/>
          </w:tcPr>
          <w:p w14:paraId="6C9110CC">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付款方式</w:t>
            </w:r>
          </w:p>
        </w:tc>
        <w:tc>
          <w:tcPr>
            <w:tcW w:w="6466" w:type="dxa"/>
            <w:vAlign w:val="center"/>
          </w:tcPr>
          <w:p w14:paraId="27C07ACA">
            <w:pPr>
              <w:spacing w:line="360" w:lineRule="auto"/>
              <w:ind w:firstLine="422" w:firstLineChars="200"/>
              <w:rPr>
                <w:rFonts w:hint="eastAsia" w:ascii="宋体" w:hAnsi="宋体" w:eastAsia="宋体" w:cs="宋体"/>
                <w:b/>
                <w:bCs w:val="0"/>
                <w:color w:val="auto"/>
                <w:kern w:val="2"/>
                <w:sz w:val="21"/>
                <w:szCs w:val="21"/>
                <w:highlight w:val="none"/>
                <w:lang w:val="en-US" w:eastAsia="zh-CN"/>
              </w:rPr>
            </w:pPr>
            <w:r>
              <w:rPr>
                <w:rFonts w:hint="eastAsia" w:ascii="宋体" w:hAnsi="宋体" w:eastAsia="宋体" w:cs="宋体"/>
                <w:b/>
                <w:bCs w:val="0"/>
                <w:color w:val="auto"/>
                <w:kern w:val="2"/>
                <w:sz w:val="21"/>
                <w:szCs w:val="21"/>
                <w:highlight w:val="none"/>
                <w:lang w:val="en-US" w:eastAsia="zh-CN"/>
              </w:rPr>
              <w:t>工程款支付：</w:t>
            </w:r>
          </w:p>
          <w:p w14:paraId="08E2DD57">
            <w:pPr>
              <w:spacing w:line="360" w:lineRule="auto"/>
              <w:ind w:firstLine="420" w:firstLineChars="200"/>
              <w:rPr>
                <w:rFonts w:hint="eastAsia" w:ascii="宋体" w:hAnsi="宋体" w:eastAsia="宋体" w:cs="宋体"/>
                <w:b/>
                <w:bCs w:val="0"/>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1、预付款支付：本项目无预付款。</w:t>
            </w:r>
          </w:p>
          <w:p w14:paraId="22BFB511">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2、进度款支付：</w:t>
            </w:r>
          </w:p>
          <w:p w14:paraId="68CDE74E">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（1）支付原则：中标人在申请进度款之前，应先自行确认是否满足支付条件后，邀请发包人现场代表确认，并在提交请款资料之前，缴清在工程实施过程中因违规或违章作业所产生的全部违规罚款</w:t>
            </w:r>
            <w:r>
              <w:rPr>
                <w:rFonts w:hint="eastAsia" w:ascii="宋体" w:hAnsi="宋体" w:eastAsia="宋体" w:cs="宋体"/>
                <w:bCs/>
                <w:color w:val="auto"/>
                <w:kern w:val="2"/>
                <w:sz w:val="21"/>
                <w:szCs w:val="21"/>
                <w:highlight w:val="none"/>
                <w:lang w:val="en-US" w:eastAsia="zh-CN"/>
              </w:rPr>
              <w:t>。当施工期间出现农民工闹事，在乙方未结清应付农民工款项之前，甲方有权暂缓支付当期进度款及结算款。</w:t>
            </w:r>
          </w:p>
          <w:p w14:paraId="36D39A9D">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2）在规定期限内提供相关资料并配合负责发包人取得备案许可证，办理完成各种与本工程相关的报建、报装手续及施工所需开工报审、许可、证件等文件，包括但不限于办理施工许可证、报建手续、物业办电信用报告或供水供电报装证明、项目并网申请已受理、开工令相关文件等工作，同时完成视频监控系统（发包人负责人指定位置）安装投运并移交安全管理部（并网后再移交运营部）。待满足开工条件且取得发包人签证的开工报审页后，中标人可向发包人申请支付合同总金额的30%。</w:t>
            </w:r>
          </w:p>
          <w:p w14:paraId="75A027AE">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完成施工图纸设计并盖章，同时主设备（光伏组件、并网逆变器、光伏并网柜、交流电缆、独立接地极）到进场工地并经发包人验收合格；同时完成接地系统施工及完成停电并柜接入后，经发包人现场代表确认后，中标人可向发包人申请支付合同总金额的20%。</w:t>
            </w:r>
          </w:p>
          <w:p w14:paraId="5228286B">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（4）工程现场安装调试完毕并经相关部门验收合格，同时完成并网投运后,中标人可向发包人申请支付合同总金额的20%。</w:t>
            </w:r>
          </w:p>
          <w:p w14:paraId="6B4859BA">
            <w:pPr>
              <w:spacing w:line="360" w:lineRule="auto"/>
              <w:ind w:firstLine="420" w:firstLineChars="200"/>
              <w:rPr>
                <w:rFonts w:hint="eastAsia" w:ascii="宋体" w:hAnsi="宋体" w:eastAsia="宋体" w:cs="宋体"/>
                <w:color w:val="auto"/>
                <w:sz w:val="21"/>
                <w:szCs w:val="22"/>
                <w:highlight w:val="none"/>
                <w:lang w:val="en-US" w:eastAsia="zh-CN" w:bidi="ar-SA"/>
              </w:rPr>
            </w:pPr>
            <w:r>
              <w:rPr>
                <w:rFonts w:hint="eastAsia" w:ascii="宋体" w:hAnsi="宋体" w:eastAsia="宋体" w:cs="宋体"/>
                <w:bCs/>
                <w:color w:val="auto"/>
                <w:kern w:val="2"/>
                <w:sz w:val="21"/>
                <w:szCs w:val="21"/>
                <w:highlight w:val="none"/>
                <w:lang w:val="en-US" w:eastAsia="zh-CN"/>
              </w:rPr>
              <w:t>（5）工程通过发包人竣工验收并移交发包人竣工资料，同时办理完成结算后，中标人可向发包人申请支付至合同总结算金额的97%，留本工程合同总结算金额的3%作为质量保修金留置在发包人处。自本工程保修期届满后，发包人扣除中标人应付的维修、维护及质量损失赔偿金等金额后中标人可向发包人申请无息退还。</w:t>
            </w:r>
          </w:p>
        </w:tc>
      </w:tr>
      <w:tr w14:paraId="0F98FC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0B7D6EED">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5</w:t>
            </w:r>
          </w:p>
        </w:tc>
        <w:tc>
          <w:tcPr>
            <w:tcW w:w="1501" w:type="dxa"/>
            <w:vAlign w:val="center"/>
          </w:tcPr>
          <w:p w14:paraId="5F57871F">
            <w:pPr>
              <w:keepNext w:val="0"/>
              <w:keepLines w:val="0"/>
              <w:pageBreakBefore w:val="0"/>
              <w:widowControl/>
              <w:kinsoku/>
              <w:wordWrap/>
              <w:overflowPunct/>
              <w:topLinePunct w:val="0"/>
              <w:autoSpaceDE/>
              <w:autoSpaceDN/>
              <w:bidi w:val="0"/>
              <w:adjustRightInd w:val="0"/>
              <w:snapToGrid w:val="0"/>
              <w:spacing w:before="157" w:beforeLines="50" w:after="157" w:afterLines="50" w:line="240" w:lineRule="auto"/>
              <w:jc w:val="center"/>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eastAsia="zh-CN"/>
              </w:rPr>
              <w:t>结算说明</w:t>
            </w:r>
          </w:p>
        </w:tc>
        <w:tc>
          <w:tcPr>
            <w:tcW w:w="6466" w:type="dxa"/>
            <w:vAlign w:val="center"/>
          </w:tcPr>
          <w:p w14:paraId="326D78BE">
            <w:pPr>
              <w:tabs>
                <w:tab w:val="center" w:pos="3125"/>
              </w:tabs>
              <w:ind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合同价格形式</w:t>
            </w:r>
          </w:p>
          <w:p w14:paraId="09DF3E2E">
            <w:pPr>
              <w:ind w:firstLine="0" w:firstLineChars="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（1） 本项目拟安装</w:t>
            </w:r>
            <w:r>
              <w:rPr>
                <w:rFonts w:hint="eastAsia" w:ascii="宋体" w:hAnsi="宋体" w:eastAsia="宋体" w:cs="宋体"/>
                <w:b w:val="0"/>
                <w:bCs/>
                <w:color w:val="auto"/>
                <w:kern w:val="2"/>
                <w:sz w:val="21"/>
                <w:szCs w:val="21"/>
                <w:highlight w:val="none"/>
                <w:lang w:val="en-US" w:eastAsia="zh-CN" w:bidi="ar-SA"/>
              </w:rPr>
              <w:t>666</w:t>
            </w:r>
            <w:r>
              <w:rPr>
                <w:rFonts w:hint="eastAsia" w:ascii="宋体" w:hAnsi="宋体" w:eastAsia="宋体" w:cs="宋体"/>
                <w:b w:val="0"/>
                <w:bCs/>
                <w:color w:val="auto"/>
                <w:kern w:val="2"/>
                <w:sz w:val="21"/>
                <w:szCs w:val="21"/>
                <w:highlight w:val="none"/>
                <w:lang w:val="en-US" w:eastAsia="zh-CN" w:bidi="ar-SA"/>
              </w:rPr>
              <w:t>块</w:t>
            </w:r>
            <w:r>
              <w:rPr>
                <w:rFonts w:hint="eastAsia" w:ascii="宋体" w:hAnsi="宋体" w:eastAsia="宋体" w:cs="宋体"/>
                <w:b w:val="0"/>
                <w:bCs/>
                <w:color w:val="auto"/>
                <w:kern w:val="2"/>
                <w:sz w:val="21"/>
                <w:szCs w:val="21"/>
                <w:highlight w:val="none"/>
                <w:lang w:val="en-US" w:eastAsia="zh-CN" w:bidi="ar-SA"/>
              </w:rPr>
              <w:t>600Wp</w:t>
            </w:r>
            <w:r>
              <w:rPr>
                <w:rFonts w:hint="eastAsia" w:ascii="宋体" w:hAnsi="宋体" w:eastAsia="宋体" w:cs="宋体"/>
                <w:b w:val="0"/>
                <w:bCs/>
                <w:color w:val="auto"/>
                <w:kern w:val="2"/>
                <w:sz w:val="21"/>
                <w:szCs w:val="21"/>
                <w:highlight w:val="none"/>
                <w:lang w:val="en-US" w:eastAsia="zh-CN" w:bidi="ar-SA"/>
              </w:rPr>
              <w:t xml:space="preserve"> 单晶硅高效组件，总安装容量</w:t>
            </w:r>
            <w:r>
              <w:rPr>
                <w:rFonts w:hint="eastAsia" w:ascii="宋体" w:hAnsi="宋体" w:eastAsia="宋体" w:cs="宋体"/>
                <w:b w:val="0"/>
                <w:bCs/>
                <w:color w:val="auto"/>
                <w:kern w:val="2"/>
                <w:sz w:val="21"/>
                <w:szCs w:val="21"/>
                <w:highlight w:val="none"/>
                <w:lang w:val="en-US" w:eastAsia="zh-CN" w:bidi="ar-SA"/>
              </w:rPr>
              <w:t>399.6kWp</w:t>
            </w:r>
            <w:r>
              <w:rPr>
                <w:rFonts w:hint="eastAsia" w:ascii="宋体" w:hAnsi="宋体" w:eastAsia="宋体" w:cs="宋体"/>
                <w:b w:val="0"/>
                <w:bCs/>
                <w:color w:val="auto"/>
                <w:kern w:val="2"/>
                <w:sz w:val="21"/>
                <w:szCs w:val="21"/>
                <w:highlight w:val="none"/>
                <w:lang w:val="en-US" w:eastAsia="zh-CN" w:bidi="ar-SA"/>
              </w:rPr>
              <w:t>。以暂定总价、固定每瓦单价总承包的方式，除容量变动外双方不得以任何理由调整总价。</w:t>
            </w:r>
          </w:p>
          <w:p w14:paraId="0EB96FB5">
            <w:pPr>
              <w:ind w:firstLine="0" w:firstLineChars="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2）在组件及支架安装数量不变的情况下，如果因单块组件容量增大导致实际装机容量增大，如580Wp改为585Wp，仍按单块组件580Wp计算总装机容量来结算总价，如组件单块容量不变，安装组件数量增多，可按照实际装机容量结算。</w:t>
            </w:r>
          </w:p>
        </w:tc>
      </w:tr>
      <w:tr w14:paraId="22B1CD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4C681312">
            <w:pPr>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1501" w:type="dxa"/>
            <w:vAlign w:val="center"/>
          </w:tcPr>
          <w:p w14:paraId="51A0B6B4">
            <w:pPr>
              <w:keepNext w:val="0"/>
              <w:keepLines w:val="0"/>
              <w:pageBreakBefore w:val="0"/>
              <w:widowControl/>
              <w:kinsoku/>
              <w:wordWrap/>
              <w:overflowPunct/>
              <w:topLinePunct w:val="0"/>
              <w:autoSpaceDE/>
              <w:autoSpaceDN/>
              <w:bidi w:val="0"/>
              <w:adjustRightInd w:val="0"/>
              <w:snapToGrid w:val="0"/>
              <w:spacing w:before="157" w:beforeLines="50" w:after="157" w:afterLines="50" w:line="240" w:lineRule="auto"/>
              <w:jc w:val="center"/>
              <w:textAlignment w:val="auto"/>
              <w:rPr>
                <w:rFonts w:hint="default"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质保期</w:t>
            </w:r>
          </w:p>
        </w:tc>
        <w:tc>
          <w:tcPr>
            <w:tcW w:w="6466" w:type="dxa"/>
            <w:vAlign w:val="center"/>
          </w:tcPr>
          <w:p w14:paraId="515F6E85">
            <w:pPr>
              <w:ind w:firstLine="420" w:firstLineChars="20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质保期为项目验收合格后</w:t>
            </w:r>
            <w:r>
              <w:rPr>
                <w:rFonts w:hint="eastAsia" w:ascii="宋体" w:hAnsi="宋体" w:eastAsia="宋体" w:cs="宋体"/>
                <w:b w:val="0"/>
                <w:bCs/>
                <w:color w:val="auto"/>
                <w:kern w:val="2"/>
                <w:sz w:val="21"/>
                <w:szCs w:val="21"/>
                <w:highlight w:val="none"/>
                <w:u w:val="single"/>
                <w:lang w:val="en-US" w:eastAsia="zh-CN" w:bidi="ar-SA"/>
              </w:rPr>
              <w:t xml:space="preserve">  2  </w:t>
            </w:r>
            <w:r>
              <w:rPr>
                <w:rFonts w:hint="eastAsia" w:ascii="宋体" w:hAnsi="宋体" w:eastAsia="宋体" w:cs="宋体"/>
                <w:b w:val="0"/>
                <w:bCs/>
                <w:color w:val="auto"/>
                <w:kern w:val="2"/>
                <w:sz w:val="21"/>
                <w:szCs w:val="21"/>
                <w:highlight w:val="none"/>
                <w:lang w:val="en-US" w:eastAsia="zh-CN" w:bidi="ar-SA"/>
              </w:rPr>
              <w:t>年，如个体设备有更高要求的，遵循更高要求。</w:t>
            </w:r>
          </w:p>
        </w:tc>
      </w:tr>
      <w:tr w14:paraId="4A6773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8" w:hRule="atLeast"/>
        </w:trPr>
        <w:tc>
          <w:tcPr>
            <w:tcW w:w="718" w:type="dxa"/>
            <w:vAlign w:val="center"/>
          </w:tcPr>
          <w:p w14:paraId="642EFFC5">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7</w:t>
            </w:r>
          </w:p>
        </w:tc>
        <w:tc>
          <w:tcPr>
            <w:tcW w:w="1501" w:type="dxa"/>
            <w:vAlign w:val="center"/>
          </w:tcPr>
          <w:p w14:paraId="3778D46C">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投标有效期</w:t>
            </w:r>
          </w:p>
        </w:tc>
        <w:tc>
          <w:tcPr>
            <w:tcW w:w="6466" w:type="dxa"/>
            <w:vAlign w:val="center"/>
          </w:tcPr>
          <w:p w14:paraId="44F535D6">
            <w:pPr>
              <w:tabs>
                <w:tab w:val="center" w:pos="3125"/>
              </w:tabs>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自开标之日起90天。</w:t>
            </w:r>
          </w:p>
        </w:tc>
      </w:tr>
      <w:tr w14:paraId="5DD535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718" w:type="dxa"/>
            <w:vAlign w:val="center"/>
          </w:tcPr>
          <w:p w14:paraId="10AB9FB0">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w:t>
            </w:r>
          </w:p>
        </w:tc>
        <w:tc>
          <w:tcPr>
            <w:tcW w:w="1501" w:type="dxa"/>
            <w:vAlign w:val="center"/>
          </w:tcPr>
          <w:p w14:paraId="07A69FEA">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合同条款</w:t>
            </w:r>
          </w:p>
        </w:tc>
        <w:tc>
          <w:tcPr>
            <w:tcW w:w="6466" w:type="dxa"/>
            <w:vAlign w:val="center"/>
          </w:tcPr>
          <w:p w14:paraId="249B1EFF">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投标人实质响应合同各条款。</w:t>
            </w:r>
          </w:p>
        </w:tc>
      </w:tr>
      <w:tr w14:paraId="3D6539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35" w:hRule="atLeast"/>
        </w:trPr>
        <w:tc>
          <w:tcPr>
            <w:tcW w:w="718" w:type="dxa"/>
            <w:vAlign w:val="center"/>
          </w:tcPr>
          <w:p w14:paraId="49F1B8E9">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9</w:t>
            </w:r>
          </w:p>
        </w:tc>
        <w:tc>
          <w:tcPr>
            <w:tcW w:w="1501" w:type="dxa"/>
            <w:vAlign w:val="center"/>
          </w:tcPr>
          <w:p w14:paraId="3AF5D69D">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其他要求</w:t>
            </w:r>
          </w:p>
        </w:tc>
        <w:tc>
          <w:tcPr>
            <w:tcW w:w="6466" w:type="dxa"/>
            <w:vAlign w:val="center"/>
          </w:tcPr>
          <w:p w14:paraId="56DB18E5">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1、投标人须执行国家、省或行业现行的相关质量验收标准及规范，须达到合格标准，并通过当地相关供电部门的并网验收。</w:t>
            </w:r>
          </w:p>
          <w:p w14:paraId="66DC845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2、符合国家、省、市安全生产、文明施工管理相关规定，承诺达到合格标准。</w:t>
            </w:r>
          </w:p>
          <w:p w14:paraId="66F3C88E">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lang w:val="en-US" w:eastAsia="zh-CN" w:bidi="ar-SA"/>
              </w:rPr>
              <w:t>3、</w:t>
            </w:r>
            <w:r>
              <w:rPr>
                <w:rFonts w:hint="eastAsia" w:ascii="宋体" w:hAnsi="宋体" w:eastAsia="宋体" w:cs="宋体"/>
                <w:b w:val="0"/>
                <w:bCs/>
                <w:color w:val="auto"/>
                <w:kern w:val="2"/>
                <w:sz w:val="21"/>
                <w:szCs w:val="21"/>
                <w:highlight w:val="none"/>
              </w:rPr>
              <w:t>遵守采购人下属工程技术部编制的《工程管理制度汇编》中的承包商管理条款。</w:t>
            </w:r>
          </w:p>
          <w:p w14:paraId="6FF4B3D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rPr>
            </w:pPr>
            <w:r>
              <w:rPr>
                <w:rFonts w:hint="eastAsia" w:ascii="宋体" w:hAnsi="宋体" w:cs="宋体"/>
                <w:b w:val="0"/>
                <w:bCs/>
                <w:color w:val="auto"/>
                <w:kern w:val="2"/>
                <w:sz w:val="21"/>
                <w:szCs w:val="21"/>
                <w:highlight w:val="none"/>
                <w:lang w:val="en-US" w:eastAsia="zh-CN"/>
              </w:rPr>
              <w:t>4、</w:t>
            </w:r>
            <w:r>
              <w:rPr>
                <w:rFonts w:hint="eastAsia" w:ascii="宋体" w:hAnsi="宋体" w:eastAsia="宋体" w:cs="宋体"/>
                <w:b w:val="0"/>
                <w:bCs/>
                <w:color w:val="auto"/>
                <w:kern w:val="2"/>
                <w:sz w:val="21"/>
                <w:szCs w:val="21"/>
                <w:highlight w:val="none"/>
              </w:rPr>
              <w:t>本项目的设计过程和成果必须符合国家、广东省、东莞市颁布的有关设计方面的现行标准、规范、规程、定额、办法，满足</w:t>
            </w:r>
            <w:r>
              <w:rPr>
                <w:rFonts w:hint="eastAsia" w:ascii="宋体" w:hAnsi="宋体" w:cs="宋体"/>
                <w:b w:val="0"/>
                <w:bCs/>
                <w:color w:val="auto"/>
                <w:kern w:val="2"/>
                <w:sz w:val="21"/>
                <w:szCs w:val="21"/>
                <w:highlight w:val="none"/>
                <w:lang w:val="en-US" w:eastAsia="zh-CN"/>
              </w:rPr>
              <w:t>采购</w:t>
            </w:r>
            <w:r>
              <w:rPr>
                <w:rFonts w:hint="eastAsia" w:ascii="宋体" w:hAnsi="宋体" w:eastAsia="宋体" w:cs="宋体"/>
                <w:b w:val="0"/>
                <w:bCs/>
                <w:color w:val="auto"/>
                <w:kern w:val="2"/>
                <w:sz w:val="21"/>
                <w:szCs w:val="21"/>
                <w:highlight w:val="none"/>
              </w:rPr>
              <w:t>人的相关功能需求，并通过</w:t>
            </w:r>
            <w:r>
              <w:rPr>
                <w:rFonts w:hint="eastAsia" w:ascii="宋体" w:hAnsi="宋体" w:cs="宋体"/>
                <w:b w:val="0"/>
                <w:bCs/>
                <w:color w:val="auto"/>
                <w:kern w:val="2"/>
                <w:sz w:val="21"/>
                <w:szCs w:val="21"/>
                <w:highlight w:val="none"/>
                <w:lang w:val="en-US" w:eastAsia="zh-CN"/>
              </w:rPr>
              <w:t>采购</w:t>
            </w:r>
            <w:r>
              <w:rPr>
                <w:rFonts w:hint="eastAsia" w:ascii="宋体" w:hAnsi="宋体" w:eastAsia="宋体" w:cs="宋体"/>
                <w:b w:val="0"/>
                <w:bCs/>
                <w:color w:val="auto"/>
                <w:kern w:val="2"/>
                <w:sz w:val="21"/>
                <w:szCs w:val="21"/>
                <w:highlight w:val="none"/>
              </w:rPr>
              <w:t>人及有关部门或专业审图机构的审查。在设计过程中，如果国家或有关部门颁发了新的技术标准或规范，应采用新的标准或规范进行设计。</w:t>
            </w:r>
          </w:p>
          <w:p w14:paraId="41A73214">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default" w:ascii="宋体" w:hAnsi="宋体" w:cs="宋体"/>
                <w:bCs/>
                <w:color w:val="auto"/>
                <w:kern w:val="2"/>
                <w:szCs w:val="21"/>
                <w:highlight w:val="none"/>
                <w:lang w:val="en-US" w:eastAsia="zh-CN"/>
              </w:rPr>
            </w:pPr>
            <w:r>
              <w:rPr>
                <w:rFonts w:hint="eastAsia" w:ascii="宋体" w:hAnsi="宋体" w:cs="宋体"/>
                <w:bCs/>
                <w:color w:val="auto"/>
                <w:kern w:val="2"/>
                <w:szCs w:val="21"/>
                <w:highlight w:val="none"/>
                <w:lang w:val="en-US" w:eastAsia="zh-CN"/>
              </w:rPr>
              <w:t>5</w:t>
            </w:r>
            <w:r>
              <w:rPr>
                <w:rFonts w:hint="default" w:ascii="宋体" w:hAnsi="宋体" w:cs="宋体"/>
                <w:bCs/>
                <w:color w:val="auto"/>
                <w:kern w:val="2"/>
                <w:szCs w:val="21"/>
                <w:highlight w:val="none"/>
                <w:lang w:val="en-US" w:eastAsia="zh-CN"/>
              </w:rPr>
              <w:t>、</w:t>
            </w:r>
            <w:r>
              <w:rPr>
                <w:rFonts w:hint="eastAsia" w:ascii="宋体" w:hAnsi="宋体" w:cs="宋体"/>
                <w:bCs/>
                <w:color w:val="auto"/>
                <w:kern w:val="2"/>
                <w:szCs w:val="21"/>
                <w:highlight w:val="none"/>
                <w:lang w:val="en-US" w:eastAsia="zh-CN"/>
              </w:rPr>
              <w:t>若光伏项目用能方与采购人的</w:t>
            </w:r>
            <w:r>
              <w:rPr>
                <w:rFonts w:hint="default" w:ascii="宋体" w:hAnsi="宋体" w:cs="宋体"/>
                <w:bCs/>
                <w:color w:val="auto"/>
                <w:kern w:val="2"/>
                <w:szCs w:val="21"/>
                <w:highlight w:val="none"/>
                <w:lang w:val="en-US" w:eastAsia="zh-CN"/>
              </w:rPr>
              <w:t>《</w:t>
            </w:r>
            <w:r>
              <w:rPr>
                <w:rFonts w:hint="eastAsia" w:ascii="宋体" w:hAnsi="宋体" w:cs="宋体"/>
                <w:bCs/>
                <w:color w:val="auto"/>
                <w:kern w:val="2"/>
                <w:szCs w:val="21"/>
                <w:highlight w:val="none"/>
                <w:lang w:val="en-US" w:eastAsia="zh-CN"/>
              </w:rPr>
              <w:t>合同</w:t>
            </w:r>
            <w:r>
              <w:rPr>
                <w:rFonts w:hint="default" w:ascii="宋体" w:hAnsi="宋体" w:cs="宋体"/>
                <w:bCs/>
                <w:color w:val="auto"/>
                <w:kern w:val="2"/>
                <w:szCs w:val="21"/>
                <w:highlight w:val="none"/>
                <w:lang w:val="en-US" w:eastAsia="zh-CN"/>
              </w:rPr>
              <w:t>能源管理合同》</w:t>
            </w:r>
            <w:r>
              <w:rPr>
                <w:rFonts w:hint="eastAsia" w:ascii="宋体" w:hAnsi="宋体" w:cs="宋体"/>
                <w:bCs/>
                <w:color w:val="auto"/>
                <w:kern w:val="2"/>
                <w:szCs w:val="21"/>
                <w:highlight w:val="none"/>
                <w:lang w:val="en-US" w:eastAsia="zh-CN"/>
              </w:rPr>
              <w:t>解除</w:t>
            </w:r>
            <w:r>
              <w:rPr>
                <w:rFonts w:hint="default" w:ascii="宋体" w:hAnsi="宋体" w:cs="宋体"/>
                <w:bCs/>
                <w:color w:val="auto"/>
                <w:kern w:val="2"/>
                <w:szCs w:val="21"/>
                <w:highlight w:val="none"/>
                <w:lang w:val="en-US" w:eastAsia="zh-CN"/>
              </w:rPr>
              <w:t>，</w:t>
            </w:r>
            <w:r>
              <w:rPr>
                <w:rFonts w:hint="eastAsia" w:ascii="宋体" w:hAnsi="宋体" w:cs="宋体"/>
                <w:bCs/>
                <w:color w:val="auto"/>
                <w:kern w:val="2"/>
                <w:szCs w:val="21"/>
                <w:highlight w:val="none"/>
                <w:lang w:val="en-US" w:eastAsia="zh-CN"/>
              </w:rPr>
              <w:t>导致采购人无法实施投资建设光伏项目</w:t>
            </w:r>
            <w:r>
              <w:rPr>
                <w:rFonts w:hint="default" w:ascii="宋体" w:hAnsi="宋体" w:cs="宋体"/>
                <w:bCs/>
                <w:color w:val="auto"/>
                <w:kern w:val="2"/>
                <w:szCs w:val="21"/>
                <w:highlight w:val="none"/>
                <w:lang w:val="en-US" w:eastAsia="zh-CN"/>
              </w:rPr>
              <w:t>，则</w:t>
            </w:r>
            <w:r>
              <w:rPr>
                <w:rFonts w:hint="eastAsia" w:ascii="宋体" w:hAnsi="宋体" w:cs="宋体"/>
                <w:bCs/>
                <w:color w:val="auto"/>
                <w:kern w:val="2"/>
                <w:szCs w:val="21"/>
                <w:highlight w:val="none"/>
                <w:lang w:val="en-US" w:eastAsia="zh-CN"/>
              </w:rPr>
              <w:t>本</w:t>
            </w:r>
            <w:r>
              <w:rPr>
                <w:rFonts w:hint="default" w:ascii="宋体" w:hAnsi="宋体" w:cs="宋体"/>
                <w:bCs/>
                <w:color w:val="auto"/>
                <w:kern w:val="2"/>
                <w:szCs w:val="21"/>
                <w:highlight w:val="none"/>
                <w:lang w:val="en-US" w:eastAsia="zh-CN"/>
              </w:rPr>
              <w:t>《光伏项目总承包合同》同步</w:t>
            </w:r>
            <w:r>
              <w:rPr>
                <w:rFonts w:hint="eastAsia" w:ascii="宋体" w:hAnsi="宋体" w:cs="宋体"/>
                <w:bCs/>
                <w:color w:val="auto"/>
                <w:kern w:val="2"/>
                <w:szCs w:val="21"/>
                <w:highlight w:val="none"/>
                <w:lang w:val="en-US" w:eastAsia="zh-CN"/>
              </w:rPr>
              <w:t>解除</w:t>
            </w:r>
            <w:r>
              <w:rPr>
                <w:rFonts w:hint="default" w:ascii="宋体" w:hAnsi="宋体" w:cs="宋体"/>
                <w:bCs/>
                <w:color w:val="auto"/>
                <w:kern w:val="2"/>
                <w:szCs w:val="21"/>
                <w:highlight w:val="none"/>
                <w:lang w:val="en-US" w:eastAsia="zh-CN"/>
              </w:rPr>
              <w:t>。为参与该项目招采活动而产生的所有费用（包括</w:t>
            </w:r>
            <w:r>
              <w:rPr>
                <w:rFonts w:hint="eastAsia" w:ascii="宋体" w:hAnsi="宋体" w:cs="宋体"/>
                <w:bCs/>
                <w:color w:val="auto"/>
                <w:kern w:val="2"/>
                <w:szCs w:val="21"/>
                <w:highlight w:val="none"/>
                <w:lang w:val="en-US" w:eastAsia="zh-CN"/>
              </w:rPr>
              <w:t>但不限于</w:t>
            </w:r>
            <w:r>
              <w:rPr>
                <w:rFonts w:hint="default" w:ascii="宋体" w:hAnsi="宋体" w:cs="宋体"/>
                <w:bCs/>
                <w:color w:val="auto"/>
                <w:kern w:val="2"/>
                <w:szCs w:val="21"/>
                <w:highlight w:val="none"/>
                <w:lang w:val="en-US" w:eastAsia="zh-CN"/>
              </w:rPr>
              <w:t>交通费、咨询费、标书制作费、打印费、招标代理服务费等）由</w:t>
            </w:r>
            <w:r>
              <w:rPr>
                <w:rFonts w:hint="eastAsia" w:ascii="宋体" w:hAnsi="宋体" w:cs="宋体"/>
                <w:bCs/>
                <w:color w:val="auto"/>
                <w:kern w:val="2"/>
                <w:szCs w:val="21"/>
                <w:highlight w:val="none"/>
                <w:lang w:val="en-US" w:eastAsia="zh-CN"/>
              </w:rPr>
              <w:t>中标单位</w:t>
            </w:r>
            <w:r>
              <w:rPr>
                <w:rFonts w:hint="default" w:ascii="宋体" w:hAnsi="宋体" w:cs="宋体"/>
                <w:bCs/>
                <w:color w:val="auto"/>
                <w:kern w:val="2"/>
                <w:szCs w:val="21"/>
                <w:highlight w:val="none"/>
                <w:lang w:val="en-US" w:eastAsia="zh-CN"/>
              </w:rPr>
              <w:t>自行承担，且</w:t>
            </w:r>
            <w:r>
              <w:rPr>
                <w:rFonts w:hint="eastAsia" w:ascii="宋体" w:hAnsi="宋体" w:cs="宋体"/>
                <w:bCs/>
                <w:color w:val="auto"/>
                <w:kern w:val="2"/>
                <w:szCs w:val="21"/>
                <w:highlight w:val="none"/>
                <w:lang w:val="en-US" w:eastAsia="zh-CN"/>
              </w:rPr>
              <w:t>中标单位</w:t>
            </w:r>
            <w:r>
              <w:rPr>
                <w:rFonts w:hint="default" w:ascii="宋体" w:hAnsi="宋体" w:cs="宋体"/>
                <w:bCs/>
                <w:color w:val="auto"/>
                <w:kern w:val="2"/>
                <w:szCs w:val="21"/>
                <w:highlight w:val="none"/>
                <w:lang w:val="en-US" w:eastAsia="zh-CN"/>
              </w:rPr>
              <w:t>应在接到解除合同通知后的7个工作日内完成人员及设备的撤离工作，并妥善处理好现场的清理与交接事宜，确保不对</w:t>
            </w:r>
            <w:r>
              <w:rPr>
                <w:rFonts w:hint="eastAsia" w:ascii="宋体" w:hAnsi="宋体" w:cs="宋体"/>
                <w:bCs/>
                <w:color w:val="auto"/>
                <w:kern w:val="2"/>
                <w:szCs w:val="21"/>
                <w:highlight w:val="none"/>
                <w:lang w:val="en-US" w:eastAsia="zh-CN"/>
              </w:rPr>
              <w:t>采购人</w:t>
            </w:r>
            <w:r>
              <w:rPr>
                <w:rFonts w:hint="default" w:ascii="宋体" w:hAnsi="宋体" w:cs="宋体"/>
                <w:bCs/>
                <w:color w:val="auto"/>
                <w:kern w:val="2"/>
                <w:szCs w:val="21"/>
                <w:highlight w:val="none"/>
                <w:lang w:val="en-US" w:eastAsia="zh-CN"/>
              </w:rPr>
              <w:t>造成任何额外的负担和损失。</w:t>
            </w:r>
          </w:p>
          <w:p w14:paraId="28D9A90D">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default" w:ascii="宋体" w:hAnsi="宋体" w:cs="宋体"/>
                <w:bCs/>
                <w:color w:val="auto"/>
                <w:kern w:val="2"/>
                <w:szCs w:val="21"/>
                <w:highlight w:val="none"/>
                <w:lang w:val="en-US" w:eastAsia="zh-CN"/>
              </w:rPr>
            </w:pPr>
            <w:r>
              <w:rPr>
                <w:rFonts w:hint="eastAsia" w:ascii="宋体" w:hAnsi="宋体" w:cs="宋体"/>
                <w:bCs/>
                <w:color w:val="auto"/>
                <w:kern w:val="2"/>
                <w:szCs w:val="21"/>
                <w:highlight w:val="none"/>
                <w:lang w:val="en-US" w:eastAsia="zh-CN"/>
              </w:rPr>
              <w:t>6</w:t>
            </w:r>
            <w:r>
              <w:rPr>
                <w:rFonts w:hint="default" w:ascii="宋体" w:hAnsi="宋体" w:cs="宋体"/>
                <w:bCs/>
                <w:color w:val="auto"/>
                <w:kern w:val="2"/>
                <w:szCs w:val="21"/>
                <w:highlight w:val="none"/>
                <w:lang w:val="en-US" w:eastAsia="zh-CN"/>
              </w:rPr>
              <w:t>、中标单位应在中标后30天内</w:t>
            </w:r>
            <w:r>
              <w:rPr>
                <w:rFonts w:hint="eastAsia" w:ascii="宋体" w:hAnsi="宋体" w:cs="宋体"/>
                <w:bCs/>
                <w:color w:val="auto"/>
                <w:kern w:val="2"/>
                <w:szCs w:val="21"/>
                <w:highlight w:val="none"/>
                <w:lang w:val="en-US" w:eastAsia="zh-CN"/>
              </w:rPr>
              <w:t>提交完整开工资料</w:t>
            </w:r>
            <w:r>
              <w:rPr>
                <w:rFonts w:hint="default" w:ascii="宋体" w:hAnsi="宋体" w:cs="宋体"/>
                <w:bCs/>
                <w:color w:val="auto"/>
                <w:kern w:val="2"/>
                <w:szCs w:val="21"/>
                <w:highlight w:val="none"/>
                <w:lang w:val="en-US" w:eastAsia="zh-CN"/>
              </w:rPr>
              <w:t>并进场。因中标单位自身原因（如拖延办理必要手续、施工组织不力等）导致项目进度滞后，且滞后时间超过7个工作日内，已经对</w:t>
            </w:r>
            <w:r>
              <w:rPr>
                <w:rFonts w:hint="eastAsia" w:ascii="宋体" w:hAnsi="宋体" w:cs="宋体"/>
                <w:bCs/>
                <w:color w:val="auto"/>
                <w:kern w:val="2"/>
                <w:szCs w:val="21"/>
                <w:highlight w:val="none"/>
                <w:lang w:val="en-US" w:eastAsia="zh-CN"/>
              </w:rPr>
              <w:t>采购人</w:t>
            </w:r>
            <w:r>
              <w:rPr>
                <w:rFonts w:hint="default" w:ascii="宋体" w:hAnsi="宋体" w:cs="宋体"/>
                <w:bCs/>
                <w:color w:val="auto"/>
                <w:kern w:val="2"/>
                <w:szCs w:val="21"/>
                <w:highlight w:val="none"/>
                <w:lang w:val="en-US" w:eastAsia="zh-CN"/>
              </w:rPr>
              <w:t>的整体规划产生了实质性影响（例如导致发包方错过最佳并网时机、影响后续项目衔接等）</w:t>
            </w:r>
            <w:r>
              <w:rPr>
                <w:rFonts w:hint="eastAsia" w:ascii="宋体" w:hAnsi="宋体" w:cs="宋体"/>
                <w:bCs/>
                <w:color w:val="auto"/>
                <w:kern w:val="2"/>
                <w:szCs w:val="21"/>
                <w:highlight w:val="none"/>
                <w:lang w:val="en-US" w:eastAsia="zh-CN"/>
              </w:rPr>
              <w:t>，</w:t>
            </w:r>
            <w:r>
              <w:rPr>
                <w:rFonts w:hint="default" w:ascii="宋体" w:hAnsi="宋体" w:cs="宋体"/>
                <w:bCs/>
                <w:color w:val="auto"/>
                <w:kern w:val="2"/>
                <w:szCs w:val="21"/>
                <w:highlight w:val="none"/>
                <w:lang w:val="en-US" w:eastAsia="zh-CN"/>
              </w:rPr>
              <w:t>采购人有权解除《光伏项目总承包合同》</w:t>
            </w:r>
            <w:r>
              <w:rPr>
                <w:rFonts w:hint="eastAsia" w:ascii="宋体" w:hAnsi="宋体" w:cs="宋体"/>
                <w:bCs/>
                <w:color w:val="auto"/>
                <w:kern w:val="2"/>
                <w:szCs w:val="21"/>
                <w:highlight w:val="none"/>
                <w:lang w:val="en-US" w:eastAsia="zh-CN"/>
              </w:rPr>
              <w:t>。</w:t>
            </w:r>
            <w:r>
              <w:rPr>
                <w:rFonts w:hint="default" w:ascii="宋体" w:hAnsi="宋体" w:cs="宋体"/>
                <w:bCs/>
                <w:color w:val="auto"/>
                <w:kern w:val="2"/>
                <w:szCs w:val="21"/>
                <w:highlight w:val="none"/>
                <w:lang w:val="en-US" w:eastAsia="zh-CN"/>
              </w:rPr>
              <w:t>中标单位需自行承担相应的损失</w:t>
            </w:r>
            <w:r>
              <w:rPr>
                <w:rFonts w:hint="eastAsia" w:ascii="宋体" w:hAnsi="宋体" w:cs="宋体"/>
                <w:bCs/>
                <w:color w:val="auto"/>
                <w:kern w:val="2"/>
                <w:szCs w:val="21"/>
                <w:highlight w:val="none"/>
                <w:lang w:val="en-US" w:eastAsia="zh-CN"/>
              </w:rPr>
              <w:t>，包括但不限于已投入的成本、因滞后产生的额外费用以及对采购人整体规划造成影响的赔偿责任等。同时，中标单位应在接到解除合同通知后的7个工作日内无条件撤场，并做好已完工程的保护工作，确保现场安全和环境整洁。</w:t>
            </w:r>
          </w:p>
        </w:tc>
      </w:tr>
    </w:tbl>
    <w:p w14:paraId="3B7B3E8B">
      <w:pPr>
        <w:rPr>
          <w:rFonts w:hint="eastAsia" w:ascii="宋体" w:hAnsi="宋体"/>
          <w:color w:val="auto"/>
          <w:highlight w:val="none"/>
        </w:rPr>
      </w:pPr>
    </w:p>
    <w:p w14:paraId="5A21B23C">
      <w:pPr>
        <w:rPr>
          <w:rFonts w:hint="eastAsia" w:ascii="宋体" w:hAnsi="宋体"/>
          <w:color w:val="auto"/>
          <w:highlight w:val="none"/>
        </w:rPr>
      </w:pPr>
      <w:r>
        <w:rPr>
          <w:rFonts w:hint="eastAsia" w:ascii="宋体" w:hAnsi="宋体"/>
          <w:color w:val="auto"/>
          <w:highlight w:val="none"/>
        </w:rPr>
        <w:br w:type="page"/>
      </w:r>
    </w:p>
    <w:p w14:paraId="1F7445EC">
      <w:pPr>
        <w:pStyle w:val="5"/>
        <w:spacing w:before="0" w:after="0" w:line="360" w:lineRule="auto"/>
        <w:jc w:val="center"/>
        <w:rPr>
          <w:color w:val="auto"/>
          <w:highlight w:val="none"/>
        </w:rPr>
      </w:pPr>
      <w:bookmarkStart w:id="15" w:name="_Toc29319"/>
      <w:r>
        <w:rPr>
          <w:rFonts w:hint="eastAsia" w:ascii="宋体" w:hAnsi="宋体"/>
          <w:color w:val="auto"/>
          <w:highlight w:val="none"/>
        </w:rPr>
        <w:t>第二章 技术需求书</w:t>
      </w:r>
      <w:bookmarkEnd w:id="14"/>
      <w:bookmarkEnd w:id="15"/>
    </w:p>
    <w:bookmarkEnd w:id="9"/>
    <w:bookmarkEnd w:id="10"/>
    <w:bookmarkEnd w:id="11"/>
    <w:bookmarkEnd w:id="12"/>
    <w:bookmarkEnd w:id="13"/>
    <w:p w14:paraId="396DAD34">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cs="宋体"/>
          <w:b/>
          <w:color w:val="auto"/>
          <w:sz w:val="24"/>
          <w:szCs w:val="24"/>
          <w:highlight w:val="none"/>
          <w:lang w:val="en-US" w:eastAsia="zh-CN" w:bidi="ar-SA"/>
        </w:rPr>
        <w:t>一</w:t>
      </w:r>
      <w:r>
        <w:rPr>
          <w:rFonts w:hint="eastAsia" w:ascii="宋体" w:hAnsi="宋体" w:eastAsia="宋体" w:cs="宋体"/>
          <w:b/>
          <w:color w:val="auto"/>
          <w:sz w:val="24"/>
          <w:szCs w:val="24"/>
          <w:highlight w:val="none"/>
          <w:lang w:val="en-US" w:eastAsia="zh-CN" w:bidi="ar-SA"/>
        </w:rPr>
        <w:t>、项目概况</w:t>
      </w:r>
    </w:p>
    <w:p w14:paraId="759FAA5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1.1</w:t>
      </w:r>
      <w:r>
        <w:rPr>
          <w:rFonts w:hint="eastAsia" w:ascii="宋体" w:hAnsi="宋体" w:eastAsia="宋体" w:cs="宋体"/>
          <w:color w:val="auto"/>
          <w:kern w:val="2"/>
          <w:sz w:val="21"/>
          <w:szCs w:val="21"/>
          <w:highlight w:val="none"/>
          <w:lang w:val="en-US" w:eastAsia="zh-CN" w:bidi="ar-SA"/>
        </w:rPr>
        <w:t>现场图片</w:t>
      </w:r>
    </w:p>
    <w:p w14:paraId="0B6DABB1">
      <w:pPr>
        <w:numPr>
          <w:ilvl w:val="0"/>
          <w:numId w:val="0"/>
        </w:numPr>
        <w:jc w:val="center"/>
        <w:rPr>
          <w:rFonts w:hint="eastAsia" w:eastAsiaTheme="minorEastAsia"/>
          <w:color w:val="auto"/>
          <w:highlight w:val="none"/>
          <w:lang w:eastAsia="zh-CN"/>
        </w:rPr>
      </w:pPr>
      <w:r>
        <w:rPr>
          <w:color w:val="auto"/>
          <w:highlight w:val="none"/>
        </w:rPr>
        <w:drawing>
          <wp:inline distT="0" distB="0" distL="114300" distR="114300">
            <wp:extent cx="5272405" cy="2965450"/>
            <wp:effectExtent l="0" t="0" r="44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1"/>
                    <a:stretch>
                      <a:fillRect/>
                    </a:stretch>
                  </pic:blipFill>
                  <pic:spPr>
                    <a:xfrm>
                      <a:off x="0" y="0"/>
                      <a:ext cx="5272405" cy="2965450"/>
                    </a:xfrm>
                    <a:prstGeom prst="rect">
                      <a:avLst/>
                    </a:prstGeom>
                    <a:noFill/>
                    <a:ln>
                      <a:noFill/>
                    </a:ln>
                  </pic:spPr>
                </pic:pic>
              </a:graphicData>
            </a:graphic>
          </wp:inline>
        </w:drawing>
      </w:r>
    </w:p>
    <w:p w14:paraId="5F427456">
      <w:pPr>
        <w:numPr>
          <w:ilvl w:val="0"/>
          <w:numId w:val="0"/>
        </w:num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图 1-1 现场航拍图</w:t>
      </w:r>
    </w:p>
    <w:p w14:paraId="17087287">
      <w:pPr>
        <w:numPr>
          <w:ilvl w:val="0"/>
          <w:numId w:val="0"/>
        </w:numPr>
        <w:jc w:val="center"/>
        <w:rPr>
          <w:color w:val="auto"/>
          <w:highlight w:val="none"/>
        </w:rPr>
      </w:pPr>
      <w:r>
        <w:rPr>
          <w:color w:val="auto"/>
          <w:highlight w:val="none"/>
        </w:rPr>
        <w:drawing>
          <wp:inline distT="0" distB="0" distL="114300" distR="114300">
            <wp:extent cx="5272405" cy="2965450"/>
            <wp:effectExtent l="0" t="0" r="444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2"/>
                    <a:stretch>
                      <a:fillRect/>
                    </a:stretch>
                  </pic:blipFill>
                  <pic:spPr>
                    <a:xfrm>
                      <a:off x="0" y="0"/>
                      <a:ext cx="5272405" cy="2965450"/>
                    </a:xfrm>
                    <a:prstGeom prst="rect">
                      <a:avLst/>
                    </a:prstGeom>
                    <a:noFill/>
                    <a:ln>
                      <a:noFill/>
                    </a:ln>
                  </pic:spPr>
                </pic:pic>
              </a:graphicData>
            </a:graphic>
          </wp:inline>
        </w:drawing>
      </w:r>
    </w:p>
    <w:p w14:paraId="21FB1663">
      <w:pPr>
        <w:numPr>
          <w:ilvl w:val="0"/>
          <w:numId w:val="0"/>
        </w:num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图 1-2 现场航拍图</w:t>
      </w:r>
    </w:p>
    <w:p w14:paraId="7C9CE636">
      <w:pPr>
        <w:pStyle w:val="39"/>
        <w:ind w:left="0" w:leftChars="0" w:firstLine="0" w:firstLineChars="0"/>
        <w:jc w:val="center"/>
        <w:rPr>
          <w:color w:val="auto"/>
          <w:highlight w:val="none"/>
        </w:rPr>
      </w:pPr>
      <w:r>
        <w:rPr>
          <w:color w:val="auto"/>
          <w:highlight w:val="none"/>
        </w:rPr>
        <w:drawing>
          <wp:inline distT="0" distB="0" distL="114300" distR="114300">
            <wp:extent cx="5253990" cy="3940175"/>
            <wp:effectExtent l="0" t="0" r="3810" b="317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23"/>
                    <a:stretch>
                      <a:fillRect/>
                    </a:stretch>
                  </pic:blipFill>
                  <pic:spPr>
                    <a:xfrm>
                      <a:off x="0" y="0"/>
                      <a:ext cx="5253990" cy="3940175"/>
                    </a:xfrm>
                    <a:prstGeom prst="rect">
                      <a:avLst/>
                    </a:prstGeom>
                    <a:noFill/>
                    <a:ln>
                      <a:noFill/>
                    </a:ln>
                  </pic:spPr>
                </pic:pic>
              </a:graphicData>
            </a:graphic>
          </wp:inline>
        </w:drawing>
      </w:r>
    </w:p>
    <w:p w14:paraId="4C20284B">
      <w:pPr>
        <w:numPr>
          <w:ilvl w:val="0"/>
          <w:numId w:val="0"/>
        </w:num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图 1-3 内部结构图</w:t>
      </w:r>
    </w:p>
    <w:p w14:paraId="486491EE">
      <w:pPr>
        <w:pStyle w:val="40"/>
        <w:ind w:left="0" w:leftChars="0" w:firstLine="0" w:firstLineChars="0"/>
        <w:jc w:val="center"/>
        <w:rPr>
          <w:rFonts w:hint="eastAsia"/>
          <w:color w:val="auto"/>
          <w:highlight w:val="none"/>
          <w:lang w:val="en-US" w:eastAsia="zh-CN"/>
        </w:rPr>
      </w:pPr>
      <w:r>
        <w:rPr>
          <w:color w:val="auto"/>
          <w:highlight w:val="none"/>
        </w:rPr>
        <w:drawing>
          <wp:inline distT="0" distB="0" distL="114300" distR="114300">
            <wp:extent cx="5272405" cy="3312795"/>
            <wp:effectExtent l="0" t="0" r="4445" b="190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24"/>
                    <a:stretch>
                      <a:fillRect/>
                    </a:stretch>
                  </pic:blipFill>
                  <pic:spPr>
                    <a:xfrm>
                      <a:off x="0" y="0"/>
                      <a:ext cx="5272405" cy="3312795"/>
                    </a:xfrm>
                    <a:prstGeom prst="rect">
                      <a:avLst/>
                    </a:prstGeom>
                    <a:noFill/>
                    <a:ln>
                      <a:noFill/>
                    </a:ln>
                  </pic:spPr>
                </pic:pic>
              </a:graphicData>
            </a:graphic>
          </wp:inline>
        </w:drawing>
      </w:r>
    </w:p>
    <w:p w14:paraId="6A163037">
      <w:pPr>
        <w:numPr>
          <w:ilvl w:val="0"/>
          <w:numId w:val="0"/>
        </w:num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图 1-4 内部电房图</w:t>
      </w:r>
    </w:p>
    <w:p w14:paraId="4ABCDA02">
      <w:pPr>
        <w:pStyle w:val="28"/>
        <w:ind w:left="0" w:leftChars="0" w:firstLine="0" w:firstLineChars="0"/>
        <w:jc w:val="center"/>
        <w:rPr>
          <w:color w:val="auto"/>
          <w:highlight w:val="none"/>
        </w:rPr>
      </w:pPr>
      <w:r>
        <w:rPr>
          <w:color w:val="auto"/>
          <w:highlight w:val="none"/>
        </w:rPr>
        <w:drawing>
          <wp:inline distT="0" distB="0" distL="114300" distR="114300">
            <wp:extent cx="5253990" cy="3940175"/>
            <wp:effectExtent l="0" t="0" r="3810" b="317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25"/>
                    <a:stretch>
                      <a:fillRect/>
                    </a:stretch>
                  </pic:blipFill>
                  <pic:spPr>
                    <a:xfrm>
                      <a:off x="0" y="0"/>
                      <a:ext cx="5253990" cy="3940175"/>
                    </a:xfrm>
                    <a:prstGeom prst="rect">
                      <a:avLst/>
                    </a:prstGeom>
                    <a:noFill/>
                    <a:ln>
                      <a:noFill/>
                    </a:ln>
                  </pic:spPr>
                </pic:pic>
              </a:graphicData>
            </a:graphic>
          </wp:inline>
        </w:drawing>
      </w:r>
    </w:p>
    <w:p w14:paraId="2FDAAAA1">
      <w:pPr>
        <w:numPr>
          <w:ilvl w:val="0"/>
          <w:numId w:val="0"/>
        </w:num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图 1-5 内部电房图</w:t>
      </w:r>
    </w:p>
    <w:p w14:paraId="5329F021">
      <w:pPr>
        <w:rPr>
          <w:rFonts w:hint="eastAsia"/>
          <w:color w:val="auto"/>
          <w:highlight w:val="none"/>
          <w:lang w:val="en-US" w:eastAsia="zh-CN"/>
        </w:rPr>
      </w:pPr>
    </w:p>
    <w:p w14:paraId="6C5110F6">
      <w:pPr>
        <w:jc w:val="center"/>
        <w:rPr>
          <w:color w:val="auto"/>
          <w:highlight w:val="none"/>
        </w:rPr>
      </w:pPr>
      <w:r>
        <w:rPr>
          <w:color w:val="auto"/>
          <w:highlight w:val="none"/>
        </w:rPr>
        <w:drawing>
          <wp:inline distT="0" distB="0" distL="114300" distR="114300">
            <wp:extent cx="5274310" cy="3342005"/>
            <wp:effectExtent l="0" t="0" r="2540" b="1079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6"/>
                    <a:stretch>
                      <a:fillRect/>
                    </a:stretch>
                  </pic:blipFill>
                  <pic:spPr>
                    <a:xfrm>
                      <a:off x="0" y="0"/>
                      <a:ext cx="5274310" cy="3342005"/>
                    </a:xfrm>
                    <a:prstGeom prst="rect">
                      <a:avLst/>
                    </a:prstGeom>
                    <a:noFill/>
                    <a:ln>
                      <a:noFill/>
                    </a:ln>
                  </pic:spPr>
                </pic:pic>
              </a:graphicData>
            </a:graphic>
          </wp:inline>
        </w:drawing>
      </w:r>
    </w:p>
    <w:p w14:paraId="028BE1FD">
      <w:pPr>
        <w:rPr>
          <w:color w:val="auto"/>
          <w:highlight w:val="none"/>
        </w:rPr>
      </w:pPr>
    </w:p>
    <w:p w14:paraId="563300C0">
      <w:pPr>
        <w:numPr>
          <w:ilvl w:val="0"/>
          <w:numId w:val="0"/>
        </w:num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图 1-6 光伏布置图</w:t>
      </w:r>
    </w:p>
    <w:p w14:paraId="1D7DA5D6">
      <w:pPr>
        <w:numPr>
          <w:ilvl w:val="0"/>
          <w:numId w:val="0"/>
        </w:numPr>
        <w:jc w:val="center"/>
        <w:rPr>
          <w:rFonts w:hint="default" w:ascii="仿宋_GB2312" w:hAnsi="仿宋_GB2312" w:eastAsia="仿宋_GB2312" w:cs="仿宋_GB2312"/>
          <w:color w:val="auto"/>
          <w:highlight w:val="none"/>
          <w:lang w:val="en-US" w:eastAsia="zh-CN"/>
        </w:rPr>
      </w:pPr>
    </w:p>
    <w:p w14:paraId="59B1A56C">
      <w:pPr>
        <w:pStyle w:val="39"/>
        <w:jc w:val="center"/>
        <w:rPr>
          <w:rFonts w:hint="default"/>
          <w:color w:val="auto"/>
          <w:sz w:val="22"/>
          <w:szCs w:val="22"/>
          <w:highlight w:val="none"/>
          <w:lang w:val="en-US" w:eastAsia="zh-CN"/>
        </w:rPr>
      </w:pPr>
      <w:r>
        <w:rPr>
          <w:rFonts w:hint="default"/>
          <w:color w:val="auto"/>
          <w:sz w:val="22"/>
          <w:szCs w:val="22"/>
          <w:highlight w:val="none"/>
          <w:lang w:val="en-US" w:eastAsia="zh-CN"/>
        </w:rPr>
        <w:t>光伏组件铺设规划表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609"/>
        <w:gridCol w:w="608"/>
        <w:gridCol w:w="1217"/>
        <w:gridCol w:w="1217"/>
        <w:gridCol w:w="1218"/>
      </w:tblGrid>
      <w:tr w14:paraId="24529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8520" w:type="dxa"/>
            <w:gridSpan w:val="8"/>
            <w:shd w:val="clear" w:color="auto" w:fill="FFFFFF" w:themeFill="background1"/>
            <w:vAlign w:val="center"/>
          </w:tcPr>
          <w:p w14:paraId="2FAD0B32">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东莞市裕隆钢管制品有限公司</w:t>
            </w:r>
          </w:p>
        </w:tc>
      </w:tr>
      <w:tr w14:paraId="1ECB1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0" w:type="dxa"/>
            <w:gridSpan w:val="4"/>
            <w:shd w:val="clear" w:color="auto" w:fill="FFFFFF" w:themeFill="background1"/>
            <w:vAlign w:val="center"/>
          </w:tcPr>
          <w:p w14:paraId="0614A231">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光伏装机容量（kWp）</w:t>
            </w:r>
          </w:p>
        </w:tc>
        <w:tc>
          <w:tcPr>
            <w:tcW w:w="4260" w:type="dxa"/>
            <w:gridSpan w:val="4"/>
            <w:shd w:val="clear" w:color="auto" w:fill="FFFFFF" w:themeFill="background1"/>
            <w:vAlign w:val="center"/>
          </w:tcPr>
          <w:p w14:paraId="21AF003F">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399.6</w:t>
            </w:r>
          </w:p>
        </w:tc>
      </w:tr>
      <w:tr w14:paraId="12C74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shd w:val="clear" w:color="auto" w:fill="FFFFFF" w:themeFill="background1"/>
            <w:vAlign w:val="center"/>
          </w:tcPr>
          <w:p w14:paraId="477D2B48">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序号</w:t>
            </w:r>
          </w:p>
        </w:tc>
        <w:tc>
          <w:tcPr>
            <w:tcW w:w="1217" w:type="dxa"/>
            <w:shd w:val="clear" w:color="auto" w:fill="FFFFFF" w:themeFill="background1"/>
            <w:vAlign w:val="center"/>
          </w:tcPr>
          <w:p w14:paraId="517BB2F1">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建筑名称</w:t>
            </w:r>
          </w:p>
        </w:tc>
        <w:tc>
          <w:tcPr>
            <w:tcW w:w="1217" w:type="dxa"/>
            <w:shd w:val="clear" w:color="auto" w:fill="FFFFFF" w:themeFill="background1"/>
            <w:vAlign w:val="center"/>
          </w:tcPr>
          <w:p w14:paraId="1999836A">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安装面积（㎡）</w:t>
            </w:r>
          </w:p>
        </w:tc>
        <w:tc>
          <w:tcPr>
            <w:tcW w:w="1217" w:type="dxa"/>
            <w:gridSpan w:val="2"/>
            <w:shd w:val="clear" w:color="auto" w:fill="FFFFFF" w:themeFill="background1"/>
            <w:vAlign w:val="center"/>
          </w:tcPr>
          <w:p w14:paraId="067E1F43">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600W组件数量（块）</w:t>
            </w:r>
          </w:p>
        </w:tc>
        <w:tc>
          <w:tcPr>
            <w:tcW w:w="1217" w:type="dxa"/>
            <w:shd w:val="clear" w:color="auto" w:fill="FFFFFF" w:themeFill="background1"/>
            <w:vAlign w:val="center"/>
          </w:tcPr>
          <w:p w14:paraId="13980F37">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装机功率（kWp）</w:t>
            </w:r>
          </w:p>
        </w:tc>
        <w:tc>
          <w:tcPr>
            <w:tcW w:w="1217" w:type="dxa"/>
            <w:shd w:val="clear" w:color="auto" w:fill="FFFFFF" w:themeFill="background1"/>
            <w:vAlign w:val="center"/>
          </w:tcPr>
          <w:p w14:paraId="3247E368">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安装方式</w:t>
            </w:r>
          </w:p>
        </w:tc>
        <w:tc>
          <w:tcPr>
            <w:tcW w:w="1218" w:type="dxa"/>
            <w:shd w:val="clear" w:color="auto" w:fill="FFFFFF" w:themeFill="background1"/>
            <w:vAlign w:val="center"/>
          </w:tcPr>
          <w:p w14:paraId="3BD9A8C0">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备注</w:t>
            </w:r>
          </w:p>
        </w:tc>
      </w:tr>
      <w:tr w14:paraId="3B0C6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shd w:val="clear" w:color="auto" w:fill="FFFFFF" w:themeFill="background1"/>
            <w:vAlign w:val="center"/>
          </w:tcPr>
          <w:p w14:paraId="1E7FE084">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1217" w:type="dxa"/>
            <w:shd w:val="clear" w:color="auto" w:fill="FFFFFF" w:themeFill="background1"/>
            <w:vAlign w:val="center"/>
          </w:tcPr>
          <w:p w14:paraId="1A0815A1">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1号楼</w:t>
            </w:r>
          </w:p>
        </w:tc>
        <w:tc>
          <w:tcPr>
            <w:tcW w:w="1217" w:type="dxa"/>
            <w:shd w:val="clear" w:color="auto" w:fill="FFFFFF" w:themeFill="background1"/>
            <w:vAlign w:val="center"/>
          </w:tcPr>
          <w:p w14:paraId="6092982F">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179</w:t>
            </w:r>
          </w:p>
        </w:tc>
        <w:tc>
          <w:tcPr>
            <w:tcW w:w="1217" w:type="dxa"/>
            <w:gridSpan w:val="2"/>
            <w:shd w:val="clear" w:color="auto" w:fill="FFFFFF" w:themeFill="background1"/>
            <w:vAlign w:val="center"/>
          </w:tcPr>
          <w:p w14:paraId="29C5BF3D">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64</w:t>
            </w:r>
          </w:p>
        </w:tc>
        <w:tc>
          <w:tcPr>
            <w:tcW w:w="1217" w:type="dxa"/>
            <w:shd w:val="clear" w:color="auto" w:fill="FFFFFF" w:themeFill="background1"/>
            <w:vAlign w:val="center"/>
          </w:tcPr>
          <w:p w14:paraId="150DA0EB">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38.4</w:t>
            </w:r>
          </w:p>
        </w:tc>
        <w:tc>
          <w:tcPr>
            <w:tcW w:w="1217" w:type="dxa"/>
            <w:shd w:val="clear" w:color="auto" w:fill="FFFFFF" w:themeFill="background1"/>
            <w:vAlign w:val="center"/>
          </w:tcPr>
          <w:p w14:paraId="76020313">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棚架式</w:t>
            </w:r>
          </w:p>
        </w:tc>
        <w:tc>
          <w:tcPr>
            <w:tcW w:w="1218" w:type="dxa"/>
            <w:shd w:val="clear" w:color="auto" w:fill="FFFFFF" w:themeFill="background1"/>
            <w:vAlign w:val="center"/>
          </w:tcPr>
          <w:p w14:paraId="6704CFA9">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方通</w:t>
            </w:r>
          </w:p>
        </w:tc>
      </w:tr>
      <w:tr w14:paraId="11865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shd w:val="clear" w:color="auto" w:fill="FFFFFF" w:themeFill="background1"/>
            <w:vAlign w:val="center"/>
          </w:tcPr>
          <w:p w14:paraId="4AD7B562">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w:t>
            </w:r>
          </w:p>
        </w:tc>
        <w:tc>
          <w:tcPr>
            <w:tcW w:w="1217" w:type="dxa"/>
            <w:shd w:val="clear" w:color="auto" w:fill="FFFFFF" w:themeFill="background1"/>
            <w:vAlign w:val="center"/>
          </w:tcPr>
          <w:p w14:paraId="0115B9E1">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2号楼</w:t>
            </w:r>
          </w:p>
        </w:tc>
        <w:tc>
          <w:tcPr>
            <w:tcW w:w="1217" w:type="dxa"/>
            <w:shd w:val="clear" w:color="auto" w:fill="FFFFFF" w:themeFill="background1"/>
            <w:vAlign w:val="center"/>
          </w:tcPr>
          <w:p w14:paraId="546EF82B">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196</w:t>
            </w:r>
          </w:p>
        </w:tc>
        <w:tc>
          <w:tcPr>
            <w:tcW w:w="1217" w:type="dxa"/>
            <w:gridSpan w:val="2"/>
            <w:shd w:val="clear" w:color="auto" w:fill="FFFFFF" w:themeFill="background1"/>
            <w:vAlign w:val="center"/>
          </w:tcPr>
          <w:p w14:paraId="7224C5F3">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70</w:t>
            </w:r>
          </w:p>
        </w:tc>
        <w:tc>
          <w:tcPr>
            <w:tcW w:w="1217" w:type="dxa"/>
            <w:shd w:val="clear" w:color="auto" w:fill="FFFFFF" w:themeFill="background1"/>
            <w:vAlign w:val="center"/>
          </w:tcPr>
          <w:p w14:paraId="507B164E">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42</w:t>
            </w:r>
          </w:p>
        </w:tc>
        <w:tc>
          <w:tcPr>
            <w:tcW w:w="1217" w:type="dxa"/>
            <w:shd w:val="clear" w:color="auto" w:fill="FFFFFF" w:themeFill="background1"/>
            <w:vAlign w:val="center"/>
          </w:tcPr>
          <w:p w14:paraId="3F357321">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棚架式</w:t>
            </w:r>
          </w:p>
        </w:tc>
        <w:tc>
          <w:tcPr>
            <w:tcW w:w="1218" w:type="dxa"/>
            <w:shd w:val="clear" w:color="auto" w:fill="FFFFFF" w:themeFill="background1"/>
            <w:vAlign w:val="center"/>
          </w:tcPr>
          <w:p w14:paraId="59D1386D">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方通</w:t>
            </w:r>
          </w:p>
        </w:tc>
      </w:tr>
      <w:tr w14:paraId="3338C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shd w:val="clear" w:color="auto" w:fill="FFFFFF" w:themeFill="background1"/>
            <w:vAlign w:val="center"/>
          </w:tcPr>
          <w:p w14:paraId="7EB38AAA">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w:t>
            </w:r>
          </w:p>
        </w:tc>
        <w:tc>
          <w:tcPr>
            <w:tcW w:w="1217" w:type="dxa"/>
            <w:shd w:val="clear" w:color="auto" w:fill="FFFFFF" w:themeFill="background1"/>
            <w:vAlign w:val="center"/>
          </w:tcPr>
          <w:p w14:paraId="1AB66BBE">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3号楼</w:t>
            </w:r>
          </w:p>
        </w:tc>
        <w:tc>
          <w:tcPr>
            <w:tcW w:w="1217" w:type="dxa"/>
            <w:shd w:val="clear" w:color="auto" w:fill="FFFFFF" w:themeFill="background1"/>
            <w:vAlign w:val="center"/>
          </w:tcPr>
          <w:p w14:paraId="0CD21EA9">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1490</w:t>
            </w:r>
          </w:p>
        </w:tc>
        <w:tc>
          <w:tcPr>
            <w:tcW w:w="1217" w:type="dxa"/>
            <w:gridSpan w:val="2"/>
            <w:shd w:val="clear" w:color="auto" w:fill="FFFFFF" w:themeFill="background1"/>
            <w:vAlign w:val="center"/>
          </w:tcPr>
          <w:p w14:paraId="34944729">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532</w:t>
            </w:r>
          </w:p>
        </w:tc>
        <w:tc>
          <w:tcPr>
            <w:tcW w:w="1217" w:type="dxa"/>
            <w:shd w:val="clear" w:color="auto" w:fill="FFFFFF" w:themeFill="background1"/>
            <w:vAlign w:val="center"/>
          </w:tcPr>
          <w:p w14:paraId="6C414B65">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319.2</w:t>
            </w:r>
          </w:p>
        </w:tc>
        <w:tc>
          <w:tcPr>
            <w:tcW w:w="1217" w:type="dxa"/>
            <w:shd w:val="clear" w:color="auto" w:fill="FFFFFF" w:themeFill="background1"/>
            <w:vAlign w:val="center"/>
          </w:tcPr>
          <w:p w14:paraId="578C8D08">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平铺式</w:t>
            </w:r>
          </w:p>
        </w:tc>
        <w:tc>
          <w:tcPr>
            <w:tcW w:w="1218" w:type="dxa"/>
            <w:shd w:val="clear" w:color="auto" w:fill="FFFFFF" w:themeFill="background1"/>
            <w:vAlign w:val="center"/>
          </w:tcPr>
          <w:p w14:paraId="18A315A2">
            <w:p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彩钢瓦</w:t>
            </w:r>
          </w:p>
        </w:tc>
      </w:tr>
      <w:tr w14:paraId="6316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34" w:type="dxa"/>
            <w:gridSpan w:val="2"/>
            <w:shd w:val="clear" w:color="auto" w:fill="FFFFFF" w:themeFill="background1"/>
            <w:vAlign w:val="center"/>
          </w:tcPr>
          <w:p w14:paraId="0A831A01">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合计</w:t>
            </w:r>
          </w:p>
        </w:tc>
        <w:tc>
          <w:tcPr>
            <w:tcW w:w="1217" w:type="dxa"/>
            <w:shd w:val="clear" w:color="auto" w:fill="FFFFFF" w:themeFill="background1"/>
            <w:vAlign w:val="center"/>
          </w:tcPr>
          <w:p w14:paraId="5FB3CE7F">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1864.8</w:t>
            </w:r>
          </w:p>
        </w:tc>
        <w:tc>
          <w:tcPr>
            <w:tcW w:w="1217" w:type="dxa"/>
            <w:gridSpan w:val="2"/>
            <w:shd w:val="clear" w:color="auto" w:fill="FFFFFF" w:themeFill="background1"/>
            <w:vAlign w:val="center"/>
          </w:tcPr>
          <w:p w14:paraId="5BEC56CD">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666</w:t>
            </w:r>
          </w:p>
        </w:tc>
        <w:tc>
          <w:tcPr>
            <w:tcW w:w="1217" w:type="dxa"/>
            <w:shd w:val="clear" w:color="auto" w:fill="FFFFFF" w:themeFill="background1"/>
            <w:vAlign w:val="center"/>
          </w:tcPr>
          <w:p w14:paraId="2662C945">
            <w:pPr>
              <w:jc w:val="center"/>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399.6</w:t>
            </w:r>
          </w:p>
        </w:tc>
        <w:tc>
          <w:tcPr>
            <w:tcW w:w="1217" w:type="dxa"/>
            <w:shd w:val="clear" w:color="auto" w:fill="FFFFFF" w:themeFill="background1"/>
            <w:vAlign w:val="center"/>
          </w:tcPr>
          <w:p w14:paraId="53D4749B">
            <w:pPr>
              <w:jc w:val="center"/>
              <w:rPr>
                <w:rFonts w:hint="eastAsia" w:ascii="宋体" w:hAnsi="宋体" w:eastAsia="宋体" w:cs="宋体"/>
                <w:color w:val="auto"/>
                <w:sz w:val="21"/>
                <w:szCs w:val="21"/>
                <w:highlight w:val="none"/>
                <w:vertAlign w:val="baseline"/>
                <w:lang w:val="en-US" w:eastAsia="zh-CN"/>
              </w:rPr>
            </w:pPr>
          </w:p>
        </w:tc>
        <w:tc>
          <w:tcPr>
            <w:tcW w:w="1218" w:type="dxa"/>
            <w:shd w:val="clear" w:color="auto" w:fill="FFFFFF" w:themeFill="background1"/>
            <w:vAlign w:val="center"/>
          </w:tcPr>
          <w:p w14:paraId="6C6CFEB0">
            <w:pPr>
              <w:jc w:val="center"/>
              <w:rPr>
                <w:rFonts w:hint="eastAsia" w:ascii="宋体" w:hAnsi="宋体" w:eastAsia="宋体" w:cs="宋体"/>
                <w:color w:val="auto"/>
                <w:sz w:val="21"/>
                <w:szCs w:val="21"/>
                <w:highlight w:val="none"/>
                <w:vertAlign w:val="baseline"/>
                <w:lang w:val="en-US" w:eastAsia="zh-CN"/>
              </w:rPr>
            </w:pPr>
          </w:p>
        </w:tc>
      </w:tr>
    </w:tbl>
    <w:p w14:paraId="2E0B23A4">
      <w:pPr>
        <w:numPr>
          <w:ilvl w:val="0"/>
          <w:numId w:val="0"/>
        </w:numPr>
        <w:rPr>
          <w:rFonts w:hint="eastAsia" w:ascii="宋体" w:hAnsi="宋体" w:eastAsia="宋体" w:cs="宋体"/>
          <w:color w:val="auto"/>
          <w:sz w:val="21"/>
          <w:szCs w:val="21"/>
          <w:highlight w:val="none"/>
          <w:lang w:val="en-US" w:eastAsia="zh-CN"/>
        </w:rPr>
      </w:pPr>
    </w:p>
    <w:p w14:paraId="7524856D">
      <w:pPr>
        <w:pStyle w:val="2"/>
        <w:rPr>
          <w:rFonts w:hint="eastAsia" w:ascii="宋体" w:hAnsi="宋体" w:eastAsia="宋体" w:cs="宋体"/>
          <w:color w:val="auto"/>
          <w:sz w:val="21"/>
          <w:szCs w:val="21"/>
          <w:highlight w:val="none"/>
          <w:lang w:val="en-US" w:eastAsia="zh-CN"/>
        </w:rPr>
      </w:pPr>
    </w:p>
    <w:p w14:paraId="241536CD">
      <w:pPr>
        <w:pStyle w:val="2"/>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 项目基本概况</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6"/>
        <w:gridCol w:w="6716"/>
      </w:tblGrid>
      <w:tr w14:paraId="040BC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67BD2091">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项目名称</w:t>
            </w:r>
          </w:p>
        </w:tc>
        <w:tc>
          <w:tcPr>
            <w:tcW w:w="6716" w:type="dxa"/>
            <w:vAlign w:val="center"/>
          </w:tcPr>
          <w:p w14:paraId="13C44373">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东莞市新锋新能源有限公司裕隆厂区分布式光伏发电项目</w:t>
            </w:r>
          </w:p>
        </w:tc>
      </w:tr>
      <w:tr w14:paraId="09A4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21B37CEC">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项目地址</w:t>
            </w:r>
          </w:p>
        </w:tc>
        <w:tc>
          <w:tcPr>
            <w:tcW w:w="6716" w:type="dxa"/>
            <w:vAlign w:val="center"/>
          </w:tcPr>
          <w:p w14:paraId="78908C19">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东莞市塘厦镇横塘社区松园街11号</w:t>
            </w:r>
          </w:p>
        </w:tc>
      </w:tr>
      <w:tr w14:paraId="2BDD0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5D6F0D80">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屋顶面积</w:t>
            </w:r>
          </w:p>
        </w:tc>
        <w:tc>
          <w:tcPr>
            <w:tcW w:w="6716" w:type="dxa"/>
            <w:vAlign w:val="center"/>
          </w:tcPr>
          <w:p w14:paraId="10E5AFD2">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约3100㎡</w:t>
            </w:r>
          </w:p>
        </w:tc>
      </w:tr>
      <w:tr w14:paraId="1530E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4F5118E1">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楼面类型</w:t>
            </w:r>
          </w:p>
        </w:tc>
        <w:tc>
          <w:tcPr>
            <w:tcW w:w="6716" w:type="dxa"/>
            <w:vAlign w:val="center"/>
          </w:tcPr>
          <w:p w14:paraId="64DF1162">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彩钢瓦屋顶、混凝土屋顶</w:t>
            </w:r>
          </w:p>
        </w:tc>
      </w:tr>
      <w:tr w14:paraId="2908B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2EE8A479">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变压器容量</w:t>
            </w:r>
          </w:p>
        </w:tc>
        <w:tc>
          <w:tcPr>
            <w:tcW w:w="6716" w:type="dxa"/>
            <w:vAlign w:val="center"/>
          </w:tcPr>
          <w:p w14:paraId="33FADF11">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1×400kVA=400kVA</w:t>
            </w:r>
          </w:p>
        </w:tc>
      </w:tr>
      <w:tr w14:paraId="72A90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2D26D5BD">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装机容量</w:t>
            </w:r>
          </w:p>
        </w:tc>
        <w:tc>
          <w:tcPr>
            <w:tcW w:w="6716" w:type="dxa"/>
            <w:vAlign w:val="center"/>
          </w:tcPr>
          <w:p w14:paraId="1AD511C0">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399.6kWp</w:t>
            </w:r>
          </w:p>
        </w:tc>
      </w:tr>
      <w:tr w14:paraId="211B4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61985439">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光伏组件</w:t>
            </w:r>
          </w:p>
        </w:tc>
        <w:tc>
          <w:tcPr>
            <w:tcW w:w="6716" w:type="dxa"/>
            <w:vAlign w:val="center"/>
          </w:tcPr>
          <w:p w14:paraId="444707ED">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666块（600Wp N型单晶硅高效组件）</w:t>
            </w:r>
          </w:p>
        </w:tc>
      </w:tr>
      <w:tr w14:paraId="5F2E1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415F0EDE">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安装方式</w:t>
            </w:r>
          </w:p>
        </w:tc>
        <w:tc>
          <w:tcPr>
            <w:tcW w:w="6716" w:type="dxa"/>
            <w:vAlign w:val="center"/>
          </w:tcPr>
          <w:p w14:paraId="166AE0D0">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平铺式、棚架式，自发自用，余电上网</w:t>
            </w:r>
          </w:p>
        </w:tc>
      </w:tr>
      <w:tr w14:paraId="667A2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vAlign w:val="center"/>
          </w:tcPr>
          <w:p w14:paraId="3EDC2DF8">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增加项</w:t>
            </w:r>
          </w:p>
        </w:tc>
        <w:tc>
          <w:tcPr>
            <w:tcW w:w="6716" w:type="dxa"/>
            <w:vAlign w:val="center"/>
          </w:tcPr>
          <w:p w14:paraId="40D8C9F0">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简易结构加固：不上人彩钢瓦屋顶需要，加固面积约2600㎡，含加固设计费与审图费、檩条增加。</w:t>
            </w:r>
          </w:p>
          <w:p w14:paraId="4712ED1F">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配电设备改造：电房配电设备老旧需要，以供电前期现场勘察报告为准。</w:t>
            </w:r>
          </w:p>
          <w:p w14:paraId="4A2F055E">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结构鉴定：专业鉴定单位出具房屋结构安全鉴定报告。</w:t>
            </w:r>
          </w:p>
        </w:tc>
      </w:tr>
    </w:tbl>
    <w:p w14:paraId="4F88FD6F">
      <w:pPr>
        <w:pStyle w:val="2"/>
        <w:rPr>
          <w:rFonts w:hint="eastAsia" w:ascii="宋体" w:hAnsi="宋体" w:eastAsia="宋体" w:cs="宋体"/>
          <w:color w:val="auto"/>
          <w:sz w:val="21"/>
          <w:szCs w:val="21"/>
          <w:highlight w:val="none"/>
          <w:lang w:val="en-US" w:eastAsia="zh-CN"/>
        </w:rPr>
      </w:pPr>
    </w:p>
    <w:p w14:paraId="7363206E">
      <w:pPr>
        <w:pStyle w:val="2"/>
        <w:rPr>
          <w:rFonts w:hint="eastAsia" w:ascii="宋体" w:hAnsi="宋体" w:eastAsia="宋体" w:cs="宋体"/>
          <w:color w:val="auto"/>
          <w:sz w:val="21"/>
          <w:szCs w:val="21"/>
          <w:highlight w:val="none"/>
          <w:lang w:val="en-US" w:eastAsia="zh-CN"/>
        </w:rPr>
      </w:pPr>
    </w:p>
    <w:p w14:paraId="52F3EF72">
      <w:pPr>
        <w:pStyle w:val="2"/>
        <w:rPr>
          <w:rFonts w:hint="eastAsia" w:ascii="宋体" w:hAnsi="宋体" w:eastAsia="宋体" w:cs="宋体"/>
          <w:color w:val="auto"/>
          <w:sz w:val="21"/>
          <w:szCs w:val="21"/>
          <w:highlight w:val="none"/>
          <w:lang w:val="en-US" w:eastAsia="zh-CN"/>
        </w:rPr>
      </w:pPr>
    </w:p>
    <w:p w14:paraId="01FA0081">
      <w:pPr>
        <w:pStyle w:val="2"/>
        <w:rPr>
          <w:rFonts w:hint="eastAsia" w:ascii="宋体" w:hAnsi="宋体" w:eastAsia="宋体" w:cs="宋体"/>
          <w:color w:val="auto"/>
          <w:sz w:val="21"/>
          <w:szCs w:val="21"/>
          <w:highlight w:val="none"/>
          <w:lang w:val="en-US" w:eastAsia="zh-CN"/>
        </w:rPr>
      </w:pPr>
    </w:p>
    <w:p w14:paraId="0E2D90A8">
      <w:pPr>
        <w:numPr>
          <w:ilvl w:val="0"/>
          <w:numId w:val="0"/>
        </w:num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 采购清单</w:t>
      </w:r>
      <w:r>
        <w:rPr>
          <w:rFonts w:hint="eastAsia" w:ascii="宋体" w:hAnsi="宋体" w:eastAsia="宋体" w:cs="宋体"/>
          <w:b/>
          <w:bCs/>
          <w:color w:val="auto"/>
          <w:sz w:val="21"/>
          <w:szCs w:val="21"/>
          <w:highlight w:val="none"/>
          <w:u w:val="single"/>
          <w:lang w:val="en-US" w:eastAsia="zh-CN"/>
        </w:rPr>
        <w:t>（注：本项目采购清单如下，各投标人按清单进行报价，具体数量品牌按自行设计，按本项目需求标准进行如实填报，最终采购人将按需求标准及容量进行验收）</w:t>
      </w:r>
    </w:p>
    <w:tbl>
      <w:tblPr>
        <w:tblStyle w:val="30"/>
        <w:tblW w:w="8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56"/>
        <w:gridCol w:w="1087"/>
        <w:gridCol w:w="2243"/>
        <w:gridCol w:w="505"/>
        <w:gridCol w:w="571"/>
        <w:gridCol w:w="1132"/>
        <w:gridCol w:w="1191"/>
        <w:gridCol w:w="356"/>
        <w:gridCol w:w="779"/>
      </w:tblGrid>
      <w:tr w14:paraId="0B725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8220" w:type="dxa"/>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61F88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b/>
                <w:i w:val="0"/>
                <w:color w:val="auto"/>
                <w:sz w:val="21"/>
                <w:szCs w:val="21"/>
                <w:highlight w:val="none"/>
                <w:u w:val="none"/>
              </w:rPr>
            </w:pPr>
            <w:r>
              <w:rPr>
                <w:rFonts w:hint="eastAsia" w:ascii="宋体" w:hAnsi="宋体" w:eastAsia="宋体" w:cs="宋体"/>
                <w:b/>
                <w:i w:val="0"/>
                <w:color w:val="auto"/>
                <w:kern w:val="0"/>
                <w:sz w:val="21"/>
                <w:szCs w:val="21"/>
                <w:highlight w:val="none"/>
                <w:u w:val="none"/>
                <w:lang w:val="en-US" w:eastAsia="zh-CN" w:bidi="ar"/>
              </w:rPr>
              <w:t>一、设备材料</w:t>
            </w:r>
          </w:p>
        </w:tc>
      </w:tr>
      <w:tr w14:paraId="31D81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C44B0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序号</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33B30C">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项目名称</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2D6F7C">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项目特征描述</w:t>
            </w:r>
          </w:p>
        </w:tc>
        <w:tc>
          <w:tcPr>
            <w:tcW w:w="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F49EC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计量</w:t>
            </w:r>
          </w:p>
          <w:p w14:paraId="56FB4CF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单位</w:t>
            </w:r>
          </w:p>
        </w:tc>
        <w:tc>
          <w:tcPr>
            <w:tcW w:w="5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1CC33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工程</w:t>
            </w:r>
          </w:p>
          <w:p w14:paraId="7904F9C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数量</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AB7B3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含税综合</w:t>
            </w:r>
          </w:p>
          <w:p w14:paraId="27741C1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单价（元）</w:t>
            </w: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E745A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含税合价（元）</w:t>
            </w: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B6F9A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品牌</w:t>
            </w: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CC1A0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备注</w:t>
            </w:r>
          </w:p>
        </w:tc>
      </w:tr>
      <w:tr w14:paraId="0C14A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5F954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D8ED1A">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光伏组件</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389007">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w:t>
            </w:r>
            <w:r>
              <w:rPr>
                <w:rFonts w:hint="eastAsia" w:ascii="宋体" w:hAnsi="宋体" w:eastAsia="宋体" w:cs="宋体"/>
                <w:i w:val="0"/>
                <w:color w:val="auto"/>
                <w:kern w:val="0"/>
                <w:sz w:val="21"/>
                <w:szCs w:val="21"/>
                <w:highlight w:val="none"/>
                <w:u w:val="none"/>
                <w:lang w:val="en-US" w:eastAsia="zh-CN" w:bidi="ar"/>
              </w:rPr>
              <w:t>：600Wp</w:t>
            </w:r>
            <w:r>
              <w:rPr>
                <w:rFonts w:hint="eastAsia" w:ascii="宋体" w:hAnsi="宋体" w:eastAsia="宋体" w:cs="宋体"/>
                <w:i w:val="0"/>
                <w:color w:val="auto"/>
                <w:kern w:val="0"/>
                <w:sz w:val="21"/>
                <w:szCs w:val="21"/>
                <w:highlight w:val="none"/>
                <w:u w:val="none"/>
                <w:lang w:val="en-US" w:eastAsia="zh-CN" w:bidi="ar"/>
              </w:rPr>
              <w:t xml:space="preserve"> </w:t>
            </w:r>
          </w:p>
          <w:p w14:paraId="4B2DCA9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2.类型：单晶硅高效 单面</w:t>
            </w:r>
          </w:p>
          <w:p w14:paraId="5CA217B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3.其他：含边框导流器、压块、接地垫片等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79AC7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块</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39D44F">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C6F3E7">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575750">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5ADB09">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A16054">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5E183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FF517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27279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并网逆变器</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1AA6F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1.规格：110kW</w:t>
            </w:r>
          </w:p>
          <w:p w14:paraId="227D205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2.类型：AC380V 组串式</w:t>
            </w:r>
          </w:p>
          <w:p w14:paraId="709D0E2F">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3.其他：含监控模块等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175EC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D61D0E">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E4916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166209">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0C8D3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3E9D3A">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22FD1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85D13B">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B2079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并网逆变器</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446F9A">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1.规格：50kW</w:t>
            </w:r>
          </w:p>
          <w:p w14:paraId="07EDEE4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2.类型：AC380V 组串式</w:t>
            </w:r>
          </w:p>
          <w:p w14:paraId="2EC3EF0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3.其他：含监控模块等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EE47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3FA3C3">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1C8EA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B8621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DF0FA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6F5221">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5D945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F6692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4</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20075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并网逆变器</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A9E89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1.规格：30kW</w:t>
            </w:r>
          </w:p>
          <w:p w14:paraId="5909537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2.类型：AC380V 组串式</w:t>
            </w:r>
          </w:p>
          <w:p w14:paraId="7545620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3.其他：含监控模块等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B3564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F09FC7">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D89E72">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41A1D7">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1CB9D6">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403EB9">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76733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DFBFB">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5</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36DA99">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交流汇流箱</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28AF87">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1.类型：户外、冷轧钢板</w:t>
            </w:r>
          </w:p>
          <w:p w14:paraId="22315F9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2.其他：防护等级IP65</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4467C0">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799F5F">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3F264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B8FB89">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1758C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6AF525">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76615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577A36">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6</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FC31B7">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并网计量箱</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57E7D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1.类型：户外、冷轧钢板</w:t>
            </w:r>
          </w:p>
          <w:p w14:paraId="64C59B4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2.其他：防护等级IP65</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FDC9F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23447D">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A0C77E">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DAA95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C15D5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1D0846">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42CA0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493DB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7</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B3289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并网计量柜</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964F3B">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1.类型：室内、冷轧钢板、</w:t>
            </w:r>
          </w:p>
          <w:p w14:paraId="3AF3828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2.其他：防护等级IP30、含槽钢底座等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E76880">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5DE99A">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B230F6">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E57F4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E2D7C7">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D13768">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2F9CC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C3EFA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8</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91B0C4">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彩钢瓦屋面固定支架</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10BC48">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1.类型：铝合金导轨</w:t>
            </w:r>
          </w:p>
          <w:p w14:paraId="0890358F">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2.其他：含彩钢瓦夹具等所需配件等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BF0D3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319097">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7797FC">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8B9C27">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9FCFEE">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58B47A">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289FD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41E943">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9</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E1F30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阵列式固定支架</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C6625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1.类型：镀锌U型钢导轨</w:t>
            </w:r>
          </w:p>
          <w:p w14:paraId="079630F7">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2.其他：含C25水泥墩基础等所需配件等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1E550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C3269E">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93A18C">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4C3C3C">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521D62">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256CA4">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6549A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A9DF9C">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10</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37B98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防水棚架</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D72CE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1.类型：防腐防锈型钢立柱、横梁，镀锌C型钢檩条等</w:t>
            </w:r>
          </w:p>
          <w:p w14:paraId="7F543E3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2.其他：含镀锌镁铝M型排水槽、副水槽、不锈钢接水槽、排水管等所需配件</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20142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8CF269">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32D75E">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F8ECD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F13EC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187661">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768DB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48572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11</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1D9CA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光伏专用直流电缆</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687C88">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1.规格：PV1-F-1×4mm²</w:t>
            </w:r>
          </w:p>
          <w:p w14:paraId="411A40DE">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2.其他：配MC4接头、配管不外露等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6D13AB">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324D56">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D0CABF">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576CF6">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E763F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888470">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74E80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6C242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12</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BFA74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交流电缆</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1C2E8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1.类型：阻燃型5芯绝缘护套铜芯电缆</w:t>
            </w:r>
          </w:p>
          <w:p w14:paraId="2F6E1FE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2.其他：配电缆头等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246DAD">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FB97BA">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DD5D2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436E3B">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E7A5B4">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5749C6">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1FBF8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5D43C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13</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59FC0B">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电缆桥架</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C572F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1.类型：镀锌美铝电缆桥架</w:t>
            </w:r>
          </w:p>
          <w:p w14:paraId="3CEC1ED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2.其他：配固定支架、连接件、接地线等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57AC9C">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184FA1">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7A0FD9">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2382E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B681C7">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C0FBA1">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0645C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012B5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14</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A4EA3A">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电缆通道</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5F5418">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1.类型：HDPE管</w:t>
            </w:r>
          </w:p>
          <w:p w14:paraId="0BBE11D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2.其他：含破复地面、埋管、电缆井、防火封堵等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E261E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57B320">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5DEAE4">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FC62C0">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B2CB78">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CC7016">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7E085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8"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5E3A1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15</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349BD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避雷接地系统</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A436D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1.类型：不小于20m×20m或24 m×16m网格50×5热镀锌扁钢</w:t>
            </w:r>
          </w:p>
          <w:p w14:paraId="0629ED08">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2.其他：每栋建筑光伏系统不少于两处独立接地极等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C6EEE3">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996B4D">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3A3F32">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7F4CA4">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D5CE8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93AC21">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02047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606BD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16</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8452D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视频监控系统</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F5ED6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1.类型：360度4G卡视频监控</w:t>
            </w:r>
          </w:p>
          <w:p w14:paraId="0D431459">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2.其他：配固定支架、连接件、含电源接线、接地线等，包1年流量</w:t>
            </w:r>
          </w:p>
          <w:p w14:paraId="43C34E1A">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3.区域：逆变器、光伏阵列对角</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8DEFFC">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B08F4A">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113782">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902A5F">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0E72B7">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FB9E48">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4F837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85284B">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17</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6BE39F">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水清洗系统</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F9389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1.类型：PPR热熔管</w:t>
            </w:r>
          </w:p>
          <w:p w14:paraId="1B4DC599">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2.区域：运维通道附近</w:t>
            </w:r>
          </w:p>
          <w:p w14:paraId="267EB454">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3.其他：含水龙头、增压泵、水表等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41561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9A907">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A45F4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C5074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5D602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979AAC">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39077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3DBD1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18</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8FE4D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彩钢瓦运维通道</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AD980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1.规格：宽度不低于0.4m</w:t>
            </w:r>
          </w:p>
          <w:p w14:paraId="113FFED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2.类型：镀锌格栅板</w:t>
            </w:r>
          </w:p>
          <w:p w14:paraId="40E4B8E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3.其他：配固定件、夹具等</w:t>
            </w:r>
          </w:p>
          <w:p w14:paraId="15D1C28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4.区域：彩钢瓦区域</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1580E1">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ACAE90">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569120">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F7BFCE">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E0AC1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1A0744">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3BB9A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D9BBE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19</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A38FAE">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棚架运维通道</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28C13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1.规格：宽度不低于0.4m</w:t>
            </w:r>
          </w:p>
          <w:p w14:paraId="45636972">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2.类型：镀锌花纹钢板</w:t>
            </w:r>
          </w:p>
          <w:p w14:paraId="1AD5235E">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3.其他：配安全生命线、固定件、夹具等</w:t>
            </w:r>
          </w:p>
          <w:p w14:paraId="23F860FB">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4.区域：棚架区域</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E10A57">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B9ABE9">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F2FA3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77DA9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C776EF">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736C84">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6CF55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8"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DDB1A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20</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29DD0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防护围栏</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E7CE7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1.规格：高度不低于1.2m</w:t>
            </w:r>
          </w:p>
          <w:p w14:paraId="09DD1F7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2.类型：镀锌角钢、U型钢，带0.6m高铁丝网</w:t>
            </w:r>
          </w:p>
          <w:p w14:paraId="00ED9C47">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3.其他：配固定件、夹具等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082D4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9A0F56">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A1D75F">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F6BC7D">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E8E22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2B9587">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6886E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99"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46396F">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21</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2BED2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扶手踏步斜梯</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490CFA">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1.规格：宽度不低于0.8m</w:t>
            </w:r>
          </w:p>
          <w:p w14:paraId="69639DE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2.类型：镀锌方通，带0.9m高扶手与0.8m×1.2m操作平台，与运维通道进行连接</w:t>
            </w:r>
          </w:p>
          <w:p w14:paraId="3D4A3068">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3.区域：棚架区域、彩钢瓦屋顶等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0FC5F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B782F0">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7E996A">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69384A">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1DDA10">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B2A792">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68739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9C57C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22</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564A6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护笼爬梯</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FC9F3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1.规格：护笼直径为0.8m</w:t>
            </w:r>
          </w:p>
          <w:p w14:paraId="3EC46D8F">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2.类型：镀锌圆管，带直径0.8m护笼</w:t>
            </w:r>
          </w:p>
          <w:p w14:paraId="239A853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3.区域：高度不高于3.5m等炮楼区域</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CF569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78CF53">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02782E">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3A81D4">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BDCD4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6EE3FC">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1AB6F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AC56A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23</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637C38">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消防器材</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4A19A9">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1.要求：每台逆变器配置两个4kg手提式干粉灭火器，并装箱保护</w:t>
            </w:r>
          </w:p>
          <w:p w14:paraId="75D2659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2.区域：逆变器区域等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747C11">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6E480A">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4217D2">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E73DFF">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4B7E8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3FD362">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1393F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9D29CA">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24</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EA09AE">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检修配电箱</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80C40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1.类型：户外、不锈钢</w:t>
            </w:r>
          </w:p>
          <w:p w14:paraId="78E45DB7">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2.其他：防护等级IP65</w:t>
            </w:r>
          </w:p>
          <w:p w14:paraId="7A39F1AE">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3.区域：逆变器区域等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4D0D46">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台</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76B67D">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6B680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CAFC3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632E6B">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44080C">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35566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7"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54BDB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25</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5A6114">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逆变器遮雨棚</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35ACD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1.规格：宽度不低于逆变器宽度+0.4m</w:t>
            </w:r>
          </w:p>
          <w:p w14:paraId="0581959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2.类型：304不锈钢</w:t>
            </w:r>
          </w:p>
          <w:p w14:paraId="32EBAFC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3.区域：逆变器区域等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721B8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2F9068">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06D35B">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45966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3448A9">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1E3D5E">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2AEC4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8"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A74AD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26</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525F29">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安全警示牌</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24FE76">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1.内容：结合现场包括但不限于“高空作业，系好安全带”“临边区域，当心坠落”“以防坠落，请勿攀爬”“当心触电”等等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0DE1BF">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004373">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5FD29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2B50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3670A0">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3E4AC7">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4ADB0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3"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F1562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27</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D21869">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其他所需辅材</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C80511">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1.内容：结合现场包括但不限于结构胶、防腐漆、防锈期、焊条、防火泥、接线耳、绝缘套管、配管、安健环等等</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0E427D">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6BA45B">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81426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E8AF05">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AA017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525714">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12B20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8220" w:type="dxa"/>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740A3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b/>
                <w:i w:val="0"/>
                <w:color w:val="auto"/>
                <w:sz w:val="21"/>
                <w:szCs w:val="21"/>
                <w:highlight w:val="none"/>
                <w:u w:val="none"/>
              </w:rPr>
            </w:pPr>
            <w:r>
              <w:rPr>
                <w:rFonts w:hint="eastAsia" w:ascii="宋体" w:hAnsi="宋体" w:eastAsia="宋体" w:cs="宋体"/>
                <w:b/>
                <w:i w:val="0"/>
                <w:color w:val="auto"/>
                <w:kern w:val="0"/>
                <w:sz w:val="21"/>
                <w:szCs w:val="21"/>
                <w:highlight w:val="none"/>
                <w:u w:val="none"/>
                <w:lang w:val="en-US" w:eastAsia="zh-CN" w:bidi="ar"/>
              </w:rPr>
              <w:t>二、试验</w:t>
            </w:r>
          </w:p>
        </w:tc>
      </w:tr>
      <w:tr w14:paraId="75C94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E3520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序号</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277A1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项目名称</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B06D3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项目特征描述</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68BFF2">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单位</w:t>
            </w:r>
          </w:p>
        </w:tc>
        <w:tc>
          <w:tcPr>
            <w:tcW w:w="5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A6D93D">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工程</w:t>
            </w:r>
          </w:p>
          <w:p w14:paraId="5FFB6DAF">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数量</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633F13">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含税综合</w:t>
            </w:r>
          </w:p>
          <w:p w14:paraId="6C4656CC">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单价（元）</w:t>
            </w: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A4796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含税合价（元）</w:t>
            </w: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F12A96">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44936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备注</w:t>
            </w:r>
          </w:p>
        </w:tc>
      </w:tr>
      <w:tr w14:paraId="0855D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E1D4F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104D25">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试验费</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77F220">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1.要求：满足供电局验收要求</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04C7A1">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17009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w:t>
            </w: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C0A14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EED1C3">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0B510E">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BA52A0">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r>
      <w:tr w14:paraId="5E4B1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8220" w:type="dxa"/>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8902EC">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b/>
                <w:i w:val="0"/>
                <w:color w:val="auto"/>
                <w:sz w:val="21"/>
                <w:szCs w:val="21"/>
                <w:highlight w:val="none"/>
                <w:u w:val="none"/>
              </w:rPr>
            </w:pPr>
            <w:r>
              <w:rPr>
                <w:rFonts w:hint="eastAsia" w:ascii="宋体" w:hAnsi="宋体" w:eastAsia="宋体" w:cs="宋体"/>
                <w:b/>
                <w:i w:val="0"/>
                <w:color w:val="auto"/>
                <w:kern w:val="0"/>
                <w:sz w:val="21"/>
                <w:szCs w:val="21"/>
                <w:highlight w:val="none"/>
                <w:u w:val="none"/>
                <w:lang w:val="en-US" w:eastAsia="zh-CN" w:bidi="ar"/>
              </w:rPr>
              <w:t>三、绿色施工安全防护措施</w:t>
            </w:r>
          </w:p>
        </w:tc>
      </w:tr>
      <w:tr w14:paraId="67648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86584">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序号</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7F392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项目名称</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BF9F2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项目特征描述</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6A2763">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单位</w:t>
            </w:r>
          </w:p>
        </w:tc>
        <w:tc>
          <w:tcPr>
            <w:tcW w:w="5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BEBF8B">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工程</w:t>
            </w:r>
          </w:p>
          <w:p w14:paraId="6F4E9FF6">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数量</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D372F9">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含税综合</w:t>
            </w:r>
          </w:p>
          <w:p w14:paraId="570A1B58">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单价（元）</w:t>
            </w: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3B5E95">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含税合价（元）</w:t>
            </w: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23117C">
            <w:pPr>
              <w:keepNext w:val="0"/>
              <w:keepLines w:val="0"/>
              <w:pageBreakBefore w:val="0"/>
              <w:widowControl/>
              <w:kinsoku/>
              <w:wordWrap/>
              <w:overflowPunct/>
              <w:topLinePunct w:val="0"/>
              <w:autoSpaceDE/>
              <w:autoSpaceDN/>
              <w:bidi w:val="0"/>
              <w:adjustRightInd w:val="0"/>
              <w:snapToGrid w:val="0"/>
              <w:spacing w:line="336" w:lineRule="auto"/>
              <w:jc w:val="center"/>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5DA60F">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备注</w:t>
            </w:r>
          </w:p>
        </w:tc>
      </w:tr>
      <w:tr w14:paraId="2A4CC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jc w:val="center"/>
        </w:trPr>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9A5BDB">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w:t>
            </w:r>
          </w:p>
        </w:tc>
        <w:tc>
          <w:tcPr>
            <w:tcW w:w="10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06CA13">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sz w:val="21"/>
                <w:szCs w:val="21"/>
                <w:highlight w:val="none"/>
                <w:u w:val="none"/>
              </w:rPr>
              <w:t>安全防护费</w:t>
            </w:r>
          </w:p>
        </w:tc>
        <w:tc>
          <w:tcPr>
            <w:tcW w:w="2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820E6D">
            <w:pPr>
              <w:keepNext w:val="0"/>
              <w:keepLines w:val="0"/>
              <w:pageBreakBefore w:val="0"/>
              <w:widowControl/>
              <w:suppressLineNumbers w:val="0"/>
              <w:kinsoku/>
              <w:wordWrap/>
              <w:overflowPunct/>
              <w:topLinePunct w:val="0"/>
              <w:autoSpaceDE/>
              <w:autoSpaceDN/>
              <w:bidi w:val="0"/>
              <w:adjustRightInd w:val="0"/>
              <w:snapToGrid w:val="0"/>
              <w:spacing w:line="336" w:lineRule="auto"/>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1.要求：满足建设方施工安全制度</w:t>
            </w:r>
          </w:p>
        </w:tc>
        <w:tc>
          <w:tcPr>
            <w:tcW w:w="5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65B000">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项</w:t>
            </w:r>
          </w:p>
        </w:tc>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151F3E">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1</w:t>
            </w: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EDBF48">
            <w:pPr>
              <w:keepNext w:val="0"/>
              <w:keepLines w:val="0"/>
              <w:pageBreakBefore w:val="0"/>
              <w:widowControl/>
              <w:suppressLineNumbers w:val="0"/>
              <w:kinsoku/>
              <w:wordWrap/>
              <w:overflowPunct/>
              <w:topLinePunct w:val="0"/>
              <w:autoSpaceDE/>
              <w:autoSpaceDN/>
              <w:bidi w:val="0"/>
              <w:adjustRightInd w:val="0"/>
              <w:snapToGrid w:val="0"/>
              <w:spacing w:line="336" w:lineRule="auto"/>
              <w:jc w:val="righ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 xml:space="preserve">59,940.00 </w:t>
            </w:r>
          </w:p>
        </w:tc>
        <w:tc>
          <w:tcPr>
            <w:tcW w:w="11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F1E6EB">
            <w:pPr>
              <w:keepNext w:val="0"/>
              <w:keepLines w:val="0"/>
              <w:pageBreakBefore w:val="0"/>
              <w:widowControl/>
              <w:suppressLineNumbers w:val="0"/>
              <w:kinsoku/>
              <w:wordWrap/>
              <w:overflowPunct/>
              <w:topLinePunct w:val="0"/>
              <w:autoSpaceDE/>
              <w:autoSpaceDN/>
              <w:bidi w:val="0"/>
              <w:adjustRightInd w:val="0"/>
              <w:snapToGrid w:val="0"/>
              <w:spacing w:line="336" w:lineRule="auto"/>
              <w:jc w:val="righ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 xml:space="preserve">59,940.00 </w:t>
            </w:r>
          </w:p>
        </w:tc>
        <w:tc>
          <w:tcPr>
            <w:tcW w:w="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3E05F1">
            <w:pPr>
              <w:keepNext w:val="0"/>
              <w:keepLines w:val="0"/>
              <w:pageBreakBefore w:val="0"/>
              <w:widowControl/>
              <w:kinsoku/>
              <w:wordWrap/>
              <w:overflowPunct/>
              <w:topLinePunct w:val="0"/>
              <w:autoSpaceDE/>
              <w:autoSpaceDN/>
              <w:bidi w:val="0"/>
              <w:adjustRightInd w:val="0"/>
              <w:snapToGrid w:val="0"/>
              <w:spacing w:line="336" w:lineRule="auto"/>
              <w:jc w:val="right"/>
              <w:rPr>
                <w:rFonts w:hint="eastAsia" w:ascii="宋体" w:hAnsi="宋体" w:eastAsia="宋体" w:cs="宋体"/>
                <w:i w:val="0"/>
                <w:color w:val="auto"/>
                <w:sz w:val="21"/>
                <w:szCs w:val="21"/>
                <w:highlight w:val="none"/>
                <w:u w:val="none"/>
              </w:rPr>
            </w:pP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45B623">
            <w:pPr>
              <w:keepNext w:val="0"/>
              <w:keepLines w:val="0"/>
              <w:pageBreakBefore w:val="0"/>
              <w:widowControl/>
              <w:suppressLineNumbers w:val="0"/>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不可修改，固定报价</w:t>
            </w:r>
          </w:p>
        </w:tc>
      </w:tr>
    </w:tbl>
    <w:p w14:paraId="09484877">
      <w:pPr>
        <w:keepNext w:val="0"/>
        <w:keepLines w:val="0"/>
        <w:pageBreakBefore w:val="0"/>
        <w:widowControl w:val="0"/>
        <w:kinsoku/>
        <w:wordWrap w:val="0"/>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注：1.</w:t>
      </w:r>
      <w:r>
        <w:rPr>
          <w:rFonts w:hint="eastAsia" w:ascii="宋体" w:hAnsi="宋体" w:eastAsia="宋体" w:cs="宋体"/>
          <w:color w:val="auto"/>
          <w:kern w:val="2"/>
          <w:sz w:val="21"/>
          <w:szCs w:val="21"/>
          <w:highlight w:val="none"/>
          <w:lang w:eastAsia="zh-CN"/>
        </w:rPr>
        <w:t>本次采购为包干价，包含设计费、项目并网报装所需的相关手续、必要的配套设施，投标人需要考虑此部分费用在报价中；</w:t>
      </w:r>
    </w:p>
    <w:p w14:paraId="21FD7AF2">
      <w:pPr>
        <w:keepNext w:val="0"/>
        <w:keepLines w:val="0"/>
        <w:pageBreakBefore w:val="0"/>
        <w:widowControl w:val="0"/>
        <w:kinsoku/>
        <w:wordWrap w:val="0"/>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lang w:eastAsia="zh-CN"/>
        </w:rPr>
        <w:t>本次采购报价需参考参考招标技术要求；</w:t>
      </w:r>
    </w:p>
    <w:p w14:paraId="5B199F2F">
      <w:pPr>
        <w:keepNext w:val="0"/>
        <w:keepLines w:val="0"/>
        <w:pageBreakBefore w:val="0"/>
        <w:widowControl w:val="0"/>
        <w:kinsoku/>
        <w:wordWrap w:val="0"/>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lang w:eastAsia="zh-CN"/>
        </w:rPr>
        <w:t>本次采购报价含税；</w:t>
      </w:r>
    </w:p>
    <w:p w14:paraId="63E424EE">
      <w:pPr>
        <w:keepNext w:val="0"/>
        <w:keepLines w:val="0"/>
        <w:pageBreakBefore w:val="0"/>
        <w:widowControl w:val="0"/>
        <w:kinsoku/>
        <w:wordWrap w:val="0"/>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4.本</w:t>
      </w:r>
      <w:r>
        <w:rPr>
          <w:rFonts w:hint="eastAsia" w:ascii="宋体" w:hAnsi="宋体" w:eastAsia="宋体" w:cs="宋体"/>
          <w:color w:val="auto"/>
          <w:kern w:val="2"/>
          <w:sz w:val="21"/>
          <w:szCs w:val="21"/>
          <w:highlight w:val="none"/>
          <w:lang w:eastAsia="zh-CN"/>
        </w:rPr>
        <w:t>次采购</w:t>
      </w:r>
      <w:r>
        <w:rPr>
          <w:rFonts w:hint="eastAsia" w:ascii="宋体" w:hAnsi="宋体" w:eastAsia="宋体" w:cs="宋体"/>
          <w:color w:val="auto"/>
          <w:kern w:val="2"/>
          <w:sz w:val="21"/>
          <w:szCs w:val="21"/>
          <w:highlight w:val="none"/>
          <w:lang w:val="en-US" w:eastAsia="zh-CN"/>
        </w:rPr>
        <w:t>报价须标明设备材料型号与品牌；</w:t>
      </w:r>
    </w:p>
    <w:p w14:paraId="6B46EC1D">
      <w:pPr>
        <w:keepNext w:val="0"/>
        <w:keepLines w:val="0"/>
        <w:pageBreakBefore w:val="0"/>
        <w:widowControl w:val="0"/>
        <w:kinsoku/>
        <w:wordWrap w:val="0"/>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5.本采购清单中未标注数量的设备材料，</w:t>
      </w:r>
      <w:r>
        <w:rPr>
          <w:rFonts w:hint="eastAsia" w:ascii="宋体" w:hAnsi="宋体" w:eastAsia="宋体" w:cs="宋体"/>
          <w:color w:val="auto"/>
          <w:kern w:val="2"/>
          <w:sz w:val="21"/>
          <w:szCs w:val="21"/>
          <w:highlight w:val="none"/>
          <w:lang w:eastAsia="zh-CN"/>
        </w:rPr>
        <w:t>投标人</w:t>
      </w:r>
      <w:r>
        <w:rPr>
          <w:rFonts w:hint="eastAsia" w:ascii="宋体" w:hAnsi="宋体" w:eastAsia="宋体" w:cs="宋体"/>
          <w:color w:val="auto"/>
          <w:kern w:val="2"/>
          <w:sz w:val="21"/>
          <w:szCs w:val="21"/>
          <w:highlight w:val="none"/>
          <w:lang w:val="en-US" w:eastAsia="zh-CN"/>
        </w:rPr>
        <w:t>应根据图纸及项目各项技术要求自行衡量数量并考虑在投标报价中；</w:t>
      </w:r>
    </w:p>
    <w:p w14:paraId="602ED9A4">
      <w:pPr>
        <w:keepNext w:val="0"/>
        <w:keepLines w:val="0"/>
        <w:pageBreakBefore w:val="0"/>
        <w:widowControl w:val="0"/>
        <w:kinsoku/>
        <w:wordWrap w:val="0"/>
        <w:overflowPunct/>
        <w:topLinePunct w:val="0"/>
        <w:autoSpaceDE/>
        <w:autoSpaceDN/>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6.本采购清单格式可自行增加所需费用项目，且应参考</w:t>
      </w:r>
      <w:r>
        <w:rPr>
          <w:rFonts w:hint="eastAsia" w:ascii="宋体" w:hAnsi="宋体" w:eastAsia="宋体" w:cs="宋体"/>
          <w:color w:val="auto"/>
          <w:kern w:val="2"/>
          <w:sz w:val="21"/>
          <w:szCs w:val="21"/>
          <w:highlight w:val="none"/>
          <w:lang w:eastAsia="zh-CN"/>
        </w:rPr>
        <w:t>招标技术要求</w:t>
      </w:r>
      <w:r>
        <w:rPr>
          <w:rFonts w:hint="eastAsia" w:ascii="宋体" w:hAnsi="宋体" w:eastAsia="宋体" w:cs="宋体"/>
          <w:color w:val="auto"/>
          <w:kern w:val="2"/>
          <w:sz w:val="21"/>
          <w:szCs w:val="21"/>
          <w:highlight w:val="none"/>
          <w:lang w:val="en-US" w:eastAsia="zh-CN"/>
        </w:rPr>
        <w:t>综合考虑所有可能发生不可遇见的费用。</w:t>
      </w:r>
    </w:p>
    <w:p w14:paraId="3B234102">
      <w:pPr>
        <w:rPr>
          <w:rFonts w:hint="default"/>
          <w:color w:val="auto"/>
          <w:highlight w:val="none"/>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DBF958F">
      <w:pPr>
        <w:pStyle w:val="28"/>
        <w:rPr>
          <w:rFonts w:hint="eastAsia"/>
          <w:color w:val="auto"/>
          <w:highlight w:val="none"/>
        </w:rPr>
      </w:pPr>
    </w:p>
    <w:p w14:paraId="10AC42AF">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bookmarkStart w:id="16" w:name="_Toc3940"/>
      <w:r>
        <w:rPr>
          <w:rFonts w:hint="eastAsia" w:ascii="Calibri Light" w:hAnsi="Calibri Light" w:cs="Times New Roman"/>
          <w:b/>
          <w:bCs/>
          <w:color w:val="auto"/>
          <w:kern w:val="2"/>
          <w:sz w:val="24"/>
          <w:szCs w:val="28"/>
          <w:highlight w:val="none"/>
          <w:lang w:val="en-US" w:eastAsia="zh-CN"/>
        </w:rPr>
        <w:t>三</w:t>
      </w:r>
      <w:r>
        <w:rPr>
          <w:rFonts w:hint="eastAsia" w:ascii="Calibri Light" w:hAnsi="Calibri Light" w:eastAsia="宋体" w:cs="Times New Roman"/>
          <w:b/>
          <w:bCs/>
          <w:color w:val="auto"/>
          <w:kern w:val="2"/>
          <w:sz w:val="24"/>
          <w:szCs w:val="28"/>
          <w:highlight w:val="none"/>
        </w:rPr>
        <w:t>、光伏发电设施技术要求</w:t>
      </w:r>
      <w:bookmarkEnd w:id="16"/>
    </w:p>
    <w:p w14:paraId="4130A5D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lang w:val="en-US" w:eastAsia="zh-CN" w:bidi="ar-SA"/>
        </w:rPr>
        <w:t>1.光伏支架（棚架）、基础技术要求</w:t>
      </w:r>
    </w:p>
    <w:p w14:paraId="7AD2FB26">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（1）图纸要求</w:t>
      </w:r>
    </w:p>
    <w:p w14:paraId="566B302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本项目必须在正式施工前出具完整的施工图纸</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包含但不限于电气、结构、相关辅助设施等平面布置图与安装大样图等</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p>
    <w:p w14:paraId="7A2A125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（2）如需进行深化设计时的设计要求</w:t>
      </w:r>
    </w:p>
    <w:p w14:paraId="5C732C4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①本项目光伏系统的支架应按照国家规范所规定的50年一遇风压进行支架结构及基础设计</w:t>
      </w:r>
      <w:r>
        <w:rPr>
          <w:rFonts w:hint="eastAsia" w:ascii="宋体" w:hAnsi="宋体" w:eastAsia="宋体" w:cs="宋体"/>
          <w:color w:val="auto"/>
          <w:kern w:val="2"/>
          <w:sz w:val="21"/>
          <w:szCs w:val="21"/>
          <w:highlight w:val="none"/>
          <w:lang w:eastAsia="zh-CN"/>
        </w:rPr>
        <w:t>，光伏支架（棚架）可以抵御</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lang w:eastAsia="zh-CN"/>
        </w:rPr>
        <w:t>级台风</w:t>
      </w:r>
      <w:r>
        <w:rPr>
          <w:rFonts w:hint="eastAsia" w:ascii="宋体" w:hAnsi="宋体" w:eastAsia="宋体" w:cs="宋体"/>
          <w:color w:val="auto"/>
          <w:kern w:val="2"/>
          <w:sz w:val="21"/>
          <w:szCs w:val="21"/>
          <w:highlight w:val="none"/>
        </w:rPr>
        <w:t>。</w:t>
      </w:r>
    </w:p>
    <w:p w14:paraId="6D46756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②彩钢瓦屋面光伏系统安装后的总荷载原则上必须≤15kG/m2，混凝土屋面光伏系统安装后的总荷载原则上必须≤150kG/m2，且必须找</w:t>
      </w:r>
      <w:r>
        <w:rPr>
          <w:rFonts w:hint="eastAsia" w:ascii="宋体" w:hAnsi="宋体" w:eastAsia="宋体" w:cs="宋体"/>
          <w:color w:val="auto"/>
          <w:kern w:val="2"/>
          <w:sz w:val="21"/>
          <w:szCs w:val="21"/>
          <w:highlight w:val="none"/>
          <w:lang w:val="en-US" w:eastAsia="zh-CN"/>
        </w:rPr>
        <w:t>鉴定</w:t>
      </w:r>
      <w:r>
        <w:rPr>
          <w:rFonts w:hint="eastAsia" w:ascii="宋体" w:hAnsi="宋体" w:eastAsia="宋体" w:cs="宋体"/>
          <w:color w:val="auto"/>
          <w:kern w:val="2"/>
          <w:sz w:val="21"/>
          <w:szCs w:val="21"/>
          <w:highlight w:val="none"/>
        </w:rPr>
        <w:t>设计院核算彩钢瓦屋面是否满足屋面结构荷载要求，出具屋面承重报告。</w:t>
      </w:r>
    </w:p>
    <w:p w14:paraId="0F065AE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③彩钢瓦屋面的支架应采用轻质铝合金材料作为支架及基础，用6005-T5及以上材质，厚度在2mm及以上</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要求做到阳极氧化处理以达到充分的防腐效果</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彩钢瓦屋面铝合金夹具厚度应在4mm及以上；</w:t>
      </w:r>
      <w:r>
        <w:rPr>
          <w:rFonts w:hint="eastAsia" w:ascii="宋体" w:hAnsi="宋体" w:eastAsia="宋体" w:cs="宋体"/>
          <w:color w:val="auto"/>
          <w:kern w:val="2"/>
          <w:sz w:val="21"/>
          <w:szCs w:val="21"/>
          <w:highlight w:val="none"/>
          <w:lang w:val="en-US" w:eastAsia="zh-CN"/>
        </w:rPr>
        <w:t>光伏组件</w:t>
      </w:r>
      <w:r>
        <w:rPr>
          <w:rFonts w:hint="eastAsia" w:ascii="宋体" w:hAnsi="宋体" w:eastAsia="宋体" w:cs="宋体"/>
          <w:color w:val="auto"/>
          <w:kern w:val="2"/>
          <w:sz w:val="21"/>
          <w:szCs w:val="21"/>
          <w:highlight w:val="none"/>
        </w:rPr>
        <w:t>铝合金中压块的厚度应在3mm及以上，铝合金边压块的厚度应在4mm及以上。采取的支架和夹具必须只能夹在屋面瓦楞上，不得在</w:t>
      </w:r>
      <w:r>
        <w:rPr>
          <w:rFonts w:hint="eastAsia" w:ascii="宋体" w:hAnsi="宋体" w:eastAsia="宋体" w:cs="宋体"/>
          <w:color w:val="auto"/>
          <w:kern w:val="2"/>
          <w:sz w:val="21"/>
          <w:szCs w:val="21"/>
          <w:highlight w:val="none"/>
          <w:lang w:val="en-US" w:eastAsia="zh-CN"/>
        </w:rPr>
        <w:t>彩钢瓦</w:t>
      </w:r>
      <w:r>
        <w:rPr>
          <w:rFonts w:hint="eastAsia" w:ascii="宋体" w:hAnsi="宋体" w:eastAsia="宋体" w:cs="宋体"/>
          <w:color w:val="auto"/>
          <w:kern w:val="2"/>
          <w:sz w:val="21"/>
          <w:szCs w:val="21"/>
          <w:highlight w:val="none"/>
        </w:rPr>
        <w:t>屋面开孔、开洞、</w:t>
      </w:r>
      <w:r>
        <w:rPr>
          <w:rFonts w:hint="eastAsia" w:ascii="宋体" w:hAnsi="宋体" w:eastAsia="宋体" w:cs="宋体"/>
          <w:color w:val="auto"/>
          <w:kern w:val="2"/>
          <w:sz w:val="21"/>
          <w:szCs w:val="21"/>
          <w:highlight w:val="none"/>
          <w:lang w:val="en-US" w:eastAsia="zh-CN"/>
        </w:rPr>
        <w:t>钻</w:t>
      </w:r>
      <w:r>
        <w:rPr>
          <w:rFonts w:hint="eastAsia" w:ascii="宋体" w:hAnsi="宋体" w:eastAsia="宋体" w:cs="宋体"/>
          <w:color w:val="auto"/>
          <w:kern w:val="2"/>
          <w:sz w:val="21"/>
          <w:szCs w:val="21"/>
          <w:highlight w:val="none"/>
        </w:rPr>
        <w:t>钉，以充分保证原彩钢瓦屋面的防水效果</w:t>
      </w:r>
      <w:r>
        <w:rPr>
          <w:rFonts w:hint="eastAsia" w:ascii="宋体" w:hAnsi="宋体" w:eastAsia="宋体" w:cs="宋体"/>
          <w:color w:val="auto"/>
          <w:kern w:val="2"/>
          <w:sz w:val="21"/>
          <w:szCs w:val="21"/>
          <w:highlight w:val="none"/>
          <w:lang w:eastAsia="zh-CN"/>
        </w:rPr>
        <w:t>，若由此造成屋面漏水的，承包单位必须无条件维修好并承担所需全部费用</w:t>
      </w:r>
      <w:r>
        <w:rPr>
          <w:rFonts w:hint="eastAsia" w:ascii="宋体" w:hAnsi="宋体" w:eastAsia="宋体" w:cs="宋体"/>
          <w:color w:val="auto"/>
          <w:kern w:val="2"/>
          <w:sz w:val="21"/>
          <w:szCs w:val="21"/>
          <w:highlight w:val="none"/>
        </w:rPr>
        <w:t>。</w:t>
      </w:r>
    </w:p>
    <w:p w14:paraId="75878A9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混凝土屋顶支架形式采用固定式钢支架，用Q235B及以上钢材，钢材防腐采用热浸锌和镀镁铝锌两种方式。若采用热浸锌防腐，锌层平均厚度不低于65um；若采用镀镁铝锌防腐，双面镀层重量不少于275g/m2。主梁和立柱的厚度不小于2.5mm，用于次梁的板厚不小于2.0mm，用于主次构件连接的钢板和构件厚度不得小于3mm。为防止混凝土开裂，按规范要求配置钢筋，混凝土强度等级用C25以上。</w:t>
      </w:r>
    </w:p>
    <w:p w14:paraId="3AC82C9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⑤棚架结构采用固定式钢支架，用Q235B及以上</w:t>
      </w:r>
      <w:r>
        <w:rPr>
          <w:rFonts w:hint="eastAsia" w:ascii="宋体" w:hAnsi="宋体" w:eastAsia="宋体" w:cs="宋体"/>
          <w:color w:val="auto"/>
          <w:kern w:val="2"/>
          <w:sz w:val="21"/>
          <w:szCs w:val="21"/>
          <w:highlight w:val="none"/>
          <w:lang w:val="en-US" w:eastAsia="zh-CN"/>
        </w:rPr>
        <w:t>H型钢或工字钢(承重结构所用材料必须经有检验资质的第三方单位检验符合设计要求)</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涂层厚度室内不少于125</w:t>
      </w:r>
      <w:r>
        <w:rPr>
          <w:rFonts w:hint="eastAsia" w:ascii="宋体" w:hAnsi="宋体" w:eastAsia="宋体" w:cs="宋体"/>
          <w:color w:val="auto"/>
          <w:kern w:val="2"/>
          <w:sz w:val="21"/>
          <w:szCs w:val="21"/>
          <w:highlight w:val="none"/>
        </w:rPr>
        <w:t>um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室外不少于150</w:t>
      </w:r>
      <w:r>
        <w:rPr>
          <w:rFonts w:hint="eastAsia" w:ascii="宋体" w:hAnsi="宋体" w:eastAsia="宋体" w:cs="宋体"/>
          <w:color w:val="auto"/>
          <w:kern w:val="2"/>
          <w:sz w:val="21"/>
          <w:szCs w:val="21"/>
          <w:highlight w:val="none"/>
        </w:rPr>
        <w:t>um。‌横梁与檩条的连接方式</w:t>
      </w:r>
      <w:r>
        <w:rPr>
          <w:rFonts w:hint="eastAsia" w:ascii="宋体" w:hAnsi="宋体" w:eastAsia="宋体" w:cs="宋体"/>
          <w:color w:val="auto"/>
          <w:kern w:val="2"/>
          <w:sz w:val="21"/>
          <w:szCs w:val="21"/>
          <w:highlight w:val="none"/>
          <w:lang w:val="en-US" w:eastAsia="zh-CN"/>
        </w:rPr>
        <w:t>采用</w:t>
      </w:r>
      <w:r>
        <w:rPr>
          <w:rFonts w:hint="eastAsia" w:ascii="宋体" w:hAnsi="宋体" w:eastAsia="宋体" w:cs="宋体"/>
          <w:color w:val="auto"/>
          <w:kern w:val="2"/>
          <w:sz w:val="21"/>
          <w:szCs w:val="21"/>
          <w:highlight w:val="none"/>
        </w:rPr>
        <w:t>螺栓连接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棚架的檐口高度不得低于2.5m，</w:t>
      </w:r>
      <w:r>
        <w:rPr>
          <w:rFonts w:hint="eastAsia" w:ascii="宋体" w:hAnsi="宋体" w:eastAsia="宋体" w:cs="宋体"/>
          <w:b/>
          <w:bCs/>
          <w:color w:val="auto"/>
          <w:kern w:val="2"/>
          <w:sz w:val="21"/>
          <w:szCs w:val="21"/>
          <w:highlight w:val="none"/>
        </w:rPr>
        <w:t>最高点不得高于2.8m</w:t>
      </w:r>
      <w:r>
        <w:rPr>
          <w:rFonts w:hint="eastAsia" w:ascii="宋体" w:hAnsi="宋体" w:eastAsia="宋体" w:cs="宋体"/>
          <w:color w:val="auto"/>
          <w:kern w:val="2"/>
          <w:sz w:val="21"/>
          <w:szCs w:val="21"/>
          <w:highlight w:val="none"/>
        </w:rPr>
        <w:t>，安装倾角经模拟后判断后确定，整体棚架设计必须通过</w:t>
      </w:r>
      <w:r>
        <w:rPr>
          <w:rFonts w:hint="eastAsia" w:ascii="宋体" w:hAnsi="宋体" w:eastAsia="宋体" w:cs="宋体"/>
          <w:color w:val="auto"/>
          <w:kern w:val="2"/>
          <w:sz w:val="21"/>
          <w:szCs w:val="21"/>
          <w:highlight w:val="none"/>
          <w:lang w:val="en-US" w:eastAsia="zh-CN"/>
        </w:rPr>
        <w:t>城管部门和</w:t>
      </w:r>
      <w:r>
        <w:rPr>
          <w:rFonts w:hint="eastAsia" w:ascii="宋体" w:hAnsi="宋体" w:eastAsia="宋体" w:cs="宋体"/>
          <w:color w:val="auto"/>
          <w:kern w:val="2"/>
          <w:sz w:val="21"/>
          <w:szCs w:val="21"/>
          <w:highlight w:val="none"/>
        </w:rPr>
        <w:t>供电部门验收。</w:t>
      </w:r>
    </w:p>
    <w:p w14:paraId="4E51C8A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⑥混凝土屋面不得采用膨胀螺栓固定支架的方式，而应采用混凝土支墩基础</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形状要求：圆柱形</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的方案来达到抗风荷载的要求；若因光伏项目造成屋面漏水的，由投标单位负责处理完好。</w:t>
      </w:r>
    </w:p>
    <w:p w14:paraId="7F2F3F2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⑦光伏支架设计应满足10年内可拆卸再利用和25年内安全使用的要求。</w:t>
      </w:r>
    </w:p>
    <w:p w14:paraId="5F2A08E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⑧设计时，整个支架结构的强度、挠度、稳定性应符合国家结构设计相关规范的安全性要求；同时，支架结构的的节点连接也应满足国家结构设计规范的结构安全性的要求。</w:t>
      </w:r>
    </w:p>
    <w:p w14:paraId="1254254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（3）安装要求</w:t>
      </w:r>
    </w:p>
    <w:p w14:paraId="3DD98392">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光伏组件安装时必须在天窗周边、天沟周边、女儿墙边、出屋面风管等设备周边、采光带周边、高低跨交界面边等位置设置检修维护通道和空间，检修通道宽度、尺寸必须满足检修人员及工具正常通行和作业，并利于紧急情况下快速撤离。</w:t>
      </w:r>
    </w:p>
    <w:p w14:paraId="47304C8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屋顶光伏安装区域的维护通道、参观通道、洞口、屋顶坠落高度基准面2m及以上的临空一侧需要安装防坠落保护设施，在临空一侧设置高度≥1.2m的防护栏杆，并采用密目式安全立网或工具式栏板封闭，设置底部防护密目网，防护网采用不锈钢材质，高度不少于0.2m，防止工具材料掉落，防护网上端至防护栏顶部设置三条横杆，横杆之间的间距0.</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m，护栏立柱之间的间距小于1.5m，防护栏按间隔可靠防雷接地，确保登上屋顶人员的人身安全和防止高空坠物，防护栏杆应满足25年内安全使用的要求。相关防护设施的参数需要满足《建筑施工高处作业安全技术规范》JGJ80-2016及国家相关规范和我司安全管理的相关要求。</w:t>
      </w:r>
    </w:p>
    <w:p w14:paraId="4658CFF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组件安装时，</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单位必须对</w:t>
      </w:r>
      <w:r>
        <w:rPr>
          <w:rFonts w:hint="eastAsia" w:ascii="宋体" w:hAnsi="宋体" w:eastAsia="宋体" w:cs="宋体"/>
          <w:color w:val="auto"/>
          <w:kern w:val="2"/>
          <w:sz w:val="21"/>
          <w:szCs w:val="21"/>
          <w:highlight w:val="none"/>
          <w:lang w:val="en-US" w:eastAsia="zh-CN"/>
        </w:rPr>
        <w:t>业主</w:t>
      </w:r>
      <w:r>
        <w:rPr>
          <w:rFonts w:hint="eastAsia" w:ascii="宋体" w:hAnsi="宋体" w:eastAsia="宋体" w:cs="宋体"/>
          <w:color w:val="auto"/>
          <w:kern w:val="2"/>
          <w:sz w:val="21"/>
          <w:szCs w:val="21"/>
          <w:highlight w:val="none"/>
        </w:rPr>
        <w:t>屋面做好相应的保护措施，避免</w:t>
      </w:r>
      <w:r>
        <w:rPr>
          <w:rFonts w:hint="eastAsia" w:ascii="宋体" w:hAnsi="宋体" w:eastAsia="宋体" w:cs="宋体"/>
          <w:color w:val="auto"/>
          <w:kern w:val="2"/>
          <w:sz w:val="21"/>
          <w:szCs w:val="21"/>
          <w:highlight w:val="none"/>
          <w:lang w:val="en-US" w:eastAsia="zh-CN"/>
        </w:rPr>
        <w:t>安装</w:t>
      </w:r>
      <w:r>
        <w:rPr>
          <w:rFonts w:hint="eastAsia" w:ascii="宋体" w:hAnsi="宋体" w:eastAsia="宋体" w:cs="宋体"/>
          <w:color w:val="auto"/>
          <w:kern w:val="2"/>
          <w:sz w:val="21"/>
          <w:szCs w:val="21"/>
          <w:highlight w:val="none"/>
        </w:rPr>
        <w:t>过程中对</w:t>
      </w:r>
      <w:r>
        <w:rPr>
          <w:rFonts w:hint="eastAsia" w:ascii="宋体" w:hAnsi="宋体" w:eastAsia="宋体" w:cs="宋体"/>
          <w:color w:val="auto"/>
          <w:kern w:val="2"/>
          <w:sz w:val="21"/>
          <w:szCs w:val="21"/>
          <w:highlight w:val="none"/>
          <w:lang w:val="en-US" w:eastAsia="zh-CN"/>
        </w:rPr>
        <w:t>业主</w:t>
      </w:r>
      <w:r>
        <w:rPr>
          <w:rFonts w:hint="eastAsia" w:ascii="宋体" w:hAnsi="宋体" w:eastAsia="宋体" w:cs="宋体"/>
          <w:color w:val="auto"/>
          <w:kern w:val="2"/>
          <w:sz w:val="21"/>
          <w:szCs w:val="21"/>
          <w:highlight w:val="none"/>
        </w:rPr>
        <w:t>屋面造成损坏(尤其是屋面的</w:t>
      </w:r>
      <w:r>
        <w:rPr>
          <w:rFonts w:hint="eastAsia" w:ascii="宋体" w:hAnsi="宋体" w:eastAsia="宋体" w:cs="宋体"/>
          <w:color w:val="auto"/>
          <w:kern w:val="2"/>
          <w:sz w:val="21"/>
          <w:szCs w:val="21"/>
          <w:highlight w:val="none"/>
          <w:lang w:val="en-US" w:eastAsia="zh-CN"/>
        </w:rPr>
        <w:t>防水</w:t>
      </w:r>
      <w:r>
        <w:rPr>
          <w:rFonts w:hint="eastAsia" w:ascii="宋体" w:hAnsi="宋体" w:eastAsia="宋体" w:cs="宋体"/>
          <w:color w:val="auto"/>
          <w:kern w:val="2"/>
          <w:sz w:val="21"/>
          <w:szCs w:val="21"/>
          <w:highlight w:val="none"/>
        </w:rPr>
        <w:t>层</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油漆</w:t>
      </w:r>
      <w:r>
        <w:rPr>
          <w:rFonts w:hint="eastAsia" w:ascii="宋体" w:hAnsi="宋体" w:eastAsia="宋体" w:cs="宋体"/>
          <w:color w:val="auto"/>
          <w:kern w:val="2"/>
          <w:sz w:val="21"/>
          <w:szCs w:val="21"/>
          <w:highlight w:val="none"/>
        </w:rPr>
        <w:t>层)。</w:t>
      </w:r>
      <w:r>
        <w:rPr>
          <w:rFonts w:hint="eastAsia" w:ascii="宋体" w:hAnsi="宋体" w:eastAsia="宋体" w:cs="宋体"/>
          <w:color w:val="auto"/>
          <w:kern w:val="2"/>
          <w:sz w:val="21"/>
          <w:szCs w:val="21"/>
          <w:highlight w:val="none"/>
          <w:lang w:val="en-US" w:eastAsia="zh-CN"/>
        </w:rPr>
        <w:t>如</w:t>
      </w:r>
      <w:r>
        <w:rPr>
          <w:rFonts w:hint="eastAsia" w:ascii="宋体" w:hAnsi="宋体" w:eastAsia="宋体" w:cs="宋体"/>
          <w:color w:val="auto"/>
          <w:kern w:val="2"/>
          <w:sz w:val="21"/>
          <w:szCs w:val="21"/>
          <w:highlight w:val="none"/>
        </w:rPr>
        <w:t>不慎造成损坏，</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单位必须无条件维修好并承担所需全部费用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若由</w:t>
      </w:r>
      <w:r>
        <w:rPr>
          <w:rFonts w:hint="eastAsia" w:ascii="宋体" w:hAnsi="宋体" w:eastAsia="宋体" w:cs="宋体"/>
          <w:color w:val="auto"/>
          <w:kern w:val="2"/>
          <w:sz w:val="21"/>
          <w:szCs w:val="21"/>
          <w:highlight w:val="none"/>
        </w:rPr>
        <w:t>此造成屋面漏</w:t>
      </w:r>
      <w:r>
        <w:rPr>
          <w:rFonts w:hint="eastAsia" w:ascii="宋体" w:hAnsi="宋体" w:eastAsia="宋体" w:cs="宋体"/>
          <w:color w:val="auto"/>
          <w:kern w:val="2"/>
          <w:sz w:val="21"/>
          <w:szCs w:val="21"/>
          <w:highlight w:val="none"/>
          <w:lang w:val="en-US" w:eastAsia="zh-CN"/>
        </w:rPr>
        <w:t>水</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单位应按照采购人遭受的连带损失统一进行赔偿。</w:t>
      </w:r>
    </w:p>
    <w:p w14:paraId="35F6C07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④安装螺栓选用不锈钢304及以上材质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表面需钝化</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安装前须点胶或采用防松动螺母。</w:t>
      </w:r>
    </w:p>
    <w:p w14:paraId="0DCD384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⑤棚架两侧天沟采用不锈钢304及以上材质，天沟外侧高度比组件基准面高20cm，并有效支撑固定。</w:t>
      </w:r>
    </w:p>
    <w:p w14:paraId="06589A4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⑥</w:t>
      </w:r>
      <w:r>
        <w:rPr>
          <w:rFonts w:hint="eastAsia" w:ascii="宋体" w:hAnsi="宋体" w:eastAsia="宋体" w:cs="宋体"/>
          <w:color w:val="auto"/>
          <w:kern w:val="2"/>
          <w:sz w:val="21"/>
          <w:szCs w:val="21"/>
          <w:highlight w:val="none"/>
        </w:rPr>
        <w:t>本项目的部分屋面的利用率，各投标单位在投标前认真查看图纸核算。</w:t>
      </w:r>
    </w:p>
    <w:p w14:paraId="5D76E78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2.光伏系统的电气接入(并网)技术要求</w:t>
      </w:r>
    </w:p>
    <w:p w14:paraId="2206DE8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单位需完成</w:t>
      </w:r>
      <w:r>
        <w:rPr>
          <w:rFonts w:hint="eastAsia" w:ascii="宋体" w:hAnsi="宋体" w:eastAsia="宋体" w:cs="宋体"/>
          <w:color w:val="auto"/>
          <w:kern w:val="2"/>
          <w:sz w:val="21"/>
          <w:szCs w:val="21"/>
          <w:highlight w:val="none"/>
          <w:lang w:val="en-US" w:eastAsia="zh-CN"/>
        </w:rPr>
        <w:t>项目</w:t>
      </w:r>
      <w:r>
        <w:rPr>
          <w:rFonts w:hint="eastAsia" w:ascii="宋体" w:hAnsi="宋体" w:eastAsia="宋体" w:cs="宋体"/>
          <w:color w:val="auto"/>
          <w:kern w:val="2"/>
          <w:sz w:val="21"/>
          <w:szCs w:val="21"/>
          <w:highlight w:val="none"/>
        </w:rPr>
        <w:t>接入系统部分</w:t>
      </w:r>
      <w:r>
        <w:rPr>
          <w:rFonts w:hint="eastAsia" w:ascii="宋体" w:hAnsi="宋体" w:eastAsia="宋体" w:cs="宋体"/>
          <w:color w:val="auto"/>
          <w:kern w:val="2"/>
          <w:sz w:val="21"/>
          <w:szCs w:val="21"/>
          <w:highlight w:val="none"/>
          <w:lang w:val="en-US" w:eastAsia="zh-CN"/>
        </w:rPr>
        <w:t>供电</w:t>
      </w:r>
      <w:r>
        <w:rPr>
          <w:rFonts w:hint="eastAsia" w:ascii="宋体" w:hAnsi="宋体" w:eastAsia="宋体" w:cs="宋体"/>
          <w:color w:val="auto"/>
          <w:kern w:val="2"/>
          <w:sz w:val="21"/>
          <w:szCs w:val="21"/>
          <w:highlight w:val="none"/>
        </w:rPr>
        <w:t>部门的备案、</w:t>
      </w:r>
      <w:r>
        <w:rPr>
          <w:rFonts w:hint="eastAsia" w:ascii="宋体" w:hAnsi="宋体" w:eastAsia="宋体" w:cs="宋体"/>
          <w:color w:val="auto"/>
          <w:kern w:val="2"/>
          <w:sz w:val="21"/>
          <w:szCs w:val="21"/>
          <w:highlight w:val="none"/>
          <w:lang w:val="en-US" w:eastAsia="zh-CN"/>
        </w:rPr>
        <w:t>报装、</w:t>
      </w:r>
      <w:r>
        <w:rPr>
          <w:rFonts w:hint="eastAsia" w:ascii="宋体" w:hAnsi="宋体" w:eastAsia="宋体" w:cs="宋体"/>
          <w:color w:val="auto"/>
          <w:kern w:val="2"/>
          <w:sz w:val="21"/>
          <w:szCs w:val="21"/>
          <w:highlight w:val="none"/>
        </w:rPr>
        <w:t>相关报验流程</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验收手续</w:t>
      </w:r>
      <w:r>
        <w:rPr>
          <w:rFonts w:hint="eastAsia" w:ascii="宋体" w:hAnsi="宋体" w:eastAsia="宋体" w:cs="宋体"/>
          <w:color w:val="auto"/>
          <w:kern w:val="2"/>
          <w:sz w:val="21"/>
          <w:szCs w:val="21"/>
          <w:highlight w:val="none"/>
          <w:lang w:val="en-US" w:eastAsia="zh-CN"/>
        </w:rPr>
        <w:t>及装表并网</w:t>
      </w:r>
      <w:r>
        <w:rPr>
          <w:rFonts w:hint="eastAsia" w:ascii="宋体" w:hAnsi="宋体" w:eastAsia="宋体" w:cs="宋体"/>
          <w:color w:val="auto"/>
          <w:kern w:val="2"/>
          <w:sz w:val="21"/>
          <w:szCs w:val="21"/>
          <w:highlight w:val="none"/>
        </w:rPr>
        <w:t>手续</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同时在并网后前期做好相关供售电手续交接事宜</w:t>
      </w:r>
      <w:r>
        <w:rPr>
          <w:rFonts w:hint="eastAsia" w:ascii="宋体" w:hAnsi="宋体" w:eastAsia="宋体" w:cs="宋体"/>
          <w:color w:val="auto"/>
          <w:kern w:val="2"/>
          <w:sz w:val="21"/>
          <w:szCs w:val="21"/>
          <w:highlight w:val="none"/>
        </w:rPr>
        <w:t>。</w:t>
      </w:r>
    </w:p>
    <w:p w14:paraId="5BB894E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系统的电气接入电压等级、接线等应满足国标及南方电网有关的技术规程规范的要求</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须考虑</w:t>
      </w:r>
      <w:r>
        <w:rPr>
          <w:rFonts w:hint="eastAsia" w:ascii="宋体" w:hAnsi="宋体" w:eastAsia="宋体" w:cs="宋体"/>
          <w:color w:val="auto"/>
          <w:kern w:val="2"/>
          <w:sz w:val="21"/>
          <w:szCs w:val="21"/>
          <w:highlight w:val="none"/>
          <w:lang w:val="en-US" w:eastAsia="zh-CN"/>
        </w:rPr>
        <w:t>单个并网</w:t>
      </w:r>
      <w:r>
        <w:rPr>
          <w:rFonts w:hint="eastAsia" w:ascii="宋体" w:hAnsi="宋体" w:eastAsia="宋体" w:cs="宋体"/>
          <w:color w:val="auto"/>
          <w:kern w:val="2"/>
          <w:sz w:val="21"/>
          <w:szCs w:val="21"/>
          <w:highlight w:val="none"/>
        </w:rPr>
        <w:t>点</w:t>
      </w:r>
      <w:r>
        <w:rPr>
          <w:rFonts w:hint="eastAsia" w:ascii="宋体" w:hAnsi="宋体" w:eastAsia="宋体" w:cs="宋体"/>
          <w:color w:val="auto"/>
          <w:kern w:val="2"/>
          <w:sz w:val="21"/>
          <w:szCs w:val="21"/>
          <w:highlight w:val="none"/>
          <w:lang w:val="en-US" w:eastAsia="zh-CN"/>
        </w:rPr>
        <w:t>装机容量</w:t>
      </w:r>
      <w:r>
        <w:rPr>
          <w:rFonts w:hint="eastAsia" w:ascii="宋体" w:hAnsi="宋体" w:eastAsia="宋体" w:cs="宋体"/>
          <w:color w:val="auto"/>
          <w:kern w:val="2"/>
          <w:sz w:val="21"/>
          <w:szCs w:val="21"/>
          <w:highlight w:val="none"/>
        </w:rPr>
        <w:t>、接入条件、变压器容量、功率因数及负荷情况。应根据有关光伏系统接入规程规范做接入系统的技术经济研究，确定最优的、满足当地南方电网公司相关要求的电气接入系统方案，并需得到当地供电部门的批准。</w:t>
      </w:r>
    </w:p>
    <w:p w14:paraId="62C9D5B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（3）</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系统接入后应不</w:t>
      </w:r>
      <w:r>
        <w:rPr>
          <w:rFonts w:hint="eastAsia" w:ascii="宋体" w:hAnsi="宋体" w:eastAsia="宋体" w:cs="宋体"/>
          <w:color w:val="auto"/>
          <w:kern w:val="2"/>
          <w:sz w:val="21"/>
          <w:szCs w:val="21"/>
          <w:highlight w:val="none"/>
          <w:lang w:val="en-US" w:eastAsia="zh-CN"/>
        </w:rPr>
        <w:t>得</w:t>
      </w:r>
      <w:r>
        <w:rPr>
          <w:rFonts w:hint="eastAsia" w:ascii="宋体" w:hAnsi="宋体" w:eastAsia="宋体" w:cs="宋体"/>
          <w:color w:val="auto"/>
          <w:kern w:val="2"/>
          <w:sz w:val="21"/>
          <w:szCs w:val="21"/>
          <w:highlight w:val="none"/>
        </w:rPr>
        <w:t>降低</w:t>
      </w:r>
      <w:r>
        <w:rPr>
          <w:rFonts w:hint="eastAsia" w:ascii="宋体" w:hAnsi="宋体" w:eastAsia="宋体" w:cs="宋体"/>
          <w:color w:val="auto"/>
          <w:kern w:val="2"/>
          <w:sz w:val="21"/>
          <w:szCs w:val="21"/>
          <w:highlight w:val="none"/>
          <w:lang w:val="en-US" w:eastAsia="zh-CN"/>
        </w:rPr>
        <w:t>业主</w:t>
      </w:r>
      <w:r>
        <w:rPr>
          <w:rFonts w:hint="eastAsia" w:ascii="宋体" w:hAnsi="宋体" w:eastAsia="宋体" w:cs="宋体"/>
          <w:color w:val="auto"/>
          <w:kern w:val="2"/>
          <w:sz w:val="21"/>
          <w:szCs w:val="21"/>
          <w:highlight w:val="none"/>
        </w:rPr>
        <w:t>原有</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配电系统的供电稳定性、可靠性，应把对原</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配电系统的影响降低到最小限度</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rPr>
        <w:t>不</w:t>
      </w:r>
      <w:r>
        <w:rPr>
          <w:rFonts w:hint="eastAsia" w:ascii="宋体" w:hAnsi="宋体" w:eastAsia="宋体" w:cs="宋体"/>
          <w:color w:val="auto"/>
          <w:kern w:val="2"/>
          <w:sz w:val="21"/>
          <w:szCs w:val="21"/>
          <w:highlight w:val="none"/>
          <w:lang w:val="en-US" w:eastAsia="zh-CN"/>
        </w:rPr>
        <w:t>得影响供电部门停电检修，当业主</w:t>
      </w:r>
      <w:r>
        <w:rPr>
          <w:rFonts w:hint="eastAsia" w:ascii="宋体" w:hAnsi="宋体" w:eastAsia="宋体" w:cs="宋体"/>
          <w:color w:val="auto"/>
          <w:kern w:val="2"/>
          <w:sz w:val="21"/>
          <w:szCs w:val="21"/>
          <w:highlight w:val="none"/>
        </w:rPr>
        <w:t>原有</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配电系统的供电稳定性、可靠性</w:t>
      </w:r>
      <w:r>
        <w:rPr>
          <w:rFonts w:hint="eastAsia" w:ascii="宋体" w:hAnsi="宋体" w:eastAsia="宋体" w:cs="宋体"/>
          <w:color w:val="auto"/>
          <w:kern w:val="2"/>
          <w:sz w:val="21"/>
          <w:szCs w:val="21"/>
          <w:highlight w:val="none"/>
          <w:lang w:val="en-US" w:eastAsia="zh-CN"/>
        </w:rPr>
        <w:t>下降，承包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必须无条件加装</w:t>
      </w:r>
      <w:r>
        <w:rPr>
          <w:rFonts w:hint="eastAsia" w:ascii="宋体" w:hAnsi="宋体" w:eastAsia="宋体" w:cs="宋体"/>
          <w:b/>
          <w:bCs/>
          <w:color w:val="auto"/>
          <w:kern w:val="2"/>
          <w:sz w:val="21"/>
          <w:szCs w:val="21"/>
          <w:highlight w:val="none"/>
          <w:lang w:val="en-US" w:eastAsia="zh-CN"/>
        </w:rPr>
        <w:t>光伏无功补偿器</w:t>
      </w:r>
      <w:r>
        <w:rPr>
          <w:rFonts w:hint="eastAsia" w:ascii="宋体" w:hAnsi="宋体" w:eastAsia="宋体" w:cs="宋体"/>
          <w:color w:val="auto"/>
          <w:kern w:val="2"/>
          <w:sz w:val="21"/>
          <w:szCs w:val="21"/>
          <w:highlight w:val="none"/>
          <w:lang w:val="en-US" w:eastAsia="zh-CN"/>
        </w:rPr>
        <w:t>承担所需全部费用。</w:t>
      </w:r>
    </w:p>
    <w:p w14:paraId="71CBEC02">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系统接入后不</w:t>
      </w:r>
      <w:r>
        <w:rPr>
          <w:rFonts w:hint="eastAsia" w:ascii="宋体" w:hAnsi="宋体" w:eastAsia="宋体" w:cs="宋体"/>
          <w:color w:val="auto"/>
          <w:kern w:val="2"/>
          <w:sz w:val="21"/>
          <w:szCs w:val="21"/>
          <w:highlight w:val="none"/>
          <w:lang w:val="en-US" w:eastAsia="zh-CN"/>
        </w:rPr>
        <w:t>得影响业主、用能方</w:t>
      </w:r>
      <w:r>
        <w:rPr>
          <w:rFonts w:hint="eastAsia" w:ascii="宋体" w:hAnsi="宋体" w:eastAsia="宋体" w:cs="宋体"/>
          <w:color w:val="auto"/>
          <w:kern w:val="2"/>
          <w:sz w:val="21"/>
          <w:szCs w:val="21"/>
          <w:highlight w:val="none"/>
        </w:rPr>
        <w:t>原有</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w:t>
      </w:r>
      <w:r>
        <w:rPr>
          <w:rFonts w:hint="eastAsia" w:ascii="宋体" w:hAnsi="宋体" w:eastAsia="宋体" w:cs="宋体"/>
          <w:color w:val="auto"/>
          <w:kern w:val="2"/>
          <w:sz w:val="21"/>
          <w:szCs w:val="21"/>
          <w:highlight w:val="none"/>
          <w:lang w:val="en-US" w:eastAsia="zh-CN"/>
        </w:rPr>
        <w:t>正常的用电计量工作，若业主、用能方原有供配电系统用电计量工作出现异常（如用户原有机械计量表倒转），承包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必须无条件采取必要措施解决异常（如</w:t>
      </w:r>
      <w:r>
        <w:rPr>
          <w:rFonts w:hint="eastAsia" w:ascii="宋体" w:hAnsi="宋体" w:eastAsia="宋体" w:cs="宋体"/>
          <w:b/>
          <w:bCs/>
          <w:i w:val="0"/>
          <w:iCs w:val="0"/>
          <w:color w:val="auto"/>
          <w:kern w:val="2"/>
          <w:sz w:val="21"/>
          <w:szCs w:val="21"/>
          <w:highlight w:val="none"/>
          <w:lang w:val="en-US" w:eastAsia="zh-CN"/>
        </w:rPr>
        <w:t>更换业主、用能方机械计量表为电子双向计量表</w:t>
      </w:r>
      <w:r>
        <w:rPr>
          <w:rFonts w:hint="eastAsia" w:ascii="宋体" w:hAnsi="宋体" w:eastAsia="宋体" w:cs="宋体"/>
          <w:color w:val="auto"/>
          <w:kern w:val="2"/>
          <w:sz w:val="21"/>
          <w:szCs w:val="21"/>
          <w:highlight w:val="none"/>
          <w:lang w:val="en-US" w:eastAsia="zh-CN"/>
        </w:rPr>
        <w:t>）并承担所需全部费用。</w:t>
      </w:r>
    </w:p>
    <w:p w14:paraId="5F211EC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系统必须在逆变器输出汇总点设置易于操作、可闭锁、且具有明显断开点的并网总断路器，以保证电力设备检修维护人员的人身安全。</w:t>
      </w:r>
    </w:p>
    <w:p w14:paraId="23097BA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系统和并网点设备的防雷和接地应符合南方电网公司规定要求，接地电阻合格，</w:t>
      </w:r>
      <w:r>
        <w:rPr>
          <w:rFonts w:hint="eastAsia" w:ascii="宋体" w:hAnsi="宋体" w:eastAsia="宋体" w:cs="宋体"/>
          <w:color w:val="auto"/>
          <w:kern w:val="2"/>
          <w:sz w:val="21"/>
          <w:szCs w:val="21"/>
          <w:highlight w:val="none"/>
          <w:lang w:val="en-US" w:eastAsia="zh-CN"/>
        </w:rPr>
        <w:t>并</w:t>
      </w:r>
      <w:r>
        <w:rPr>
          <w:rFonts w:hint="eastAsia" w:ascii="宋体" w:hAnsi="宋体" w:eastAsia="宋体" w:cs="宋体"/>
          <w:color w:val="auto"/>
          <w:kern w:val="2"/>
          <w:sz w:val="21"/>
          <w:szCs w:val="21"/>
          <w:highlight w:val="none"/>
        </w:rPr>
        <w:t>按规定周期进行测试。</w:t>
      </w:r>
    </w:p>
    <w:p w14:paraId="7B73414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或电网异常、故障时为保护设备和人身安全，应具有相应继电保护功能，保护电网和光伏设备的安全运行，确保维护人员和公众人身安全。光伏电站的保护应符合南方电网规定的可靠性、选择性、灵活性和速动性的要求。</w:t>
      </w:r>
    </w:p>
    <w:p w14:paraId="07A8868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系统的过流与短路保护、防孤岛能力、逆变器保护、恢复并网等应满足南方电网规定的要求。</w:t>
      </w:r>
    </w:p>
    <w:p w14:paraId="3F7435E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系统的电能质量满足规程要求，电压谐波和波形畸变、电压偏差、电压波动和闪变、电压不平衡度、直流分量在南方电网规定的范围内，保证功率因</w:t>
      </w:r>
      <w:r>
        <w:rPr>
          <w:rFonts w:hint="eastAsia" w:ascii="宋体" w:hAnsi="宋体" w:eastAsia="宋体" w:cs="宋体"/>
          <w:color w:val="auto"/>
          <w:kern w:val="2"/>
          <w:sz w:val="21"/>
          <w:szCs w:val="21"/>
          <w:highlight w:val="none"/>
          <w:lang w:val="en-US" w:eastAsia="zh-CN"/>
        </w:rPr>
        <w:t>数</w:t>
      </w:r>
      <w:r>
        <w:rPr>
          <w:rFonts w:hint="eastAsia" w:ascii="宋体" w:hAnsi="宋体" w:eastAsia="宋体" w:cs="宋体"/>
          <w:color w:val="auto"/>
          <w:kern w:val="2"/>
          <w:sz w:val="21"/>
          <w:szCs w:val="21"/>
          <w:highlight w:val="none"/>
        </w:rPr>
        <w:t>在0.98以上。</w:t>
      </w:r>
    </w:p>
    <w:p w14:paraId="6591FD46">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系统的安全自动装置应按国家规定配置齐全。</w:t>
      </w:r>
    </w:p>
    <w:p w14:paraId="78FAFA7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按照《分布式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发电开发建设管理办法》（国能发新能规[2025]7号）要求，分布式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w:t>
      </w:r>
      <w:r>
        <w:rPr>
          <w:rFonts w:hint="eastAsia" w:ascii="宋体" w:hAnsi="宋体" w:eastAsia="宋体" w:cs="宋体"/>
          <w:color w:val="auto"/>
          <w:kern w:val="2"/>
          <w:sz w:val="21"/>
          <w:szCs w:val="21"/>
          <w:highlight w:val="none"/>
          <w:lang w:val="en-US" w:eastAsia="zh-CN"/>
        </w:rPr>
        <w:t>应具备“四可”（可观、可测、可调、可控）能力，承包单位需自行购买并安装符合并网资质的</w:t>
      </w:r>
      <w:r>
        <w:rPr>
          <w:rFonts w:hint="eastAsia" w:ascii="宋体" w:hAnsi="宋体" w:eastAsia="宋体" w:cs="宋体"/>
          <w:b/>
          <w:bCs/>
          <w:color w:val="auto"/>
          <w:kern w:val="2"/>
          <w:sz w:val="21"/>
          <w:szCs w:val="21"/>
          <w:highlight w:val="none"/>
          <w:lang w:val="en-US" w:eastAsia="zh-CN"/>
        </w:rPr>
        <w:t>光伏断路器</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b/>
          <w:bCs/>
          <w:color w:val="auto"/>
          <w:kern w:val="2"/>
          <w:sz w:val="21"/>
          <w:szCs w:val="21"/>
          <w:highlight w:val="none"/>
          <w:lang w:val="en-US" w:eastAsia="zh-CN"/>
        </w:rPr>
        <w:t>协议转换单元</w:t>
      </w:r>
      <w:r>
        <w:rPr>
          <w:rFonts w:hint="eastAsia" w:ascii="宋体" w:hAnsi="宋体" w:eastAsia="宋体" w:cs="宋体"/>
          <w:color w:val="auto"/>
          <w:kern w:val="2"/>
          <w:sz w:val="21"/>
          <w:szCs w:val="21"/>
          <w:highlight w:val="none"/>
          <w:lang w:val="en-US" w:eastAsia="zh-CN"/>
        </w:rPr>
        <w:t>等</w:t>
      </w:r>
      <w:r>
        <w:rPr>
          <w:rFonts w:hint="eastAsia" w:ascii="宋体" w:hAnsi="宋体" w:eastAsia="宋体" w:cs="宋体"/>
          <w:b/>
          <w:bCs/>
          <w:color w:val="auto"/>
          <w:kern w:val="2"/>
          <w:sz w:val="21"/>
          <w:szCs w:val="21"/>
          <w:highlight w:val="none"/>
          <w:lang w:val="en-US" w:eastAsia="zh-CN"/>
        </w:rPr>
        <w:t>“四可”设备</w:t>
      </w:r>
      <w:r>
        <w:rPr>
          <w:rFonts w:hint="eastAsia" w:ascii="宋体" w:hAnsi="宋体" w:eastAsia="宋体" w:cs="宋体"/>
          <w:color w:val="auto"/>
          <w:kern w:val="2"/>
          <w:sz w:val="21"/>
          <w:szCs w:val="21"/>
          <w:highlight w:val="none"/>
          <w:lang w:val="en-US" w:eastAsia="zh-CN"/>
        </w:rPr>
        <w:t>，并提供设备出厂合格证和第三方检测报告</w:t>
      </w:r>
      <w:r>
        <w:rPr>
          <w:rFonts w:hint="eastAsia" w:ascii="宋体" w:hAnsi="宋体" w:eastAsia="宋体" w:cs="宋体"/>
          <w:color w:val="auto"/>
          <w:kern w:val="2"/>
          <w:sz w:val="21"/>
          <w:szCs w:val="21"/>
          <w:highlight w:val="none"/>
        </w:rPr>
        <w:t>。</w:t>
      </w:r>
    </w:p>
    <w:p w14:paraId="25E10F9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3.光伏组件技术要求</w:t>
      </w:r>
    </w:p>
    <w:p w14:paraId="43FD992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（1）采用高效率单晶硅</w:t>
      </w:r>
      <w:r>
        <w:rPr>
          <w:rFonts w:hint="eastAsia" w:ascii="宋体" w:hAnsi="宋体" w:eastAsia="宋体" w:cs="宋体"/>
          <w:color w:val="auto"/>
          <w:kern w:val="2"/>
          <w:sz w:val="21"/>
          <w:szCs w:val="21"/>
          <w:highlight w:val="none"/>
          <w:lang w:val="en-US" w:eastAsia="zh-CN"/>
        </w:rPr>
        <w:t>60</w:t>
      </w:r>
      <w:r>
        <w:rPr>
          <w:rFonts w:hint="eastAsia" w:ascii="宋体" w:hAnsi="宋体" w:eastAsia="宋体" w:cs="宋体"/>
          <w:color w:val="auto"/>
          <w:kern w:val="2"/>
          <w:sz w:val="21"/>
          <w:szCs w:val="21"/>
          <w:highlight w:val="none"/>
        </w:rPr>
        <w:t>0Wp及以上的太阳能光伏组件，使用寿命不低于</w:t>
      </w:r>
      <w:r>
        <w:rPr>
          <w:rFonts w:hint="eastAsia" w:ascii="宋体" w:hAnsi="宋体" w:eastAsia="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rPr>
        <w:t>年，不少于</w:t>
      </w:r>
      <w:r>
        <w:rPr>
          <w:rFonts w:hint="eastAsia" w:ascii="宋体" w:hAnsi="宋体" w:eastAsia="宋体" w:cs="宋体"/>
          <w:color w:val="auto"/>
          <w:kern w:val="2"/>
          <w:sz w:val="21"/>
          <w:szCs w:val="21"/>
          <w:highlight w:val="none"/>
          <w:lang w:val="en-US" w:eastAsia="zh-CN"/>
        </w:rPr>
        <w:t>12年材料工艺质保和30</w:t>
      </w:r>
      <w:r>
        <w:rPr>
          <w:rFonts w:hint="eastAsia" w:ascii="宋体" w:hAnsi="宋体" w:eastAsia="宋体" w:cs="宋体"/>
          <w:color w:val="auto"/>
          <w:kern w:val="2"/>
          <w:sz w:val="21"/>
          <w:szCs w:val="21"/>
          <w:highlight w:val="none"/>
        </w:rPr>
        <w:t>年线性功率质保，投标文件中提供质保说明书，</w:t>
      </w:r>
      <w:r>
        <w:rPr>
          <w:rFonts w:hint="eastAsia" w:ascii="宋体" w:hAnsi="宋体" w:eastAsia="宋体" w:cs="宋体"/>
          <w:color w:val="auto"/>
          <w:kern w:val="2"/>
          <w:sz w:val="21"/>
          <w:szCs w:val="21"/>
          <w:highlight w:val="none"/>
          <w:lang w:val="en-US" w:eastAsia="zh-CN"/>
        </w:rPr>
        <w:t>具体</w:t>
      </w:r>
      <w:r>
        <w:rPr>
          <w:rFonts w:hint="eastAsia" w:ascii="宋体" w:hAnsi="宋体" w:eastAsia="宋体" w:cs="宋体"/>
          <w:color w:val="auto"/>
          <w:kern w:val="2"/>
          <w:sz w:val="21"/>
          <w:szCs w:val="21"/>
          <w:highlight w:val="none"/>
        </w:rPr>
        <w:t>技术参数要求</w:t>
      </w:r>
      <w:r>
        <w:rPr>
          <w:rFonts w:hint="eastAsia" w:ascii="宋体" w:hAnsi="宋体" w:eastAsia="宋体" w:cs="宋体"/>
          <w:color w:val="auto"/>
          <w:kern w:val="2"/>
          <w:sz w:val="21"/>
          <w:szCs w:val="21"/>
          <w:highlight w:val="none"/>
          <w:lang w:val="en-US" w:eastAsia="zh-CN"/>
        </w:rPr>
        <w:t>严格按</w:t>
      </w:r>
      <w:r>
        <w:rPr>
          <w:rFonts w:hint="eastAsia" w:ascii="宋体" w:hAnsi="宋体" w:eastAsia="宋体" w:cs="宋体"/>
          <w:color w:val="auto"/>
          <w:kern w:val="2"/>
          <w:sz w:val="21"/>
          <w:szCs w:val="21"/>
          <w:highlight w:val="none"/>
        </w:rPr>
        <w:t>下表</w:t>
      </w:r>
      <w:r>
        <w:rPr>
          <w:rFonts w:hint="eastAsia" w:ascii="宋体" w:hAnsi="宋体" w:eastAsia="宋体" w:cs="宋体"/>
          <w:color w:val="auto"/>
          <w:kern w:val="2"/>
          <w:sz w:val="21"/>
          <w:szCs w:val="21"/>
          <w:highlight w:val="none"/>
          <w:lang w:val="en-US" w:eastAsia="zh-CN"/>
        </w:rPr>
        <w:t>执行</w:t>
      </w:r>
      <w:r>
        <w:rPr>
          <w:rFonts w:hint="eastAsia" w:ascii="宋体" w:hAnsi="宋体" w:eastAsia="宋体" w:cs="宋体"/>
          <w:color w:val="auto"/>
          <w:kern w:val="2"/>
          <w:sz w:val="21"/>
          <w:szCs w:val="21"/>
          <w:highlight w:val="none"/>
        </w:rPr>
        <w:t>：</w:t>
      </w:r>
    </w:p>
    <w:p w14:paraId="5E5F7F7D">
      <w:pPr>
        <w:pageBreakBefore w:val="0"/>
        <w:widowControl w:val="0"/>
        <w:kinsoku/>
        <w:wordWrap w:val="0"/>
        <w:overflowPunct/>
        <w:topLinePunct w:val="0"/>
        <w:bidi w:val="0"/>
        <w:adjustRightInd/>
        <w:snapToGrid/>
        <w:spacing w:after="0" w:line="360" w:lineRule="auto"/>
        <w:jc w:val="center"/>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spacing w:val="13"/>
          <w:kern w:val="2"/>
          <w:sz w:val="21"/>
          <w:szCs w:val="21"/>
          <w:highlight w:val="none"/>
          <w:lang w:val="en-US" w:eastAsia="zh-CN"/>
        </w:rPr>
        <w:t>光伏</w:t>
      </w:r>
      <w:r>
        <w:rPr>
          <w:rFonts w:hint="eastAsia" w:ascii="宋体" w:hAnsi="宋体" w:eastAsia="宋体" w:cs="宋体"/>
          <w:b/>
          <w:bCs/>
          <w:color w:val="auto"/>
          <w:spacing w:val="13"/>
          <w:kern w:val="2"/>
          <w:sz w:val="21"/>
          <w:szCs w:val="21"/>
          <w:highlight w:val="none"/>
        </w:rPr>
        <w:t>组</w:t>
      </w:r>
      <w:r>
        <w:rPr>
          <w:rFonts w:hint="eastAsia" w:ascii="宋体" w:hAnsi="宋体" w:eastAsia="宋体" w:cs="宋体"/>
          <w:b/>
          <w:bCs/>
          <w:color w:val="auto"/>
          <w:spacing w:val="8"/>
          <w:kern w:val="2"/>
          <w:sz w:val="21"/>
          <w:szCs w:val="21"/>
          <w:highlight w:val="none"/>
        </w:rPr>
        <w:t>件主要技术参数表</w:t>
      </w:r>
    </w:p>
    <w:tbl>
      <w:tblPr>
        <w:tblStyle w:val="84"/>
        <w:tblW w:w="503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292"/>
        <w:gridCol w:w="5425"/>
      </w:tblGrid>
      <w:tr w14:paraId="4B36C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7" w:hRule="atLeast"/>
        </w:trPr>
        <w:tc>
          <w:tcPr>
            <w:tcW w:w="2208" w:type="pct"/>
            <w:vAlign w:val="bottom"/>
          </w:tcPr>
          <w:p w14:paraId="51D39FC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6"/>
                <w:kern w:val="2"/>
                <w:sz w:val="21"/>
                <w:szCs w:val="21"/>
                <w:highlight w:val="none"/>
              </w:rPr>
              <w:t>型号规</w:t>
            </w:r>
            <w:r>
              <w:rPr>
                <w:rFonts w:hint="eastAsia" w:ascii="宋体" w:hAnsi="宋体" w:eastAsia="宋体" w:cs="宋体"/>
                <w:color w:val="auto"/>
                <w:spacing w:val="5"/>
                <w:kern w:val="2"/>
                <w:sz w:val="21"/>
                <w:szCs w:val="21"/>
                <w:highlight w:val="none"/>
              </w:rPr>
              <w:t>格</w:t>
            </w:r>
          </w:p>
        </w:tc>
        <w:tc>
          <w:tcPr>
            <w:tcW w:w="2791" w:type="pct"/>
            <w:vAlign w:val="bottom"/>
          </w:tcPr>
          <w:p w14:paraId="7EC4205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高效率单晶硅</w:t>
            </w:r>
            <w:r>
              <w:rPr>
                <w:rFonts w:hint="eastAsia" w:ascii="宋体" w:hAnsi="宋体" w:eastAsia="宋体" w:cs="宋体"/>
                <w:color w:val="auto"/>
                <w:spacing w:val="-2"/>
                <w:kern w:val="2"/>
                <w:sz w:val="21"/>
                <w:szCs w:val="21"/>
                <w:highlight w:val="none"/>
                <w:lang w:val="en-US" w:eastAsia="zh-CN"/>
              </w:rPr>
              <w:t>半片电池片 60</w:t>
            </w:r>
            <w:r>
              <w:rPr>
                <w:rFonts w:hint="eastAsia" w:ascii="宋体" w:hAnsi="宋体" w:eastAsia="宋体" w:cs="宋体"/>
                <w:color w:val="auto"/>
                <w:spacing w:val="-2"/>
                <w:kern w:val="2"/>
                <w:sz w:val="21"/>
                <w:szCs w:val="21"/>
                <w:highlight w:val="none"/>
              </w:rPr>
              <w:t>0Wp</w:t>
            </w:r>
            <w:r>
              <w:rPr>
                <w:rFonts w:hint="eastAsia" w:ascii="宋体" w:hAnsi="宋体" w:eastAsia="宋体" w:cs="宋体"/>
                <w:color w:val="auto"/>
                <w:kern w:val="2"/>
                <w:sz w:val="21"/>
                <w:szCs w:val="21"/>
                <w:highlight w:val="none"/>
              </w:rPr>
              <w:t>及</w:t>
            </w:r>
            <w:r>
              <w:rPr>
                <w:rFonts w:hint="eastAsia" w:ascii="宋体" w:hAnsi="宋体" w:eastAsia="宋体" w:cs="宋体"/>
                <w:color w:val="auto"/>
                <w:spacing w:val="-2"/>
                <w:kern w:val="2"/>
                <w:sz w:val="21"/>
                <w:szCs w:val="21"/>
                <w:highlight w:val="none"/>
                <w:lang w:val="en-US" w:eastAsia="zh-CN"/>
              </w:rPr>
              <w:t xml:space="preserve">以上 </w:t>
            </w:r>
          </w:p>
        </w:tc>
      </w:tr>
      <w:tr w14:paraId="5B6C5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14D5F33C">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1"/>
                <w:kern w:val="2"/>
                <w:sz w:val="21"/>
                <w:szCs w:val="21"/>
                <w:highlight w:val="none"/>
              </w:rPr>
              <w:t>标称功率</w:t>
            </w:r>
            <w:r>
              <w:rPr>
                <w:rFonts w:hint="eastAsia" w:ascii="宋体" w:hAnsi="宋体" w:eastAsia="宋体" w:cs="宋体"/>
                <w:color w:val="auto"/>
                <w:kern w:val="2"/>
                <w:sz w:val="21"/>
                <w:szCs w:val="21"/>
                <w:highlight w:val="none"/>
              </w:rPr>
              <w:t>(W)</w:t>
            </w:r>
          </w:p>
        </w:tc>
        <w:tc>
          <w:tcPr>
            <w:tcW w:w="2791" w:type="pct"/>
            <w:vAlign w:val="bottom"/>
          </w:tcPr>
          <w:p w14:paraId="7F3848EC">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≥600</w:t>
            </w:r>
            <w:r>
              <w:rPr>
                <w:rFonts w:hint="eastAsia" w:ascii="宋体" w:hAnsi="宋体" w:eastAsia="宋体" w:cs="宋体"/>
                <w:color w:val="auto"/>
                <w:kern w:val="2"/>
                <w:sz w:val="21"/>
                <w:szCs w:val="21"/>
                <w:highlight w:val="none"/>
              </w:rPr>
              <w:t>W</w:t>
            </w:r>
            <w:r>
              <w:rPr>
                <w:rFonts w:hint="eastAsia" w:ascii="宋体" w:hAnsi="宋体" w:eastAsia="宋体" w:cs="宋体"/>
                <w:color w:val="auto"/>
                <w:spacing w:val="-2"/>
                <w:kern w:val="2"/>
                <w:sz w:val="21"/>
                <w:szCs w:val="21"/>
                <w:highlight w:val="none"/>
              </w:rPr>
              <w:t>p</w:t>
            </w:r>
          </w:p>
        </w:tc>
      </w:tr>
      <w:tr w14:paraId="128FB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22AF04F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rPr>
              <w:t>组</w:t>
            </w:r>
            <w:r>
              <w:rPr>
                <w:rFonts w:hint="eastAsia" w:ascii="宋体" w:hAnsi="宋体" w:eastAsia="宋体" w:cs="宋体"/>
                <w:color w:val="auto"/>
                <w:spacing w:val="-5"/>
                <w:kern w:val="2"/>
                <w:sz w:val="21"/>
                <w:szCs w:val="21"/>
                <w:highlight w:val="none"/>
              </w:rPr>
              <w:t>件效率(</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53118FC3">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sz w:val="21"/>
                <w:szCs w:val="21"/>
                <w:highlight w:val="none"/>
                <w:lang w:val="en-US" w:eastAsia="zh-CN"/>
              </w:rPr>
              <w:t>22.4</w:t>
            </w:r>
          </w:p>
        </w:tc>
      </w:tr>
      <w:tr w14:paraId="41D06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0DA0BF89">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首年功率衰减率</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435E7A59">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w:t>
            </w:r>
          </w:p>
        </w:tc>
      </w:tr>
      <w:tr w14:paraId="69F8A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7BBF0699">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次年后每年功率衰减率</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3067D6A1">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sz w:val="21"/>
                <w:szCs w:val="21"/>
                <w:highlight w:val="none"/>
                <w:lang w:val="en-US" w:eastAsia="zh-CN"/>
              </w:rPr>
              <w:t>0.4</w:t>
            </w:r>
          </w:p>
        </w:tc>
      </w:tr>
      <w:tr w14:paraId="7AF38B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D01324D">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6"/>
                <w:kern w:val="2"/>
                <w:sz w:val="21"/>
                <w:szCs w:val="21"/>
                <w:highlight w:val="none"/>
                <w:lang w:val="en-US" w:eastAsia="zh-CN"/>
              </w:rPr>
            </w:pPr>
            <w:r>
              <w:rPr>
                <w:rFonts w:hint="eastAsia" w:ascii="宋体" w:hAnsi="宋体" w:eastAsia="宋体" w:cs="宋体"/>
                <w:color w:val="auto"/>
                <w:spacing w:val="6"/>
                <w:kern w:val="2"/>
                <w:sz w:val="21"/>
                <w:szCs w:val="21"/>
                <w:highlight w:val="none"/>
                <w:lang w:val="en-US" w:eastAsia="zh-CN"/>
              </w:rPr>
              <w:t>30年后</w:t>
            </w:r>
            <w:r>
              <w:rPr>
                <w:rFonts w:hint="eastAsia" w:ascii="宋体" w:hAnsi="宋体" w:eastAsia="宋体" w:cs="宋体"/>
                <w:color w:val="auto"/>
                <w:kern w:val="2"/>
                <w:sz w:val="21"/>
                <w:szCs w:val="21"/>
                <w:highlight w:val="none"/>
              </w:rPr>
              <w:t>功率衰减率</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1E6582E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12"/>
                <w:kern w:val="2"/>
                <w:position w:val="1"/>
                <w:sz w:val="21"/>
                <w:szCs w:val="21"/>
                <w:highlight w:val="none"/>
                <w:lang w:val="en-US"/>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sz w:val="21"/>
                <w:szCs w:val="21"/>
                <w:highlight w:val="none"/>
                <w:lang w:val="en-US" w:eastAsia="zh-CN"/>
              </w:rPr>
              <w:t>12.6</w:t>
            </w:r>
          </w:p>
        </w:tc>
      </w:tr>
      <w:tr w14:paraId="36055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450731E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6"/>
                <w:kern w:val="2"/>
                <w:sz w:val="21"/>
                <w:szCs w:val="21"/>
                <w:highlight w:val="none"/>
              </w:rPr>
            </w:pPr>
            <w:r>
              <w:rPr>
                <w:rFonts w:hint="eastAsia" w:ascii="宋体" w:hAnsi="宋体" w:eastAsia="宋体" w:cs="宋体"/>
                <w:color w:val="auto"/>
                <w:spacing w:val="6"/>
                <w:kern w:val="2"/>
                <w:sz w:val="21"/>
                <w:szCs w:val="21"/>
                <w:highlight w:val="none"/>
                <w:lang w:val="en-US" w:eastAsia="zh-CN"/>
              </w:rPr>
              <w:t>输出</w:t>
            </w:r>
            <w:r>
              <w:rPr>
                <w:rFonts w:hint="eastAsia" w:ascii="宋体" w:hAnsi="宋体" w:eastAsia="宋体" w:cs="宋体"/>
                <w:color w:val="auto"/>
                <w:spacing w:val="6"/>
                <w:kern w:val="2"/>
                <w:sz w:val="21"/>
                <w:szCs w:val="21"/>
                <w:highlight w:val="none"/>
              </w:rPr>
              <w:t>功率公差(</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18C039C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12"/>
                <w:kern w:val="2"/>
                <w:position w:val="1"/>
                <w:sz w:val="21"/>
                <w:szCs w:val="21"/>
                <w:highlight w:val="none"/>
              </w:rPr>
            </w:pPr>
            <w:r>
              <w:rPr>
                <w:rFonts w:hint="eastAsia" w:ascii="宋体" w:hAnsi="宋体" w:eastAsia="宋体" w:cs="宋体"/>
                <w:color w:val="auto"/>
                <w:spacing w:val="2"/>
                <w:kern w:val="2"/>
                <w:position w:val="-1"/>
                <w:sz w:val="21"/>
                <w:szCs w:val="21"/>
                <w:highlight w:val="none"/>
              </w:rPr>
              <w:t>0</w:t>
            </w:r>
            <w:r>
              <w:rPr>
                <w:rFonts w:hint="eastAsia" w:ascii="宋体" w:hAnsi="宋体" w:eastAsia="宋体" w:cs="宋体"/>
                <w:color w:val="auto"/>
                <w:spacing w:val="2"/>
                <w:kern w:val="2"/>
                <w:position w:val="-1"/>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2"/>
                <w:kern w:val="2"/>
                <w:position w:val="-1"/>
                <w:sz w:val="21"/>
                <w:szCs w:val="21"/>
                <w:highlight w:val="none"/>
                <w:lang w:val="en-US" w:eastAsia="zh-CN"/>
              </w:rPr>
              <w:t>3</w:t>
            </w:r>
          </w:p>
        </w:tc>
      </w:tr>
      <w:tr w14:paraId="6CA99B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D6B9E6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短路电流温度系数(%/℃</w:t>
            </w:r>
            <w:r>
              <w:rPr>
                <w:rFonts w:hint="eastAsia" w:ascii="宋体" w:hAnsi="宋体" w:eastAsia="宋体" w:cs="宋体"/>
                <w:color w:val="auto"/>
                <w:spacing w:val="6"/>
                <w:kern w:val="2"/>
                <w:sz w:val="21"/>
                <w:szCs w:val="21"/>
                <w:highlight w:val="none"/>
              </w:rPr>
              <w:t>)</w:t>
            </w:r>
          </w:p>
        </w:tc>
        <w:tc>
          <w:tcPr>
            <w:tcW w:w="2791" w:type="pct"/>
            <w:vAlign w:val="bottom"/>
          </w:tcPr>
          <w:p w14:paraId="7CCFEDC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3"/>
                <w:kern w:val="2"/>
                <w:position w:val="1"/>
                <w:sz w:val="21"/>
                <w:szCs w:val="21"/>
                <w:highlight w:val="none"/>
              </w:rPr>
              <w:t>+0.0</w:t>
            </w:r>
            <w:r>
              <w:rPr>
                <w:rFonts w:hint="eastAsia" w:ascii="宋体" w:hAnsi="宋体" w:eastAsia="宋体" w:cs="宋体"/>
                <w:color w:val="auto"/>
                <w:spacing w:val="2"/>
                <w:kern w:val="2"/>
                <w:position w:val="1"/>
                <w:sz w:val="21"/>
                <w:szCs w:val="21"/>
                <w:highlight w:val="none"/>
                <w:lang w:val="en-US" w:eastAsia="zh-CN"/>
              </w:rPr>
              <w:t>45</w:t>
            </w:r>
          </w:p>
        </w:tc>
      </w:tr>
      <w:tr w14:paraId="4E8CC2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6981576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rPr>
              <w:t>开</w:t>
            </w:r>
            <w:r>
              <w:rPr>
                <w:rFonts w:hint="eastAsia" w:ascii="宋体" w:hAnsi="宋体" w:eastAsia="宋体" w:cs="宋体"/>
                <w:color w:val="auto"/>
                <w:spacing w:val="7"/>
                <w:kern w:val="2"/>
                <w:sz w:val="21"/>
                <w:szCs w:val="21"/>
                <w:highlight w:val="none"/>
              </w:rPr>
              <w:t>路电压温度系数(%/℃)</w:t>
            </w:r>
          </w:p>
        </w:tc>
        <w:tc>
          <w:tcPr>
            <w:tcW w:w="2791" w:type="pct"/>
            <w:vAlign w:val="bottom"/>
          </w:tcPr>
          <w:p w14:paraId="639D592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3"/>
                <w:kern w:val="2"/>
                <w:sz w:val="21"/>
                <w:szCs w:val="21"/>
                <w:highlight w:val="none"/>
              </w:rPr>
              <w:t>0.2</w:t>
            </w:r>
            <w:r>
              <w:rPr>
                <w:rFonts w:hint="eastAsia" w:ascii="宋体" w:hAnsi="宋体" w:eastAsia="宋体" w:cs="宋体"/>
                <w:color w:val="auto"/>
                <w:spacing w:val="3"/>
                <w:kern w:val="2"/>
                <w:sz w:val="21"/>
                <w:szCs w:val="21"/>
                <w:highlight w:val="none"/>
                <w:lang w:val="en-US" w:eastAsia="zh-CN"/>
              </w:rPr>
              <w:t>5</w:t>
            </w:r>
          </w:p>
        </w:tc>
      </w:tr>
      <w:tr w14:paraId="57C5F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0C1E478D">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最大功率温度系数(%/℃</w:t>
            </w:r>
            <w:r>
              <w:rPr>
                <w:rFonts w:hint="eastAsia" w:ascii="宋体" w:hAnsi="宋体" w:eastAsia="宋体" w:cs="宋体"/>
                <w:color w:val="auto"/>
                <w:spacing w:val="6"/>
                <w:kern w:val="2"/>
                <w:sz w:val="21"/>
                <w:szCs w:val="21"/>
                <w:highlight w:val="none"/>
              </w:rPr>
              <w:t>)</w:t>
            </w:r>
          </w:p>
        </w:tc>
        <w:tc>
          <w:tcPr>
            <w:tcW w:w="2791" w:type="pct"/>
            <w:vAlign w:val="bottom"/>
          </w:tcPr>
          <w:p w14:paraId="4E7C8DC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3"/>
                <w:kern w:val="2"/>
                <w:sz w:val="21"/>
                <w:szCs w:val="21"/>
                <w:highlight w:val="none"/>
              </w:rPr>
              <w:t>0.</w:t>
            </w:r>
            <w:r>
              <w:rPr>
                <w:rFonts w:hint="eastAsia" w:ascii="宋体" w:hAnsi="宋体" w:eastAsia="宋体" w:cs="宋体"/>
                <w:color w:val="auto"/>
                <w:spacing w:val="3"/>
                <w:kern w:val="2"/>
                <w:sz w:val="21"/>
                <w:szCs w:val="21"/>
                <w:highlight w:val="none"/>
                <w:lang w:val="en-US" w:eastAsia="zh-CN"/>
              </w:rPr>
              <w:t>29</w:t>
            </w:r>
          </w:p>
        </w:tc>
      </w:tr>
      <w:tr w14:paraId="12D30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70F2200C">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8"/>
                <w:kern w:val="2"/>
                <w:sz w:val="21"/>
                <w:szCs w:val="21"/>
                <w:highlight w:val="none"/>
              </w:rPr>
              <w:t>最大额定熔丝电流</w:t>
            </w:r>
            <w:r>
              <w:rPr>
                <w:rFonts w:hint="eastAsia" w:ascii="宋体" w:hAnsi="宋体" w:eastAsia="宋体" w:cs="宋体"/>
                <w:color w:val="auto"/>
                <w:spacing w:val="7"/>
                <w:kern w:val="2"/>
                <w:sz w:val="21"/>
                <w:szCs w:val="21"/>
                <w:highlight w:val="none"/>
              </w:rPr>
              <w:t>(</w:t>
            </w:r>
            <w:r>
              <w:rPr>
                <w:rFonts w:hint="eastAsia" w:ascii="宋体" w:hAnsi="宋体" w:eastAsia="宋体" w:cs="宋体"/>
                <w:color w:val="auto"/>
                <w:spacing w:val="7"/>
                <w:kern w:val="2"/>
                <w:sz w:val="21"/>
                <w:szCs w:val="21"/>
                <w:highlight w:val="none"/>
                <w:lang w:val="en-US" w:eastAsia="zh-CN"/>
              </w:rPr>
              <w:t>A</w:t>
            </w:r>
            <w:r>
              <w:rPr>
                <w:rFonts w:hint="eastAsia" w:ascii="宋体" w:hAnsi="宋体" w:eastAsia="宋体" w:cs="宋体"/>
                <w:color w:val="auto"/>
                <w:spacing w:val="6"/>
                <w:kern w:val="2"/>
                <w:sz w:val="21"/>
                <w:szCs w:val="21"/>
                <w:highlight w:val="none"/>
              </w:rPr>
              <w:t>)</w:t>
            </w:r>
          </w:p>
        </w:tc>
        <w:tc>
          <w:tcPr>
            <w:tcW w:w="2791" w:type="pct"/>
            <w:vAlign w:val="bottom"/>
          </w:tcPr>
          <w:p w14:paraId="6F9882A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position w:val="-1"/>
                <w:sz w:val="21"/>
                <w:szCs w:val="21"/>
                <w:highlight w:val="none"/>
                <w:lang w:val="en-US" w:eastAsia="zh-CN"/>
              </w:rPr>
              <w:t>25</w:t>
            </w:r>
          </w:p>
        </w:tc>
      </w:tr>
      <w:tr w14:paraId="5EC73B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04590193">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rPr>
              <w:t>最大系统电</w:t>
            </w:r>
            <w:r>
              <w:rPr>
                <w:rFonts w:hint="eastAsia" w:ascii="宋体" w:hAnsi="宋体" w:eastAsia="宋体" w:cs="宋体"/>
                <w:color w:val="auto"/>
                <w:spacing w:val="7"/>
                <w:kern w:val="2"/>
                <w:sz w:val="21"/>
                <w:szCs w:val="21"/>
                <w:highlight w:val="none"/>
              </w:rPr>
              <w:t>压(</w:t>
            </w:r>
            <w:r>
              <w:rPr>
                <w:rFonts w:hint="eastAsia" w:ascii="宋体" w:hAnsi="宋体" w:eastAsia="宋体" w:cs="宋体"/>
                <w:color w:val="auto"/>
                <w:spacing w:val="7"/>
                <w:kern w:val="2"/>
                <w:sz w:val="21"/>
                <w:szCs w:val="21"/>
                <w:highlight w:val="none"/>
                <w:lang w:val="en-US" w:eastAsia="zh-CN"/>
              </w:rPr>
              <w:t>V</w:t>
            </w:r>
            <w:r>
              <w:rPr>
                <w:rFonts w:hint="eastAsia" w:ascii="宋体" w:hAnsi="宋体" w:eastAsia="宋体" w:cs="宋体"/>
                <w:color w:val="auto"/>
                <w:spacing w:val="6"/>
                <w:kern w:val="2"/>
                <w:sz w:val="21"/>
                <w:szCs w:val="21"/>
                <w:highlight w:val="none"/>
              </w:rPr>
              <w:t>)</w:t>
            </w:r>
          </w:p>
        </w:tc>
        <w:tc>
          <w:tcPr>
            <w:tcW w:w="2791" w:type="pct"/>
            <w:vAlign w:val="bottom"/>
          </w:tcPr>
          <w:p w14:paraId="3BB793A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DC</w:t>
            </w:r>
            <w:r>
              <w:rPr>
                <w:rFonts w:hint="eastAsia" w:ascii="宋体" w:hAnsi="宋体" w:eastAsia="宋体" w:cs="宋体"/>
                <w:color w:val="auto"/>
                <w:spacing w:val="9"/>
                <w:kern w:val="2"/>
                <w:sz w:val="21"/>
                <w:szCs w:val="21"/>
                <w:highlight w:val="none"/>
              </w:rPr>
              <w:t>1</w:t>
            </w:r>
            <w:r>
              <w:rPr>
                <w:rFonts w:hint="eastAsia" w:ascii="宋体" w:hAnsi="宋体" w:eastAsia="宋体" w:cs="宋体"/>
                <w:color w:val="auto"/>
                <w:spacing w:val="7"/>
                <w:kern w:val="2"/>
                <w:sz w:val="21"/>
                <w:szCs w:val="21"/>
                <w:highlight w:val="none"/>
              </w:rPr>
              <w:t>500</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IEC</w:t>
            </w:r>
            <w:r>
              <w:rPr>
                <w:rFonts w:hint="eastAsia" w:ascii="宋体" w:hAnsi="宋体" w:eastAsia="宋体" w:cs="宋体"/>
                <w:color w:val="auto"/>
                <w:kern w:val="2"/>
                <w:sz w:val="21"/>
                <w:szCs w:val="21"/>
                <w:highlight w:val="none"/>
                <w:lang w:eastAsia="zh-CN"/>
              </w:rPr>
              <w:t>）</w:t>
            </w:r>
          </w:p>
        </w:tc>
      </w:tr>
      <w:tr w14:paraId="2E4E3F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575F159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lang w:val="en-US" w:eastAsia="zh-CN"/>
              </w:rPr>
              <w:t>工作</w:t>
            </w:r>
            <w:r>
              <w:rPr>
                <w:rFonts w:hint="eastAsia" w:ascii="宋体" w:hAnsi="宋体" w:eastAsia="宋体" w:cs="宋体"/>
                <w:color w:val="auto"/>
                <w:spacing w:val="7"/>
                <w:kern w:val="2"/>
                <w:sz w:val="21"/>
                <w:szCs w:val="21"/>
                <w:highlight w:val="none"/>
              </w:rPr>
              <w:t>温度范围</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w:t>
            </w:r>
          </w:p>
        </w:tc>
        <w:tc>
          <w:tcPr>
            <w:tcW w:w="2791" w:type="pct"/>
            <w:vAlign w:val="bottom"/>
          </w:tcPr>
          <w:p w14:paraId="6E87655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spacing w:val="7"/>
                <w:kern w:val="2"/>
                <w:sz w:val="21"/>
                <w:szCs w:val="21"/>
                <w:highlight w:val="none"/>
              </w:rPr>
              <w:t>-</w:t>
            </w:r>
            <w:r>
              <w:rPr>
                <w:rFonts w:hint="eastAsia" w:ascii="宋体" w:hAnsi="宋体" w:eastAsia="宋体" w:cs="宋体"/>
                <w:color w:val="auto"/>
                <w:spacing w:val="5"/>
                <w:kern w:val="2"/>
                <w:sz w:val="21"/>
                <w:szCs w:val="21"/>
                <w:highlight w:val="none"/>
              </w:rPr>
              <w:t>40</w:t>
            </w:r>
            <w:r>
              <w:rPr>
                <w:rFonts w:hint="eastAsia" w:ascii="宋体" w:hAnsi="宋体" w:eastAsia="宋体" w:cs="宋体"/>
                <w:color w:val="auto"/>
                <w:spacing w:val="5"/>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5"/>
                <w:kern w:val="2"/>
                <w:sz w:val="21"/>
                <w:szCs w:val="21"/>
                <w:highlight w:val="none"/>
                <w:lang w:val="en-US" w:eastAsia="zh-CN"/>
              </w:rPr>
              <w:t>70</w:t>
            </w:r>
          </w:p>
        </w:tc>
      </w:tr>
      <w:tr w14:paraId="68A1E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07ADF05D">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9"/>
                <w:kern w:val="2"/>
                <w:sz w:val="21"/>
                <w:szCs w:val="21"/>
                <w:highlight w:val="none"/>
              </w:rPr>
            </w:pPr>
            <w:r>
              <w:rPr>
                <w:rFonts w:hint="eastAsia" w:ascii="宋体" w:hAnsi="宋体" w:eastAsia="宋体" w:cs="宋体"/>
                <w:color w:val="auto"/>
                <w:spacing w:val="5"/>
                <w:kern w:val="2"/>
                <w:sz w:val="21"/>
                <w:szCs w:val="21"/>
                <w:highlight w:val="none"/>
                <w:lang w:val="en-US" w:eastAsia="zh-CN"/>
              </w:rPr>
              <w:t>正面最大静态载荷/抗雪载性能</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Pa)</w:t>
            </w:r>
          </w:p>
        </w:tc>
        <w:tc>
          <w:tcPr>
            <w:tcW w:w="2791" w:type="pct"/>
            <w:vAlign w:val="bottom"/>
          </w:tcPr>
          <w:p w14:paraId="123DE4D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5"/>
                <w:kern w:val="2"/>
                <w:position w:val="1"/>
                <w:sz w:val="21"/>
                <w:szCs w:val="21"/>
                <w:highlight w:val="none"/>
                <w:lang w:val="en-US" w:eastAsia="zh-CN"/>
              </w:rPr>
              <w:t>5400</w:t>
            </w:r>
          </w:p>
        </w:tc>
      </w:tr>
      <w:tr w14:paraId="44355E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6239AEA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9"/>
                <w:kern w:val="2"/>
                <w:sz w:val="21"/>
                <w:szCs w:val="21"/>
                <w:highlight w:val="none"/>
              </w:rPr>
            </w:pPr>
            <w:r>
              <w:rPr>
                <w:rFonts w:hint="eastAsia" w:ascii="宋体" w:hAnsi="宋体" w:eastAsia="宋体" w:cs="宋体"/>
                <w:color w:val="auto"/>
                <w:spacing w:val="5"/>
                <w:kern w:val="2"/>
                <w:sz w:val="21"/>
                <w:szCs w:val="21"/>
                <w:highlight w:val="none"/>
                <w:lang w:val="en-US" w:eastAsia="zh-CN"/>
              </w:rPr>
              <w:t>背面最大静态载荷/抗风压性能</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Pa)</w:t>
            </w:r>
          </w:p>
        </w:tc>
        <w:tc>
          <w:tcPr>
            <w:tcW w:w="2791" w:type="pct"/>
            <w:vAlign w:val="bottom"/>
          </w:tcPr>
          <w:p w14:paraId="6750B16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5"/>
                <w:kern w:val="2"/>
                <w:position w:val="1"/>
                <w:sz w:val="21"/>
                <w:szCs w:val="21"/>
                <w:highlight w:val="none"/>
                <w:lang w:val="en-US" w:eastAsia="zh-CN"/>
              </w:rPr>
              <w:t>2400</w:t>
            </w:r>
          </w:p>
        </w:tc>
      </w:tr>
      <w:tr w14:paraId="4C7399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102878DA">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9"/>
                <w:kern w:val="2"/>
                <w:sz w:val="21"/>
                <w:szCs w:val="21"/>
                <w:highlight w:val="none"/>
              </w:rPr>
            </w:pPr>
            <w:r>
              <w:rPr>
                <w:rFonts w:hint="eastAsia" w:ascii="宋体" w:hAnsi="宋体" w:eastAsia="宋体" w:cs="宋体"/>
                <w:color w:val="auto"/>
                <w:spacing w:val="5"/>
                <w:kern w:val="2"/>
                <w:sz w:val="21"/>
                <w:szCs w:val="21"/>
                <w:highlight w:val="none"/>
                <w:lang w:val="en-US" w:eastAsia="zh-CN"/>
              </w:rPr>
              <w:t>抗冰雹性能</w:t>
            </w:r>
          </w:p>
        </w:tc>
        <w:tc>
          <w:tcPr>
            <w:tcW w:w="2791" w:type="pct"/>
            <w:vAlign w:val="bottom"/>
          </w:tcPr>
          <w:p w14:paraId="5C48158A">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5"/>
                <w:kern w:val="2"/>
                <w:sz w:val="21"/>
                <w:szCs w:val="21"/>
                <w:highlight w:val="none"/>
                <w:lang w:val="en-US" w:eastAsia="zh-CN"/>
              </w:rPr>
              <w:t>通过</w:t>
            </w:r>
            <w:r>
              <w:rPr>
                <w:rFonts w:hint="eastAsia" w:ascii="宋体" w:hAnsi="宋体" w:eastAsia="宋体" w:cs="宋体"/>
                <w:color w:val="auto"/>
                <w:spacing w:val="5"/>
                <w:kern w:val="2"/>
                <w:position w:val="1"/>
                <w:sz w:val="21"/>
                <w:szCs w:val="21"/>
                <w:highlight w:val="none"/>
                <w:lang w:val="en-US" w:eastAsia="zh-CN"/>
              </w:rPr>
              <w:t>直径25mm 冲击速度23m/s</w:t>
            </w:r>
            <w:r>
              <w:rPr>
                <w:rFonts w:hint="eastAsia" w:ascii="宋体" w:hAnsi="宋体" w:eastAsia="宋体" w:cs="宋体"/>
                <w:color w:val="auto"/>
                <w:spacing w:val="5"/>
                <w:kern w:val="2"/>
                <w:sz w:val="21"/>
                <w:szCs w:val="21"/>
                <w:highlight w:val="none"/>
                <w:lang w:val="en-US" w:eastAsia="zh-CN"/>
              </w:rPr>
              <w:t>冰球撞击</w:t>
            </w:r>
            <w:r>
              <w:rPr>
                <w:rFonts w:hint="eastAsia" w:ascii="宋体" w:hAnsi="宋体" w:eastAsia="宋体" w:cs="宋体"/>
                <w:color w:val="auto"/>
                <w:spacing w:val="5"/>
                <w:kern w:val="2"/>
                <w:position w:val="1"/>
                <w:sz w:val="21"/>
                <w:szCs w:val="21"/>
                <w:highlight w:val="none"/>
                <w:lang w:val="en-US" w:eastAsia="zh-CN"/>
              </w:rPr>
              <w:t>测试</w:t>
            </w:r>
          </w:p>
        </w:tc>
      </w:tr>
      <w:tr w14:paraId="615119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center"/>
          </w:tcPr>
          <w:p w14:paraId="086585C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9"/>
                <w:kern w:val="2"/>
                <w:sz w:val="21"/>
                <w:szCs w:val="21"/>
                <w:highlight w:val="none"/>
              </w:rPr>
              <w:t>接</w:t>
            </w:r>
            <w:r>
              <w:rPr>
                <w:rFonts w:hint="eastAsia" w:ascii="宋体" w:hAnsi="宋体" w:eastAsia="宋体" w:cs="宋体"/>
                <w:color w:val="auto"/>
                <w:spacing w:val="8"/>
                <w:kern w:val="2"/>
                <w:sz w:val="21"/>
                <w:szCs w:val="21"/>
                <w:highlight w:val="none"/>
              </w:rPr>
              <w:t>线盒类型</w:t>
            </w:r>
          </w:p>
        </w:tc>
        <w:tc>
          <w:tcPr>
            <w:tcW w:w="2791" w:type="pct"/>
            <w:vAlign w:val="bottom"/>
          </w:tcPr>
          <w:p w14:paraId="668DD231">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4"/>
                <w:kern w:val="2"/>
                <w:sz w:val="21"/>
                <w:szCs w:val="21"/>
                <w:highlight w:val="none"/>
              </w:rPr>
              <w:t>密封防水型</w:t>
            </w:r>
            <w:r>
              <w:rPr>
                <w:rFonts w:hint="eastAsia" w:ascii="宋体" w:hAnsi="宋体" w:eastAsia="宋体" w:cs="宋体"/>
                <w:color w:val="auto"/>
                <w:spacing w:val="4"/>
                <w:kern w:val="2"/>
                <w:sz w:val="21"/>
                <w:szCs w:val="21"/>
                <w:highlight w:val="none"/>
                <w:lang w:val="en-US" w:eastAsia="zh-CN"/>
              </w:rPr>
              <w:t xml:space="preserve"> </w:t>
            </w:r>
            <w:r>
              <w:rPr>
                <w:rFonts w:hint="eastAsia" w:ascii="宋体" w:hAnsi="宋体" w:eastAsia="宋体" w:cs="宋体"/>
                <w:color w:val="auto"/>
                <w:spacing w:val="4"/>
                <w:kern w:val="2"/>
                <w:sz w:val="21"/>
                <w:szCs w:val="21"/>
                <w:highlight w:val="none"/>
              </w:rPr>
              <w:t>防护等级</w:t>
            </w:r>
            <w:r>
              <w:rPr>
                <w:rFonts w:hint="eastAsia" w:ascii="宋体" w:hAnsi="宋体" w:eastAsia="宋体" w:cs="宋体"/>
                <w:color w:val="auto"/>
                <w:kern w:val="2"/>
                <w:sz w:val="21"/>
                <w:szCs w:val="21"/>
                <w:highlight w:val="none"/>
              </w:rPr>
              <w:t>IP</w:t>
            </w:r>
            <w:r>
              <w:rPr>
                <w:rFonts w:hint="eastAsia" w:ascii="宋体" w:hAnsi="宋体" w:eastAsia="宋体" w:cs="宋体"/>
                <w:color w:val="auto"/>
                <w:spacing w:val="4"/>
                <w:kern w:val="2"/>
                <w:sz w:val="21"/>
                <w:szCs w:val="21"/>
                <w:highlight w:val="none"/>
              </w:rPr>
              <w:t>6</w:t>
            </w:r>
            <w:r>
              <w:rPr>
                <w:rFonts w:hint="eastAsia" w:ascii="宋体" w:hAnsi="宋体" w:eastAsia="宋体" w:cs="宋体"/>
                <w:color w:val="auto"/>
                <w:spacing w:val="1"/>
                <w:kern w:val="2"/>
                <w:sz w:val="21"/>
                <w:szCs w:val="21"/>
                <w:highlight w:val="none"/>
              </w:rPr>
              <w:t>8</w:t>
            </w:r>
          </w:p>
        </w:tc>
      </w:tr>
      <w:tr w14:paraId="3E8EB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center"/>
          </w:tcPr>
          <w:p w14:paraId="6565E6C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上表面玻璃</w:t>
            </w:r>
            <w:r>
              <w:rPr>
                <w:rFonts w:hint="eastAsia" w:ascii="宋体" w:hAnsi="宋体" w:eastAsia="宋体" w:cs="宋体"/>
                <w:color w:val="auto"/>
                <w:spacing w:val="8"/>
                <w:kern w:val="2"/>
                <w:sz w:val="21"/>
                <w:szCs w:val="21"/>
                <w:highlight w:val="none"/>
              </w:rPr>
              <w:t>类型</w:t>
            </w:r>
          </w:p>
        </w:tc>
        <w:tc>
          <w:tcPr>
            <w:tcW w:w="2791" w:type="pct"/>
            <w:vAlign w:val="bottom"/>
          </w:tcPr>
          <w:p w14:paraId="31E22D41">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1"/>
                <w:kern w:val="2"/>
                <w:sz w:val="21"/>
                <w:szCs w:val="21"/>
                <w:highlight w:val="none"/>
              </w:rPr>
              <w:t>3.2mm镀膜钢化玻璃</w:t>
            </w:r>
            <w:r>
              <w:rPr>
                <w:rFonts w:hint="eastAsia" w:ascii="宋体" w:hAnsi="宋体" w:eastAsia="宋体" w:cs="宋体"/>
                <w:color w:val="auto"/>
                <w:spacing w:val="1"/>
                <w:kern w:val="2"/>
                <w:sz w:val="21"/>
                <w:szCs w:val="21"/>
                <w:highlight w:val="none"/>
                <w:lang w:val="en-US" w:eastAsia="zh-CN"/>
              </w:rPr>
              <w:t xml:space="preserve"> </w:t>
            </w:r>
            <w:r>
              <w:rPr>
                <w:rFonts w:hint="eastAsia" w:ascii="宋体" w:hAnsi="宋体" w:eastAsia="宋体" w:cs="宋体"/>
                <w:color w:val="auto"/>
                <w:spacing w:val="1"/>
                <w:kern w:val="2"/>
                <w:sz w:val="21"/>
                <w:szCs w:val="21"/>
                <w:highlight w:val="none"/>
              </w:rPr>
              <w:t>压花</w:t>
            </w:r>
          </w:p>
        </w:tc>
      </w:tr>
      <w:tr w14:paraId="1BFE21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center"/>
          </w:tcPr>
          <w:p w14:paraId="12C0AC8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边框</w:t>
            </w:r>
            <w:r>
              <w:rPr>
                <w:rFonts w:hint="eastAsia" w:ascii="宋体" w:hAnsi="宋体" w:eastAsia="宋体" w:cs="宋体"/>
                <w:color w:val="auto"/>
                <w:spacing w:val="8"/>
                <w:kern w:val="2"/>
                <w:sz w:val="21"/>
                <w:szCs w:val="21"/>
                <w:highlight w:val="none"/>
              </w:rPr>
              <w:t>类型</w:t>
            </w:r>
          </w:p>
        </w:tc>
        <w:tc>
          <w:tcPr>
            <w:tcW w:w="2791" w:type="pct"/>
            <w:vAlign w:val="bottom"/>
          </w:tcPr>
          <w:p w14:paraId="7F213FD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阳极氧化铝合金边框</w:t>
            </w:r>
          </w:p>
        </w:tc>
      </w:tr>
      <w:tr w14:paraId="5DE25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center"/>
          </w:tcPr>
          <w:p w14:paraId="61A99DEF">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输出导线线径</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mm²)</w:t>
            </w:r>
          </w:p>
        </w:tc>
        <w:tc>
          <w:tcPr>
            <w:tcW w:w="2791" w:type="pct"/>
            <w:vAlign w:val="bottom"/>
          </w:tcPr>
          <w:p w14:paraId="3E4BC19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4.0（光伏专用电缆）</w:t>
            </w:r>
          </w:p>
        </w:tc>
      </w:tr>
      <w:tr w14:paraId="3B3C6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3699" w:type="dxa"/>
            <w:vAlign w:val="center"/>
          </w:tcPr>
          <w:p w14:paraId="56F1AB8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输出导线</w:t>
            </w:r>
            <w:r>
              <w:rPr>
                <w:rFonts w:hint="eastAsia" w:ascii="宋体" w:hAnsi="宋体" w:eastAsia="宋体" w:cs="宋体"/>
                <w:color w:val="auto"/>
                <w:spacing w:val="5"/>
                <w:kern w:val="2"/>
                <w:position w:val="1"/>
                <w:sz w:val="21"/>
                <w:szCs w:val="21"/>
                <w:highlight w:val="none"/>
                <w:lang w:val="en-US" w:eastAsia="zh-CN"/>
              </w:rPr>
              <w:t>长度</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position w:val="1"/>
                <w:sz w:val="21"/>
                <w:szCs w:val="21"/>
                <w:highlight w:val="none"/>
                <w:lang w:val="en-US" w:eastAsia="zh-CN"/>
              </w:rPr>
              <w:t>mm</w:t>
            </w:r>
            <w:r>
              <w:rPr>
                <w:rFonts w:hint="eastAsia" w:ascii="宋体" w:hAnsi="宋体" w:eastAsia="宋体" w:cs="宋体"/>
                <w:color w:val="auto"/>
                <w:spacing w:val="5"/>
                <w:kern w:val="2"/>
                <w:sz w:val="21"/>
                <w:szCs w:val="21"/>
                <w:highlight w:val="none"/>
              </w:rPr>
              <w:t>)</w:t>
            </w:r>
          </w:p>
        </w:tc>
        <w:tc>
          <w:tcPr>
            <w:tcW w:w="4676" w:type="dxa"/>
            <w:vAlign w:val="bottom"/>
          </w:tcPr>
          <w:p w14:paraId="0277E078">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正极</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position w:val="1"/>
                <w:sz w:val="21"/>
                <w:szCs w:val="21"/>
                <w:highlight w:val="none"/>
                <w:lang w:val="en-US" w:eastAsia="zh-CN"/>
              </w:rPr>
              <w:t>300；负极</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position w:val="1"/>
                <w:sz w:val="21"/>
                <w:szCs w:val="21"/>
                <w:highlight w:val="none"/>
                <w:lang w:val="en-US" w:eastAsia="zh-CN"/>
              </w:rPr>
              <w:t>200 或可定制</w:t>
            </w:r>
          </w:p>
        </w:tc>
      </w:tr>
      <w:tr w14:paraId="4B7364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404939D3">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安全防护等级</w:t>
            </w:r>
          </w:p>
        </w:tc>
        <w:tc>
          <w:tcPr>
            <w:tcW w:w="2791" w:type="pct"/>
            <w:vAlign w:val="bottom"/>
          </w:tcPr>
          <w:p w14:paraId="646C9B5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ClassⅡ</w:t>
            </w:r>
          </w:p>
        </w:tc>
      </w:tr>
      <w:tr w14:paraId="41424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0C89D53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组件防火等级</w:t>
            </w:r>
          </w:p>
        </w:tc>
        <w:tc>
          <w:tcPr>
            <w:tcW w:w="2791" w:type="pct"/>
            <w:vAlign w:val="bottom"/>
          </w:tcPr>
          <w:p w14:paraId="572EC4D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Class C</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IEC</w:t>
            </w:r>
            <w:r>
              <w:rPr>
                <w:rFonts w:hint="eastAsia" w:ascii="宋体" w:hAnsi="宋体" w:eastAsia="宋体" w:cs="宋体"/>
                <w:color w:val="auto"/>
                <w:kern w:val="2"/>
                <w:sz w:val="21"/>
                <w:szCs w:val="21"/>
                <w:highlight w:val="none"/>
                <w:lang w:eastAsia="zh-CN"/>
              </w:rPr>
              <w:t>）</w:t>
            </w:r>
          </w:p>
        </w:tc>
      </w:tr>
      <w:tr w14:paraId="1DBB77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269583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尺寸</w:t>
            </w:r>
            <w:r>
              <w:rPr>
                <w:rFonts w:hint="eastAsia" w:ascii="宋体" w:hAnsi="宋体" w:eastAsia="宋体" w:cs="宋体"/>
                <w:color w:val="auto"/>
                <w:spacing w:val="6"/>
                <w:kern w:val="2"/>
                <w:sz w:val="21"/>
                <w:szCs w:val="21"/>
                <w:highlight w:val="none"/>
              </w:rPr>
              <w:t>(mm</w:t>
            </w:r>
            <w:r>
              <w:rPr>
                <w:rFonts w:hint="eastAsia" w:ascii="宋体" w:hAnsi="宋体" w:eastAsia="宋体" w:cs="宋体"/>
                <w:color w:val="auto"/>
                <w:spacing w:val="5"/>
                <w:kern w:val="2"/>
                <w:sz w:val="21"/>
                <w:szCs w:val="21"/>
                <w:highlight w:val="none"/>
              </w:rPr>
              <w:t>)</w:t>
            </w:r>
          </w:p>
        </w:tc>
        <w:tc>
          <w:tcPr>
            <w:tcW w:w="2791" w:type="pct"/>
            <w:vAlign w:val="bottom"/>
          </w:tcPr>
          <w:p w14:paraId="0A68106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2382×1134×30</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spacing w:val="5"/>
                <w:kern w:val="2"/>
                <w:position w:val="1"/>
                <w:sz w:val="21"/>
                <w:szCs w:val="21"/>
                <w:highlight w:val="none"/>
                <w:lang w:val="en-US" w:eastAsia="zh-CN"/>
              </w:rPr>
              <w:t>2278×1134×30</w:t>
            </w:r>
            <w:r>
              <w:rPr>
                <w:rFonts w:hint="eastAsia" w:ascii="宋体" w:hAnsi="宋体" w:eastAsia="宋体" w:cs="宋体"/>
                <w:color w:val="auto"/>
                <w:kern w:val="2"/>
                <w:sz w:val="21"/>
                <w:szCs w:val="21"/>
                <w:highlight w:val="none"/>
                <w:lang w:val="en-US" w:eastAsia="zh-CN"/>
              </w:rPr>
              <w:t>等主流尺寸</w:t>
            </w:r>
          </w:p>
        </w:tc>
      </w:tr>
      <w:tr w14:paraId="69007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5437854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重量</w:t>
            </w:r>
            <w:r>
              <w:rPr>
                <w:rFonts w:hint="eastAsia" w:ascii="宋体" w:hAnsi="宋体" w:eastAsia="宋体" w:cs="宋体"/>
                <w:color w:val="auto"/>
                <w:spacing w:val="6"/>
                <w:kern w:val="2"/>
                <w:sz w:val="21"/>
                <w:szCs w:val="21"/>
                <w:highlight w:val="none"/>
              </w:rPr>
              <w:t>(kg</w:t>
            </w:r>
            <w:r>
              <w:rPr>
                <w:rFonts w:hint="eastAsia" w:ascii="宋体" w:hAnsi="宋体" w:eastAsia="宋体" w:cs="宋体"/>
                <w:color w:val="auto"/>
                <w:spacing w:val="5"/>
                <w:kern w:val="2"/>
                <w:sz w:val="21"/>
                <w:szCs w:val="21"/>
                <w:highlight w:val="none"/>
              </w:rPr>
              <w:t>)</w:t>
            </w:r>
          </w:p>
        </w:tc>
        <w:tc>
          <w:tcPr>
            <w:tcW w:w="2791" w:type="pct"/>
            <w:vAlign w:val="bottom"/>
          </w:tcPr>
          <w:p w14:paraId="3AFDE78C">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7"/>
                <w:kern w:val="2"/>
                <w:sz w:val="21"/>
                <w:szCs w:val="21"/>
                <w:highlight w:val="none"/>
                <w:lang w:val="en-US" w:eastAsia="zh-CN"/>
              </w:rPr>
              <w:t>27</w:t>
            </w:r>
            <w:r>
              <w:rPr>
                <w:rFonts w:hint="eastAsia" w:ascii="宋体" w:hAnsi="宋体" w:eastAsia="宋体" w:cs="宋体"/>
                <w:color w:val="auto"/>
                <w:spacing w:val="5"/>
                <w:kern w:val="2"/>
                <w:sz w:val="21"/>
                <w:szCs w:val="21"/>
                <w:highlight w:val="none"/>
                <w:lang w:val="en-US" w:eastAsia="zh-CN"/>
              </w:rPr>
              <w:t xml:space="preserve"> ⁓34</w:t>
            </w:r>
          </w:p>
        </w:tc>
      </w:tr>
      <w:tr w14:paraId="032A6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11C91158">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4"/>
                <w:kern w:val="2"/>
                <w:sz w:val="21"/>
                <w:szCs w:val="21"/>
                <w:highlight w:val="none"/>
              </w:rPr>
              <w:t>防护等级</w:t>
            </w:r>
          </w:p>
        </w:tc>
        <w:tc>
          <w:tcPr>
            <w:tcW w:w="2791" w:type="pct"/>
            <w:vAlign w:val="bottom"/>
          </w:tcPr>
          <w:p w14:paraId="175862A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7"/>
                <w:kern w:val="2"/>
                <w:sz w:val="21"/>
                <w:szCs w:val="21"/>
                <w:highlight w:val="none"/>
                <w:lang w:val="en-US" w:eastAsia="zh-CN"/>
              </w:rPr>
            </w:pPr>
            <w:r>
              <w:rPr>
                <w:rFonts w:hint="eastAsia" w:ascii="宋体" w:hAnsi="宋体" w:eastAsia="宋体" w:cs="宋体"/>
                <w:color w:val="auto"/>
                <w:spacing w:val="7"/>
                <w:kern w:val="2"/>
                <w:sz w:val="21"/>
                <w:szCs w:val="21"/>
                <w:highlight w:val="none"/>
                <w:lang w:val="en-US" w:eastAsia="zh-CN"/>
              </w:rPr>
              <w:t>不低于IP65</w:t>
            </w:r>
          </w:p>
        </w:tc>
      </w:tr>
      <w:tr w14:paraId="2EC185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833422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b/>
                <w:bCs/>
                <w:color w:val="auto"/>
                <w:spacing w:val="4"/>
                <w:kern w:val="2"/>
                <w:sz w:val="21"/>
                <w:szCs w:val="21"/>
                <w:highlight w:val="none"/>
                <w:lang w:val="en-US" w:eastAsia="zh-CN"/>
              </w:rPr>
            </w:pPr>
            <w:r>
              <w:rPr>
                <w:rFonts w:hint="eastAsia" w:ascii="宋体" w:hAnsi="宋体" w:eastAsia="宋体" w:cs="宋体"/>
                <w:b/>
                <w:bCs/>
                <w:color w:val="auto"/>
                <w:spacing w:val="5"/>
                <w:kern w:val="2"/>
                <w:position w:val="1"/>
                <w:sz w:val="21"/>
                <w:szCs w:val="21"/>
                <w:highlight w:val="none"/>
                <w:lang w:val="en-US" w:eastAsia="zh-CN"/>
              </w:rPr>
              <w:t>防积灰</w:t>
            </w:r>
            <w:r>
              <w:rPr>
                <w:rFonts w:hint="eastAsia" w:ascii="宋体" w:hAnsi="宋体" w:eastAsia="宋体" w:cs="宋体"/>
                <w:b/>
                <w:bCs/>
                <w:color w:val="auto"/>
                <w:spacing w:val="4"/>
                <w:kern w:val="2"/>
                <w:sz w:val="21"/>
                <w:szCs w:val="21"/>
                <w:highlight w:val="none"/>
                <w:lang w:val="en-US" w:eastAsia="zh-CN"/>
              </w:rPr>
              <w:t>要求</w:t>
            </w:r>
          </w:p>
        </w:tc>
        <w:tc>
          <w:tcPr>
            <w:tcW w:w="2791" w:type="pct"/>
            <w:vAlign w:val="bottom"/>
          </w:tcPr>
          <w:p w14:paraId="13EA17E9">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b/>
                <w:bCs/>
                <w:color w:val="auto"/>
                <w:spacing w:val="7"/>
                <w:kern w:val="2"/>
                <w:sz w:val="21"/>
                <w:szCs w:val="21"/>
                <w:highlight w:val="none"/>
                <w:lang w:val="en-US" w:eastAsia="zh-CN"/>
              </w:rPr>
            </w:pPr>
            <w:r>
              <w:rPr>
                <w:rFonts w:hint="eastAsia" w:ascii="宋体" w:hAnsi="宋体" w:eastAsia="宋体" w:cs="宋体"/>
                <w:b/>
                <w:bCs/>
                <w:color w:val="auto"/>
                <w:spacing w:val="5"/>
                <w:kern w:val="2"/>
                <w:position w:val="1"/>
                <w:sz w:val="21"/>
                <w:szCs w:val="21"/>
                <w:highlight w:val="none"/>
                <w:lang w:val="en-US" w:eastAsia="zh-CN"/>
              </w:rPr>
              <w:t>边框下端加装合金导流器，数量≥2个/块</w:t>
            </w:r>
          </w:p>
        </w:tc>
      </w:tr>
    </w:tbl>
    <w:p w14:paraId="0B0B222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（2）光伏组件型号获得抗PID认证、耐氨测试认证</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抗盐雾腐蚀测试认证、</w:t>
      </w:r>
      <w:r>
        <w:rPr>
          <w:rFonts w:hint="eastAsia" w:ascii="宋体" w:hAnsi="宋体" w:eastAsia="宋体" w:cs="宋体"/>
          <w:color w:val="auto"/>
          <w:spacing w:val="5"/>
          <w:kern w:val="2"/>
          <w:sz w:val="21"/>
          <w:szCs w:val="21"/>
          <w:highlight w:val="none"/>
          <w:lang w:val="en-US" w:eastAsia="zh-CN"/>
        </w:rPr>
        <w:t>正面最大静态载荷/抗雪载性能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spacing w:val="5"/>
          <w:kern w:val="2"/>
          <w:sz w:val="21"/>
          <w:szCs w:val="21"/>
          <w:highlight w:val="none"/>
          <w:lang w:val="en-US" w:eastAsia="zh-CN"/>
        </w:rPr>
        <w:t>背面最大静态载荷/抗风压性能</w:t>
      </w:r>
      <w:r>
        <w:rPr>
          <w:rFonts w:hint="eastAsia" w:ascii="宋体" w:hAnsi="宋体" w:eastAsia="宋体" w:cs="宋体"/>
          <w:color w:val="auto"/>
          <w:kern w:val="2"/>
          <w:sz w:val="21"/>
          <w:szCs w:val="21"/>
          <w:highlight w:val="none"/>
        </w:rPr>
        <w:t>认证、产品定型认证(可以是CGC金太阳，或是TUV</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CSA、UL、SGS、VDE、JET等认证)并附</w:t>
      </w:r>
      <w:r>
        <w:rPr>
          <w:rFonts w:hint="eastAsia" w:ascii="宋体" w:hAnsi="宋体" w:eastAsia="宋体" w:cs="宋体"/>
          <w:color w:val="auto"/>
          <w:kern w:val="2"/>
          <w:sz w:val="21"/>
          <w:szCs w:val="21"/>
          <w:highlight w:val="none"/>
          <w:lang w:val="en-US" w:eastAsia="zh-CN"/>
        </w:rPr>
        <w:t>试验</w:t>
      </w:r>
      <w:r>
        <w:rPr>
          <w:rFonts w:hint="eastAsia" w:ascii="宋体" w:hAnsi="宋体" w:eastAsia="宋体" w:cs="宋体"/>
          <w:color w:val="auto"/>
          <w:kern w:val="2"/>
          <w:sz w:val="21"/>
          <w:szCs w:val="21"/>
          <w:highlight w:val="none"/>
        </w:rPr>
        <w:t>报告、认证证书全部内容。</w:t>
      </w:r>
    </w:p>
    <w:p w14:paraId="70C6A8A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（3）光伏组件进场后承包单位需安排抽样进行开箱检查与</w:t>
      </w:r>
      <w:r>
        <w:rPr>
          <w:rFonts w:hint="eastAsia" w:ascii="宋体" w:hAnsi="宋体" w:eastAsia="宋体" w:cs="宋体"/>
          <w:b w:val="0"/>
          <w:bCs w:val="0"/>
          <w:color w:val="auto"/>
          <w:kern w:val="2"/>
          <w:sz w:val="21"/>
          <w:szCs w:val="21"/>
          <w:highlight w:val="none"/>
          <w:lang w:val="en-US" w:eastAsia="zh-CN"/>
        </w:rPr>
        <w:t>EL检测</w:t>
      </w:r>
      <w:r>
        <w:rPr>
          <w:rFonts w:hint="eastAsia" w:ascii="宋体" w:hAnsi="宋体" w:eastAsia="宋体" w:cs="宋体"/>
          <w:color w:val="auto"/>
          <w:kern w:val="2"/>
          <w:sz w:val="21"/>
          <w:szCs w:val="21"/>
          <w:highlight w:val="none"/>
          <w:lang w:val="en-US" w:eastAsia="zh-CN"/>
        </w:rPr>
        <w:t>，抽检数量≥总量*3%，且抽检数量最低不得少于32块，</w:t>
      </w:r>
      <w:r>
        <w:rPr>
          <w:rFonts w:hint="eastAsia" w:ascii="宋体" w:hAnsi="宋体" w:eastAsia="宋体" w:cs="宋体"/>
          <w:color w:val="auto"/>
          <w:kern w:val="2"/>
          <w:sz w:val="21"/>
          <w:szCs w:val="21"/>
          <w:highlight w:val="none"/>
        </w:rPr>
        <w:t>如</w:t>
      </w:r>
      <w:r>
        <w:rPr>
          <w:rFonts w:hint="eastAsia" w:ascii="宋体" w:hAnsi="宋体" w:eastAsia="宋体" w:cs="宋体"/>
          <w:color w:val="auto"/>
          <w:kern w:val="2"/>
          <w:sz w:val="21"/>
          <w:szCs w:val="21"/>
          <w:highlight w:val="none"/>
          <w:lang w:val="en-US" w:eastAsia="zh-CN"/>
        </w:rPr>
        <w:t>EL检测中一旦发现有不合格的光伏组件，承包单位必须无条件一律进行更换并承担更换所需全部费用。</w:t>
      </w:r>
    </w:p>
    <w:p w14:paraId="1F013FA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负责</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w:t>
      </w:r>
      <w:r>
        <w:rPr>
          <w:rFonts w:hint="eastAsia" w:ascii="宋体" w:hAnsi="宋体" w:eastAsia="宋体" w:cs="宋体"/>
          <w:color w:val="auto"/>
          <w:kern w:val="2"/>
          <w:sz w:val="21"/>
          <w:szCs w:val="21"/>
          <w:highlight w:val="none"/>
          <w:lang w:val="en-US" w:eastAsia="zh-CN"/>
        </w:rPr>
        <w:t>运输、</w:t>
      </w:r>
      <w:r>
        <w:rPr>
          <w:rFonts w:hint="eastAsia" w:ascii="宋体" w:hAnsi="宋体" w:eastAsia="宋体" w:cs="宋体"/>
          <w:color w:val="auto"/>
          <w:kern w:val="2"/>
          <w:sz w:val="21"/>
          <w:szCs w:val="21"/>
          <w:highlight w:val="none"/>
        </w:rPr>
        <w:t>卸货</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吊装</w:t>
      </w:r>
      <w:r>
        <w:rPr>
          <w:rFonts w:hint="eastAsia" w:ascii="宋体" w:hAnsi="宋体" w:eastAsia="宋体" w:cs="宋体"/>
          <w:color w:val="auto"/>
          <w:kern w:val="2"/>
          <w:sz w:val="21"/>
          <w:szCs w:val="21"/>
          <w:highlight w:val="none"/>
        </w:rPr>
        <w:t>及保管，保管</w:t>
      </w:r>
      <w:r>
        <w:rPr>
          <w:rFonts w:hint="eastAsia" w:ascii="宋体" w:hAnsi="宋体" w:eastAsia="宋体" w:cs="宋体"/>
          <w:color w:val="auto"/>
          <w:kern w:val="2"/>
          <w:sz w:val="21"/>
          <w:szCs w:val="21"/>
          <w:highlight w:val="none"/>
          <w:lang w:val="en-US" w:eastAsia="zh-CN"/>
        </w:rPr>
        <w:t>过程中</w:t>
      </w:r>
      <w:r>
        <w:rPr>
          <w:rFonts w:hint="eastAsia" w:ascii="宋体" w:hAnsi="宋体" w:eastAsia="宋体" w:cs="宋体"/>
          <w:color w:val="auto"/>
          <w:kern w:val="2"/>
          <w:sz w:val="21"/>
          <w:szCs w:val="21"/>
          <w:highlight w:val="none"/>
        </w:rPr>
        <w:t>按原包装存放</w:t>
      </w:r>
      <w:r>
        <w:rPr>
          <w:rFonts w:hint="eastAsia" w:ascii="宋体" w:hAnsi="宋体" w:eastAsia="宋体" w:cs="宋体"/>
          <w:color w:val="auto"/>
          <w:kern w:val="2"/>
          <w:sz w:val="21"/>
          <w:szCs w:val="21"/>
          <w:highlight w:val="none"/>
          <w:lang w:val="en-US" w:eastAsia="zh-CN"/>
        </w:rPr>
        <w:t>并做好相应的防雨防倒防误撞等保护措施</w:t>
      </w:r>
      <w:r>
        <w:rPr>
          <w:rFonts w:hint="eastAsia" w:ascii="宋体" w:hAnsi="宋体" w:eastAsia="宋体" w:cs="宋体"/>
          <w:color w:val="auto"/>
          <w:kern w:val="2"/>
          <w:sz w:val="21"/>
          <w:szCs w:val="21"/>
          <w:highlight w:val="none"/>
        </w:rPr>
        <w:t>，开箱必须有监理在场旁站确认</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组件完好，如开箱时有破损则需现场拍照取证，如有损坏需承担更换所需全部费用。</w:t>
      </w:r>
    </w:p>
    <w:p w14:paraId="7EA6C7B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要对所供组件外表面板的清洁、防热斑提供措施，不得有划伤、腐蚀斑点等缺陷；表面无明显色差</w:t>
      </w:r>
      <w:r>
        <w:rPr>
          <w:rFonts w:hint="eastAsia" w:ascii="宋体" w:hAnsi="宋体" w:eastAsia="宋体" w:cs="宋体"/>
          <w:color w:val="auto"/>
          <w:kern w:val="2"/>
          <w:sz w:val="21"/>
          <w:szCs w:val="21"/>
          <w:highlight w:val="none"/>
          <w:lang w:eastAsia="zh-CN"/>
        </w:rPr>
        <w:t>，无机械损伤，焊点无氧化斑，</w:t>
      </w:r>
      <w:r>
        <w:rPr>
          <w:rFonts w:hint="eastAsia" w:ascii="宋体" w:hAnsi="宋体" w:eastAsia="宋体" w:cs="宋体"/>
          <w:color w:val="auto"/>
          <w:kern w:val="2"/>
          <w:sz w:val="21"/>
          <w:szCs w:val="21"/>
          <w:highlight w:val="none"/>
        </w:rPr>
        <w:t>为确保组件的绝缘、抗湿性和寿命，要求边框与电池片的距离要至少超过11mm的距离，并设有能方便地与安装支架之间可靠连接的连接螺栓孔；</w:t>
      </w:r>
    </w:p>
    <w:p w14:paraId="6D51803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）光伏组件的布置方案需兼顾发电量、抗风、</w:t>
      </w:r>
      <w:r>
        <w:rPr>
          <w:rFonts w:hint="eastAsia" w:ascii="宋体" w:hAnsi="宋体" w:eastAsia="宋体" w:cs="宋体"/>
          <w:color w:val="auto"/>
          <w:kern w:val="2"/>
          <w:sz w:val="21"/>
          <w:szCs w:val="21"/>
          <w:highlight w:val="none"/>
          <w:lang w:val="en-US" w:eastAsia="zh-CN"/>
        </w:rPr>
        <w:t>签约</w:t>
      </w:r>
      <w:r>
        <w:rPr>
          <w:rFonts w:hint="eastAsia" w:ascii="宋体" w:hAnsi="宋体" w:eastAsia="宋体" w:cs="宋体"/>
          <w:color w:val="auto"/>
          <w:kern w:val="2"/>
          <w:sz w:val="21"/>
          <w:szCs w:val="21"/>
          <w:highlight w:val="none"/>
        </w:rPr>
        <w:t>总容量等因素</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同时在安装过程中要求</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全年每天上午9点</w:t>
      </w:r>
      <w:r>
        <w:rPr>
          <w:rFonts w:hint="eastAsia" w:ascii="宋体" w:hAnsi="宋体" w:eastAsia="宋体" w:cs="宋体"/>
          <w:color w:val="auto"/>
          <w:spacing w:val="5"/>
          <w:kern w:val="2"/>
          <w:sz w:val="21"/>
          <w:szCs w:val="21"/>
          <w:highlight w:val="none"/>
          <w:lang w:val="en-US" w:eastAsia="zh-CN"/>
        </w:rPr>
        <w:t>至</w:t>
      </w:r>
      <w:r>
        <w:rPr>
          <w:rFonts w:hint="eastAsia" w:ascii="宋体" w:hAnsi="宋体" w:eastAsia="宋体" w:cs="宋体"/>
          <w:color w:val="auto"/>
          <w:kern w:val="2"/>
          <w:sz w:val="21"/>
          <w:szCs w:val="21"/>
          <w:highlight w:val="none"/>
          <w:lang w:val="en-US" w:eastAsia="zh-CN"/>
        </w:rPr>
        <w:t>下午15点不得出现任何阴影遮挡</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如</w:t>
      </w:r>
      <w:r>
        <w:rPr>
          <w:rFonts w:hint="eastAsia" w:ascii="宋体" w:hAnsi="宋体" w:eastAsia="宋体" w:cs="宋体"/>
          <w:color w:val="auto"/>
          <w:kern w:val="2"/>
          <w:sz w:val="21"/>
          <w:szCs w:val="21"/>
          <w:highlight w:val="none"/>
          <w:lang w:val="en-US" w:eastAsia="zh-CN"/>
        </w:rPr>
        <w:t>一旦发现在要求的时间段内有光伏组件出现阴影遮挡，承包单位必须无条件采取相应措施解决阴影遮挡问题并承担所需全部费用。</w:t>
      </w:r>
    </w:p>
    <w:p w14:paraId="1C0502A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（7）光伏组件铺设设计过程中建议采用</w:t>
      </w:r>
      <w:r>
        <w:rPr>
          <w:rFonts w:hint="eastAsia" w:ascii="宋体" w:hAnsi="宋体" w:eastAsia="宋体" w:cs="宋体"/>
          <w:b/>
          <w:bCs/>
          <w:color w:val="auto"/>
          <w:kern w:val="2"/>
          <w:sz w:val="21"/>
          <w:szCs w:val="21"/>
          <w:highlight w:val="none"/>
          <w:lang w:val="en-US" w:eastAsia="zh-CN"/>
        </w:rPr>
        <w:t>竖铺设计</w:t>
      </w:r>
      <w:r>
        <w:rPr>
          <w:rFonts w:hint="eastAsia" w:ascii="宋体" w:hAnsi="宋体" w:eastAsia="宋体" w:cs="宋体"/>
          <w:color w:val="auto"/>
          <w:kern w:val="2"/>
          <w:sz w:val="21"/>
          <w:szCs w:val="21"/>
          <w:highlight w:val="none"/>
          <w:lang w:val="en-US" w:eastAsia="zh-CN"/>
        </w:rPr>
        <w:t>，若采用横铺设计承包单位需采取必要措施（加装支架）解决光伏组件由于重力导致下凹变形的问题。</w:t>
      </w:r>
    </w:p>
    <w:p w14:paraId="48CDD68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在安装过程中严禁</w:t>
      </w:r>
      <w:r>
        <w:rPr>
          <w:rFonts w:hint="eastAsia" w:ascii="宋体" w:hAnsi="宋体" w:eastAsia="宋体" w:cs="宋体"/>
          <w:color w:val="auto"/>
          <w:kern w:val="2"/>
          <w:sz w:val="21"/>
          <w:szCs w:val="21"/>
          <w:highlight w:val="none"/>
        </w:rPr>
        <w:t>直接踩踏光伏组件</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包括边框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，应选用能支撑施工人员在上站立走动的</w:t>
      </w:r>
      <w:r>
        <w:rPr>
          <w:rFonts w:hint="eastAsia" w:ascii="宋体" w:hAnsi="宋体" w:eastAsia="宋体" w:cs="宋体"/>
          <w:b/>
          <w:bCs/>
          <w:color w:val="auto"/>
          <w:kern w:val="2"/>
          <w:sz w:val="21"/>
          <w:szCs w:val="21"/>
          <w:highlight w:val="none"/>
        </w:rPr>
        <w:t>保护踏板</w:t>
      </w:r>
      <w:r>
        <w:rPr>
          <w:rFonts w:hint="eastAsia" w:ascii="宋体" w:hAnsi="宋体" w:eastAsia="宋体" w:cs="宋体"/>
          <w:color w:val="auto"/>
          <w:kern w:val="2"/>
          <w:sz w:val="21"/>
          <w:szCs w:val="21"/>
          <w:highlight w:val="none"/>
        </w:rPr>
        <w:t>，保护踏板放置在组件上的受力点应在光伏组件的铝合金边框上，同时需要固定好防止滑动。</w:t>
      </w:r>
      <w:r>
        <w:rPr>
          <w:rFonts w:hint="eastAsia" w:ascii="宋体" w:hAnsi="宋体" w:eastAsia="宋体" w:cs="宋体"/>
          <w:color w:val="auto"/>
          <w:kern w:val="2"/>
          <w:sz w:val="21"/>
          <w:szCs w:val="21"/>
          <w:highlight w:val="none"/>
          <w:lang w:val="en-US" w:eastAsia="zh-CN"/>
        </w:rPr>
        <w:t>一经发现禁</w:t>
      </w:r>
      <w:r>
        <w:rPr>
          <w:rFonts w:hint="eastAsia" w:ascii="宋体" w:hAnsi="宋体" w:eastAsia="宋体" w:cs="宋体"/>
          <w:color w:val="auto"/>
          <w:kern w:val="2"/>
          <w:sz w:val="21"/>
          <w:szCs w:val="21"/>
          <w:highlight w:val="none"/>
        </w:rPr>
        <w:t>直接踩踏光伏组件</w:t>
      </w:r>
      <w:r>
        <w:rPr>
          <w:rFonts w:hint="eastAsia" w:ascii="宋体" w:hAnsi="宋体" w:eastAsia="宋体" w:cs="宋体"/>
          <w:color w:val="auto"/>
          <w:kern w:val="2"/>
          <w:sz w:val="21"/>
          <w:szCs w:val="21"/>
          <w:highlight w:val="none"/>
          <w:lang w:val="en-US" w:eastAsia="zh-CN"/>
        </w:rPr>
        <w:t>除进行相应罚款外，</w:t>
      </w:r>
      <w:r>
        <w:rPr>
          <w:rFonts w:hint="eastAsia" w:ascii="宋体" w:hAnsi="宋体" w:eastAsia="宋体" w:cs="宋体"/>
          <w:color w:val="auto"/>
          <w:kern w:val="2"/>
          <w:sz w:val="21"/>
          <w:szCs w:val="21"/>
          <w:highlight w:val="none"/>
        </w:rPr>
        <w:t>如有损坏</w:t>
      </w:r>
      <w:r>
        <w:rPr>
          <w:rFonts w:hint="eastAsia" w:ascii="宋体" w:hAnsi="宋体" w:eastAsia="宋体" w:cs="宋体"/>
          <w:color w:val="auto"/>
          <w:kern w:val="2"/>
          <w:sz w:val="21"/>
          <w:szCs w:val="21"/>
          <w:highlight w:val="none"/>
          <w:lang w:val="en-US" w:eastAsia="zh-CN"/>
        </w:rPr>
        <w:t>还</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无条件进行</w:t>
      </w:r>
      <w:r>
        <w:rPr>
          <w:rFonts w:hint="eastAsia" w:ascii="宋体" w:hAnsi="宋体" w:eastAsia="宋体" w:cs="宋体"/>
          <w:color w:val="auto"/>
          <w:kern w:val="2"/>
          <w:sz w:val="21"/>
          <w:szCs w:val="21"/>
          <w:highlight w:val="none"/>
        </w:rPr>
        <w:t>更换</w:t>
      </w:r>
      <w:r>
        <w:rPr>
          <w:rFonts w:hint="eastAsia" w:ascii="宋体" w:hAnsi="宋体" w:eastAsia="宋体" w:cs="宋体"/>
          <w:color w:val="auto"/>
          <w:kern w:val="2"/>
          <w:sz w:val="21"/>
          <w:szCs w:val="21"/>
          <w:highlight w:val="none"/>
          <w:lang w:val="en-US" w:eastAsia="zh-CN"/>
        </w:rPr>
        <w:t>并</w:t>
      </w:r>
      <w:r>
        <w:rPr>
          <w:rFonts w:hint="eastAsia" w:ascii="宋体" w:hAnsi="宋体" w:eastAsia="宋体" w:cs="宋体"/>
          <w:color w:val="auto"/>
          <w:kern w:val="2"/>
          <w:sz w:val="21"/>
          <w:szCs w:val="21"/>
          <w:highlight w:val="none"/>
        </w:rPr>
        <w:t>承担所需全部费用。</w:t>
      </w:r>
    </w:p>
    <w:p w14:paraId="4A306FC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在</w:t>
      </w:r>
      <w:r>
        <w:rPr>
          <w:rFonts w:hint="eastAsia" w:ascii="宋体" w:hAnsi="宋体" w:eastAsia="宋体" w:cs="宋体"/>
          <w:color w:val="auto"/>
          <w:kern w:val="2"/>
          <w:sz w:val="21"/>
          <w:szCs w:val="21"/>
          <w:highlight w:val="none"/>
        </w:rPr>
        <w:t>整体</w:t>
      </w:r>
      <w:r>
        <w:rPr>
          <w:rFonts w:hint="eastAsia" w:ascii="宋体" w:hAnsi="宋体" w:eastAsia="宋体" w:cs="宋体"/>
          <w:color w:val="auto"/>
          <w:kern w:val="2"/>
          <w:sz w:val="21"/>
          <w:szCs w:val="21"/>
          <w:highlight w:val="none"/>
          <w:lang w:eastAsia="zh-CN"/>
        </w:rPr>
        <w:t>项目</w:t>
      </w:r>
      <w:r>
        <w:rPr>
          <w:rFonts w:hint="eastAsia" w:ascii="宋体" w:hAnsi="宋体" w:eastAsia="宋体" w:cs="宋体"/>
          <w:color w:val="auto"/>
          <w:kern w:val="2"/>
          <w:sz w:val="21"/>
          <w:szCs w:val="21"/>
          <w:highlight w:val="none"/>
        </w:rPr>
        <w:t>通电并网</w:t>
      </w:r>
      <w:r>
        <w:rPr>
          <w:rFonts w:hint="eastAsia" w:ascii="宋体" w:hAnsi="宋体" w:eastAsia="宋体" w:cs="宋体"/>
          <w:color w:val="auto"/>
          <w:kern w:val="2"/>
          <w:sz w:val="21"/>
          <w:szCs w:val="21"/>
          <w:highlight w:val="none"/>
          <w:lang w:val="en-US" w:eastAsia="zh-CN"/>
        </w:rPr>
        <w:t>前承包单位</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在晴天对接入逆变器的所有组串进行开路电压检测</w:t>
      </w:r>
      <w:r>
        <w:rPr>
          <w:rFonts w:hint="eastAsia" w:ascii="宋体" w:hAnsi="宋体" w:eastAsia="宋体" w:cs="宋体"/>
          <w:color w:val="auto"/>
          <w:kern w:val="2"/>
          <w:sz w:val="21"/>
          <w:szCs w:val="21"/>
          <w:highlight w:val="none"/>
        </w:rPr>
        <w:t>，保证项目投运</w:t>
      </w:r>
      <w:r>
        <w:rPr>
          <w:rFonts w:hint="eastAsia" w:ascii="宋体" w:hAnsi="宋体" w:eastAsia="宋体" w:cs="宋体"/>
          <w:color w:val="auto"/>
          <w:kern w:val="2"/>
          <w:sz w:val="21"/>
          <w:szCs w:val="21"/>
          <w:highlight w:val="none"/>
          <w:lang w:val="en-US" w:eastAsia="zh-CN"/>
        </w:rPr>
        <w:t>前</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所有组串开路</w:t>
      </w:r>
      <w:r>
        <w:rPr>
          <w:rFonts w:hint="eastAsia" w:ascii="宋体" w:hAnsi="宋体" w:eastAsia="宋体" w:cs="宋体"/>
          <w:color w:val="auto"/>
          <w:kern w:val="2"/>
          <w:sz w:val="21"/>
          <w:szCs w:val="21"/>
          <w:highlight w:val="none"/>
        </w:rPr>
        <w:t>电压读数</w:t>
      </w:r>
      <w:r>
        <w:rPr>
          <w:rFonts w:hint="eastAsia" w:ascii="宋体" w:hAnsi="宋体" w:eastAsia="宋体" w:cs="宋体"/>
          <w:color w:val="auto"/>
          <w:kern w:val="2"/>
          <w:sz w:val="21"/>
          <w:szCs w:val="21"/>
          <w:highlight w:val="none"/>
          <w:lang w:val="en-US" w:eastAsia="zh-CN"/>
        </w:rPr>
        <w:t>与理论</w:t>
      </w:r>
      <w:r>
        <w:rPr>
          <w:rFonts w:hint="eastAsia" w:ascii="宋体" w:hAnsi="宋体" w:eastAsia="宋体" w:cs="宋体"/>
          <w:color w:val="auto"/>
          <w:kern w:val="2"/>
          <w:sz w:val="21"/>
          <w:szCs w:val="21"/>
          <w:highlight w:val="none"/>
        </w:rPr>
        <w:t>值偏差</w:t>
      </w:r>
      <w:r>
        <w:rPr>
          <w:rFonts w:hint="eastAsia" w:ascii="宋体" w:hAnsi="宋体" w:eastAsia="宋体" w:cs="宋体"/>
          <w:color w:val="auto"/>
          <w:kern w:val="2"/>
          <w:sz w:val="21"/>
          <w:szCs w:val="21"/>
          <w:highlight w:val="none"/>
          <w:lang w:val="en-US" w:eastAsia="zh-CN"/>
        </w:rPr>
        <w:t>控制在</w:t>
      </w:r>
      <w:r>
        <w:rPr>
          <w:rFonts w:hint="eastAsia" w:ascii="宋体" w:hAnsi="宋体" w:eastAsia="宋体" w:cs="宋体"/>
          <w:color w:val="auto"/>
          <w:kern w:val="2"/>
          <w:sz w:val="21"/>
          <w:szCs w:val="21"/>
          <w:highlight w:val="none"/>
        </w:rPr>
        <w:t>±5％以内</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如</w:t>
      </w:r>
      <w:r>
        <w:rPr>
          <w:rFonts w:hint="eastAsia" w:ascii="宋体" w:hAnsi="宋体" w:eastAsia="宋体" w:cs="宋体"/>
          <w:color w:val="auto"/>
          <w:kern w:val="2"/>
          <w:sz w:val="21"/>
          <w:szCs w:val="21"/>
          <w:highlight w:val="none"/>
          <w:lang w:val="en-US" w:eastAsia="zh-CN"/>
        </w:rPr>
        <w:t>一旦发现超出超出偏差，承包单位必须无条件采取相应措施进行检查并解决组串开路电压偏差问题并承担所需全部费用。</w:t>
      </w:r>
    </w:p>
    <w:p w14:paraId="555804B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在</w:t>
      </w:r>
      <w:r>
        <w:rPr>
          <w:rFonts w:hint="eastAsia" w:ascii="宋体" w:hAnsi="宋体" w:eastAsia="宋体" w:cs="宋体"/>
          <w:color w:val="auto"/>
          <w:kern w:val="2"/>
          <w:sz w:val="21"/>
          <w:szCs w:val="21"/>
          <w:highlight w:val="none"/>
        </w:rPr>
        <w:t>整体</w:t>
      </w:r>
      <w:r>
        <w:rPr>
          <w:rFonts w:hint="eastAsia" w:ascii="宋体" w:hAnsi="宋体" w:eastAsia="宋体" w:cs="宋体"/>
          <w:color w:val="auto"/>
          <w:kern w:val="2"/>
          <w:sz w:val="21"/>
          <w:szCs w:val="21"/>
          <w:highlight w:val="none"/>
          <w:lang w:eastAsia="zh-CN"/>
        </w:rPr>
        <w:t>项目</w:t>
      </w:r>
      <w:r>
        <w:rPr>
          <w:rFonts w:hint="eastAsia" w:ascii="宋体" w:hAnsi="宋体" w:eastAsia="宋体" w:cs="宋体"/>
          <w:color w:val="auto"/>
          <w:kern w:val="2"/>
          <w:sz w:val="21"/>
          <w:szCs w:val="21"/>
          <w:highlight w:val="none"/>
        </w:rPr>
        <w:t>通电并网后</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组织</w:t>
      </w:r>
      <w:r>
        <w:rPr>
          <w:rFonts w:hint="eastAsia" w:ascii="宋体" w:hAnsi="宋体" w:eastAsia="宋体" w:cs="宋体"/>
          <w:color w:val="auto"/>
          <w:kern w:val="2"/>
          <w:sz w:val="21"/>
          <w:szCs w:val="21"/>
          <w:highlight w:val="none"/>
        </w:rPr>
        <w:t>进行一次</w:t>
      </w:r>
      <w:r>
        <w:rPr>
          <w:rFonts w:hint="eastAsia" w:ascii="宋体" w:hAnsi="宋体" w:eastAsia="宋体" w:cs="宋体"/>
          <w:color w:val="auto"/>
          <w:kern w:val="2"/>
          <w:sz w:val="21"/>
          <w:szCs w:val="21"/>
          <w:highlight w:val="none"/>
          <w:lang w:val="en-US" w:eastAsia="zh-CN"/>
        </w:rPr>
        <w:t>全体</w:t>
      </w:r>
      <w:r>
        <w:rPr>
          <w:rFonts w:hint="eastAsia" w:ascii="宋体" w:hAnsi="宋体" w:eastAsia="宋体" w:cs="宋体"/>
          <w:color w:val="auto"/>
          <w:kern w:val="2"/>
          <w:sz w:val="21"/>
          <w:szCs w:val="21"/>
          <w:highlight w:val="none"/>
        </w:rPr>
        <w:t>清洗，保证项目投运时</w:t>
      </w:r>
      <w:r>
        <w:rPr>
          <w:rFonts w:hint="eastAsia" w:ascii="宋体" w:hAnsi="宋体" w:eastAsia="宋体" w:cs="宋体"/>
          <w:color w:val="auto"/>
          <w:kern w:val="2"/>
          <w:sz w:val="21"/>
          <w:szCs w:val="21"/>
          <w:highlight w:val="none"/>
          <w:lang w:val="en-US" w:eastAsia="zh-CN"/>
        </w:rPr>
        <w:t>所有</w:t>
      </w:r>
      <w:r>
        <w:rPr>
          <w:rFonts w:hint="eastAsia" w:ascii="宋体" w:hAnsi="宋体" w:eastAsia="宋体" w:cs="宋体"/>
          <w:color w:val="auto"/>
          <w:kern w:val="2"/>
          <w:sz w:val="21"/>
          <w:szCs w:val="21"/>
          <w:highlight w:val="none"/>
        </w:rPr>
        <w:t>光伏组件表面干净无污渍，如有污渍</w:t>
      </w:r>
      <w:r>
        <w:rPr>
          <w:rFonts w:hint="eastAsia" w:ascii="宋体" w:hAnsi="宋体" w:eastAsia="宋体" w:cs="宋体"/>
          <w:color w:val="auto"/>
          <w:kern w:val="2"/>
          <w:sz w:val="21"/>
          <w:szCs w:val="21"/>
          <w:highlight w:val="none"/>
          <w:lang w:val="en-US" w:eastAsia="zh-CN"/>
        </w:rPr>
        <w:t>无法清除立刻</w:t>
      </w:r>
      <w:r>
        <w:rPr>
          <w:rFonts w:hint="eastAsia" w:ascii="宋体" w:hAnsi="宋体" w:eastAsia="宋体" w:cs="宋体"/>
          <w:color w:val="auto"/>
          <w:kern w:val="2"/>
          <w:sz w:val="21"/>
          <w:szCs w:val="21"/>
          <w:highlight w:val="none"/>
        </w:rPr>
        <w:t>更换</w:t>
      </w:r>
      <w:r>
        <w:rPr>
          <w:rFonts w:hint="eastAsia" w:ascii="宋体" w:hAnsi="宋体" w:eastAsia="宋体" w:cs="宋体"/>
          <w:color w:val="auto"/>
          <w:kern w:val="2"/>
          <w:sz w:val="21"/>
          <w:szCs w:val="21"/>
          <w:highlight w:val="none"/>
          <w:lang w:val="en-US" w:eastAsia="zh-CN"/>
        </w:rPr>
        <w:t>并</w:t>
      </w:r>
      <w:r>
        <w:rPr>
          <w:rFonts w:hint="eastAsia" w:ascii="宋体" w:hAnsi="宋体" w:eastAsia="宋体" w:cs="宋体"/>
          <w:color w:val="auto"/>
          <w:kern w:val="2"/>
          <w:sz w:val="21"/>
          <w:szCs w:val="21"/>
          <w:highlight w:val="none"/>
        </w:rPr>
        <w:t>承担所需全部费用。</w:t>
      </w:r>
    </w:p>
    <w:p w14:paraId="380B7B4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）光伏组件推荐厂家品牌：</w:t>
      </w:r>
      <w:r>
        <w:rPr>
          <w:rFonts w:hint="eastAsia" w:ascii="宋体" w:hAnsi="宋体" w:eastAsia="宋体" w:cs="宋体"/>
          <w:color w:val="auto"/>
          <w:kern w:val="2"/>
          <w:sz w:val="21"/>
          <w:szCs w:val="21"/>
          <w:highlight w:val="none"/>
          <w:lang w:val="en-US" w:eastAsia="zh-CN"/>
        </w:rPr>
        <w:t>优先考虑</w:t>
      </w:r>
      <w:r>
        <w:rPr>
          <w:rFonts w:hint="eastAsia" w:ascii="宋体" w:hAnsi="宋体" w:eastAsia="宋体" w:cs="宋体"/>
          <w:color w:val="auto"/>
          <w:kern w:val="2"/>
          <w:sz w:val="21"/>
          <w:szCs w:val="21"/>
          <w:highlight w:val="none"/>
        </w:rPr>
        <w:t>隆基绿能、晶澳科技、天合光能等国内知名一线品牌。</w:t>
      </w:r>
    </w:p>
    <w:p w14:paraId="4BB3201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4.并网逆变器技术要求</w:t>
      </w:r>
    </w:p>
    <w:p w14:paraId="0B519736">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（1）根据工商业及并网电压等级场景合理采用匹配的高效率20kW ⁓150kW组串型并网逆变器、150kW ⁓320kW</w:t>
      </w:r>
      <w:r>
        <w:rPr>
          <w:rFonts w:hint="eastAsia" w:ascii="宋体" w:hAnsi="宋体" w:eastAsia="宋体" w:cs="宋体"/>
          <w:color w:val="auto"/>
          <w:kern w:val="2"/>
          <w:sz w:val="21"/>
          <w:szCs w:val="21"/>
          <w:highlight w:val="none"/>
          <w:lang w:val="en-US" w:eastAsia="zh-CN"/>
        </w:rPr>
        <w:t>集中式</w:t>
      </w:r>
      <w:r>
        <w:rPr>
          <w:rFonts w:hint="eastAsia" w:ascii="宋体" w:hAnsi="宋体" w:eastAsia="宋体" w:cs="宋体"/>
          <w:color w:val="auto"/>
          <w:kern w:val="2"/>
          <w:sz w:val="21"/>
          <w:szCs w:val="21"/>
          <w:highlight w:val="none"/>
        </w:rPr>
        <w:t>并网逆变器，使用寿命不低于15年，不少于5年产品质保，在投标文件中提供质保说明书，具体技术参数要求严格按下表执行：</w:t>
      </w:r>
    </w:p>
    <w:p w14:paraId="66ACC12A">
      <w:pPr>
        <w:pageBreakBefore w:val="0"/>
        <w:widowControl w:val="0"/>
        <w:kinsoku/>
        <w:wordWrap w:val="0"/>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b/>
          <w:bCs/>
          <w:color w:val="auto"/>
          <w:kern w:val="2"/>
          <w:sz w:val="21"/>
          <w:szCs w:val="21"/>
          <w:highlight w:val="none"/>
        </w:rPr>
        <w:t>并网逆变器主要技术参数表</w:t>
      </w:r>
    </w:p>
    <w:tbl>
      <w:tblPr>
        <w:tblStyle w:val="84"/>
        <w:tblpPr w:leftFromText="180" w:rightFromText="180" w:vertAnchor="text" w:horzAnchor="page" w:tblpX="1209" w:tblpY="412"/>
        <w:tblOverlap w:val="never"/>
        <w:tblW w:w="515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0"/>
        <w:gridCol w:w="3367"/>
        <w:gridCol w:w="3336"/>
      </w:tblGrid>
      <w:tr w14:paraId="4B7DC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629" w:type="pct"/>
            <w:vAlign w:val="center"/>
          </w:tcPr>
          <w:p w14:paraId="57502C0F">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型号规格</w:t>
            </w:r>
          </w:p>
        </w:tc>
        <w:tc>
          <w:tcPr>
            <w:tcW w:w="1692" w:type="pct"/>
            <w:vAlign w:val="center"/>
          </w:tcPr>
          <w:p w14:paraId="5E2BE3B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2"/>
                <w:kern w:val="2"/>
                <w:sz w:val="21"/>
                <w:szCs w:val="21"/>
                <w:highlight w:val="none"/>
                <w:lang w:val="en-US" w:eastAsia="zh-CN"/>
              </w:rPr>
            </w:pPr>
            <w:r>
              <w:rPr>
                <w:rFonts w:hint="eastAsia" w:ascii="宋体" w:hAnsi="宋体" w:eastAsia="宋体" w:cs="宋体"/>
                <w:color w:val="auto"/>
                <w:kern w:val="2"/>
                <w:sz w:val="21"/>
                <w:szCs w:val="21"/>
                <w:highlight w:val="none"/>
              </w:rPr>
              <w:t>高效率</w:t>
            </w:r>
            <w:r>
              <w:rPr>
                <w:rFonts w:hint="eastAsia" w:ascii="宋体" w:hAnsi="宋体" w:eastAsia="宋体" w:cs="宋体"/>
                <w:color w:val="auto"/>
                <w:kern w:val="2"/>
                <w:sz w:val="21"/>
                <w:szCs w:val="21"/>
                <w:highlight w:val="none"/>
                <w:lang w:val="en-US" w:eastAsia="zh-CN"/>
              </w:rPr>
              <w:t xml:space="preserve">20 </w:t>
            </w:r>
            <w:r>
              <w:rPr>
                <w:rFonts w:hint="eastAsia" w:ascii="宋体" w:hAnsi="宋体" w:eastAsia="宋体" w:cs="宋体"/>
                <w:color w:val="auto"/>
                <w:spacing w:val="5"/>
                <w:kern w:val="2"/>
                <w:sz w:val="21"/>
                <w:szCs w:val="21"/>
                <w:highlight w:val="none"/>
                <w:lang w:val="en-US" w:eastAsia="zh-CN"/>
              </w:rPr>
              <w:t>⁓150</w:t>
            </w:r>
            <w:r>
              <w:rPr>
                <w:rFonts w:hint="eastAsia" w:ascii="宋体" w:hAnsi="宋体" w:eastAsia="宋体" w:cs="宋体"/>
                <w:color w:val="auto"/>
                <w:kern w:val="2"/>
                <w:sz w:val="21"/>
                <w:szCs w:val="21"/>
                <w:highlight w:val="none"/>
                <w:lang w:val="en-US" w:eastAsia="zh-CN"/>
              </w:rPr>
              <w:t>k</w:t>
            </w:r>
            <w:r>
              <w:rPr>
                <w:rFonts w:hint="eastAsia" w:ascii="宋体" w:hAnsi="宋体" w:eastAsia="宋体" w:cs="宋体"/>
                <w:color w:val="auto"/>
                <w:kern w:val="2"/>
                <w:sz w:val="21"/>
                <w:szCs w:val="21"/>
                <w:highlight w:val="none"/>
              </w:rPr>
              <w:t>W</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kern w:val="2"/>
                <w:sz w:val="21"/>
                <w:szCs w:val="21"/>
                <w:highlight w:val="none"/>
              </w:rPr>
              <w:t>组串型</w:t>
            </w:r>
          </w:p>
        </w:tc>
        <w:tc>
          <w:tcPr>
            <w:tcW w:w="1677" w:type="pct"/>
            <w:vAlign w:val="center"/>
          </w:tcPr>
          <w:p w14:paraId="6539BD68">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高效率</w:t>
            </w:r>
            <w:r>
              <w:rPr>
                <w:rFonts w:hint="eastAsia" w:ascii="宋体" w:hAnsi="宋体" w:eastAsia="宋体" w:cs="宋体"/>
                <w:color w:val="auto"/>
                <w:kern w:val="2"/>
                <w:sz w:val="21"/>
                <w:szCs w:val="21"/>
                <w:highlight w:val="none"/>
                <w:lang w:val="en-US" w:eastAsia="zh-CN"/>
              </w:rPr>
              <w:t xml:space="preserve">150 </w:t>
            </w:r>
            <w:r>
              <w:rPr>
                <w:rFonts w:hint="eastAsia" w:ascii="宋体" w:hAnsi="宋体" w:eastAsia="宋体" w:cs="宋体"/>
                <w:color w:val="auto"/>
                <w:spacing w:val="5"/>
                <w:kern w:val="2"/>
                <w:sz w:val="21"/>
                <w:szCs w:val="21"/>
                <w:highlight w:val="none"/>
                <w:lang w:val="en-US" w:eastAsia="zh-CN"/>
              </w:rPr>
              <w:t>⁓320</w:t>
            </w:r>
            <w:r>
              <w:rPr>
                <w:rFonts w:hint="eastAsia" w:ascii="宋体" w:hAnsi="宋体" w:eastAsia="宋体" w:cs="宋体"/>
                <w:color w:val="auto"/>
                <w:kern w:val="2"/>
                <w:sz w:val="21"/>
                <w:szCs w:val="21"/>
                <w:highlight w:val="none"/>
                <w:lang w:val="en-US" w:eastAsia="zh-CN"/>
              </w:rPr>
              <w:t>k</w:t>
            </w:r>
            <w:r>
              <w:rPr>
                <w:rFonts w:hint="eastAsia" w:ascii="宋体" w:hAnsi="宋体" w:eastAsia="宋体" w:cs="宋体"/>
                <w:color w:val="auto"/>
                <w:kern w:val="2"/>
                <w:sz w:val="21"/>
                <w:szCs w:val="21"/>
                <w:highlight w:val="none"/>
              </w:rPr>
              <w:t>W</w:t>
            </w:r>
            <w:r>
              <w:rPr>
                <w:rFonts w:hint="eastAsia" w:ascii="宋体" w:hAnsi="宋体" w:eastAsia="宋体" w:cs="宋体"/>
                <w:color w:val="auto"/>
                <w:kern w:val="2"/>
                <w:sz w:val="21"/>
                <w:szCs w:val="21"/>
                <w:highlight w:val="none"/>
                <w:lang w:val="en-US" w:eastAsia="zh-CN"/>
              </w:rPr>
              <w:t>/集中式</w:t>
            </w:r>
          </w:p>
        </w:tc>
      </w:tr>
      <w:tr w14:paraId="50503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629" w:type="pct"/>
            <w:vAlign w:val="center"/>
          </w:tcPr>
          <w:p w14:paraId="1513E9DD">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最大输入电压</w:t>
            </w:r>
            <w:r>
              <w:rPr>
                <w:rFonts w:hint="eastAsia" w:ascii="宋体" w:hAnsi="宋体" w:eastAsia="宋体" w:cs="宋体"/>
                <w:color w:val="auto"/>
                <w:kern w:val="2"/>
                <w:sz w:val="21"/>
                <w:szCs w:val="21"/>
                <w:highlight w:val="none"/>
              </w:rPr>
              <w:t>(V)</w:t>
            </w:r>
          </w:p>
        </w:tc>
        <w:tc>
          <w:tcPr>
            <w:tcW w:w="1692" w:type="pct"/>
            <w:vAlign w:val="center"/>
          </w:tcPr>
          <w:p w14:paraId="1242A08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rPr>
              <w:t>1100</w:t>
            </w:r>
          </w:p>
        </w:tc>
        <w:tc>
          <w:tcPr>
            <w:tcW w:w="1677" w:type="pct"/>
            <w:vAlign w:val="center"/>
          </w:tcPr>
          <w:p w14:paraId="3E228B28">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2"/>
                <w:kern w:val="2"/>
                <w:sz w:val="21"/>
                <w:szCs w:val="21"/>
                <w:highlight w:val="none"/>
                <w:lang w:val="en-US" w:eastAsia="zh-CN"/>
              </w:rPr>
            </w:pPr>
            <w:r>
              <w:rPr>
                <w:rFonts w:hint="eastAsia" w:ascii="宋体" w:hAnsi="宋体" w:eastAsia="宋体" w:cs="宋体"/>
                <w:color w:val="auto"/>
                <w:spacing w:val="-2"/>
                <w:kern w:val="2"/>
                <w:sz w:val="21"/>
                <w:szCs w:val="21"/>
                <w:highlight w:val="none"/>
                <w:lang w:val="en-US" w:eastAsia="zh-CN"/>
              </w:rPr>
              <w:t>1500</w:t>
            </w:r>
          </w:p>
        </w:tc>
      </w:tr>
      <w:tr w14:paraId="466203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629" w:type="pct"/>
            <w:vAlign w:val="center"/>
          </w:tcPr>
          <w:p w14:paraId="4F1454C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额定输入电压</w:t>
            </w:r>
            <w:r>
              <w:rPr>
                <w:rFonts w:hint="eastAsia" w:ascii="宋体" w:hAnsi="宋体" w:eastAsia="宋体" w:cs="宋体"/>
                <w:color w:val="auto"/>
                <w:kern w:val="2"/>
                <w:sz w:val="21"/>
                <w:szCs w:val="21"/>
                <w:highlight w:val="none"/>
              </w:rPr>
              <w:t>(V)</w:t>
            </w:r>
          </w:p>
        </w:tc>
        <w:tc>
          <w:tcPr>
            <w:tcW w:w="1692" w:type="pct"/>
            <w:vAlign w:val="center"/>
          </w:tcPr>
          <w:p w14:paraId="6896443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1"/>
                <w:kern w:val="2"/>
                <w:sz w:val="21"/>
                <w:szCs w:val="21"/>
                <w:highlight w:val="none"/>
              </w:rPr>
            </w:pPr>
            <w:r>
              <w:rPr>
                <w:rFonts w:hint="eastAsia" w:ascii="宋体" w:hAnsi="宋体" w:eastAsia="宋体" w:cs="宋体"/>
                <w:color w:val="auto"/>
                <w:spacing w:val="6"/>
                <w:kern w:val="2"/>
                <w:sz w:val="21"/>
                <w:szCs w:val="21"/>
                <w:highlight w:val="none"/>
                <w:lang w:val="en-US" w:eastAsia="zh-CN"/>
              </w:rPr>
              <w:t>≤</w:t>
            </w:r>
            <w:r>
              <w:rPr>
                <w:rFonts w:hint="eastAsia" w:ascii="宋体" w:hAnsi="宋体" w:eastAsia="宋体" w:cs="宋体"/>
                <w:color w:val="auto"/>
                <w:spacing w:val="1"/>
                <w:kern w:val="2"/>
                <w:sz w:val="21"/>
                <w:szCs w:val="21"/>
                <w:highlight w:val="none"/>
                <w:lang w:val="en-US" w:eastAsia="zh-CN"/>
              </w:rPr>
              <w:t>600</w:t>
            </w:r>
          </w:p>
        </w:tc>
        <w:tc>
          <w:tcPr>
            <w:tcW w:w="1677" w:type="pct"/>
            <w:vAlign w:val="center"/>
          </w:tcPr>
          <w:p w14:paraId="314C0EA9">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6"/>
                <w:kern w:val="2"/>
                <w:sz w:val="21"/>
                <w:szCs w:val="21"/>
                <w:highlight w:val="none"/>
                <w:lang w:val="en-US" w:eastAsia="zh-CN"/>
              </w:rPr>
            </w:pPr>
            <w:r>
              <w:rPr>
                <w:rFonts w:hint="eastAsia" w:ascii="宋体" w:hAnsi="宋体" w:eastAsia="宋体" w:cs="宋体"/>
                <w:color w:val="auto"/>
                <w:spacing w:val="6"/>
                <w:kern w:val="2"/>
                <w:sz w:val="21"/>
                <w:szCs w:val="21"/>
                <w:highlight w:val="none"/>
                <w:lang w:val="en-US" w:eastAsia="zh-CN"/>
              </w:rPr>
              <w:t>≤</w:t>
            </w:r>
            <w:r>
              <w:rPr>
                <w:rFonts w:hint="eastAsia" w:ascii="宋体" w:hAnsi="宋体" w:eastAsia="宋体" w:cs="宋体"/>
                <w:color w:val="auto"/>
                <w:spacing w:val="1"/>
                <w:kern w:val="2"/>
                <w:sz w:val="21"/>
                <w:szCs w:val="21"/>
                <w:highlight w:val="none"/>
                <w:lang w:val="en-US" w:eastAsia="zh-CN"/>
              </w:rPr>
              <w:t>1080</w:t>
            </w:r>
          </w:p>
        </w:tc>
      </w:tr>
      <w:tr w14:paraId="56B22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2BD1A36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3"/>
                <w:kern w:val="2"/>
                <w:sz w:val="21"/>
                <w:szCs w:val="21"/>
                <w:highlight w:val="none"/>
                <w:lang w:val="en-US" w:eastAsia="zh-CN"/>
              </w:rPr>
              <w:t>启动电压/</w:t>
            </w:r>
            <w:r>
              <w:rPr>
                <w:rFonts w:hint="eastAsia" w:ascii="宋体" w:hAnsi="宋体" w:eastAsia="宋体" w:cs="宋体"/>
                <w:color w:val="auto"/>
                <w:spacing w:val="-3"/>
                <w:kern w:val="2"/>
                <w:sz w:val="21"/>
                <w:szCs w:val="21"/>
                <w:highlight w:val="none"/>
              </w:rPr>
              <w:t>MPPT电压范围</w:t>
            </w:r>
            <w:r>
              <w:rPr>
                <w:rFonts w:hint="eastAsia" w:ascii="宋体" w:hAnsi="宋体" w:eastAsia="宋体" w:cs="宋体"/>
                <w:color w:val="auto"/>
                <w:kern w:val="2"/>
                <w:sz w:val="21"/>
                <w:szCs w:val="21"/>
                <w:highlight w:val="none"/>
              </w:rPr>
              <w:t>(V)</w:t>
            </w:r>
          </w:p>
        </w:tc>
        <w:tc>
          <w:tcPr>
            <w:tcW w:w="1692" w:type="pct"/>
            <w:vAlign w:val="center"/>
          </w:tcPr>
          <w:p w14:paraId="21B2A43C">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6"/>
                <w:kern w:val="2"/>
                <w:sz w:val="21"/>
                <w:szCs w:val="21"/>
                <w:highlight w:val="none"/>
              </w:rPr>
            </w:pPr>
            <w:r>
              <w:rPr>
                <w:rFonts w:hint="eastAsia" w:ascii="宋体" w:hAnsi="宋体" w:eastAsia="宋体" w:cs="宋体"/>
                <w:color w:val="auto"/>
                <w:spacing w:val="6"/>
                <w:kern w:val="2"/>
                <w:sz w:val="21"/>
                <w:szCs w:val="21"/>
                <w:highlight w:val="none"/>
                <w:lang w:val="en-US" w:eastAsia="zh-CN"/>
              </w:rPr>
              <w:t xml:space="preserve">≤200 / </w:t>
            </w:r>
            <w:r>
              <w:rPr>
                <w:rFonts w:hint="eastAsia" w:ascii="宋体" w:hAnsi="宋体" w:eastAsia="宋体" w:cs="宋体"/>
                <w:color w:val="auto"/>
                <w:spacing w:val="6"/>
                <w:kern w:val="2"/>
                <w:sz w:val="21"/>
                <w:szCs w:val="21"/>
                <w:highlight w:val="none"/>
              </w:rPr>
              <w:t>2</w:t>
            </w:r>
            <w:r>
              <w:rPr>
                <w:rFonts w:hint="eastAsia" w:ascii="宋体" w:hAnsi="宋体" w:eastAsia="宋体" w:cs="宋体"/>
                <w:color w:val="auto"/>
                <w:spacing w:val="3"/>
                <w:kern w:val="2"/>
                <w:sz w:val="21"/>
                <w:szCs w:val="21"/>
                <w:highlight w:val="none"/>
              </w:rPr>
              <w:t>00</w:t>
            </w:r>
            <w:r>
              <w:rPr>
                <w:rFonts w:hint="eastAsia" w:ascii="宋体" w:hAnsi="宋体" w:eastAsia="宋体" w:cs="宋体"/>
                <w:color w:val="auto"/>
                <w:spacing w:val="3"/>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rPr>
              <w:t>1000</w:t>
            </w:r>
          </w:p>
        </w:tc>
        <w:tc>
          <w:tcPr>
            <w:tcW w:w="1677" w:type="pct"/>
            <w:vAlign w:val="center"/>
          </w:tcPr>
          <w:p w14:paraId="271EEF3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6"/>
                <w:kern w:val="2"/>
                <w:sz w:val="21"/>
                <w:szCs w:val="21"/>
                <w:highlight w:val="none"/>
                <w:lang w:val="en-US" w:eastAsia="zh-CN"/>
              </w:rPr>
            </w:pPr>
            <w:r>
              <w:rPr>
                <w:rFonts w:hint="eastAsia" w:ascii="宋体" w:hAnsi="宋体" w:eastAsia="宋体" w:cs="宋体"/>
                <w:color w:val="auto"/>
                <w:spacing w:val="6"/>
                <w:kern w:val="2"/>
                <w:sz w:val="21"/>
                <w:szCs w:val="21"/>
                <w:highlight w:val="none"/>
                <w:lang w:val="en-US" w:eastAsia="zh-CN"/>
              </w:rPr>
              <w:t>≤550 / 5</w:t>
            </w:r>
            <w:r>
              <w:rPr>
                <w:rFonts w:hint="eastAsia" w:ascii="宋体" w:hAnsi="宋体" w:eastAsia="宋体" w:cs="宋体"/>
                <w:color w:val="auto"/>
                <w:spacing w:val="3"/>
                <w:kern w:val="2"/>
                <w:sz w:val="21"/>
                <w:szCs w:val="21"/>
                <w:highlight w:val="none"/>
              </w:rPr>
              <w:t>00</w:t>
            </w:r>
            <w:r>
              <w:rPr>
                <w:rFonts w:hint="eastAsia" w:ascii="宋体" w:hAnsi="宋体" w:eastAsia="宋体" w:cs="宋体"/>
                <w:color w:val="auto"/>
                <w:spacing w:val="3"/>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rPr>
              <w:t>1</w:t>
            </w:r>
            <w:r>
              <w:rPr>
                <w:rFonts w:hint="eastAsia" w:ascii="宋体" w:hAnsi="宋体" w:eastAsia="宋体" w:cs="宋体"/>
                <w:color w:val="auto"/>
                <w:spacing w:val="3"/>
                <w:kern w:val="2"/>
                <w:sz w:val="21"/>
                <w:szCs w:val="21"/>
                <w:highlight w:val="none"/>
                <w:lang w:val="en-US" w:eastAsia="zh-CN"/>
              </w:rPr>
              <w:t>5</w:t>
            </w:r>
            <w:r>
              <w:rPr>
                <w:rFonts w:hint="eastAsia" w:ascii="宋体" w:hAnsi="宋体" w:eastAsia="宋体" w:cs="宋体"/>
                <w:color w:val="auto"/>
                <w:spacing w:val="3"/>
                <w:kern w:val="2"/>
                <w:sz w:val="21"/>
                <w:szCs w:val="21"/>
                <w:highlight w:val="none"/>
              </w:rPr>
              <w:t>00</w:t>
            </w:r>
          </w:p>
        </w:tc>
      </w:tr>
      <w:tr w14:paraId="184C10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123F080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1"/>
                <w:kern w:val="2"/>
                <w:sz w:val="21"/>
                <w:szCs w:val="21"/>
                <w:highlight w:val="none"/>
              </w:rPr>
              <w:t>允许电网电压</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1"/>
                <w:kern w:val="2"/>
                <w:sz w:val="21"/>
                <w:szCs w:val="21"/>
                <w:highlight w:val="none"/>
              </w:rPr>
              <w:t>V</w:t>
            </w:r>
            <w:r>
              <w:rPr>
                <w:rFonts w:hint="eastAsia" w:ascii="宋体" w:hAnsi="宋体" w:eastAsia="宋体" w:cs="宋体"/>
                <w:color w:val="auto"/>
                <w:kern w:val="2"/>
                <w:sz w:val="21"/>
                <w:szCs w:val="21"/>
                <w:highlight w:val="none"/>
              </w:rPr>
              <w:t>)</w:t>
            </w:r>
          </w:p>
        </w:tc>
        <w:tc>
          <w:tcPr>
            <w:tcW w:w="1692" w:type="pct"/>
            <w:vAlign w:val="center"/>
          </w:tcPr>
          <w:p w14:paraId="160C5A7D">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rPr>
            </w:pPr>
            <w:r>
              <w:rPr>
                <w:rFonts w:hint="eastAsia" w:ascii="宋体" w:hAnsi="宋体" w:eastAsia="宋体" w:cs="宋体"/>
                <w:color w:val="auto"/>
                <w:spacing w:val="3"/>
                <w:kern w:val="2"/>
                <w:sz w:val="21"/>
                <w:szCs w:val="21"/>
                <w:highlight w:val="none"/>
                <w:lang w:val="en-US" w:eastAsia="zh-CN"/>
              </w:rPr>
              <w:t xml:space="preserve">320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rPr>
              <w:t>48</w:t>
            </w:r>
            <w:r>
              <w:rPr>
                <w:rFonts w:hint="eastAsia" w:ascii="宋体" w:hAnsi="宋体" w:eastAsia="宋体" w:cs="宋体"/>
                <w:color w:val="auto"/>
                <w:spacing w:val="2"/>
                <w:kern w:val="2"/>
                <w:sz w:val="21"/>
                <w:szCs w:val="21"/>
                <w:highlight w:val="none"/>
              </w:rPr>
              <w:t>0</w:t>
            </w:r>
          </w:p>
        </w:tc>
        <w:tc>
          <w:tcPr>
            <w:tcW w:w="1677" w:type="pct"/>
            <w:vAlign w:val="center"/>
          </w:tcPr>
          <w:p w14:paraId="35C02ED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3"/>
                <w:kern w:val="2"/>
                <w:sz w:val="21"/>
                <w:szCs w:val="21"/>
                <w:highlight w:val="none"/>
                <w:lang w:val="en-US" w:eastAsia="zh-CN"/>
              </w:rPr>
            </w:pPr>
            <w:r>
              <w:rPr>
                <w:rFonts w:hint="eastAsia" w:ascii="宋体" w:hAnsi="宋体" w:eastAsia="宋体" w:cs="宋体"/>
                <w:color w:val="auto"/>
                <w:spacing w:val="3"/>
                <w:kern w:val="2"/>
                <w:sz w:val="21"/>
                <w:szCs w:val="21"/>
                <w:highlight w:val="none"/>
                <w:lang w:val="en-US" w:eastAsia="zh-CN"/>
              </w:rPr>
              <w:t xml:space="preserve">640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lang w:val="en-US" w:eastAsia="zh-CN"/>
              </w:rPr>
              <w:t>920</w:t>
            </w:r>
          </w:p>
        </w:tc>
      </w:tr>
      <w:tr w14:paraId="5BD40A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1AFF9A33">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额定输出电压(V)</w:t>
            </w:r>
          </w:p>
        </w:tc>
        <w:tc>
          <w:tcPr>
            <w:tcW w:w="1692" w:type="pct"/>
            <w:vAlign w:val="center"/>
          </w:tcPr>
          <w:p w14:paraId="21E9372A">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rPr>
            </w:pPr>
            <w:r>
              <w:rPr>
                <w:rFonts w:hint="eastAsia" w:ascii="宋体" w:hAnsi="宋体" w:eastAsia="宋体" w:cs="宋体"/>
                <w:color w:val="auto"/>
                <w:spacing w:val="-5"/>
                <w:kern w:val="2"/>
                <w:sz w:val="21"/>
                <w:szCs w:val="21"/>
                <w:highlight w:val="none"/>
              </w:rPr>
              <w:t>3/N/PE,</w:t>
            </w:r>
            <w:r>
              <w:rPr>
                <w:rFonts w:hint="eastAsia" w:ascii="宋体" w:hAnsi="宋体" w:eastAsia="宋体" w:cs="宋体"/>
                <w:color w:val="auto"/>
                <w:spacing w:val="-5"/>
                <w:kern w:val="2"/>
                <w:sz w:val="21"/>
                <w:szCs w:val="21"/>
                <w:highlight w:val="none"/>
                <w:lang w:val="en-US" w:eastAsia="zh-CN"/>
              </w:rPr>
              <w:t>380</w:t>
            </w:r>
            <w:r>
              <w:rPr>
                <w:rFonts w:hint="eastAsia" w:ascii="宋体" w:hAnsi="宋体" w:eastAsia="宋体" w:cs="宋体"/>
                <w:color w:val="auto"/>
                <w:spacing w:val="-5"/>
                <w:kern w:val="2"/>
                <w:sz w:val="21"/>
                <w:szCs w:val="21"/>
                <w:highlight w:val="none"/>
              </w:rPr>
              <w:t>/400</w:t>
            </w:r>
          </w:p>
        </w:tc>
        <w:tc>
          <w:tcPr>
            <w:tcW w:w="1677" w:type="pct"/>
            <w:vAlign w:val="center"/>
          </w:tcPr>
          <w:p w14:paraId="581F9D03">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5"/>
                <w:kern w:val="2"/>
                <w:sz w:val="21"/>
                <w:szCs w:val="21"/>
                <w:highlight w:val="none"/>
              </w:rPr>
            </w:pPr>
            <w:r>
              <w:rPr>
                <w:rFonts w:hint="eastAsia" w:ascii="宋体" w:hAnsi="宋体" w:eastAsia="宋体" w:cs="宋体"/>
                <w:color w:val="auto"/>
                <w:spacing w:val="-5"/>
                <w:kern w:val="2"/>
                <w:sz w:val="21"/>
                <w:szCs w:val="21"/>
                <w:highlight w:val="none"/>
              </w:rPr>
              <w:t xml:space="preserve">3/PE, </w:t>
            </w:r>
            <w:r>
              <w:rPr>
                <w:rFonts w:hint="eastAsia" w:ascii="宋体" w:hAnsi="宋体" w:eastAsia="宋体" w:cs="宋体"/>
                <w:color w:val="auto"/>
                <w:spacing w:val="-5"/>
                <w:kern w:val="2"/>
                <w:sz w:val="21"/>
                <w:szCs w:val="21"/>
                <w:highlight w:val="none"/>
                <w:lang w:val="en-US" w:eastAsia="zh-CN"/>
              </w:rPr>
              <w:t>80</w:t>
            </w:r>
            <w:r>
              <w:rPr>
                <w:rFonts w:hint="eastAsia" w:ascii="宋体" w:hAnsi="宋体" w:eastAsia="宋体" w:cs="宋体"/>
                <w:color w:val="auto"/>
                <w:spacing w:val="-5"/>
                <w:kern w:val="2"/>
                <w:sz w:val="21"/>
                <w:szCs w:val="21"/>
                <w:highlight w:val="none"/>
              </w:rPr>
              <w:t>0</w:t>
            </w:r>
          </w:p>
        </w:tc>
      </w:tr>
      <w:tr w14:paraId="6D5885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70EA92D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额定输出频率</w:t>
            </w:r>
            <w:r>
              <w:rPr>
                <w:rFonts w:hint="eastAsia" w:ascii="宋体" w:hAnsi="宋体" w:eastAsia="宋体" w:cs="宋体"/>
                <w:color w:val="auto"/>
                <w:kern w:val="2"/>
                <w:sz w:val="21"/>
                <w:szCs w:val="21"/>
                <w:highlight w:val="none"/>
              </w:rPr>
              <w:t>(Hz)</w:t>
            </w:r>
          </w:p>
        </w:tc>
        <w:tc>
          <w:tcPr>
            <w:tcW w:w="3370" w:type="pct"/>
            <w:gridSpan w:val="2"/>
            <w:vAlign w:val="center"/>
          </w:tcPr>
          <w:p w14:paraId="4E1B881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3"/>
                <w:kern w:val="2"/>
                <w:sz w:val="21"/>
                <w:szCs w:val="21"/>
                <w:highlight w:val="none"/>
              </w:rPr>
            </w:pPr>
            <w:r>
              <w:rPr>
                <w:rFonts w:hint="eastAsia" w:ascii="宋体" w:hAnsi="宋体" w:eastAsia="宋体" w:cs="宋体"/>
                <w:color w:val="auto"/>
                <w:spacing w:val="-3"/>
                <w:kern w:val="2"/>
                <w:sz w:val="21"/>
                <w:szCs w:val="21"/>
                <w:highlight w:val="none"/>
              </w:rPr>
              <w:t>5</w:t>
            </w:r>
            <w:r>
              <w:rPr>
                <w:rFonts w:hint="eastAsia" w:ascii="宋体" w:hAnsi="宋体" w:eastAsia="宋体" w:cs="宋体"/>
                <w:color w:val="auto"/>
                <w:spacing w:val="-2"/>
                <w:kern w:val="2"/>
                <w:sz w:val="21"/>
                <w:szCs w:val="21"/>
                <w:highlight w:val="none"/>
              </w:rPr>
              <w:t>0</w:t>
            </w:r>
          </w:p>
        </w:tc>
      </w:tr>
      <w:tr w14:paraId="02B42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629" w:type="pct"/>
            <w:vAlign w:val="center"/>
          </w:tcPr>
          <w:p w14:paraId="69F4DE6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spacing w:val="8"/>
                <w:kern w:val="2"/>
                <w:sz w:val="21"/>
                <w:szCs w:val="21"/>
                <w:highlight w:val="none"/>
              </w:rPr>
              <w:t>功</w:t>
            </w:r>
            <w:r>
              <w:rPr>
                <w:rFonts w:hint="eastAsia" w:ascii="宋体" w:hAnsi="宋体" w:eastAsia="宋体" w:cs="宋体"/>
                <w:color w:val="auto"/>
                <w:spacing w:val="6"/>
                <w:kern w:val="2"/>
                <w:sz w:val="21"/>
                <w:szCs w:val="21"/>
                <w:highlight w:val="none"/>
              </w:rPr>
              <w:t>率因数</w:t>
            </w:r>
            <w:r>
              <w:rPr>
                <w:rFonts w:hint="eastAsia" w:ascii="宋体" w:hAnsi="宋体" w:eastAsia="宋体" w:cs="宋体"/>
                <w:color w:val="auto"/>
                <w:spacing w:val="6"/>
                <w:kern w:val="2"/>
                <w:sz w:val="21"/>
                <w:szCs w:val="21"/>
                <w:highlight w:val="none"/>
                <w:lang w:val="en-US" w:eastAsia="zh-CN"/>
              </w:rPr>
              <w:t>及可调范围</w:t>
            </w:r>
          </w:p>
        </w:tc>
        <w:tc>
          <w:tcPr>
            <w:tcW w:w="3370" w:type="pct"/>
            <w:gridSpan w:val="2"/>
            <w:vAlign w:val="center"/>
          </w:tcPr>
          <w:p w14:paraId="289F2E7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lang w:val="en-US" w:eastAsia="zh-CN"/>
              </w:rPr>
              <w:t>＞</w:t>
            </w:r>
            <w:r>
              <w:rPr>
                <w:rFonts w:hint="eastAsia" w:ascii="宋体" w:hAnsi="宋体" w:eastAsia="宋体" w:cs="宋体"/>
                <w:color w:val="auto"/>
                <w:spacing w:val="-2"/>
                <w:kern w:val="2"/>
                <w:sz w:val="21"/>
                <w:szCs w:val="21"/>
                <w:highlight w:val="none"/>
              </w:rPr>
              <w:t>0.99（额定功率下）</w:t>
            </w:r>
            <w:r>
              <w:rPr>
                <w:rFonts w:hint="eastAsia" w:ascii="宋体" w:hAnsi="宋体" w:eastAsia="宋体" w:cs="宋体"/>
                <w:color w:val="auto"/>
                <w:spacing w:val="-2"/>
                <w:kern w:val="2"/>
                <w:sz w:val="21"/>
                <w:szCs w:val="21"/>
                <w:highlight w:val="none"/>
                <w:lang w:val="en-US" w:eastAsia="zh-CN"/>
              </w:rPr>
              <w:t xml:space="preserve"> </w:t>
            </w:r>
            <w:r>
              <w:rPr>
                <w:rFonts w:hint="eastAsia" w:ascii="宋体" w:hAnsi="宋体" w:eastAsia="宋体" w:cs="宋体"/>
                <w:color w:val="auto"/>
                <w:spacing w:val="-2"/>
                <w:kern w:val="2"/>
                <w:sz w:val="21"/>
                <w:szCs w:val="21"/>
                <w:highlight w:val="none"/>
              </w:rPr>
              <w:t>0</w:t>
            </w:r>
            <w:r>
              <w:rPr>
                <w:rFonts w:hint="eastAsia" w:ascii="宋体" w:hAnsi="宋体" w:eastAsia="宋体" w:cs="宋体"/>
                <w:color w:val="auto"/>
                <w:spacing w:val="-1"/>
                <w:kern w:val="2"/>
                <w:sz w:val="21"/>
                <w:szCs w:val="21"/>
                <w:highlight w:val="none"/>
              </w:rPr>
              <w:t>.8超前...0.8滞后</w:t>
            </w:r>
          </w:p>
        </w:tc>
      </w:tr>
      <w:tr w14:paraId="57150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629" w:type="pct"/>
            <w:vAlign w:val="center"/>
          </w:tcPr>
          <w:p w14:paraId="7D333662">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8"/>
                <w:kern w:val="2"/>
                <w:sz w:val="21"/>
                <w:szCs w:val="21"/>
                <w:highlight w:val="none"/>
              </w:rPr>
              <w:t>最大总谐波失真</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kern w:val="2"/>
                <w:sz w:val="21"/>
                <w:szCs w:val="21"/>
                <w:highlight w:val="none"/>
              </w:rPr>
              <w:t>)</w:t>
            </w:r>
          </w:p>
        </w:tc>
        <w:tc>
          <w:tcPr>
            <w:tcW w:w="1692" w:type="pct"/>
            <w:vAlign w:val="center"/>
          </w:tcPr>
          <w:p w14:paraId="7D07A00D">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rPr>
              <w:t>＜3</w:t>
            </w:r>
          </w:p>
        </w:tc>
        <w:tc>
          <w:tcPr>
            <w:tcW w:w="1677" w:type="pct"/>
            <w:vAlign w:val="center"/>
          </w:tcPr>
          <w:p w14:paraId="1D22C7B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rPr>
              <w:t>＜</w:t>
            </w:r>
            <w:r>
              <w:rPr>
                <w:rFonts w:hint="eastAsia" w:ascii="宋体" w:hAnsi="宋体" w:eastAsia="宋体" w:cs="宋体"/>
                <w:color w:val="auto"/>
                <w:spacing w:val="-2"/>
                <w:kern w:val="2"/>
                <w:sz w:val="21"/>
                <w:szCs w:val="21"/>
                <w:highlight w:val="none"/>
                <w:lang w:val="en-US" w:eastAsia="zh-CN"/>
              </w:rPr>
              <w:t>1</w:t>
            </w:r>
          </w:p>
        </w:tc>
      </w:tr>
      <w:tr w14:paraId="2D525E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629" w:type="pct"/>
            <w:vAlign w:val="center"/>
          </w:tcPr>
          <w:p w14:paraId="7E50BA2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最大效率</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kern w:val="2"/>
                <w:sz w:val="21"/>
                <w:szCs w:val="21"/>
                <w:highlight w:val="none"/>
              </w:rPr>
              <w:t>)</w:t>
            </w:r>
          </w:p>
        </w:tc>
        <w:tc>
          <w:tcPr>
            <w:tcW w:w="1692" w:type="pct"/>
            <w:vAlign w:val="center"/>
          </w:tcPr>
          <w:p w14:paraId="4B36554E">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4"/>
                <w:kern w:val="2"/>
                <w:sz w:val="21"/>
                <w:szCs w:val="21"/>
                <w:highlight w:val="none"/>
                <w:lang w:val="en-US" w:eastAsia="zh-CN"/>
              </w:rPr>
              <w:t>≥98.5</w:t>
            </w:r>
          </w:p>
        </w:tc>
        <w:tc>
          <w:tcPr>
            <w:tcW w:w="1677" w:type="pct"/>
            <w:vAlign w:val="center"/>
          </w:tcPr>
          <w:p w14:paraId="062E217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lang w:val="en-US" w:eastAsia="zh-CN"/>
              </w:rPr>
            </w:pPr>
            <w:r>
              <w:rPr>
                <w:rFonts w:hint="eastAsia" w:ascii="宋体" w:hAnsi="宋体" w:eastAsia="宋体" w:cs="宋体"/>
                <w:color w:val="auto"/>
                <w:spacing w:val="4"/>
                <w:kern w:val="2"/>
                <w:sz w:val="21"/>
                <w:szCs w:val="21"/>
                <w:highlight w:val="none"/>
                <w:lang w:val="en-US" w:eastAsia="zh-CN"/>
              </w:rPr>
              <w:t>≥99.0</w:t>
            </w:r>
          </w:p>
        </w:tc>
      </w:tr>
      <w:tr w14:paraId="50511F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3E7D678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4"/>
                <w:kern w:val="2"/>
                <w:sz w:val="21"/>
                <w:szCs w:val="21"/>
                <w:highlight w:val="none"/>
              </w:rPr>
              <w:t>中</w:t>
            </w:r>
            <w:r>
              <w:rPr>
                <w:rFonts w:hint="eastAsia" w:ascii="宋体" w:hAnsi="宋体" w:eastAsia="宋体" w:cs="宋体"/>
                <w:color w:val="auto"/>
                <w:spacing w:val="3"/>
                <w:kern w:val="2"/>
                <w:sz w:val="21"/>
                <w:szCs w:val="21"/>
                <w:highlight w:val="none"/>
              </w:rPr>
              <w:t>国</w:t>
            </w:r>
            <w:r>
              <w:rPr>
                <w:rFonts w:hint="eastAsia" w:ascii="宋体" w:hAnsi="宋体" w:eastAsia="宋体" w:cs="宋体"/>
                <w:color w:val="auto"/>
                <w:spacing w:val="2"/>
                <w:kern w:val="2"/>
                <w:sz w:val="21"/>
                <w:szCs w:val="21"/>
                <w:highlight w:val="none"/>
              </w:rPr>
              <w:t>效率</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2"/>
                <w:kern w:val="2"/>
                <w:sz w:val="21"/>
                <w:szCs w:val="21"/>
                <w:highlight w:val="none"/>
              </w:rPr>
              <w:t>%</w:t>
            </w:r>
            <w:r>
              <w:rPr>
                <w:rFonts w:hint="eastAsia" w:ascii="宋体" w:hAnsi="宋体" w:eastAsia="宋体" w:cs="宋体"/>
                <w:color w:val="auto"/>
                <w:kern w:val="2"/>
                <w:sz w:val="21"/>
                <w:szCs w:val="21"/>
                <w:highlight w:val="none"/>
              </w:rPr>
              <w:t>)</w:t>
            </w:r>
          </w:p>
        </w:tc>
        <w:tc>
          <w:tcPr>
            <w:tcW w:w="1692" w:type="pct"/>
            <w:vAlign w:val="center"/>
          </w:tcPr>
          <w:p w14:paraId="48844078">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lang w:val="en-US"/>
              </w:rPr>
            </w:pPr>
            <w:r>
              <w:rPr>
                <w:rFonts w:hint="eastAsia" w:ascii="宋体" w:hAnsi="宋体" w:eastAsia="宋体" w:cs="宋体"/>
                <w:color w:val="auto"/>
                <w:spacing w:val="4"/>
                <w:kern w:val="2"/>
                <w:sz w:val="21"/>
                <w:szCs w:val="21"/>
                <w:highlight w:val="none"/>
                <w:lang w:val="en-US" w:eastAsia="zh-CN"/>
              </w:rPr>
              <w:t>≥98.0</w:t>
            </w:r>
          </w:p>
        </w:tc>
        <w:tc>
          <w:tcPr>
            <w:tcW w:w="1677" w:type="pct"/>
            <w:vAlign w:val="center"/>
          </w:tcPr>
          <w:p w14:paraId="23B0EC0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4"/>
                <w:kern w:val="2"/>
                <w:sz w:val="21"/>
                <w:szCs w:val="21"/>
                <w:highlight w:val="none"/>
                <w:lang w:val="en-US" w:eastAsia="zh-CN"/>
              </w:rPr>
              <w:t>≥98.4</w:t>
            </w:r>
          </w:p>
        </w:tc>
      </w:tr>
      <w:tr w14:paraId="71CF42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629" w:type="pct"/>
            <w:vAlign w:val="center"/>
          </w:tcPr>
          <w:p w14:paraId="457469C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4"/>
                <w:kern w:val="2"/>
                <w:sz w:val="21"/>
                <w:szCs w:val="21"/>
                <w:highlight w:val="none"/>
              </w:rPr>
              <w:t>防护等</w:t>
            </w:r>
            <w:r>
              <w:rPr>
                <w:rFonts w:hint="eastAsia" w:ascii="宋体" w:hAnsi="宋体" w:eastAsia="宋体" w:cs="宋体"/>
                <w:color w:val="auto"/>
                <w:spacing w:val="3"/>
                <w:kern w:val="2"/>
                <w:sz w:val="21"/>
                <w:szCs w:val="21"/>
                <w:highlight w:val="none"/>
              </w:rPr>
              <w:t>级</w:t>
            </w:r>
          </w:p>
        </w:tc>
        <w:tc>
          <w:tcPr>
            <w:tcW w:w="3370" w:type="pct"/>
            <w:gridSpan w:val="2"/>
            <w:vAlign w:val="center"/>
          </w:tcPr>
          <w:p w14:paraId="0194DAB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1"/>
                <w:kern w:val="2"/>
                <w:sz w:val="21"/>
                <w:szCs w:val="21"/>
                <w:highlight w:val="none"/>
              </w:rPr>
            </w:pPr>
            <w:r>
              <w:rPr>
                <w:rFonts w:hint="eastAsia" w:ascii="宋体" w:hAnsi="宋体" w:eastAsia="宋体" w:cs="宋体"/>
                <w:color w:val="auto"/>
                <w:spacing w:val="-1"/>
                <w:kern w:val="2"/>
                <w:sz w:val="21"/>
                <w:szCs w:val="21"/>
                <w:highlight w:val="none"/>
              </w:rPr>
              <w:t>I</w:t>
            </w:r>
            <w:r>
              <w:rPr>
                <w:rFonts w:hint="eastAsia" w:ascii="宋体" w:hAnsi="宋体" w:eastAsia="宋体" w:cs="宋体"/>
                <w:color w:val="auto"/>
                <w:kern w:val="2"/>
                <w:sz w:val="21"/>
                <w:szCs w:val="21"/>
                <w:highlight w:val="none"/>
              </w:rPr>
              <w:t>P</w:t>
            </w:r>
            <w:r>
              <w:rPr>
                <w:rFonts w:hint="eastAsia" w:ascii="宋体" w:hAnsi="宋体" w:eastAsia="宋体" w:cs="宋体"/>
                <w:color w:val="auto"/>
                <w:spacing w:val="-1"/>
                <w:kern w:val="2"/>
                <w:sz w:val="21"/>
                <w:szCs w:val="21"/>
                <w:highlight w:val="none"/>
              </w:rPr>
              <w:t>66</w:t>
            </w:r>
          </w:p>
        </w:tc>
      </w:tr>
      <w:tr w14:paraId="2C321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298F642F">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2"/>
                <w:kern w:val="2"/>
                <w:sz w:val="21"/>
                <w:szCs w:val="21"/>
                <w:highlight w:val="none"/>
              </w:rPr>
              <w:t>夜间自耗电</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2"/>
                <w:kern w:val="2"/>
                <w:sz w:val="21"/>
                <w:szCs w:val="21"/>
                <w:highlight w:val="none"/>
              </w:rPr>
              <w:t>W</w:t>
            </w:r>
            <w:r>
              <w:rPr>
                <w:rFonts w:hint="eastAsia" w:ascii="宋体" w:hAnsi="宋体" w:eastAsia="宋体" w:cs="宋体"/>
                <w:color w:val="auto"/>
                <w:kern w:val="2"/>
                <w:sz w:val="21"/>
                <w:szCs w:val="21"/>
                <w:highlight w:val="none"/>
              </w:rPr>
              <w:t>)</w:t>
            </w:r>
          </w:p>
        </w:tc>
        <w:tc>
          <w:tcPr>
            <w:tcW w:w="3370" w:type="pct"/>
            <w:gridSpan w:val="2"/>
            <w:vAlign w:val="center"/>
          </w:tcPr>
          <w:p w14:paraId="0818EDBB">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7"/>
                <w:kern w:val="2"/>
                <w:position w:val="1"/>
                <w:sz w:val="21"/>
                <w:szCs w:val="21"/>
                <w:highlight w:val="none"/>
              </w:rPr>
            </w:pPr>
            <w:r>
              <w:rPr>
                <w:rFonts w:hint="eastAsia" w:ascii="宋体" w:hAnsi="宋体" w:eastAsia="宋体" w:cs="宋体"/>
                <w:color w:val="auto"/>
                <w:spacing w:val="-7"/>
                <w:kern w:val="2"/>
                <w:position w:val="1"/>
                <w:sz w:val="21"/>
                <w:szCs w:val="21"/>
                <w:highlight w:val="none"/>
              </w:rPr>
              <w:t>≤</w:t>
            </w:r>
            <w:r>
              <w:rPr>
                <w:rFonts w:hint="eastAsia" w:ascii="宋体" w:hAnsi="宋体" w:eastAsia="宋体" w:cs="宋体"/>
                <w:color w:val="auto"/>
                <w:spacing w:val="-5"/>
                <w:kern w:val="2"/>
                <w:position w:val="1"/>
                <w:sz w:val="21"/>
                <w:szCs w:val="21"/>
                <w:highlight w:val="none"/>
              </w:rPr>
              <w:t>4</w:t>
            </w:r>
          </w:p>
        </w:tc>
      </w:tr>
      <w:tr w14:paraId="483E4B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1629" w:type="pct"/>
            <w:vAlign w:val="center"/>
          </w:tcPr>
          <w:p w14:paraId="76A91C0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lang w:val="en-US" w:eastAsia="zh-CN"/>
              </w:rPr>
              <w:t>工作</w:t>
            </w:r>
            <w:r>
              <w:rPr>
                <w:rFonts w:hint="eastAsia" w:ascii="宋体" w:hAnsi="宋体" w:eastAsia="宋体" w:cs="宋体"/>
                <w:color w:val="auto"/>
                <w:spacing w:val="8"/>
                <w:kern w:val="2"/>
                <w:sz w:val="21"/>
                <w:szCs w:val="21"/>
                <w:highlight w:val="none"/>
              </w:rPr>
              <w:t>温度</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8"/>
                <w:kern w:val="2"/>
                <w:sz w:val="21"/>
                <w:szCs w:val="21"/>
                <w:highlight w:val="none"/>
              </w:rPr>
              <w:t>℃</w:t>
            </w:r>
            <w:r>
              <w:rPr>
                <w:rFonts w:hint="eastAsia" w:ascii="宋体" w:hAnsi="宋体" w:eastAsia="宋体" w:cs="宋体"/>
                <w:color w:val="auto"/>
                <w:kern w:val="2"/>
                <w:sz w:val="21"/>
                <w:szCs w:val="21"/>
                <w:highlight w:val="none"/>
              </w:rPr>
              <w:t>)</w:t>
            </w:r>
          </w:p>
        </w:tc>
        <w:tc>
          <w:tcPr>
            <w:tcW w:w="3370" w:type="pct"/>
            <w:gridSpan w:val="2"/>
            <w:vAlign w:val="center"/>
          </w:tcPr>
          <w:p w14:paraId="104E9CE4">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position w:val="1"/>
                <w:sz w:val="21"/>
                <w:szCs w:val="21"/>
                <w:highlight w:val="none"/>
              </w:rPr>
            </w:pPr>
            <w:r>
              <w:rPr>
                <w:rFonts w:hint="eastAsia" w:ascii="宋体" w:hAnsi="宋体" w:eastAsia="宋体" w:cs="宋体"/>
                <w:color w:val="auto"/>
                <w:spacing w:val="4"/>
                <w:kern w:val="2"/>
                <w:position w:val="1"/>
                <w:sz w:val="21"/>
                <w:szCs w:val="21"/>
                <w:highlight w:val="none"/>
              </w:rPr>
              <w:t>-</w:t>
            </w:r>
            <w:r>
              <w:rPr>
                <w:rFonts w:hint="eastAsia" w:ascii="宋体" w:hAnsi="宋体" w:eastAsia="宋体" w:cs="宋体"/>
                <w:color w:val="auto"/>
                <w:spacing w:val="4"/>
                <w:kern w:val="2"/>
                <w:position w:val="1"/>
                <w:sz w:val="21"/>
                <w:szCs w:val="21"/>
                <w:highlight w:val="none"/>
                <w:lang w:val="en-US" w:eastAsia="zh-CN"/>
              </w:rPr>
              <w:t xml:space="preserve">25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4"/>
                <w:kern w:val="2"/>
                <w:position w:val="1"/>
                <w:sz w:val="21"/>
                <w:szCs w:val="21"/>
                <w:highlight w:val="none"/>
              </w:rPr>
              <w:t>6</w:t>
            </w:r>
            <w:r>
              <w:rPr>
                <w:rFonts w:hint="eastAsia" w:ascii="宋体" w:hAnsi="宋体" w:eastAsia="宋体" w:cs="宋体"/>
                <w:color w:val="auto"/>
                <w:spacing w:val="3"/>
                <w:kern w:val="2"/>
                <w:position w:val="1"/>
                <w:sz w:val="21"/>
                <w:szCs w:val="21"/>
                <w:highlight w:val="none"/>
              </w:rPr>
              <w:t>0</w:t>
            </w:r>
          </w:p>
        </w:tc>
      </w:tr>
      <w:tr w14:paraId="0910E1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420D507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冷却方式</w:t>
            </w:r>
          </w:p>
        </w:tc>
        <w:tc>
          <w:tcPr>
            <w:tcW w:w="3370" w:type="pct"/>
            <w:gridSpan w:val="2"/>
            <w:vAlign w:val="center"/>
          </w:tcPr>
          <w:p w14:paraId="1F8BD33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6"/>
                <w:kern w:val="2"/>
                <w:sz w:val="21"/>
                <w:szCs w:val="21"/>
                <w:highlight w:val="none"/>
              </w:rPr>
            </w:pPr>
            <w:r>
              <w:rPr>
                <w:rFonts w:hint="eastAsia" w:ascii="宋体" w:hAnsi="宋体" w:eastAsia="宋体" w:cs="宋体"/>
                <w:color w:val="auto"/>
                <w:spacing w:val="6"/>
                <w:kern w:val="2"/>
                <w:sz w:val="21"/>
                <w:szCs w:val="21"/>
                <w:highlight w:val="none"/>
              </w:rPr>
              <w:t>智能风冷</w:t>
            </w:r>
          </w:p>
        </w:tc>
      </w:tr>
      <w:tr w14:paraId="15187C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461F914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允许相对湿度</w:t>
            </w:r>
          </w:p>
        </w:tc>
        <w:tc>
          <w:tcPr>
            <w:tcW w:w="3370" w:type="pct"/>
            <w:gridSpan w:val="2"/>
            <w:vAlign w:val="center"/>
          </w:tcPr>
          <w:p w14:paraId="5AE2D2A6">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8"/>
                <w:kern w:val="2"/>
                <w:sz w:val="21"/>
                <w:szCs w:val="21"/>
                <w:highlight w:val="none"/>
              </w:rPr>
              <w:t>0</w:t>
            </w:r>
            <w:r>
              <w:rPr>
                <w:rFonts w:hint="eastAsia" w:ascii="宋体" w:hAnsi="宋体" w:eastAsia="宋体" w:cs="宋体"/>
                <w:color w:val="auto"/>
                <w:spacing w:val="8"/>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5"/>
                <w:kern w:val="2"/>
                <w:sz w:val="21"/>
                <w:szCs w:val="21"/>
                <w:highlight w:val="none"/>
              </w:rPr>
              <w:t>100%</w:t>
            </w:r>
            <w:r>
              <w:rPr>
                <w:rFonts w:hint="eastAsia" w:ascii="宋体" w:hAnsi="宋体" w:eastAsia="宋体" w:cs="宋体"/>
                <w:color w:val="auto"/>
                <w:spacing w:val="5"/>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rPr>
              <w:t>无冷凝</w:t>
            </w:r>
          </w:p>
        </w:tc>
      </w:tr>
      <w:tr w14:paraId="0D28B4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1629" w:type="pct"/>
            <w:vAlign w:val="center"/>
          </w:tcPr>
          <w:p w14:paraId="53ABFD3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2"/>
                <w:kern w:val="2"/>
                <w:sz w:val="21"/>
                <w:szCs w:val="21"/>
                <w:highlight w:val="none"/>
              </w:rPr>
              <w:t>显示</w:t>
            </w:r>
          </w:p>
        </w:tc>
        <w:tc>
          <w:tcPr>
            <w:tcW w:w="3370" w:type="pct"/>
            <w:gridSpan w:val="2"/>
            <w:vAlign w:val="center"/>
          </w:tcPr>
          <w:p w14:paraId="6EF58C94">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LED</w:t>
            </w:r>
            <w:r>
              <w:rPr>
                <w:rFonts w:hint="eastAsia" w:ascii="宋体" w:hAnsi="宋体" w:eastAsia="宋体" w:cs="宋体"/>
                <w:color w:val="auto"/>
                <w:spacing w:val="4"/>
                <w:kern w:val="2"/>
                <w:sz w:val="21"/>
                <w:szCs w:val="21"/>
                <w:highlight w:val="none"/>
              </w:rPr>
              <w:t>指示灯、WLAN+</w:t>
            </w:r>
            <w:r>
              <w:rPr>
                <w:rFonts w:hint="eastAsia" w:ascii="宋体" w:hAnsi="宋体" w:eastAsia="宋体" w:cs="宋体"/>
                <w:color w:val="auto"/>
                <w:kern w:val="2"/>
                <w:sz w:val="21"/>
                <w:szCs w:val="21"/>
                <w:highlight w:val="none"/>
              </w:rPr>
              <w:t>APP</w:t>
            </w:r>
          </w:p>
        </w:tc>
      </w:tr>
      <w:tr w14:paraId="4E626D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629" w:type="pct"/>
            <w:vAlign w:val="center"/>
          </w:tcPr>
          <w:p w14:paraId="21F424BF">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pacing w:val="9"/>
                <w:kern w:val="2"/>
                <w:sz w:val="21"/>
                <w:szCs w:val="21"/>
                <w:highlight w:val="none"/>
              </w:rPr>
              <w:t>通</w:t>
            </w:r>
            <w:r>
              <w:rPr>
                <w:rFonts w:hint="eastAsia" w:ascii="宋体" w:hAnsi="宋体" w:eastAsia="宋体" w:cs="宋体"/>
                <w:color w:val="auto"/>
                <w:spacing w:val="7"/>
                <w:kern w:val="2"/>
                <w:sz w:val="21"/>
                <w:szCs w:val="21"/>
                <w:highlight w:val="none"/>
              </w:rPr>
              <w:t>讯方式</w:t>
            </w:r>
          </w:p>
        </w:tc>
        <w:tc>
          <w:tcPr>
            <w:tcW w:w="3370" w:type="pct"/>
            <w:gridSpan w:val="2"/>
            <w:shd w:val="clear" w:color="auto" w:fill="auto"/>
            <w:vAlign w:val="center"/>
          </w:tcPr>
          <w:p w14:paraId="6D611725">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RS</w:t>
            </w:r>
            <w:r>
              <w:rPr>
                <w:rFonts w:hint="eastAsia" w:ascii="宋体" w:hAnsi="宋体" w:eastAsia="宋体" w:cs="宋体"/>
                <w:color w:val="auto"/>
                <w:spacing w:val="17"/>
                <w:kern w:val="2"/>
                <w:sz w:val="21"/>
                <w:szCs w:val="21"/>
                <w:highlight w:val="none"/>
              </w:rPr>
              <w:t>4</w:t>
            </w:r>
            <w:r>
              <w:rPr>
                <w:rFonts w:hint="eastAsia" w:ascii="宋体" w:hAnsi="宋体" w:eastAsia="宋体" w:cs="宋体"/>
                <w:color w:val="auto"/>
                <w:spacing w:val="15"/>
                <w:kern w:val="2"/>
                <w:sz w:val="21"/>
                <w:szCs w:val="21"/>
                <w:highlight w:val="none"/>
              </w:rPr>
              <w:t>85、</w:t>
            </w:r>
            <w:r>
              <w:rPr>
                <w:rFonts w:hint="eastAsia" w:ascii="宋体" w:hAnsi="宋体" w:eastAsia="宋体" w:cs="宋体"/>
                <w:color w:val="auto"/>
                <w:spacing w:val="-1"/>
                <w:kern w:val="2"/>
                <w:sz w:val="21"/>
                <w:szCs w:val="21"/>
                <w:highlight w:val="none"/>
              </w:rPr>
              <w:t>4G</w:t>
            </w:r>
            <w:r>
              <w:rPr>
                <w:rFonts w:hint="eastAsia" w:ascii="宋体" w:hAnsi="宋体" w:eastAsia="宋体" w:cs="宋体"/>
                <w:color w:val="auto"/>
                <w:spacing w:val="6"/>
                <w:kern w:val="2"/>
                <w:sz w:val="21"/>
                <w:szCs w:val="21"/>
                <w:highlight w:val="none"/>
              </w:rPr>
              <w:t>智能通讯棒模块</w:t>
            </w:r>
            <w:r>
              <w:rPr>
                <w:rFonts w:hint="eastAsia" w:ascii="宋体" w:hAnsi="宋体" w:eastAsia="宋体" w:cs="宋体"/>
                <w:color w:val="auto"/>
                <w:spacing w:val="6"/>
                <w:kern w:val="2"/>
                <w:sz w:val="21"/>
                <w:szCs w:val="21"/>
                <w:highlight w:val="none"/>
                <w:lang w:eastAsia="zh-CN"/>
              </w:rPr>
              <w:t>（</w:t>
            </w:r>
            <w:r>
              <w:rPr>
                <w:rFonts w:hint="eastAsia" w:ascii="宋体" w:hAnsi="宋体" w:eastAsia="宋体" w:cs="宋体"/>
                <w:color w:val="auto"/>
                <w:spacing w:val="6"/>
                <w:kern w:val="2"/>
                <w:sz w:val="21"/>
                <w:szCs w:val="21"/>
                <w:highlight w:val="none"/>
                <w:lang w:val="en-US" w:eastAsia="zh-CN"/>
              </w:rPr>
              <w:t>棒</w:t>
            </w:r>
            <w:r>
              <w:rPr>
                <w:rFonts w:hint="eastAsia" w:ascii="宋体" w:hAnsi="宋体" w:eastAsia="宋体" w:cs="宋体"/>
                <w:color w:val="auto"/>
                <w:spacing w:val="6"/>
                <w:kern w:val="2"/>
                <w:sz w:val="21"/>
                <w:szCs w:val="21"/>
                <w:highlight w:val="none"/>
                <w:lang w:eastAsia="zh-CN"/>
              </w:rPr>
              <w:t>）</w:t>
            </w:r>
          </w:p>
        </w:tc>
      </w:tr>
    </w:tbl>
    <w:p w14:paraId="633417A5">
      <w:pPr>
        <w:pageBreakBefore w:val="0"/>
        <w:widowControl w:val="0"/>
        <w:numPr>
          <w:ilvl w:val="0"/>
          <w:numId w:val="0"/>
        </w:numPr>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rPr>
        <w:t>配置的并网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必须具备</w:t>
      </w:r>
      <w:r>
        <w:rPr>
          <w:rFonts w:hint="eastAsia" w:ascii="宋体" w:hAnsi="宋体" w:eastAsia="宋体" w:cs="宋体"/>
          <w:color w:val="auto"/>
          <w:kern w:val="2"/>
          <w:sz w:val="21"/>
          <w:szCs w:val="21"/>
          <w:highlight w:val="none"/>
        </w:rPr>
        <w:t>最大功率跟踪、防组件PID（电势诱导衰减）效应</w:t>
      </w:r>
      <w:r>
        <w:rPr>
          <w:rFonts w:hint="eastAsia" w:ascii="宋体" w:hAnsi="宋体" w:eastAsia="宋体" w:cs="宋体"/>
          <w:color w:val="auto"/>
          <w:kern w:val="2"/>
          <w:sz w:val="21"/>
          <w:szCs w:val="21"/>
          <w:highlight w:val="none"/>
          <w:lang w:eastAsia="zh-CN"/>
        </w:rPr>
        <w:t>、谐振抑制、低电压穿越、</w:t>
      </w:r>
      <w:r>
        <w:rPr>
          <w:rFonts w:hint="eastAsia" w:ascii="宋体" w:hAnsi="宋体" w:eastAsia="宋体" w:cs="宋体"/>
          <w:color w:val="auto"/>
          <w:kern w:val="2"/>
          <w:sz w:val="21"/>
          <w:szCs w:val="21"/>
          <w:highlight w:val="none"/>
        </w:rPr>
        <w:t>绝缘阻抗检测、</w:t>
      </w:r>
      <w:r>
        <w:rPr>
          <w:rFonts w:hint="eastAsia" w:ascii="宋体" w:hAnsi="宋体" w:eastAsia="宋体" w:cs="宋体"/>
          <w:color w:val="auto"/>
          <w:kern w:val="2"/>
          <w:sz w:val="21"/>
          <w:szCs w:val="21"/>
          <w:highlight w:val="none"/>
          <w:lang w:val="en-US" w:eastAsia="zh-CN"/>
        </w:rPr>
        <w:t>组串故障检测、</w:t>
      </w:r>
      <w:r>
        <w:rPr>
          <w:rFonts w:hint="eastAsia" w:ascii="宋体" w:hAnsi="宋体" w:eastAsia="宋体" w:cs="宋体"/>
          <w:color w:val="auto"/>
          <w:kern w:val="2"/>
          <w:sz w:val="21"/>
          <w:szCs w:val="21"/>
          <w:highlight w:val="none"/>
        </w:rPr>
        <w:t>残余电流检测、交直流浪涌II级保护</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直流反接保护、交流短路保护、漏电流监测与保护、过压过流保护、过热过湿保护、电网相序保护</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并网保护、</w:t>
      </w:r>
      <w:r>
        <w:rPr>
          <w:rFonts w:hint="eastAsia" w:ascii="宋体" w:hAnsi="宋体" w:eastAsia="宋体" w:cs="宋体"/>
          <w:color w:val="auto"/>
          <w:kern w:val="2"/>
          <w:sz w:val="21"/>
          <w:szCs w:val="21"/>
          <w:highlight w:val="none"/>
          <w:lang w:eastAsia="zh-CN"/>
        </w:rPr>
        <w:t>电网异常保护</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温度保护、</w:t>
      </w:r>
      <w:r>
        <w:rPr>
          <w:rFonts w:hint="eastAsia" w:ascii="宋体" w:hAnsi="宋体" w:eastAsia="宋体" w:cs="宋体"/>
          <w:color w:val="auto"/>
          <w:kern w:val="2"/>
          <w:sz w:val="21"/>
          <w:szCs w:val="21"/>
          <w:highlight w:val="none"/>
        </w:rPr>
        <w:t>防孤岛</w:t>
      </w:r>
      <w:r>
        <w:rPr>
          <w:rFonts w:hint="eastAsia" w:ascii="宋体" w:hAnsi="宋体" w:eastAsia="宋体" w:cs="宋体"/>
          <w:color w:val="auto"/>
          <w:kern w:val="2"/>
          <w:sz w:val="21"/>
          <w:szCs w:val="21"/>
          <w:highlight w:val="none"/>
          <w:lang w:val="en-US" w:eastAsia="zh-CN"/>
        </w:rPr>
        <w:t>保护</w:t>
      </w:r>
      <w:r>
        <w:rPr>
          <w:rFonts w:hint="eastAsia" w:ascii="宋体" w:hAnsi="宋体" w:eastAsia="宋体" w:cs="宋体"/>
          <w:color w:val="auto"/>
          <w:kern w:val="2"/>
          <w:sz w:val="21"/>
          <w:szCs w:val="21"/>
          <w:highlight w:val="none"/>
        </w:rPr>
        <w:t>、直流开关</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电网监控等基本功能并可发出告警信号</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需</w:t>
      </w:r>
      <w:r>
        <w:rPr>
          <w:rFonts w:hint="eastAsia" w:ascii="宋体" w:hAnsi="宋体" w:eastAsia="宋体" w:cs="宋体"/>
          <w:color w:val="auto"/>
          <w:kern w:val="2"/>
          <w:sz w:val="21"/>
          <w:szCs w:val="21"/>
          <w:highlight w:val="none"/>
        </w:rPr>
        <w:t>具备良好的电气隔离性，整机符合国家相关标准。</w:t>
      </w:r>
    </w:p>
    <w:p w14:paraId="0B1B5FDE">
      <w:pPr>
        <w:pageBreakBefore w:val="0"/>
        <w:widowControl w:val="0"/>
        <w:numPr>
          <w:ilvl w:val="0"/>
          <w:numId w:val="0"/>
        </w:numPr>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配置的并网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须</w:t>
      </w:r>
      <w:r>
        <w:rPr>
          <w:rFonts w:hint="eastAsia" w:ascii="宋体" w:hAnsi="宋体" w:eastAsia="宋体" w:cs="宋体"/>
          <w:color w:val="auto"/>
          <w:kern w:val="2"/>
          <w:sz w:val="21"/>
          <w:szCs w:val="21"/>
          <w:highlight w:val="none"/>
        </w:rPr>
        <w:t>可进行高精度组串检测及智能I-V曲线扫描诊断，</w:t>
      </w:r>
      <w:r>
        <w:rPr>
          <w:rFonts w:hint="eastAsia" w:ascii="宋体" w:hAnsi="宋体" w:eastAsia="宋体" w:cs="宋体"/>
          <w:color w:val="auto"/>
          <w:kern w:val="2"/>
          <w:sz w:val="21"/>
          <w:szCs w:val="21"/>
          <w:highlight w:val="none"/>
          <w:lang w:val="en-US" w:eastAsia="zh-CN"/>
        </w:rPr>
        <w:t>可</w:t>
      </w:r>
      <w:r>
        <w:rPr>
          <w:rFonts w:hint="eastAsia" w:ascii="宋体" w:hAnsi="宋体" w:eastAsia="宋体" w:cs="宋体"/>
          <w:color w:val="auto"/>
          <w:kern w:val="2"/>
          <w:sz w:val="21"/>
          <w:szCs w:val="21"/>
          <w:highlight w:val="none"/>
        </w:rPr>
        <w:t>精确定位异常组串</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方便后期运维。</w:t>
      </w:r>
    </w:p>
    <w:p w14:paraId="17D17220">
      <w:pPr>
        <w:pageBreakBefore w:val="0"/>
        <w:widowControl w:val="0"/>
        <w:numPr>
          <w:ilvl w:val="0"/>
          <w:numId w:val="0"/>
        </w:numPr>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）所供并网逆变器输入必须能适配市场主流光伏组件（600Wp以上）电流输入；</w:t>
      </w:r>
    </w:p>
    <w:p w14:paraId="4F9AC084">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逆变器与光伏组件布置采用就近原则，</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逆变器对应的最近距离的光伏组串不能超过5m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接入光伏</w:t>
      </w:r>
      <w:r>
        <w:rPr>
          <w:rFonts w:hint="eastAsia" w:ascii="宋体" w:hAnsi="宋体" w:eastAsia="宋体" w:cs="宋体"/>
          <w:color w:val="auto"/>
          <w:kern w:val="2"/>
          <w:sz w:val="21"/>
          <w:szCs w:val="21"/>
          <w:highlight w:val="none"/>
          <w:lang w:eastAsia="zh-CN"/>
        </w:rPr>
        <w:t>组串</w:t>
      </w:r>
      <w:r>
        <w:rPr>
          <w:rFonts w:hint="eastAsia" w:ascii="宋体" w:hAnsi="宋体" w:eastAsia="宋体" w:cs="宋体"/>
          <w:color w:val="auto"/>
          <w:kern w:val="2"/>
          <w:sz w:val="21"/>
          <w:szCs w:val="21"/>
          <w:highlight w:val="none"/>
          <w:lang w:val="en-US" w:eastAsia="zh-CN"/>
        </w:rPr>
        <w:t>容量与配置并网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功率之间的</w:t>
      </w:r>
      <w:r>
        <w:rPr>
          <w:rFonts w:hint="eastAsia" w:ascii="宋体" w:hAnsi="宋体" w:eastAsia="宋体" w:cs="宋体"/>
          <w:b/>
          <w:bCs/>
          <w:color w:val="auto"/>
          <w:kern w:val="2"/>
          <w:sz w:val="21"/>
          <w:szCs w:val="21"/>
          <w:highlight w:val="none"/>
        </w:rPr>
        <w:t>容配比不得超过1.</w:t>
      </w:r>
      <w:r>
        <w:rPr>
          <w:rFonts w:hint="eastAsia" w:ascii="宋体" w:hAnsi="宋体" w:eastAsia="宋体" w:cs="宋体"/>
          <w:b/>
          <w:bCs/>
          <w:color w:val="auto"/>
          <w:kern w:val="2"/>
          <w:sz w:val="21"/>
          <w:szCs w:val="21"/>
          <w:highlight w:val="none"/>
          <w:lang w:val="en-US" w:eastAsia="zh-CN"/>
        </w:rPr>
        <w:t>15</w:t>
      </w:r>
      <w:r>
        <w:rPr>
          <w:rFonts w:hint="eastAsia" w:ascii="宋体" w:hAnsi="宋体" w:eastAsia="宋体" w:cs="宋体"/>
          <w:color w:val="auto"/>
          <w:kern w:val="2"/>
          <w:sz w:val="21"/>
          <w:szCs w:val="21"/>
          <w:highlight w:val="none"/>
        </w:rPr>
        <w:t>。</w:t>
      </w:r>
    </w:p>
    <w:p w14:paraId="584DBEA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承包单位负责并网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运输、卸货、吊装及保管，保管过程中按原包装存放并做好相应的防雨防倒防误撞等保护措施，开箱必须有监理在场旁站确认并网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完好，如开箱时有破损则需现场拍照取证，如有损坏需承担更换所需全部费用。</w:t>
      </w:r>
    </w:p>
    <w:p w14:paraId="36D11F52">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7）承包单位要对所供并网逆变器外表面板的清洁提供措施，不得有划伤、腐蚀斑点等缺陷；外壳采用经高质量表面处理的不生锈金属材料制作，耐候年限（不生锈、不腐蚀、机械强度满足使用要求）不低于25年。并网逆变器应有保护接地；运行时，打开柜门后，所有导电部件均应有防护措施以防止人手触及；其内的所有导线、电缆、线槽、线号套管等应使用阻燃型产品；</w:t>
      </w:r>
    </w:p>
    <w:p w14:paraId="1491EC8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逆变器的布置方案</w:t>
      </w:r>
      <w:r>
        <w:rPr>
          <w:rFonts w:hint="eastAsia" w:ascii="宋体" w:hAnsi="宋体" w:eastAsia="宋体" w:cs="宋体"/>
          <w:color w:val="auto"/>
          <w:kern w:val="2"/>
          <w:sz w:val="21"/>
          <w:szCs w:val="21"/>
          <w:highlight w:val="none"/>
          <w:lang w:val="en-US" w:eastAsia="zh-CN"/>
        </w:rPr>
        <w:t>须提前与房屋业主进行确认，</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兼顾安全运维</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操作方便、避晒通</w:t>
      </w:r>
      <w:r>
        <w:rPr>
          <w:rFonts w:hint="eastAsia" w:ascii="宋体" w:hAnsi="宋体" w:eastAsia="宋体" w:cs="宋体"/>
          <w:color w:val="auto"/>
          <w:kern w:val="2"/>
          <w:sz w:val="21"/>
          <w:szCs w:val="21"/>
          <w:highlight w:val="none"/>
        </w:rPr>
        <w:t>风</w:t>
      </w:r>
      <w:r>
        <w:rPr>
          <w:rFonts w:hint="eastAsia" w:ascii="宋体" w:hAnsi="宋体" w:eastAsia="宋体" w:cs="宋体"/>
          <w:color w:val="auto"/>
          <w:kern w:val="2"/>
          <w:sz w:val="21"/>
          <w:szCs w:val="21"/>
          <w:highlight w:val="none"/>
          <w:lang w:eastAsia="zh-CN"/>
        </w:rPr>
        <w:t>、抗台风</w:t>
      </w:r>
      <w:r>
        <w:rPr>
          <w:rFonts w:hint="eastAsia" w:ascii="宋体" w:hAnsi="宋体" w:eastAsia="宋体" w:cs="宋体"/>
          <w:color w:val="auto"/>
          <w:kern w:val="2"/>
          <w:sz w:val="21"/>
          <w:szCs w:val="21"/>
          <w:highlight w:val="none"/>
        </w:rPr>
        <w:t>等因素</w:t>
      </w:r>
      <w:r>
        <w:rPr>
          <w:rFonts w:hint="eastAsia" w:ascii="宋体" w:hAnsi="宋体" w:eastAsia="宋体" w:cs="宋体"/>
          <w:color w:val="auto"/>
          <w:kern w:val="2"/>
          <w:sz w:val="21"/>
          <w:szCs w:val="21"/>
          <w:highlight w:val="none"/>
          <w:lang w:eastAsia="zh-CN"/>
        </w:rPr>
        <w:t>；不宜安装在彩钢瓦面上，</w:t>
      </w:r>
      <w:r>
        <w:rPr>
          <w:rFonts w:hint="eastAsia" w:ascii="宋体" w:hAnsi="宋体" w:eastAsia="宋体" w:cs="宋体"/>
          <w:color w:val="auto"/>
          <w:kern w:val="2"/>
          <w:sz w:val="21"/>
          <w:szCs w:val="21"/>
          <w:highlight w:val="none"/>
          <w:lang w:val="en-US" w:eastAsia="zh-CN"/>
        </w:rPr>
        <w:t>若是</w:t>
      </w:r>
      <w:r>
        <w:rPr>
          <w:rFonts w:hint="eastAsia" w:ascii="宋体" w:hAnsi="宋体" w:eastAsia="宋体" w:cs="宋体"/>
          <w:color w:val="auto"/>
          <w:kern w:val="2"/>
          <w:sz w:val="21"/>
          <w:szCs w:val="21"/>
          <w:highlight w:val="none"/>
        </w:rPr>
        <w:t>室外</w:t>
      </w:r>
      <w:r>
        <w:rPr>
          <w:rFonts w:hint="eastAsia" w:ascii="宋体" w:hAnsi="宋体" w:eastAsia="宋体" w:cs="宋体"/>
          <w:color w:val="auto"/>
          <w:kern w:val="2"/>
          <w:sz w:val="21"/>
          <w:szCs w:val="21"/>
          <w:highlight w:val="none"/>
          <w:lang w:val="en-US" w:eastAsia="zh-CN"/>
        </w:rPr>
        <w:t>安装</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逆变器上面</w:t>
      </w:r>
      <w:r>
        <w:rPr>
          <w:rFonts w:hint="eastAsia" w:ascii="宋体" w:hAnsi="宋体" w:eastAsia="宋体" w:cs="宋体"/>
          <w:color w:val="auto"/>
          <w:kern w:val="2"/>
          <w:sz w:val="21"/>
          <w:szCs w:val="21"/>
          <w:highlight w:val="none"/>
          <w:lang w:val="en-US" w:eastAsia="zh-CN"/>
        </w:rPr>
        <w:t>须加装304不锈钢挡</w:t>
      </w:r>
      <w:r>
        <w:rPr>
          <w:rFonts w:hint="eastAsia" w:ascii="宋体" w:hAnsi="宋体" w:eastAsia="宋体" w:cs="宋体"/>
          <w:color w:val="auto"/>
          <w:kern w:val="2"/>
          <w:sz w:val="21"/>
          <w:szCs w:val="21"/>
          <w:highlight w:val="none"/>
        </w:rPr>
        <w:t>雨遮阳蓬，避免烈日直射暴晒和雨水浸泡</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遮阳棚尺寸超出逆变器正面、侧面各≥0.5m（有条件时，正面遮阳棚宜≥1m），背部增加挡雨板（靠墙安装不需要），与逆变器上侧间距大于0.3m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若安装在经常有人员进出的场所，并网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须加装镀锌网格围屏，防止非专业人员误碰导致触电。</w:t>
      </w:r>
    </w:p>
    <w:p w14:paraId="377DFD3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逆变器的布置要留有足够的空间以便</w:t>
      </w:r>
      <w:r>
        <w:rPr>
          <w:rFonts w:hint="eastAsia" w:ascii="宋体" w:hAnsi="宋体" w:eastAsia="宋体" w:cs="宋体"/>
          <w:color w:val="auto"/>
          <w:kern w:val="2"/>
          <w:sz w:val="21"/>
          <w:szCs w:val="21"/>
          <w:highlight w:val="none"/>
          <w:lang w:val="en-US" w:eastAsia="zh-CN"/>
        </w:rPr>
        <w:t>后期更换</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上下留有50cm空间距离，两侧留有100cm以上空间距离</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同时离地安装高度要合适，以便观察读取LED显示与运维操作</w:t>
      </w:r>
      <w:r>
        <w:rPr>
          <w:rFonts w:hint="eastAsia" w:ascii="宋体" w:hAnsi="宋体" w:eastAsia="宋体" w:cs="宋体"/>
          <w:color w:val="auto"/>
          <w:kern w:val="2"/>
          <w:sz w:val="21"/>
          <w:szCs w:val="21"/>
          <w:highlight w:val="none"/>
        </w:rPr>
        <w:t>。</w:t>
      </w:r>
    </w:p>
    <w:p w14:paraId="069EDAA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每台</w:t>
      </w:r>
      <w:r>
        <w:rPr>
          <w:rFonts w:hint="eastAsia" w:ascii="宋体" w:hAnsi="宋体" w:eastAsia="宋体" w:cs="宋体"/>
          <w:color w:val="auto"/>
          <w:kern w:val="2"/>
          <w:sz w:val="21"/>
          <w:szCs w:val="21"/>
          <w:highlight w:val="none"/>
        </w:rPr>
        <w:t>并网逆变器</w:t>
      </w:r>
      <w:r>
        <w:rPr>
          <w:rFonts w:hint="eastAsia" w:ascii="宋体" w:hAnsi="宋体" w:eastAsia="宋体" w:cs="宋体"/>
          <w:color w:val="auto"/>
          <w:kern w:val="2"/>
          <w:sz w:val="21"/>
          <w:szCs w:val="21"/>
          <w:highlight w:val="none"/>
          <w:lang w:val="en-US" w:eastAsia="zh-CN"/>
        </w:rPr>
        <w:t>必须配置两具有效期内4kg干粉灭火器和红色不锈钢灭火器箱</w:t>
      </w:r>
      <w:r>
        <w:rPr>
          <w:rFonts w:hint="eastAsia" w:ascii="宋体" w:hAnsi="宋体" w:eastAsia="宋体" w:cs="宋体"/>
          <w:color w:val="auto"/>
          <w:kern w:val="2"/>
          <w:sz w:val="21"/>
          <w:szCs w:val="21"/>
          <w:highlight w:val="none"/>
        </w:rPr>
        <w:t>。</w:t>
      </w:r>
    </w:p>
    <w:p w14:paraId="157D4D2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）支持RS</w:t>
      </w:r>
      <w:r>
        <w:rPr>
          <w:rFonts w:hint="eastAsia" w:ascii="宋体" w:hAnsi="宋体" w:eastAsia="宋体" w:cs="宋体"/>
          <w:color w:val="auto"/>
          <w:spacing w:val="17"/>
          <w:kern w:val="2"/>
          <w:sz w:val="21"/>
          <w:szCs w:val="21"/>
          <w:highlight w:val="none"/>
        </w:rPr>
        <w:t>4</w:t>
      </w:r>
      <w:r>
        <w:rPr>
          <w:rFonts w:hint="eastAsia" w:ascii="宋体" w:hAnsi="宋体" w:eastAsia="宋体" w:cs="宋体"/>
          <w:color w:val="auto"/>
          <w:spacing w:val="15"/>
          <w:kern w:val="2"/>
          <w:sz w:val="21"/>
          <w:szCs w:val="21"/>
          <w:highlight w:val="none"/>
        </w:rPr>
        <w:t>85、4</w:t>
      </w:r>
      <w:r>
        <w:rPr>
          <w:rFonts w:hint="eastAsia" w:ascii="宋体" w:hAnsi="宋体" w:eastAsia="宋体" w:cs="宋体"/>
          <w:color w:val="auto"/>
          <w:kern w:val="2"/>
          <w:sz w:val="21"/>
          <w:szCs w:val="21"/>
          <w:highlight w:val="none"/>
        </w:rPr>
        <w:t>G</w:t>
      </w:r>
      <w:r>
        <w:rPr>
          <w:rFonts w:hint="eastAsia" w:ascii="宋体" w:hAnsi="宋体" w:eastAsia="宋体" w:cs="宋体"/>
          <w:color w:val="auto"/>
          <w:kern w:val="2"/>
          <w:sz w:val="21"/>
          <w:szCs w:val="21"/>
          <w:highlight w:val="none"/>
          <w:lang w:val="en-US" w:eastAsia="zh-CN"/>
        </w:rPr>
        <w:t>通讯模块</w:t>
      </w:r>
      <w:r>
        <w:rPr>
          <w:rFonts w:hint="eastAsia" w:ascii="宋体" w:hAnsi="宋体" w:eastAsia="宋体" w:cs="宋体"/>
          <w:color w:val="auto"/>
          <w:kern w:val="2"/>
          <w:sz w:val="21"/>
          <w:szCs w:val="21"/>
          <w:highlight w:val="none"/>
        </w:rPr>
        <w:t>通讯，项目通电并网后</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w:t>
      </w:r>
      <w:r>
        <w:rPr>
          <w:rFonts w:hint="eastAsia" w:ascii="宋体" w:hAnsi="宋体" w:eastAsia="宋体" w:cs="宋体"/>
          <w:color w:val="auto"/>
          <w:kern w:val="2"/>
          <w:sz w:val="21"/>
          <w:szCs w:val="21"/>
          <w:highlight w:val="none"/>
        </w:rPr>
        <w:t>负责</w:t>
      </w:r>
      <w:r>
        <w:rPr>
          <w:rFonts w:hint="eastAsia" w:ascii="宋体" w:hAnsi="宋体" w:eastAsia="宋体" w:cs="宋体"/>
          <w:color w:val="auto"/>
          <w:kern w:val="2"/>
          <w:sz w:val="21"/>
          <w:szCs w:val="21"/>
          <w:highlight w:val="none"/>
          <w:lang w:val="en-US" w:eastAsia="zh-CN"/>
        </w:rPr>
        <w:t>为运营部门运维人员</w:t>
      </w:r>
      <w:r>
        <w:rPr>
          <w:rFonts w:hint="eastAsia" w:ascii="宋体" w:hAnsi="宋体" w:eastAsia="宋体" w:cs="宋体"/>
          <w:color w:val="auto"/>
          <w:kern w:val="2"/>
          <w:sz w:val="21"/>
          <w:szCs w:val="21"/>
          <w:highlight w:val="none"/>
        </w:rPr>
        <w:t>注册APP监控软件，并将光伏电站现场实时监测数据联通传送至东莞市新锋新能源有限公司数据控制中心PC端，实现集中监控。</w:t>
      </w:r>
    </w:p>
    <w:p w14:paraId="3094C76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并网逆变器的设计与配置必须满足南网及</w:t>
      </w:r>
      <w:r>
        <w:rPr>
          <w:rFonts w:hint="eastAsia" w:ascii="宋体" w:hAnsi="宋体" w:eastAsia="宋体" w:cs="宋体"/>
          <w:color w:val="auto"/>
          <w:kern w:val="2"/>
          <w:sz w:val="21"/>
          <w:szCs w:val="21"/>
          <w:highlight w:val="none"/>
        </w:rPr>
        <w:t>当地供电部门</w:t>
      </w:r>
      <w:r>
        <w:rPr>
          <w:rFonts w:hint="eastAsia" w:ascii="宋体" w:hAnsi="宋体" w:eastAsia="宋体" w:cs="宋体"/>
          <w:color w:val="auto"/>
          <w:kern w:val="2"/>
          <w:sz w:val="21"/>
          <w:szCs w:val="21"/>
          <w:highlight w:val="none"/>
          <w:lang w:val="en-US" w:eastAsia="zh-CN"/>
        </w:rPr>
        <w:t>对</w:t>
      </w:r>
      <w:r>
        <w:rPr>
          <w:rFonts w:hint="eastAsia" w:ascii="宋体" w:hAnsi="宋体" w:eastAsia="宋体" w:cs="宋体"/>
          <w:color w:val="auto"/>
          <w:kern w:val="2"/>
          <w:sz w:val="21"/>
          <w:szCs w:val="21"/>
          <w:highlight w:val="none"/>
        </w:rPr>
        <w:t>分布式光伏发电</w:t>
      </w:r>
      <w:r>
        <w:rPr>
          <w:rFonts w:hint="eastAsia" w:ascii="宋体" w:hAnsi="宋体" w:eastAsia="宋体" w:cs="宋体"/>
          <w:color w:val="auto"/>
          <w:kern w:val="2"/>
          <w:sz w:val="21"/>
          <w:szCs w:val="21"/>
          <w:highlight w:val="none"/>
          <w:lang w:val="en-US" w:eastAsia="zh-CN"/>
        </w:rPr>
        <w:t>项目并网所</w:t>
      </w:r>
      <w:r>
        <w:rPr>
          <w:rFonts w:hint="eastAsia" w:ascii="宋体" w:hAnsi="宋体" w:eastAsia="宋体" w:cs="宋体"/>
          <w:color w:val="auto"/>
          <w:kern w:val="2"/>
          <w:sz w:val="21"/>
          <w:szCs w:val="21"/>
          <w:highlight w:val="none"/>
        </w:rPr>
        <w:t>具备</w:t>
      </w:r>
      <w:r>
        <w:rPr>
          <w:rFonts w:hint="eastAsia" w:ascii="宋体" w:hAnsi="宋体" w:eastAsia="宋体" w:cs="宋体"/>
          <w:color w:val="auto"/>
          <w:kern w:val="2"/>
          <w:sz w:val="21"/>
          <w:szCs w:val="21"/>
          <w:highlight w:val="none"/>
          <w:lang w:val="en-US" w:eastAsia="zh-CN"/>
        </w:rPr>
        <w:t>的</w:t>
      </w:r>
      <w:r>
        <w:rPr>
          <w:rFonts w:hint="eastAsia" w:ascii="宋体" w:hAnsi="宋体" w:eastAsia="宋体" w:cs="宋体"/>
          <w:b/>
          <w:bCs/>
          <w:color w:val="auto"/>
          <w:kern w:val="2"/>
          <w:sz w:val="21"/>
          <w:szCs w:val="21"/>
          <w:highlight w:val="none"/>
        </w:rPr>
        <w:t>“四可”</w:t>
      </w:r>
      <w:r>
        <w:rPr>
          <w:rFonts w:hint="eastAsia" w:ascii="宋体" w:hAnsi="宋体" w:eastAsia="宋体" w:cs="宋体"/>
          <w:color w:val="auto"/>
          <w:kern w:val="2"/>
          <w:sz w:val="21"/>
          <w:szCs w:val="21"/>
          <w:highlight w:val="none"/>
        </w:rPr>
        <w:t>（可观、可测、可调、可控）能力</w:t>
      </w:r>
      <w:r>
        <w:rPr>
          <w:rFonts w:hint="eastAsia" w:ascii="宋体" w:hAnsi="宋体" w:eastAsia="宋体" w:cs="宋体"/>
          <w:color w:val="auto"/>
          <w:kern w:val="2"/>
          <w:sz w:val="21"/>
          <w:szCs w:val="21"/>
          <w:highlight w:val="none"/>
          <w:lang w:val="en-US" w:eastAsia="zh-CN"/>
        </w:rPr>
        <w:t>的要求</w:t>
      </w:r>
      <w:r>
        <w:rPr>
          <w:rFonts w:hint="eastAsia" w:ascii="宋体" w:hAnsi="宋体" w:eastAsia="宋体" w:cs="宋体"/>
          <w:color w:val="auto"/>
          <w:kern w:val="2"/>
          <w:sz w:val="21"/>
          <w:szCs w:val="21"/>
          <w:highlight w:val="none"/>
        </w:rPr>
        <w:t>。</w:t>
      </w:r>
    </w:p>
    <w:p w14:paraId="633B597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rPr>
        <w:t>）并网逆变器</w:t>
      </w:r>
      <w:r>
        <w:rPr>
          <w:rFonts w:hint="eastAsia" w:ascii="宋体" w:hAnsi="宋体" w:eastAsia="宋体" w:cs="宋体"/>
          <w:color w:val="auto"/>
          <w:kern w:val="2"/>
          <w:sz w:val="21"/>
          <w:szCs w:val="21"/>
          <w:highlight w:val="none"/>
          <w:lang w:val="en-US" w:eastAsia="zh-CN"/>
        </w:rPr>
        <w:t>安装完毕后贴上附有“东莞能源”LOGO的标签</w:t>
      </w:r>
      <w:r>
        <w:rPr>
          <w:rFonts w:hint="eastAsia" w:ascii="宋体" w:hAnsi="宋体" w:eastAsia="宋体" w:cs="宋体"/>
          <w:color w:val="auto"/>
          <w:kern w:val="2"/>
          <w:sz w:val="21"/>
          <w:szCs w:val="21"/>
          <w:highlight w:val="none"/>
        </w:rPr>
        <w:t>。</w:t>
      </w:r>
    </w:p>
    <w:p w14:paraId="6BC15A42">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）并网逆变器推荐厂家品牌：</w:t>
      </w:r>
      <w:r>
        <w:rPr>
          <w:rFonts w:hint="eastAsia" w:ascii="宋体" w:hAnsi="宋体" w:eastAsia="宋体" w:cs="宋体"/>
          <w:color w:val="auto"/>
          <w:kern w:val="2"/>
          <w:sz w:val="21"/>
          <w:szCs w:val="21"/>
          <w:highlight w:val="none"/>
          <w:lang w:val="en-US" w:eastAsia="zh-CN"/>
        </w:rPr>
        <w:t>优先考虑</w:t>
      </w:r>
      <w:r>
        <w:rPr>
          <w:rFonts w:hint="eastAsia" w:ascii="宋体" w:hAnsi="宋体" w:eastAsia="宋体" w:cs="宋体"/>
          <w:color w:val="auto"/>
          <w:kern w:val="2"/>
          <w:sz w:val="21"/>
          <w:szCs w:val="21"/>
          <w:highlight w:val="none"/>
        </w:rPr>
        <w:t>华为、阳光电源与古瑞瓦特或具备同等质量的品牌。</w:t>
      </w:r>
    </w:p>
    <w:p w14:paraId="75708C1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5.交流汇流箱技术要求</w:t>
      </w:r>
    </w:p>
    <w:p w14:paraId="53CADD3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（1）产品质保不少于2年，在投标文件中提供质保说明书。</w:t>
      </w:r>
    </w:p>
    <w:p w14:paraId="7D2C468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（2）电气元件应使用国际国内知名品牌，汇流箱与电气元件均具备国内3C认证。</w:t>
      </w:r>
    </w:p>
    <w:p w14:paraId="65E099F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（3）内置漏电保护和浪涌保护，采用交直II级防雷保护，整体符合国家相关标准。</w:t>
      </w:r>
    </w:p>
    <w:p w14:paraId="6C7EE99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（4）箱体的防护等级不低于IP65，适合户外安装，满足防水、防尘、防紫外线、防盐雾、耐腐蚀等，安装位置干燥、通风良好。</w:t>
      </w:r>
    </w:p>
    <w:p w14:paraId="647EC2D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（5）箱体采用冷扎钢板制作，钢板的厚度≥1.5mm，经过静电喷塑处理，内部全部的金属结构都需经过防腐处理，内外表面平整、光洁，无锈蚀、涂层脱落和磕碰损伤现象。</w:t>
      </w:r>
    </w:p>
    <w:p w14:paraId="2D4DEDF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（6）箱体内部结构具有足够的机械强度，保证元器件安装后及操作时无摇晃、不变形；元器件安装走线应整齐、可靠、合理布置；电器间绝缘应符合国家有关标准，进出线必须通过接线端子。</w:t>
      </w:r>
    </w:p>
    <w:p w14:paraId="5D00BA86">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（7）箱体内应该针对接入的设备及线路，拥有明显的电气开断元件，能够确保检修时能够逐级断开系统，每个汇流箱必须给出一次及二次接线图。</w:t>
      </w:r>
    </w:p>
    <w:p w14:paraId="3C1B2A52">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（8）为避免烈日暴晒或雨淋，交流汇流箱须安装遮阳棚</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遮阳棚尺寸超出汇流箱正面、侧面各0.5m，背部增加挡雨板（靠墙安装不需要）</w:t>
      </w:r>
      <w:r>
        <w:rPr>
          <w:rFonts w:hint="eastAsia" w:ascii="宋体" w:hAnsi="宋体" w:eastAsia="宋体" w:cs="宋体"/>
          <w:color w:val="auto"/>
          <w:kern w:val="2"/>
          <w:sz w:val="21"/>
          <w:szCs w:val="21"/>
          <w:highlight w:val="none"/>
        </w:rPr>
        <w:t>。</w:t>
      </w:r>
    </w:p>
    <w:p w14:paraId="07F63FE6">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交流汇流箱</w:t>
      </w:r>
      <w:r>
        <w:rPr>
          <w:rFonts w:hint="eastAsia" w:ascii="宋体" w:hAnsi="宋体" w:eastAsia="宋体" w:cs="宋体"/>
          <w:color w:val="auto"/>
          <w:kern w:val="2"/>
          <w:sz w:val="21"/>
          <w:szCs w:val="21"/>
          <w:highlight w:val="none"/>
        </w:rPr>
        <w:t>的布置要留有足够的空间</w:t>
      </w:r>
      <w:r>
        <w:rPr>
          <w:rFonts w:hint="eastAsia" w:ascii="宋体" w:hAnsi="宋体" w:eastAsia="宋体" w:cs="宋体"/>
          <w:color w:val="auto"/>
          <w:kern w:val="2"/>
          <w:sz w:val="21"/>
          <w:szCs w:val="21"/>
          <w:highlight w:val="none"/>
          <w:lang w:val="en-US" w:eastAsia="zh-CN"/>
        </w:rPr>
        <w:t>同时离地安装高度要合适，以便运维操作</w:t>
      </w:r>
      <w:r>
        <w:rPr>
          <w:rFonts w:hint="eastAsia" w:ascii="宋体" w:hAnsi="宋体" w:eastAsia="宋体" w:cs="宋体"/>
          <w:color w:val="auto"/>
          <w:kern w:val="2"/>
          <w:sz w:val="21"/>
          <w:szCs w:val="21"/>
          <w:highlight w:val="none"/>
        </w:rPr>
        <w:t>。</w:t>
      </w:r>
    </w:p>
    <w:p w14:paraId="2B1FC4E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交流汇流箱安装完毕后贴上附有“东莞能源”LOGO的标签</w:t>
      </w:r>
      <w:r>
        <w:rPr>
          <w:rFonts w:hint="eastAsia" w:ascii="宋体" w:hAnsi="宋体" w:eastAsia="宋体" w:cs="宋体"/>
          <w:color w:val="auto"/>
          <w:kern w:val="2"/>
          <w:sz w:val="21"/>
          <w:szCs w:val="21"/>
          <w:highlight w:val="none"/>
        </w:rPr>
        <w:t>。</w:t>
      </w:r>
    </w:p>
    <w:p w14:paraId="0723C50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（11）开关、真空断路器推荐厂家品牌：常熟、良信、上海人民或同等及以上的品牌。</w:t>
      </w:r>
    </w:p>
    <w:p w14:paraId="67DEDD4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6.光伏并网柜技术要求</w:t>
      </w:r>
    </w:p>
    <w:p w14:paraId="656CE66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（1）产品质保不少于2年，在投标文件中提供质保说明书。</w:t>
      </w:r>
    </w:p>
    <w:p w14:paraId="5E82327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（2）电气元件应使用国际国内知名品牌，</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并网柜与电气元件均具备国内3C认证。</w:t>
      </w:r>
    </w:p>
    <w:p w14:paraId="2F0366F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并网柜具备被动孤岛检测、有压自动重合闸、失压</w:t>
      </w:r>
      <w:r>
        <w:rPr>
          <w:rFonts w:hint="eastAsia" w:ascii="宋体" w:hAnsi="宋体" w:eastAsia="宋体" w:cs="宋体"/>
          <w:color w:val="auto"/>
          <w:kern w:val="2"/>
          <w:sz w:val="21"/>
          <w:szCs w:val="21"/>
          <w:highlight w:val="none"/>
          <w:lang w:val="en-US" w:eastAsia="zh-CN"/>
        </w:rPr>
        <w:t>脱扣</w:t>
      </w:r>
      <w:r>
        <w:rPr>
          <w:rFonts w:hint="eastAsia" w:ascii="宋体" w:hAnsi="宋体" w:eastAsia="宋体" w:cs="宋体"/>
          <w:color w:val="auto"/>
          <w:kern w:val="2"/>
          <w:sz w:val="21"/>
          <w:szCs w:val="21"/>
          <w:highlight w:val="none"/>
        </w:rPr>
        <w:t>、过欠压保护、过电流保护、防雷保护、短路保护、高低频保护、防孤岛保护等基本功能，</w:t>
      </w:r>
      <w:r>
        <w:rPr>
          <w:rFonts w:hint="eastAsia" w:ascii="宋体" w:hAnsi="宋体" w:eastAsia="宋体" w:cs="宋体"/>
          <w:color w:val="auto"/>
          <w:kern w:val="2"/>
          <w:sz w:val="21"/>
          <w:szCs w:val="21"/>
          <w:highlight w:val="none"/>
          <w:lang w:val="en-US" w:eastAsia="zh-CN"/>
        </w:rPr>
        <w:t>同时需要加装电气连锁</w:t>
      </w:r>
      <w:r>
        <w:rPr>
          <w:rFonts w:hint="eastAsia" w:ascii="宋体" w:hAnsi="宋体" w:eastAsia="宋体" w:cs="宋体"/>
          <w:color w:val="auto"/>
          <w:kern w:val="2"/>
          <w:sz w:val="21"/>
          <w:szCs w:val="21"/>
          <w:highlight w:val="none"/>
        </w:rPr>
        <w:t>。若当地供电部门要求，还需配置逆功率保护。</w:t>
      </w:r>
    </w:p>
    <w:p w14:paraId="0BD82DB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w:t>
      </w:r>
      <w:r>
        <w:rPr>
          <w:rFonts w:hint="eastAsia" w:ascii="宋体" w:hAnsi="宋体" w:eastAsia="宋体" w:cs="宋体"/>
          <w:color w:val="auto"/>
          <w:kern w:val="2"/>
          <w:sz w:val="21"/>
          <w:szCs w:val="21"/>
          <w:highlight w:val="none"/>
          <w:lang w:val="en-US" w:eastAsia="zh-CN"/>
        </w:rPr>
        <w:t>的设计与配置必须满足南网及</w:t>
      </w:r>
      <w:r>
        <w:rPr>
          <w:rFonts w:hint="eastAsia" w:ascii="宋体" w:hAnsi="宋体" w:eastAsia="宋体" w:cs="宋体"/>
          <w:color w:val="auto"/>
          <w:kern w:val="2"/>
          <w:sz w:val="21"/>
          <w:szCs w:val="21"/>
          <w:highlight w:val="none"/>
        </w:rPr>
        <w:t>当地供电部门</w:t>
      </w:r>
      <w:r>
        <w:rPr>
          <w:rFonts w:hint="eastAsia" w:ascii="宋体" w:hAnsi="宋体" w:eastAsia="宋体" w:cs="宋体"/>
          <w:color w:val="auto"/>
          <w:kern w:val="2"/>
          <w:sz w:val="21"/>
          <w:szCs w:val="21"/>
          <w:highlight w:val="none"/>
          <w:lang w:val="en-US" w:eastAsia="zh-CN"/>
        </w:rPr>
        <w:t>对</w:t>
      </w:r>
      <w:r>
        <w:rPr>
          <w:rFonts w:hint="eastAsia" w:ascii="宋体" w:hAnsi="宋体" w:eastAsia="宋体" w:cs="宋体"/>
          <w:color w:val="auto"/>
          <w:kern w:val="2"/>
          <w:sz w:val="21"/>
          <w:szCs w:val="21"/>
          <w:highlight w:val="none"/>
        </w:rPr>
        <w:t>分布式光伏发电</w:t>
      </w:r>
      <w:r>
        <w:rPr>
          <w:rFonts w:hint="eastAsia" w:ascii="宋体" w:hAnsi="宋体" w:eastAsia="宋体" w:cs="宋体"/>
          <w:color w:val="auto"/>
          <w:kern w:val="2"/>
          <w:sz w:val="21"/>
          <w:szCs w:val="21"/>
          <w:highlight w:val="none"/>
          <w:lang w:val="en-US" w:eastAsia="zh-CN"/>
        </w:rPr>
        <w:t>项目并网所</w:t>
      </w:r>
      <w:r>
        <w:rPr>
          <w:rFonts w:hint="eastAsia" w:ascii="宋体" w:hAnsi="宋体" w:eastAsia="宋体" w:cs="宋体"/>
          <w:color w:val="auto"/>
          <w:kern w:val="2"/>
          <w:sz w:val="21"/>
          <w:szCs w:val="21"/>
          <w:highlight w:val="none"/>
        </w:rPr>
        <w:t>具备</w:t>
      </w:r>
      <w:r>
        <w:rPr>
          <w:rFonts w:hint="eastAsia" w:ascii="宋体" w:hAnsi="宋体" w:eastAsia="宋体" w:cs="宋体"/>
          <w:color w:val="auto"/>
          <w:kern w:val="2"/>
          <w:sz w:val="21"/>
          <w:szCs w:val="21"/>
          <w:highlight w:val="none"/>
          <w:lang w:val="en-US" w:eastAsia="zh-CN"/>
        </w:rPr>
        <w:t>的</w:t>
      </w:r>
      <w:r>
        <w:rPr>
          <w:rFonts w:hint="eastAsia" w:ascii="宋体" w:hAnsi="宋体" w:eastAsia="宋体" w:cs="宋体"/>
          <w:b/>
          <w:bCs/>
          <w:color w:val="auto"/>
          <w:kern w:val="2"/>
          <w:sz w:val="21"/>
          <w:szCs w:val="21"/>
          <w:highlight w:val="none"/>
        </w:rPr>
        <w:t>“四可”</w:t>
      </w:r>
      <w:r>
        <w:rPr>
          <w:rFonts w:hint="eastAsia" w:ascii="宋体" w:hAnsi="宋体" w:eastAsia="宋体" w:cs="宋体"/>
          <w:color w:val="auto"/>
          <w:kern w:val="2"/>
          <w:sz w:val="21"/>
          <w:szCs w:val="21"/>
          <w:highlight w:val="none"/>
        </w:rPr>
        <w:t>（可观、可测、可调、可控）能力</w:t>
      </w:r>
      <w:r>
        <w:rPr>
          <w:rFonts w:hint="eastAsia" w:ascii="宋体" w:hAnsi="宋体" w:eastAsia="宋体" w:cs="宋体"/>
          <w:color w:val="auto"/>
          <w:kern w:val="2"/>
          <w:sz w:val="21"/>
          <w:szCs w:val="21"/>
          <w:highlight w:val="none"/>
          <w:lang w:val="en-US" w:eastAsia="zh-CN"/>
        </w:rPr>
        <w:t>的要求</w:t>
      </w:r>
      <w:r>
        <w:rPr>
          <w:rFonts w:hint="eastAsia" w:ascii="宋体" w:hAnsi="宋体" w:eastAsia="宋体" w:cs="宋体"/>
          <w:color w:val="auto"/>
          <w:kern w:val="2"/>
          <w:sz w:val="21"/>
          <w:szCs w:val="21"/>
          <w:highlight w:val="none"/>
        </w:rPr>
        <w:t>。</w:t>
      </w:r>
    </w:p>
    <w:p w14:paraId="2EF296D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必须设置</w:t>
      </w:r>
      <w:r>
        <w:rPr>
          <w:rFonts w:hint="eastAsia" w:ascii="宋体" w:hAnsi="宋体" w:eastAsia="宋体" w:cs="宋体"/>
          <w:b/>
          <w:bCs/>
          <w:color w:val="auto"/>
          <w:kern w:val="2"/>
          <w:sz w:val="21"/>
          <w:szCs w:val="21"/>
          <w:highlight w:val="none"/>
          <w:lang w:val="en-US" w:eastAsia="zh-CN"/>
        </w:rPr>
        <w:t>隔离开关</w:t>
      </w:r>
      <w:r>
        <w:rPr>
          <w:rFonts w:hint="eastAsia" w:ascii="宋体" w:hAnsi="宋体" w:eastAsia="宋体" w:cs="宋体"/>
          <w:color w:val="auto"/>
          <w:kern w:val="2"/>
          <w:sz w:val="21"/>
          <w:szCs w:val="21"/>
          <w:highlight w:val="none"/>
          <w:lang w:val="en-US" w:eastAsia="zh-CN"/>
        </w:rPr>
        <w:t>（设在并网柜市电侧），用于检测断路器被动孤岛检测、有压自动重合闸、失压脱扣等功能</w:t>
      </w:r>
      <w:r>
        <w:rPr>
          <w:rFonts w:hint="eastAsia" w:ascii="宋体" w:hAnsi="宋体" w:eastAsia="宋体" w:cs="宋体"/>
          <w:color w:val="auto"/>
          <w:kern w:val="2"/>
          <w:sz w:val="21"/>
          <w:szCs w:val="21"/>
          <w:highlight w:val="none"/>
        </w:rPr>
        <w:t>。</w:t>
      </w:r>
    </w:p>
    <w:p w14:paraId="303CA86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必须设置</w:t>
      </w:r>
      <w:r>
        <w:rPr>
          <w:rFonts w:hint="eastAsia" w:ascii="宋体" w:hAnsi="宋体" w:eastAsia="宋体" w:cs="宋体"/>
          <w:b/>
          <w:bCs/>
          <w:color w:val="auto"/>
          <w:kern w:val="2"/>
          <w:sz w:val="21"/>
          <w:szCs w:val="21"/>
          <w:highlight w:val="none"/>
          <w:lang w:val="en-US" w:eastAsia="zh-CN"/>
        </w:rPr>
        <w:t>继电保护装置</w:t>
      </w:r>
      <w:r>
        <w:rPr>
          <w:rFonts w:hint="eastAsia" w:ascii="宋体" w:hAnsi="宋体" w:eastAsia="宋体" w:cs="宋体"/>
          <w:color w:val="auto"/>
          <w:kern w:val="2"/>
          <w:sz w:val="21"/>
          <w:szCs w:val="21"/>
          <w:highlight w:val="none"/>
          <w:lang w:val="en-US" w:eastAsia="zh-CN"/>
        </w:rPr>
        <w:t>，起到限流速断等作用</w:t>
      </w:r>
      <w:r>
        <w:rPr>
          <w:rFonts w:hint="eastAsia" w:ascii="宋体" w:hAnsi="宋体" w:eastAsia="宋体" w:cs="宋体"/>
          <w:color w:val="auto"/>
          <w:kern w:val="2"/>
          <w:sz w:val="21"/>
          <w:szCs w:val="21"/>
          <w:highlight w:val="none"/>
        </w:rPr>
        <w:t>。</w:t>
      </w:r>
    </w:p>
    <w:p w14:paraId="0D8E091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光伏并网柜可以加装计量仓，计量仓带铅封装置，可以有效防止窃电。计量仓内可以安装计量装置和负控装置(一般当地供电局提供)，能很好的记录发电量情况，计量表具备双向计量功能，计量电表数据均接入到监控系统后台</w:t>
      </w:r>
      <w:r>
        <w:rPr>
          <w:rFonts w:hint="eastAsia" w:ascii="宋体" w:hAnsi="宋体" w:eastAsia="宋体" w:cs="宋体"/>
          <w:color w:val="auto"/>
          <w:kern w:val="2"/>
          <w:sz w:val="21"/>
          <w:szCs w:val="21"/>
          <w:highlight w:val="none"/>
          <w:lang w:eastAsia="zh-CN"/>
        </w:rPr>
        <w:t>，</w:t>
      </w:r>
      <w:r>
        <w:rPr>
          <w:rFonts w:hint="eastAsia" w:ascii="宋体" w:hAnsi="宋体" w:eastAsia="宋体" w:cs="宋体"/>
          <w:b/>
          <w:bCs/>
          <w:color w:val="auto"/>
          <w:kern w:val="2"/>
          <w:sz w:val="21"/>
          <w:szCs w:val="21"/>
          <w:highlight w:val="none"/>
          <w:lang w:eastAsia="zh-CN"/>
        </w:rPr>
        <w:t>注意计量仓观察窗口不得遮挡计量电表</w:t>
      </w:r>
      <w:r>
        <w:rPr>
          <w:rFonts w:hint="eastAsia" w:ascii="宋体" w:hAnsi="宋体" w:eastAsia="宋体" w:cs="宋体"/>
          <w:b/>
          <w:bCs/>
          <w:color w:val="auto"/>
          <w:kern w:val="2"/>
          <w:sz w:val="21"/>
          <w:szCs w:val="21"/>
          <w:highlight w:val="none"/>
        </w:rPr>
        <w:t>。</w:t>
      </w:r>
    </w:p>
    <w:p w14:paraId="69CFB82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）柜体的防护等级不低于IP30，配电房内安装，柜型按照原有配电房开关柜定做，整体符合国家相关标准</w:t>
      </w:r>
      <w:r>
        <w:rPr>
          <w:rFonts w:hint="eastAsia" w:ascii="宋体" w:hAnsi="宋体" w:eastAsia="宋体" w:cs="宋体"/>
          <w:color w:val="auto"/>
          <w:kern w:val="2"/>
          <w:sz w:val="21"/>
          <w:szCs w:val="21"/>
          <w:highlight w:val="none"/>
          <w:lang w:val="en-US" w:eastAsia="zh-CN"/>
        </w:rPr>
        <w:t>并通过当地供电部门验收</w:t>
      </w:r>
      <w:r>
        <w:rPr>
          <w:rFonts w:hint="eastAsia" w:ascii="宋体" w:hAnsi="宋体" w:eastAsia="宋体" w:cs="宋体"/>
          <w:color w:val="auto"/>
          <w:kern w:val="2"/>
          <w:sz w:val="21"/>
          <w:szCs w:val="21"/>
          <w:highlight w:val="none"/>
        </w:rPr>
        <w:t>。</w:t>
      </w:r>
    </w:p>
    <w:p w14:paraId="7333D79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必须加装</w:t>
      </w:r>
      <w:r>
        <w:rPr>
          <w:rFonts w:hint="eastAsia" w:ascii="宋体" w:hAnsi="宋体" w:eastAsia="宋体" w:cs="宋体"/>
          <w:b/>
          <w:bCs/>
          <w:color w:val="auto"/>
          <w:kern w:val="2"/>
          <w:sz w:val="21"/>
          <w:szCs w:val="21"/>
          <w:highlight w:val="none"/>
          <w:lang w:val="en-US" w:eastAsia="zh-CN"/>
        </w:rPr>
        <w:t>镀锌槽钢底座</w:t>
      </w:r>
      <w:r>
        <w:rPr>
          <w:rFonts w:hint="eastAsia" w:ascii="宋体" w:hAnsi="宋体" w:eastAsia="宋体" w:cs="宋体"/>
          <w:color w:val="auto"/>
          <w:kern w:val="2"/>
          <w:sz w:val="21"/>
          <w:szCs w:val="21"/>
          <w:highlight w:val="none"/>
          <w:lang w:val="en-US" w:eastAsia="zh-CN"/>
        </w:rPr>
        <w:t>，安装处必须</w:t>
      </w:r>
      <w:r>
        <w:rPr>
          <w:rFonts w:hint="eastAsia" w:ascii="宋体" w:hAnsi="宋体" w:eastAsia="宋体" w:cs="宋体"/>
          <w:color w:val="auto"/>
          <w:kern w:val="2"/>
          <w:sz w:val="21"/>
          <w:szCs w:val="21"/>
          <w:highlight w:val="none"/>
        </w:rPr>
        <w:t>留有足够的</w:t>
      </w:r>
      <w:r>
        <w:rPr>
          <w:rFonts w:hint="eastAsia" w:ascii="宋体" w:hAnsi="宋体" w:eastAsia="宋体" w:cs="宋体"/>
          <w:color w:val="auto"/>
          <w:kern w:val="2"/>
          <w:sz w:val="21"/>
          <w:szCs w:val="21"/>
          <w:highlight w:val="none"/>
          <w:lang w:val="en-US" w:eastAsia="zh-CN"/>
        </w:rPr>
        <w:t>运维检修</w:t>
      </w:r>
      <w:r>
        <w:rPr>
          <w:rFonts w:hint="eastAsia" w:ascii="宋体" w:hAnsi="宋体" w:eastAsia="宋体" w:cs="宋体"/>
          <w:color w:val="auto"/>
          <w:kern w:val="2"/>
          <w:sz w:val="21"/>
          <w:szCs w:val="21"/>
          <w:highlight w:val="none"/>
        </w:rPr>
        <w:t>空间</w:t>
      </w:r>
      <w:r>
        <w:rPr>
          <w:rFonts w:hint="eastAsia" w:ascii="宋体" w:hAnsi="宋体" w:eastAsia="宋体" w:cs="宋体"/>
          <w:color w:val="auto"/>
          <w:kern w:val="2"/>
          <w:sz w:val="21"/>
          <w:szCs w:val="21"/>
          <w:highlight w:val="none"/>
          <w:lang w:val="en-US" w:eastAsia="zh-CN"/>
        </w:rPr>
        <w:t>且光线充足，方便后期运维操作</w:t>
      </w:r>
      <w:r>
        <w:rPr>
          <w:rFonts w:hint="eastAsia" w:ascii="宋体" w:hAnsi="宋体" w:eastAsia="宋体" w:cs="宋体"/>
          <w:color w:val="auto"/>
          <w:kern w:val="2"/>
          <w:sz w:val="21"/>
          <w:szCs w:val="21"/>
          <w:highlight w:val="none"/>
        </w:rPr>
        <w:t>。</w:t>
      </w:r>
    </w:p>
    <w:p w14:paraId="350B995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）柜体采用冷扎钢板制作，钢板的厚度≥1.5mm，经过静电喷塑处理，内部全部的金属结构都需经过防腐处理，内外表面平整、光洁，无锈蚀、涂层脱落和磕碰损伤现象。</w:t>
      </w:r>
    </w:p>
    <w:p w14:paraId="0B5130F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）柜体内部结构具有足够的机械强度，保证元器件安装后及操作时无摇晃、不变形；元器件安装走线应整齐、可靠、合理布置；电器间绝缘应符合国家有关标准，进出线必须通过接线端子。</w:t>
      </w:r>
    </w:p>
    <w:p w14:paraId="78EC31F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每个</w:t>
      </w:r>
      <w:r>
        <w:rPr>
          <w:rFonts w:hint="eastAsia" w:ascii="宋体" w:hAnsi="宋体" w:eastAsia="宋体" w:cs="宋体"/>
          <w:color w:val="auto"/>
          <w:kern w:val="2"/>
          <w:sz w:val="21"/>
          <w:szCs w:val="21"/>
          <w:highlight w:val="none"/>
        </w:rPr>
        <w:t>光伏出线回路</w:t>
      </w:r>
      <w:r>
        <w:rPr>
          <w:rFonts w:hint="eastAsia" w:ascii="宋体" w:hAnsi="宋体" w:eastAsia="宋体" w:cs="宋体"/>
          <w:color w:val="auto"/>
          <w:kern w:val="2"/>
          <w:sz w:val="21"/>
          <w:szCs w:val="21"/>
          <w:highlight w:val="none"/>
          <w:lang w:val="en-US" w:eastAsia="zh-CN"/>
        </w:rPr>
        <w:t>需</w:t>
      </w:r>
      <w:r>
        <w:rPr>
          <w:rFonts w:hint="eastAsia" w:ascii="宋体" w:hAnsi="宋体" w:eastAsia="宋体" w:cs="宋体"/>
          <w:color w:val="auto"/>
          <w:kern w:val="2"/>
          <w:sz w:val="21"/>
          <w:szCs w:val="21"/>
          <w:highlight w:val="none"/>
        </w:rPr>
        <w:t>电流表、电压表。</w:t>
      </w:r>
    </w:p>
    <w:p w14:paraId="3E5A555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rPr>
        <w:t>）单个光伏并网柜并网容量是否能超过400kW请与</w:t>
      </w:r>
      <w:r>
        <w:rPr>
          <w:rFonts w:hint="eastAsia" w:ascii="宋体" w:hAnsi="宋体" w:eastAsia="宋体" w:cs="宋体"/>
          <w:color w:val="auto"/>
          <w:kern w:val="2"/>
          <w:sz w:val="21"/>
          <w:szCs w:val="21"/>
          <w:highlight w:val="none"/>
          <w:lang w:val="en-US" w:eastAsia="zh-CN"/>
        </w:rPr>
        <w:t>当地供电部门</w:t>
      </w:r>
      <w:r>
        <w:rPr>
          <w:rFonts w:hint="eastAsia" w:ascii="宋体" w:hAnsi="宋体" w:eastAsia="宋体" w:cs="宋体"/>
          <w:color w:val="auto"/>
          <w:kern w:val="2"/>
          <w:sz w:val="21"/>
          <w:szCs w:val="21"/>
          <w:highlight w:val="none"/>
        </w:rPr>
        <w:t>确认清楚</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当</w:t>
      </w:r>
      <w:r>
        <w:rPr>
          <w:rFonts w:hint="eastAsia" w:ascii="宋体" w:hAnsi="宋体" w:eastAsia="宋体" w:cs="宋体"/>
          <w:color w:val="auto"/>
          <w:kern w:val="2"/>
          <w:sz w:val="21"/>
          <w:szCs w:val="21"/>
          <w:highlight w:val="none"/>
        </w:rPr>
        <w:t>光伏并网柜并网容量超过</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00kW</w:t>
      </w:r>
      <w:r>
        <w:rPr>
          <w:rFonts w:hint="eastAsia" w:ascii="宋体" w:hAnsi="宋体" w:eastAsia="宋体" w:cs="宋体"/>
          <w:color w:val="auto"/>
          <w:kern w:val="2"/>
          <w:sz w:val="21"/>
          <w:szCs w:val="21"/>
          <w:highlight w:val="none"/>
          <w:lang w:val="en-US" w:eastAsia="zh-CN"/>
        </w:rPr>
        <w:t>时，除铜排拼柜外必须采用封闭式铜母线槽，严禁采用电缆</w:t>
      </w:r>
      <w:r>
        <w:rPr>
          <w:rFonts w:hint="eastAsia" w:ascii="宋体" w:hAnsi="宋体" w:eastAsia="宋体" w:cs="宋体"/>
          <w:color w:val="auto"/>
          <w:kern w:val="2"/>
          <w:sz w:val="21"/>
          <w:szCs w:val="21"/>
          <w:highlight w:val="none"/>
        </w:rPr>
        <w:t>；</w:t>
      </w:r>
    </w:p>
    <w:p w14:paraId="5164B86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）柜体内应该针对接入的设备及线路，拥有明显的电气开断元件，能够确保检修时能够逐级断开系统，每个</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并网柜必须给出一次及二次接线图。</w:t>
      </w:r>
    </w:p>
    <w:p w14:paraId="3A8B9D4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15</w:t>
      </w:r>
      <w:r>
        <w:rPr>
          <w:rFonts w:hint="eastAsia" w:ascii="宋体" w:hAnsi="宋体" w:eastAsia="宋体" w:cs="宋体"/>
          <w:color w:val="auto"/>
          <w:kern w:val="2"/>
          <w:sz w:val="21"/>
          <w:szCs w:val="21"/>
          <w:highlight w:val="none"/>
        </w:rPr>
        <w:t>）有光伏系统接入的配电房需配置含有光伏并网柜的电力系统图版。</w:t>
      </w:r>
    </w:p>
    <w:p w14:paraId="40B06200">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所有电气设备安装完成后，应进行电气交接试验，并形成记录</w:t>
      </w:r>
      <w:r>
        <w:rPr>
          <w:rFonts w:hint="eastAsia" w:ascii="宋体" w:hAnsi="宋体" w:eastAsia="宋体" w:cs="宋体"/>
          <w:color w:val="auto"/>
          <w:kern w:val="2"/>
          <w:sz w:val="21"/>
          <w:szCs w:val="21"/>
          <w:highlight w:val="none"/>
        </w:rPr>
        <w:t>。</w:t>
      </w:r>
    </w:p>
    <w:p w14:paraId="024142A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17</w:t>
      </w:r>
      <w:r>
        <w:rPr>
          <w:rFonts w:hint="eastAsia" w:ascii="宋体" w:hAnsi="宋体" w:eastAsia="宋体" w:cs="宋体"/>
          <w:color w:val="auto"/>
          <w:kern w:val="2"/>
          <w:sz w:val="21"/>
          <w:szCs w:val="21"/>
          <w:highlight w:val="none"/>
        </w:rPr>
        <w:t>）</w:t>
      </w:r>
      <w:r>
        <w:rPr>
          <w:rFonts w:hint="eastAsia" w:ascii="宋体" w:hAnsi="宋体" w:eastAsia="宋体" w:cs="宋体"/>
          <w:b w:val="0"/>
          <w:bCs w:val="0"/>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安装完毕后贴上附有“东莞能源”LOGO的标签</w:t>
      </w:r>
      <w:r>
        <w:rPr>
          <w:rFonts w:hint="eastAsia" w:ascii="宋体" w:hAnsi="宋体" w:eastAsia="宋体" w:cs="宋体"/>
          <w:color w:val="auto"/>
          <w:kern w:val="2"/>
          <w:sz w:val="21"/>
          <w:szCs w:val="21"/>
          <w:highlight w:val="none"/>
        </w:rPr>
        <w:t>。</w:t>
      </w:r>
    </w:p>
    <w:p w14:paraId="539BA7A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18</w:t>
      </w:r>
      <w:r>
        <w:rPr>
          <w:rFonts w:hint="eastAsia" w:ascii="宋体" w:hAnsi="宋体" w:eastAsia="宋体" w:cs="宋体"/>
          <w:color w:val="auto"/>
          <w:kern w:val="2"/>
          <w:sz w:val="21"/>
          <w:szCs w:val="21"/>
          <w:highlight w:val="none"/>
        </w:rPr>
        <w:t>）项目进行停电、并网作业时，</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应通知并网柜厂家技术人员到场，防止项目由于并网柜设备参数设置问题无法按时并网。</w:t>
      </w:r>
    </w:p>
    <w:p w14:paraId="5C15198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rPr>
        <w:t>（19）开关、真空断路器推荐厂家品牌：常熟、良信、上海人民或具备同等质量的品牌</w:t>
      </w:r>
      <w:r>
        <w:rPr>
          <w:rFonts w:hint="eastAsia" w:ascii="宋体" w:hAnsi="宋体" w:eastAsia="宋体" w:cs="宋体"/>
          <w:b w:val="0"/>
          <w:bCs w:val="0"/>
          <w:color w:val="auto"/>
          <w:kern w:val="2"/>
          <w:sz w:val="21"/>
          <w:szCs w:val="21"/>
          <w:highlight w:val="none"/>
          <w:lang w:val="en-US" w:eastAsia="zh-CN" w:bidi="ar-SA"/>
        </w:rPr>
        <w:t>。</w:t>
      </w:r>
    </w:p>
    <w:p w14:paraId="14AA47E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7.直流电缆、交流电缆技术要求</w:t>
      </w:r>
    </w:p>
    <w:p w14:paraId="3831BD8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（1）本项目涉及的所有</w:t>
      </w:r>
      <w:r>
        <w:rPr>
          <w:rFonts w:hint="eastAsia" w:ascii="宋体" w:hAnsi="宋体" w:eastAsia="宋体" w:cs="宋体"/>
          <w:color w:val="auto"/>
          <w:kern w:val="2"/>
          <w:sz w:val="21"/>
          <w:szCs w:val="21"/>
          <w:highlight w:val="none"/>
          <w:lang w:val="en-US" w:eastAsia="zh-CN"/>
        </w:rPr>
        <w:t>线</w:t>
      </w:r>
      <w:r>
        <w:rPr>
          <w:rFonts w:hint="eastAsia" w:ascii="宋体" w:hAnsi="宋体" w:eastAsia="宋体" w:cs="宋体"/>
          <w:color w:val="auto"/>
          <w:kern w:val="2"/>
          <w:sz w:val="21"/>
          <w:szCs w:val="21"/>
          <w:highlight w:val="none"/>
        </w:rPr>
        <w:t>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包含但不限于直流电缆、交流电缆、电源线、信号线等</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均属投标单位</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范围。</w:t>
      </w:r>
    </w:p>
    <w:p w14:paraId="1C1D2F3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）直流侧电缆要以减少线损并防止外界干扰的原则选型，选用双绝缘防紫外线阻燃铜芯光伏专用电缆，电缆性能符合GB/T18950-2003性能测试的要求；交流侧需要考虑敷设的形式和安全来选择，采用</w:t>
      </w:r>
      <w:r>
        <w:rPr>
          <w:rFonts w:hint="eastAsia" w:ascii="宋体" w:hAnsi="宋体" w:eastAsia="宋体" w:cs="宋体"/>
          <w:color w:val="auto"/>
          <w:kern w:val="2"/>
          <w:sz w:val="21"/>
          <w:szCs w:val="21"/>
          <w:highlight w:val="none"/>
          <w:lang w:val="en-US" w:eastAsia="zh-CN"/>
        </w:rPr>
        <w:t>5芯</w:t>
      </w:r>
      <w:r>
        <w:rPr>
          <w:rFonts w:hint="eastAsia" w:ascii="宋体" w:hAnsi="宋体" w:eastAsia="宋体" w:cs="宋体"/>
          <w:color w:val="auto"/>
          <w:kern w:val="2"/>
          <w:sz w:val="21"/>
          <w:szCs w:val="21"/>
          <w:highlight w:val="none"/>
        </w:rPr>
        <w:t>阻燃</w:t>
      </w:r>
      <w:r>
        <w:rPr>
          <w:rFonts w:hint="eastAsia" w:ascii="宋体" w:hAnsi="宋体" w:eastAsia="宋体" w:cs="宋体"/>
          <w:color w:val="auto"/>
          <w:kern w:val="2"/>
          <w:sz w:val="21"/>
          <w:szCs w:val="21"/>
          <w:highlight w:val="none"/>
          <w:lang w:val="en-US" w:eastAsia="zh-CN"/>
        </w:rPr>
        <w:t>绝缘护套</w:t>
      </w:r>
      <w:r>
        <w:rPr>
          <w:rFonts w:hint="eastAsia" w:ascii="宋体" w:hAnsi="宋体" w:eastAsia="宋体" w:cs="宋体"/>
          <w:color w:val="auto"/>
          <w:kern w:val="2"/>
          <w:sz w:val="21"/>
          <w:szCs w:val="21"/>
          <w:highlight w:val="none"/>
        </w:rPr>
        <w:t>铜芯电缆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若</w:t>
      </w:r>
      <w:r>
        <w:rPr>
          <w:rFonts w:hint="eastAsia" w:ascii="宋体" w:hAnsi="宋体" w:eastAsia="宋体" w:cs="宋体"/>
          <w:b/>
          <w:bCs/>
          <w:color w:val="auto"/>
          <w:kern w:val="2"/>
          <w:sz w:val="21"/>
          <w:szCs w:val="21"/>
          <w:highlight w:val="none"/>
          <w:lang w:val="en-US" w:eastAsia="zh-CN"/>
        </w:rPr>
        <w:t>项目涉及埋管电缆须采用铠装</w:t>
      </w:r>
      <w:r>
        <w:rPr>
          <w:rFonts w:hint="eastAsia" w:ascii="宋体" w:hAnsi="宋体" w:eastAsia="宋体" w:cs="宋体"/>
          <w:color w:val="auto"/>
          <w:kern w:val="2"/>
          <w:sz w:val="21"/>
          <w:szCs w:val="21"/>
          <w:highlight w:val="none"/>
        </w:rPr>
        <w:t>。</w:t>
      </w:r>
    </w:p>
    <w:p w14:paraId="1792ECA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）直流部分和交流低压部分的总线路损耗应控制在2%以内。</w:t>
      </w:r>
    </w:p>
    <w:p w14:paraId="2C518AC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）光伏线缆MC4插头制作应严格按规范进行，所有</w:t>
      </w:r>
      <w:r>
        <w:rPr>
          <w:rFonts w:hint="eastAsia" w:ascii="宋体" w:hAnsi="宋体" w:eastAsia="宋体" w:cs="宋体"/>
          <w:color w:val="auto"/>
          <w:kern w:val="2"/>
          <w:sz w:val="21"/>
          <w:szCs w:val="21"/>
          <w:highlight w:val="none"/>
          <w:lang w:val="en-US" w:eastAsia="zh-CN"/>
        </w:rPr>
        <w:t>直流</w:t>
      </w:r>
      <w:r>
        <w:rPr>
          <w:rFonts w:hint="eastAsia" w:ascii="宋体" w:hAnsi="宋体" w:eastAsia="宋体" w:cs="宋体"/>
          <w:color w:val="auto"/>
          <w:kern w:val="2"/>
          <w:sz w:val="21"/>
          <w:szCs w:val="21"/>
          <w:highlight w:val="none"/>
        </w:rPr>
        <w:t>电缆</w:t>
      </w:r>
      <w:r>
        <w:rPr>
          <w:rFonts w:hint="eastAsia" w:ascii="宋体" w:hAnsi="宋体" w:eastAsia="宋体" w:cs="宋体"/>
          <w:color w:val="auto"/>
          <w:kern w:val="2"/>
          <w:sz w:val="21"/>
          <w:szCs w:val="21"/>
          <w:highlight w:val="none"/>
          <w:lang w:val="en-US" w:eastAsia="zh-CN"/>
        </w:rPr>
        <w:t>做好套管或其他防护措施，防止直流</w:t>
      </w:r>
      <w:r>
        <w:rPr>
          <w:rFonts w:hint="eastAsia" w:ascii="宋体" w:hAnsi="宋体" w:eastAsia="宋体" w:cs="宋体"/>
          <w:color w:val="auto"/>
          <w:kern w:val="2"/>
          <w:sz w:val="21"/>
          <w:szCs w:val="21"/>
          <w:highlight w:val="none"/>
        </w:rPr>
        <w:t>电缆裸</w:t>
      </w:r>
      <w:r>
        <w:rPr>
          <w:rFonts w:hint="eastAsia" w:ascii="宋体" w:hAnsi="宋体" w:eastAsia="宋体" w:cs="宋体"/>
          <w:color w:val="auto"/>
          <w:kern w:val="2"/>
          <w:sz w:val="21"/>
          <w:szCs w:val="21"/>
          <w:highlight w:val="none"/>
          <w:lang w:val="en-US" w:eastAsia="zh-CN"/>
        </w:rPr>
        <w:t>露</w:t>
      </w:r>
      <w:r>
        <w:rPr>
          <w:rFonts w:hint="eastAsia" w:ascii="宋体" w:hAnsi="宋体" w:eastAsia="宋体" w:cs="宋体"/>
          <w:color w:val="auto"/>
          <w:kern w:val="2"/>
          <w:sz w:val="21"/>
          <w:szCs w:val="21"/>
          <w:highlight w:val="none"/>
        </w:rPr>
        <w:t>。</w:t>
      </w:r>
    </w:p>
    <w:p w14:paraId="3B362F8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交直流电缆、</w:t>
      </w:r>
      <w:r>
        <w:rPr>
          <w:rFonts w:hint="eastAsia" w:ascii="宋体" w:hAnsi="宋体" w:eastAsia="宋体" w:cs="宋体"/>
          <w:color w:val="auto"/>
          <w:kern w:val="2"/>
          <w:sz w:val="21"/>
          <w:szCs w:val="21"/>
          <w:highlight w:val="none"/>
        </w:rPr>
        <w:t>配线</w:t>
      </w:r>
      <w:r>
        <w:rPr>
          <w:rFonts w:hint="eastAsia" w:ascii="宋体" w:hAnsi="宋体" w:eastAsia="宋体" w:cs="宋体"/>
          <w:color w:val="auto"/>
          <w:kern w:val="2"/>
          <w:sz w:val="21"/>
          <w:szCs w:val="21"/>
          <w:highlight w:val="none"/>
          <w:lang w:val="en-US" w:eastAsia="zh-CN"/>
        </w:rPr>
        <w:t>线管和桥架</w:t>
      </w:r>
      <w:r>
        <w:rPr>
          <w:rFonts w:hint="eastAsia" w:ascii="宋体" w:hAnsi="宋体" w:eastAsia="宋体" w:cs="宋体"/>
          <w:color w:val="auto"/>
          <w:kern w:val="2"/>
          <w:sz w:val="21"/>
          <w:szCs w:val="21"/>
          <w:highlight w:val="none"/>
        </w:rPr>
        <w:t>在建筑物</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光伏棚结构</w:t>
      </w:r>
      <w:r>
        <w:rPr>
          <w:rFonts w:hint="eastAsia" w:ascii="宋体" w:hAnsi="宋体" w:eastAsia="宋体" w:cs="宋体"/>
          <w:color w:val="auto"/>
          <w:kern w:val="2"/>
          <w:sz w:val="21"/>
          <w:szCs w:val="21"/>
          <w:highlight w:val="none"/>
        </w:rPr>
        <w:t>上的布置应美观，与整个建筑</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棚架</w:t>
      </w:r>
      <w:r>
        <w:rPr>
          <w:rFonts w:hint="eastAsia" w:ascii="宋体" w:hAnsi="宋体" w:eastAsia="宋体" w:cs="宋体"/>
          <w:color w:val="auto"/>
          <w:kern w:val="2"/>
          <w:sz w:val="21"/>
          <w:szCs w:val="21"/>
          <w:highlight w:val="none"/>
        </w:rPr>
        <w:t>协调一致，布线应隐蔽，从底部不能明显的看到线缆。各方阵的线缆便于连接，并有足够的强度，线缆连接附件应防水、抗老化。</w:t>
      </w:r>
    </w:p>
    <w:p w14:paraId="36281674">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）各类线缆通过TUV、UL、VDE 认证，能满足室外30年的使用年限。</w:t>
      </w:r>
    </w:p>
    <w:p w14:paraId="16CCA3E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（7）所有线缆敷设完成后，应进行直流电阻、绝缘电阻、直流耐压/交流耐压试验，并形成记录。</w:t>
      </w:r>
    </w:p>
    <w:p w14:paraId="309CC4D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（8）交直流电缆设计标好型号规格及长度，留有转弯、电缆头等预留长度，满足实际敷设需求。</w:t>
      </w:r>
    </w:p>
    <w:p w14:paraId="061F54D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（9）交直流电缆推荐厂家品牌：深圳市东佳信电线电缆、深圳市成天泰电缆、广州南洋电缆、广东新亚光电缆、东莞市民兴电缆、江苏上上电缆、远东电缆或具备同等质量的品牌</w:t>
      </w:r>
      <w:r>
        <w:rPr>
          <w:rFonts w:hint="eastAsia" w:ascii="宋体" w:hAnsi="宋体" w:eastAsia="宋体" w:cs="宋体"/>
          <w:b w:val="0"/>
          <w:bCs w:val="0"/>
          <w:color w:val="auto"/>
          <w:kern w:val="2"/>
          <w:sz w:val="21"/>
          <w:szCs w:val="21"/>
          <w:highlight w:val="none"/>
          <w:lang w:val="en-US" w:eastAsia="zh-CN" w:bidi="ar-SA"/>
        </w:rPr>
        <w:t>。</w:t>
      </w:r>
    </w:p>
    <w:p w14:paraId="7DCE074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8.电缆桥架、电缆管道技术要求</w:t>
      </w:r>
    </w:p>
    <w:p w14:paraId="6908149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（1）本项目涉及的所有电缆走廊</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包含但不限于电缆桥架、破复路面开挖埋管、顶管、电缆井等</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均属投标单位</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范围。</w:t>
      </w:r>
    </w:p>
    <w:p w14:paraId="7B2C32C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（2）所有电缆桥架必须采用</w:t>
      </w:r>
      <w:r>
        <w:rPr>
          <w:rFonts w:hint="eastAsia" w:ascii="宋体" w:hAnsi="宋体" w:eastAsia="宋体" w:cs="宋体"/>
          <w:b/>
          <w:bCs/>
          <w:color w:val="auto"/>
          <w:kern w:val="2"/>
          <w:sz w:val="21"/>
          <w:szCs w:val="21"/>
          <w:highlight w:val="none"/>
          <w:lang w:val="en-US" w:eastAsia="zh-CN"/>
        </w:rPr>
        <w:t>锌铝镁槽式桥架</w:t>
      </w:r>
      <w:r>
        <w:rPr>
          <w:rFonts w:hint="eastAsia" w:ascii="宋体" w:hAnsi="宋体" w:eastAsia="宋体" w:cs="宋体"/>
          <w:color w:val="auto"/>
          <w:kern w:val="2"/>
          <w:sz w:val="21"/>
          <w:szCs w:val="21"/>
          <w:highlight w:val="none"/>
        </w:rPr>
        <w:t>，壁厚不少于国标要求，每隔一定距离（支架间距不大于1500mm）必须加装镀锌金属托架（抱箍）固定并做好防锈处理，避免桥架上下部分变形与移位。桥架结合处用非自攻螺钉连接，所有联接件为</w:t>
      </w:r>
      <w:r>
        <w:rPr>
          <w:rFonts w:hint="eastAsia" w:ascii="宋体" w:hAnsi="宋体" w:eastAsia="宋体" w:cs="宋体"/>
          <w:color w:val="auto"/>
          <w:kern w:val="2"/>
          <w:sz w:val="21"/>
          <w:szCs w:val="21"/>
          <w:highlight w:val="none"/>
          <w:lang w:val="en-US" w:eastAsia="zh-CN"/>
        </w:rPr>
        <w:t>镀锌</w:t>
      </w:r>
      <w:r>
        <w:rPr>
          <w:rFonts w:hint="eastAsia" w:ascii="宋体" w:hAnsi="宋体" w:eastAsia="宋体" w:cs="宋体"/>
          <w:color w:val="auto"/>
          <w:kern w:val="2"/>
          <w:sz w:val="21"/>
          <w:szCs w:val="21"/>
          <w:highlight w:val="none"/>
        </w:rPr>
        <w:t>材料</w:t>
      </w:r>
      <w:r>
        <w:rPr>
          <w:rFonts w:hint="eastAsia" w:ascii="宋体" w:hAnsi="宋体" w:eastAsia="宋体" w:cs="宋体"/>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lang w:eastAsia="zh-CN"/>
        </w:rPr>
        <w:t>安装螺栓选用不锈钢304及以上材质</w:t>
      </w:r>
      <w:r>
        <w:rPr>
          <w:rFonts w:hint="eastAsia" w:ascii="宋体" w:hAnsi="宋体" w:eastAsia="宋体" w:cs="宋体"/>
          <w:color w:val="auto"/>
          <w:kern w:val="2"/>
          <w:sz w:val="21"/>
          <w:szCs w:val="21"/>
          <w:highlight w:val="none"/>
        </w:rPr>
        <w:t>。所有电缆桥架均密闭，不能看到电缆及接头外露，且保证桥架内的通风、散热，电缆在桥架里占的空间不超过40%。</w:t>
      </w:r>
    </w:p>
    <w:p w14:paraId="1BA8EB3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）桥架与桥架之间必须用不少于4mm2的铜线绝缘接地线跨接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重点注意桥架地线跨接不可连在连接件处</w:t>
      </w:r>
      <w:r>
        <w:rPr>
          <w:rFonts w:hint="eastAsia" w:ascii="宋体" w:hAnsi="宋体" w:eastAsia="宋体" w:cs="宋体"/>
          <w:color w:val="auto"/>
          <w:kern w:val="2"/>
          <w:sz w:val="21"/>
          <w:szCs w:val="21"/>
          <w:highlight w:val="none"/>
          <w:lang w:eastAsia="zh-CN"/>
        </w:rPr>
        <w:t>；</w:t>
      </w:r>
    </w:p>
    <w:p w14:paraId="33943B04">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）汇流箱和</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逆变器线缆进出线也需考虑转弯半径，预留操作空间</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lang w:eastAsia="zh-CN"/>
        </w:rPr>
        <w:t>PVC管进入桥架</w:t>
      </w:r>
      <w:r>
        <w:rPr>
          <w:rFonts w:hint="eastAsia" w:ascii="宋体" w:hAnsi="宋体" w:eastAsia="宋体" w:cs="宋体"/>
          <w:b/>
          <w:bCs/>
          <w:color w:val="auto"/>
          <w:kern w:val="2"/>
          <w:sz w:val="21"/>
          <w:szCs w:val="21"/>
          <w:highlight w:val="none"/>
          <w:lang w:eastAsia="zh-CN"/>
        </w:rPr>
        <w:t>采用杯梳固定</w:t>
      </w:r>
      <w:r>
        <w:rPr>
          <w:rFonts w:hint="eastAsia" w:ascii="宋体" w:hAnsi="宋体" w:eastAsia="宋体" w:cs="宋体"/>
          <w:color w:val="auto"/>
          <w:kern w:val="2"/>
          <w:sz w:val="21"/>
          <w:szCs w:val="21"/>
          <w:highlight w:val="none"/>
          <w:lang w:eastAsia="zh-CN"/>
        </w:rPr>
        <w:t>，电缆进入桥架请做好保护</w:t>
      </w:r>
      <w:r>
        <w:rPr>
          <w:rFonts w:hint="eastAsia" w:ascii="宋体" w:hAnsi="宋体" w:eastAsia="宋体" w:cs="宋体"/>
          <w:color w:val="auto"/>
          <w:kern w:val="2"/>
          <w:sz w:val="21"/>
          <w:szCs w:val="21"/>
          <w:highlight w:val="none"/>
        </w:rPr>
        <w:t>。</w:t>
      </w:r>
    </w:p>
    <w:p w14:paraId="55A6CAA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）所有电缆</w:t>
      </w:r>
      <w:r>
        <w:rPr>
          <w:rFonts w:hint="eastAsia" w:ascii="宋体" w:hAnsi="宋体" w:eastAsia="宋体" w:cs="宋体"/>
          <w:color w:val="auto"/>
          <w:kern w:val="2"/>
          <w:sz w:val="21"/>
          <w:szCs w:val="21"/>
          <w:highlight w:val="none"/>
          <w:lang w:val="en-US" w:eastAsia="zh-CN"/>
        </w:rPr>
        <w:t>管道</w:t>
      </w:r>
      <w:r>
        <w:rPr>
          <w:rFonts w:hint="eastAsia" w:ascii="宋体" w:hAnsi="宋体" w:eastAsia="宋体" w:cs="宋体"/>
          <w:color w:val="auto"/>
          <w:kern w:val="2"/>
          <w:sz w:val="21"/>
          <w:szCs w:val="21"/>
          <w:highlight w:val="none"/>
        </w:rPr>
        <w:t>均采用</w:t>
      </w:r>
      <w:r>
        <w:rPr>
          <w:rFonts w:hint="eastAsia" w:ascii="宋体" w:hAnsi="宋体" w:eastAsia="宋体" w:cs="宋体"/>
          <w:color w:val="auto"/>
          <w:kern w:val="2"/>
          <w:sz w:val="21"/>
          <w:szCs w:val="21"/>
          <w:highlight w:val="none"/>
          <w:lang w:val="en-US" w:eastAsia="zh-CN"/>
        </w:rPr>
        <w:t>套电缆保护管埋管</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严禁采用电缆直埋，</w:t>
      </w:r>
      <w:r>
        <w:rPr>
          <w:rFonts w:hint="eastAsia" w:ascii="宋体" w:hAnsi="宋体" w:eastAsia="宋体" w:cs="宋体"/>
          <w:color w:val="auto"/>
          <w:kern w:val="2"/>
          <w:sz w:val="21"/>
          <w:szCs w:val="21"/>
          <w:highlight w:val="none"/>
        </w:rPr>
        <w:t>所有</w:t>
      </w:r>
      <w:r>
        <w:rPr>
          <w:rFonts w:hint="eastAsia" w:ascii="宋体" w:hAnsi="宋体" w:eastAsia="宋体" w:cs="宋体"/>
          <w:color w:val="auto"/>
          <w:kern w:val="2"/>
          <w:sz w:val="21"/>
          <w:szCs w:val="21"/>
          <w:highlight w:val="none"/>
          <w:lang w:val="en-US" w:eastAsia="zh-CN"/>
        </w:rPr>
        <w:t>电缆保护管</w:t>
      </w:r>
      <w:r>
        <w:rPr>
          <w:rFonts w:hint="eastAsia" w:ascii="宋体" w:hAnsi="宋体" w:eastAsia="宋体" w:cs="宋体"/>
          <w:color w:val="auto"/>
          <w:kern w:val="2"/>
          <w:sz w:val="21"/>
          <w:szCs w:val="21"/>
          <w:highlight w:val="none"/>
        </w:rPr>
        <w:t>应采用HDPE管，</w:t>
      </w:r>
      <w:r>
        <w:rPr>
          <w:rFonts w:hint="eastAsia" w:ascii="宋体" w:hAnsi="宋体" w:eastAsia="宋体" w:cs="宋体"/>
          <w:color w:val="auto"/>
          <w:kern w:val="2"/>
          <w:sz w:val="21"/>
          <w:szCs w:val="21"/>
          <w:highlight w:val="none"/>
          <w:lang w:val="en-US" w:eastAsia="zh-CN"/>
        </w:rPr>
        <w:t>管道直径不低于电缆直径1.5倍，增加</w:t>
      </w:r>
      <w:r>
        <w:rPr>
          <w:rFonts w:hint="eastAsia" w:ascii="宋体" w:hAnsi="宋体" w:eastAsia="宋体" w:cs="宋体"/>
          <w:color w:val="auto"/>
          <w:kern w:val="2"/>
          <w:sz w:val="21"/>
          <w:szCs w:val="21"/>
          <w:highlight w:val="none"/>
        </w:rPr>
        <w:t>C15混凝土垫层</w:t>
      </w:r>
      <w:r>
        <w:rPr>
          <w:rFonts w:hint="eastAsia" w:ascii="宋体" w:hAnsi="宋体" w:eastAsia="宋体" w:cs="宋体"/>
          <w:color w:val="auto"/>
          <w:kern w:val="2"/>
          <w:sz w:val="21"/>
          <w:szCs w:val="21"/>
          <w:highlight w:val="none"/>
          <w:lang w:val="en-US" w:eastAsia="zh-CN"/>
        </w:rPr>
        <w:t>并进行混凝土包封，按C30</w:t>
      </w:r>
      <w:r>
        <w:rPr>
          <w:rFonts w:hint="eastAsia" w:ascii="宋体" w:hAnsi="宋体" w:eastAsia="宋体" w:cs="宋体"/>
          <w:color w:val="auto"/>
          <w:kern w:val="2"/>
          <w:sz w:val="21"/>
          <w:szCs w:val="21"/>
          <w:highlight w:val="none"/>
        </w:rPr>
        <w:t>混凝土</w:t>
      </w:r>
      <w:r>
        <w:rPr>
          <w:rFonts w:hint="eastAsia" w:ascii="宋体" w:hAnsi="宋体" w:eastAsia="宋体" w:cs="宋体"/>
          <w:color w:val="auto"/>
          <w:kern w:val="2"/>
          <w:sz w:val="21"/>
          <w:szCs w:val="21"/>
          <w:highlight w:val="none"/>
          <w:lang w:val="en-US" w:eastAsia="zh-CN"/>
        </w:rPr>
        <w:t>进行路面恢复至与路面平齐，管道每隔50米和转弯处设电缆井，每隔15米左右设置电缆标志牌</w:t>
      </w:r>
      <w:r>
        <w:rPr>
          <w:rFonts w:hint="eastAsia" w:ascii="宋体" w:hAnsi="宋体" w:eastAsia="宋体" w:cs="宋体"/>
          <w:color w:val="auto"/>
          <w:kern w:val="2"/>
          <w:sz w:val="21"/>
          <w:szCs w:val="21"/>
          <w:highlight w:val="none"/>
        </w:rPr>
        <w:t>。</w:t>
      </w:r>
    </w:p>
    <w:p w14:paraId="7BA550D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）所有</w:t>
      </w:r>
      <w:r>
        <w:rPr>
          <w:rFonts w:hint="eastAsia" w:ascii="宋体" w:hAnsi="宋体" w:eastAsia="宋体" w:cs="宋体"/>
          <w:color w:val="auto"/>
          <w:kern w:val="2"/>
          <w:sz w:val="21"/>
          <w:szCs w:val="21"/>
          <w:highlight w:val="none"/>
          <w:lang w:val="en-US" w:eastAsia="zh-CN"/>
        </w:rPr>
        <w:t>电缆井四周需预埋镀锌角铁包边，内空深度不低于600mm，且电缆井内具备排水措施，以防止积水，井盖板统一采用预制镀锌包边砼盖板并设置电缆标志牌</w:t>
      </w:r>
      <w:r>
        <w:rPr>
          <w:rFonts w:hint="eastAsia" w:ascii="宋体" w:hAnsi="宋体" w:eastAsia="宋体" w:cs="宋体"/>
          <w:color w:val="auto"/>
          <w:kern w:val="2"/>
          <w:sz w:val="21"/>
          <w:szCs w:val="21"/>
          <w:highlight w:val="none"/>
        </w:rPr>
        <w:t>。</w:t>
      </w:r>
    </w:p>
    <w:p w14:paraId="0AC7C03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位于经常有车辆出入得场所，所有电缆管道、电缆井应按行车标准进行设计并安装（有车辆经过的道路电缆井盖厚度不少得于150mm）</w:t>
      </w:r>
      <w:r>
        <w:rPr>
          <w:rFonts w:hint="eastAsia" w:ascii="宋体" w:hAnsi="宋体" w:eastAsia="宋体" w:cs="宋体"/>
          <w:color w:val="auto"/>
          <w:kern w:val="2"/>
          <w:sz w:val="21"/>
          <w:szCs w:val="21"/>
          <w:highlight w:val="none"/>
        </w:rPr>
        <w:t>。</w:t>
      </w:r>
    </w:p>
    <w:p w14:paraId="19179AE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9.防雷系统、接地系统技术要求</w:t>
      </w:r>
    </w:p>
    <w:p w14:paraId="078CB279">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（1）光伏系统</w:t>
      </w:r>
      <w:r>
        <w:rPr>
          <w:rFonts w:hint="eastAsia" w:ascii="宋体" w:hAnsi="宋体" w:eastAsia="宋体" w:cs="宋体"/>
          <w:color w:val="auto"/>
          <w:kern w:val="2"/>
          <w:sz w:val="21"/>
          <w:szCs w:val="21"/>
          <w:highlight w:val="none"/>
          <w:lang w:val="en-US" w:eastAsia="zh-CN"/>
        </w:rPr>
        <w:t>应独立</w:t>
      </w:r>
      <w:r>
        <w:rPr>
          <w:rFonts w:hint="eastAsia" w:ascii="宋体" w:hAnsi="宋体" w:eastAsia="宋体" w:cs="宋体"/>
          <w:color w:val="auto"/>
          <w:kern w:val="2"/>
          <w:sz w:val="21"/>
          <w:szCs w:val="21"/>
          <w:highlight w:val="none"/>
        </w:rPr>
        <w:t>设计</w:t>
      </w:r>
      <w:r>
        <w:rPr>
          <w:rFonts w:hint="eastAsia" w:ascii="宋体" w:hAnsi="宋体" w:eastAsia="宋体" w:cs="宋体"/>
          <w:color w:val="auto"/>
          <w:kern w:val="2"/>
          <w:sz w:val="21"/>
          <w:szCs w:val="21"/>
          <w:highlight w:val="none"/>
          <w:lang w:val="en-US" w:eastAsia="zh-CN"/>
        </w:rPr>
        <w:t>防雷接地系统</w:t>
      </w:r>
      <w:r>
        <w:rPr>
          <w:rFonts w:hint="eastAsia" w:ascii="宋体" w:hAnsi="宋体" w:eastAsia="宋体" w:cs="宋体"/>
          <w:color w:val="auto"/>
          <w:kern w:val="2"/>
          <w:sz w:val="21"/>
          <w:szCs w:val="21"/>
          <w:highlight w:val="none"/>
        </w:rPr>
        <w:t>,满足雷电防护分区、分级确定的防雷等级要求。各连接点的连接电阻应小于4Ω。接地网的制作应符合国家相关规范要求。屋顶必须有等电位接地地网作为接地连接。</w:t>
      </w:r>
    </w:p>
    <w:p w14:paraId="3025B6DE">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（2）提供的并网逆变器安全可靠，能确保25年内有效防止光伏组件PID现象的发生。</w:t>
      </w:r>
    </w:p>
    <w:p w14:paraId="4B6F799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（3）带边框的光伏组件防雷接地要牢靠，并网逆变器将外壳可靠接地，避雷扁</w:t>
      </w:r>
      <w:r>
        <w:rPr>
          <w:rFonts w:hint="eastAsia" w:ascii="宋体" w:hAnsi="宋体" w:eastAsia="宋体" w:cs="宋体"/>
          <w:color w:val="auto"/>
          <w:kern w:val="2"/>
          <w:sz w:val="21"/>
          <w:szCs w:val="21"/>
          <w:highlight w:val="none"/>
          <w:lang w:val="en-US" w:eastAsia="zh-CN"/>
        </w:rPr>
        <w:t>铁</w:t>
      </w:r>
      <w:r>
        <w:rPr>
          <w:rFonts w:hint="eastAsia" w:ascii="宋体" w:hAnsi="宋体" w:eastAsia="宋体" w:cs="宋体"/>
          <w:color w:val="auto"/>
          <w:kern w:val="2"/>
          <w:sz w:val="21"/>
          <w:szCs w:val="21"/>
          <w:highlight w:val="none"/>
        </w:rPr>
        <w:t>、接地线及接地级要符合规范要求，保障每年防雷接地检测合格。</w:t>
      </w:r>
    </w:p>
    <w:p w14:paraId="3648A88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屋面至地面段</w:t>
      </w:r>
      <w:r>
        <w:rPr>
          <w:rFonts w:hint="eastAsia" w:ascii="宋体" w:hAnsi="宋体" w:eastAsia="宋体" w:cs="宋体"/>
          <w:color w:val="auto"/>
          <w:kern w:val="2"/>
          <w:sz w:val="21"/>
          <w:szCs w:val="21"/>
          <w:highlight w:val="none"/>
        </w:rPr>
        <w:t>避雷</w:t>
      </w:r>
      <w:r>
        <w:rPr>
          <w:rFonts w:hint="eastAsia" w:ascii="宋体" w:hAnsi="宋体" w:eastAsia="宋体" w:cs="宋体"/>
          <w:color w:val="auto"/>
          <w:kern w:val="2"/>
          <w:sz w:val="21"/>
          <w:szCs w:val="21"/>
          <w:highlight w:val="none"/>
          <w:lang w:val="en-US" w:eastAsia="zh-CN"/>
        </w:rPr>
        <w:t>接地网统一采用40×4热镀锌扁钢，连接处严禁采用螺栓固定，接地引下线处2m采用线槽进行包装，避免行人触碰；</w:t>
      </w:r>
      <w:r>
        <w:rPr>
          <w:rFonts w:hint="eastAsia" w:ascii="宋体" w:hAnsi="宋体" w:eastAsia="宋体" w:cs="宋体"/>
          <w:b/>
          <w:bCs/>
          <w:color w:val="auto"/>
          <w:kern w:val="2"/>
          <w:sz w:val="21"/>
          <w:szCs w:val="21"/>
          <w:highlight w:val="none"/>
          <w:lang w:val="en-US" w:eastAsia="zh-CN"/>
        </w:rPr>
        <w:t>垂直</w:t>
      </w:r>
      <w:r>
        <w:rPr>
          <w:rFonts w:hint="eastAsia" w:ascii="宋体" w:hAnsi="宋体" w:eastAsia="宋体" w:cs="宋体"/>
          <w:b/>
          <w:bCs/>
          <w:color w:val="auto"/>
          <w:kern w:val="2"/>
          <w:sz w:val="21"/>
          <w:szCs w:val="21"/>
          <w:highlight w:val="none"/>
        </w:rPr>
        <w:t>接地</w:t>
      </w:r>
      <w:r>
        <w:rPr>
          <w:rFonts w:hint="eastAsia" w:ascii="宋体" w:hAnsi="宋体" w:eastAsia="宋体" w:cs="宋体"/>
          <w:b/>
          <w:bCs/>
          <w:color w:val="auto"/>
          <w:kern w:val="2"/>
          <w:sz w:val="21"/>
          <w:szCs w:val="21"/>
          <w:highlight w:val="none"/>
          <w:lang w:val="en-US" w:eastAsia="zh-CN"/>
        </w:rPr>
        <w:t>极统一采用锥式石墨烯</w:t>
      </w:r>
      <w:r>
        <w:rPr>
          <w:rFonts w:hint="eastAsia" w:ascii="宋体" w:hAnsi="宋体" w:eastAsia="宋体" w:cs="宋体"/>
          <w:b/>
          <w:bCs/>
          <w:color w:val="auto"/>
          <w:kern w:val="2"/>
          <w:sz w:val="21"/>
          <w:szCs w:val="21"/>
          <w:highlight w:val="none"/>
        </w:rPr>
        <w:t>接地</w:t>
      </w:r>
      <w:r>
        <w:rPr>
          <w:rFonts w:hint="eastAsia" w:ascii="宋体" w:hAnsi="宋体" w:eastAsia="宋体" w:cs="宋体"/>
          <w:b/>
          <w:bCs/>
          <w:color w:val="auto"/>
          <w:kern w:val="2"/>
          <w:sz w:val="21"/>
          <w:szCs w:val="21"/>
          <w:highlight w:val="none"/>
          <w:lang w:val="en-US" w:eastAsia="zh-CN"/>
        </w:rPr>
        <w:t>极</w:t>
      </w:r>
      <w:r>
        <w:rPr>
          <w:rFonts w:hint="eastAsia" w:ascii="宋体" w:hAnsi="宋体" w:eastAsia="宋体" w:cs="宋体"/>
          <w:color w:val="auto"/>
          <w:kern w:val="2"/>
          <w:sz w:val="21"/>
          <w:szCs w:val="21"/>
          <w:highlight w:val="none"/>
          <w:lang w:val="en-US" w:eastAsia="zh-CN"/>
        </w:rPr>
        <w:t>，埋地深度不少于1.5m，数量不少于3根，间隔不少于5m</w:t>
      </w:r>
      <w:r>
        <w:rPr>
          <w:rFonts w:hint="eastAsia" w:ascii="宋体" w:hAnsi="宋体" w:eastAsia="宋体" w:cs="宋体"/>
          <w:color w:val="auto"/>
          <w:kern w:val="2"/>
          <w:sz w:val="21"/>
          <w:szCs w:val="21"/>
          <w:highlight w:val="none"/>
        </w:rPr>
        <w:t>。</w:t>
      </w:r>
    </w:p>
    <w:p w14:paraId="03D8E3D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）光伏组件与光伏组件之间做好</w:t>
      </w:r>
      <w:r>
        <w:rPr>
          <w:rFonts w:hint="eastAsia" w:ascii="宋体" w:hAnsi="宋体" w:eastAsia="宋体" w:cs="宋体"/>
          <w:b/>
          <w:bCs/>
          <w:color w:val="auto"/>
          <w:kern w:val="2"/>
          <w:sz w:val="21"/>
          <w:szCs w:val="21"/>
          <w:highlight w:val="none"/>
        </w:rPr>
        <w:t>防雷</w:t>
      </w:r>
      <w:r>
        <w:rPr>
          <w:rFonts w:hint="eastAsia" w:ascii="宋体" w:hAnsi="宋体" w:eastAsia="宋体" w:cs="宋体"/>
          <w:b/>
          <w:bCs/>
          <w:color w:val="auto"/>
          <w:kern w:val="2"/>
          <w:sz w:val="21"/>
          <w:szCs w:val="21"/>
          <w:highlight w:val="none"/>
          <w:lang w:val="en-US" w:eastAsia="zh-CN"/>
        </w:rPr>
        <w:t>穿刺垫片</w:t>
      </w:r>
      <w:r>
        <w:rPr>
          <w:rFonts w:hint="eastAsia" w:ascii="宋体" w:hAnsi="宋体" w:eastAsia="宋体" w:cs="宋体"/>
          <w:b w:val="0"/>
          <w:bCs w:val="0"/>
          <w:color w:val="auto"/>
          <w:kern w:val="2"/>
          <w:sz w:val="21"/>
          <w:szCs w:val="21"/>
          <w:highlight w:val="none"/>
          <w:lang w:val="en-US" w:eastAsia="zh-CN"/>
        </w:rPr>
        <w:t>（不锈钢304材质）</w:t>
      </w:r>
      <w:r>
        <w:rPr>
          <w:rFonts w:hint="eastAsia" w:ascii="宋体" w:hAnsi="宋体" w:eastAsia="宋体" w:cs="宋体"/>
          <w:color w:val="auto"/>
          <w:kern w:val="2"/>
          <w:sz w:val="21"/>
          <w:szCs w:val="21"/>
          <w:highlight w:val="none"/>
          <w:lang w:val="en-US" w:eastAsia="zh-CN"/>
        </w:rPr>
        <w:t>接地跨接</w:t>
      </w:r>
      <w:r>
        <w:rPr>
          <w:rFonts w:hint="eastAsia" w:ascii="宋体" w:hAnsi="宋体" w:eastAsia="宋体" w:cs="宋体"/>
          <w:color w:val="auto"/>
          <w:kern w:val="2"/>
          <w:sz w:val="21"/>
          <w:szCs w:val="21"/>
          <w:highlight w:val="none"/>
        </w:rPr>
        <w:t>。</w:t>
      </w:r>
    </w:p>
    <w:p w14:paraId="028222AC">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）光伏组件与导轨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排水槽</w:t>
      </w:r>
      <w:r>
        <w:rPr>
          <w:rFonts w:hint="eastAsia" w:ascii="宋体" w:hAnsi="宋体" w:eastAsia="宋体" w:cs="宋体"/>
          <w:color w:val="auto"/>
          <w:kern w:val="2"/>
          <w:sz w:val="21"/>
          <w:szCs w:val="21"/>
          <w:highlight w:val="none"/>
        </w:rPr>
        <w:t>之间</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排水槽与光伏结构棚架之间、桥架与桥架之间</w:t>
      </w:r>
      <w:r>
        <w:rPr>
          <w:rFonts w:hint="eastAsia" w:ascii="宋体" w:hAnsi="宋体" w:eastAsia="宋体" w:cs="宋体"/>
          <w:color w:val="auto"/>
          <w:kern w:val="2"/>
          <w:sz w:val="21"/>
          <w:szCs w:val="21"/>
          <w:highlight w:val="none"/>
        </w:rPr>
        <w:t>做好</w:t>
      </w:r>
      <w:r>
        <w:rPr>
          <w:rFonts w:hint="eastAsia" w:ascii="宋体" w:hAnsi="宋体" w:eastAsia="宋体" w:cs="宋体"/>
          <w:color w:val="auto"/>
          <w:kern w:val="2"/>
          <w:sz w:val="21"/>
          <w:szCs w:val="21"/>
          <w:highlight w:val="none"/>
          <w:lang w:val="en-US" w:eastAsia="zh-CN"/>
        </w:rPr>
        <w:t>不少于4mm2的铜线绝缘</w:t>
      </w:r>
      <w:r>
        <w:rPr>
          <w:rFonts w:hint="eastAsia" w:ascii="宋体" w:hAnsi="宋体" w:eastAsia="宋体" w:cs="宋体"/>
          <w:color w:val="auto"/>
          <w:kern w:val="2"/>
          <w:sz w:val="21"/>
          <w:szCs w:val="21"/>
          <w:highlight w:val="none"/>
        </w:rPr>
        <w:t>接地线</w:t>
      </w:r>
      <w:r>
        <w:rPr>
          <w:rFonts w:hint="eastAsia" w:ascii="宋体" w:hAnsi="宋体" w:eastAsia="宋体" w:cs="宋体"/>
          <w:color w:val="auto"/>
          <w:kern w:val="2"/>
          <w:sz w:val="21"/>
          <w:szCs w:val="21"/>
          <w:highlight w:val="none"/>
          <w:lang w:val="en-US" w:eastAsia="zh-CN"/>
        </w:rPr>
        <w:t>跨接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等电位连接与接地。</w:t>
      </w:r>
    </w:p>
    <w:p w14:paraId="0CE4D5D4">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）光伏组件作为建筑一部分，本身要具备很好的防雷措施，与建筑物的防雷带</w:t>
      </w:r>
      <w:r>
        <w:rPr>
          <w:rFonts w:hint="eastAsia" w:ascii="宋体" w:hAnsi="宋体" w:eastAsia="宋体" w:cs="宋体"/>
          <w:color w:val="auto"/>
          <w:kern w:val="2"/>
          <w:sz w:val="21"/>
          <w:szCs w:val="21"/>
          <w:highlight w:val="none"/>
          <w:lang w:val="en-US" w:eastAsia="zh-CN"/>
        </w:rPr>
        <w:t>必须进行可靠连接（或与增设的防雷接闪网、接闪带可靠连接）</w:t>
      </w:r>
      <w:r>
        <w:rPr>
          <w:rFonts w:hint="eastAsia" w:ascii="宋体" w:hAnsi="宋体" w:eastAsia="宋体" w:cs="宋体"/>
          <w:color w:val="auto"/>
          <w:kern w:val="2"/>
          <w:sz w:val="21"/>
          <w:szCs w:val="21"/>
          <w:highlight w:val="none"/>
        </w:rPr>
        <w:t>。在并网逆变器、交流汇流箱，光伏并网柜都应该有分级别的防雷防浪涌保护模块，保护相关的电气设备和线路。</w:t>
      </w:r>
    </w:p>
    <w:p w14:paraId="662F89C6">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安装组件的屋面，必须设置接闪网、接闪带进行保护，并应在整个屋面组成不大于20m×20m或24 m×16m的网格。</w:t>
      </w:r>
    </w:p>
    <w:p w14:paraId="25DFE3C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）防雷设施安装必须符合《建筑物防雷设计规范》GB50057</w:t>
      </w:r>
      <w:r>
        <w:rPr>
          <w:rFonts w:hint="eastAsia" w:ascii="宋体" w:hAnsi="宋体" w:eastAsia="宋体" w:cs="宋体"/>
          <w:color w:val="auto"/>
          <w:kern w:val="2"/>
          <w:sz w:val="21"/>
          <w:szCs w:val="21"/>
          <w:highlight w:val="none"/>
          <w:lang w:eastAsia="zh-CN"/>
        </w:rPr>
        <w:t>、《民用建筑电气设计标准》GB51348</w:t>
      </w:r>
      <w:r>
        <w:rPr>
          <w:rFonts w:hint="eastAsia" w:ascii="宋体" w:hAnsi="宋体" w:eastAsia="宋体" w:cs="宋体"/>
          <w:color w:val="auto"/>
          <w:kern w:val="2"/>
          <w:sz w:val="21"/>
          <w:szCs w:val="21"/>
          <w:highlight w:val="none"/>
        </w:rPr>
        <w:t>及国家相关规范要求。</w:t>
      </w:r>
    </w:p>
    <w:p w14:paraId="37A7886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）彩钢瓦屋面要求在</w:t>
      </w:r>
      <w:r>
        <w:rPr>
          <w:rFonts w:hint="eastAsia" w:ascii="宋体" w:hAnsi="宋体" w:eastAsia="宋体" w:cs="宋体"/>
          <w:color w:val="auto"/>
          <w:kern w:val="2"/>
          <w:sz w:val="21"/>
          <w:szCs w:val="21"/>
          <w:highlight w:val="none"/>
          <w:lang w:val="en-US" w:eastAsia="zh-CN"/>
        </w:rPr>
        <w:t>焊接防雷网时</w:t>
      </w:r>
      <w:r>
        <w:rPr>
          <w:rFonts w:hint="eastAsia" w:ascii="宋体" w:hAnsi="宋体" w:eastAsia="宋体" w:cs="宋体"/>
          <w:color w:val="auto"/>
          <w:kern w:val="2"/>
          <w:sz w:val="21"/>
          <w:szCs w:val="21"/>
          <w:highlight w:val="none"/>
        </w:rPr>
        <w:t>，应在底部铺满防火隔热板，防止燃烧物溅落至彩钢瓦屋面，烧坏屋顶。</w:t>
      </w:r>
    </w:p>
    <w:p w14:paraId="4079565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10.视频监控系统技术要求</w:t>
      </w:r>
    </w:p>
    <w:p w14:paraId="0C9EA7F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（1）投标单位提供整套光伏项目的智能型综合自动化系统，实时监测系统的运行情况；该系统集电站设备</w:t>
      </w:r>
      <w:r>
        <w:rPr>
          <w:rFonts w:hint="eastAsia" w:ascii="宋体" w:hAnsi="宋体" w:eastAsia="宋体" w:cs="宋体"/>
          <w:color w:val="auto"/>
          <w:kern w:val="2"/>
          <w:sz w:val="21"/>
          <w:szCs w:val="21"/>
          <w:highlight w:val="none"/>
          <w:lang w:val="en-US" w:eastAsia="zh-CN"/>
        </w:rPr>
        <w:t>视频</w:t>
      </w:r>
      <w:r>
        <w:rPr>
          <w:rFonts w:hint="eastAsia" w:ascii="宋体" w:hAnsi="宋体" w:eastAsia="宋体" w:cs="宋体"/>
          <w:color w:val="auto"/>
          <w:kern w:val="2"/>
          <w:sz w:val="21"/>
          <w:szCs w:val="21"/>
          <w:highlight w:val="none"/>
        </w:rPr>
        <w:t>监控、电站发电量整体分析、生产报表等于一体，使光伏电站实现安全、规范、高效、智能的运行，保证电站获得持续稳定的发电收益。本项目中系统监控管理由中标方提供，中标方负责安装调试及配合业主后期维护。</w:t>
      </w:r>
    </w:p>
    <w:p w14:paraId="098250D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视频监控</w:t>
      </w:r>
      <w:r>
        <w:rPr>
          <w:rFonts w:hint="eastAsia" w:ascii="宋体" w:hAnsi="宋体" w:eastAsia="宋体" w:cs="宋体"/>
          <w:color w:val="auto"/>
          <w:kern w:val="2"/>
          <w:sz w:val="21"/>
          <w:szCs w:val="21"/>
          <w:highlight w:val="none"/>
        </w:rPr>
        <w:t>采用高清光口网络摄像机加光口高速摄像机的模式，</w:t>
      </w:r>
      <w:r>
        <w:rPr>
          <w:rFonts w:hint="eastAsia" w:ascii="宋体" w:hAnsi="宋体" w:eastAsia="宋体" w:cs="宋体"/>
          <w:color w:val="auto"/>
          <w:kern w:val="2"/>
          <w:sz w:val="21"/>
          <w:szCs w:val="21"/>
          <w:highlight w:val="none"/>
          <w:lang w:val="en-US" w:eastAsia="zh-CN"/>
        </w:rPr>
        <w:t>投资方</w:t>
      </w:r>
      <w:r>
        <w:rPr>
          <w:rFonts w:hint="eastAsia" w:ascii="宋体" w:hAnsi="宋体" w:eastAsia="宋体" w:cs="宋体"/>
          <w:color w:val="auto"/>
          <w:kern w:val="2"/>
          <w:sz w:val="21"/>
          <w:szCs w:val="21"/>
          <w:highlight w:val="none"/>
        </w:rPr>
        <w:t>能通过投标单位提供的网络地址</w:t>
      </w:r>
      <w:r>
        <w:rPr>
          <w:rFonts w:hint="eastAsia" w:ascii="宋体" w:hAnsi="宋体" w:eastAsia="宋体" w:cs="宋体"/>
          <w:color w:val="auto"/>
          <w:kern w:val="2"/>
          <w:sz w:val="21"/>
          <w:szCs w:val="21"/>
          <w:highlight w:val="none"/>
          <w:lang w:val="en-US" w:eastAsia="zh-CN"/>
        </w:rPr>
        <w:t>或软件</w:t>
      </w:r>
      <w:r>
        <w:rPr>
          <w:rFonts w:hint="eastAsia" w:ascii="宋体" w:hAnsi="宋体" w:eastAsia="宋体" w:cs="宋体"/>
          <w:color w:val="auto"/>
          <w:kern w:val="2"/>
          <w:sz w:val="21"/>
          <w:szCs w:val="21"/>
          <w:highlight w:val="none"/>
        </w:rPr>
        <w:t>对</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电站</w:t>
      </w:r>
      <w:r>
        <w:rPr>
          <w:rFonts w:hint="eastAsia" w:ascii="宋体" w:hAnsi="宋体" w:eastAsia="宋体" w:cs="宋体"/>
          <w:color w:val="auto"/>
          <w:kern w:val="2"/>
          <w:sz w:val="21"/>
          <w:szCs w:val="21"/>
          <w:highlight w:val="none"/>
          <w:lang w:val="en-US" w:eastAsia="zh-CN"/>
        </w:rPr>
        <w:t>进行实时</w:t>
      </w:r>
      <w:r>
        <w:rPr>
          <w:rFonts w:hint="eastAsia" w:ascii="宋体" w:hAnsi="宋体" w:eastAsia="宋体" w:cs="宋体"/>
          <w:color w:val="auto"/>
          <w:kern w:val="2"/>
          <w:sz w:val="21"/>
          <w:szCs w:val="21"/>
          <w:highlight w:val="none"/>
        </w:rPr>
        <w:t>远程监控，图像分辨率达到1280*960以上，镜头变倍≥20 倍光学变焦，能够分辨出设备的外观及运行状态、识别出人员车辆等，防护等级要求达到IP67，TVS 8000V防雷、防浪涌、防突波，具有红外夜视功能，夜视距离≥150 米，使用先进的压缩编码技术，视频图像直接在前端进行压缩，通过网络传输回电站监控室，避免外界电磁场对图像的影响。</w:t>
      </w:r>
    </w:p>
    <w:p w14:paraId="15013D4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视频监控</w:t>
      </w:r>
      <w:r>
        <w:rPr>
          <w:rFonts w:hint="eastAsia" w:ascii="宋体" w:hAnsi="宋体" w:eastAsia="宋体" w:cs="宋体"/>
          <w:color w:val="auto"/>
          <w:kern w:val="2"/>
          <w:sz w:val="21"/>
          <w:szCs w:val="21"/>
          <w:highlight w:val="none"/>
        </w:rPr>
        <w:t>系统既支持</w:t>
      </w:r>
      <w:r>
        <w:rPr>
          <w:rFonts w:hint="eastAsia" w:ascii="宋体" w:hAnsi="宋体" w:eastAsia="宋体" w:cs="宋体"/>
          <w:color w:val="auto"/>
          <w:kern w:val="2"/>
          <w:sz w:val="21"/>
          <w:szCs w:val="21"/>
          <w:highlight w:val="none"/>
          <w:lang w:val="en-US" w:eastAsia="zh-CN"/>
        </w:rPr>
        <w:t>光伏电</w:t>
      </w:r>
      <w:r>
        <w:rPr>
          <w:rFonts w:hint="eastAsia" w:ascii="宋体" w:hAnsi="宋体" w:eastAsia="宋体" w:cs="宋体"/>
          <w:color w:val="auto"/>
          <w:kern w:val="2"/>
          <w:sz w:val="21"/>
          <w:szCs w:val="21"/>
          <w:highlight w:val="none"/>
        </w:rPr>
        <w:t>站全景展示又能进行细节展示，对于重要设备还具有从多个摄像机进行多角度监视的功能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rPr>
        <w:t>实时图像自动复位，即可对发电阵列内可旋转的摄像机设定默认监视位置，正常状态下摄像机保持默认位置；在控制完成后自动恢复到默认监视位置。</w:t>
      </w:r>
    </w:p>
    <w:p w14:paraId="6476940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）项目通电并网后</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w:t>
      </w:r>
      <w:r>
        <w:rPr>
          <w:rFonts w:hint="eastAsia" w:ascii="宋体" w:hAnsi="宋体" w:eastAsia="宋体" w:cs="宋体"/>
          <w:color w:val="auto"/>
          <w:kern w:val="2"/>
          <w:sz w:val="21"/>
          <w:szCs w:val="21"/>
          <w:highlight w:val="none"/>
        </w:rPr>
        <w:t>负责</w:t>
      </w:r>
      <w:r>
        <w:rPr>
          <w:rFonts w:hint="eastAsia" w:ascii="宋体" w:hAnsi="宋体" w:eastAsia="宋体" w:cs="宋体"/>
          <w:color w:val="auto"/>
          <w:kern w:val="2"/>
          <w:sz w:val="21"/>
          <w:szCs w:val="21"/>
          <w:highlight w:val="none"/>
          <w:lang w:val="en-US" w:eastAsia="zh-CN"/>
        </w:rPr>
        <w:t>为安全运维部技术员</w:t>
      </w:r>
      <w:r>
        <w:rPr>
          <w:rFonts w:hint="eastAsia" w:ascii="宋体" w:hAnsi="宋体" w:eastAsia="宋体" w:cs="宋体"/>
          <w:color w:val="auto"/>
          <w:kern w:val="2"/>
          <w:sz w:val="21"/>
          <w:szCs w:val="21"/>
          <w:highlight w:val="none"/>
        </w:rPr>
        <w:t>注册APP</w:t>
      </w:r>
      <w:r>
        <w:rPr>
          <w:rFonts w:hint="eastAsia" w:ascii="宋体" w:hAnsi="宋体" w:eastAsia="宋体" w:cs="宋体"/>
          <w:color w:val="auto"/>
          <w:kern w:val="2"/>
          <w:sz w:val="21"/>
          <w:szCs w:val="21"/>
          <w:highlight w:val="none"/>
          <w:lang w:val="en-US" w:eastAsia="zh-CN"/>
        </w:rPr>
        <w:t>视频</w:t>
      </w:r>
      <w:r>
        <w:rPr>
          <w:rFonts w:hint="eastAsia" w:ascii="宋体" w:hAnsi="宋体" w:eastAsia="宋体" w:cs="宋体"/>
          <w:color w:val="auto"/>
          <w:kern w:val="2"/>
          <w:sz w:val="21"/>
          <w:szCs w:val="21"/>
          <w:highlight w:val="none"/>
        </w:rPr>
        <w:t>监控软件，并将光伏电站现场实时监测数据联通传送至</w:t>
      </w:r>
      <w:r>
        <w:rPr>
          <w:rFonts w:hint="eastAsia" w:ascii="宋体" w:hAnsi="宋体" w:eastAsia="宋体" w:cs="宋体"/>
          <w:color w:val="auto"/>
          <w:kern w:val="2"/>
          <w:sz w:val="21"/>
          <w:szCs w:val="21"/>
          <w:highlight w:val="none"/>
          <w:lang w:val="en-US" w:eastAsia="zh-CN"/>
        </w:rPr>
        <w:t>东莞市新锋新能源有限公司</w:t>
      </w:r>
      <w:r>
        <w:rPr>
          <w:rFonts w:hint="eastAsia" w:ascii="宋体" w:hAnsi="宋体" w:eastAsia="宋体" w:cs="宋体"/>
          <w:color w:val="auto"/>
          <w:kern w:val="2"/>
          <w:sz w:val="21"/>
          <w:szCs w:val="21"/>
          <w:highlight w:val="none"/>
        </w:rPr>
        <w:t>数据控制中心PC端，实现集中监控</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具体要求如下：</w:t>
      </w:r>
    </w:p>
    <w:tbl>
      <w:tblPr>
        <w:tblStyle w:val="84"/>
        <w:tblW w:w="504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11"/>
        <w:gridCol w:w="2543"/>
        <w:gridCol w:w="5979"/>
      </w:tblGrid>
      <w:tr w14:paraId="63B9F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23" w:hRule="atLeast"/>
          <w:jc w:val="center"/>
        </w:trPr>
        <w:tc>
          <w:tcPr>
            <w:tcW w:w="622" w:type="pct"/>
            <w:vAlign w:val="center"/>
          </w:tcPr>
          <w:p w14:paraId="3AC30981">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spacing w:val="-5"/>
                <w:kern w:val="2"/>
                <w:sz w:val="21"/>
                <w:szCs w:val="21"/>
                <w:highlight w:val="none"/>
              </w:rPr>
              <w:t>区</w:t>
            </w:r>
            <w:r>
              <w:rPr>
                <w:rFonts w:hint="eastAsia" w:ascii="宋体" w:hAnsi="宋体" w:eastAsia="宋体" w:cs="宋体"/>
                <w:b/>
                <w:bCs/>
                <w:color w:val="auto"/>
                <w:spacing w:val="-3"/>
                <w:kern w:val="2"/>
                <w:sz w:val="21"/>
                <w:szCs w:val="21"/>
                <w:highlight w:val="none"/>
              </w:rPr>
              <w:t>域</w:t>
            </w:r>
          </w:p>
        </w:tc>
        <w:tc>
          <w:tcPr>
            <w:tcW w:w="1306" w:type="pct"/>
            <w:vAlign w:val="center"/>
          </w:tcPr>
          <w:p w14:paraId="59DFCE6A">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spacing w:val="8"/>
                <w:kern w:val="2"/>
                <w:sz w:val="21"/>
                <w:szCs w:val="21"/>
                <w:highlight w:val="none"/>
              </w:rPr>
              <w:t>摄像头数量</w:t>
            </w:r>
          </w:p>
        </w:tc>
        <w:tc>
          <w:tcPr>
            <w:tcW w:w="3071" w:type="pct"/>
            <w:vAlign w:val="center"/>
          </w:tcPr>
          <w:p w14:paraId="2E15B2DA">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spacing w:val="4"/>
                <w:kern w:val="2"/>
                <w:sz w:val="21"/>
                <w:szCs w:val="21"/>
                <w:highlight w:val="none"/>
                <w:lang w:val="en-US" w:eastAsia="zh-CN"/>
              </w:rPr>
              <w:t>技术</w:t>
            </w:r>
          </w:p>
        </w:tc>
      </w:tr>
      <w:tr w14:paraId="05FEA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3" w:hRule="atLeast"/>
          <w:jc w:val="center"/>
        </w:trPr>
        <w:tc>
          <w:tcPr>
            <w:tcW w:w="622" w:type="pct"/>
            <w:vAlign w:val="center"/>
          </w:tcPr>
          <w:p w14:paraId="5AE92DD0">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4"/>
                <w:kern w:val="2"/>
                <w:sz w:val="21"/>
                <w:szCs w:val="21"/>
                <w:highlight w:val="none"/>
                <w:lang w:val="en-US" w:eastAsia="zh-CN"/>
              </w:rPr>
            </w:pPr>
            <w:r>
              <w:rPr>
                <w:rFonts w:hint="eastAsia" w:ascii="宋体" w:hAnsi="宋体" w:eastAsia="宋体" w:cs="宋体"/>
                <w:color w:val="auto"/>
                <w:spacing w:val="4"/>
                <w:kern w:val="2"/>
                <w:sz w:val="21"/>
                <w:szCs w:val="21"/>
                <w:highlight w:val="none"/>
                <w:lang w:val="en-US" w:eastAsia="zh-CN"/>
              </w:rPr>
              <w:t>光伏</w:t>
            </w:r>
          </w:p>
          <w:p w14:paraId="2D0C618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spacing w:val="4"/>
                <w:kern w:val="2"/>
                <w:sz w:val="21"/>
                <w:szCs w:val="21"/>
                <w:highlight w:val="none"/>
                <w:lang w:val="en-US" w:eastAsia="zh-CN"/>
              </w:rPr>
              <w:t>组件</w:t>
            </w:r>
          </w:p>
        </w:tc>
        <w:tc>
          <w:tcPr>
            <w:tcW w:w="1306" w:type="pct"/>
            <w:vMerge w:val="restart"/>
            <w:vAlign w:val="center"/>
          </w:tcPr>
          <w:p w14:paraId="793290F3">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p>
          <w:p w14:paraId="64E2FC31">
            <w:pPr>
              <w:pageBreakBefore w:val="0"/>
              <w:widowControl w:val="0"/>
              <w:kinsoku/>
              <w:overflowPunct/>
              <w:topLinePunct w:val="0"/>
              <w:bidi w:val="0"/>
              <w:adjustRightInd/>
              <w:snapToGrid/>
              <w:spacing w:after="0" w:line="360" w:lineRule="auto"/>
              <w:jc w:val="left"/>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spacing w:val="-4"/>
                <w:kern w:val="2"/>
                <w:sz w:val="21"/>
                <w:szCs w:val="21"/>
                <w:highlight w:val="none"/>
              </w:rPr>
              <w:t>1.</w:t>
            </w:r>
            <w:r>
              <w:rPr>
                <w:rFonts w:hint="eastAsia" w:ascii="宋体" w:hAnsi="宋体" w:eastAsia="宋体" w:cs="宋体"/>
                <w:color w:val="auto"/>
                <w:kern w:val="2"/>
                <w:sz w:val="21"/>
                <w:szCs w:val="21"/>
                <w:highlight w:val="none"/>
              </w:rPr>
              <w:t>根据现场及业主意见调整</w:t>
            </w:r>
            <w:r>
              <w:rPr>
                <w:rFonts w:hint="eastAsia" w:ascii="宋体" w:hAnsi="宋体" w:eastAsia="宋体" w:cs="宋体"/>
                <w:color w:val="auto"/>
                <w:kern w:val="2"/>
                <w:sz w:val="21"/>
                <w:szCs w:val="21"/>
                <w:highlight w:val="none"/>
                <w:lang w:eastAsia="zh-CN"/>
              </w:rPr>
              <w:t>；</w:t>
            </w:r>
          </w:p>
          <w:p w14:paraId="6A27002F">
            <w:pPr>
              <w:pageBreakBefore w:val="0"/>
              <w:widowControl w:val="0"/>
              <w:kinsoku/>
              <w:overflowPunct/>
              <w:topLinePunct w:val="0"/>
              <w:bidi w:val="0"/>
              <w:adjustRightInd/>
              <w:snapToGrid/>
              <w:spacing w:after="0" w:line="360" w:lineRule="auto"/>
              <w:ind w:right="203"/>
              <w:jc w:val="both"/>
              <w:textAlignment w:val="auto"/>
              <w:rPr>
                <w:rFonts w:hint="eastAsia" w:ascii="宋体" w:hAnsi="宋体" w:eastAsia="宋体" w:cs="宋体"/>
                <w:color w:val="auto"/>
                <w:spacing w:val="8"/>
                <w:kern w:val="2"/>
                <w:sz w:val="21"/>
                <w:szCs w:val="21"/>
                <w:highlight w:val="none"/>
                <w:lang w:eastAsia="zh-CN"/>
              </w:rPr>
            </w:pPr>
            <w:r>
              <w:rPr>
                <w:rFonts w:hint="eastAsia" w:ascii="宋体" w:hAnsi="宋体" w:eastAsia="宋体" w:cs="宋体"/>
                <w:color w:val="auto"/>
                <w:spacing w:val="8"/>
                <w:kern w:val="2"/>
                <w:sz w:val="21"/>
                <w:szCs w:val="21"/>
                <w:highlight w:val="none"/>
                <w:lang w:val="en-US" w:eastAsia="zh-CN"/>
              </w:rPr>
              <w:t>2</w:t>
            </w:r>
            <w:r>
              <w:rPr>
                <w:rFonts w:hint="eastAsia" w:ascii="宋体" w:hAnsi="宋体" w:eastAsia="宋体" w:cs="宋体"/>
                <w:color w:val="auto"/>
                <w:spacing w:val="8"/>
                <w:kern w:val="2"/>
                <w:sz w:val="21"/>
                <w:szCs w:val="21"/>
                <w:highlight w:val="none"/>
              </w:rPr>
              <w:t>.视频监控画面必须覆盖所有光伏</w:t>
            </w:r>
            <w:r>
              <w:rPr>
                <w:rFonts w:hint="eastAsia" w:ascii="宋体" w:hAnsi="宋体" w:eastAsia="宋体" w:cs="宋体"/>
                <w:color w:val="auto"/>
                <w:spacing w:val="8"/>
                <w:kern w:val="2"/>
                <w:sz w:val="21"/>
                <w:szCs w:val="21"/>
                <w:highlight w:val="none"/>
                <w:lang w:val="en-US" w:eastAsia="zh-CN"/>
              </w:rPr>
              <w:t>组件</w:t>
            </w:r>
            <w:r>
              <w:rPr>
                <w:rFonts w:hint="eastAsia" w:ascii="宋体" w:hAnsi="宋体" w:eastAsia="宋体" w:cs="宋体"/>
                <w:color w:val="auto"/>
                <w:spacing w:val="8"/>
                <w:kern w:val="2"/>
                <w:sz w:val="21"/>
                <w:szCs w:val="21"/>
                <w:highlight w:val="none"/>
              </w:rPr>
              <w:t>、逆变器区域，不得存在盲区</w:t>
            </w:r>
            <w:r>
              <w:rPr>
                <w:rFonts w:hint="eastAsia" w:ascii="宋体" w:hAnsi="宋体" w:eastAsia="宋体" w:cs="宋体"/>
                <w:color w:val="auto"/>
                <w:spacing w:val="8"/>
                <w:kern w:val="2"/>
                <w:sz w:val="21"/>
                <w:szCs w:val="21"/>
                <w:highlight w:val="none"/>
                <w:lang w:eastAsia="zh-CN"/>
              </w:rPr>
              <w:t>；</w:t>
            </w:r>
          </w:p>
          <w:p w14:paraId="0F38A58F">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p>
        </w:tc>
        <w:tc>
          <w:tcPr>
            <w:tcW w:w="3071" w:type="pct"/>
            <w:vMerge w:val="restart"/>
            <w:tcBorders>
              <w:bottom w:val="nil"/>
            </w:tcBorders>
            <w:vAlign w:val="center"/>
          </w:tcPr>
          <w:p w14:paraId="08BB29C7">
            <w:pPr>
              <w:pageBreakBefore w:val="0"/>
              <w:widowControl w:val="0"/>
              <w:kinsoku/>
              <w:overflowPunct/>
              <w:topLinePunct w:val="0"/>
              <w:autoSpaceDE/>
              <w:autoSpaceDN/>
              <w:bidi w:val="0"/>
              <w:adjustRightInd/>
              <w:snapToGrid/>
              <w:spacing w:after="0" w:line="360" w:lineRule="auto"/>
              <w:ind w:right="203"/>
              <w:jc w:val="both"/>
              <w:textAlignment w:val="auto"/>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4"/>
                <w:kern w:val="2"/>
                <w:sz w:val="21"/>
                <w:szCs w:val="21"/>
                <w:highlight w:val="none"/>
              </w:rPr>
              <w:t>1.</w:t>
            </w:r>
            <w:r>
              <w:rPr>
                <w:rFonts w:hint="eastAsia" w:ascii="宋体" w:hAnsi="宋体" w:eastAsia="宋体" w:cs="宋体"/>
                <w:color w:val="auto"/>
                <w:spacing w:val="-4"/>
                <w:kern w:val="2"/>
                <w:sz w:val="21"/>
                <w:szCs w:val="21"/>
                <w:highlight w:val="none"/>
                <w:lang w:val="en-US" w:eastAsia="zh-CN"/>
              </w:rPr>
              <w:t>支持</w:t>
            </w:r>
            <w:r>
              <w:rPr>
                <w:rFonts w:hint="eastAsia" w:ascii="宋体" w:hAnsi="宋体" w:eastAsia="宋体" w:cs="宋体"/>
                <w:color w:val="auto"/>
                <w:spacing w:val="-2"/>
                <w:kern w:val="2"/>
                <w:sz w:val="21"/>
                <w:szCs w:val="21"/>
                <w:highlight w:val="none"/>
                <w:lang w:val="en-US" w:eastAsia="zh-CN"/>
              </w:rPr>
              <w:t>1年移动数据流量包</w:t>
            </w:r>
            <w:r>
              <w:rPr>
                <w:rFonts w:hint="eastAsia" w:ascii="宋体" w:hAnsi="宋体" w:eastAsia="宋体" w:cs="宋体"/>
                <w:color w:val="auto"/>
                <w:spacing w:val="-2"/>
                <w:kern w:val="2"/>
                <w:sz w:val="21"/>
                <w:szCs w:val="21"/>
                <w:highlight w:val="none"/>
              </w:rPr>
              <w:t>；</w:t>
            </w:r>
          </w:p>
          <w:p w14:paraId="7738CFE1">
            <w:pPr>
              <w:pageBreakBefore w:val="0"/>
              <w:widowControl w:val="0"/>
              <w:kinsoku/>
              <w:overflowPunct/>
              <w:topLinePunct w:val="0"/>
              <w:autoSpaceDE/>
              <w:autoSpaceDN/>
              <w:bidi w:val="0"/>
              <w:adjustRightInd/>
              <w:snapToGrid/>
              <w:spacing w:after="0" w:line="360" w:lineRule="auto"/>
              <w:ind w:right="203"/>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spacing w:val="1"/>
                <w:kern w:val="2"/>
                <w:sz w:val="21"/>
                <w:szCs w:val="21"/>
                <w:highlight w:val="none"/>
              </w:rPr>
              <w:t>2.支持手机远程监控，</w:t>
            </w:r>
            <w:r>
              <w:rPr>
                <w:rFonts w:hint="eastAsia" w:ascii="宋体" w:hAnsi="宋体" w:eastAsia="宋体" w:cs="宋体"/>
                <w:color w:val="auto"/>
                <w:kern w:val="2"/>
                <w:sz w:val="21"/>
                <w:szCs w:val="21"/>
                <w:highlight w:val="none"/>
              </w:rPr>
              <w:t>所有监控数据要</w:t>
            </w:r>
            <w:r>
              <w:rPr>
                <w:rFonts w:hint="eastAsia" w:ascii="宋体" w:hAnsi="宋体" w:eastAsia="宋体" w:cs="宋体"/>
                <w:color w:val="auto"/>
                <w:kern w:val="2"/>
                <w:sz w:val="21"/>
                <w:szCs w:val="21"/>
                <w:highlight w:val="none"/>
                <w:lang w:val="en-US" w:eastAsia="zh-CN"/>
              </w:rPr>
              <w:t>本地储存，硬盘容量要满足视频回放1</w:t>
            </w:r>
            <w:r>
              <w:rPr>
                <w:rFonts w:hint="eastAsia" w:ascii="宋体" w:hAnsi="宋体" w:eastAsia="宋体" w:cs="宋体"/>
                <w:color w:val="auto"/>
                <w:kern w:val="2"/>
                <w:sz w:val="21"/>
                <w:szCs w:val="21"/>
                <w:highlight w:val="none"/>
              </w:rPr>
              <w:t>个月以上</w:t>
            </w:r>
            <w:r>
              <w:rPr>
                <w:rFonts w:hint="eastAsia" w:ascii="宋体" w:hAnsi="宋体" w:eastAsia="宋体" w:cs="宋体"/>
                <w:color w:val="auto"/>
                <w:kern w:val="2"/>
                <w:sz w:val="21"/>
                <w:szCs w:val="21"/>
                <w:highlight w:val="none"/>
                <w:lang w:eastAsia="zh-CN"/>
              </w:rPr>
              <w:t>；</w:t>
            </w:r>
          </w:p>
          <w:p w14:paraId="4D9BD545">
            <w:pPr>
              <w:pageBreakBefore w:val="0"/>
              <w:widowControl w:val="0"/>
              <w:kinsoku/>
              <w:overflowPunct/>
              <w:topLinePunct w:val="0"/>
              <w:bidi w:val="0"/>
              <w:adjustRightInd/>
              <w:snapToGrid/>
              <w:spacing w:after="0" w:line="360" w:lineRule="auto"/>
              <w:ind w:right="203"/>
              <w:jc w:val="both"/>
              <w:textAlignment w:val="auto"/>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11"/>
                <w:kern w:val="2"/>
                <w:sz w:val="21"/>
                <w:szCs w:val="21"/>
                <w:highlight w:val="none"/>
              </w:rPr>
              <w:t>3</w:t>
            </w:r>
            <w:r>
              <w:rPr>
                <w:rFonts w:hint="eastAsia" w:ascii="宋体" w:hAnsi="宋体" w:eastAsia="宋体" w:cs="宋体"/>
                <w:color w:val="auto"/>
                <w:spacing w:val="8"/>
                <w:kern w:val="2"/>
                <w:sz w:val="21"/>
                <w:szCs w:val="21"/>
                <w:highlight w:val="none"/>
              </w:rPr>
              <w:t>.</w:t>
            </w:r>
            <w:r>
              <w:rPr>
                <w:rFonts w:hint="eastAsia" w:ascii="宋体" w:hAnsi="宋体" w:eastAsia="宋体" w:cs="宋体"/>
                <w:color w:val="auto"/>
                <w:spacing w:val="8"/>
                <w:kern w:val="2"/>
                <w:sz w:val="21"/>
                <w:szCs w:val="21"/>
                <w:highlight w:val="none"/>
                <w:lang w:val="en-US" w:eastAsia="zh-CN"/>
              </w:rPr>
              <w:t>视频</w:t>
            </w:r>
            <w:r>
              <w:rPr>
                <w:rFonts w:hint="eastAsia" w:ascii="宋体" w:hAnsi="宋体" w:eastAsia="宋体" w:cs="宋体"/>
                <w:color w:val="auto"/>
                <w:kern w:val="2"/>
                <w:sz w:val="21"/>
                <w:szCs w:val="21"/>
                <w:highlight w:val="none"/>
              </w:rPr>
              <w:t>摄像头为高清、</w:t>
            </w:r>
            <w:r>
              <w:rPr>
                <w:rFonts w:hint="eastAsia" w:ascii="宋体" w:hAnsi="宋体" w:eastAsia="宋体" w:cs="宋体"/>
                <w:color w:val="auto"/>
                <w:spacing w:val="8"/>
                <w:kern w:val="2"/>
                <w:sz w:val="21"/>
                <w:szCs w:val="21"/>
                <w:highlight w:val="none"/>
              </w:rPr>
              <w:t>具有夜视功能，支持移动侦测报警；</w:t>
            </w:r>
          </w:p>
          <w:p w14:paraId="187D6D42">
            <w:pPr>
              <w:pageBreakBefore w:val="0"/>
              <w:widowControl w:val="0"/>
              <w:kinsoku/>
              <w:overflowPunct/>
              <w:topLinePunct w:val="0"/>
              <w:bidi w:val="0"/>
              <w:adjustRightInd/>
              <w:snapToGrid/>
              <w:spacing w:after="0" w:line="360" w:lineRule="auto"/>
              <w:ind w:right="203"/>
              <w:jc w:val="both"/>
              <w:textAlignment w:val="auto"/>
              <w:rPr>
                <w:rFonts w:hint="eastAsia" w:ascii="宋体" w:hAnsi="宋体" w:eastAsia="宋体" w:cs="宋体"/>
                <w:color w:val="auto"/>
                <w:spacing w:val="8"/>
                <w:kern w:val="2"/>
                <w:sz w:val="21"/>
                <w:szCs w:val="21"/>
                <w:highlight w:val="none"/>
                <w:lang w:eastAsia="zh-CN"/>
              </w:rPr>
            </w:pPr>
            <w:r>
              <w:rPr>
                <w:rFonts w:hint="eastAsia" w:ascii="宋体" w:hAnsi="宋体" w:eastAsia="宋体" w:cs="宋体"/>
                <w:color w:val="auto"/>
                <w:spacing w:val="8"/>
                <w:kern w:val="2"/>
                <w:sz w:val="21"/>
                <w:szCs w:val="21"/>
                <w:highlight w:val="none"/>
                <w:lang w:val="en-US" w:eastAsia="zh-CN"/>
              </w:rPr>
              <w:t>4</w:t>
            </w:r>
            <w:r>
              <w:rPr>
                <w:rFonts w:hint="eastAsia" w:ascii="宋体" w:hAnsi="宋体" w:eastAsia="宋体" w:cs="宋体"/>
                <w:color w:val="auto"/>
                <w:spacing w:val="8"/>
                <w:kern w:val="2"/>
                <w:sz w:val="21"/>
                <w:szCs w:val="21"/>
                <w:highlight w:val="none"/>
              </w:rPr>
              <w:t>.视频监控</w:t>
            </w:r>
            <w:r>
              <w:rPr>
                <w:rFonts w:hint="eastAsia" w:ascii="宋体" w:hAnsi="宋体" w:eastAsia="宋体" w:cs="宋体"/>
                <w:color w:val="auto"/>
                <w:kern w:val="2"/>
                <w:sz w:val="21"/>
                <w:szCs w:val="21"/>
                <w:highlight w:val="none"/>
              </w:rPr>
              <w:t>电源需引自市电</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spacing w:val="8"/>
                <w:kern w:val="2"/>
                <w:sz w:val="21"/>
                <w:szCs w:val="21"/>
                <w:highlight w:val="none"/>
                <w:lang w:val="en-US" w:eastAsia="zh-CN"/>
              </w:rPr>
              <w:t>若配置室外立杆需可靠接地并不造成光伏组件阴影遮挡</w:t>
            </w:r>
            <w:r>
              <w:rPr>
                <w:rFonts w:hint="eastAsia" w:ascii="宋体" w:hAnsi="宋体" w:eastAsia="宋体" w:cs="宋体"/>
                <w:color w:val="auto"/>
                <w:spacing w:val="8"/>
                <w:kern w:val="2"/>
                <w:sz w:val="21"/>
                <w:szCs w:val="21"/>
                <w:highlight w:val="none"/>
                <w:lang w:eastAsia="zh-CN"/>
              </w:rPr>
              <w:t>；</w:t>
            </w:r>
          </w:p>
          <w:p w14:paraId="6FF8346B">
            <w:pPr>
              <w:pageBreakBefore w:val="0"/>
              <w:widowControl w:val="0"/>
              <w:kinsoku/>
              <w:overflowPunct/>
              <w:topLinePunct w:val="0"/>
              <w:bidi w:val="0"/>
              <w:adjustRightInd/>
              <w:snapToGrid/>
              <w:spacing w:after="0" w:line="360" w:lineRule="auto"/>
              <w:ind w:right="203"/>
              <w:jc w:val="both"/>
              <w:textAlignment w:val="auto"/>
              <w:rPr>
                <w:rFonts w:hint="eastAsia" w:ascii="宋体" w:hAnsi="宋体" w:eastAsia="宋体" w:cs="宋体"/>
                <w:color w:val="auto"/>
                <w:spacing w:val="8"/>
                <w:kern w:val="2"/>
                <w:sz w:val="21"/>
                <w:szCs w:val="21"/>
                <w:highlight w:val="none"/>
                <w:lang w:eastAsia="zh-CN"/>
              </w:rPr>
            </w:pPr>
            <w:r>
              <w:rPr>
                <w:rFonts w:hint="eastAsia" w:ascii="宋体" w:hAnsi="宋体" w:eastAsia="宋体" w:cs="宋体"/>
                <w:color w:val="auto"/>
                <w:spacing w:val="8"/>
                <w:kern w:val="2"/>
                <w:sz w:val="21"/>
                <w:szCs w:val="21"/>
                <w:highlight w:val="none"/>
                <w:lang w:val="en-US" w:eastAsia="zh-CN"/>
              </w:rPr>
              <w:t>5</w:t>
            </w:r>
            <w:r>
              <w:rPr>
                <w:rFonts w:hint="eastAsia" w:ascii="宋体" w:hAnsi="宋体" w:eastAsia="宋体" w:cs="宋体"/>
                <w:color w:val="auto"/>
                <w:spacing w:val="8"/>
                <w:kern w:val="2"/>
                <w:sz w:val="21"/>
                <w:szCs w:val="21"/>
                <w:highlight w:val="none"/>
              </w:rPr>
              <w:t>.</w:t>
            </w:r>
            <w:r>
              <w:rPr>
                <w:rFonts w:hint="eastAsia" w:ascii="宋体" w:hAnsi="宋体" w:eastAsia="宋体" w:cs="宋体"/>
                <w:color w:val="auto"/>
                <w:kern w:val="2"/>
                <w:sz w:val="21"/>
                <w:szCs w:val="21"/>
                <w:highlight w:val="none"/>
              </w:rPr>
              <w:t>所有摄像头均可360</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kern w:val="2"/>
                <w:sz w:val="21"/>
                <w:szCs w:val="21"/>
                <w:highlight w:val="none"/>
              </w:rPr>
              <w:t>自由转动巡检</w:t>
            </w:r>
            <w:r>
              <w:rPr>
                <w:rFonts w:hint="eastAsia" w:ascii="宋体" w:hAnsi="宋体" w:eastAsia="宋体" w:cs="宋体"/>
                <w:color w:val="auto"/>
                <w:spacing w:val="8"/>
                <w:kern w:val="2"/>
                <w:sz w:val="21"/>
                <w:szCs w:val="21"/>
                <w:highlight w:val="none"/>
                <w:lang w:eastAsia="zh-CN"/>
              </w:rPr>
              <w:t>；</w:t>
            </w:r>
          </w:p>
          <w:p w14:paraId="1AB0B981">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spacing w:val="8"/>
                <w:kern w:val="2"/>
                <w:sz w:val="21"/>
                <w:szCs w:val="21"/>
                <w:highlight w:val="none"/>
              </w:rPr>
              <w:t>视频监控</w:t>
            </w:r>
            <w:r>
              <w:rPr>
                <w:rFonts w:hint="eastAsia" w:ascii="宋体" w:hAnsi="宋体" w:eastAsia="宋体" w:cs="宋体"/>
                <w:color w:val="auto"/>
                <w:kern w:val="2"/>
                <w:sz w:val="21"/>
                <w:szCs w:val="21"/>
                <w:highlight w:val="none"/>
                <w:lang w:val="en-US" w:eastAsia="zh-CN"/>
              </w:rPr>
              <w:t>推荐厂家品牌：海康威视、大华科技或具备同等质量的品牌</w:t>
            </w:r>
            <w:r>
              <w:rPr>
                <w:rFonts w:hint="eastAsia" w:ascii="宋体" w:hAnsi="宋体" w:eastAsia="宋体" w:cs="宋体"/>
                <w:b w:val="0"/>
                <w:bCs w:val="0"/>
                <w:color w:val="auto"/>
                <w:kern w:val="2"/>
                <w:sz w:val="21"/>
                <w:szCs w:val="21"/>
                <w:highlight w:val="none"/>
                <w:lang w:val="en-US" w:eastAsia="zh-CN" w:bidi="ar-SA"/>
              </w:rPr>
              <w:t>。</w:t>
            </w:r>
          </w:p>
        </w:tc>
      </w:tr>
      <w:tr w14:paraId="69874D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8" w:hRule="atLeast"/>
          <w:jc w:val="center"/>
        </w:trPr>
        <w:tc>
          <w:tcPr>
            <w:tcW w:w="622" w:type="pct"/>
            <w:vAlign w:val="center"/>
          </w:tcPr>
          <w:p w14:paraId="39E74CB4">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spacing w:val="7"/>
                <w:kern w:val="2"/>
                <w:sz w:val="21"/>
                <w:szCs w:val="21"/>
                <w:highlight w:val="none"/>
                <w:lang w:val="en-US" w:eastAsia="zh-CN"/>
              </w:rPr>
            </w:pPr>
            <w:r>
              <w:rPr>
                <w:rFonts w:hint="eastAsia" w:ascii="宋体" w:hAnsi="宋体" w:eastAsia="宋体" w:cs="宋体"/>
                <w:color w:val="auto"/>
                <w:spacing w:val="7"/>
                <w:kern w:val="2"/>
                <w:sz w:val="21"/>
                <w:szCs w:val="21"/>
                <w:highlight w:val="none"/>
                <w:lang w:val="en-US" w:eastAsia="zh-CN"/>
              </w:rPr>
              <w:t>并网</w:t>
            </w:r>
          </w:p>
          <w:p w14:paraId="3AE0466A">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spacing w:val="7"/>
                <w:kern w:val="2"/>
                <w:sz w:val="21"/>
                <w:szCs w:val="21"/>
                <w:highlight w:val="none"/>
                <w:lang w:val="en-US" w:eastAsia="zh-CN"/>
              </w:rPr>
              <w:t>逆变器</w:t>
            </w:r>
          </w:p>
        </w:tc>
        <w:tc>
          <w:tcPr>
            <w:tcW w:w="1306" w:type="pct"/>
            <w:vMerge w:val="continue"/>
            <w:vAlign w:val="center"/>
          </w:tcPr>
          <w:p w14:paraId="776A6CAF">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p>
        </w:tc>
        <w:tc>
          <w:tcPr>
            <w:tcW w:w="3071" w:type="pct"/>
            <w:vMerge w:val="continue"/>
            <w:tcBorders>
              <w:top w:val="nil"/>
            </w:tcBorders>
            <w:vAlign w:val="center"/>
          </w:tcPr>
          <w:p w14:paraId="0B39BED7">
            <w:pPr>
              <w:pageBreakBefore w:val="0"/>
              <w:widowControl w:val="0"/>
              <w:kinsoku/>
              <w:overflowPunct/>
              <w:topLinePunct w:val="0"/>
              <w:bidi w:val="0"/>
              <w:adjustRightInd/>
              <w:snapToGrid/>
              <w:spacing w:after="0" w:line="360" w:lineRule="auto"/>
              <w:jc w:val="center"/>
              <w:textAlignment w:val="auto"/>
              <w:rPr>
                <w:rFonts w:hint="eastAsia" w:ascii="宋体" w:hAnsi="宋体" w:eastAsia="宋体" w:cs="宋体"/>
                <w:color w:val="auto"/>
                <w:kern w:val="2"/>
                <w:sz w:val="21"/>
                <w:szCs w:val="21"/>
                <w:highlight w:val="none"/>
              </w:rPr>
            </w:pPr>
          </w:p>
        </w:tc>
      </w:tr>
    </w:tbl>
    <w:p w14:paraId="200821D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b/>
          <w:bCs/>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承包单位须在</w:t>
      </w:r>
      <w:r>
        <w:rPr>
          <w:rFonts w:hint="eastAsia" w:ascii="宋体" w:hAnsi="宋体" w:eastAsia="宋体" w:cs="宋体"/>
          <w:color w:val="auto"/>
          <w:kern w:val="2"/>
          <w:sz w:val="21"/>
          <w:szCs w:val="21"/>
          <w:highlight w:val="none"/>
        </w:rPr>
        <w:t>项目进场施工</w:t>
      </w:r>
      <w:r>
        <w:rPr>
          <w:rFonts w:hint="eastAsia" w:ascii="宋体" w:hAnsi="宋体" w:eastAsia="宋体" w:cs="宋体"/>
          <w:color w:val="auto"/>
          <w:kern w:val="2"/>
          <w:sz w:val="21"/>
          <w:szCs w:val="21"/>
          <w:highlight w:val="none"/>
          <w:lang w:val="en-US" w:eastAsia="zh-CN"/>
        </w:rPr>
        <w:t>后</w:t>
      </w:r>
      <w:r>
        <w:rPr>
          <w:rFonts w:hint="eastAsia" w:ascii="宋体" w:hAnsi="宋体" w:eastAsia="宋体" w:cs="宋体"/>
          <w:color w:val="auto"/>
          <w:kern w:val="2"/>
          <w:sz w:val="21"/>
          <w:szCs w:val="21"/>
          <w:highlight w:val="none"/>
        </w:rPr>
        <w:t>7天内</w:t>
      </w:r>
      <w:r>
        <w:rPr>
          <w:rFonts w:hint="eastAsia" w:ascii="宋体" w:hAnsi="宋体" w:eastAsia="宋体" w:cs="宋体"/>
          <w:color w:val="auto"/>
          <w:kern w:val="2"/>
          <w:sz w:val="21"/>
          <w:szCs w:val="21"/>
          <w:highlight w:val="none"/>
          <w:lang w:val="en-US" w:eastAsia="zh-CN"/>
        </w:rPr>
        <w:t>按以上要求</w:t>
      </w:r>
      <w:r>
        <w:rPr>
          <w:rFonts w:hint="eastAsia" w:ascii="宋体" w:hAnsi="宋体" w:eastAsia="宋体" w:cs="宋体"/>
          <w:color w:val="auto"/>
          <w:kern w:val="2"/>
          <w:sz w:val="21"/>
          <w:szCs w:val="21"/>
          <w:highlight w:val="none"/>
        </w:rPr>
        <w:t>完成所有区域视频监控</w:t>
      </w:r>
      <w:r>
        <w:rPr>
          <w:rFonts w:hint="eastAsia" w:ascii="宋体" w:hAnsi="宋体" w:eastAsia="宋体" w:cs="宋体"/>
          <w:color w:val="auto"/>
          <w:kern w:val="2"/>
          <w:sz w:val="21"/>
          <w:szCs w:val="21"/>
          <w:highlight w:val="none"/>
          <w:lang w:val="en-US" w:eastAsia="zh-CN"/>
        </w:rPr>
        <w:t>的</w:t>
      </w:r>
      <w:r>
        <w:rPr>
          <w:rFonts w:hint="eastAsia" w:ascii="宋体" w:hAnsi="宋体" w:eastAsia="宋体" w:cs="宋体"/>
          <w:color w:val="auto"/>
          <w:kern w:val="2"/>
          <w:sz w:val="21"/>
          <w:szCs w:val="21"/>
          <w:highlight w:val="none"/>
        </w:rPr>
        <w:t>安装</w:t>
      </w:r>
      <w:r>
        <w:rPr>
          <w:rFonts w:hint="eastAsia" w:ascii="宋体" w:hAnsi="宋体" w:eastAsia="宋体" w:cs="宋体"/>
          <w:color w:val="auto"/>
          <w:kern w:val="2"/>
          <w:sz w:val="21"/>
          <w:szCs w:val="21"/>
          <w:highlight w:val="none"/>
          <w:lang w:val="en-US" w:eastAsia="zh-CN"/>
        </w:rPr>
        <w:t>投运</w:t>
      </w:r>
      <w:r>
        <w:rPr>
          <w:rFonts w:hint="eastAsia" w:ascii="宋体" w:hAnsi="宋体" w:eastAsia="宋体" w:cs="宋体"/>
          <w:color w:val="auto"/>
          <w:kern w:val="2"/>
          <w:sz w:val="21"/>
          <w:szCs w:val="21"/>
          <w:highlight w:val="none"/>
        </w:rPr>
        <w:t>和移交，确保视频监控系统正常运行。</w:t>
      </w:r>
    </w:p>
    <w:p w14:paraId="109C39D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lang w:val="en-US" w:eastAsia="zh-CN" w:bidi="ar-SA"/>
        </w:rPr>
        <w:t>11.</w:t>
      </w:r>
      <w:r>
        <w:rPr>
          <w:rFonts w:hint="eastAsia" w:ascii="宋体" w:hAnsi="宋体" w:eastAsia="宋体" w:cs="宋体"/>
          <w:b/>
          <w:bCs/>
          <w:color w:val="auto"/>
          <w:kern w:val="2"/>
          <w:sz w:val="21"/>
          <w:szCs w:val="21"/>
          <w:highlight w:val="none"/>
          <w:lang w:val="en-US" w:eastAsia="zh-CN" w:bidi="ar-SA"/>
        </w:rPr>
        <w:t>红外远程抄表系统</w:t>
      </w:r>
    </w:p>
    <w:p w14:paraId="3126D49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（1）系统结构</w:t>
      </w:r>
    </w:p>
    <w:p w14:paraId="75296CFD">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红外远程抄表系统包括红外探头、数据采集器和智能云平台。</w:t>
      </w:r>
    </w:p>
    <w:p w14:paraId="468C1CD0">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（2）红外探头</w:t>
      </w:r>
    </w:p>
    <w:p w14:paraId="05CEB171">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将外置红外远程抄表器固定在电能表附近，通过与电能表的红外光口实现近距离红外通信，定时读取智能电表的参数信息；</w:t>
      </w:r>
    </w:p>
    <w:p w14:paraId="3D6584AC">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（3）数据采集器</w:t>
      </w:r>
    </w:p>
    <w:p w14:paraId="483C2A87">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采用 4G 无线通信方式，可采集南网电表的电能数据、电压、电流、功率因数等电参数数据，适合各种具备红外通信接口的电表等仪表的抄表场景。</w:t>
      </w:r>
    </w:p>
    <w:p w14:paraId="676C140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（4）智能云平台</w:t>
      </w:r>
    </w:p>
    <w:p w14:paraId="355D43C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能够接入我司“光伏数字化运营管理平台”满足数据采集条件和确保数据准确率、及时率，通过数据采集器将数据上传至管理平台，用户可以通过APP或WEB平台访问查询电量信息。</w:t>
      </w:r>
    </w:p>
    <w:p w14:paraId="20BC407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① 支持抄读正反向有功无功电能、分时电能等电表开放数据；</w:t>
      </w:r>
    </w:p>
    <w:p w14:paraId="499F2579">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② 与电力公司度数保持高度一致，无误差；</w:t>
      </w:r>
    </w:p>
    <w:p w14:paraId="2B233B4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③ 工业级器件选型，满足-25℃～+85℃的恶劣工作环境；</w:t>
      </w:r>
    </w:p>
    <w:p w14:paraId="4F2C8174">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④ 抗干扰能力强，与电表一对一抄读，无误读、串读等导致数据异常的情况；</w:t>
      </w:r>
    </w:p>
    <w:p w14:paraId="7110F09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⑤ 一台采集器支持连接多个红外抄表探头，实现自发自用场景下发电侧电表与并网侧电表同时采集；</w:t>
      </w:r>
    </w:p>
    <w:p w14:paraId="4165DEC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⑥ 采集抄读标配吸盘天线，信号微弱地区可加强信号；</w:t>
      </w:r>
    </w:p>
    <w:p w14:paraId="5670C0E3">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⑦ 数据采集器即插即用，实现远程抄表；</w:t>
      </w:r>
    </w:p>
    <w:p w14:paraId="459DFA5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cs="宋体"/>
          <w:b/>
          <w:bCs/>
          <w:color w:val="auto"/>
          <w:kern w:val="2"/>
          <w:sz w:val="21"/>
          <w:szCs w:val="21"/>
          <w:highlight w:val="none"/>
          <w:lang w:val="en-US" w:eastAsia="zh-CN" w:bidi="ar-SA"/>
        </w:rPr>
        <w:t xml:space="preserve">⑧ </w:t>
      </w:r>
      <w:r>
        <w:rPr>
          <w:rFonts w:hint="eastAsia" w:ascii="宋体" w:hAnsi="宋体" w:eastAsia="宋体" w:cs="宋体"/>
          <w:color w:val="auto"/>
          <w:kern w:val="2"/>
          <w:sz w:val="21"/>
          <w:szCs w:val="21"/>
          <w:highlight w:val="none"/>
          <w:lang w:val="en-US" w:eastAsia="zh-CN"/>
        </w:rPr>
        <w:t>安装模式方便灵活，探头和电表红外口之间无遮挡即可实现采集。</w:t>
      </w:r>
    </w:p>
    <w:p w14:paraId="67D0C6A3">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lang w:val="en-US" w:eastAsia="zh-CN"/>
        </w:rPr>
      </w:pPr>
      <w:bookmarkStart w:id="17" w:name="_Toc398"/>
      <w:r>
        <w:rPr>
          <w:rFonts w:hint="eastAsia" w:ascii="宋体" w:hAnsi="宋体" w:eastAsia="宋体" w:cs="宋体"/>
          <w:b/>
          <w:bCs/>
          <w:color w:val="auto"/>
          <w:kern w:val="2"/>
          <w:sz w:val="21"/>
          <w:szCs w:val="21"/>
          <w:highlight w:val="none"/>
          <w:lang w:val="en-US" w:eastAsia="zh-CN"/>
        </w:rPr>
        <w:t>四、技术要求</w:t>
      </w:r>
      <w:bookmarkEnd w:id="17"/>
    </w:p>
    <w:p w14:paraId="2ACD7D8D">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1. 执行的标准和规范</w:t>
      </w:r>
    </w:p>
    <w:p w14:paraId="5AAECB4D">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《光伏发电工程验收规范》 GB 50796-2012</w:t>
      </w:r>
    </w:p>
    <w:p w14:paraId="74775614">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《屋面工程质量验收规范》 GB 50207-2012</w:t>
      </w:r>
    </w:p>
    <w:p w14:paraId="6B99949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《建筑结构加固工程施工质量验收规范》 GB 50550-2010</w:t>
      </w:r>
    </w:p>
    <w:p w14:paraId="0A5037C7">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《建筑工程施工质量验收统一标准》 GB 50300-2013</w:t>
      </w:r>
    </w:p>
    <w:p w14:paraId="34D0B026">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2. 施工组织布署</w:t>
      </w:r>
    </w:p>
    <w:p w14:paraId="471F490C">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（1）建立项目管理组织机构，健全安全质量保证体系。</w:t>
      </w:r>
    </w:p>
    <w:p w14:paraId="7A8B63A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（2）组织建设所用的机械、劳动力等保障资源，以满足建设进度的要求。</w:t>
      </w:r>
    </w:p>
    <w:p w14:paraId="4EAC9E9E">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（3）采购项目所需的组件等设备、支架等材料。</w:t>
      </w:r>
    </w:p>
    <w:p w14:paraId="4D55AA08">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（4）项目</w:t>
      </w:r>
      <w:r>
        <w:rPr>
          <w:rFonts w:hint="eastAsia" w:ascii="宋体" w:hAnsi="宋体" w:eastAsia="宋体" w:cs="宋体"/>
          <w:color w:val="auto"/>
          <w:kern w:val="2"/>
          <w:sz w:val="21"/>
          <w:szCs w:val="21"/>
          <w:highlight w:val="none"/>
          <w:lang w:val="en-US" w:eastAsia="zh-CN"/>
        </w:rPr>
        <w:t>按照</w:t>
      </w:r>
      <w:r>
        <w:rPr>
          <w:rFonts w:hint="eastAsia" w:ascii="宋体" w:hAnsi="宋体" w:eastAsia="宋体" w:cs="宋体"/>
          <w:color w:val="auto"/>
          <w:kern w:val="2"/>
          <w:sz w:val="21"/>
          <w:szCs w:val="21"/>
          <w:highlight w:val="none"/>
        </w:rPr>
        <w:t>图纸、</w:t>
      </w:r>
      <w:r>
        <w:rPr>
          <w:rFonts w:hint="eastAsia" w:ascii="宋体" w:hAnsi="宋体" w:eastAsia="宋体" w:cs="宋体"/>
          <w:color w:val="auto"/>
          <w:kern w:val="2"/>
          <w:sz w:val="21"/>
          <w:szCs w:val="21"/>
          <w:highlight w:val="none"/>
          <w:lang w:eastAsia="zh-CN"/>
        </w:rPr>
        <w:t>安装调试</w:t>
      </w:r>
      <w:r>
        <w:rPr>
          <w:rFonts w:hint="eastAsia" w:ascii="宋体" w:hAnsi="宋体" w:eastAsia="宋体" w:cs="宋体"/>
          <w:color w:val="auto"/>
          <w:kern w:val="2"/>
          <w:sz w:val="21"/>
          <w:szCs w:val="21"/>
          <w:highlight w:val="none"/>
        </w:rPr>
        <w:t>方案满足项目建设要求。</w:t>
      </w:r>
    </w:p>
    <w:p w14:paraId="70B4B8FB">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项目开工前购买工程一切险（含第三者责任险）、</w:t>
      </w:r>
      <w:r>
        <w:rPr>
          <w:rFonts w:hint="eastAsia" w:ascii="宋体" w:hAnsi="宋体" w:eastAsia="宋体" w:cs="宋体"/>
          <w:color w:val="auto"/>
          <w:kern w:val="2"/>
          <w:sz w:val="21"/>
          <w:szCs w:val="21"/>
          <w:highlight w:val="none"/>
        </w:rPr>
        <w:t>团体人身意外伤害保险。</w:t>
      </w:r>
    </w:p>
    <w:p w14:paraId="67A7029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项目开工前项目主出口处及每栋建筑施工点都须设置“五牌一图”</w:t>
      </w:r>
      <w:r>
        <w:rPr>
          <w:rFonts w:hint="eastAsia" w:ascii="宋体" w:hAnsi="宋体" w:eastAsia="宋体" w:cs="宋体"/>
          <w:color w:val="auto"/>
          <w:kern w:val="2"/>
          <w:sz w:val="21"/>
          <w:szCs w:val="21"/>
          <w:highlight w:val="none"/>
        </w:rPr>
        <w:t>。</w:t>
      </w:r>
    </w:p>
    <w:p w14:paraId="6728C409">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3. 质量要求</w:t>
      </w:r>
    </w:p>
    <w:p w14:paraId="0FB913EC">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（1）达到国家或</w:t>
      </w:r>
      <w:r>
        <w:rPr>
          <w:rFonts w:hint="eastAsia" w:ascii="宋体" w:hAnsi="宋体" w:eastAsia="宋体" w:cs="宋体"/>
          <w:color w:val="auto"/>
          <w:kern w:val="2"/>
          <w:sz w:val="21"/>
          <w:szCs w:val="21"/>
          <w:highlight w:val="none"/>
          <w:lang w:val="en-US" w:eastAsia="zh-CN"/>
        </w:rPr>
        <w:t>光伏、电力</w:t>
      </w:r>
      <w:r>
        <w:rPr>
          <w:rFonts w:hint="eastAsia" w:ascii="宋体" w:hAnsi="宋体" w:eastAsia="宋体" w:cs="宋体"/>
          <w:color w:val="auto"/>
          <w:kern w:val="2"/>
          <w:sz w:val="21"/>
          <w:szCs w:val="21"/>
          <w:highlight w:val="none"/>
        </w:rPr>
        <w:t>行业质量检验评定的</w:t>
      </w:r>
      <w:r>
        <w:rPr>
          <w:rFonts w:hint="eastAsia" w:ascii="宋体" w:hAnsi="宋体" w:eastAsia="宋体" w:cs="宋体"/>
          <w:color w:val="auto"/>
          <w:kern w:val="2"/>
          <w:sz w:val="21"/>
          <w:szCs w:val="21"/>
          <w:highlight w:val="none"/>
          <w:u w:val="single"/>
        </w:rPr>
        <w:t xml:space="preserve"> 合格 </w:t>
      </w:r>
      <w:r>
        <w:rPr>
          <w:rFonts w:hint="eastAsia" w:ascii="宋体" w:hAnsi="宋体" w:eastAsia="宋体" w:cs="宋体"/>
          <w:color w:val="auto"/>
          <w:kern w:val="2"/>
          <w:sz w:val="21"/>
          <w:szCs w:val="21"/>
          <w:highlight w:val="none"/>
        </w:rPr>
        <w:t>标准。</w:t>
      </w:r>
    </w:p>
    <w:p w14:paraId="5BD99706">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（2）建立健全质量保证体系，并保证其正常运作。</w:t>
      </w:r>
    </w:p>
    <w:p w14:paraId="7945D3B7">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（3）加强</w:t>
      </w:r>
      <w:r>
        <w:rPr>
          <w:rFonts w:hint="eastAsia" w:ascii="宋体" w:hAnsi="宋体" w:eastAsia="宋体" w:cs="宋体"/>
          <w:color w:val="auto"/>
          <w:kern w:val="2"/>
          <w:sz w:val="21"/>
          <w:szCs w:val="21"/>
          <w:highlight w:val="none"/>
          <w:lang w:eastAsia="zh-CN"/>
        </w:rPr>
        <w:t>安装调试</w:t>
      </w:r>
      <w:r>
        <w:rPr>
          <w:rFonts w:hint="eastAsia" w:ascii="宋体" w:hAnsi="宋体" w:eastAsia="宋体" w:cs="宋体"/>
          <w:color w:val="auto"/>
          <w:kern w:val="2"/>
          <w:sz w:val="21"/>
          <w:szCs w:val="21"/>
          <w:highlight w:val="none"/>
        </w:rPr>
        <w:t>过程控制，设专人对</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质量进行跟踪检查。</w:t>
      </w:r>
    </w:p>
    <w:p w14:paraId="03D4B256">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（4）对</w:t>
      </w:r>
      <w:r>
        <w:rPr>
          <w:rFonts w:hint="eastAsia" w:ascii="宋体" w:hAnsi="宋体" w:eastAsia="宋体" w:cs="宋体"/>
          <w:color w:val="auto"/>
          <w:kern w:val="2"/>
          <w:sz w:val="21"/>
          <w:szCs w:val="21"/>
          <w:highlight w:val="none"/>
          <w:lang w:eastAsia="zh-CN"/>
        </w:rPr>
        <w:t>项目</w:t>
      </w:r>
      <w:r>
        <w:rPr>
          <w:rFonts w:hint="eastAsia" w:ascii="宋体" w:hAnsi="宋体" w:eastAsia="宋体" w:cs="宋体"/>
          <w:color w:val="auto"/>
          <w:kern w:val="2"/>
          <w:sz w:val="21"/>
          <w:szCs w:val="21"/>
          <w:highlight w:val="none"/>
        </w:rPr>
        <w:t>质量的检查严格执行三检制（自检、互检、专检）。</w:t>
      </w:r>
    </w:p>
    <w:p w14:paraId="5F7D1D10">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4. 安全保证措施</w:t>
      </w:r>
    </w:p>
    <w:p w14:paraId="4E8B196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（1）建立安全生产体系，制定详细的安全保证措施，加强安全管理，保证安全生产无事故。</w:t>
      </w:r>
    </w:p>
    <w:p w14:paraId="1C9EECC9">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的布置符合防火、防爆、防雷电等安全规定及文明施工的要求。</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生活办公用房、仓库、材料堆放场按批准的总平面布置图进行布置。</w:t>
      </w:r>
    </w:p>
    <w:p w14:paraId="4DCA260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（3）现场道路保持畅通，危险地点悬挂安全警示标牌，</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设置安全宣传标语。</w:t>
      </w:r>
    </w:p>
    <w:p w14:paraId="306C9E4D">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（4）各类房屋、库棚、料场等安全消防距离符合有关规定，现场易燃杂物随时清理，严禁在有火种的场所或其近旁堆放易燃物品。</w:t>
      </w:r>
    </w:p>
    <w:p w14:paraId="1AFC3DB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）成品保护</w:t>
      </w:r>
      <w:r>
        <w:rPr>
          <w:rFonts w:hint="eastAsia" w:ascii="宋体" w:hAnsi="宋体" w:eastAsia="宋体" w:cs="宋体"/>
          <w:color w:val="auto"/>
          <w:kern w:val="2"/>
          <w:sz w:val="21"/>
          <w:szCs w:val="21"/>
          <w:highlight w:val="none"/>
          <w:lang w:val="en-US" w:eastAsia="zh-CN"/>
        </w:rPr>
        <w:t>措施</w:t>
      </w:r>
      <w:r>
        <w:rPr>
          <w:rFonts w:hint="eastAsia" w:ascii="宋体" w:hAnsi="宋体" w:eastAsia="宋体" w:cs="宋体"/>
          <w:color w:val="auto"/>
          <w:kern w:val="2"/>
          <w:sz w:val="21"/>
          <w:szCs w:val="21"/>
          <w:highlight w:val="none"/>
        </w:rPr>
        <w:t>：彩钢瓦屋面或脆弱屋面在实施前应采集承载数据，符合承载要求才可进行</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；应采取避免集中受力的保证措施，如</w:t>
      </w:r>
      <w:r>
        <w:rPr>
          <w:rFonts w:hint="eastAsia" w:ascii="宋体" w:hAnsi="宋体" w:eastAsia="宋体" w:cs="宋体"/>
          <w:color w:val="auto"/>
          <w:kern w:val="2"/>
          <w:sz w:val="21"/>
          <w:szCs w:val="21"/>
          <w:highlight w:val="none"/>
          <w:lang w:val="en-US" w:eastAsia="zh-CN"/>
        </w:rPr>
        <w:t>架</w:t>
      </w:r>
      <w:r>
        <w:rPr>
          <w:rFonts w:hint="eastAsia" w:ascii="宋体" w:hAnsi="宋体" w:eastAsia="宋体" w:cs="宋体"/>
          <w:color w:val="auto"/>
          <w:kern w:val="2"/>
          <w:sz w:val="21"/>
          <w:szCs w:val="21"/>
          <w:highlight w:val="none"/>
        </w:rPr>
        <w:t>设</w:t>
      </w:r>
      <w:r>
        <w:rPr>
          <w:rFonts w:hint="eastAsia" w:ascii="宋体" w:hAnsi="宋体" w:eastAsia="宋体" w:cs="宋体"/>
          <w:b/>
          <w:bCs/>
          <w:color w:val="auto"/>
          <w:kern w:val="2"/>
          <w:sz w:val="21"/>
          <w:szCs w:val="21"/>
          <w:highlight w:val="none"/>
        </w:rPr>
        <w:t>保护踏板</w:t>
      </w:r>
      <w:r>
        <w:rPr>
          <w:rFonts w:hint="eastAsia" w:ascii="宋体" w:hAnsi="宋体" w:eastAsia="宋体" w:cs="宋体"/>
          <w:color w:val="auto"/>
          <w:kern w:val="2"/>
          <w:sz w:val="21"/>
          <w:szCs w:val="21"/>
          <w:highlight w:val="none"/>
        </w:rPr>
        <w:t>或其他增大受力面积的保证措施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rPr>
        <w:t>必须优先</w:t>
      </w:r>
      <w:r>
        <w:rPr>
          <w:rFonts w:hint="eastAsia" w:ascii="宋体" w:hAnsi="宋体" w:eastAsia="宋体" w:cs="宋体"/>
          <w:color w:val="auto"/>
          <w:kern w:val="2"/>
          <w:sz w:val="21"/>
          <w:szCs w:val="21"/>
          <w:highlight w:val="none"/>
          <w:lang w:val="en-US" w:eastAsia="zh-CN"/>
        </w:rPr>
        <w:t>安装</w:t>
      </w:r>
      <w:r>
        <w:rPr>
          <w:rFonts w:hint="eastAsia" w:ascii="宋体" w:hAnsi="宋体" w:eastAsia="宋体" w:cs="宋体"/>
          <w:color w:val="auto"/>
          <w:kern w:val="2"/>
          <w:sz w:val="21"/>
          <w:szCs w:val="21"/>
          <w:highlight w:val="none"/>
        </w:rPr>
        <w:t>运维通道，避免彩钢瓦因集中受力</w:t>
      </w:r>
      <w:r>
        <w:rPr>
          <w:rFonts w:hint="eastAsia" w:ascii="宋体" w:hAnsi="宋体" w:eastAsia="宋体" w:cs="宋体"/>
          <w:color w:val="auto"/>
          <w:kern w:val="2"/>
          <w:sz w:val="21"/>
          <w:szCs w:val="21"/>
          <w:highlight w:val="none"/>
          <w:lang w:val="en-US" w:eastAsia="zh-CN"/>
        </w:rPr>
        <w:t>变形破裂</w:t>
      </w:r>
      <w:r>
        <w:rPr>
          <w:rFonts w:hint="eastAsia" w:ascii="宋体" w:hAnsi="宋体" w:eastAsia="宋体" w:cs="宋体"/>
          <w:color w:val="auto"/>
          <w:kern w:val="2"/>
          <w:sz w:val="21"/>
          <w:szCs w:val="21"/>
          <w:highlight w:val="none"/>
        </w:rPr>
        <w:t>受损。如因保护措施不足，使原有彩钢瓦受损，</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应承担维修责任及费用，情况严重的，我司有权要求更换整片彩钢瓦</w:t>
      </w:r>
      <w:r>
        <w:rPr>
          <w:rFonts w:hint="eastAsia" w:ascii="宋体" w:hAnsi="宋体" w:eastAsia="宋体" w:cs="宋体"/>
          <w:color w:val="auto"/>
          <w:kern w:val="2"/>
          <w:sz w:val="21"/>
          <w:szCs w:val="21"/>
          <w:highlight w:val="none"/>
          <w:lang w:val="en-US" w:eastAsia="zh-CN"/>
        </w:rPr>
        <w:t>屋面</w:t>
      </w:r>
      <w:r>
        <w:rPr>
          <w:rFonts w:hint="eastAsia" w:ascii="宋体" w:hAnsi="宋体" w:eastAsia="宋体" w:cs="宋体"/>
          <w:color w:val="auto"/>
          <w:kern w:val="2"/>
          <w:sz w:val="21"/>
          <w:szCs w:val="21"/>
          <w:highlight w:val="none"/>
        </w:rPr>
        <w:t>。</w:t>
      </w:r>
    </w:p>
    <w:p w14:paraId="14344C67">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的临时用电严格按照《施工现场临时用电安全技术规范》JGJ46-2005 的规定执行</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严格按照三相五线制布设电线，做到二级保护，三级控制，一机一闸</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69B1E417">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高处作业严格</w:t>
      </w:r>
      <w:r>
        <w:rPr>
          <w:rFonts w:hint="eastAsia" w:ascii="宋体" w:hAnsi="宋体" w:eastAsia="宋体" w:cs="宋体"/>
          <w:color w:val="auto"/>
          <w:kern w:val="2"/>
          <w:sz w:val="21"/>
          <w:szCs w:val="21"/>
          <w:highlight w:val="none"/>
        </w:rPr>
        <w:t>按照《建筑施工高处作业安全技术规范》JGJ80-2016的规定</w:t>
      </w:r>
      <w:r>
        <w:rPr>
          <w:rFonts w:hint="eastAsia" w:ascii="宋体" w:hAnsi="宋体" w:eastAsia="宋体" w:cs="宋体"/>
          <w:color w:val="auto"/>
          <w:kern w:val="2"/>
          <w:sz w:val="21"/>
          <w:szCs w:val="21"/>
          <w:highlight w:val="none"/>
          <w:lang w:val="en-US" w:eastAsia="zh-CN"/>
        </w:rPr>
        <w:t>落实安全措施，</w:t>
      </w:r>
      <w:r>
        <w:rPr>
          <w:rFonts w:hint="eastAsia" w:ascii="宋体" w:hAnsi="宋体" w:eastAsia="宋体" w:cs="宋体"/>
          <w:b/>
          <w:bCs/>
          <w:color w:val="auto"/>
          <w:kern w:val="2"/>
          <w:sz w:val="21"/>
          <w:szCs w:val="21"/>
          <w:highlight w:val="none"/>
          <w:lang w:val="en-US" w:eastAsia="zh-CN"/>
        </w:rPr>
        <w:t>正确佩戴五点式安全带（绳）</w:t>
      </w:r>
      <w:r>
        <w:rPr>
          <w:rFonts w:hint="eastAsia" w:ascii="宋体" w:hAnsi="宋体" w:eastAsia="宋体" w:cs="宋体"/>
          <w:color w:val="auto"/>
          <w:kern w:val="2"/>
          <w:sz w:val="21"/>
          <w:szCs w:val="21"/>
          <w:highlight w:val="none"/>
          <w:lang w:val="en-US" w:eastAsia="zh-CN"/>
        </w:rPr>
        <w:t>、安全帽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2B9A4209">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吊装作业必须设置警戒区域，禁止人员跟随物体起吊，禁止人员站在吊物作业范围内下方</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4F8C7BC3">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项目现场</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动火作业点应落实消防安全措施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清理周边易燃、可燃物体，设置灭火毯、灭火器等设施</w:t>
      </w:r>
      <w:r>
        <w:rPr>
          <w:rFonts w:hint="eastAsia" w:ascii="宋体" w:hAnsi="宋体" w:eastAsia="宋体" w:cs="宋体"/>
          <w:color w:val="auto"/>
          <w:kern w:val="2"/>
          <w:sz w:val="21"/>
          <w:szCs w:val="21"/>
          <w:highlight w:val="none"/>
        </w:rPr>
        <w:t>，严禁在</w:t>
      </w:r>
      <w:r>
        <w:rPr>
          <w:rFonts w:hint="eastAsia" w:ascii="宋体" w:hAnsi="宋体" w:eastAsia="宋体" w:cs="宋体"/>
          <w:color w:val="auto"/>
          <w:kern w:val="2"/>
          <w:sz w:val="21"/>
          <w:szCs w:val="21"/>
          <w:highlight w:val="none"/>
          <w:lang w:val="en-US" w:eastAsia="zh-CN"/>
        </w:rPr>
        <w:t>禁火区域进行动火</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689EB101">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设立安全</w:t>
      </w:r>
      <w:r>
        <w:rPr>
          <w:rFonts w:hint="eastAsia" w:ascii="宋体" w:hAnsi="宋体" w:eastAsia="宋体" w:cs="宋体"/>
          <w:color w:val="auto"/>
          <w:kern w:val="2"/>
          <w:sz w:val="21"/>
          <w:szCs w:val="21"/>
          <w:highlight w:val="none"/>
          <w:lang w:val="en-US" w:eastAsia="zh-CN"/>
        </w:rPr>
        <w:t>警示牌</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危险区域必须</w:t>
      </w:r>
      <w:r>
        <w:rPr>
          <w:rFonts w:hint="eastAsia" w:ascii="宋体" w:hAnsi="宋体" w:eastAsia="宋体" w:cs="宋体"/>
          <w:color w:val="auto"/>
          <w:kern w:val="2"/>
          <w:sz w:val="21"/>
          <w:szCs w:val="21"/>
          <w:highlight w:val="none"/>
        </w:rPr>
        <w:t>悬挂“</w:t>
      </w:r>
      <w:r>
        <w:rPr>
          <w:rFonts w:hint="eastAsia" w:ascii="宋体" w:hAnsi="宋体" w:eastAsia="宋体" w:cs="宋体"/>
          <w:color w:val="auto"/>
          <w:kern w:val="2"/>
          <w:sz w:val="21"/>
          <w:szCs w:val="21"/>
          <w:highlight w:val="none"/>
          <w:lang w:val="en-US" w:eastAsia="zh-CN"/>
        </w:rPr>
        <w:t>临边区域，当心坠落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高空作业，当心坠落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小心踏空，以防坠落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以防坠落，请勿攀爬</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吊装作业，请勿靠近</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高压有电，请勿靠近</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当心触电</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注意安全</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“严禁烟火”、“禁止通行”或“</w:t>
      </w:r>
      <w:r>
        <w:rPr>
          <w:rFonts w:hint="eastAsia" w:ascii="宋体" w:hAnsi="宋体" w:eastAsia="宋体" w:cs="宋体"/>
          <w:color w:val="auto"/>
          <w:kern w:val="2"/>
          <w:sz w:val="21"/>
          <w:szCs w:val="21"/>
          <w:highlight w:val="none"/>
          <w:lang w:val="en-US" w:eastAsia="zh-CN"/>
        </w:rPr>
        <w:t>高空作业，系好安全带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必须系安全带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必须戴安全帽</w:t>
      </w:r>
      <w:r>
        <w:rPr>
          <w:rFonts w:hint="eastAsia" w:ascii="宋体" w:hAnsi="宋体" w:eastAsia="宋体" w:cs="宋体"/>
          <w:color w:val="auto"/>
          <w:kern w:val="2"/>
          <w:sz w:val="21"/>
          <w:szCs w:val="21"/>
          <w:highlight w:val="none"/>
        </w:rPr>
        <w:t>”等</w:t>
      </w:r>
      <w:r>
        <w:rPr>
          <w:rFonts w:hint="eastAsia" w:ascii="宋体" w:hAnsi="宋体" w:eastAsia="宋体" w:cs="宋体"/>
          <w:color w:val="auto"/>
          <w:kern w:val="2"/>
          <w:sz w:val="21"/>
          <w:szCs w:val="21"/>
          <w:highlight w:val="none"/>
          <w:lang w:val="en-US" w:eastAsia="zh-CN"/>
        </w:rPr>
        <w:t>警示</w:t>
      </w:r>
      <w:r>
        <w:rPr>
          <w:rFonts w:hint="eastAsia" w:ascii="宋体" w:hAnsi="宋体" w:eastAsia="宋体" w:cs="宋体"/>
          <w:color w:val="auto"/>
          <w:kern w:val="2"/>
          <w:sz w:val="21"/>
          <w:szCs w:val="21"/>
          <w:highlight w:val="none"/>
        </w:rPr>
        <w:t>标志。</w:t>
      </w:r>
    </w:p>
    <w:p w14:paraId="5C9B53E1">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各处堵路</w:t>
      </w:r>
      <w:r>
        <w:rPr>
          <w:rFonts w:hint="eastAsia" w:ascii="宋体" w:hAnsi="宋体" w:eastAsia="宋体" w:cs="宋体"/>
          <w:color w:val="auto"/>
          <w:kern w:val="2"/>
          <w:sz w:val="21"/>
          <w:szCs w:val="21"/>
          <w:highlight w:val="none"/>
        </w:rPr>
        <w:t>垂直接地极</w:t>
      </w:r>
      <w:r>
        <w:rPr>
          <w:rFonts w:hint="eastAsia" w:ascii="宋体" w:hAnsi="宋体" w:eastAsia="宋体" w:cs="宋体"/>
          <w:color w:val="auto"/>
          <w:kern w:val="2"/>
          <w:sz w:val="21"/>
          <w:szCs w:val="21"/>
          <w:highlight w:val="none"/>
          <w:lang w:val="en-US" w:eastAsia="zh-CN"/>
        </w:rPr>
        <w:t>需配置接地标志</w:t>
      </w:r>
      <w:r>
        <w:rPr>
          <w:rFonts w:hint="eastAsia" w:ascii="宋体" w:hAnsi="宋体" w:eastAsia="宋体" w:cs="宋体"/>
          <w:color w:val="auto"/>
          <w:kern w:val="2"/>
          <w:sz w:val="21"/>
          <w:szCs w:val="21"/>
          <w:highlight w:val="none"/>
        </w:rPr>
        <w:t>。</w:t>
      </w:r>
    </w:p>
    <w:p w14:paraId="14AE157B">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）配电房、并网柜、交流汇流箱、逆变器</w:t>
      </w:r>
      <w:r>
        <w:rPr>
          <w:rFonts w:hint="eastAsia" w:ascii="宋体" w:hAnsi="宋体" w:eastAsia="宋体" w:cs="宋体"/>
          <w:color w:val="auto"/>
          <w:kern w:val="2"/>
          <w:sz w:val="21"/>
          <w:szCs w:val="21"/>
          <w:highlight w:val="none"/>
          <w:lang w:val="en-US" w:eastAsia="zh-CN"/>
        </w:rPr>
        <w:t>等电气设备</w:t>
      </w:r>
      <w:r>
        <w:rPr>
          <w:rFonts w:hint="eastAsia" w:ascii="宋体" w:hAnsi="宋体" w:eastAsia="宋体" w:cs="宋体"/>
          <w:color w:val="auto"/>
          <w:kern w:val="2"/>
          <w:sz w:val="21"/>
          <w:szCs w:val="21"/>
          <w:highlight w:val="none"/>
        </w:rPr>
        <w:t>的安健环必须满足供电验收要求并设计“当心触电”、“高压有电，请勿靠近”等安全警示标志。</w:t>
      </w:r>
    </w:p>
    <w:p w14:paraId="55C48E8F">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项目现场施工人员穿戴反光衣（附有“东莞能源”LOGO）</w:t>
      </w:r>
      <w:r>
        <w:rPr>
          <w:rFonts w:hint="eastAsia" w:ascii="宋体" w:hAnsi="宋体" w:eastAsia="宋体" w:cs="宋体"/>
          <w:color w:val="auto"/>
          <w:kern w:val="2"/>
          <w:sz w:val="21"/>
          <w:szCs w:val="21"/>
          <w:highlight w:val="none"/>
        </w:rPr>
        <w:t>。</w:t>
      </w:r>
    </w:p>
    <w:p w14:paraId="05BB141E">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p>
    <w:p w14:paraId="0EFD116A">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bookmarkStart w:id="18" w:name="_Toc9340"/>
      <w:r>
        <w:rPr>
          <w:rFonts w:hint="eastAsia" w:ascii="宋体" w:hAnsi="宋体" w:eastAsia="宋体" w:cs="宋体"/>
          <w:b/>
          <w:bCs/>
          <w:color w:val="auto"/>
          <w:kern w:val="2"/>
          <w:sz w:val="21"/>
          <w:szCs w:val="21"/>
          <w:highlight w:val="none"/>
          <w:lang w:val="en-US" w:eastAsia="zh-CN"/>
        </w:rPr>
        <w:t>五</w:t>
      </w:r>
      <w:r>
        <w:rPr>
          <w:rFonts w:hint="eastAsia" w:ascii="宋体" w:hAnsi="宋体" w:eastAsia="宋体" w:cs="宋体"/>
          <w:b/>
          <w:bCs/>
          <w:color w:val="auto"/>
          <w:kern w:val="2"/>
          <w:sz w:val="21"/>
          <w:szCs w:val="21"/>
          <w:highlight w:val="none"/>
        </w:rPr>
        <w:t>、安全运维技术要求</w:t>
      </w:r>
      <w:bookmarkEnd w:id="18"/>
    </w:p>
    <w:p w14:paraId="150F9D48">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 xml:space="preserve">1. </w:t>
      </w:r>
      <w:r>
        <w:rPr>
          <w:rFonts w:hint="eastAsia" w:ascii="宋体" w:hAnsi="宋体" w:eastAsia="宋体" w:cs="宋体"/>
          <w:b/>
          <w:bCs/>
          <w:color w:val="auto"/>
          <w:kern w:val="2"/>
          <w:sz w:val="21"/>
          <w:szCs w:val="21"/>
          <w:highlight w:val="none"/>
          <w:lang w:val="en-US" w:eastAsia="zh-CN"/>
        </w:rPr>
        <w:t>安全</w:t>
      </w:r>
      <w:r>
        <w:rPr>
          <w:rFonts w:hint="eastAsia" w:ascii="宋体" w:hAnsi="宋体" w:eastAsia="宋体" w:cs="宋体"/>
          <w:b/>
          <w:bCs/>
          <w:color w:val="auto"/>
          <w:kern w:val="2"/>
          <w:sz w:val="21"/>
          <w:szCs w:val="21"/>
          <w:highlight w:val="none"/>
        </w:rPr>
        <w:t>运维要求</w:t>
      </w:r>
    </w:p>
    <w:p w14:paraId="7D7427B8">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光伏系统</w:t>
      </w:r>
      <w:r>
        <w:rPr>
          <w:rFonts w:hint="eastAsia" w:ascii="宋体" w:hAnsi="宋体" w:eastAsia="宋体" w:cs="宋体"/>
          <w:color w:val="auto"/>
          <w:kern w:val="2"/>
          <w:sz w:val="21"/>
          <w:szCs w:val="21"/>
          <w:highlight w:val="none"/>
        </w:rPr>
        <w:t>投入运行后，投资方应当制定相应的运维制度，成立专门的管理团队，确保光伏设施的安全运行；</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在质保期内需配合投资方</w:t>
      </w:r>
      <w:r>
        <w:rPr>
          <w:rFonts w:hint="eastAsia" w:ascii="宋体" w:hAnsi="宋体" w:eastAsia="宋体" w:cs="宋体"/>
          <w:color w:val="auto"/>
          <w:kern w:val="2"/>
          <w:sz w:val="21"/>
          <w:szCs w:val="21"/>
          <w:highlight w:val="none"/>
          <w:lang w:val="en-US" w:eastAsia="zh-CN"/>
        </w:rPr>
        <w:t>安全运维部门进行</w:t>
      </w:r>
      <w:r>
        <w:rPr>
          <w:rFonts w:hint="eastAsia" w:ascii="宋体" w:hAnsi="宋体" w:eastAsia="宋体" w:cs="宋体"/>
          <w:color w:val="auto"/>
          <w:kern w:val="2"/>
          <w:sz w:val="21"/>
          <w:szCs w:val="21"/>
          <w:highlight w:val="none"/>
        </w:rPr>
        <w:t>运维管理。</w:t>
      </w:r>
    </w:p>
    <w:p w14:paraId="1CF115C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val="en-US" w:eastAsia="zh-CN"/>
        </w:rPr>
        <w:t>光伏系统</w:t>
      </w:r>
      <w:r>
        <w:rPr>
          <w:rFonts w:hint="eastAsia" w:ascii="宋体" w:hAnsi="宋体" w:eastAsia="宋体" w:cs="宋体"/>
          <w:color w:val="auto"/>
          <w:kern w:val="2"/>
          <w:sz w:val="21"/>
          <w:szCs w:val="21"/>
          <w:highlight w:val="none"/>
        </w:rPr>
        <w:t>投入运行后经营期最高不得超过 25 年；最低不得低于 10 年；</w:t>
      </w:r>
    </w:p>
    <w:p w14:paraId="7E8A423F">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（3）质保期内</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应确保</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系统安全、稳定、可靠运行，定期派人检查、监管和记录项目的运行情况，并定期汇总给投资方</w:t>
      </w:r>
      <w:r>
        <w:rPr>
          <w:rFonts w:hint="eastAsia" w:ascii="宋体" w:hAnsi="宋体" w:eastAsia="宋体" w:cs="宋体"/>
          <w:color w:val="auto"/>
          <w:kern w:val="2"/>
          <w:sz w:val="21"/>
          <w:szCs w:val="21"/>
          <w:highlight w:val="none"/>
          <w:lang w:val="en-US" w:eastAsia="zh-CN"/>
        </w:rPr>
        <w:t>安全运维部门</w:t>
      </w:r>
      <w:r>
        <w:rPr>
          <w:rFonts w:hint="eastAsia" w:ascii="宋体" w:hAnsi="宋体" w:eastAsia="宋体" w:cs="宋体"/>
          <w:color w:val="auto"/>
          <w:kern w:val="2"/>
          <w:sz w:val="21"/>
          <w:szCs w:val="21"/>
          <w:highlight w:val="none"/>
        </w:rPr>
        <w:t>。</w:t>
      </w:r>
    </w:p>
    <w:p w14:paraId="68C0E70C">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承诺对</w:t>
      </w:r>
      <w:r>
        <w:rPr>
          <w:rFonts w:hint="eastAsia" w:ascii="宋体" w:hAnsi="宋体" w:eastAsia="宋体" w:cs="宋体"/>
          <w:color w:val="auto"/>
          <w:kern w:val="2"/>
          <w:sz w:val="21"/>
          <w:szCs w:val="21"/>
          <w:highlight w:val="none"/>
          <w:lang w:val="en-US" w:eastAsia="zh-CN"/>
        </w:rPr>
        <w:t>光伏系统</w:t>
      </w:r>
      <w:r>
        <w:rPr>
          <w:rFonts w:hint="eastAsia" w:ascii="宋体" w:hAnsi="宋体" w:eastAsia="宋体" w:cs="宋体"/>
          <w:color w:val="auto"/>
          <w:kern w:val="2"/>
          <w:sz w:val="21"/>
          <w:szCs w:val="21"/>
          <w:highlight w:val="none"/>
        </w:rPr>
        <w:t>提供合同期内维修保养服务，并承担维修保养费用。</w:t>
      </w:r>
    </w:p>
    <w:p w14:paraId="3B3E04CD">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 xml:space="preserve">2. </w:t>
      </w:r>
      <w:r>
        <w:rPr>
          <w:rFonts w:hint="eastAsia" w:ascii="宋体" w:hAnsi="宋体" w:eastAsia="宋体" w:cs="宋体"/>
          <w:b/>
          <w:bCs/>
          <w:color w:val="auto"/>
          <w:kern w:val="2"/>
          <w:sz w:val="21"/>
          <w:szCs w:val="21"/>
          <w:highlight w:val="none"/>
          <w:lang w:val="en-US" w:eastAsia="zh-CN"/>
        </w:rPr>
        <w:t>安全</w:t>
      </w:r>
      <w:r>
        <w:rPr>
          <w:rFonts w:hint="eastAsia" w:ascii="宋体" w:hAnsi="宋体" w:eastAsia="宋体" w:cs="宋体"/>
          <w:b/>
          <w:bCs/>
          <w:color w:val="auto"/>
          <w:kern w:val="2"/>
          <w:sz w:val="21"/>
          <w:szCs w:val="21"/>
          <w:highlight w:val="none"/>
        </w:rPr>
        <w:t>运维设施</w:t>
      </w:r>
    </w:p>
    <w:p w14:paraId="731F151B">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水清洗</w:t>
      </w:r>
      <w:r>
        <w:rPr>
          <w:rFonts w:hint="eastAsia" w:ascii="宋体" w:hAnsi="宋体" w:eastAsia="宋体" w:cs="宋体"/>
          <w:color w:val="auto"/>
          <w:kern w:val="2"/>
          <w:sz w:val="21"/>
          <w:szCs w:val="21"/>
          <w:highlight w:val="none"/>
        </w:rPr>
        <w:t>系统</w:t>
      </w:r>
    </w:p>
    <w:p w14:paraId="5288A48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①考虑到后期</w:t>
      </w:r>
      <w:r>
        <w:rPr>
          <w:rFonts w:hint="eastAsia" w:ascii="宋体" w:hAnsi="宋体" w:eastAsia="宋体" w:cs="宋体"/>
          <w:color w:val="auto"/>
          <w:kern w:val="2"/>
          <w:sz w:val="21"/>
          <w:szCs w:val="21"/>
          <w:highlight w:val="none"/>
          <w:lang w:val="en-US" w:eastAsia="zh-CN"/>
        </w:rPr>
        <w:t>光伏组件</w:t>
      </w:r>
      <w:r>
        <w:rPr>
          <w:rFonts w:hint="eastAsia" w:ascii="宋体" w:hAnsi="宋体" w:eastAsia="宋体" w:cs="宋体"/>
          <w:color w:val="auto"/>
          <w:kern w:val="2"/>
          <w:sz w:val="21"/>
          <w:szCs w:val="21"/>
          <w:highlight w:val="none"/>
        </w:rPr>
        <w:t>清洗，每个屋面光伏</w:t>
      </w:r>
      <w:r>
        <w:rPr>
          <w:rFonts w:hint="eastAsia" w:ascii="宋体" w:hAnsi="宋体" w:eastAsia="宋体" w:cs="宋体"/>
          <w:color w:val="auto"/>
          <w:kern w:val="2"/>
          <w:sz w:val="21"/>
          <w:szCs w:val="21"/>
          <w:highlight w:val="none"/>
          <w:lang w:val="en-US" w:eastAsia="zh-CN"/>
        </w:rPr>
        <w:t>系统需</w:t>
      </w:r>
      <w:r>
        <w:rPr>
          <w:rFonts w:hint="eastAsia" w:ascii="宋体" w:hAnsi="宋体" w:eastAsia="宋体" w:cs="宋体"/>
          <w:color w:val="auto"/>
          <w:kern w:val="2"/>
          <w:sz w:val="21"/>
          <w:szCs w:val="21"/>
          <w:highlight w:val="none"/>
        </w:rPr>
        <w:t>设计</w:t>
      </w:r>
      <w:r>
        <w:rPr>
          <w:rFonts w:hint="eastAsia" w:ascii="宋体" w:hAnsi="宋体" w:eastAsia="宋体" w:cs="宋体"/>
          <w:color w:val="auto"/>
          <w:kern w:val="2"/>
          <w:sz w:val="21"/>
          <w:szCs w:val="21"/>
          <w:highlight w:val="none"/>
          <w:lang w:val="en-US" w:eastAsia="zh-CN"/>
        </w:rPr>
        <w:t>水清洗</w:t>
      </w:r>
      <w:r>
        <w:rPr>
          <w:rFonts w:hint="eastAsia" w:ascii="宋体" w:hAnsi="宋体" w:eastAsia="宋体" w:cs="宋体"/>
          <w:color w:val="auto"/>
          <w:kern w:val="2"/>
          <w:sz w:val="21"/>
          <w:szCs w:val="21"/>
          <w:highlight w:val="none"/>
        </w:rPr>
        <w:t>系统，要求在</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组件排布屋面安装</w:t>
      </w:r>
      <w:r>
        <w:rPr>
          <w:rFonts w:hint="eastAsia" w:ascii="宋体" w:hAnsi="宋体" w:eastAsia="宋体" w:cs="宋体"/>
          <w:color w:val="auto"/>
          <w:kern w:val="2"/>
          <w:sz w:val="21"/>
          <w:szCs w:val="21"/>
          <w:highlight w:val="none"/>
          <w:lang w:val="en-US" w:eastAsia="zh-CN"/>
        </w:rPr>
        <w:t>水管，并在出水口加装</w:t>
      </w:r>
      <w:r>
        <w:rPr>
          <w:rFonts w:hint="eastAsia" w:ascii="宋体" w:hAnsi="宋体" w:eastAsia="宋体" w:cs="宋体"/>
          <w:color w:val="auto"/>
          <w:kern w:val="2"/>
          <w:sz w:val="21"/>
          <w:szCs w:val="21"/>
          <w:highlight w:val="none"/>
        </w:rPr>
        <w:t>水龙头，</w:t>
      </w:r>
      <w:r>
        <w:rPr>
          <w:rFonts w:hint="eastAsia" w:ascii="宋体" w:hAnsi="宋体" w:eastAsia="宋体" w:cs="宋体"/>
          <w:color w:val="auto"/>
          <w:kern w:val="2"/>
          <w:sz w:val="21"/>
          <w:szCs w:val="21"/>
          <w:highlight w:val="none"/>
          <w:lang w:val="en-US" w:eastAsia="zh-CN"/>
        </w:rPr>
        <w:t>在每个接水口需要</w:t>
      </w:r>
      <w:r>
        <w:rPr>
          <w:rFonts w:hint="eastAsia" w:ascii="宋体" w:hAnsi="宋体" w:eastAsia="宋体" w:cs="宋体"/>
          <w:color w:val="auto"/>
          <w:kern w:val="2"/>
          <w:sz w:val="21"/>
          <w:szCs w:val="21"/>
          <w:highlight w:val="none"/>
        </w:rPr>
        <w:t>配置相应的计量水表。</w:t>
      </w:r>
    </w:p>
    <w:p w14:paraId="02ED6400">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w:t>
      </w:r>
      <w:r>
        <w:rPr>
          <w:rFonts w:hint="eastAsia" w:ascii="宋体" w:hAnsi="宋体" w:eastAsia="宋体" w:cs="宋体"/>
          <w:color w:val="auto"/>
          <w:kern w:val="2"/>
          <w:sz w:val="21"/>
          <w:szCs w:val="21"/>
          <w:highlight w:val="none"/>
          <w:lang w:val="en-US" w:eastAsia="zh-CN"/>
        </w:rPr>
        <w:t>水清洗</w:t>
      </w:r>
      <w:r>
        <w:rPr>
          <w:rFonts w:hint="eastAsia" w:ascii="宋体" w:hAnsi="宋体" w:eastAsia="宋体" w:cs="宋体"/>
          <w:color w:val="auto"/>
          <w:kern w:val="2"/>
          <w:sz w:val="21"/>
          <w:szCs w:val="21"/>
          <w:highlight w:val="none"/>
        </w:rPr>
        <w:t>系统冲洗端</w:t>
      </w:r>
      <w:r>
        <w:rPr>
          <w:rFonts w:hint="eastAsia" w:ascii="宋体" w:hAnsi="宋体" w:eastAsia="宋体" w:cs="宋体"/>
          <w:color w:val="auto"/>
          <w:kern w:val="2"/>
          <w:sz w:val="21"/>
          <w:szCs w:val="21"/>
          <w:highlight w:val="none"/>
          <w:lang w:val="en-US" w:eastAsia="zh-CN"/>
        </w:rPr>
        <w:t>水压不足（压力小于</w:t>
      </w:r>
      <w:r>
        <w:rPr>
          <w:rFonts w:hint="eastAsia" w:ascii="宋体" w:hAnsi="宋体" w:eastAsia="宋体" w:cs="宋体"/>
          <w:color w:val="auto"/>
          <w:kern w:val="2"/>
          <w:sz w:val="21"/>
          <w:szCs w:val="21"/>
          <w:highlight w:val="none"/>
        </w:rPr>
        <w:t>0.2MPa</w:t>
      </w:r>
      <w:r>
        <w:rPr>
          <w:rFonts w:hint="eastAsia" w:ascii="宋体" w:hAnsi="宋体" w:eastAsia="宋体" w:cs="宋体"/>
          <w:color w:val="auto"/>
          <w:kern w:val="2"/>
          <w:sz w:val="21"/>
          <w:szCs w:val="21"/>
          <w:highlight w:val="none"/>
          <w:lang w:val="en-US" w:eastAsia="zh-CN"/>
        </w:rPr>
        <w:t>时）需加装</w:t>
      </w:r>
      <w:r>
        <w:rPr>
          <w:rFonts w:hint="eastAsia" w:ascii="宋体" w:hAnsi="宋体" w:eastAsia="宋体" w:cs="宋体"/>
          <w:color w:val="auto"/>
          <w:kern w:val="2"/>
          <w:sz w:val="21"/>
          <w:szCs w:val="21"/>
          <w:highlight w:val="none"/>
        </w:rPr>
        <w:t>增压泵，出口压力可调节，最小出口压力保证</w:t>
      </w:r>
      <w:r>
        <w:rPr>
          <w:rFonts w:hint="eastAsia" w:ascii="宋体" w:hAnsi="宋体" w:eastAsia="宋体" w:cs="宋体"/>
          <w:color w:val="auto"/>
          <w:kern w:val="2"/>
          <w:sz w:val="21"/>
          <w:szCs w:val="21"/>
          <w:highlight w:val="none"/>
          <w:lang w:val="en-US" w:eastAsia="zh-CN"/>
        </w:rPr>
        <w:t>每</w:t>
      </w:r>
      <w:r>
        <w:rPr>
          <w:rFonts w:hint="eastAsia" w:ascii="宋体" w:hAnsi="宋体" w:eastAsia="宋体" w:cs="宋体"/>
          <w:color w:val="auto"/>
          <w:kern w:val="2"/>
          <w:sz w:val="21"/>
          <w:szCs w:val="21"/>
          <w:highlight w:val="none"/>
        </w:rPr>
        <w:t>个终端同时开启时冲洗压力大于0.2MPa，泵入口设置可拆卸式滤网保证冲洗水不含杂质。</w:t>
      </w:r>
    </w:p>
    <w:p w14:paraId="5B66D2D8">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③所有的冲洗水管采用</w:t>
      </w:r>
      <w:r>
        <w:rPr>
          <w:rFonts w:hint="eastAsia" w:ascii="宋体" w:hAnsi="宋体" w:eastAsia="宋体" w:cs="宋体"/>
          <w:b/>
          <w:bCs/>
          <w:color w:val="auto"/>
          <w:kern w:val="2"/>
          <w:sz w:val="21"/>
          <w:szCs w:val="21"/>
          <w:highlight w:val="none"/>
        </w:rPr>
        <w:t>PPR热熔管</w:t>
      </w:r>
      <w:r>
        <w:rPr>
          <w:rFonts w:hint="eastAsia" w:ascii="宋体" w:hAnsi="宋体" w:eastAsia="宋体" w:cs="宋体"/>
          <w:color w:val="auto"/>
          <w:kern w:val="2"/>
          <w:sz w:val="21"/>
          <w:szCs w:val="21"/>
          <w:highlight w:val="none"/>
        </w:rPr>
        <w:t>，清洗水管管网放在通道上</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水管拖长不超过</w:t>
      </w:r>
      <w:r>
        <w:rPr>
          <w:rFonts w:hint="eastAsia" w:ascii="宋体" w:hAnsi="宋体" w:eastAsia="宋体" w:cs="宋体"/>
          <w:color w:val="auto"/>
          <w:kern w:val="2"/>
          <w:sz w:val="21"/>
          <w:szCs w:val="21"/>
          <w:highlight w:val="none"/>
          <w:lang w:val="en-US" w:eastAsia="zh-CN"/>
        </w:rPr>
        <w:t>50</w:t>
      </w:r>
      <w:r>
        <w:rPr>
          <w:rFonts w:hint="eastAsia" w:ascii="宋体" w:hAnsi="宋体" w:eastAsia="宋体" w:cs="宋体"/>
          <w:color w:val="auto"/>
          <w:kern w:val="2"/>
          <w:sz w:val="21"/>
          <w:szCs w:val="21"/>
          <w:highlight w:val="none"/>
        </w:rPr>
        <w:t>米且不能放在</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组件上，在阵列式屋面、彩钢瓦屋面、棚架</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组件面每25米设置一个水龙头，按只能走通道的原则来布置水龙头。</w:t>
      </w:r>
    </w:p>
    <w:p w14:paraId="031E4F73">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w:t>
      </w:r>
      <w:r>
        <w:rPr>
          <w:rFonts w:hint="eastAsia" w:ascii="宋体" w:hAnsi="宋体" w:eastAsia="宋体" w:cs="宋体"/>
          <w:color w:val="auto"/>
          <w:kern w:val="2"/>
          <w:sz w:val="21"/>
          <w:szCs w:val="21"/>
          <w:highlight w:val="none"/>
          <w:lang w:val="en-US" w:eastAsia="zh-CN"/>
        </w:rPr>
        <w:t>水管、水龙头应安装整齐、牢固，外观无明显破损和质量问题</w:t>
      </w:r>
      <w:r>
        <w:rPr>
          <w:rFonts w:hint="eastAsia" w:ascii="宋体" w:hAnsi="宋体" w:eastAsia="宋体" w:cs="宋体"/>
          <w:color w:val="auto"/>
          <w:kern w:val="2"/>
          <w:sz w:val="21"/>
          <w:szCs w:val="21"/>
          <w:highlight w:val="none"/>
        </w:rPr>
        <w:t>。</w:t>
      </w:r>
    </w:p>
    <w:p w14:paraId="267DF4F4">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val="en-US" w:eastAsia="zh-CN"/>
        </w:rPr>
        <w:t>运维</w:t>
      </w:r>
      <w:r>
        <w:rPr>
          <w:rFonts w:hint="eastAsia" w:ascii="宋体" w:hAnsi="宋体" w:eastAsia="宋体" w:cs="宋体"/>
          <w:color w:val="auto"/>
          <w:kern w:val="2"/>
          <w:sz w:val="21"/>
          <w:szCs w:val="21"/>
          <w:highlight w:val="none"/>
        </w:rPr>
        <w:t>通道</w:t>
      </w:r>
      <w:r>
        <w:rPr>
          <w:rFonts w:hint="eastAsia" w:ascii="宋体" w:hAnsi="宋体" w:eastAsia="宋体" w:cs="宋体"/>
          <w:color w:val="auto"/>
          <w:kern w:val="2"/>
          <w:sz w:val="21"/>
          <w:szCs w:val="21"/>
          <w:highlight w:val="none"/>
          <w:lang w:val="en-US" w:eastAsia="zh-CN"/>
        </w:rPr>
        <w:t>与水平“生命线”</w:t>
      </w:r>
    </w:p>
    <w:p w14:paraId="0ED3B54D">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各项目根据组件排布设置合理的运维通道，确保方便运维人员进行运维。运维通道应连成一体，并和水管、</w:t>
      </w:r>
      <w:r>
        <w:rPr>
          <w:rFonts w:hint="eastAsia" w:ascii="宋体" w:hAnsi="宋体" w:eastAsia="宋体" w:cs="宋体"/>
          <w:color w:val="auto"/>
          <w:kern w:val="2"/>
          <w:sz w:val="21"/>
          <w:szCs w:val="21"/>
          <w:highlight w:val="none"/>
          <w:lang w:val="en-US" w:eastAsia="zh-CN"/>
        </w:rPr>
        <w:t>桥架</w:t>
      </w:r>
      <w:r>
        <w:rPr>
          <w:rFonts w:hint="eastAsia" w:ascii="宋体" w:hAnsi="宋体" w:eastAsia="宋体" w:cs="宋体"/>
          <w:color w:val="auto"/>
          <w:kern w:val="2"/>
          <w:sz w:val="21"/>
          <w:szCs w:val="21"/>
          <w:highlight w:val="none"/>
        </w:rPr>
        <w:t>等统一布置。</w:t>
      </w:r>
    </w:p>
    <w:p w14:paraId="4DD047B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A.</w:t>
      </w:r>
      <w:r>
        <w:rPr>
          <w:rFonts w:hint="eastAsia" w:ascii="宋体" w:hAnsi="宋体" w:eastAsia="宋体" w:cs="宋体"/>
          <w:color w:val="auto"/>
          <w:kern w:val="2"/>
          <w:sz w:val="21"/>
          <w:szCs w:val="21"/>
          <w:highlight w:val="none"/>
        </w:rPr>
        <w:t>彩钢瓦屋面</w:t>
      </w:r>
      <w:r>
        <w:rPr>
          <w:rFonts w:hint="eastAsia" w:ascii="宋体" w:hAnsi="宋体" w:eastAsia="宋体" w:cs="宋体"/>
          <w:color w:val="auto"/>
          <w:kern w:val="2"/>
          <w:sz w:val="21"/>
          <w:szCs w:val="21"/>
          <w:highlight w:val="none"/>
          <w:lang w:val="en-US" w:eastAsia="zh-CN"/>
        </w:rPr>
        <w:t>宜沿着护杆设置</w:t>
      </w:r>
      <w:r>
        <w:rPr>
          <w:rFonts w:hint="eastAsia" w:ascii="宋体" w:hAnsi="宋体" w:eastAsia="宋体" w:cs="宋体"/>
          <w:b/>
          <w:bCs/>
          <w:color w:val="auto"/>
          <w:kern w:val="2"/>
          <w:sz w:val="21"/>
          <w:szCs w:val="21"/>
          <w:highlight w:val="none"/>
          <w:lang w:val="en-US" w:eastAsia="zh-CN"/>
        </w:rPr>
        <w:t>镀锌</w:t>
      </w:r>
      <w:r>
        <w:rPr>
          <w:rFonts w:hint="eastAsia" w:ascii="宋体" w:hAnsi="宋体" w:eastAsia="宋体" w:cs="宋体"/>
          <w:b/>
          <w:bCs/>
          <w:color w:val="auto"/>
          <w:kern w:val="2"/>
          <w:sz w:val="21"/>
          <w:szCs w:val="21"/>
          <w:highlight w:val="none"/>
        </w:rPr>
        <w:t>格栅板</w:t>
      </w:r>
      <w:r>
        <w:rPr>
          <w:rFonts w:hint="eastAsia" w:ascii="宋体" w:hAnsi="宋体" w:eastAsia="宋体" w:cs="宋体"/>
          <w:color w:val="auto"/>
          <w:kern w:val="2"/>
          <w:sz w:val="21"/>
          <w:szCs w:val="21"/>
          <w:highlight w:val="none"/>
          <w:lang w:val="en-US" w:eastAsia="zh-CN"/>
        </w:rPr>
        <w:t>运维</w:t>
      </w:r>
      <w:r>
        <w:rPr>
          <w:rFonts w:hint="eastAsia" w:ascii="宋体" w:hAnsi="宋体" w:eastAsia="宋体" w:cs="宋体"/>
          <w:color w:val="auto"/>
          <w:kern w:val="2"/>
          <w:sz w:val="21"/>
          <w:szCs w:val="21"/>
          <w:highlight w:val="none"/>
        </w:rPr>
        <w:t>通道，通道能直达到每一路逆变器。且不影响光伏系统件的正常运行。运维格栅板要求如下：</w:t>
      </w:r>
    </w:p>
    <w:p w14:paraId="0AD58B14">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①格栅板材质</w:t>
      </w:r>
      <w:r>
        <w:rPr>
          <w:rFonts w:hint="eastAsia" w:ascii="宋体" w:hAnsi="宋体" w:eastAsia="宋体" w:cs="宋体"/>
          <w:color w:val="auto"/>
          <w:kern w:val="2"/>
          <w:sz w:val="21"/>
          <w:szCs w:val="21"/>
          <w:highlight w:val="none"/>
          <w:lang w:val="en-US" w:eastAsia="zh-CN"/>
        </w:rPr>
        <w:t>采用</w:t>
      </w:r>
      <w:r>
        <w:rPr>
          <w:rFonts w:hint="eastAsia" w:ascii="宋体" w:hAnsi="宋体" w:eastAsia="宋体" w:cs="宋体"/>
          <w:color w:val="auto"/>
          <w:kern w:val="2"/>
          <w:sz w:val="21"/>
          <w:szCs w:val="21"/>
          <w:highlight w:val="none"/>
        </w:rPr>
        <w:t>镀锌钢，格栅板的重量在15kg/m2以内，宽度不低于400mm；</w:t>
      </w:r>
    </w:p>
    <w:p w14:paraId="4C8F1DCB">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②格栅板能够满足并能覆盖整个屋面太阳能板区域运维过程中的清洗、检修等工作；</w:t>
      </w:r>
    </w:p>
    <w:p w14:paraId="7770D243">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③格栅板与格栅板衔接处可靠固定，格栅板与屋面可靠连接；</w:t>
      </w:r>
    </w:p>
    <w:p w14:paraId="2DC2BCAE">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④格栅板强度和质量，满足如下要求：每间隔500mm在格栅板底部加一道支撑，同时格栅板用</w:t>
      </w:r>
      <w:r>
        <w:rPr>
          <w:rFonts w:hint="eastAsia" w:ascii="宋体" w:hAnsi="宋体" w:eastAsia="宋体" w:cs="宋体"/>
          <w:color w:val="auto"/>
          <w:kern w:val="2"/>
          <w:sz w:val="21"/>
          <w:szCs w:val="21"/>
          <w:highlight w:val="none"/>
          <w:lang w:val="en-US" w:eastAsia="zh-CN"/>
        </w:rPr>
        <w:t>铝合金</w:t>
      </w:r>
      <w:r>
        <w:rPr>
          <w:rFonts w:hint="eastAsia" w:ascii="宋体" w:hAnsi="宋体" w:eastAsia="宋体" w:cs="宋体"/>
          <w:color w:val="auto"/>
          <w:kern w:val="2"/>
          <w:sz w:val="21"/>
          <w:szCs w:val="21"/>
          <w:highlight w:val="none"/>
        </w:rPr>
        <w:t>支撑，确保格栅板不移位晃动，不下垂并满足踩踏强度要求</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同时要做好</w:t>
      </w:r>
      <w:r>
        <w:rPr>
          <w:rFonts w:hint="eastAsia" w:ascii="宋体" w:hAnsi="宋体" w:eastAsia="宋体" w:cs="宋体"/>
          <w:color w:val="auto"/>
          <w:kern w:val="2"/>
          <w:sz w:val="21"/>
          <w:szCs w:val="21"/>
          <w:highlight w:val="none"/>
        </w:rPr>
        <w:t>防腐措施，寿命要求25年以上；</w:t>
      </w:r>
    </w:p>
    <w:p w14:paraId="3450ED7C">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⑤因特殊情况</w:t>
      </w:r>
      <w:r>
        <w:rPr>
          <w:rFonts w:hint="eastAsia" w:ascii="宋体" w:hAnsi="宋体" w:eastAsia="宋体" w:cs="宋体"/>
          <w:color w:val="auto"/>
          <w:kern w:val="2"/>
          <w:sz w:val="21"/>
          <w:szCs w:val="21"/>
          <w:highlight w:val="none"/>
          <w:lang w:val="en-US" w:eastAsia="zh-CN"/>
        </w:rPr>
        <w:t>无法</w:t>
      </w:r>
      <w:r>
        <w:rPr>
          <w:rFonts w:hint="eastAsia" w:ascii="宋体" w:hAnsi="宋体" w:eastAsia="宋体" w:cs="宋体"/>
          <w:color w:val="auto"/>
          <w:kern w:val="2"/>
          <w:sz w:val="21"/>
          <w:szCs w:val="21"/>
          <w:highlight w:val="none"/>
        </w:rPr>
        <w:t>设置护栏的彩钢瓦屋面，格栅板运维通道不宜设置在高处临边侧，同时</w:t>
      </w:r>
      <w:r>
        <w:rPr>
          <w:rFonts w:hint="eastAsia" w:ascii="宋体" w:hAnsi="宋体" w:eastAsia="宋体" w:cs="宋体"/>
          <w:color w:val="auto"/>
          <w:kern w:val="2"/>
          <w:sz w:val="21"/>
          <w:szCs w:val="21"/>
          <w:highlight w:val="none"/>
          <w:lang w:val="en-US" w:eastAsia="zh-CN"/>
        </w:rPr>
        <w:t>参照</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坠落防护 水平生命线装置》GB38454-2019</w:t>
      </w:r>
      <w:r>
        <w:rPr>
          <w:rFonts w:hint="eastAsia" w:ascii="宋体" w:hAnsi="宋体" w:eastAsia="宋体" w:cs="宋体"/>
          <w:color w:val="auto"/>
          <w:kern w:val="2"/>
          <w:sz w:val="21"/>
          <w:szCs w:val="21"/>
          <w:highlight w:val="none"/>
        </w:rPr>
        <w:t>沿着格栅板运维通道设置水平生命线。</w:t>
      </w:r>
    </w:p>
    <w:p w14:paraId="1923B32C">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B.混凝土屋面光伏结构棚面中间</w:t>
      </w:r>
      <w:r>
        <w:rPr>
          <w:rFonts w:hint="eastAsia" w:ascii="宋体" w:hAnsi="宋体" w:eastAsia="宋体" w:cs="宋体"/>
          <w:color w:val="auto"/>
          <w:kern w:val="2"/>
          <w:sz w:val="21"/>
          <w:szCs w:val="21"/>
          <w:highlight w:val="none"/>
        </w:rPr>
        <w:t>设置</w:t>
      </w:r>
      <w:r>
        <w:rPr>
          <w:rFonts w:hint="eastAsia" w:ascii="宋体" w:hAnsi="宋体" w:eastAsia="宋体" w:cs="宋体"/>
          <w:b/>
          <w:bCs/>
          <w:color w:val="auto"/>
          <w:kern w:val="2"/>
          <w:sz w:val="21"/>
          <w:szCs w:val="21"/>
          <w:highlight w:val="none"/>
          <w:lang w:val="en-US" w:eastAsia="zh-CN"/>
        </w:rPr>
        <w:t>镀锌花纹钢</w:t>
      </w:r>
      <w:r>
        <w:rPr>
          <w:rFonts w:hint="eastAsia" w:ascii="宋体" w:hAnsi="宋体" w:eastAsia="宋体" w:cs="宋体"/>
          <w:b/>
          <w:bCs/>
          <w:color w:val="auto"/>
          <w:kern w:val="2"/>
          <w:sz w:val="21"/>
          <w:szCs w:val="21"/>
          <w:highlight w:val="none"/>
        </w:rPr>
        <w:t>板</w:t>
      </w:r>
      <w:r>
        <w:rPr>
          <w:rFonts w:hint="eastAsia" w:ascii="宋体" w:hAnsi="宋体" w:eastAsia="宋体" w:cs="宋体"/>
          <w:color w:val="auto"/>
          <w:kern w:val="2"/>
          <w:sz w:val="21"/>
          <w:szCs w:val="21"/>
          <w:highlight w:val="none"/>
          <w:lang w:val="en-US" w:eastAsia="zh-CN"/>
        </w:rPr>
        <w:t>运维</w:t>
      </w:r>
      <w:r>
        <w:rPr>
          <w:rFonts w:hint="eastAsia" w:ascii="宋体" w:hAnsi="宋体" w:eastAsia="宋体" w:cs="宋体"/>
          <w:color w:val="auto"/>
          <w:kern w:val="2"/>
          <w:sz w:val="21"/>
          <w:szCs w:val="21"/>
          <w:highlight w:val="none"/>
        </w:rPr>
        <w:t>通道，通道能直达到</w:t>
      </w:r>
      <w:r>
        <w:rPr>
          <w:rFonts w:hint="eastAsia" w:ascii="宋体" w:hAnsi="宋体" w:eastAsia="宋体" w:cs="宋体"/>
          <w:color w:val="auto"/>
          <w:kern w:val="2"/>
          <w:sz w:val="21"/>
          <w:szCs w:val="21"/>
          <w:highlight w:val="none"/>
          <w:lang w:val="en-US" w:eastAsia="zh-CN"/>
        </w:rPr>
        <w:t>检修楼梯平台</w:t>
      </w:r>
      <w:r>
        <w:rPr>
          <w:rFonts w:hint="eastAsia" w:ascii="宋体" w:hAnsi="宋体" w:eastAsia="宋体" w:cs="宋体"/>
          <w:color w:val="auto"/>
          <w:kern w:val="2"/>
          <w:sz w:val="21"/>
          <w:szCs w:val="21"/>
          <w:highlight w:val="none"/>
        </w:rPr>
        <w:t>且不影响光伏系统件的正常运行。运维</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板要求如下：</w:t>
      </w:r>
    </w:p>
    <w:p w14:paraId="2FEE7458">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板材质</w:t>
      </w:r>
      <w:r>
        <w:rPr>
          <w:rFonts w:hint="eastAsia" w:ascii="宋体" w:hAnsi="宋体" w:eastAsia="宋体" w:cs="宋体"/>
          <w:color w:val="auto"/>
          <w:kern w:val="2"/>
          <w:sz w:val="21"/>
          <w:szCs w:val="21"/>
          <w:highlight w:val="none"/>
          <w:lang w:val="en-US" w:eastAsia="zh-CN"/>
        </w:rPr>
        <w:t>采用</w:t>
      </w:r>
      <w:r>
        <w:rPr>
          <w:rFonts w:hint="eastAsia" w:ascii="宋体" w:hAnsi="宋体" w:eastAsia="宋体" w:cs="宋体"/>
          <w:color w:val="auto"/>
          <w:kern w:val="2"/>
          <w:sz w:val="21"/>
          <w:szCs w:val="21"/>
          <w:highlight w:val="none"/>
        </w:rPr>
        <w:t>镀锌钢，</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板的重量在15kg/m2以内，宽度不低于</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00mm；</w:t>
      </w:r>
    </w:p>
    <w:p w14:paraId="3419BC9E">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板能够满足并能覆盖整个屋面太阳能板区域运维过程中的清洗、检修等工作；</w:t>
      </w:r>
    </w:p>
    <w:p w14:paraId="3F413AE6">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板与</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板衔接处可靠固定，</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板与光伏结构棚可靠连接；</w:t>
      </w:r>
    </w:p>
    <w:p w14:paraId="30899DE6">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④</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板强度和质量，满足如下要求：每间隔500mm在</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板底部加一道支撑，同时</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板用</w:t>
      </w:r>
      <w:r>
        <w:rPr>
          <w:rFonts w:hint="eastAsia" w:ascii="宋体" w:hAnsi="宋体" w:eastAsia="宋体" w:cs="宋体"/>
          <w:color w:val="auto"/>
          <w:kern w:val="2"/>
          <w:sz w:val="21"/>
          <w:szCs w:val="21"/>
          <w:highlight w:val="none"/>
          <w:lang w:val="en-US" w:eastAsia="zh-CN"/>
        </w:rPr>
        <w:t>钢材做好</w:t>
      </w:r>
      <w:r>
        <w:rPr>
          <w:rFonts w:hint="eastAsia" w:ascii="宋体" w:hAnsi="宋体" w:eastAsia="宋体" w:cs="宋体"/>
          <w:color w:val="auto"/>
          <w:kern w:val="2"/>
          <w:sz w:val="21"/>
          <w:szCs w:val="21"/>
          <w:highlight w:val="none"/>
        </w:rPr>
        <w:t>支撑，确保</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板不移位晃动，不下垂并满足踩踏强度要求</w:t>
      </w:r>
      <w:r>
        <w:rPr>
          <w:rFonts w:hint="eastAsia" w:ascii="宋体" w:hAnsi="宋体" w:eastAsia="宋体" w:cs="宋体"/>
          <w:color w:val="auto"/>
          <w:kern w:val="2"/>
          <w:sz w:val="21"/>
          <w:szCs w:val="21"/>
          <w:highlight w:val="none"/>
          <w:lang w:eastAsia="zh-CN"/>
        </w:rPr>
        <w:t>，同时要做好防腐措施，</w:t>
      </w:r>
      <w:r>
        <w:rPr>
          <w:rFonts w:hint="eastAsia" w:ascii="宋体" w:hAnsi="宋体" w:eastAsia="宋体" w:cs="宋体"/>
          <w:color w:val="auto"/>
          <w:kern w:val="2"/>
          <w:sz w:val="21"/>
          <w:szCs w:val="21"/>
          <w:highlight w:val="none"/>
        </w:rPr>
        <w:t>寿命要求25年以上；</w:t>
      </w:r>
    </w:p>
    <w:p w14:paraId="2B7EF630">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⑤</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w:t>
      </w:r>
      <w:r>
        <w:rPr>
          <w:rFonts w:hint="eastAsia" w:ascii="宋体" w:hAnsi="宋体" w:eastAsia="宋体" w:cs="宋体"/>
          <w:color w:val="auto"/>
          <w:kern w:val="2"/>
          <w:sz w:val="21"/>
          <w:szCs w:val="21"/>
          <w:highlight w:val="none"/>
          <w:lang w:val="en-US" w:eastAsia="zh-CN"/>
        </w:rPr>
        <w:t>侧必须设置悬挂安全绳的牢固点，并参照</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坠落防护 水平生命线装置》GB38454-2019</w:t>
      </w:r>
      <w:r>
        <w:rPr>
          <w:rFonts w:hint="eastAsia" w:ascii="宋体" w:hAnsi="宋体" w:eastAsia="宋体" w:cs="宋体"/>
          <w:color w:val="auto"/>
          <w:kern w:val="2"/>
          <w:sz w:val="21"/>
          <w:szCs w:val="21"/>
          <w:highlight w:val="none"/>
        </w:rPr>
        <w:t>沿着</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w:t>
      </w:r>
      <w:r>
        <w:rPr>
          <w:rFonts w:hint="eastAsia" w:ascii="宋体" w:hAnsi="宋体" w:eastAsia="宋体" w:cs="宋体"/>
          <w:color w:val="auto"/>
          <w:kern w:val="2"/>
          <w:sz w:val="21"/>
          <w:szCs w:val="21"/>
          <w:highlight w:val="none"/>
          <w:lang w:val="en-US" w:eastAsia="zh-CN"/>
        </w:rPr>
        <w:t>加装水平生命线，使用φ12mm镀锌圆钢焊接，与花纹钢板或棚架焊接牢固，固定点间距≤3m，高度为100mm，</w:t>
      </w:r>
      <w:r>
        <w:rPr>
          <w:rFonts w:hint="eastAsia" w:ascii="宋体" w:hAnsi="宋体" w:eastAsia="宋体" w:cs="宋体"/>
          <w:color w:val="auto"/>
          <w:kern w:val="2"/>
          <w:sz w:val="21"/>
          <w:szCs w:val="21"/>
          <w:highlight w:val="none"/>
        </w:rPr>
        <w:t>确保方便运维人员</w:t>
      </w:r>
      <w:r>
        <w:rPr>
          <w:rFonts w:hint="eastAsia" w:ascii="宋体" w:hAnsi="宋体" w:eastAsia="宋体" w:cs="宋体"/>
          <w:color w:val="auto"/>
          <w:kern w:val="2"/>
          <w:sz w:val="21"/>
          <w:szCs w:val="21"/>
          <w:highlight w:val="none"/>
          <w:lang w:val="en-US" w:eastAsia="zh-CN"/>
        </w:rPr>
        <w:t>安全</w:t>
      </w:r>
      <w:r>
        <w:rPr>
          <w:rFonts w:hint="eastAsia" w:ascii="宋体" w:hAnsi="宋体" w:eastAsia="宋体" w:cs="宋体"/>
          <w:color w:val="auto"/>
          <w:kern w:val="2"/>
          <w:sz w:val="21"/>
          <w:szCs w:val="21"/>
          <w:highlight w:val="none"/>
        </w:rPr>
        <w:t>清洗、运维</w:t>
      </w:r>
      <w:r>
        <w:rPr>
          <w:rFonts w:hint="eastAsia" w:ascii="宋体" w:hAnsi="宋体" w:eastAsia="宋体" w:cs="宋体"/>
          <w:color w:val="auto"/>
          <w:kern w:val="2"/>
          <w:sz w:val="21"/>
          <w:szCs w:val="21"/>
          <w:highlight w:val="none"/>
          <w:lang w:eastAsia="zh-CN"/>
        </w:rPr>
        <w:t>；</w:t>
      </w:r>
    </w:p>
    <w:p w14:paraId="7ED57D3E">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⑥</w:t>
      </w:r>
      <w:r>
        <w:rPr>
          <w:rFonts w:hint="eastAsia" w:ascii="宋体" w:hAnsi="宋体" w:eastAsia="宋体" w:cs="宋体"/>
          <w:b/>
          <w:bCs/>
          <w:color w:val="auto"/>
          <w:kern w:val="2"/>
          <w:sz w:val="21"/>
          <w:szCs w:val="21"/>
          <w:highlight w:val="none"/>
          <w:lang w:val="en-US" w:eastAsia="zh-CN"/>
        </w:rPr>
        <w:t>水平生命线必须喷涂</w:t>
      </w:r>
      <w:r>
        <w:rPr>
          <w:rFonts w:hint="eastAsia" w:ascii="宋体" w:hAnsi="宋体" w:eastAsia="宋体" w:cs="宋体"/>
          <w:b/>
          <w:bCs/>
          <w:color w:val="auto"/>
          <w:kern w:val="2"/>
          <w:sz w:val="21"/>
          <w:szCs w:val="21"/>
          <w:highlight w:val="none"/>
        </w:rPr>
        <w:t>黄黑</w:t>
      </w:r>
      <w:r>
        <w:rPr>
          <w:rFonts w:hint="eastAsia" w:ascii="宋体" w:hAnsi="宋体" w:eastAsia="宋体" w:cs="宋体"/>
          <w:b/>
          <w:bCs/>
          <w:color w:val="auto"/>
          <w:kern w:val="2"/>
          <w:sz w:val="21"/>
          <w:szCs w:val="21"/>
          <w:highlight w:val="none"/>
          <w:lang w:val="en-US" w:eastAsia="zh-CN"/>
        </w:rPr>
        <w:t>相间</w:t>
      </w:r>
      <w:r>
        <w:rPr>
          <w:rFonts w:hint="eastAsia" w:ascii="宋体" w:hAnsi="宋体" w:eastAsia="宋体" w:cs="宋体"/>
          <w:b/>
          <w:bCs/>
          <w:color w:val="auto"/>
          <w:kern w:val="2"/>
          <w:sz w:val="21"/>
          <w:szCs w:val="21"/>
          <w:highlight w:val="none"/>
        </w:rPr>
        <w:t>安全警示颜色</w:t>
      </w:r>
      <w:r>
        <w:rPr>
          <w:rFonts w:hint="eastAsia" w:ascii="宋体" w:hAnsi="宋体" w:eastAsia="宋体" w:cs="宋体"/>
          <w:b/>
          <w:bCs/>
          <w:color w:val="auto"/>
          <w:kern w:val="2"/>
          <w:sz w:val="21"/>
          <w:szCs w:val="21"/>
          <w:highlight w:val="none"/>
          <w:lang w:val="en-US" w:eastAsia="zh-CN"/>
        </w:rPr>
        <w:t>油漆</w:t>
      </w:r>
      <w:r>
        <w:rPr>
          <w:rFonts w:hint="eastAsia" w:ascii="宋体" w:hAnsi="宋体" w:eastAsia="宋体" w:cs="宋体"/>
          <w:b/>
          <w:bCs/>
          <w:color w:val="auto"/>
          <w:kern w:val="2"/>
          <w:sz w:val="21"/>
          <w:szCs w:val="21"/>
          <w:highlight w:val="none"/>
        </w:rPr>
        <w:t>，防止绊脚跌落</w:t>
      </w:r>
      <w:r>
        <w:rPr>
          <w:rFonts w:hint="eastAsia" w:ascii="宋体" w:hAnsi="宋体" w:eastAsia="宋体" w:cs="宋体"/>
          <w:color w:val="auto"/>
          <w:kern w:val="2"/>
          <w:sz w:val="21"/>
          <w:szCs w:val="21"/>
          <w:highlight w:val="none"/>
          <w:lang w:eastAsia="zh-CN"/>
        </w:rPr>
        <w:t>。</w:t>
      </w:r>
    </w:p>
    <w:p w14:paraId="0F6079C8">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检修配电箱</w:t>
      </w:r>
    </w:p>
    <w:p w14:paraId="56BD08E1">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为</w:t>
      </w:r>
      <w:r>
        <w:rPr>
          <w:rFonts w:hint="eastAsia" w:ascii="宋体" w:hAnsi="宋体" w:eastAsia="宋体" w:cs="宋体"/>
          <w:color w:val="auto"/>
          <w:kern w:val="2"/>
          <w:sz w:val="21"/>
          <w:szCs w:val="21"/>
          <w:highlight w:val="none"/>
        </w:rPr>
        <w:t>方便运维人员进行</w:t>
      </w:r>
      <w:r>
        <w:rPr>
          <w:rFonts w:hint="eastAsia" w:ascii="宋体" w:hAnsi="宋体" w:eastAsia="宋体" w:cs="宋体"/>
          <w:color w:val="auto"/>
          <w:kern w:val="2"/>
          <w:sz w:val="21"/>
          <w:szCs w:val="21"/>
          <w:highlight w:val="none"/>
          <w:lang w:val="en-US" w:eastAsia="zh-CN"/>
        </w:rPr>
        <w:t>后期</w:t>
      </w:r>
      <w:r>
        <w:rPr>
          <w:rFonts w:hint="eastAsia" w:ascii="宋体" w:hAnsi="宋体" w:eastAsia="宋体" w:cs="宋体"/>
          <w:color w:val="auto"/>
          <w:kern w:val="2"/>
          <w:sz w:val="21"/>
          <w:szCs w:val="21"/>
          <w:highlight w:val="none"/>
        </w:rPr>
        <w:t>运维</w:t>
      </w:r>
      <w:r>
        <w:rPr>
          <w:rFonts w:hint="eastAsia" w:ascii="宋体" w:hAnsi="宋体" w:eastAsia="宋体" w:cs="宋体"/>
          <w:color w:val="auto"/>
          <w:kern w:val="2"/>
          <w:sz w:val="21"/>
          <w:szCs w:val="21"/>
          <w:highlight w:val="none"/>
          <w:lang w:val="en-US" w:eastAsia="zh-CN"/>
        </w:rPr>
        <w:t>作业</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安装光伏系统的屋面需加装</w:t>
      </w:r>
      <w:r>
        <w:rPr>
          <w:rFonts w:hint="eastAsia" w:ascii="宋体" w:hAnsi="宋体" w:eastAsia="宋体" w:cs="宋体"/>
          <w:color w:val="auto"/>
          <w:kern w:val="2"/>
          <w:sz w:val="21"/>
          <w:szCs w:val="21"/>
          <w:highlight w:val="none"/>
        </w:rPr>
        <w:t>检修配电箱</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做法同逆变器</w:t>
      </w:r>
      <w:r>
        <w:rPr>
          <w:rFonts w:hint="eastAsia" w:ascii="宋体" w:hAnsi="宋体" w:eastAsia="宋体" w:cs="宋体"/>
          <w:color w:val="auto"/>
          <w:kern w:val="2"/>
          <w:sz w:val="21"/>
          <w:szCs w:val="21"/>
          <w:highlight w:val="none"/>
          <w:lang w:val="en-US" w:eastAsia="zh-CN"/>
        </w:rPr>
        <w:t>一样，</w:t>
      </w:r>
      <w:r>
        <w:rPr>
          <w:rFonts w:hint="eastAsia" w:ascii="宋体" w:hAnsi="宋体" w:eastAsia="宋体" w:cs="宋体"/>
          <w:color w:val="auto"/>
          <w:kern w:val="2"/>
          <w:sz w:val="21"/>
          <w:szCs w:val="21"/>
          <w:highlight w:val="none"/>
        </w:rPr>
        <w:t>安装户外支架或挂墙安装,箱体采用厚度≥1.5mm的冷轧钢板制成，防护等级不低于IP65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可靠接地，电</w:t>
      </w:r>
      <w:r>
        <w:rPr>
          <w:rFonts w:hint="eastAsia" w:ascii="宋体" w:hAnsi="宋体" w:eastAsia="宋体" w:cs="宋体"/>
          <w:color w:val="auto"/>
          <w:kern w:val="2"/>
          <w:sz w:val="21"/>
          <w:szCs w:val="21"/>
          <w:highlight w:val="none"/>
          <w:lang w:eastAsia="zh-CN"/>
        </w:rPr>
        <w:t>源由</w:t>
      </w:r>
      <w:r>
        <w:rPr>
          <w:rFonts w:hint="eastAsia" w:ascii="宋体" w:hAnsi="宋体" w:eastAsia="宋体" w:cs="宋体"/>
          <w:color w:val="auto"/>
          <w:kern w:val="2"/>
          <w:sz w:val="21"/>
          <w:szCs w:val="21"/>
          <w:highlight w:val="none"/>
          <w:lang w:val="en-US" w:eastAsia="zh-CN"/>
        </w:rPr>
        <w:t>交流汇流箱、逆变器交流端</w:t>
      </w:r>
      <w:r>
        <w:rPr>
          <w:rFonts w:hint="eastAsia" w:ascii="宋体" w:hAnsi="宋体" w:eastAsia="宋体" w:cs="宋体"/>
          <w:color w:val="auto"/>
          <w:kern w:val="2"/>
          <w:sz w:val="21"/>
          <w:szCs w:val="21"/>
          <w:highlight w:val="none"/>
          <w:lang w:eastAsia="zh-CN"/>
        </w:rPr>
        <w:t>就近引入，</w:t>
      </w:r>
      <w:r>
        <w:rPr>
          <w:rFonts w:hint="eastAsia" w:ascii="宋体" w:hAnsi="宋体" w:eastAsia="宋体" w:cs="宋体"/>
          <w:color w:val="auto"/>
          <w:kern w:val="2"/>
          <w:sz w:val="21"/>
          <w:szCs w:val="21"/>
          <w:highlight w:val="none"/>
          <w:lang w:val="en-US" w:eastAsia="zh-CN"/>
        </w:rPr>
        <w:t>开关与线缆大小的选型需满足焊接要求，同时方便视频监控系统取电</w:t>
      </w:r>
      <w:r>
        <w:rPr>
          <w:rFonts w:hint="eastAsia" w:ascii="宋体" w:hAnsi="宋体" w:eastAsia="宋体" w:cs="宋体"/>
          <w:b/>
          <w:bCs/>
          <w:color w:val="auto"/>
          <w:kern w:val="2"/>
          <w:sz w:val="21"/>
          <w:szCs w:val="21"/>
          <w:highlight w:val="none"/>
          <w:lang w:val="en-US" w:eastAsia="zh-CN"/>
        </w:rPr>
        <w:t>，若客户有收费需求需另外加装计量电表</w:t>
      </w:r>
      <w:r>
        <w:rPr>
          <w:rFonts w:hint="eastAsia" w:ascii="宋体" w:hAnsi="宋体" w:eastAsia="宋体" w:cs="宋体"/>
          <w:color w:val="auto"/>
          <w:kern w:val="2"/>
          <w:sz w:val="21"/>
          <w:szCs w:val="21"/>
          <w:highlight w:val="none"/>
          <w:lang w:val="en-US" w:eastAsia="zh-CN"/>
        </w:rPr>
        <w:t>。</w:t>
      </w:r>
    </w:p>
    <w:p w14:paraId="52B84010">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）安全护栏、</w:t>
      </w:r>
      <w:r>
        <w:rPr>
          <w:rFonts w:hint="eastAsia" w:ascii="宋体" w:hAnsi="宋体" w:eastAsia="宋体" w:cs="宋体"/>
          <w:color w:val="auto"/>
          <w:kern w:val="2"/>
          <w:sz w:val="21"/>
          <w:szCs w:val="21"/>
          <w:highlight w:val="none"/>
          <w:lang w:val="en-US" w:eastAsia="zh-CN"/>
        </w:rPr>
        <w:t>钢</w:t>
      </w:r>
      <w:r>
        <w:rPr>
          <w:rFonts w:hint="eastAsia" w:ascii="宋体" w:hAnsi="宋体" w:eastAsia="宋体" w:cs="宋体"/>
          <w:color w:val="auto"/>
          <w:kern w:val="2"/>
          <w:sz w:val="21"/>
          <w:szCs w:val="21"/>
          <w:highlight w:val="none"/>
        </w:rPr>
        <w:t>斜梯、采光带标识</w:t>
      </w:r>
    </w:p>
    <w:p w14:paraId="67321B83">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①安全护栏</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若</w:t>
      </w:r>
      <w:r>
        <w:rPr>
          <w:rFonts w:hint="eastAsia" w:ascii="宋体" w:hAnsi="宋体" w:eastAsia="宋体" w:cs="宋体"/>
          <w:color w:val="auto"/>
          <w:kern w:val="2"/>
          <w:sz w:val="21"/>
          <w:szCs w:val="21"/>
          <w:highlight w:val="none"/>
          <w:lang w:val="en-US" w:eastAsia="zh-CN"/>
        </w:rPr>
        <w:t>彩钢瓦屋顶</w:t>
      </w:r>
      <w:r>
        <w:rPr>
          <w:rFonts w:hint="eastAsia" w:ascii="宋体" w:hAnsi="宋体" w:eastAsia="宋体" w:cs="宋体"/>
          <w:color w:val="auto"/>
          <w:kern w:val="2"/>
          <w:sz w:val="21"/>
          <w:szCs w:val="21"/>
          <w:highlight w:val="none"/>
        </w:rPr>
        <w:t>无护栏或女儿墙屋顶的屋顶</w:t>
      </w:r>
      <w:r>
        <w:rPr>
          <w:rFonts w:hint="eastAsia" w:ascii="宋体" w:hAnsi="宋体" w:eastAsia="宋体" w:cs="宋体"/>
          <w:color w:val="auto"/>
          <w:kern w:val="2"/>
          <w:sz w:val="21"/>
          <w:szCs w:val="21"/>
          <w:highlight w:val="none"/>
          <w:lang w:val="en-US" w:eastAsia="zh-CN"/>
        </w:rPr>
        <w:t>临边、洞口处</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需</w:t>
      </w:r>
      <w:r>
        <w:rPr>
          <w:rFonts w:hint="eastAsia" w:ascii="宋体" w:hAnsi="宋体" w:eastAsia="宋体" w:cs="宋体"/>
          <w:color w:val="auto"/>
          <w:kern w:val="2"/>
          <w:sz w:val="21"/>
          <w:szCs w:val="21"/>
          <w:highlight w:val="none"/>
        </w:rPr>
        <w:t>加装高度</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kern w:val="2"/>
          <w:sz w:val="21"/>
          <w:szCs w:val="21"/>
          <w:highlight w:val="none"/>
        </w:rPr>
        <w:t>1200mm的永久</w:t>
      </w:r>
      <w:r>
        <w:rPr>
          <w:rFonts w:hint="eastAsia" w:ascii="宋体" w:hAnsi="宋体" w:eastAsia="宋体" w:cs="宋体"/>
          <w:color w:val="auto"/>
          <w:kern w:val="2"/>
          <w:sz w:val="21"/>
          <w:szCs w:val="21"/>
          <w:highlight w:val="none"/>
          <w:lang w:val="en-US" w:eastAsia="zh-CN"/>
        </w:rPr>
        <w:t>热镀锌角钢、U型钢</w:t>
      </w:r>
      <w:r>
        <w:rPr>
          <w:rFonts w:hint="eastAsia" w:ascii="宋体" w:hAnsi="宋体" w:eastAsia="宋体" w:cs="宋体"/>
          <w:color w:val="auto"/>
          <w:kern w:val="2"/>
          <w:sz w:val="21"/>
          <w:szCs w:val="21"/>
          <w:highlight w:val="none"/>
        </w:rPr>
        <w:t>材质</w:t>
      </w:r>
      <w:r>
        <w:rPr>
          <w:rFonts w:hint="eastAsia" w:ascii="宋体" w:hAnsi="宋体" w:eastAsia="宋体" w:cs="宋体"/>
          <w:color w:val="auto"/>
          <w:kern w:val="2"/>
          <w:sz w:val="21"/>
          <w:szCs w:val="21"/>
          <w:highlight w:val="none"/>
          <w:lang w:val="en-US" w:eastAsia="zh-CN"/>
        </w:rPr>
        <w:t>防</w:t>
      </w:r>
      <w:r>
        <w:rPr>
          <w:rFonts w:hint="eastAsia" w:ascii="宋体" w:hAnsi="宋体" w:eastAsia="宋体" w:cs="宋体"/>
          <w:color w:val="auto"/>
          <w:kern w:val="2"/>
          <w:sz w:val="21"/>
          <w:szCs w:val="21"/>
          <w:highlight w:val="none"/>
        </w:rPr>
        <w:t>护</w:t>
      </w:r>
      <w:r>
        <w:rPr>
          <w:rFonts w:hint="eastAsia" w:ascii="宋体" w:hAnsi="宋体" w:eastAsia="宋体" w:cs="宋体"/>
          <w:color w:val="auto"/>
          <w:kern w:val="2"/>
          <w:sz w:val="21"/>
          <w:szCs w:val="21"/>
          <w:highlight w:val="none"/>
          <w:lang w:val="en-US" w:eastAsia="zh-CN"/>
        </w:rPr>
        <w:t>围栏</w:t>
      </w:r>
      <w:r>
        <w:rPr>
          <w:rFonts w:hint="eastAsia" w:ascii="宋体" w:hAnsi="宋体" w:eastAsia="宋体" w:cs="宋体"/>
          <w:color w:val="auto"/>
          <w:kern w:val="2"/>
          <w:sz w:val="21"/>
          <w:szCs w:val="21"/>
          <w:highlight w:val="none"/>
        </w:rPr>
        <w:t>，以保护人身安全，</w:t>
      </w:r>
      <w:r>
        <w:rPr>
          <w:rFonts w:hint="eastAsia" w:ascii="宋体" w:hAnsi="宋体" w:eastAsia="宋体" w:cs="宋体"/>
          <w:color w:val="auto"/>
          <w:kern w:val="2"/>
          <w:sz w:val="21"/>
          <w:szCs w:val="21"/>
          <w:highlight w:val="none"/>
          <w:lang w:val="en-US" w:eastAsia="zh-CN"/>
        </w:rPr>
        <w:t>同时也要</w:t>
      </w:r>
      <w:r>
        <w:rPr>
          <w:rFonts w:hint="eastAsia" w:ascii="宋体" w:hAnsi="宋体" w:eastAsia="宋体" w:cs="宋体"/>
          <w:color w:val="auto"/>
          <w:kern w:val="2"/>
          <w:sz w:val="21"/>
          <w:szCs w:val="21"/>
          <w:highlight w:val="none"/>
        </w:rPr>
        <w:t>减少护栏对</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组件阴影</w:t>
      </w:r>
      <w:r>
        <w:rPr>
          <w:rFonts w:hint="eastAsia" w:ascii="宋体" w:hAnsi="宋体" w:eastAsia="宋体" w:cs="宋体"/>
          <w:color w:val="auto"/>
          <w:kern w:val="2"/>
          <w:sz w:val="21"/>
          <w:szCs w:val="21"/>
          <w:highlight w:val="none"/>
          <w:lang w:val="en-US" w:eastAsia="zh-CN"/>
        </w:rPr>
        <w:t>遮挡</w:t>
      </w:r>
      <w:r>
        <w:rPr>
          <w:rFonts w:hint="eastAsia" w:ascii="宋体" w:hAnsi="宋体" w:eastAsia="宋体" w:cs="宋体"/>
          <w:color w:val="auto"/>
          <w:kern w:val="2"/>
          <w:sz w:val="21"/>
          <w:szCs w:val="21"/>
          <w:highlight w:val="none"/>
        </w:rPr>
        <w:t>影响。</w:t>
      </w:r>
      <w:r>
        <w:rPr>
          <w:rFonts w:hint="eastAsia" w:ascii="宋体" w:hAnsi="宋体" w:eastAsia="宋体" w:cs="宋体"/>
          <w:color w:val="auto"/>
          <w:kern w:val="2"/>
          <w:sz w:val="21"/>
          <w:szCs w:val="21"/>
          <w:highlight w:val="none"/>
          <w:lang w:val="en-US" w:eastAsia="zh-CN"/>
        </w:rPr>
        <w:t>设置</w:t>
      </w:r>
      <w:r>
        <w:rPr>
          <w:rFonts w:hint="eastAsia" w:ascii="宋体" w:hAnsi="宋体" w:eastAsia="宋体" w:cs="宋体"/>
          <w:color w:val="auto"/>
          <w:kern w:val="2"/>
          <w:sz w:val="21"/>
          <w:szCs w:val="21"/>
          <w:highlight w:val="none"/>
          <w:lang w:eastAsia="zh-CN"/>
        </w:rPr>
        <w:t>底部</w:t>
      </w:r>
      <w:r>
        <w:rPr>
          <w:rFonts w:hint="eastAsia" w:ascii="宋体" w:hAnsi="宋体" w:eastAsia="宋体" w:cs="宋体"/>
          <w:color w:val="auto"/>
          <w:kern w:val="2"/>
          <w:sz w:val="21"/>
          <w:szCs w:val="21"/>
          <w:highlight w:val="none"/>
          <w:lang w:val="en-US" w:eastAsia="zh-CN"/>
        </w:rPr>
        <w:t>防护密目网</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防护网采用不锈钢材质，</w:t>
      </w:r>
      <w:r>
        <w:rPr>
          <w:rFonts w:hint="eastAsia" w:ascii="宋体" w:hAnsi="宋体" w:eastAsia="宋体" w:cs="宋体"/>
          <w:color w:val="auto"/>
          <w:kern w:val="2"/>
          <w:sz w:val="21"/>
          <w:szCs w:val="21"/>
          <w:highlight w:val="none"/>
          <w:lang w:eastAsia="zh-CN"/>
        </w:rPr>
        <w:t>高度</w:t>
      </w:r>
      <w:r>
        <w:rPr>
          <w:rFonts w:hint="eastAsia" w:ascii="宋体" w:hAnsi="宋体" w:eastAsia="宋体" w:cs="宋体"/>
          <w:color w:val="auto"/>
          <w:kern w:val="2"/>
          <w:sz w:val="21"/>
          <w:szCs w:val="21"/>
          <w:highlight w:val="none"/>
          <w:lang w:val="en-US" w:eastAsia="zh-CN"/>
        </w:rPr>
        <w:t>不小于0.2</w:t>
      </w:r>
      <w:r>
        <w:rPr>
          <w:rFonts w:hint="eastAsia" w:ascii="宋体" w:hAnsi="宋体" w:eastAsia="宋体" w:cs="宋体"/>
          <w:color w:val="auto"/>
          <w:kern w:val="2"/>
          <w:sz w:val="21"/>
          <w:szCs w:val="21"/>
          <w:highlight w:val="none"/>
          <w:lang w:eastAsia="zh-CN"/>
        </w:rPr>
        <w:t>m，</w:t>
      </w:r>
      <w:r>
        <w:rPr>
          <w:rFonts w:hint="eastAsia" w:ascii="宋体" w:hAnsi="宋体" w:eastAsia="宋体" w:cs="宋体"/>
          <w:color w:val="auto"/>
          <w:kern w:val="2"/>
          <w:sz w:val="21"/>
          <w:szCs w:val="21"/>
          <w:highlight w:val="none"/>
          <w:lang w:val="en-US" w:eastAsia="zh-CN"/>
        </w:rPr>
        <w:t>防止工具材料掉落，防护网上端至防护栏顶部设置三条横杆，横杆</w:t>
      </w:r>
      <w:r>
        <w:rPr>
          <w:rFonts w:hint="eastAsia" w:ascii="宋体" w:hAnsi="宋体" w:eastAsia="宋体" w:cs="宋体"/>
          <w:color w:val="auto"/>
          <w:kern w:val="2"/>
          <w:sz w:val="21"/>
          <w:szCs w:val="21"/>
          <w:highlight w:val="none"/>
        </w:rPr>
        <w:t>之间的间距</w:t>
      </w:r>
      <w:r>
        <w:rPr>
          <w:rFonts w:hint="eastAsia" w:ascii="宋体" w:hAnsi="宋体" w:eastAsia="宋体" w:cs="宋体"/>
          <w:color w:val="auto"/>
          <w:kern w:val="2"/>
          <w:sz w:val="21"/>
          <w:szCs w:val="21"/>
          <w:highlight w:val="none"/>
          <w:lang w:val="en-US" w:eastAsia="zh-CN"/>
        </w:rPr>
        <w:t>0.5</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护</w:t>
      </w:r>
      <w:r>
        <w:rPr>
          <w:rFonts w:hint="eastAsia" w:ascii="宋体" w:hAnsi="宋体" w:eastAsia="宋体" w:cs="宋体"/>
          <w:color w:val="auto"/>
          <w:kern w:val="2"/>
          <w:sz w:val="21"/>
          <w:szCs w:val="21"/>
          <w:highlight w:val="none"/>
          <w:lang w:val="en-US" w:eastAsia="zh-CN"/>
        </w:rPr>
        <w:t>栏</w:t>
      </w:r>
      <w:r>
        <w:rPr>
          <w:rFonts w:hint="eastAsia" w:ascii="宋体" w:hAnsi="宋体" w:eastAsia="宋体" w:cs="宋体"/>
          <w:color w:val="auto"/>
          <w:kern w:val="2"/>
          <w:sz w:val="21"/>
          <w:szCs w:val="21"/>
          <w:highlight w:val="none"/>
        </w:rPr>
        <w:t>立柱之间的间距小于1.5m，</w:t>
      </w:r>
      <w:r>
        <w:rPr>
          <w:rFonts w:hint="eastAsia" w:ascii="宋体" w:hAnsi="宋体" w:eastAsia="宋体" w:cs="宋体"/>
          <w:color w:val="auto"/>
          <w:kern w:val="2"/>
          <w:sz w:val="21"/>
          <w:szCs w:val="21"/>
          <w:highlight w:val="none"/>
          <w:lang w:val="en-US" w:eastAsia="zh-CN"/>
        </w:rPr>
        <w:t>防护</w:t>
      </w:r>
      <w:r>
        <w:rPr>
          <w:rFonts w:hint="eastAsia" w:ascii="宋体" w:hAnsi="宋体" w:eastAsia="宋体" w:cs="宋体"/>
          <w:color w:val="auto"/>
          <w:kern w:val="2"/>
          <w:sz w:val="21"/>
          <w:szCs w:val="21"/>
          <w:highlight w:val="none"/>
        </w:rPr>
        <w:t>栏按间隔可靠</w:t>
      </w:r>
      <w:r>
        <w:rPr>
          <w:rFonts w:hint="eastAsia" w:ascii="宋体" w:hAnsi="宋体" w:eastAsia="宋体" w:cs="宋体"/>
          <w:color w:val="auto"/>
          <w:kern w:val="2"/>
          <w:sz w:val="21"/>
          <w:szCs w:val="21"/>
          <w:highlight w:val="none"/>
          <w:lang w:val="en-US" w:eastAsia="zh-CN"/>
        </w:rPr>
        <w:t>防雷</w:t>
      </w:r>
      <w:r>
        <w:rPr>
          <w:rFonts w:hint="eastAsia" w:ascii="宋体" w:hAnsi="宋体" w:eastAsia="宋体" w:cs="宋体"/>
          <w:color w:val="auto"/>
          <w:kern w:val="2"/>
          <w:sz w:val="21"/>
          <w:szCs w:val="21"/>
          <w:highlight w:val="none"/>
        </w:rPr>
        <w:t>接地</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护栏按间隔可靠</w:t>
      </w:r>
      <w:r>
        <w:rPr>
          <w:rFonts w:hint="eastAsia" w:ascii="宋体" w:hAnsi="宋体" w:eastAsia="宋体" w:cs="宋体"/>
          <w:color w:val="auto"/>
          <w:kern w:val="2"/>
          <w:sz w:val="21"/>
          <w:szCs w:val="21"/>
          <w:highlight w:val="none"/>
          <w:lang w:val="en-US" w:eastAsia="zh-CN"/>
        </w:rPr>
        <w:t>防雷</w:t>
      </w:r>
      <w:r>
        <w:rPr>
          <w:rFonts w:hint="eastAsia" w:ascii="宋体" w:hAnsi="宋体" w:eastAsia="宋体" w:cs="宋体"/>
          <w:color w:val="auto"/>
          <w:kern w:val="2"/>
          <w:sz w:val="21"/>
          <w:szCs w:val="21"/>
          <w:highlight w:val="none"/>
        </w:rPr>
        <w:t>接地。</w:t>
      </w:r>
      <w:r>
        <w:rPr>
          <w:rFonts w:hint="eastAsia" w:ascii="宋体" w:hAnsi="宋体" w:eastAsia="宋体" w:cs="宋体"/>
          <w:color w:val="auto"/>
          <w:kern w:val="2"/>
          <w:sz w:val="21"/>
          <w:szCs w:val="21"/>
          <w:highlight w:val="none"/>
          <w:lang w:val="en-US" w:eastAsia="zh-CN"/>
        </w:rPr>
        <w:t>护栏安装应牢固、美观，符合《建筑施工高处作业安全技术规范》JGJ80-2016</w:t>
      </w:r>
      <w:r>
        <w:rPr>
          <w:rFonts w:hint="eastAsia" w:ascii="宋体" w:hAnsi="宋体" w:eastAsia="宋体" w:cs="宋体"/>
          <w:color w:val="auto"/>
          <w:kern w:val="2"/>
          <w:sz w:val="21"/>
          <w:szCs w:val="21"/>
          <w:highlight w:val="none"/>
        </w:rPr>
        <w:t>。</w:t>
      </w:r>
    </w:p>
    <w:p w14:paraId="680C67B1">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w:t>
      </w:r>
      <w:r>
        <w:rPr>
          <w:rFonts w:hint="eastAsia" w:ascii="宋体" w:hAnsi="宋体" w:eastAsia="宋体" w:cs="宋体"/>
          <w:color w:val="auto"/>
          <w:kern w:val="2"/>
          <w:sz w:val="21"/>
          <w:szCs w:val="21"/>
          <w:highlight w:val="none"/>
          <w:lang w:val="en-US" w:eastAsia="zh-CN"/>
        </w:rPr>
        <w:t>扶手踏步</w:t>
      </w:r>
      <w:r>
        <w:rPr>
          <w:rFonts w:hint="eastAsia" w:ascii="宋体" w:hAnsi="宋体" w:eastAsia="宋体" w:cs="宋体"/>
          <w:color w:val="auto"/>
          <w:kern w:val="2"/>
          <w:sz w:val="21"/>
          <w:szCs w:val="21"/>
          <w:highlight w:val="none"/>
        </w:rPr>
        <w:t>钢斜梯</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为方便运维和安全作业，未设置楼梯的</w:t>
      </w:r>
      <w:r>
        <w:rPr>
          <w:rFonts w:hint="eastAsia" w:ascii="宋体" w:hAnsi="宋体" w:eastAsia="宋体" w:cs="宋体"/>
          <w:color w:val="auto"/>
          <w:kern w:val="2"/>
          <w:sz w:val="21"/>
          <w:szCs w:val="21"/>
          <w:highlight w:val="none"/>
          <w:lang w:val="en-US" w:eastAsia="zh-CN"/>
        </w:rPr>
        <w:t>彩钢瓦屋</w:t>
      </w:r>
      <w:r>
        <w:rPr>
          <w:rFonts w:hint="eastAsia" w:ascii="宋体" w:hAnsi="宋体" w:eastAsia="宋体" w:cs="宋体"/>
          <w:color w:val="auto"/>
          <w:kern w:val="2"/>
          <w:sz w:val="21"/>
          <w:szCs w:val="21"/>
          <w:highlight w:val="none"/>
        </w:rPr>
        <w:t>面、棚</w:t>
      </w:r>
      <w:r>
        <w:rPr>
          <w:rFonts w:hint="eastAsia" w:ascii="宋体" w:hAnsi="宋体" w:eastAsia="宋体" w:cs="宋体"/>
          <w:color w:val="auto"/>
          <w:kern w:val="2"/>
          <w:sz w:val="21"/>
          <w:szCs w:val="21"/>
          <w:highlight w:val="none"/>
          <w:lang w:val="en-US" w:eastAsia="zh-CN"/>
        </w:rPr>
        <w:t>架</w:t>
      </w:r>
      <w:r>
        <w:rPr>
          <w:rFonts w:hint="eastAsia" w:ascii="宋体" w:hAnsi="宋体" w:eastAsia="宋体" w:cs="宋体"/>
          <w:color w:val="auto"/>
          <w:kern w:val="2"/>
          <w:sz w:val="21"/>
          <w:szCs w:val="21"/>
          <w:highlight w:val="none"/>
        </w:rPr>
        <w:t>式光伏</w:t>
      </w:r>
      <w:r>
        <w:rPr>
          <w:rFonts w:hint="eastAsia" w:ascii="宋体" w:hAnsi="宋体" w:eastAsia="宋体" w:cs="宋体"/>
          <w:color w:val="auto"/>
          <w:kern w:val="2"/>
          <w:sz w:val="21"/>
          <w:szCs w:val="21"/>
          <w:highlight w:val="none"/>
          <w:lang w:val="en-US" w:eastAsia="zh-CN"/>
        </w:rPr>
        <w:t>组件</w:t>
      </w:r>
      <w:r>
        <w:rPr>
          <w:rFonts w:hint="eastAsia" w:ascii="宋体" w:hAnsi="宋体" w:eastAsia="宋体" w:cs="宋体"/>
          <w:color w:val="auto"/>
          <w:kern w:val="2"/>
          <w:sz w:val="21"/>
          <w:szCs w:val="21"/>
          <w:highlight w:val="none"/>
        </w:rPr>
        <w:t>面，须设置</w:t>
      </w:r>
      <w:r>
        <w:rPr>
          <w:rFonts w:hint="eastAsia" w:ascii="宋体" w:hAnsi="宋体" w:eastAsia="宋体" w:cs="宋体"/>
          <w:color w:val="auto"/>
          <w:kern w:val="2"/>
          <w:sz w:val="21"/>
          <w:szCs w:val="21"/>
          <w:highlight w:val="none"/>
          <w:lang w:val="en-US" w:eastAsia="zh-CN"/>
        </w:rPr>
        <w:t>扶手踏步镀锌</w:t>
      </w:r>
      <w:r>
        <w:rPr>
          <w:rFonts w:hint="eastAsia" w:ascii="宋体" w:hAnsi="宋体" w:eastAsia="宋体" w:cs="宋体"/>
          <w:color w:val="auto"/>
          <w:kern w:val="2"/>
          <w:sz w:val="21"/>
          <w:szCs w:val="21"/>
          <w:highlight w:val="none"/>
        </w:rPr>
        <w:t>钢斜梯，</w:t>
      </w:r>
      <w:r>
        <w:rPr>
          <w:rFonts w:hint="eastAsia" w:ascii="宋体" w:hAnsi="宋体" w:eastAsia="宋体" w:cs="宋体"/>
          <w:color w:val="auto"/>
          <w:kern w:val="2"/>
          <w:sz w:val="21"/>
          <w:szCs w:val="21"/>
          <w:highlight w:val="none"/>
          <w:lang w:val="en-US" w:eastAsia="zh-CN"/>
        </w:rPr>
        <w:t>钢斜梯踏面宽度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0.8</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踏面深度≥0.18m、踏面高度≤0.2m，双扶手高度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0.9</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搭棚方式的钢梯需同时设置0.8</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val="en-US" w:eastAsia="zh-CN"/>
        </w:rPr>
        <w:t>运维操作平台并与运维通道进行连接，</w:t>
      </w:r>
      <w:r>
        <w:rPr>
          <w:rFonts w:hint="eastAsia" w:ascii="宋体" w:hAnsi="宋体" w:eastAsia="宋体" w:cs="宋体"/>
          <w:b w:val="0"/>
          <w:bCs w:val="0"/>
          <w:color w:val="auto"/>
          <w:kern w:val="2"/>
          <w:sz w:val="21"/>
          <w:szCs w:val="21"/>
          <w:highlight w:val="none"/>
          <w:lang w:val="en-US" w:eastAsia="zh-CN"/>
        </w:rPr>
        <w:t>各立柱须增加水泥墩基础，</w:t>
      </w:r>
      <w:r>
        <w:rPr>
          <w:rFonts w:hint="eastAsia" w:ascii="宋体" w:hAnsi="宋体" w:eastAsia="宋体" w:cs="宋体"/>
          <w:color w:val="auto"/>
          <w:kern w:val="2"/>
          <w:sz w:val="21"/>
          <w:szCs w:val="21"/>
          <w:highlight w:val="none"/>
        </w:rPr>
        <w:t>应符合《固定式钢梯及平台安全要求.第2部分:钢斜梯》GB4053.2-2009</w:t>
      </w:r>
      <w:r>
        <w:rPr>
          <w:rFonts w:hint="eastAsia" w:ascii="宋体" w:hAnsi="宋体" w:eastAsia="宋体" w:cs="宋体"/>
          <w:color w:val="auto"/>
          <w:kern w:val="2"/>
          <w:sz w:val="21"/>
          <w:szCs w:val="21"/>
          <w:highlight w:val="none"/>
          <w:lang w:val="en-US" w:eastAsia="zh-CN"/>
        </w:rPr>
        <w:t>规定</w:t>
      </w:r>
      <w:r>
        <w:rPr>
          <w:rFonts w:hint="eastAsia" w:ascii="宋体" w:hAnsi="宋体" w:eastAsia="宋体" w:cs="宋体"/>
          <w:color w:val="auto"/>
          <w:kern w:val="2"/>
          <w:sz w:val="21"/>
          <w:szCs w:val="21"/>
          <w:highlight w:val="none"/>
        </w:rPr>
        <w:t>。钢斜梯</w:t>
      </w:r>
      <w:r>
        <w:rPr>
          <w:rFonts w:hint="eastAsia" w:ascii="宋体" w:hAnsi="宋体" w:eastAsia="宋体" w:cs="宋体"/>
          <w:color w:val="auto"/>
          <w:kern w:val="2"/>
          <w:sz w:val="21"/>
          <w:szCs w:val="21"/>
          <w:highlight w:val="none"/>
          <w:lang w:val="en-US" w:eastAsia="zh-CN"/>
        </w:rPr>
        <w:t>高度1.5m内的部分空隙不大于0.15m</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并在</w:t>
      </w:r>
      <w:r>
        <w:rPr>
          <w:rFonts w:hint="eastAsia" w:ascii="宋体" w:hAnsi="宋体" w:eastAsia="宋体" w:cs="宋体"/>
          <w:color w:val="auto"/>
          <w:kern w:val="2"/>
          <w:sz w:val="21"/>
          <w:szCs w:val="21"/>
          <w:highlight w:val="none"/>
        </w:rPr>
        <w:t>入口</w:t>
      </w:r>
      <w:r>
        <w:rPr>
          <w:rFonts w:hint="eastAsia" w:ascii="宋体" w:hAnsi="宋体" w:eastAsia="宋体" w:cs="宋体"/>
          <w:color w:val="auto"/>
          <w:kern w:val="2"/>
          <w:sz w:val="21"/>
          <w:szCs w:val="21"/>
          <w:highlight w:val="none"/>
          <w:lang w:val="en-US" w:eastAsia="zh-CN"/>
        </w:rPr>
        <w:t>处设置</w:t>
      </w:r>
      <w:r>
        <w:rPr>
          <w:rFonts w:hint="eastAsia" w:ascii="宋体" w:hAnsi="宋体" w:eastAsia="宋体" w:cs="宋体"/>
          <w:color w:val="auto"/>
          <w:kern w:val="2"/>
          <w:sz w:val="21"/>
          <w:szCs w:val="21"/>
          <w:highlight w:val="none"/>
        </w:rPr>
        <w:t>带锁的活动门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钢斜梯踏步应使用槽钢、型钢，宜用热镀锌材质，</w:t>
      </w:r>
      <w:r>
        <w:rPr>
          <w:rFonts w:hint="eastAsia" w:ascii="宋体" w:hAnsi="宋体" w:eastAsia="宋体" w:cs="宋体"/>
          <w:color w:val="auto"/>
          <w:kern w:val="2"/>
          <w:sz w:val="21"/>
          <w:szCs w:val="21"/>
          <w:highlight w:val="none"/>
        </w:rPr>
        <w:t>钢斜梯旁边设置“</w:t>
      </w:r>
      <w:r>
        <w:rPr>
          <w:rFonts w:hint="eastAsia" w:ascii="宋体" w:hAnsi="宋体" w:eastAsia="宋体" w:cs="宋体"/>
          <w:color w:val="auto"/>
          <w:kern w:val="2"/>
          <w:sz w:val="21"/>
          <w:szCs w:val="21"/>
          <w:highlight w:val="none"/>
          <w:lang w:val="en-US" w:eastAsia="zh-CN"/>
        </w:rPr>
        <w:t>高处危险，非作业人员</w:t>
      </w:r>
      <w:r>
        <w:rPr>
          <w:rFonts w:hint="eastAsia" w:ascii="宋体" w:hAnsi="宋体" w:eastAsia="宋体" w:cs="宋体"/>
          <w:color w:val="auto"/>
          <w:kern w:val="2"/>
          <w:sz w:val="21"/>
          <w:szCs w:val="21"/>
          <w:highlight w:val="none"/>
        </w:rPr>
        <w:t>禁止</w:t>
      </w:r>
      <w:r>
        <w:rPr>
          <w:rFonts w:hint="eastAsia" w:ascii="宋体" w:hAnsi="宋体" w:eastAsia="宋体" w:cs="宋体"/>
          <w:color w:val="auto"/>
          <w:kern w:val="2"/>
          <w:sz w:val="21"/>
          <w:szCs w:val="21"/>
          <w:highlight w:val="none"/>
          <w:lang w:val="en-US" w:eastAsia="zh-CN"/>
        </w:rPr>
        <w:t>进入</w:t>
      </w:r>
      <w:r>
        <w:rPr>
          <w:rFonts w:hint="eastAsia" w:ascii="宋体" w:hAnsi="宋体" w:eastAsia="宋体" w:cs="宋体"/>
          <w:color w:val="auto"/>
          <w:kern w:val="2"/>
          <w:sz w:val="21"/>
          <w:szCs w:val="21"/>
          <w:highlight w:val="none"/>
        </w:rPr>
        <w:t>”。</w:t>
      </w:r>
    </w:p>
    <w:p w14:paraId="38988542">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③采光带周围用宽度不少于100mm黄色油漆标识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或贴警示带</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，并</w:t>
      </w:r>
      <w:r>
        <w:rPr>
          <w:rFonts w:hint="eastAsia" w:ascii="宋体" w:hAnsi="宋体" w:eastAsia="宋体" w:cs="宋体"/>
          <w:color w:val="auto"/>
          <w:kern w:val="2"/>
          <w:sz w:val="21"/>
          <w:szCs w:val="21"/>
          <w:highlight w:val="none"/>
          <w:lang w:val="en-US" w:eastAsia="zh-CN"/>
        </w:rPr>
        <w:t>设置“</w:t>
      </w:r>
      <w:r>
        <w:rPr>
          <w:rFonts w:hint="eastAsia" w:ascii="宋体" w:hAnsi="宋体" w:eastAsia="宋体" w:cs="宋体"/>
          <w:color w:val="auto"/>
          <w:kern w:val="2"/>
          <w:sz w:val="21"/>
          <w:szCs w:val="21"/>
          <w:highlight w:val="none"/>
        </w:rPr>
        <w:t>禁止踩踏</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警示牌</w:t>
      </w:r>
      <w:r>
        <w:rPr>
          <w:rFonts w:hint="eastAsia" w:ascii="宋体" w:hAnsi="宋体" w:eastAsia="宋体" w:cs="宋体"/>
          <w:color w:val="auto"/>
          <w:kern w:val="2"/>
          <w:sz w:val="21"/>
          <w:szCs w:val="21"/>
          <w:highlight w:val="none"/>
        </w:rPr>
        <w:t>；同时</w:t>
      </w:r>
      <w:r>
        <w:rPr>
          <w:rFonts w:hint="eastAsia" w:ascii="宋体" w:hAnsi="宋体" w:eastAsia="宋体" w:cs="宋体"/>
          <w:b/>
          <w:bCs/>
          <w:color w:val="auto"/>
          <w:kern w:val="2"/>
          <w:sz w:val="21"/>
          <w:szCs w:val="21"/>
          <w:highlight w:val="none"/>
        </w:rPr>
        <w:t>设置</w:t>
      </w:r>
      <w:r>
        <w:rPr>
          <w:rFonts w:hint="eastAsia" w:ascii="宋体" w:hAnsi="宋体" w:eastAsia="宋体" w:cs="宋体"/>
          <w:b/>
          <w:bCs/>
          <w:color w:val="auto"/>
          <w:kern w:val="2"/>
          <w:sz w:val="21"/>
          <w:szCs w:val="21"/>
          <w:highlight w:val="none"/>
          <w:lang w:val="en-US" w:eastAsia="zh-CN"/>
        </w:rPr>
        <w:t>防坠落网</w:t>
      </w:r>
      <w:r>
        <w:rPr>
          <w:rFonts w:hint="eastAsia" w:ascii="宋体" w:hAnsi="宋体" w:eastAsia="宋体" w:cs="宋体"/>
          <w:color w:val="auto"/>
          <w:kern w:val="2"/>
          <w:sz w:val="21"/>
          <w:szCs w:val="21"/>
          <w:highlight w:val="none"/>
          <w:lang w:val="en-US" w:eastAsia="zh-CN"/>
        </w:rPr>
        <w:t>进行</w:t>
      </w:r>
      <w:r>
        <w:rPr>
          <w:rFonts w:hint="eastAsia" w:ascii="宋体" w:hAnsi="宋体" w:eastAsia="宋体" w:cs="宋体"/>
          <w:color w:val="auto"/>
          <w:kern w:val="2"/>
          <w:sz w:val="21"/>
          <w:szCs w:val="21"/>
          <w:highlight w:val="none"/>
        </w:rPr>
        <w:t>保护，</w:t>
      </w:r>
      <w:r>
        <w:rPr>
          <w:rFonts w:hint="eastAsia" w:ascii="宋体" w:hAnsi="宋体" w:eastAsia="宋体" w:cs="宋体"/>
          <w:color w:val="auto"/>
          <w:kern w:val="2"/>
          <w:sz w:val="21"/>
          <w:szCs w:val="21"/>
          <w:highlight w:val="none"/>
          <w:lang w:val="en-US" w:eastAsia="zh-CN"/>
        </w:rPr>
        <w:t>防止</w:t>
      </w:r>
      <w:r>
        <w:rPr>
          <w:rFonts w:hint="eastAsia" w:ascii="宋体" w:hAnsi="宋体" w:eastAsia="宋体" w:cs="宋体"/>
          <w:color w:val="auto"/>
          <w:kern w:val="2"/>
          <w:sz w:val="21"/>
          <w:szCs w:val="21"/>
          <w:highlight w:val="none"/>
        </w:rPr>
        <w:t>人员踩空。</w:t>
      </w:r>
    </w:p>
    <w:p w14:paraId="64A2A071">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p>
    <w:p w14:paraId="00548241">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bookmarkStart w:id="19" w:name="_Toc5212"/>
      <w:r>
        <w:rPr>
          <w:rFonts w:hint="eastAsia" w:ascii="宋体" w:hAnsi="宋体" w:eastAsia="宋体" w:cs="宋体"/>
          <w:b/>
          <w:bCs/>
          <w:color w:val="auto"/>
          <w:kern w:val="2"/>
          <w:sz w:val="21"/>
          <w:szCs w:val="21"/>
          <w:highlight w:val="none"/>
          <w:lang w:val="en-US" w:eastAsia="zh-CN"/>
        </w:rPr>
        <w:t>六</w:t>
      </w:r>
      <w:r>
        <w:rPr>
          <w:rFonts w:hint="eastAsia" w:ascii="宋体" w:hAnsi="宋体" w:eastAsia="宋体" w:cs="宋体"/>
          <w:b/>
          <w:bCs/>
          <w:color w:val="auto"/>
          <w:kern w:val="2"/>
          <w:sz w:val="21"/>
          <w:szCs w:val="21"/>
          <w:highlight w:val="none"/>
        </w:rPr>
        <w:t>、设计规范和设计依据</w:t>
      </w:r>
      <w:bookmarkEnd w:id="19"/>
    </w:p>
    <w:p w14:paraId="0BFF6E88">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（1）建筑平面、总平面；其他相关专业提出的要求。</w:t>
      </w:r>
    </w:p>
    <w:p w14:paraId="76B3C54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（2）建设方所提供的设计任务委托书、设计要点、经批准的扩初设计文件、配电房管线资料等。</w:t>
      </w:r>
    </w:p>
    <w:p w14:paraId="22889B8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（3）国家及省的有关规范、标准、规程：</w:t>
      </w:r>
    </w:p>
    <w:p w14:paraId="41F815C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《光伏发电站防雷技术规程》 DL/T 1364-2014(国家能源局)</w:t>
      </w:r>
    </w:p>
    <w:p w14:paraId="08ADA42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《光伏发电并网逆变器技术规范》 NB/T 32004-201</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(国家能源局)</w:t>
      </w:r>
    </w:p>
    <w:p w14:paraId="0FFD5FB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《光伏发电站电能质量检测技术规程》 NB/T 32006-2013(国家能源局)</w:t>
      </w:r>
    </w:p>
    <w:p w14:paraId="26C161A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《光伏发电站功率预测系统技术要求》 NB/T 32011-2013(国家能源局)</w:t>
      </w:r>
    </w:p>
    <w:p w14:paraId="7FD3C70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《光伏发电站防孤岛效应检测技术规程》 NB/T 32014-2013(国家能源局)</w:t>
      </w:r>
    </w:p>
    <w:p w14:paraId="2E7749F1">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《并网光伏发电监控系统技术规范》 NB/T 32016-2013(国家能源局)</w:t>
      </w:r>
    </w:p>
    <w:p w14:paraId="0A38212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《太阳能光伏系统防雷技术规范》 QX/T 263-2015(中国气象局)</w:t>
      </w:r>
    </w:p>
    <w:p w14:paraId="366207AF">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《光伏发电接入配电网设计规范》 GB/T 50865-2013</w:t>
      </w:r>
    </w:p>
    <w:p w14:paraId="7AC1B98B">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《光伏发电站接入电力系统设计规范》 GB/T 50866-2013</w:t>
      </w:r>
    </w:p>
    <w:p w14:paraId="70A4976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《光伏发电站继电保护技术规范》 GB/T_32900-2016</w:t>
      </w:r>
    </w:p>
    <w:p w14:paraId="5C2F49D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《分布式光伏发电系统接入电网技术规范》 Q/CSG_1211001-2014</w:t>
      </w:r>
    </w:p>
    <w:p w14:paraId="23DEF3A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《光伏发电站接入电网技术规范》 Q/CSG_1211002-2014</w:t>
      </w:r>
    </w:p>
    <w:p w14:paraId="2242FA6A">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《光伏发电并网技术标准》 Q/CSG_1211006-2016</w:t>
      </w:r>
    </w:p>
    <w:p w14:paraId="33A058E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《并网光伏发电站监控系统技术规范》 Q/CSG_1211011-2016</w:t>
      </w:r>
    </w:p>
    <w:p w14:paraId="517A6CE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《建筑结构荷载规范》 GB50009-2012</w:t>
      </w:r>
    </w:p>
    <w:p w14:paraId="68A3F617">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《建筑物防雷设计规范》 GB50057-2010</w:t>
      </w:r>
    </w:p>
    <w:p w14:paraId="14187495">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《分布式光伏发电开发建设管理办法》</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国能发新能</w:t>
      </w:r>
      <w:r>
        <w:rPr>
          <w:rFonts w:hint="eastAsia" w:ascii="宋体" w:hAnsi="宋体" w:eastAsia="宋体" w:cs="宋体"/>
          <w:color w:val="auto"/>
          <w:kern w:val="2"/>
          <w:sz w:val="21"/>
          <w:szCs w:val="21"/>
          <w:highlight w:val="none"/>
          <w:lang w:val="en-US" w:eastAsia="zh-CN"/>
        </w:rPr>
        <w:t>规</w:t>
      </w:r>
      <w:r>
        <w:rPr>
          <w:rFonts w:hint="eastAsia" w:ascii="宋体" w:hAnsi="宋体" w:eastAsia="宋体" w:cs="宋体"/>
          <w:color w:val="auto"/>
          <w:kern w:val="2"/>
          <w:sz w:val="21"/>
          <w:szCs w:val="21"/>
          <w:highlight w:val="none"/>
        </w:rPr>
        <w:t>[2025]7号</w:t>
      </w:r>
    </w:p>
    <w:p w14:paraId="151749E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广东电网公司低压分布式光伏“四可”能力计量典型设计(试行)</w:t>
      </w:r>
      <w:r>
        <w:rPr>
          <w:rFonts w:hint="eastAsia" w:ascii="宋体" w:hAnsi="宋体" w:eastAsia="宋体" w:cs="宋体"/>
          <w:color w:val="auto"/>
          <w:kern w:val="2"/>
          <w:sz w:val="21"/>
          <w:szCs w:val="21"/>
          <w:highlight w:val="none"/>
        </w:rPr>
        <w:t>》</w:t>
      </w:r>
    </w:p>
    <w:p w14:paraId="4BA0B414">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上述标准、规范及规程仅是本工程的最基本依据，并未包括实施中所涉及到的所有标准、规范和规程，项目的设计应符合中华人民共和国国家标准（GB），中华人民共和国电力行业标准（DL），中华人民共和国电子行业标准（SJ）及相关的IEC标准。在国内标准与IEC标准矛盾时，应按较高标准执行，并且所用标准和技术规范均应为合同签订之日为止时的最新版本。</w:t>
      </w:r>
    </w:p>
    <w:p w14:paraId="17B6A2D4">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p>
    <w:p w14:paraId="36B3782A">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bookmarkStart w:id="20" w:name="_Toc11245"/>
      <w:r>
        <w:rPr>
          <w:rFonts w:hint="eastAsia" w:ascii="宋体" w:hAnsi="宋体" w:eastAsia="宋体" w:cs="宋体"/>
          <w:b/>
          <w:bCs/>
          <w:color w:val="auto"/>
          <w:kern w:val="2"/>
          <w:sz w:val="21"/>
          <w:szCs w:val="21"/>
          <w:highlight w:val="none"/>
          <w:lang w:val="en-US" w:eastAsia="zh-CN"/>
        </w:rPr>
        <w:t>七</w:t>
      </w:r>
      <w:r>
        <w:rPr>
          <w:rFonts w:hint="eastAsia" w:ascii="宋体" w:hAnsi="宋体" w:eastAsia="宋体" w:cs="宋体"/>
          <w:b/>
          <w:bCs/>
          <w:color w:val="auto"/>
          <w:kern w:val="2"/>
          <w:sz w:val="21"/>
          <w:szCs w:val="21"/>
          <w:highlight w:val="none"/>
        </w:rPr>
        <w:t>、消防要求</w:t>
      </w:r>
      <w:bookmarkEnd w:id="20"/>
    </w:p>
    <w:p w14:paraId="41585753">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1. 主要设计原则、功能及配置</w:t>
      </w:r>
    </w:p>
    <w:p w14:paraId="01F54310">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本项目依据国家有关消防条例、规范进行设计，本着“预防为主、防消结合 ”的消防工作方针，消防系统的设置以加强自身防范力量为主，立足于自救，同时与消防部门联防，做到“防患于未然 ”，从积极的方面预防火灾的发生及蔓延。变电站内电气设备较多，消防设计的重点是防止电气火灾。</w:t>
      </w:r>
    </w:p>
    <w:p w14:paraId="6010D51A">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（1）对设有电气仪表设备的房间，应配置移动式气体灭火器和手动火灾报警（警铃）。</w:t>
      </w:r>
    </w:p>
    <w:p w14:paraId="2BDFA530">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（2）对光伏组件屋面应按方阵、逆变器数量配置干粉灭火器和消防沙，用于发电单元电气设备的灭火。</w:t>
      </w:r>
    </w:p>
    <w:p w14:paraId="4E4DE6D1">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（3）根据“预防为主、防消结合 ”的原则，本着减少着火机率，阻止电缆着火延燃及窜燃的目的，结合现场实际情况，主要采取“封 ”“堵 ”“隔 ”“涂 ”等技术措施，封堵施工按照国家及行业有关标准和以往的电缆防火封堵措施并结合电站实际情况进行</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交流电缆采用阻燃型</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主要达到《电气装置安装工程 电缆线路施工及验收标准》GB50168-2018。</w:t>
      </w:r>
    </w:p>
    <w:p w14:paraId="760FFE82">
      <w:pPr>
        <w:pageBreakBefore w:val="0"/>
        <w:widowControl w:val="0"/>
        <w:kinsoku/>
        <w:wordWrap w:val="0"/>
        <w:overflowPunct/>
        <w:topLinePunct w:val="0"/>
        <w:bidi w:val="0"/>
        <w:adjustRightInd/>
        <w:snapToGrid/>
        <w:spacing w:after="0" w:line="360" w:lineRule="auto"/>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2. 消防设计及消防验收</w:t>
      </w:r>
    </w:p>
    <w:p w14:paraId="1E803CF8">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投标方须依据《中华人名共和国消防法》、《建设工程消防监督管理规定》等法律法规及当地消防管理部门的要求，完成如下事项（包括但不限于）:</w:t>
      </w:r>
    </w:p>
    <w:p w14:paraId="0810727F">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（1）光伏发电项目的消防设计及备案；</w:t>
      </w:r>
    </w:p>
    <w:p w14:paraId="02EA23BF">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（2）委托有资质的第三方机构进行消防检测，并取得消防设施检测合格证明文件；</w:t>
      </w:r>
    </w:p>
    <w:p w14:paraId="0A1C277E">
      <w:pPr>
        <w:pageBreakBefore w:val="0"/>
        <w:widowControl w:val="0"/>
        <w:tabs>
          <w:tab w:val="left" w:pos="360"/>
        </w:tabs>
        <w:kinsoku/>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（3）竣工验收消防备案；</w:t>
      </w:r>
    </w:p>
    <w:p w14:paraId="021026CB">
      <w:pPr>
        <w:pageBreakBefore w:val="0"/>
        <w:widowControl w:val="0"/>
        <w:kinsoku/>
        <w:wordWrap w:val="0"/>
        <w:overflowPunct/>
        <w:topLinePunct w:val="0"/>
        <w:bidi w:val="0"/>
        <w:adjustRightInd/>
        <w:snapToGrid/>
        <w:spacing w:after="0" w:line="360" w:lineRule="auto"/>
        <w:ind w:left="420" w:left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（4）如本项目被确定为抽查对象，须通过当地消防管理部门的检测检验。</w:t>
      </w:r>
    </w:p>
    <w:p w14:paraId="62FF0624">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p>
    <w:p w14:paraId="7014C7AA">
      <w:pPr>
        <w:keepNext/>
        <w:keepLines/>
        <w:pageBreakBefore w:val="0"/>
        <w:widowControl w:val="0"/>
        <w:kinsoku/>
        <w:overflowPunct/>
        <w:topLinePunct w:val="0"/>
        <w:bidi w:val="0"/>
        <w:adjustRightInd/>
        <w:snapToGrid/>
        <w:spacing w:after="0" w:line="360" w:lineRule="auto"/>
        <w:jc w:val="both"/>
        <w:textAlignment w:val="auto"/>
        <w:outlineLvl w:val="3"/>
        <w:rPr>
          <w:rFonts w:hint="eastAsia" w:ascii="宋体" w:hAnsi="宋体" w:eastAsia="宋体" w:cs="宋体"/>
          <w:b/>
          <w:bCs/>
          <w:color w:val="auto"/>
          <w:kern w:val="2"/>
          <w:sz w:val="21"/>
          <w:szCs w:val="21"/>
          <w:highlight w:val="none"/>
        </w:rPr>
      </w:pPr>
      <w:bookmarkStart w:id="21" w:name="_Toc7194"/>
      <w:r>
        <w:rPr>
          <w:rFonts w:hint="eastAsia" w:ascii="宋体" w:hAnsi="宋体" w:eastAsia="宋体" w:cs="宋体"/>
          <w:b/>
          <w:bCs/>
          <w:color w:val="auto"/>
          <w:kern w:val="2"/>
          <w:sz w:val="21"/>
          <w:szCs w:val="21"/>
          <w:highlight w:val="none"/>
          <w:lang w:val="en-US" w:eastAsia="zh-CN"/>
        </w:rPr>
        <w:t>八</w:t>
      </w:r>
      <w:r>
        <w:rPr>
          <w:rFonts w:hint="eastAsia" w:ascii="宋体" w:hAnsi="宋体" w:eastAsia="宋体" w:cs="宋体"/>
          <w:b/>
          <w:bCs/>
          <w:color w:val="auto"/>
          <w:kern w:val="2"/>
          <w:sz w:val="21"/>
          <w:szCs w:val="21"/>
          <w:highlight w:val="none"/>
        </w:rPr>
        <w:t>、特别要求</w:t>
      </w:r>
      <w:bookmarkEnd w:id="21"/>
    </w:p>
    <w:p w14:paraId="78492C83">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1、承包单位</w:t>
      </w:r>
      <w:r>
        <w:rPr>
          <w:rFonts w:hint="eastAsia" w:ascii="宋体" w:hAnsi="宋体" w:eastAsia="宋体" w:cs="宋体"/>
          <w:color w:val="auto"/>
          <w:kern w:val="2"/>
          <w:sz w:val="21"/>
          <w:szCs w:val="21"/>
          <w:highlight w:val="none"/>
          <w:lang w:val="en-US" w:eastAsia="zh-CN"/>
        </w:rPr>
        <w:t>在</w:t>
      </w:r>
      <w:r>
        <w:rPr>
          <w:rFonts w:hint="eastAsia" w:ascii="宋体" w:hAnsi="宋体" w:eastAsia="宋体" w:cs="宋体"/>
          <w:color w:val="auto"/>
          <w:kern w:val="2"/>
          <w:sz w:val="21"/>
          <w:szCs w:val="21"/>
          <w:highlight w:val="none"/>
        </w:rPr>
        <w:t>涉及</w:t>
      </w:r>
      <w:r>
        <w:rPr>
          <w:rFonts w:hint="eastAsia" w:ascii="宋体" w:hAnsi="宋体" w:eastAsia="宋体" w:cs="宋体"/>
          <w:color w:val="auto"/>
          <w:kern w:val="2"/>
          <w:sz w:val="21"/>
          <w:szCs w:val="21"/>
          <w:highlight w:val="none"/>
          <w:lang w:val="en-US" w:eastAsia="zh-CN"/>
        </w:rPr>
        <w:t>光伏发电</w:t>
      </w:r>
      <w:r>
        <w:rPr>
          <w:rFonts w:hint="eastAsia" w:ascii="宋体" w:hAnsi="宋体" w:eastAsia="宋体" w:cs="宋体"/>
          <w:color w:val="auto"/>
          <w:kern w:val="2"/>
          <w:sz w:val="21"/>
          <w:szCs w:val="21"/>
          <w:highlight w:val="none"/>
        </w:rPr>
        <w:t>系统并网验收及报批方面，必须</w:t>
      </w:r>
      <w:r>
        <w:rPr>
          <w:rFonts w:hint="eastAsia" w:ascii="宋体" w:hAnsi="宋体" w:eastAsia="宋体" w:cs="宋体"/>
          <w:color w:val="auto"/>
          <w:kern w:val="2"/>
          <w:sz w:val="21"/>
          <w:szCs w:val="21"/>
          <w:highlight w:val="none"/>
          <w:lang w:val="en-US" w:eastAsia="zh-CN"/>
        </w:rPr>
        <w:t>充分</w:t>
      </w:r>
      <w:r>
        <w:rPr>
          <w:rFonts w:hint="eastAsia" w:ascii="宋体" w:hAnsi="宋体" w:eastAsia="宋体" w:cs="宋体"/>
          <w:color w:val="auto"/>
          <w:kern w:val="2"/>
          <w:sz w:val="21"/>
          <w:szCs w:val="21"/>
          <w:highlight w:val="none"/>
        </w:rPr>
        <w:t>与当地供电部门协调沟通，保证项目</w:t>
      </w:r>
      <w:r>
        <w:rPr>
          <w:rFonts w:hint="eastAsia" w:ascii="宋体" w:hAnsi="宋体" w:eastAsia="宋体" w:cs="宋体"/>
          <w:color w:val="auto"/>
          <w:kern w:val="2"/>
          <w:sz w:val="21"/>
          <w:szCs w:val="21"/>
          <w:highlight w:val="none"/>
          <w:lang w:val="en-US" w:eastAsia="zh-CN"/>
        </w:rPr>
        <w:t>按工期并网投运</w:t>
      </w:r>
      <w:r>
        <w:rPr>
          <w:rFonts w:hint="eastAsia" w:ascii="宋体" w:hAnsi="宋体" w:eastAsia="宋体" w:cs="宋体"/>
          <w:color w:val="auto"/>
          <w:kern w:val="2"/>
          <w:sz w:val="21"/>
          <w:szCs w:val="21"/>
          <w:highlight w:val="none"/>
        </w:rPr>
        <w:t>。</w:t>
      </w:r>
    </w:p>
    <w:p w14:paraId="1D43DECD">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、如涉及</w:t>
      </w:r>
      <w:r>
        <w:rPr>
          <w:rFonts w:hint="eastAsia" w:ascii="宋体" w:hAnsi="宋体" w:eastAsia="宋体" w:cs="宋体"/>
          <w:color w:val="auto"/>
          <w:kern w:val="2"/>
          <w:sz w:val="21"/>
          <w:szCs w:val="21"/>
          <w:highlight w:val="none"/>
          <w:lang w:val="en-US" w:eastAsia="zh-CN"/>
        </w:rPr>
        <w:t>屋顶</w:t>
      </w:r>
      <w:r>
        <w:rPr>
          <w:rFonts w:hint="eastAsia" w:ascii="宋体" w:hAnsi="宋体" w:eastAsia="宋体" w:cs="宋体"/>
          <w:color w:val="auto"/>
          <w:kern w:val="2"/>
          <w:sz w:val="21"/>
          <w:szCs w:val="21"/>
          <w:highlight w:val="none"/>
        </w:rPr>
        <w:t>业主、</w:t>
      </w:r>
      <w:r>
        <w:rPr>
          <w:rFonts w:hint="eastAsia" w:ascii="宋体" w:hAnsi="宋体" w:eastAsia="宋体" w:cs="宋体"/>
          <w:color w:val="auto"/>
          <w:kern w:val="2"/>
          <w:sz w:val="21"/>
          <w:szCs w:val="21"/>
          <w:highlight w:val="none"/>
          <w:lang w:val="en-US" w:eastAsia="zh-CN"/>
        </w:rPr>
        <w:t>当地两违办</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经发局、</w:t>
      </w:r>
      <w:r>
        <w:rPr>
          <w:rFonts w:hint="eastAsia" w:ascii="宋体" w:hAnsi="宋体" w:eastAsia="宋体" w:cs="宋体"/>
          <w:color w:val="auto"/>
          <w:kern w:val="2"/>
          <w:sz w:val="21"/>
          <w:szCs w:val="21"/>
          <w:highlight w:val="none"/>
        </w:rPr>
        <w:t>供电部门及其他相关</w:t>
      </w:r>
      <w:r>
        <w:rPr>
          <w:rFonts w:hint="eastAsia" w:ascii="宋体" w:hAnsi="宋体" w:eastAsia="宋体" w:cs="宋体"/>
          <w:color w:val="auto"/>
          <w:kern w:val="2"/>
          <w:sz w:val="21"/>
          <w:szCs w:val="21"/>
          <w:highlight w:val="none"/>
          <w:lang w:val="en-US" w:eastAsia="zh-CN"/>
        </w:rPr>
        <w:t>部门</w:t>
      </w:r>
      <w:r>
        <w:rPr>
          <w:rFonts w:hint="eastAsia" w:ascii="宋体" w:hAnsi="宋体" w:eastAsia="宋体" w:cs="宋体"/>
          <w:color w:val="auto"/>
          <w:kern w:val="2"/>
          <w:sz w:val="21"/>
          <w:szCs w:val="21"/>
          <w:highlight w:val="none"/>
        </w:rPr>
        <w:t>协调工作及费用一切由承包单位负责，在不增加装机容量的前提，不得</w:t>
      </w:r>
      <w:r>
        <w:rPr>
          <w:rFonts w:hint="eastAsia" w:ascii="宋体" w:hAnsi="宋体" w:eastAsia="宋体" w:cs="宋体"/>
          <w:color w:val="auto"/>
          <w:kern w:val="2"/>
          <w:sz w:val="21"/>
          <w:szCs w:val="21"/>
          <w:highlight w:val="none"/>
          <w:lang w:val="en-US" w:eastAsia="zh-CN"/>
        </w:rPr>
        <w:t>额外</w:t>
      </w:r>
      <w:r>
        <w:rPr>
          <w:rFonts w:hint="eastAsia" w:ascii="宋体" w:hAnsi="宋体" w:eastAsia="宋体" w:cs="宋体"/>
          <w:color w:val="auto"/>
          <w:kern w:val="2"/>
          <w:sz w:val="21"/>
          <w:szCs w:val="21"/>
          <w:highlight w:val="none"/>
        </w:rPr>
        <w:t>增加费用。</w:t>
      </w:r>
    </w:p>
    <w:p w14:paraId="3FE69712">
      <w:pPr>
        <w:pageBreakBefore w:val="0"/>
        <w:widowControl w:val="0"/>
        <w:kinsoku/>
        <w:wordWrap w:val="0"/>
        <w:overflowPunct/>
        <w:topLinePunct w:val="0"/>
        <w:bidi w:val="0"/>
        <w:adjustRightInd/>
        <w:snapToGrid/>
        <w:spacing w:after="0"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、本项目</w:t>
      </w:r>
      <w:r>
        <w:rPr>
          <w:rFonts w:hint="eastAsia" w:ascii="宋体" w:hAnsi="宋体" w:eastAsia="宋体" w:cs="宋体"/>
          <w:color w:val="auto"/>
          <w:kern w:val="2"/>
          <w:sz w:val="21"/>
          <w:szCs w:val="21"/>
          <w:highlight w:val="none"/>
          <w:lang w:val="en-US" w:eastAsia="zh-CN"/>
        </w:rPr>
        <w:t>实行发电量</w:t>
      </w:r>
      <w:r>
        <w:rPr>
          <w:rFonts w:hint="eastAsia" w:ascii="宋体" w:hAnsi="宋体" w:eastAsia="宋体" w:cs="宋体"/>
          <w:color w:val="auto"/>
          <w:kern w:val="2"/>
          <w:sz w:val="21"/>
          <w:szCs w:val="21"/>
          <w:highlight w:val="none"/>
        </w:rPr>
        <w:t>考核制</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承包单位应确保</w:t>
      </w:r>
      <w:r>
        <w:rPr>
          <w:rFonts w:hint="eastAsia" w:ascii="宋体" w:hAnsi="宋体" w:eastAsia="宋体" w:cs="宋体"/>
          <w:color w:val="auto"/>
          <w:kern w:val="2"/>
          <w:sz w:val="21"/>
          <w:szCs w:val="21"/>
          <w:highlight w:val="none"/>
          <w:lang w:val="en-US" w:eastAsia="zh-CN"/>
        </w:rPr>
        <w:t>该</w:t>
      </w:r>
      <w:r>
        <w:rPr>
          <w:rFonts w:hint="eastAsia" w:ascii="宋体" w:hAnsi="宋体" w:eastAsia="宋体" w:cs="宋体"/>
          <w:color w:val="auto"/>
          <w:kern w:val="2"/>
          <w:sz w:val="21"/>
          <w:szCs w:val="21"/>
          <w:highlight w:val="none"/>
        </w:rPr>
        <w:t>项目发电量数据（即年发电保底电量发电时数，详见下表）按月统计、确认，以</w:t>
      </w:r>
      <w:r>
        <w:rPr>
          <w:rFonts w:hint="eastAsia" w:ascii="宋体" w:hAnsi="宋体" w:eastAsia="宋体" w:cs="宋体"/>
          <w:color w:val="auto"/>
          <w:kern w:val="2"/>
          <w:sz w:val="21"/>
          <w:szCs w:val="21"/>
          <w:highlight w:val="none"/>
          <w:lang w:val="en-US" w:eastAsia="zh-CN"/>
        </w:rPr>
        <w:t>1</w:t>
      </w:r>
      <w:r>
        <w:rPr>
          <w:rFonts w:hint="eastAsia" w:ascii="宋体" w:hAnsi="宋体" w:eastAsia="宋体" w:cs="宋体"/>
          <w:color w:val="auto"/>
          <w:kern w:val="2"/>
          <w:sz w:val="21"/>
          <w:szCs w:val="21"/>
          <w:highlight w:val="none"/>
        </w:rPr>
        <w:t>年为周期考核，考核期限为光伏发电项目并网</w:t>
      </w:r>
      <w:r>
        <w:rPr>
          <w:rFonts w:hint="eastAsia" w:ascii="宋体" w:hAnsi="宋体" w:eastAsia="宋体" w:cs="宋体"/>
          <w:color w:val="auto"/>
          <w:kern w:val="2"/>
          <w:sz w:val="21"/>
          <w:szCs w:val="21"/>
          <w:highlight w:val="none"/>
          <w:lang w:val="en-US" w:eastAsia="zh-CN"/>
        </w:rPr>
        <w:t>投运</w:t>
      </w:r>
      <w:r>
        <w:rPr>
          <w:rFonts w:hint="eastAsia" w:ascii="宋体" w:hAnsi="宋体" w:eastAsia="宋体" w:cs="宋体"/>
          <w:color w:val="auto"/>
          <w:kern w:val="2"/>
          <w:sz w:val="21"/>
          <w:szCs w:val="21"/>
          <w:highlight w:val="none"/>
        </w:rPr>
        <w:t>后连续</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年运营期。因</w:t>
      </w:r>
      <w:r>
        <w:rPr>
          <w:rFonts w:hint="eastAsia" w:ascii="宋体" w:hAnsi="宋体" w:eastAsia="宋体" w:cs="宋体"/>
          <w:color w:val="auto"/>
          <w:kern w:val="2"/>
          <w:sz w:val="21"/>
          <w:szCs w:val="21"/>
          <w:highlight w:val="none"/>
          <w:lang w:val="en-US" w:eastAsia="zh-CN"/>
        </w:rPr>
        <w:t>业主单位或供电部门</w:t>
      </w:r>
      <w:r>
        <w:rPr>
          <w:rFonts w:hint="eastAsia" w:ascii="宋体" w:hAnsi="宋体" w:eastAsia="宋体" w:cs="宋体"/>
          <w:color w:val="auto"/>
          <w:kern w:val="2"/>
          <w:sz w:val="21"/>
          <w:szCs w:val="21"/>
          <w:highlight w:val="none"/>
        </w:rPr>
        <w:t>计划停电</w:t>
      </w:r>
      <w:r>
        <w:rPr>
          <w:rFonts w:hint="eastAsia" w:ascii="宋体" w:hAnsi="宋体" w:eastAsia="宋体" w:cs="宋体"/>
          <w:color w:val="auto"/>
          <w:kern w:val="2"/>
          <w:sz w:val="21"/>
          <w:szCs w:val="21"/>
          <w:highlight w:val="none"/>
          <w:lang w:val="en-US" w:eastAsia="zh-CN"/>
        </w:rPr>
        <w:t>或</w:t>
      </w:r>
      <w:r>
        <w:rPr>
          <w:rFonts w:hint="eastAsia" w:ascii="宋体" w:hAnsi="宋体" w:eastAsia="宋体" w:cs="宋体"/>
          <w:color w:val="auto"/>
          <w:kern w:val="2"/>
          <w:sz w:val="21"/>
          <w:szCs w:val="21"/>
          <w:highlight w:val="none"/>
        </w:rPr>
        <w:t>检修产生的电量损失、双方认定的不可抗力影响的发电量损失等不在考核范围内，属于免考核发电量。当光伏电站由于承包单位</w:t>
      </w:r>
      <w:r>
        <w:rPr>
          <w:rFonts w:hint="eastAsia" w:ascii="宋体" w:hAnsi="宋体" w:eastAsia="宋体" w:cs="宋体"/>
          <w:color w:val="auto"/>
          <w:kern w:val="2"/>
          <w:sz w:val="21"/>
          <w:szCs w:val="21"/>
          <w:highlight w:val="none"/>
          <w:lang w:val="en-US" w:eastAsia="zh-CN"/>
        </w:rPr>
        <w:t>在安装时</w:t>
      </w:r>
      <w:r>
        <w:rPr>
          <w:rFonts w:hint="eastAsia" w:ascii="宋体" w:hAnsi="宋体" w:eastAsia="宋体" w:cs="宋体"/>
          <w:color w:val="auto"/>
          <w:kern w:val="2"/>
          <w:sz w:val="21"/>
          <w:szCs w:val="21"/>
          <w:highlight w:val="none"/>
        </w:rPr>
        <w:t>自身原因未达到相应年限考核发电量时，承包单位向</w:t>
      </w:r>
      <w:r>
        <w:rPr>
          <w:rFonts w:hint="eastAsia" w:ascii="宋体" w:hAnsi="宋体" w:eastAsia="宋体" w:cs="宋体"/>
          <w:color w:val="auto"/>
          <w:kern w:val="2"/>
          <w:sz w:val="21"/>
          <w:szCs w:val="21"/>
          <w:highlight w:val="none"/>
          <w:lang w:val="en-US" w:eastAsia="zh-CN"/>
        </w:rPr>
        <w:t>发包单位</w:t>
      </w:r>
      <w:r>
        <w:rPr>
          <w:rFonts w:hint="eastAsia" w:ascii="宋体" w:hAnsi="宋体" w:eastAsia="宋体" w:cs="宋体"/>
          <w:color w:val="auto"/>
          <w:kern w:val="2"/>
          <w:sz w:val="21"/>
          <w:szCs w:val="21"/>
          <w:highlight w:val="none"/>
        </w:rPr>
        <w:t>补足本应发电量的差额部分</w:t>
      </w:r>
      <w:r>
        <w:rPr>
          <w:rFonts w:hint="eastAsia" w:ascii="宋体" w:hAnsi="宋体" w:eastAsia="宋体" w:cs="宋体"/>
          <w:color w:val="auto"/>
          <w:kern w:val="2"/>
          <w:sz w:val="21"/>
          <w:szCs w:val="21"/>
          <w:highlight w:val="none"/>
          <w:lang w:eastAsia="zh-CN"/>
        </w:rPr>
        <w:t>（</w:t>
      </w:r>
      <w:r>
        <w:rPr>
          <w:rFonts w:hint="eastAsia" w:ascii="宋体" w:hAnsi="宋体" w:eastAsia="宋体" w:cs="宋体"/>
          <w:b/>
          <w:bCs/>
          <w:color w:val="auto"/>
          <w:kern w:val="2"/>
          <w:sz w:val="21"/>
          <w:szCs w:val="21"/>
          <w:highlight w:val="none"/>
        </w:rPr>
        <w:t>差额部分</w:t>
      </w:r>
      <w:r>
        <w:rPr>
          <w:rFonts w:hint="eastAsia" w:ascii="宋体" w:hAnsi="宋体" w:eastAsia="宋体" w:cs="宋体"/>
          <w:b/>
          <w:bCs/>
          <w:color w:val="auto"/>
          <w:kern w:val="2"/>
          <w:sz w:val="21"/>
          <w:szCs w:val="21"/>
          <w:highlight w:val="none"/>
          <w:lang w:val="en-US" w:eastAsia="zh-CN"/>
        </w:rPr>
        <w:t>=</w:t>
      </w:r>
      <w:r>
        <w:rPr>
          <w:rFonts w:hint="eastAsia" w:ascii="宋体" w:hAnsi="宋体" w:eastAsia="宋体" w:cs="宋体"/>
          <w:b/>
          <w:bCs/>
          <w:color w:val="auto"/>
          <w:kern w:val="2"/>
          <w:sz w:val="21"/>
          <w:szCs w:val="21"/>
          <w:highlight w:val="none"/>
          <w:lang w:eastAsia="zh-CN"/>
        </w:rPr>
        <w:t>全年考核发电时数</w:t>
      </w:r>
      <w:r>
        <w:rPr>
          <w:rFonts w:hint="eastAsia" w:ascii="宋体" w:hAnsi="宋体" w:eastAsia="宋体" w:cs="宋体"/>
          <w:b/>
          <w:bCs/>
          <w:color w:val="auto"/>
          <w:kern w:val="2"/>
          <w:sz w:val="21"/>
          <w:szCs w:val="21"/>
          <w:highlight w:val="none"/>
        </w:rPr>
        <w:t>差额</w:t>
      </w:r>
      <w:r>
        <w:rPr>
          <w:rFonts w:hint="eastAsia" w:ascii="宋体" w:hAnsi="宋体" w:eastAsia="宋体" w:cs="宋体"/>
          <w:b/>
          <w:bCs/>
          <w:color w:val="auto"/>
          <w:kern w:val="2"/>
          <w:sz w:val="21"/>
          <w:szCs w:val="21"/>
          <w:highlight w:val="none"/>
          <w:lang w:val="en-US" w:eastAsia="zh-CN"/>
        </w:rPr>
        <w:t>×实际装机容量×本项目应收电价</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，差额部分</w:t>
      </w:r>
      <w:r>
        <w:rPr>
          <w:rFonts w:hint="eastAsia" w:ascii="宋体" w:hAnsi="宋体" w:eastAsia="宋体" w:cs="宋体"/>
          <w:color w:val="auto"/>
          <w:kern w:val="2"/>
          <w:sz w:val="21"/>
          <w:szCs w:val="21"/>
          <w:highlight w:val="none"/>
          <w:lang w:val="en-US" w:eastAsia="zh-CN"/>
        </w:rPr>
        <w:t>从工程款质量保修金中扣除。</w:t>
      </w:r>
    </w:p>
    <w:p w14:paraId="204A15F3">
      <w:pPr>
        <w:pageBreakBefore w:val="0"/>
        <w:numPr>
          <w:ilvl w:val="255"/>
          <w:numId w:val="0"/>
        </w:numPr>
        <w:kinsoku/>
        <w:wordWrap/>
        <w:overflowPunct/>
        <w:topLinePunct w:val="0"/>
        <w:bidi w:val="0"/>
        <w:spacing w:line="360" w:lineRule="auto"/>
        <w:ind w:left="0" w:leftChars="0" w:firstLine="422" w:firstLineChars="20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项目运营期考核发电量数据表</w:t>
      </w:r>
    </w:p>
    <w:tbl>
      <w:tblPr>
        <w:tblStyle w:val="30"/>
        <w:tblW w:w="8522" w:type="dxa"/>
        <w:jc w:val="center"/>
        <w:tblLayout w:type="fixed"/>
        <w:tblCellMar>
          <w:top w:w="0" w:type="dxa"/>
          <w:left w:w="108" w:type="dxa"/>
          <w:bottom w:w="0" w:type="dxa"/>
          <w:right w:w="108" w:type="dxa"/>
        </w:tblCellMar>
      </w:tblPr>
      <w:tblGrid>
        <w:gridCol w:w="2724"/>
        <w:gridCol w:w="1737"/>
        <w:gridCol w:w="1824"/>
        <w:gridCol w:w="2237"/>
      </w:tblGrid>
      <w:tr w14:paraId="3572E25F">
        <w:tblPrEx>
          <w:tblCellMar>
            <w:top w:w="0" w:type="dxa"/>
            <w:left w:w="108" w:type="dxa"/>
            <w:bottom w:w="0" w:type="dxa"/>
            <w:right w:w="108" w:type="dxa"/>
          </w:tblCellMar>
        </w:tblPrEx>
        <w:trPr>
          <w:trHeight w:val="233" w:hRule="atLeast"/>
          <w:jc w:val="center"/>
        </w:trPr>
        <w:tc>
          <w:tcPr>
            <w:tcW w:w="27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1DB636">
            <w:pPr>
              <w:keepNext w:val="0"/>
              <w:keepLines w:val="0"/>
              <w:pageBreakBefore w:val="0"/>
              <w:widowControl/>
              <w:suppressLineNumbers w:val="0"/>
              <w:kinsoku/>
              <w:wordWrap/>
              <w:overflowPunct/>
              <w:topLinePunct w:val="0"/>
              <w:bidi w:val="0"/>
              <w:spacing w:before="0" w:beforeAutospacing="0" w:after="0" w:afterAutospacing="0" w:line="360" w:lineRule="auto"/>
              <w:ind w:left="0" w:leftChars="0" w:righ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运维年限</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370A6">
            <w:pPr>
              <w:keepNext w:val="0"/>
              <w:keepLines w:val="0"/>
              <w:pageBreakBefore w:val="0"/>
              <w:widowControl/>
              <w:suppressLineNumbers w:val="0"/>
              <w:kinsoku/>
              <w:wordWrap/>
              <w:overflowPunct/>
              <w:topLinePunct w:val="0"/>
              <w:bidi w:val="0"/>
              <w:spacing w:before="0" w:beforeAutospacing="0" w:after="0" w:afterAutospacing="0" w:line="360" w:lineRule="auto"/>
              <w:ind w:left="0" w:leftChars="0" w:righ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第1年</w:t>
            </w:r>
          </w:p>
        </w:tc>
        <w:tc>
          <w:tcPr>
            <w:tcW w:w="18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84FDF0">
            <w:pPr>
              <w:keepNext w:val="0"/>
              <w:keepLines w:val="0"/>
              <w:pageBreakBefore w:val="0"/>
              <w:widowControl/>
              <w:suppressLineNumbers w:val="0"/>
              <w:kinsoku/>
              <w:wordWrap/>
              <w:overflowPunct/>
              <w:topLinePunct w:val="0"/>
              <w:bidi w:val="0"/>
              <w:spacing w:before="0" w:beforeAutospacing="0" w:after="0" w:afterAutospacing="0" w:line="360" w:lineRule="auto"/>
              <w:ind w:left="0" w:leftChars="0" w:right="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年</w:t>
            </w:r>
          </w:p>
        </w:tc>
        <w:tc>
          <w:tcPr>
            <w:tcW w:w="22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7CBC02">
            <w:pPr>
              <w:keepNext w:val="0"/>
              <w:keepLines w:val="0"/>
              <w:pageBreakBefore w:val="0"/>
              <w:widowControl/>
              <w:suppressLineNumbers w:val="0"/>
              <w:kinsoku/>
              <w:wordWrap/>
              <w:overflowPunct/>
              <w:topLinePunct w:val="0"/>
              <w:bidi w:val="0"/>
              <w:spacing w:before="0" w:beforeAutospacing="0" w:after="0" w:afterAutospacing="0" w:line="360" w:lineRule="auto"/>
              <w:ind w:left="0" w:leftChars="0" w:right="0" w:rightChars="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及以后</w:t>
            </w:r>
          </w:p>
        </w:tc>
      </w:tr>
      <w:tr w14:paraId="00839703">
        <w:tblPrEx>
          <w:tblCellMar>
            <w:top w:w="0" w:type="dxa"/>
            <w:left w:w="108" w:type="dxa"/>
            <w:bottom w:w="0" w:type="dxa"/>
            <w:right w:w="108" w:type="dxa"/>
          </w:tblCellMar>
        </w:tblPrEx>
        <w:trPr>
          <w:trHeight w:val="313" w:hRule="atLeast"/>
          <w:jc w:val="center"/>
        </w:trPr>
        <w:tc>
          <w:tcPr>
            <w:tcW w:w="27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409DB5">
            <w:pPr>
              <w:keepNext w:val="0"/>
              <w:keepLines w:val="0"/>
              <w:pageBreakBefore w:val="0"/>
              <w:widowControl/>
              <w:suppressLineNumbers w:val="0"/>
              <w:kinsoku/>
              <w:wordWrap/>
              <w:overflowPunct/>
              <w:topLinePunct w:val="0"/>
              <w:bidi w:val="0"/>
              <w:spacing w:before="0" w:beforeAutospacing="0" w:after="0" w:afterAutospacing="0" w:line="360" w:lineRule="auto"/>
              <w:ind w:left="0" w:leftChars="0" w:righ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val="en-US" w:eastAsia="zh-CN"/>
              </w:rPr>
              <w:t>全年考核</w:t>
            </w:r>
            <w:r>
              <w:rPr>
                <w:rFonts w:hint="eastAsia" w:ascii="宋体" w:hAnsi="宋体" w:eastAsia="宋体" w:cs="宋体"/>
                <w:b/>
                <w:bCs/>
                <w:color w:val="auto"/>
                <w:kern w:val="0"/>
                <w:sz w:val="21"/>
                <w:szCs w:val="21"/>
                <w:highlight w:val="none"/>
              </w:rPr>
              <w:t>发电</w:t>
            </w:r>
            <w:r>
              <w:rPr>
                <w:rFonts w:hint="eastAsia" w:ascii="宋体" w:hAnsi="宋体" w:eastAsia="宋体" w:cs="宋体"/>
                <w:b/>
                <w:bCs/>
                <w:color w:val="auto"/>
                <w:kern w:val="0"/>
                <w:sz w:val="21"/>
                <w:szCs w:val="21"/>
                <w:highlight w:val="none"/>
                <w:lang w:val="en-US" w:eastAsia="zh-CN"/>
              </w:rPr>
              <w:t>时数</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73ACB">
            <w:pPr>
              <w:keepNext w:val="0"/>
              <w:keepLines w:val="0"/>
              <w:pageBreakBefore w:val="0"/>
              <w:widowControl/>
              <w:suppressLineNumbers w:val="0"/>
              <w:kinsoku/>
              <w:wordWrap/>
              <w:overflowPunct/>
              <w:topLinePunct w:val="0"/>
              <w:bidi w:val="0"/>
              <w:spacing w:before="0" w:beforeAutospacing="0" w:after="0" w:afterAutospacing="0" w:line="360" w:lineRule="auto"/>
              <w:ind w:left="0" w:leftChars="0" w:right="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1055</w:t>
            </w:r>
            <w:r>
              <w:rPr>
                <w:rFonts w:hint="eastAsia" w:ascii="宋体" w:hAnsi="宋体" w:eastAsia="宋体" w:cs="宋体"/>
                <w:b w:val="0"/>
                <w:bCs w:val="0"/>
                <w:color w:val="auto"/>
                <w:kern w:val="0"/>
                <w:sz w:val="21"/>
                <w:szCs w:val="21"/>
                <w:highlight w:val="none"/>
                <w:lang w:val="en-US" w:eastAsia="zh-CN"/>
              </w:rPr>
              <w:t>小</w:t>
            </w:r>
            <w:r>
              <w:rPr>
                <w:rFonts w:hint="eastAsia" w:ascii="宋体" w:hAnsi="宋体" w:eastAsia="宋体" w:cs="宋体"/>
                <w:b w:val="0"/>
                <w:bCs w:val="0"/>
                <w:color w:val="auto"/>
                <w:kern w:val="0"/>
                <w:sz w:val="21"/>
                <w:szCs w:val="21"/>
                <w:highlight w:val="none"/>
              </w:rPr>
              <w:t>时</w:t>
            </w:r>
          </w:p>
        </w:tc>
        <w:tc>
          <w:tcPr>
            <w:tcW w:w="18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5E267">
            <w:pPr>
              <w:keepNext w:val="0"/>
              <w:keepLines w:val="0"/>
              <w:pageBreakBefore w:val="0"/>
              <w:widowControl/>
              <w:suppressLineNumbers w:val="0"/>
              <w:kinsoku/>
              <w:overflowPunct/>
              <w:topLinePunct w:val="0"/>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1029</w:t>
            </w:r>
            <w:r>
              <w:rPr>
                <w:rFonts w:hint="eastAsia" w:ascii="宋体" w:hAnsi="宋体" w:eastAsia="宋体" w:cs="宋体"/>
                <w:b w:val="0"/>
                <w:bCs w:val="0"/>
                <w:color w:val="auto"/>
                <w:kern w:val="0"/>
                <w:sz w:val="21"/>
                <w:szCs w:val="21"/>
                <w:highlight w:val="none"/>
                <w:lang w:val="en-US" w:eastAsia="zh-CN"/>
              </w:rPr>
              <w:t>小</w:t>
            </w:r>
            <w:r>
              <w:rPr>
                <w:rFonts w:hint="eastAsia" w:ascii="宋体" w:hAnsi="宋体" w:eastAsia="宋体" w:cs="宋体"/>
                <w:b w:val="0"/>
                <w:bCs w:val="0"/>
                <w:color w:val="auto"/>
                <w:kern w:val="0"/>
                <w:sz w:val="21"/>
                <w:szCs w:val="21"/>
                <w:highlight w:val="none"/>
              </w:rPr>
              <w:t>时</w:t>
            </w:r>
          </w:p>
        </w:tc>
        <w:tc>
          <w:tcPr>
            <w:tcW w:w="22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BDF617">
            <w:pPr>
              <w:keepNext w:val="0"/>
              <w:keepLines w:val="0"/>
              <w:pageBreakBefore w:val="0"/>
              <w:widowControl/>
              <w:suppressLineNumbers w:val="0"/>
              <w:kinsoku/>
              <w:overflowPunct/>
              <w:topLinePunct w:val="0"/>
              <w:bidi w:val="0"/>
              <w:adjustRightInd/>
              <w:snapToGrid/>
              <w:spacing w:before="0" w:beforeAutospacing="0" w:after="0" w:afterAutospacing="0" w:line="360" w:lineRule="auto"/>
              <w:ind w:left="0" w:leftChars="0" w:right="0" w:rightChars="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不考核</w:t>
            </w:r>
          </w:p>
        </w:tc>
      </w:tr>
    </w:tbl>
    <w:p w14:paraId="2B1EB471">
      <w:pPr>
        <w:pageBreakBefore w:val="0"/>
        <w:kinsoku/>
        <w:overflowPunct/>
        <w:topLinePunct w:val="0"/>
        <w:bidi w:val="0"/>
        <w:spacing w:line="360" w:lineRule="auto"/>
        <w:textAlignment w:val="auto"/>
        <w:rPr>
          <w:rFonts w:hint="eastAsia" w:ascii="宋体" w:hAnsi="宋体" w:eastAsia="宋体" w:cs="宋体"/>
          <w:color w:val="auto"/>
          <w:sz w:val="21"/>
          <w:szCs w:val="21"/>
          <w:highlight w:val="none"/>
        </w:rPr>
      </w:pPr>
    </w:p>
    <w:p w14:paraId="79DA58AD">
      <w:pPr>
        <w:pStyle w:val="28"/>
        <w:rPr>
          <w:rFonts w:hint="eastAsia"/>
          <w:color w:val="auto"/>
          <w:sz w:val="28"/>
          <w:szCs w:val="28"/>
          <w:highlight w:val="none"/>
        </w:rPr>
      </w:pPr>
    </w:p>
    <w:p w14:paraId="34875091">
      <w:pPr>
        <w:rPr>
          <w:rFonts w:hint="eastAsia"/>
          <w:color w:val="auto"/>
          <w:sz w:val="28"/>
          <w:szCs w:val="28"/>
          <w:highlight w:val="none"/>
        </w:rPr>
      </w:pPr>
    </w:p>
    <w:p w14:paraId="6A4FDC49">
      <w:pPr>
        <w:pStyle w:val="28"/>
        <w:rPr>
          <w:rFonts w:hint="eastAsia"/>
          <w:color w:val="auto"/>
          <w:sz w:val="28"/>
          <w:szCs w:val="28"/>
          <w:highlight w:val="none"/>
        </w:rPr>
      </w:pPr>
    </w:p>
    <w:p w14:paraId="20EB283B">
      <w:pPr>
        <w:rPr>
          <w:rFonts w:hint="eastAsia"/>
          <w:color w:val="auto"/>
          <w:sz w:val="28"/>
          <w:szCs w:val="28"/>
          <w:highlight w:val="none"/>
        </w:rPr>
      </w:pPr>
    </w:p>
    <w:p w14:paraId="672B7073">
      <w:pPr>
        <w:pStyle w:val="28"/>
        <w:rPr>
          <w:rFonts w:hint="eastAsia"/>
          <w:color w:val="auto"/>
          <w:sz w:val="28"/>
          <w:szCs w:val="28"/>
          <w:highlight w:val="none"/>
        </w:rPr>
      </w:pPr>
    </w:p>
    <w:p w14:paraId="41C26BDF">
      <w:pPr>
        <w:rPr>
          <w:rFonts w:hint="eastAsia"/>
          <w:color w:val="auto"/>
          <w:sz w:val="28"/>
          <w:szCs w:val="28"/>
          <w:highlight w:val="none"/>
        </w:rPr>
      </w:pPr>
    </w:p>
    <w:p w14:paraId="39618331">
      <w:pPr>
        <w:pStyle w:val="28"/>
        <w:rPr>
          <w:rFonts w:hint="eastAsia"/>
          <w:color w:val="auto"/>
          <w:sz w:val="28"/>
          <w:szCs w:val="28"/>
          <w:highlight w:val="none"/>
        </w:rPr>
      </w:pPr>
    </w:p>
    <w:p w14:paraId="4BCE8E13">
      <w:pPr>
        <w:rPr>
          <w:rFonts w:hint="eastAsia"/>
          <w:color w:val="auto"/>
          <w:sz w:val="28"/>
          <w:szCs w:val="28"/>
          <w:highlight w:val="none"/>
        </w:rPr>
      </w:pPr>
    </w:p>
    <w:p w14:paraId="47DC18A1">
      <w:pPr>
        <w:pStyle w:val="28"/>
        <w:rPr>
          <w:rFonts w:hint="eastAsia"/>
          <w:color w:val="auto"/>
          <w:sz w:val="28"/>
          <w:szCs w:val="28"/>
          <w:highlight w:val="none"/>
        </w:rPr>
      </w:pPr>
    </w:p>
    <w:p w14:paraId="0A226027">
      <w:pPr>
        <w:rPr>
          <w:rFonts w:hint="eastAsia"/>
          <w:color w:val="auto"/>
          <w:sz w:val="28"/>
          <w:szCs w:val="28"/>
          <w:highlight w:val="none"/>
        </w:rPr>
      </w:pPr>
    </w:p>
    <w:p w14:paraId="4F12261B">
      <w:pPr>
        <w:pStyle w:val="2"/>
        <w:rPr>
          <w:rFonts w:hint="eastAsia"/>
          <w:color w:val="auto"/>
          <w:sz w:val="28"/>
          <w:szCs w:val="28"/>
          <w:highlight w:val="none"/>
        </w:rPr>
      </w:pPr>
    </w:p>
    <w:p w14:paraId="21348A52">
      <w:pPr>
        <w:pStyle w:val="2"/>
        <w:rPr>
          <w:rFonts w:hint="eastAsia"/>
          <w:color w:val="auto"/>
          <w:sz w:val="28"/>
          <w:szCs w:val="28"/>
          <w:highlight w:val="none"/>
        </w:rPr>
      </w:pPr>
    </w:p>
    <w:p w14:paraId="79813265">
      <w:pPr>
        <w:pStyle w:val="2"/>
        <w:rPr>
          <w:rFonts w:hint="eastAsia"/>
          <w:color w:val="auto"/>
          <w:sz w:val="28"/>
          <w:szCs w:val="28"/>
          <w:highlight w:val="none"/>
        </w:rPr>
      </w:pPr>
    </w:p>
    <w:p w14:paraId="555A3FD0">
      <w:pPr>
        <w:pStyle w:val="2"/>
        <w:rPr>
          <w:rFonts w:hint="eastAsia"/>
          <w:color w:val="auto"/>
          <w:sz w:val="28"/>
          <w:szCs w:val="28"/>
          <w:highlight w:val="none"/>
        </w:rPr>
      </w:pPr>
    </w:p>
    <w:p w14:paraId="7A97352E">
      <w:pPr>
        <w:rPr>
          <w:rFonts w:hint="eastAsia"/>
          <w:color w:val="auto"/>
          <w:sz w:val="28"/>
          <w:szCs w:val="28"/>
          <w:highlight w:val="none"/>
        </w:rPr>
      </w:pPr>
    </w:p>
    <w:p w14:paraId="0CD438F0">
      <w:pPr>
        <w:pStyle w:val="28"/>
        <w:rPr>
          <w:rFonts w:hint="eastAsia"/>
          <w:color w:val="auto"/>
          <w:sz w:val="28"/>
          <w:szCs w:val="28"/>
          <w:highlight w:val="none"/>
        </w:rPr>
      </w:pPr>
    </w:p>
    <w:p w14:paraId="318A7011">
      <w:pPr>
        <w:pStyle w:val="4"/>
        <w:spacing w:before="0" w:after="0" w:line="240" w:lineRule="auto"/>
        <w:rPr>
          <w:color w:val="auto"/>
          <w:sz w:val="24"/>
          <w:szCs w:val="24"/>
          <w:highlight w:val="none"/>
        </w:rPr>
      </w:pPr>
      <w:bookmarkStart w:id="22" w:name="_Toc8613"/>
      <w:r>
        <w:rPr>
          <w:rFonts w:hint="eastAsia"/>
          <w:color w:val="auto"/>
          <w:sz w:val="28"/>
          <w:szCs w:val="28"/>
          <w:highlight w:val="none"/>
        </w:rPr>
        <w:t>第四部分投标人须知</w:t>
      </w:r>
      <w:bookmarkEnd w:id="22"/>
    </w:p>
    <w:p w14:paraId="3916D3B1">
      <w:pPr>
        <w:pStyle w:val="5"/>
        <w:numPr>
          <w:ilvl w:val="0"/>
          <w:numId w:val="1"/>
        </w:numPr>
        <w:spacing w:before="0" w:after="0" w:line="480" w:lineRule="auto"/>
        <w:jc w:val="center"/>
        <w:rPr>
          <w:rFonts w:hint="eastAsia" w:ascii="宋体" w:hAnsi="宋体"/>
          <w:color w:val="auto"/>
          <w:highlight w:val="none"/>
        </w:rPr>
      </w:pPr>
      <w:bookmarkStart w:id="23" w:name="_Toc24252"/>
      <w:r>
        <w:rPr>
          <w:rFonts w:hint="eastAsia" w:ascii="宋体" w:hAnsi="宋体"/>
          <w:color w:val="auto"/>
          <w:highlight w:val="none"/>
        </w:rPr>
        <w:t>说明</w:t>
      </w:r>
      <w:bookmarkEnd w:id="23"/>
    </w:p>
    <w:p w14:paraId="6F5D130E">
      <w:pPr>
        <w:pStyle w:val="6"/>
        <w:widowControl w:val="0"/>
        <w:numPr>
          <w:ilvl w:val="0"/>
          <w:numId w:val="2"/>
        </w:numPr>
        <w:overflowPunct w:val="0"/>
        <w:rPr>
          <w:rFonts w:hint="eastAsia" w:ascii="宋体" w:hAnsi="宋体" w:cs="宋体"/>
          <w:color w:val="auto"/>
          <w:sz w:val="21"/>
          <w:szCs w:val="21"/>
          <w:highlight w:val="none"/>
        </w:rPr>
      </w:pPr>
      <w:bookmarkStart w:id="24" w:name="_Toc3716"/>
      <w:r>
        <w:rPr>
          <w:rFonts w:hint="eastAsia" w:ascii="宋体" w:hAnsi="宋体" w:cs="宋体"/>
          <w:color w:val="auto"/>
          <w:sz w:val="21"/>
          <w:szCs w:val="21"/>
          <w:highlight w:val="none"/>
        </w:rPr>
        <w:t>适用范围</w:t>
      </w:r>
      <w:bookmarkEnd w:id="24"/>
    </w:p>
    <w:p w14:paraId="22B1F56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采购范围：见本文件《用户需求书》</w:t>
      </w:r>
    </w:p>
    <w:p w14:paraId="0ABCC431">
      <w:pPr>
        <w:rPr>
          <w:rFonts w:hint="eastAsia" w:ascii="宋体" w:hAnsi="宋体" w:cs="宋体"/>
          <w:color w:val="auto"/>
          <w:highlight w:val="none"/>
        </w:rPr>
      </w:pPr>
    </w:p>
    <w:p w14:paraId="4EFDD942">
      <w:pPr>
        <w:pStyle w:val="6"/>
        <w:widowControl w:val="0"/>
        <w:numPr>
          <w:ilvl w:val="0"/>
          <w:numId w:val="2"/>
        </w:numPr>
        <w:overflowPunct w:val="0"/>
        <w:rPr>
          <w:rFonts w:hint="eastAsia" w:ascii="宋体" w:hAnsi="宋体" w:cs="宋体"/>
          <w:color w:val="auto"/>
          <w:sz w:val="21"/>
          <w:szCs w:val="21"/>
          <w:highlight w:val="none"/>
        </w:rPr>
      </w:pPr>
      <w:bookmarkStart w:id="25" w:name="_Toc6515"/>
      <w:bookmarkStart w:id="26" w:name="_Toc1530"/>
      <w:bookmarkStart w:id="27" w:name="_Toc303084246"/>
      <w:bookmarkStart w:id="28" w:name="_Toc298847174"/>
      <w:bookmarkStart w:id="29" w:name="_Toc382049092"/>
      <w:r>
        <w:rPr>
          <w:rFonts w:hint="eastAsia" w:ascii="宋体" w:hAnsi="宋体" w:cs="宋体"/>
          <w:color w:val="auto"/>
          <w:sz w:val="21"/>
          <w:szCs w:val="21"/>
          <w:highlight w:val="none"/>
        </w:rPr>
        <w:t>定义</w:t>
      </w:r>
      <w:bookmarkEnd w:id="25"/>
      <w:bookmarkEnd w:id="26"/>
      <w:bookmarkEnd w:id="27"/>
      <w:bookmarkEnd w:id="28"/>
      <w:bookmarkEnd w:id="29"/>
    </w:p>
    <w:p w14:paraId="118C7F4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采购人：见投标邀请书。</w:t>
      </w:r>
    </w:p>
    <w:p w14:paraId="4ADD84F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59C68BC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06A880A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05E4EB9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采购代理机构：见投标邀请书。</w:t>
      </w:r>
    </w:p>
    <w:p w14:paraId="60BE952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评标委员会：评标委员会是依据相关规定组建的专门负责本次采购评标工作的临时性机构。</w:t>
      </w:r>
    </w:p>
    <w:p w14:paraId="55A6E6F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41F3F24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08117C6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2EAA505B">
      <w:pPr>
        <w:rPr>
          <w:rFonts w:hint="eastAsia" w:ascii="宋体" w:hAnsi="宋体" w:cs="宋体"/>
          <w:color w:val="auto"/>
          <w:highlight w:val="none"/>
        </w:rPr>
      </w:pPr>
    </w:p>
    <w:p w14:paraId="49ACEE41">
      <w:pPr>
        <w:pStyle w:val="6"/>
        <w:widowControl w:val="0"/>
        <w:numPr>
          <w:ilvl w:val="0"/>
          <w:numId w:val="2"/>
        </w:numPr>
        <w:overflowPunct w:val="0"/>
        <w:rPr>
          <w:rFonts w:hint="eastAsia" w:ascii="宋体" w:hAnsi="宋体" w:cs="宋体"/>
          <w:color w:val="auto"/>
          <w:sz w:val="21"/>
          <w:szCs w:val="21"/>
          <w:highlight w:val="none"/>
        </w:rPr>
      </w:pPr>
      <w:bookmarkStart w:id="30" w:name="_Toc31614"/>
      <w:r>
        <w:rPr>
          <w:rFonts w:hint="eastAsia" w:ascii="宋体" w:hAnsi="宋体" w:cs="宋体"/>
          <w:color w:val="auto"/>
          <w:sz w:val="21"/>
          <w:szCs w:val="21"/>
          <w:highlight w:val="none"/>
        </w:rPr>
        <w:t>货物和服务</w:t>
      </w:r>
      <w:bookmarkEnd w:id="30"/>
    </w:p>
    <w:p w14:paraId="071DD25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03CAEB3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02DD8C46">
      <w:pPr>
        <w:rPr>
          <w:rFonts w:hint="eastAsia" w:ascii="宋体" w:hAnsi="宋体" w:cs="宋体"/>
          <w:color w:val="auto"/>
          <w:highlight w:val="none"/>
        </w:rPr>
      </w:pPr>
    </w:p>
    <w:p w14:paraId="268A9E75">
      <w:pPr>
        <w:pStyle w:val="6"/>
        <w:widowControl w:val="0"/>
        <w:numPr>
          <w:ilvl w:val="0"/>
          <w:numId w:val="2"/>
        </w:numPr>
        <w:overflowPunct w:val="0"/>
        <w:rPr>
          <w:rFonts w:hint="eastAsia" w:ascii="宋体" w:hAnsi="宋体" w:cs="宋体"/>
          <w:color w:val="auto"/>
          <w:sz w:val="21"/>
          <w:szCs w:val="21"/>
          <w:highlight w:val="none"/>
        </w:rPr>
      </w:pPr>
      <w:bookmarkStart w:id="31" w:name="_Toc6091"/>
      <w:r>
        <w:rPr>
          <w:rFonts w:hint="eastAsia" w:ascii="宋体" w:hAnsi="宋体" w:cs="宋体"/>
          <w:color w:val="auto"/>
          <w:sz w:val="21"/>
          <w:szCs w:val="21"/>
          <w:highlight w:val="none"/>
        </w:rPr>
        <w:t>投标费用</w:t>
      </w:r>
      <w:bookmarkEnd w:id="31"/>
    </w:p>
    <w:p w14:paraId="3D48D59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22354C6E">
      <w:pPr>
        <w:widowControl w:val="0"/>
        <w:adjustRightInd/>
        <w:snapToGrid/>
        <w:jc w:val="both"/>
        <w:rPr>
          <w:rFonts w:hint="eastAsia" w:ascii="宋体" w:hAnsi="宋体" w:cs="宋体"/>
          <w:color w:val="auto"/>
          <w:szCs w:val="21"/>
          <w:highlight w:val="none"/>
        </w:rPr>
      </w:pPr>
    </w:p>
    <w:p w14:paraId="33D437F0">
      <w:pPr>
        <w:pStyle w:val="6"/>
        <w:widowControl w:val="0"/>
        <w:numPr>
          <w:ilvl w:val="0"/>
          <w:numId w:val="2"/>
        </w:numPr>
        <w:overflowPunct w:val="0"/>
        <w:rPr>
          <w:rFonts w:hint="eastAsia" w:ascii="宋体" w:hAnsi="宋体" w:cs="宋体"/>
          <w:color w:val="auto"/>
          <w:sz w:val="21"/>
          <w:szCs w:val="21"/>
          <w:highlight w:val="none"/>
        </w:rPr>
      </w:pPr>
      <w:bookmarkStart w:id="32" w:name="_Toc23240"/>
      <w:r>
        <w:rPr>
          <w:rFonts w:hint="eastAsia" w:ascii="宋体" w:hAnsi="宋体" w:cs="宋体"/>
          <w:color w:val="auto"/>
          <w:sz w:val="21"/>
          <w:szCs w:val="21"/>
          <w:highlight w:val="none"/>
        </w:rPr>
        <w:t>知识产权</w:t>
      </w:r>
      <w:bookmarkEnd w:id="32"/>
    </w:p>
    <w:p w14:paraId="21946E3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481AF97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39270CA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171FEF9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66326A2C">
      <w:pPr>
        <w:widowControl w:val="0"/>
        <w:adjustRightInd/>
        <w:snapToGrid/>
        <w:ind w:left="567"/>
        <w:jc w:val="both"/>
        <w:rPr>
          <w:rFonts w:hint="eastAsia" w:ascii="宋体" w:hAnsi="宋体" w:cs="宋体"/>
          <w:color w:val="auto"/>
          <w:szCs w:val="21"/>
          <w:highlight w:val="none"/>
        </w:rPr>
      </w:pPr>
    </w:p>
    <w:p w14:paraId="7C1ACC63">
      <w:pPr>
        <w:pStyle w:val="6"/>
        <w:widowControl w:val="0"/>
        <w:numPr>
          <w:ilvl w:val="0"/>
          <w:numId w:val="2"/>
        </w:numPr>
        <w:overflowPunct w:val="0"/>
        <w:rPr>
          <w:rFonts w:hint="eastAsia" w:ascii="宋体" w:hAnsi="宋体" w:cs="宋体"/>
          <w:color w:val="auto"/>
          <w:sz w:val="21"/>
          <w:szCs w:val="21"/>
          <w:highlight w:val="none"/>
        </w:rPr>
      </w:pPr>
      <w:bookmarkStart w:id="33" w:name="_Toc27792"/>
      <w:r>
        <w:rPr>
          <w:rFonts w:hint="eastAsia" w:ascii="宋体" w:hAnsi="宋体" w:cs="宋体"/>
          <w:color w:val="auto"/>
          <w:sz w:val="21"/>
          <w:szCs w:val="21"/>
          <w:highlight w:val="none"/>
        </w:rPr>
        <w:t>关于联合体投标</w:t>
      </w:r>
      <w:bookmarkEnd w:id="33"/>
    </w:p>
    <w:p w14:paraId="291B013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3634471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053E82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73A3ACB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76DD3CA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4DF87BF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0DE4F8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3A48A12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2B53E9A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进行评分时，除评分标准有规定或说明外，业绩、奖项等的认定和评分根据共同投标协议约定的各方承担的工作和相应责任，确定一方打分，不累加打分；评审标准不明确或难以明确以哪一方计算评分情况时，则按主体方情况评分。</w:t>
      </w:r>
    </w:p>
    <w:p w14:paraId="0E47E31E">
      <w:pPr>
        <w:widowControl w:val="0"/>
        <w:adjustRightInd/>
        <w:snapToGrid/>
        <w:ind w:left="567"/>
        <w:jc w:val="both"/>
        <w:rPr>
          <w:rFonts w:hint="eastAsia" w:ascii="宋体" w:hAnsi="宋体" w:cs="宋体"/>
          <w:color w:val="auto"/>
          <w:szCs w:val="21"/>
          <w:highlight w:val="none"/>
        </w:rPr>
      </w:pPr>
    </w:p>
    <w:p w14:paraId="3B74A2EE">
      <w:pPr>
        <w:pStyle w:val="6"/>
        <w:widowControl w:val="0"/>
        <w:numPr>
          <w:ilvl w:val="0"/>
          <w:numId w:val="2"/>
        </w:numPr>
        <w:overflowPunct w:val="0"/>
        <w:rPr>
          <w:rFonts w:hint="eastAsia" w:ascii="宋体" w:hAnsi="宋体" w:cs="宋体"/>
          <w:color w:val="auto"/>
          <w:sz w:val="21"/>
          <w:szCs w:val="21"/>
          <w:highlight w:val="none"/>
        </w:rPr>
      </w:pPr>
      <w:bookmarkStart w:id="34" w:name="_Toc32685"/>
      <w:r>
        <w:rPr>
          <w:rFonts w:hint="eastAsia" w:ascii="宋体" w:hAnsi="宋体" w:cs="宋体"/>
          <w:color w:val="auto"/>
          <w:sz w:val="21"/>
          <w:szCs w:val="21"/>
          <w:highlight w:val="none"/>
        </w:rPr>
        <w:t>关于分支机构投标</w:t>
      </w:r>
      <w:bookmarkEnd w:id="34"/>
    </w:p>
    <w:p w14:paraId="7FCE7BEA">
      <w:pPr>
        <w:widowControl w:val="0"/>
        <w:numPr>
          <w:ilvl w:val="1"/>
          <w:numId w:val="2"/>
        </w:numPr>
        <w:overflowPunct w:val="0"/>
        <w:rPr>
          <w:rFonts w:hint="eastAsia" w:ascii="宋体" w:hAnsi="宋体" w:cs="宋体"/>
          <w:color w:val="auto"/>
          <w:szCs w:val="21"/>
          <w:highlight w:val="none"/>
        </w:rPr>
      </w:pPr>
      <w:bookmarkStart w:id="35" w:name="EB389f116341dd4693875bc7987e7327f3"/>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5"/>
    </w:p>
    <w:p w14:paraId="44B1C6FD">
      <w:pPr>
        <w:widowControl w:val="0"/>
        <w:adjustRightInd/>
        <w:snapToGrid/>
        <w:ind w:left="567"/>
        <w:jc w:val="both"/>
        <w:rPr>
          <w:rFonts w:hint="eastAsia" w:ascii="宋体" w:hAnsi="宋体" w:cs="宋体"/>
          <w:color w:val="auto"/>
          <w:szCs w:val="21"/>
          <w:highlight w:val="none"/>
        </w:rPr>
      </w:pPr>
    </w:p>
    <w:p w14:paraId="37FDB093">
      <w:pPr>
        <w:pStyle w:val="6"/>
        <w:widowControl w:val="0"/>
        <w:numPr>
          <w:ilvl w:val="0"/>
          <w:numId w:val="2"/>
        </w:numPr>
        <w:overflowPunct w:val="0"/>
        <w:rPr>
          <w:rFonts w:hint="eastAsia" w:ascii="宋体" w:hAnsi="宋体" w:cs="宋体"/>
          <w:color w:val="auto"/>
          <w:sz w:val="21"/>
          <w:szCs w:val="21"/>
          <w:highlight w:val="none"/>
        </w:rPr>
      </w:pPr>
      <w:bookmarkStart w:id="36" w:name="_Toc8935"/>
      <w:r>
        <w:rPr>
          <w:rFonts w:hint="eastAsia" w:ascii="宋体" w:hAnsi="宋体" w:cs="宋体"/>
          <w:color w:val="auto"/>
          <w:sz w:val="21"/>
          <w:szCs w:val="21"/>
          <w:highlight w:val="none"/>
        </w:rPr>
        <w:t>踏勘现场</w:t>
      </w:r>
      <w:bookmarkEnd w:id="36"/>
    </w:p>
    <w:p w14:paraId="4F4D225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4D3A4B7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4AEFE2F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1224E1F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6FBE308E">
      <w:pPr>
        <w:rPr>
          <w:rFonts w:hint="eastAsia" w:ascii="宋体" w:hAnsi="宋体" w:cs="宋体"/>
          <w:color w:val="auto"/>
          <w:highlight w:val="none"/>
        </w:rPr>
      </w:pPr>
    </w:p>
    <w:p w14:paraId="7A0C1E0E">
      <w:pPr>
        <w:pStyle w:val="5"/>
        <w:numPr>
          <w:ilvl w:val="0"/>
          <w:numId w:val="1"/>
        </w:numPr>
        <w:spacing w:before="0" w:after="0" w:line="360" w:lineRule="auto"/>
        <w:jc w:val="center"/>
        <w:rPr>
          <w:rFonts w:hint="eastAsia" w:ascii="宋体" w:hAnsi="宋体" w:cs="宋体"/>
          <w:color w:val="auto"/>
          <w:highlight w:val="none"/>
        </w:rPr>
      </w:pPr>
      <w:bookmarkStart w:id="37" w:name="_Toc16822"/>
      <w:r>
        <w:rPr>
          <w:rFonts w:hint="eastAsia" w:ascii="宋体" w:hAnsi="宋体" w:cs="宋体"/>
          <w:color w:val="auto"/>
          <w:highlight w:val="none"/>
        </w:rPr>
        <w:t>采购文件</w:t>
      </w:r>
      <w:bookmarkEnd w:id="37"/>
    </w:p>
    <w:p w14:paraId="4E718E06">
      <w:pPr>
        <w:pStyle w:val="6"/>
        <w:widowControl w:val="0"/>
        <w:numPr>
          <w:ilvl w:val="0"/>
          <w:numId w:val="2"/>
        </w:numPr>
        <w:overflowPunct w:val="0"/>
        <w:rPr>
          <w:rFonts w:hint="eastAsia" w:ascii="宋体" w:hAnsi="宋体" w:cs="宋体"/>
          <w:color w:val="auto"/>
          <w:sz w:val="21"/>
          <w:szCs w:val="21"/>
          <w:highlight w:val="none"/>
        </w:rPr>
      </w:pPr>
      <w:bookmarkStart w:id="38" w:name="_Toc12617"/>
      <w:r>
        <w:rPr>
          <w:rFonts w:hint="eastAsia" w:ascii="宋体" w:hAnsi="宋体" w:cs="宋体"/>
          <w:color w:val="auto"/>
          <w:sz w:val="21"/>
          <w:szCs w:val="21"/>
          <w:highlight w:val="none"/>
        </w:rPr>
        <w:t>采购文件的组成</w:t>
      </w:r>
      <w:bookmarkEnd w:id="38"/>
    </w:p>
    <w:p w14:paraId="2D13B82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采购文件包括：</w:t>
      </w:r>
    </w:p>
    <w:p w14:paraId="2A70D7AE">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51651154">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4B6221ED">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1C31A330">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2EB5797B">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6F89A454">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6506C6BF">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39C23201">
      <w:pPr>
        <w:rPr>
          <w:rFonts w:hint="eastAsia" w:ascii="宋体" w:hAnsi="宋体" w:cs="宋体"/>
          <w:color w:val="auto"/>
          <w:highlight w:val="none"/>
        </w:rPr>
      </w:pPr>
    </w:p>
    <w:p w14:paraId="4027F0E8">
      <w:pPr>
        <w:pStyle w:val="6"/>
        <w:widowControl w:val="0"/>
        <w:numPr>
          <w:ilvl w:val="0"/>
          <w:numId w:val="2"/>
        </w:numPr>
        <w:overflowPunct w:val="0"/>
        <w:rPr>
          <w:rFonts w:hint="eastAsia" w:ascii="宋体" w:hAnsi="宋体" w:cs="宋体"/>
          <w:color w:val="auto"/>
          <w:sz w:val="21"/>
          <w:szCs w:val="21"/>
          <w:highlight w:val="none"/>
        </w:rPr>
      </w:pPr>
      <w:bookmarkStart w:id="39" w:name="_Toc3645"/>
      <w:r>
        <w:rPr>
          <w:rFonts w:hint="eastAsia" w:ascii="宋体" w:hAnsi="宋体" w:cs="宋体"/>
          <w:color w:val="auto"/>
          <w:sz w:val="21"/>
          <w:szCs w:val="21"/>
          <w:highlight w:val="none"/>
        </w:rPr>
        <w:t>采购文件的澄清或修改</w:t>
      </w:r>
      <w:bookmarkEnd w:id="39"/>
    </w:p>
    <w:p w14:paraId="3757D23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3A4E5882">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05CD74C4">
      <w:pPr>
        <w:widowControl w:val="0"/>
        <w:adjustRightInd/>
        <w:snapToGrid/>
        <w:ind w:left="567"/>
        <w:jc w:val="both"/>
        <w:rPr>
          <w:rFonts w:hint="eastAsia" w:ascii="宋体" w:hAnsi="宋体" w:cs="宋体"/>
          <w:color w:val="auto"/>
          <w:szCs w:val="21"/>
          <w:highlight w:val="none"/>
        </w:rPr>
      </w:pPr>
    </w:p>
    <w:p w14:paraId="65C6A122">
      <w:pPr>
        <w:pStyle w:val="5"/>
        <w:numPr>
          <w:ilvl w:val="0"/>
          <w:numId w:val="1"/>
        </w:numPr>
        <w:spacing w:before="0" w:after="0" w:line="360" w:lineRule="auto"/>
        <w:jc w:val="center"/>
        <w:rPr>
          <w:rFonts w:hint="eastAsia" w:ascii="宋体" w:hAnsi="宋体" w:cs="宋体"/>
          <w:color w:val="auto"/>
          <w:highlight w:val="none"/>
        </w:rPr>
      </w:pPr>
      <w:bookmarkStart w:id="40" w:name="_Toc1347"/>
      <w:r>
        <w:rPr>
          <w:rFonts w:hint="eastAsia" w:ascii="宋体" w:hAnsi="宋体" w:cs="宋体"/>
          <w:color w:val="auto"/>
          <w:highlight w:val="none"/>
        </w:rPr>
        <w:t>投标文件的编制</w:t>
      </w:r>
      <w:bookmarkEnd w:id="40"/>
    </w:p>
    <w:p w14:paraId="304E04BB">
      <w:pPr>
        <w:pStyle w:val="6"/>
        <w:widowControl w:val="0"/>
        <w:numPr>
          <w:ilvl w:val="0"/>
          <w:numId w:val="2"/>
        </w:numPr>
        <w:overflowPunct w:val="0"/>
        <w:rPr>
          <w:rFonts w:hint="eastAsia" w:ascii="宋体" w:hAnsi="宋体" w:cs="宋体"/>
          <w:color w:val="auto"/>
          <w:sz w:val="21"/>
          <w:szCs w:val="21"/>
          <w:highlight w:val="none"/>
        </w:rPr>
      </w:pPr>
      <w:bookmarkStart w:id="41" w:name="_Toc958"/>
      <w:r>
        <w:rPr>
          <w:rFonts w:hint="eastAsia" w:ascii="宋体" w:hAnsi="宋体" w:cs="宋体"/>
          <w:color w:val="auto"/>
          <w:sz w:val="21"/>
          <w:szCs w:val="21"/>
          <w:highlight w:val="none"/>
        </w:rPr>
        <w:t>投标文件的语言及度量衡单位</w:t>
      </w:r>
      <w:bookmarkEnd w:id="41"/>
    </w:p>
    <w:p w14:paraId="57CFD0E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20419E8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21D99181">
      <w:pPr>
        <w:widowControl w:val="0"/>
        <w:adjustRightInd/>
        <w:snapToGrid/>
        <w:ind w:left="567"/>
        <w:jc w:val="both"/>
        <w:rPr>
          <w:rFonts w:hint="eastAsia" w:ascii="宋体" w:hAnsi="宋体" w:cs="宋体"/>
          <w:color w:val="auto"/>
          <w:szCs w:val="21"/>
          <w:highlight w:val="none"/>
        </w:rPr>
      </w:pPr>
    </w:p>
    <w:p w14:paraId="20A3EAAD">
      <w:pPr>
        <w:pStyle w:val="6"/>
        <w:widowControl w:val="0"/>
        <w:numPr>
          <w:ilvl w:val="0"/>
          <w:numId w:val="2"/>
        </w:numPr>
        <w:overflowPunct w:val="0"/>
        <w:rPr>
          <w:rFonts w:hint="eastAsia" w:ascii="宋体" w:hAnsi="宋体" w:cs="宋体"/>
          <w:color w:val="auto"/>
          <w:sz w:val="21"/>
          <w:szCs w:val="21"/>
          <w:highlight w:val="none"/>
        </w:rPr>
      </w:pPr>
      <w:bookmarkStart w:id="42" w:name="_Toc303084256"/>
      <w:bookmarkStart w:id="43" w:name="_Toc307934854"/>
      <w:bookmarkStart w:id="44" w:name="_Toc30234"/>
      <w:bookmarkStart w:id="45" w:name="_Toc382049103"/>
      <w:bookmarkStart w:id="46" w:name="_Toc28866"/>
      <w:r>
        <w:rPr>
          <w:rFonts w:hint="eastAsia" w:ascii="宋体" w:hAnsi="宋体" w:cs="宋体"/>
          <w:color w:val="auto"/>
          <w:sz w:val="21"/>
          <w:szCs w:val="21"/>
          <w:highlight w:val="none"/>
        </w:rPr>
        <w:t>投标文件的组成</w:t>
      </w:r>
      <w:bookmarkEnd w:id="42"/>
      <w:bookmarkEnd w:id="43"/>
      <w:bookmarkEnd w:id="44"/>
      <w:bookmarkEnd w:id="45"/>
      <w:bookmarkEnd w:id="46"/>
    </w:p>
    <w:p w14:paraId="7326985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41F2D6B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3A1BC3EB">
      <w:pPr>
        <w:rPr>
          <w:rFonts w:hint="eastAsia" w:ascii="宋体" w:hAnsi="宋体" w:cs="宋体"/>
          <w:color w:val="auto"/>
          <w:highlight w:val="none"/>
        </w:rPr>
      </w:pPr>
    </w:p>
    <w:p w14:paraId="783F8F94">
      <w:pPr>
        <w:pStyle w:val="6"/>
        <w:widowControl w:val="0"/>
        <w:numPr>
          <w:ilvl w:val="0"/>
          <w:numId w:val="2"/>
        </w:numPr>
        <w:overflowPunct w:val="0"/>
        <w:rPr>
          <w:rFonts w:hint="eastAsia" w:ascii="宋体" w:hAnsi="宋体" w:cs="宋体"/>
          <w:color w:val="auto"/>
          <w:sz w:val="21"/>
          <w:szCs w:val="21"/>
          <w:highlight w:val="none"/>
        </w:rPr>
      </w:pPr>
      <w:bookmarkStart w:id="47" w:name="_Toc19533"/>
      <w:r>
        <w:rPr>
          <w:rFonts w:hint="eastAsia" w:ascii="宋体" w:hAnsi="宋体" w:cs="宋体"/>
          <w:color w:val="auto"/>
          <w:sz w:val="21"/>
          <w:szCs w:val="21"/>
          <w:highlight w:val="none"/>
        </w:rPr>
        <w:t>投标文件编制</w:t>
      </w:r>
      <w:bookmarkEnd w:id="47"/>
    </w:p>
    <w:p w14:paraId="2EC4AB04">
      <w:pPr>
        <w:widowControl w:val="0"/>
        <w:numPr>
          <w:ilvl w:val="1"/>
          <w:numId w:val="2"/>
        </w:numPr>
        <w:overflowPunct w:val="0"/>
        <w:rPr>
          <w:rFonts w:hint="eastAsia" w:ascii="宋体" w:hAnsi="宋体" w:cs="宋体"/>
          <w:color w:val="auto"/>
          <w:szCs w:val="21"/>
          <w:highlight w:val="none"/>
        </w:rPr>
      </w:pPr>
      <w:bookmarkStart w:id="48" w:name="_Toc303084258"/>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E06AB7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4FAC92C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投标人名称与投标人公章不一致，若投标人名称已进行变更，应在投标文件中提供相应的证明材料并加盖公章，否则投标文件无效。</w:t>
      </w:r>
    </w:p>
    <w:p w14:paraId="3C4CC57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6A48425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089A6B7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2172B5E1">
      <w:pPr>
        <w:pStyle w:val="46"/>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7BE0DFF9">
      <w:pPr>
        <w:pStyle w:val="46"/>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366552E4">
      <w:pPr>
        <w:widowControl w:val="0"/>
        <w:numPr>
          <w:ilvl w:val="1"/>
          <w:numId w:val="2"/>
        </w:numPr>
        <w:overflowPunct w:val="0"/>
        <w:spacing w:line="264" w:lineRule="auto"/>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5F9D9A4E">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6D3A6B95">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6B480522">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2CF78AB5">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53029B3">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7C578132">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8"/>
    <w:p w14:paraId="1BE08F82">
      <w:pPr>
        <w:rPr>
          <w:rFonts w:hint="eastAsia" w:ascii="宋体" w:hAnsi="宋体" w:cs="宋体"/>
          <w:color w:val="auto"/>
          <w:highlight w:val="none"/>
        </w:rPr>
      </w:pPr>
    </w:p>
    <w:p w14:paraId="39B2E941">
      <w:pPr>
        <w:pStyle w:val="6"/>
        <w:widowControl w:val="0"/>
        <w:numPr>
          <w:ilvl w:val="0"/>
          <w:numId w:val="2"/>
        </w:numPr>
        <w:overflowPunct w:val="0"/>
        <w:rPr>
          <w:rFonts w:hint="eastAsia" w:ascii="宋体" w:hAnsi="宋体" w:cs="宋体"/>
          <w:color w:val="auto"/>
          <w:sz w:val="21"/>
          <w:szCs w:val="21"/>
          <w:highlight w:val="none"/>
        </w:rPr>
      </w:pPr>
      <w:bookmarkStart w:id="49" w:name="_Toc7633"/>
      <w:r>
        <w:rPr>
          <w:rFonts w:hint="eastAsia" w:ascii="宋体" w:hAnsi="宋体" w:cs="宋体"/>
          <w:color w:val="auto"/>
          <w:sz w:val="21"/>
          <w:szCs w:val="21"/>
          <w:highlight w:val="none"/>
        </w:rPr>
        <w:t>投标报价说明</w:t>
      </w:r>
      <w:bookmarkEnd w:id="49"/>
    </w:p>
    <w:p w14:paraId="3D6324A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2C27FC7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14BDFDB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272228B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3E639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794F6974">
      <w:pPr>
        <w:rPr>
          <w:rFonts w:hint="eastAsia" w:ascii="宋体" w:hAnsi="宋体" w:cs="宋体"/>
          <w:color w:val="auto"/>
          <w:highlight w:val="none"/>
        </w:rPr>
      </w:pPr>
    </w:p>
    <w:p w14:paraId="4357A7C0">
      <w:pPr>
        <w:pStyle w:val="6"/>
        <w:widowControl w:val="0"/>
        <w:numPr>
          <w:ilvl w:val="0"/>
          <w:numId w:val="2"/>
        </w:numPr>
        <w:overflowPunct w:val="0"/>
        <w:rPr>
          <w:rFonts w:hint="eastAsia" w:ascii="宋体" w:hAnsi="宋体" w:cs="宋体"/>
          <w:color w:val="auto"/>
          <w:sz w:val="21"/>
          <w:szCs w:val="21"/>
          <w:highlight w:val="none"/>
        </w:rPr>
      </w:pPr>
      <w:bookmarkStart w:id="50" w:name="_Toc22812"/>
      <w:r>
        <w:rPr>
          <w:rFonts w:hint="eastAsia" w:ascii="宋体" w:hAnsi="宋体" w:cs="宋体"/>
          <w:color w:val="auto"/>
          <w:sz w:val="21"/>
          <w:szCs w:val="21"/>
          <w:highlight w:val="none"/>
        </w:rPr>
        <w:t>投标人所提供的服务或货物的证明文件</w:t>
      </w:r>
      <w:bookmarkEnd w:id="50"/>
    </w:p>
    <w:p w14:paraId="432BBC41">
      <w:pPr>
        <w:widowControl w:val="0"/>
        <w:numPr>
          <w:ilvl w:val="1"/>
          <w:numId w:val="2"/>
        </w:numPr>
        <w:overflowPunct w:val="0"/>
        <w:rPr>
          <w:rFonts w:hint="eastAsia" w:ascii="宋体" w:hAnsi="宋体" w:cs="宋体"/>
          <w:color w:val="auto"/>
          <w:szCs w:val="21"/>
          <w:highlight w:val="none"/>
        </w:rPr>
      </w:pPr>
      <w:bookmarkStart w:id="51" w:name="_Hlt107925668"/>
      <w:bookmarkEnd w:id="51"/>
      <w:bookmarkStart w:id="52" w:name="_Hlt107925638"/>
      <w:bookmarkEnd w:id="52"/>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0E6B68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6994F17F">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6997AAC6">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66C7DB35">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（1）使用伪造、变造的许可证件；</w:t>
      </w:r>
    </w:p>
    <w:p w14:paraId="2000BE94">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（2）提供虚假的财务状况或者业绩；</w:t>
      </w:r>
    </w:p>
    <w:p w14:paraId="0EB1000A">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7DA93708">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（4）提供虚假的信用状况；</w:t>
      </w:r>
    </w:p>
    <w:p w14:paraId="6CC0B376">
      <w:pPr>
        <w:pStyle w:val="46"/>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（5）其他弄虚作假的行为。</w:t>
      </w:r>
    </w:p>
    <w:p w14:paraId="4E0016B5">
      <w:pPr>
        <w:pStyle w:val="6"/>
        <w:widowControl w:val="0"/>
        <w:numPr>
          <w:ilvl w:val="0"/>
          <w:numId w:val="2"/>
        </w:numPr>
        <w:overflowPunct w:val="0"/>
        <w:rPr>
          <w:rFonts w:hint="eastAsia" w:ascii="宋体" w:hAnsi="宋体" w:cs="宋体"/>
          <w:color w:val="auto"/>
          <w:sz w:val="21"/>
          <w:szCs w:val="21"/>
          <w:highlight w:val="none"/>
        </w:rPr>
      </w:pPr>
      <w:bookmarkStart w:id="53" w:name="_Toc21284"/>
      <w:r>
        <w:rPr>
          <w:rFonts w:hint="eastAsia" w:ascii="宋体" w:hAnsi="宋体" w:cs="宋体"/>
          <w:color w:val="auto"/>
          <w:sz w:val="21"/>
          <w:szCs w:val="21"/>
          <w:highlight w:val="none"/>
        </w:rPr>
        <w:t>投标有效期</w:t>
      </w:r>
      <w:bookmarkEnd w:id="53"/>
    </w:p>
    <w:p w14:paraId="2F0AB28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3A8DBA0A">
      <w:pPr>
        <w:widowControl w:val="0"/>
        <w:adjustRightInd/>
        <w:snapToGrid/>
        <w:ind w:left="567"/>
        <w:jc w:val="both"/>
        <w:rPr>
          <w:rFonts w:hint="eastAsia" w:ascii="宋体" w:hAnsi="宋体" w:cs="宋体"/>
          <w:color w:val="auto"/>
          <w:highlight w:val="none"/>
        </w:rPr>
      </w:pPr>
    </w:p>
    <w:p w14:paraId="466EA9DC">
      <w:pPr>
        <w:pStyle w:val="6"/>
        <w:widowControl w:val="0"/>
        <w:numPr>
          <w:ilvl w:val="0"/>
          <w:numId w:val="2"/>
        </w:numPr>
        <w:overflowPunct w:val="0"/>
        <w:rPr>
          <w:rFonts w:hint="eastAsia" w:ascii="宋体" w:hAnsi="宋体" w:cs="宋体"/>
          <w:color w:val="auto"/>
          <w:sz w:val="21"/>
          <w:szCs w:val="21"/>
          <w:highlight w:val="none"/>
        </w:rPr>
      </w:pPr>
      <w:bookmarkStart w:id="54" w:name="_Toc28421"/>
      <w:r>
        <w:rPr>
          <w:rFonts w:hint="eastAsia" w:ascii="宋体" w:hAnsi="宋体" w:cs="宋体"/>
          <w:color w:val="auto"/>
          <w:sz w:val="21"/>
          <w:szCs w:val="21"/>
          <w:highlight w:val="none"/>
        </w:rPr>
        <w:t>投标保证金</w:t>
      </w:r>
      <w:bookmarkEnd w:id="54"/>
    </w:p>
    <w:p w14:paraId="3293AD95">
      <w:pPr>
        <w:widowControl w:val="0"/>
        <w:numPr>
          <w:ilvl w:val="1"/>
          <w:numId w:val="2"/>
        </w:numPr>
        <w:overflowPunct w:val="0"/>
        <w:rPr>
          <w:rFonts w:hint="eastAsia" w:ascii="宋体" w:hAnsi="宋体" w:cs="宋体"/>
          <w:color w:val="auto"/>
          <w:szCs w:val="21"/>
          <w:highlight w:val="none"/>
        </w:rPr>
      </w:pPr>
      <w:bookmarkStart w:id="55" w:name="_Ref179619405"/>
      <w:r>
        <w:rPr>
          <w:rFonts w:hint="eastAsia" w:ascii="宋体" w:hAnsi="宋体" w:cs="宋体"/>
          <w:color w:val="auto"/>
          <w:szCs w:val="21"/>
          <w:highlight w:val="none"/>
        </w:rPr>
        <w:t>投标人应在投标文件递交截止前提交相应的投标保证金，并作为其投标的一部分。</w:t>
      </w:r>
      <w:bookmarkEnd w:id="55"/>
    </w:p>
    <w:p w14:paraId="5F7951A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064275E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采用转账、电汇方式提交，应符合以下要求：采用银行转账、电汇方式提交的，保证金汇入《投标资料表》中投标保证金专用账户，不接收由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5A418A2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1487E8A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3ACC884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3BFE421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6676A8C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3F0B52F3">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0783AC66">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146D090A">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0B19B1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2D7CC2AE">
      <w:pPr>
        <w:rPr>
          <w:rFonts w:hint="eastAsia" w:ascii="宋体" w:hAnsi="宋体" w:cs="宋体"/>
          <w:color w:val="auto"/>
          <w:highlight w:val="none"/>
        </w:rPr>
      </w:pPr>
    </w:p>
    <w:p w14:paraId="1ED3799B">
      <w:pPr>
        <w:pStyle w:val="5"/>
        <w:numPr>
          <w:ilvl w:val="0"/>
          <w:numId w:val="1"/>
        </w:numPr>
        <w:spacing w:before="0" w:after="0" w:line="360" w:lineRule="auto"/>
        <w:jc w:val="center"/>
        <w:rPr>
          <w:rFonts w:hint="eastAsia" w:ascii="宋体" w:hAnsi="宋体" w:cs="宋体"/>
          <w:color w:val="auto"/>
          <w:highlight w:val="none"/>
        </w:rPr>
      </w:pPr>
      <w:bookmarkStart w:id="56" w:name="_Toc5222"/>
      <w:r>
        <w:rPr>
          <w:rFonts w:hint="eastAsia" w:ascii="宋体" w:hAnsi="宋体" w:cs="宋体"/>
          <w:color w:val="auto"/>
          <w:highlight w:val="none"/>
        </w:rPr>
        <w:t>投标文件的递交</w:t>
      </w:r>
      <w:bookmarkEnd w:id="56"/>
    </w:p>
    <w:p w14:paraId="6F9DA0CF">
      <w:pPr>
        <w:pStyle w:val="6"/>
        <w:widowControl w:val="0"/>
        <w:numPr>
          <w:ilvl w:val="0"/>
          <w:numId w:val="2"/>
        </w:numPr>
        <w:overflowPunct w:val="0"/>
        <w:rPr>
          <w:rFonts w:hint="eastAsia" w:ascii="宋体" w:hAnsi="宋体" w:cs="宋体"/>
          <w:color w:val="auto"/>
          <w:sz w:val="21"/>
          <w:szCs w:val="21"/>
          <w:highlight w:val="none"/>
        </w:rPr>
      </w:pPr>
      <w:bookmarkStart w:id="57" w:name="_Toc24997"/>
      <w:bookmarkStart w:id="58" w:name="_Toc382049111"/>
      <w:bookmarkStart w:id="59" w:name="_Toc303084264"/>
      <w:bookmarkStart w:id="60" w:name="_Toc13413"/>
      <w:r>
        <w:rPr>
          <w:rFonts w:hint="eastAsia" w:ascii="宋体" w:hAnsi="宋体" w:cs="宋体"/>
          <w:color w:val="auto"/>
          <w:sz w:val="21"/>
          <w:szCs w:val="21"/>
          <w:highlight w:val="none"/>
        </w:rPr>
        <w:t>投标文件的装订，签署，密封和标记</w:t>
      </w:r>
      <w:bookmarkEnd w:id="57"/>
      <w:bookmarkEnd w:id="58"/>
      <w:bookmarkEnd w:id="59"/>
      <w:bookmarkEnd w:id="60"/>
    </w:p>
    <w:p w14:paraId="056F9AA0">
      <w:pPr>
        <w:widowControl w:val="0"/>
        <w:numPr>
          <w:ilvl w:val="1"/>
          <w:numId w:val="2"/>
        </w:numPr>
        <w:overflowPunct w:val="0"/>
        <w:rPr>
          <w:rFonts w:hint="eastAsia"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21C6849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463E696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33734F4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09F0BB1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2C964EB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2267490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4C392F9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核查）和投标保证金汇入情况说明（加盖公章）。投标人的法定代表人参加投标时，须开具法定代表人证明书，按上述要求与开标一览表一并密封提交。“唱标信封”份数及签章等要求与投标文件正本相同（1份）。</w:t>
      </w:r>
    </w:p>
    <w:p w14:paraId="143664E9">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480E53F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66C35914">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 xml:space="preserve">收件人： </w:t>
      </w:r>
    </w:p>
    <w:p w14:paraId="567BDC26">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投标人名称：</w:t>
      </w:r>
    </w:p>
    <w:p w14:paraId="3688160F">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项目名称：</w:t>
      </w:r>
    </w:p>
    <w:p w14:paraId="38099F44">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项目采购项目编号：</w:t>
      </w:r>
    </w:p>
    <w:p w14:paraId="1C930EB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4EF8CBC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1221986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5C2D748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传真、电传的投标文件将被拒绝。</w:t>
      </w:r>
    </w:p>
    <w:p w14:paraId="70D6AAB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6659AFEE">
      <w:pPr>
        <w:rPr>
          <w:rFonts w:hint="eastAsia" w:ascii="宋体" w:hAnsi="宋体" w:cs="宋体"/>
          <w:color w:val="auto"/>
          <w:highlight w:val="none"/>
        </w:rPr>
      </w:pPr>
    </w:p>
    <w:p w14:paraId="146ECF57">
      <w:pPr>
        <w:pStyle w:val="6"/>
        <w:widowControl w:val="0"/>
        <w:numPr>
          <w:ilvl w:val="0"/>
          <w:numId w:val="2"/>
        </w:numPr>
        <w:overflowPunct w:val="0"/>
        <w:rPr>
          <w:rFonts w:hint="eastAsia" w:ascii="宋体" w:hAnsi="宋体" w:cs="宋体"/>
          <w:color w:val="auto"/>
          <w:sz w:val="21"/>
          <w:szCs w:val="21"/>
          <w:highlight w:val="none"/>
        </w:rPr>
      </w:pPr>
      <w:bookmarkStart w:id="61" w:name="_Toc29300"/>
      <w:r>
        <w:rPr>
          <w:rFonts w:hint="eastAsia" w:ascii="宋体" w:hAnsi="宋体" w:cs="宋体"/>
          <w:color w:val="auto"/>
          <w:sz w:val="21"/>
          <w:szCs w:val="21"/>
          <w:highlight w:val="none"/>
        </w:rPr>
        <w:t>迟交的投标文件</w:t>
      </w:r>
      <w:bookmarkEnd w:id="61"/>
    </w:p>
    <w:p w14:paraId="20C08E2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08236DD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49253DD5">
      <w:pPr>
        <w:rPr>
          <w:rFonts w:hint="eastAsia" w:ascii="宋体" w:hAnsi="宋体" w:cs="宋体"/>
          <w:color w:val="auto"/>
          <w:highlight w:val="none"/>
        </w:rPr>
      </w:pPr>
    </w:p>
    <w:p w14:paraId="2545BF5A">
      <w:pPr>
        <w:pStyle w:val="6"/>
        <w:widowControl w:val="0"/>
        <w:numPr>
          <w:ilvl w:val="0"/>
          <w:numId w:val="2"/>
        </w:numPr>
        <w:overflowPunct w:val="0"/>
        <w:rPr>
          <w:rFonts w:hint="eastAsia" w:ascii="宋体" w:hAnsi="宋体" w:cs="宋体"/>
          <w:color w:val="auto"/>
          <w:sz w:val="21"/>
          <w:szCs w:val="21"/>
          <w:highlight w:val="none"/>
        </w:rPr>
      </w:pPr>
      <w:bookmarkStart w:id="62" w:name="_Toc13007"/>
      <w:r>
        <w:rPr>
          <w:rFonts w:hint="eastAsia" w:ascii="宋体" w:hAnsi="宋体" w:cs="宋体"/>
          <w:color w:val="auto"/>
          <w:sz w:val="21"/>
          <w:szCs w:val="21"/>
          <w:highlight w:val="none"/>
        </w:rPr>
        <w:t>投标样品（如需提交）</w:t>
      </w:r>
      <w:bookmarkEnd w:id="62"/>
    </w:p>
    <w:p w14:paraId="359E50E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67E9AC8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6FA0C7F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778006E">
      <w:pPr>
        <w:rPr>
          <w:rFonts w:hint="eastAsia" w:ascii="宋体" w:hAnsi="宋体" w:cs="宋体"/>
          <w:color w:val="auto"/>
          <w:highlight w:val="none"/>
        </w:rPr>
      </w:pPr>
    </w:p>
    <w:p w14:paraId="0C03B32F">
      <w:pPr>
        <w:pStyle w:val="6"/>
        <w:widowControl w:val="0"/>
        <w:numPr>
          <w:ilvl w:val="0"/>
          <w:numId w:val="2"/>
        </w:numPr>
        <w:overflowPunct w:val="0"/>
        <w:rPr>
          <w:rFonts w:hint="eastAsia" w:ascii="宋体" w:hAnsi="宋体" w:cs="宋体"/>
          <w:color w:val="auto"/>
          <w:sz w:val="21"/>
          <w:szCs w:val="21"/>
          <w:highlight w:val="none"/>
        </w:rPr>
      </w:pPr>
      <w:bookmarkStart w:id="63" w:name="_Toc9777"/>
      <w:bookmarkStart w:id="64" w:name="_Toc303084265"/>
      <w:bookmarkStart w:id="65" w:name="_Toc382049112"/>
      <w:bookmarkStart w:id="66" w:name="_Toc17433"/>
      <w:r>
        <w:rPr>
          <w:rFonts w:hint="eastAsia" w:ascii="宋体" w:hAnsi="宋体" w:cs="宋体"/>
          <w:color w:val="auto"/>
          <w:sz w:val="21"/>
          <w:szCs w:val="21"/>
          <w:highlight w:val="none"/>
        </w:rPr>
        <w:t>投标截止期</w:t>
      </w:r>
      <w:bookmarkEnd w:id="63"/>
      <w:bookmarkEnd w:id="64"/>
      <w:bookmarkEnd w:id="65"/>
      <w:bookmarkEnd w:id="66"/>
    </w:p>
    <w:p w14:paraId="50DB2C8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投标人应在采购文件规定的截止日期和时间内，将投标文件送达指定地点。</w:t>
      </w:r>
    </w:p>
    <w:p w14:paraId="7A0E09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2BBB4E0B">
      <w:pPr>
        <w:rPr>
          <w:rFonts w:hint="eastAsia" w:ascii="宋体" w:hAnsi="宋体" w:cs="宋体"/>
          <w:color w:val="auto"/>
          <w:highlight w:val="none"/>
        </w:rPr>
      </w:pPr>
    </w:p>
    <w:p w14:paraId="11991EB1">
      <w:pPr>
        <w:pStyle w:val="6"/>
        <w:widowControl w:val="0"/>
        <w:numPr>
          <w:ilvl w:val="0"/>
          <w:numId w:val="2"/>
        </w:numPr>
        <w:overflowPunct w:val="0"/>
        <w:rPr>
          <w:rFonts w:hint="eastAsia" w:ascii="宋体" w:hAnsi="宋体" w:cs="宋体"/>
          <w:color w:val="auto"/>
          <w:sz w:val="21"/>
          <w:szCs w:val="21"/>
          <w:highlight w:val="none"/>
        </w:rPr>
      </w:pPr>
      <w:bookmarkStart w:id="67" w:name="_Toc4960"/>
      <w:r>
        <w:rPr>
          <w:rFonts w:hint="eastAsia" w:ascii="宋体" w:hAnsi="宋体" w:cs="宋体"/>
          <w:color w:val="auto"/>
          <w:sz w:val="21"/>
          <w:szCs w:val="21"/>
          <w:highlight w:val="none"/>
        </w:rPr>
        <w:t>投标文件的补充、修改与撤回</w:t>
      </w:r>
      <w:bookmarkEnd w:id="67"/>
    </w:p>
    <w:p w14:paraId="2CDD8E7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182E138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0598FC1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投标文件一经递交不予退还。</w:t>
      </w:r>
    </w:p>
    <w:p w14:paraId="279B984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51993281">
      <w:pPr>
        <w:pStyle w:val="2"/>
        <w:rPr>
          <w:rFonts w:hint="eastAsia"/>
          <w:color w:val="auto"/>
          <w:highlight w:val="none"/>
        </w:rPr>
      </w:pPr>
    </w:p>
    <w:p w14:paraId="020D9A11">
      <w:pPr>
        <w:pStyle w:val="5"/>
        <w:numPr>
          <w:ilvl w:val="0"/>
          <w:numId w:val="1"/>
        </w:numPr>
        <w:spacing w:before="0" w:after="0" w:line="360" w:lineRule="auto"/>
        <w:jc w:val="center"/>
        <w:rPr>
          <w:rFonts w:hint="eastAsia" w:ascii="宋体" w:hAnsi="宋体" w:cs="宋体"/>
          <w:color w:val="auto"/>
          <w:highlight w:val="none"/>
        </w:rPr>
      </w:pPr>
      <w:bookmarkStart w:id="68" w:name="_Toc28040"/>
      <w:r>
        <w:rPr>
          <w:rFonts w:hint="eastAsia" w:ascii="宋体" w:hAnsi="宋体" w:cs="宋体"/>
          <w:color w:val="auto"/>
          <w:highlight w:val="none"/>
        </w:rPr>
        <w:t>开标与评标</w:t>
      </w:r>
      <w:bookmarkEnd w:id="68"/>
    </w:p>
    <w:p w14:paraId="1E5A4B70">
      <w:pPr>
        <w:pStyle w:val="6"/>
        <w:widowControl w:val="0"/>
        <w:numPr>
          <w:ilvl w:val="0"/>
          <w:numId w:val="2"/>
        </w:numPr>
        <w:overflowPunct w:val="0"/>
        <w:rPr>
          <w:rFonts w:hint="eastAsia" w:ascii="宋体" w:hAnsi="宋体" w:cs="宋体"/>
          <w:color w:val="auto"/>
          <w:sz w:val="21"/>
          <w:szCs w:val="21"/>
          <w:highlight w:val="none"/>
        </w:rPr>
      </w:pPr>
      <w:bookmarkStart w:id="69" w:name="_Toc21187"/>
      <w:r>
        <w:rPr>
          <w:rFonts w:hint="eastAsia" w:ascii="宋体" w:hAnsi="宋体" w:cs="宋体"/>
          <w:color w:val="auto"/>
          <w:sz w:val="21"/>
          <w:szCs w:val="21"/>
          <w:highlight w:val="none"/>
        </w:rPr>
        <w:t>开标</w:t>
      </w:r>
      <w:bookmarkEnd w:id="69"/>
    </w:p>
    <w:p w14:paraId="10570F3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6AE07A6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开标程序：</w:t>
      </w:r>
    </w:p>
    <w:p w14:paraId="5CE72F0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57FD8CB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105FAA6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2B57155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2B1FD65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合格投标人不足3家的，不得开标；</w:t>
      </w:r>
    </w:p>
    <w:p w14:paraId="1508635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71EC7759">
      <w:pPr>
        <w:widowControl w:val="0"/>
        <w:adjustRightInd/>
        <w:snapToGrid/>
        <w:ind w:left="567"/>
        <w:jc w:val="both"/>
        <w:rPr>
          <w:rFonts w:hint="eastAsia" w:ascii="宋体" w:hAnsi="宋体" w:cs="宋体"/>
          <w:color w:val="auto"/>
          <w:highlight w:val="none"/>
        </w:rPr>
      </w:pPr>
    </w:p>
    <w:p w14:paraId="22AD5469">
      <w:pPr>
        <w:pStyle w:val="6"/>
        <w:widowControl w:val="0"/>
        <w:numPr>
          <w:ilvl w:val="0"/>
          <w:numId w:val="2"/>
        </w:numPr>
        <w:overflowPunct w:val="0"/>
        <w:rPr>
          <w:rFonts w:hint="eastAsia" w:ascii="宋体" w:hAnsi="宋体" w:cs="宋体"/>
          <w:color w:val="auto"/>
          <w:sz w:val="21"/>
          <w:szCs w:val="21"/>
          <w:highlight w:val="none"/>
        </w:rPr>
      </w:pPr>
      <w:bookmarkStart w:id="70" w:name="_Toc9452"/>
      <w:r>
        <w:rPr>
          <w:rFonts w:hint="eastAsia" w:ascii="宋体" w:hAnsi="宋体" w:cs="宋体"/>
          <w:color w:val="auto"/>
          <w:sz w:val="21"/>
          <w:szCs w:val="21"/>
          <w:highlight w:val="none"/>
        </w:rPr>
        <w:t>评标委员会及评标方法</w:t>
      </w:r>
      <w:bookmarkEnd w:id="70"/>
    </w:p>
    <w:p w14:paraId="298A128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0F5B553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1530BFB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70EDB4F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743FCB6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79AABAF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22AA3621">
      <w:pPr>
        <w:rPr>
          <w:rFonts w:hint="eastAsia" w:ascii="宋体" w:hAnsi="宋体" w:cs="宋体"/>
          <w:color w:val="auto"/>
          <w:highlight w:val="none"/>
        </w:rPr>
      </w:pPr>
    </w:p>
    <w:p w14:paraId="16BD2DFE">
      <w:pPr>
        <w:pStyle w:val="6"/>
        <w:widowControl w:val="0"/>
        <w:numPr>
          <w:ilvl w:val="0"/>
          <w:numId w:val="2"/>
        </w:numPr>
        <w:overflowPunct w:val="0"/>
        <w:rPr>
          <w:rFonts w:hint="eastAsia" w:ascii="宋体" w:hAnsi="宋体" w:cs="宋体"/>
          <w:color w:val="auto"/>
          <w:sz w:val="21"/>
          <w:szCs w:val="21"/>
          <w:highlight w:val="none"/>
        </w:rPr>
      </w:pPr>
      <w:bookmarkStart w:id="71" w:name="_Toc21016"/>
      <w:r>
        <w:rPr>
          <w:rFonts w:hint="eastAsia" w:ascii="宋体" w:hAnsi="宋体" w:cs="宋体"/>
          <w:color w:val="auto"/>
          <w:sz w:val="21"/>
          <w:szCs w:val="21"/>
          <w:highlight w:val="none"/>
        </w:rPr>
        <w:t>评审原则及评标过程的保密</w:t>
      </w:r>
      <w:bookmarkEnd w:id="71"/>
    </w:p>
    <w:p w14:paraId="69771B9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7675179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6D2948C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13FD47C2">
      <w:pPr>
        <w:rPr>
          <w:rFonts w:hint="eastAsia" w:ascii="宋体" w:hAnsi="宋体" w:cs="宋体"/>
          <w:color w:val="auto"/>
          <w:highlight w:val="none"/>
        </w:rPr>
      </w:pPr>
    </w:p>
    <w:p w14:paraId="28D7CA9A">
      <w:pPr>
        <w:pStyle w:val="6"/>
        <w:widowControl w:val="0"/>
        <w:numPr>
          <w:ilvl w:val="0"/>
          <w:numId w:val="2"/>
        </w:numPr>
        <w:overflowPunct w:val="0"/>
        <w:rPr>
          <w:rFonts w:hint="eastAsia" w:ascii="宋体" w:hAnsi="宋体" w:cs="宋体"/>
          <w:color w:val="auto"/>
          <w:sz w:val="21"/>
          <w:szCs w:val="21"/>
          <w:highlight w:val="none"/>
        </w:rPr>
      </w:pPr>
      <w:bookmarkStart w:id="72" w:name="_Toc9231"/>
      <w:bookmarkStart w:id="73" w:name="_Toc7361"/>
      <w:r>
        <w:rPr>
          <w:rFonts w:hint="eastAsia" w:ascii="宋体" w:hAnsi="宋体" w:cs="宋体"/>
          <w:color w:val="auto"/>
          <w:sz w:val="21"/>
          <w:szCs w:val="21"/>
          <w:highlight w:val="none"/>
        </w:rPr>
        <w:t>评标程序</w:t>
      </w:r>
      <w:bookmarkEnd w:id="72"/>
    </w:p>
    <w:p w14:paraId="48EF0D4F">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资格性、符合性审查</w:t>
      </w:r>
    </w:p>
    <w:p w14:paraId="27E661B5">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42A58567">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4FE54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BC12D6F">
            <w:pPr>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2B814DE">
            <w:pPr>
              <w:jc w:val="center"/>
              <w:rPr>
                <w:rFonts w:hint="eastAsia" w:ascii="宋体" w:hAnsi="宋体" w:cs="宋体"/>
                <w:b/>
                <w:color w:val="auto"/>
                <w:szCs w:val="21"/>
                <w:highlight w:val="none"/>
              </w:rPr>
            </w:pPr>
            <w:r>
              <w:rPr>
                <w:rFonts w:hint="eastAsia" w:ascii="宋体" w:hAnsi="宋体" w:cs="宋体"/>
                <w:b/>
                <w:color w:val="auto"/>
                <w:szCs w:val="21"/>
                <w:highlight w:val="none"/>
              </w:rPr>
              <w:t>评 审 内 容</w:t>
            </w:r>
          </w:p>
        </w:tc>
      </w:tr>
      <w:tr w14:paraId="719D4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3813020A">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1</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879DD04">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olor w:val="auto"/>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352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29138F2">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F2E1557">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olor w:val="auto"/>
                <w:szCs w:val="21"/>
                <w:highlight w:val="none"/>
              </w:rPr>
              <w:t>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tc>
      </w:tr>
      <w:tr w14:paraId="6BACB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D28CB6F">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37C61CD">
            <w:pPr>
              <w:tabs>
                <w:tab w:val="left" w:pos="612"/>
              </w:tabs>
              <w:rPr>
                <w:rFonts w:hint="eastAsia" w:ascii="宋体" w:hAnsi="宋体" w:cs="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tc>
      </w:tr>
      <w:tr w14:paraId="10BB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0EC4006C">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8BA7BE0">
            <w:pPr>
              <w:tabs>
                <w:tab w:val="left" w:pos="612"/>
              </w:tabs>
              <w:rPr>
                <w:rFonts w:hint="eastAsia" w:ascii="宋体" w:hAnsi="宋体" w:cs="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tc>
      </w:tr>
      <w:tr w14:paraId="5A2F4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814862C">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7B7F94E">
            <w:pPr>
              <w:shd w:val="clear"/>
              <w:rPr>
                <w:rFonts w:hint="eastAsia" w:ascii="宋体" w:hAnsi="宋体" w:cs="宋体"/>
                <w:color w:val="auto"/>
                <w:szCs w:val="21"/>
                <w:highlight w:val="none"/>
              </w:rPr>
            </w:pPr>
            <w:r>
              <w:rPr>
                <w:rFonts w:hint="eastAsia" w:ascii="宋体" w:hAnsi="宋体"/>
                <w:color w:val="auto"/>
                <w:szCs w:val="21"/>
                <w:highlight w:val="none"/>
              </w:rPr>
              <w:t>（5）投标人自</w:t>
            </w:r>
            <w:r>
              <w:rPr>
                <w:rFonts w:hint="eastAsia" w:ascii="宋体" w:hAnsi="宋体"/>
                <w:color w:val="auto"/>
                <w:szCs w:val="21"/>
                <w:highlight w:val="none"/>
                <w:lang w:val="en-US" w:eastAsia="zh-CN"/>
              </w:rPr>
              <w:t>采购</w:t>
            </w:r>
            <w:r>
              <w:rPr>
                <w:rFonts w:hint="eastAsia" w:ascii="宋体" w:hAnsi="宋体"/>
                <w:color w:val="auto"/>
                <w:szCs w:val="21"/>
                <w:highlight w:val="none"/>
              </w:rPr>
              <w:t>公告发布之日起前两年内，在经营活动中没有因串通投标、弄虚作假、行贿、转包、违法分包、挂靠、死亡事故违法违规行为受到行政、刑事处罚的。以代理机构于投标截止日当天在“信用中国”网站查询结果为准。</w:t>
            </w:r>
          </w:p>
        </w:tc>
      </w:tr>
      <w:tr w14:paraId="492D5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177355A">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8425399">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）符合“投标人资格要求”中“其他要求”（如有）。（提供《附件7.相关资质证明文件》中对应证明文件。）</w:t>
            </w:r>
          </w:p>
        </w:tc>
      </w:tr>
      <w:tr w14:paraId="2775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E776913">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2</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8A918CB">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343D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EDCD659">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3</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EDAD9EB">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22CB1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A1E0216">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4</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C3A68F2">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3DAE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87BB2B0">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BF4B7DD">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5FA13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B53FB22">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E7A23C9">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标注“★”符号的条款无负偏离。</w:t>
            </w:r>
          </w:p>
        </w:tc>
      </w:tr>
      <w:tr w14:paraId="167CB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8223248">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F68A779">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rPr>
              <w:t>未出现法律法规</w:t>
            </w:r>
            <w:r>
              <w:rPr>
                <w:rFonts w:hint="eastAsia" w:ascii="宋体" w:hAnsi="宋体" w:cs="宋体"/>
                <w:color w:val="auto"/>
                <w:szCs w:val="21"/>
                <w:highlight w:val="none"/>
                <w:lang w:bidi="ar"/>
              </w:rPr>
              <w:t>和采购文件规定的其他无效情形。</w:t>
            </w:r>
          </w:p>
        </w:tc>
      </w:tr>
      <w:bookmarkEnd w:id="73"/>
    </w:tbl>
    <w:p w14:paraId="406C8F06">
      <w:pPr>
        <w:widowControl w:val="0"/>
        <w:overflowPunct w:val="0"/>
        <w:ind w:firstLine="420" w:firstLineChars="200"/>
        <w:rPr>
          <w:rFonts w:hint="eastAsia"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销其不符合要求的差异，使之成为具有符合性的投标文件。经评标委员会资格性、符合性审查确认具有有效投标文件的投标人不足三家时将重新组织采购。</w:t>
      </w:r>
    </w:p>
    <w:p w14:paraId="7CA48E25">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7164A0FE">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3B806FAA">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3EDA28E6">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19287CD8">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6D6D6601">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5AC0AD7E">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36F4553C">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3673E366">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C711BD5">
      <w:pPr>
        <w:pStyle w:val="2"/>
        <w:rPr>
          <w:rFonts w:hint="eastAsia"/>
          <w:color w:val="auto"/>
          <w:highlight w:val="none"/>
        </w:rPr>
      </w:pPr>
    </w:p>
    <w:p w14:paraId="29AD9BFC">
      <w:pPr>
        <w:pStyle w:val="6"/>
        <w:widowControl w:val="0"/>
        <w:numPr>
          <w:ilvl w:val="0"/>
          <w:numId w:val="2"/>
        </w:numPr>
        <w:overflowPunct w:val="0"/>
        <w:rPr>
          <w:rFonts w:hint="eastAsia" w:ascii="宋体" w:hAnsi="宋体" w:cs="宋体"/>
          <w:color w:val="auto"/>
          <w:sz w:val="21"/>
          <w:szCs w:val="21"/>
          <w:highlight w:val="none"/>
        </w:rPr>
      </w:pPr>
      <w:bookmarkStart w:id="74" w:name="_Toc5218"/>
      <w:r>
        <w:rPr>
          <w:rFonts w:hint="eastAsia" w:ascii="宋体" w:hAnsi="宋体" w:cs="宋体"/>
          <w:color w:val="auto"/>
          <w:sz w:val="21"/>
          <w:szCs w:val="21"/>
          <w:highlight w:val="none"/>
        </w:rPr>
        <w:t>商务、技术、价格评审（具体评审项目详见投标资料表）</w:t>
      </w:r>
      <w:bookmarkEnd w:id="74"/>
    </w:p>
    <w:p w14:paraId="402139E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01FF8C2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7AA2C3E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w:t>
      </w:r>
      <w:r>
        <w:rPr>
          <w:rFonts w:hint="eastAsia" w:ascii="宋体" w:hAnsi="宋体"/>
          <w:color w:val="auto"/>
          <w:szCs w:val="21"/>
          <w:highlight w:val="none"/>
        </w:rPr>
        <w:t>投标报价</w:t>
      </w:r>
      <w:r>
        <w:rPr>
          <w:rFonts w:hint="eastAsia" w:ascii="宋体" w:hAnsi="宋体" w:cs="宋体"/>
          <w:color w:val="auto"/>
          <w:szCs w:val="21"/>
          <w:highlight w:val="none"/>
        </w:rPr>
        <w:t>由高到低顺序排列。综合</w:t>
      </w:r>
      <w:r>
        <w:rPr>
          <w:rFonts w:hint="eastAsia" w:ascii="宋体" w:hAnsi="宋体"/>
          <w:color w:val="auto"/>
          <w:szCs w:val="21"/>
          <w:highlight w:val="none"/>
        </w:rPr>
        <w:t>得分相同且投标报价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662E007A">
      <w:pPr>
        <w:widowControl w:val="0"/>
        <w:tabs>
          <w:tab w:val="left" w:pos="907"/>
        </w:tabs>
        <w:adjustRightInd/>
        <w:snapToGrid/>
        <w:ind w:left="567"/>
        <w:jc w:val="both"/>
        <w:rPr>
          <w:rFonts w:hint="eastAsia" w:ascii="宋体" w:hAnsi="宋体" w:cs="宋体"/>
          <w:color w:val="auto"/>
          <w:szCs w:val="21"/>
          <w:highlight w:val="none"/>
        </w:rPr>
      </w:pPr>
    </w:p>
    <w:p w14:paraId="31DB6FDD">
      <w:pPr>
        <w:pStyle w:val="6"/>
        <w:widowControl w:val="0"/>
        <w:numPr>
          <w:ilvl w:val="0"/>
          <w:numId w:val="2"/>
        </w:numPr>
        <w:overflowPunct w:val="0"/>
        <w:rPr>
          <w:rFonts w:hint="eastAsia" w:ascii="宋体" w:hAnsi="宋体" w:cs="宋体"/>
          <w:color w:val="auto"/>
          <w:sz w:val="21"/>
          <w:szCs w:val="21"/>
          <w:highlight w:val="none"/>
        </w:rPr>
      </w:pPr>
      <w:bookmarkStart w:id="75" w:name="_Toc316375620"/>
      <w:bookmarkStart w:id="76" w:name="_Toc382049120"/>
      <w:bookmarkStart w:id="77" w:name="_Toc20328"/>
      <w:bookmarkStart w:id="78" w:name="_Toc30894"/>
      <w:r>
        <w:rPr>
          <w:rFonts w:hint="eastAsia" w:ascii="宋体" w:hAnsi="宋体" w:cs="宋体"/>
          <w:color w:val="auto"/>
          <w:sz w:val="21"/>
          <w:szCs w:val="21"/>
          <w:highlight w:val="none"/>
        </w:rPr>
        <w:t>纪律和保密</w:t>
      </w:r>
      <w:bookmarkEnd w:id="75"/>
      <w:r>
        <w:rPr>
          <w:rFonts w:hint="eastAsia" w:ascii="宋体" w:hAnsi="宋体" w:cs="宋体"/>
          <w:color w:val="auto"/>
          <w:sz w:val="21"/>
          <w:szCs w:val="21"/>
          <w:highlight w:val="none"/>
        </w:rPr>
        <w:t>事项</w:t>
      </w:r>
      <w:bookmarkEnd w:id="76"/>
      <w:bookmarkEnd w:id="77"/>
      <w:bookmarkEnd w:id="78"/>
    </w:p>
    <w:p w14:paraId="5B0E084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4B409E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4B1B16C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7503B5AD">
      <w:pPr>
        <w:rPr>
          <w:rFonts w:hint="eastAsia" w:ascii="宋体" w:hAnsi="宋体" w:cs="宋体"/>
          <w:color w:val="auto"/>
          <w:highlight w:val="none"/>
        </w:rPr>
      </w:pPr>
    </w:p>
    <w:p w14:paraId="1CA1104B">
      <w:pPr>
        <w:pStyle w:val="5"/>
        <w:numPr>
          <w:ilvl w:val="0"/>
          <w:numId w:val="1"/>
        </w:numPr>
        <w:spacing w:before="0" w:after="0" w:line="360" w:lineRule="auto"/>
        <w:jc w:val="center"/>
        <w:rPr>
          <w:rFonts w:hint="eastAsia" w:ascii="宋体" w:hAnsi="宋体" w:cs="宋体"/>
          <w:color w:val="auto"/>
          <w:highlight w:val="none"/>
        </w:rPr>
      </w:pPr>
      <w:bookmarkStart w:id="79" w:name="_Toc13359"/>
      <w:r>
        <w:rPr>
          <w:rFonts w:hint="eastAsia" w:ascii="宋体" w:hAnsi="宋体" w:cs="宋体"/>
          <w:color w:val="auto"/>
          <w:highlight w:val="none"/>
        </w:rPr>
        <w:t>授予合同</w:t>
      </w:r>
      <w:bookmarkEnd w:id="79"/>
    </w:p>
    <w:p w14:paraId="089C3C46">
      <w:pPr>
        <w:pStyle w:val="6"/>
        <w:widowControl w:val="0"/>
        <w:numPr>
          <w:ilvl w:val="0"/>
          <w:numId w:val="2"/>
        </w:numPr>
        <w:overflowPunct w:val="0"/>
        <w:rPr>
          <w:rFonts w:hint="eastAsia" w:ascii="宋体" w:hAnsi="宋体" w:cs="宋体"/>
          <w:color w:val="auto"/>
          <w:sz w:val="21"/>
          <w:szCs w:val="21"/>
          <w:highlight w:val="none"/>
        </w:rPr>
      </w:pPr>
      <w:bookmarkStart w:id="80" w:name="_Toc508284011"/>
      <w:bookmarkStart w:id="81" w:name="_Toc28657"/>
      <w:r>
        <w:rPr>
          <w:rFonts w:hint="eastAsia" w:ascii="宋体" w:hAnsi="宋体" w:cs="宋体"/>
          <w:color w:val="auto"/>
          <w:sz w:val="21"/>
          <w:szCs w:val="21"/>
          <w:highlight w:val="none"/>
        </w:rPr>
        <w:t>合同授予标准</w:t>
      </w:r>
      <w:bookmarkEnd w:id="80"/>
      <w:bookmarkEnd w:id="81"/>
    </w:p>
    <w:p w14:paraId="6791616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60CA3F7C">
      <w:pPr>
        <w:rPr>
          <w:rFonts w:hint="eastAsia" w:ascii="宋体" w:hAnsi="宋体" w:cs="宋体"/>
          <w:color w:val="auto"/>
          <w:highlight w:val="none"/>
        </w:rPr>
      </w:pPr>
    </w:p>
    <w:p w14:paraId="4ABDCCA6">
      <w:pPr>
        <w:pStyle w:val="6"/>
        <w:widowControl w:val="0"/>
        <w:numPr>
          <w:ilvl w:val="0"/>
          <w:numId w:val="2"/>
        </w:numPr>
        <w:overflowPunct w:val="0"/>
        <w:rPr>
          <w:rFonts w:hint="eastAsia" w:ascii="宋体" w:hAnsi="宋体" w:cs="宋体"/>
          <w:color w:val="auto"/>
          <w:sz w:val="21"/>
          <w:szCs w:val="21"/>
          <w:highlight w:val="none"/>
        </w:rPr>
      </w:pPr>
      <w:bookmarkStart w:id="82" w:name="_Toc508284013"/>
      <w:bookmarkStart w:id="83" w:name="_Toc15240"/>
      <w:r>
        <w:rPr>
          <w:rFonts w:hint="eastAsia" w:ascii="宋体" w:hAnsi="宋体" w:cs="宋体"/>
          <w:color w:val="auto"/>
          <w:sz w:val="21"/>
          <w:szCs w:val="21"/>
          <w:highlight w:val="none"/>
        </w:rPr>
        <w:t>发布中标结果</w:t>
      </w:r>
      <w:bookmarkEnd w:id="82"/>
      <w:bookmarkEnd w:id="83"/>
    </w:p>
    <w:p w14:paraId="743FB6B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5AACD8F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中标公告期限为3个日历日。</w:t>
      </w:r>
    </w:p>
    <w:p w14:paraId="4C4F903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166F095E">
      <w:pPr>
        <w:widowControl w:val="0"/>
        <w:tabs>
          <w:tab w:val="left" w:pos="907"/>
        </w:tabs>
        <w:adjustRightInd/>
        <w:snapToGrid/>
        <w:jc w:val="both"/>
        <w:rPr>
          <w:rFonts w:hint="eastAsia" w:ascii="宋体" w:hAnsi="宋体" w:cs="宋体"/>
          <w:color w:val="auto"/>
          <w:szCs w:val="21"/>
          <w:highlight w:val="none"/>
        </w:rPr>
      </w:pPr>
    </w:p>
    <w:p w14:paraId="74918B0D">
      <w:pPr>
        <w:pStyle w:val="6"/>
        <w:widowControl w:val="0"/>
        <w:numPr>
          <w:ilvl w:val="0"/>
          <w:numId w:val="2"/>
        </w:numPr>
        <w:overflowPunct w:val="0"/>
        <w:rPr>
          <w:rFonts w:hint="eastAsia" w:ascii="宋体" w:hAnsi="宋体" w:cs="宋体"/>
          <w:color w:val="auto"/>
          <w:sz w:val="21"/>
          <w:szCs w:val="21"/>
          <w:highlight w:val="none"/>
        </w:rPr>
      </w:pPr>
      <w:bookmarkStart w:id="84" w:name="_Toc16159"/>
      <w:r>
        <w:rPr>
          <w:rFonts w:hint="eastAsia" w:ascii="宋体" w:hAnsi="宋体" w:cs="宋体"/>
          <w:color w:val="auto"/>
          <w:sz w:val="21"/>
          <w:szCs w:val="21"/>
          <w:highlight w:val="none"/>
        </w:rPr>
        <w:t>资格后审</w:t>
      </w:r>
      <w:bookmarkEnd w:id="84"/>
    </w:p>
    <w:p w14:paraId="2406D0C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16F5B67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17D5139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994959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749050E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7CBBC83C">
      <w:pPr>
        <w:rPr>
          <w:rFonts w:hint="eastAsia" w:ascii="宋体" w:hAnsi="宋体" w:cs="宋体"/>
          <w:color w:val="auto"/>
          <w:highlight w:val="none"/>
        </w:rPr>
      </w:pPr>
    </w:p>
    <w:p w14:paraId="53CADD8C">
      <w:pPr>
        <w:pStyle w:val="6"/>
        <w:widowControl w:val="0"/>
        <w:numPr>
          <w:ilvl w:val="0"/>
          <w:numId w:val="2"/>
        </w:numPr>
        <w:overflowPunct w:val="0"/>
        <w:rPr>
          <w:rFonts w:hint="eastAsia" w:ascii="宋体" w:hAnsi="宋体" w:cs="宋体"/>
          <w:color w:val="auto"/>
          <w:sz w:val="21"/>
          <w:szCs w:val="21"/>
          <w:highlight w:val="none"/>
        </w:rPr>
      </w:pPr>
      <w:bookmarkStart w:id="85" w:name="_Toc6261"/>
      <w:r>
        <w:rPr>
          <w:rFonts w:hint="eastAsia" w:ascii="宋体" w:hAnsi="宋体" w:cs="宋体"/>
          <w:color w:val="auto"/>
          <w:sz w:val="21"/>
          <w:szCs w:val="21"/>
          <w:highlight w:val="none"/>
        </w:rPr>
        <w:t>合同的签订与履行</w:t>
      </w:r>
      <w:bookmarkEnd w:id="85"/>
    </w:p>
    <w:p w14:paraId="3B57F81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621610D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2BB658C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0CF085C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终止合同。</w:t>
      </w:r>
    </w:p>
    <w:p w14:paraId="635C6A87">
      <w:pPr>
        <w:widowControl w:val="0"/>
        <w:tabs>
          <w:tab w:val="left" w:pos="907"/>
        </w:tabs>
        <w:adjustRightInd/>
        <w:snapToGrid/>
        <w:jc w:val="both"/>
        <w:rPr>
          <w:rFonts w:hint="eastAsia" w:ascii="宋体" w:hAnsi="宋体" w:cs="宋体"/>
          <w:color w:val="auto"/>
          <w:highlight w:val="none"/>
        </w:rPr>
      </w:pPr>
    </w:p>
    <w:p w14:paraId="1B306791">
      <w:pPr>
        <w:pStyle w:val="6"/>
        <w:widowControl w:val="0"/>
        <w:numPr>
          <w:ilvl w:val="0"/>
          <w:numId w:val="2"/>
        </w:numPr>
        <w:overflowPunct w:val="0"/>
        <w:rPr>
          <w:rFonts w:hint="eastAsia" w:ascii="宋体" w:hAnsi="宋体" w:cs="宋体"/>
          <w:color w:val="auto"/>
          <w:sz w:val="21"/>
          <w:szCs w:val="21"/>
          <w:highlight w:val="none"/>
        </w:rPr>
      </w:pPr>
      <w:bookmarkStart w:id="86" w:name="_Toc29009"/>
      <w:bookmarkStart w:id="87" w:name="_Toc382049124"/>
      <w:bookmarkStart w:id="88" w:name="_Toc303084277"/>
      <w:bookmarkStart w:id="89" w:name="_Toc23183"/>
      <w:r>
        <w:rPr>
          <w:rFonts w:hint="eastAsia" w:ascii="宋体" w:hAnsi="宋体" w:cs="宋体"/>
          <w:color w:val="auto"/>
          <w:sz w:val="21"/>
          <w:szCs w:val="21"/>
          <w:highlight w:val="none"/>
        </w:rPr>
        <w:t>履约</w:t>
      </w:r>
      <w:bookmarkEnd w:id="86"/>
      <w:bookmarkEnd w:id="87"/>
      <w:bookmarkEnd w:id="88"/>
      <w:r>
        <w:rPr>
          <w:rFonts w:hint="eastAsia" w:ascii="宋体" w:hAnsi="宋体" w:cs="宋体"/>
          <w:color w:val="auto"/>
          <w:sz w:val="21"/>
          <w:szCs w:val="21"/>
          <w:highlight w:val="none"/>
        </w:rPr>
        <w:t>担保</w:t>
      </w:r>
      <w:bookmarkEnd w:id="89"/>
    </w:p>
    <w:p w14:paraId="73C56C7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4CD83BB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7A205F6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21D2551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0D3F7B5E">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778C2269">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537A8637">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43BF10D1">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必须保证履约保证金以中标人的名称在（合同约定的日期）前提交至采购人指定账户。</w:t>
      </w:r>
    </w:p>
    <w:p w14:paraId="36DA0B6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47381B5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200FA62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F794AF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7BB29E0A">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22AA1A27">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6EE9239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7F4BBC18">
      <w:pPr>
        <w:widowControl w:val="0"/>
        <w:tabs>
          <w:tab w:val="left" w:pos="907"/>
        </w:tabs>
        <w:adjustRightInd/>
        <w:snapToGrid/>
        <w:jc w:val="both"/>
        <w:rPr>
          <w:rFonts w:hint="eastAsia" w:ascii="宋体" w:hAnsi="宋体" w:cs="宋体"/>
          <w:color w:val="auto"/>
          <w:highlight w:val="none"/>
        </w:rPr>
      </w:pPr>
    </w:p>
    <w:p w14:paraId="5260831D">
      <w:pPr>
        <w:pStyle w:val="6"/>
        <w:widowControl w:val="0"/>
        <w:numPr>
          <w:ilvl w:val="0"/>
          <w:numId w:val="2"/>
        </w:numPr>
        <w:overflowPunct w:val="0"/>
        <w:rPr>
          <w:rFonts w:hint="eastAsia" w:ascii="宋体" w:hAnsi="宋体" w:cs="宋体"/>
          <w:vanish/>
          <w:color w:val="auto"/>
          <w:szCs w:val="21"/>
          <w:highlight w:val="none"/>
        </w:rPr>
      </w:pPr>
      <w:bookmarkStart w:id="90" w:name="_Toc22622"/>
      <w:bookmarkStart w:id="91" w:name="_Toc31388"/>
      <w:r>
        <w:rPr>
          <w:rFonts w:hint="eastAsia" w:ascii="宋体" w:hAnsi="宋体" w:cs="宋体"/>
          <w:color w:val="auto"/>
          <w:sz w:val="21"/>
          <w:szCs w:val="21"/>
          <w:highlight w:val="none"/>
        </w:rPr>
        <w:t>预付款保函（适用于预付款支付）</w:t>
      </w:r>
      <w:bookmarkEnd w:id="90"/>
      <w:bookmarkEnd w:id="91"/>
    </w:p>
    <w:p w14:paraId="3CF8FF7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516700F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预付款保函应：</w:t>
      </w:r>
    </w:p>
    <w:p w14:paraId="77B9BC63">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5F2AB3D5">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（2）必须打印，手写、涂改无效</w:t>
      </w:r>
    </w:p>
    <w:p w14:paraId="0C37B26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1C6D41E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A8BCD63">
      <w:pPr>
        <w:rPr>
          <w:rFonts w:hint="eastAsia" w:ascii="宋体" w:hAnsi="宋体" w:cs="宋体"/>
          <w:color w:val="auto"/>
          <w:highlight w:val="none"/>
        </w:rPr>
      </w:pPr>
    </w:p>
    <w:p w14:paraId="322B0E83">
      <w:pPr>
        <w:pStyle w:val="5"/>
        <w:numPr>
          <w:ilvl w:val="0"/>
          <w:numId w:val="1"/>
        </w:numPr>
        <w:spacing w:before="0" w:after="0" w:line="360" w:lineRule="auto"/>
        <w:jc w:val="center"/>
        <w:rPr>
          <w:rFonts w:hint="eastAsia" w:ascii="宋体" w:hAnsi="宋体" w:cs="宋体"/>
          <w:color w:val="auto"/>
          <w:highlight w:val="none"/>
        </w:rPr>
      </w:pPr>
      <w:bookmarkStart w:id="92" w:name="_Toc13654"/>
      <w:r>
        <w:rPr>
          <w:rFonts w:hint="eastAsia" w:ascii="宋体" w:hAnsi="宋体" w:cs="宋体"/>
          <w:color w:val="auto"/>
          <w:highlight w:val="none"/>
        </w:rPr>
        <w:t>异议</w:t>
      </w:r>
      <w:bookmarkEnd w:id="92"/>
    </w:p>
    <w:p w14:paraId="06D3E83E">
      <w:pPr>
        <w:pStyle w:val="6"/>
        <w:widowControl w:val="0"/>
        <w:numPr>
          <w:ilvl w:val="0"/>
          <w:numId w:val="2"/>
        </w:numPr>
        <w:overflowPunct w:val="0"/>
        <w:rPr>
          <w:rFonts w:hint="eastAsia" w:ascii="宋体" w:hAnsi="宋体" w:cs="宋体"/>
          <w:color w:val="auto"/>
          <w:sz w:val="21"/>
          <w:szCs w:val="21"/>
          <w:highlight w:val="none"/>
        </w:rPr>
      </w:pPr>
      <w:bookmarkStart w:id="93" w:name="_Toc2745"/>
      <w:bookmarkStart w:id="94" w:name="_Toc29959"/>
      <w:r>
        <w:rPr>
          <w:rFonts w:hint="eastAsia" w:ascii="宋体" w:hAnsi="宋体" w:cs="宋体"/>
          <w:color w:val="auto"/>
          <w:sz w:val="21"/>
          <w:szCs w:val="21"/>
          <w:highlight w:val="none"/>
        </w:rPr>
        <w:t>异议</w:t>
      </w:r>
      <w:bookmarkEnd w:id="93"/>
      <w:bookmarkEnd w:id="94"/>
    </w:p>
    <w:p w14:paraId="743AB79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684DC1C8">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zh-CN"/>
        </w:rPr>
        <w:t>投标人或者其他利害关系人对采购文件有异议的，应当在投标截止时间10日前以书面形式向采购代理机构提出，并将材料原件送达采购代理机构，逾期则视为对采购文件所有内容无异议。异议书面材料必须加盖投标人法人公章，并注明联系人、联系电话、联系地址。超出提交接收异议截止时间而提出的任何疑问，</w:t>
      </w:r>
      <w:r>
        <w:rPr>
          <w:rFonts w:hint="eastAsia" w:ascii="宋体" w:hAnsi="宋体" w:cs="宋体"/>
          <w:color w:val="auto"/>
          <w:szCs w:val="21"/>
          <w:highlight w:val="none"/>
        </w:rPr>
        <w:t>采购人或</w:t>
      </w:r>
      <w:r>
        <w:rPr>
          <w:rFonts w:hint="eastAsia" w:ascii="宋体" w:hAnsi="宋体" w:cs="宋体"/>
          <w:color w:val="auto"/>
          <w:szCs w:val="21"/>
          <w:highlight w:val="none"/>
          <w:lang w:val="zh-CN"/>
        </w:rPr>
        <w:t>采购代理机构可不予答复。</w:t>
      </w:r>
    </w:p>
    <w:p w14:paraId="3CF7058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4CCCA338">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B1DB856">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030278F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11A96BC2">
      <w:pPr>
        <w:pStyle w:val="5"/>
        <w:numPr>
          <w:ilvl w:val="0"/>
          <w:numId w:val="1"/>
        </w:numPr>
        <w:spacing w:before="0" w:after="0" w:line="360" w:lineRule="auto"/>
        <w:jc w:val="center"/>
        <w:rPr>
          <w:rFonts w:hint="eastAsia" w:ascii="宋体" w:hAnsi="宋体" w:cs="宋体"/>
          <w:color w:val="auto"/>
          <w:highlight w:val="none"/>
        </w:rPr>
      </w:pPr>
      <w:bookmarkStart w:id="95" w:name="_Toc14156"/>
      <w:r>
        <w:rPr>
          <w:rFonts w:hint="eastAsia" w:ascii="宋体" w:hAnsi="宋体" w:cs="宋体"/>
          <w:color w:val="auto"/>
          <w:highlight w:val="none"/>
        </w:rPr>
        <w:t>其他</w:t>
      </w:r>
      <w:bookmarkEnd w:id="95"/>
    </w:p>
    <w:p w14:paraId="22A3F658">
      <w:pPr>
        <w:pStyle w:val="6"/>
        <w:widowControl w:val="0"/>
        <w:numPr>
          <w:ilvl w:val="0"/>
          <w:numId w:val="2"/>
        </w:numPr>
        <w:overflowPunct w:val="0"/>
        <w:rPr>
          <w:rFonts w:hint="eastAsia" w:ascii="宋体" w:hAnsi="宋体" w:cs="宋体"/>
          <w:color w:val="auto"/>
          <w:sz w:val="21"/>
          <w:szCs w:val="21"/>
          <w:highlight w:val="none"/>
        </w:rPr>
      </w:pPr>
      <w:bookmarkStart w:id="96" w:name="_Toc19687"/>
      <w:bookmarkStart w:id="97" w:name="_Toc13066"/>
      <w:r>
        <w:rPr>
          <w:rFonts w:hint="eastAsia" w:ascii="宋体" w:hAnsi="宋体" w:cs="宋体"/>
          <w:color w:val="auto"/>
          <w:sz w:val="21"/>
          <w:szCs w:val="21"/>
          <w:highlight w:val="none"/>
        </w:rPr>
        <w:t>采购文件的解释权</w:t>
      </w:r>
      <w:bookmarkEnd w:id="96"/>
      <w:bookmarkEnd w:id="97"/>
    </w:p>
    <w:p w14:paraId="63E7C40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r>
        <w:rPr>
          <w:rFonts w:hint="eastAsia" w:ascii="宋体" w:hAnsi="宋体" w:cs="宋体"/>
          <w:color w:val="auto"/>
          <w:szCs w:val="21"/>
          <w:highlight w:val="none"/>
        </w:rPr>
        <w:br w:type="page"/>
      </w:r>
    </w:p>
    <w:p w14:paraId="1E948800">
      <w:pPr>
        <w:spacing w:line="460" w:lineRule="exact"/>
        <w:jc w:val="left"/>
        <w:rPr>
          <w:rFonts w:hint="eastAsia" w:ascii="宋体" w:hAnsi="宋体"/>
          <w:b/>
          <w:color w:val="auto"/>
          <w:sz w:val="24"/>
          <w:highlight w:val="none"/>
        </w:rPr>
      </w:pPr>
      <w:r>
        <w:rPr>
          <w:rFonts w:hint="eastAsia"/>
          <w:color w:val="auto"/>
          <w:sz w:val="28"/>
          <w:szCs w:val="28"/>
          <w:highlight w:val="none"/>
        </w:rPr>
        <w:t>第五部分</w:t>
      </w:r>
      <w:r>
        <w:rPr>
          <w:rFonts w:hint="eastAsia"/>
          <w:color w:val="auto"/>
          <w:sz w:val="28"/>
          <w:szCs w:val="28"/>
          <w:highlight w:val="none"/>
          <w:lang w:val="en-US" w:eastAsia="zh-CN"/>
        </w:rPr>
        <w:t xml:space="preserve"> 合同</w:t>
      </w:r>
      <w:r>
        <w:rPr>
          <w:rFonts w:hint="eastAsia"/>
          <w:color w:val="auto"/>
          <w:sz w:val="28"/>
          <w:szCs w:val="28"/>
          <w:highlight w:val="none"/>
        </w:rPr>
        <w:t xml:space="preserve">  </w:t>
      </w:r>
      <w:r>
        <w:rPr>
          <w:rFonts w:hint="eastAsia" w:ascii="宋体" w:hAnsi="宋体"/>
          <w:color w:val="auto"/>
          <w:sz w:val="24"/>
          <w:highlight w:val="none"/>
        </w:rPr>
        <w:t xml:space="preserve">  </w:t>
      </w:r>
      <w:r>
        <w:rPr>
          <w:rFonts w:hint="eastAsia" w:ascii="宋体" w:hAnsi="宋体"/>
          <w:color w:val="auto"/>
          <w:sz w:val="28"/>
          <w:szCs w:val="28"/>
          <w:highlight w:val="none"/>
        </w:rPr>
        <w:t>【</w:t>
      </w:r>
      <w:r>
        <w:rPr>
          <w:rFonts w:hint="eastAsia" w:ascii="宋体" w:hAnsi="宋体"/>
          <w:b/>
          <w:color w:val="auto"/>
          <w:sz w:val="28"/>
          <w:szCs w:val="28"/>
          <w:highlight w:val="none"/>
        </w:rPr>
        <w:t>合同编号：</w:t>
      </w:r>
      <w:bookmarkStart w:id="98" w:name="合同编号"/>
      <w:r>
        <w:rPr>
          <w:rFonts w:hint="eastAsia" w:ascii="宋体" w:hAnsi="宋体"/>
          <w:b/>
          <w:color w:val="auto"/>
          <w:sz w:val="28"/>
          <w:szCs w:val="28"/>
          <w:highlight w:val="none"/>
        </w:rPr>
        <w:t>XFGFSG202</w:t>
      </w:r>
      <w:permStart w:id="0" w:edGrp="everyone"/>
      <w:r>
        <w:rPr>
          <w:rFonts w:hint="eastAsia" w:ascii="宋体" w:hAnsi="宋体"/>
          <w:b/>
          <w:color w:val="auto"/>
          <w:sz w:val="28"/>
          <w:szCs w:val="28"/>
          <w:highlight w:val="none"/>
        </w:rPr>
        <w:t>X</w:t>
      </w:r>
      <w:permEnd w:id="0"/>
      <w:r>
        <w:rPr>
          <w:rFonts w:hint="eastAsia" w:ascii="宋体" w:hAnsi="宋体"/>
          <w:b/>
          <w:color w:val="auto"/>
          <w:sz w:val="28"/>
          <w:szCs w:val="28"/>
          <w:highlight w:val="none"/>
        </w:rPr>
        <w:t>0</w:t>
      </w:r>
      <w:permStart w:id="1" w:edGrp="everyone"/>
      <w:r>
        <w:rPr>
          <w:rFonts w:hint="eastAsia" w:ascii="宋体" w:hAnsi="宋体"/>
          <w:b/>
          <w:color w:val="auto"/>
          <w:sz w:val="28"/>
          <w:szCs w:val="28"/>
          <w:highlight w:val="none"/>
        </w:rPr>
        <w:t>XX</w:t>
      </w:r>
      <w:permEnd w:id="1"/>
      <w:bookmarkEnd w:id="98"/>
      <w:r>
        <w:rPr>
          <w:rFonts w:hint="eastAsia" w:ascii="宋体" w:hAnsi="宋体"/>
          <w:color w:val="auto"/>
          <w:sz w:val="28"/>
          <w:szCs w:val="28"/>
          <w:highlight w:val="none"/>
        </w:rPr>
        <w:t>】</w:t>
      </w:r>
    </w:p>
    <w:p w14:paraId="010F65FD">
      <w:pPr>
        <w:ind w:firstLine="1626" w:firstLineChars="540"/>
        <w:rPr>
          <w:rFonts w:hint="eastAsia" w:ascii="宋体" w:hAnsi="宋体"/>
          <w:b/>
          <w:color w:val="auto"/>
          <w:sz w:val="30"/>
          <w:highlight w:val="none"/>
        </w:rPr>
      </w:pPr>
    </w:p>
    <w:p w14:paraId="75A3CECB">
      <w:pPr>
        <w:ind w:firstLine="1626" w:firstLineChars="540"/>
        <w:rPr>
          <w:rFonts w:hint="eastAsia" w:ascii="宋体" w:hAnsi="宋体"/>
          <w:b/>
          <w:color w:val="auto"/>
          <w:sz w:val="30"/>
          <w:highlight w:val="none"/>
        </w:rPr>
      </w:pPr>
    </w:p>
    <w:p w14:paraId="027D51E9">
      <w:pPr>
        <w:ind w:firstLine="1626" w:firstLineChars="540"/>
        <w:rPr>
          <w:rFonts w:hint="eastAsia" w:ascii="宋体" w:hAnsi="宋体"/>
          <w:b/>
          <w:color w:val="auto"/>
          <w:sz w:val="30"/>
          <w:highlight w:val="none"/>
        </w:rPr>
      </w:pPr>
    </w:p>
    <w:p w14:paraId="5E81AEBA">
      <w:pPr>
        <w:jc w:val="center"/>
        <w:rPr>
          <w:rFonts w:hint="eastAsia" w:ascii="宋体" w:hAnsi="宋体" w:eastAsia="宋体"/>
          <w:b/>
          <w:color w:val="auto"/>
          <w:sz w:val="52"/>
          <w:szCs w:val="52"/>
          <w:highlight w:val="none"/>
          <w:lang w:eastAsia="zh-CN"/>
        </w:rPr>
      </w:pPr>
      <w:r>
        <w:rPr>
          <w:rFonts w:hint="eastAsia" w:ascii="宋体" w:hAnsi="宋体"/>
          <w:b/>
          <w:color w:val="auto"/>
          <w:sz w:val="52"/>
          <w:szCs w:val="52"/>
          <w:highlight w:val="none"/>
          <w:lang w:eastAsia="zh-CN"/>
        </w:rPr>
        <w:t>东莞市新锋新能源有限公司</w:t>
      </w:r>
    </w:p>
    <w:p w14:paraId="5DCA7EBE">
      <w:pPr>
        <w:jc w:val="center"/>
        <w:rPr>
          <w:rFonts w:hint="eastAsia" w:ascii="宋体" w:hAnsi="宋体"/>
          <w:b/>
          <w:color w:val="auto"/>
          <w:sz w:val="52"/>
          <w:szCs w:val="52"/>
          <w:highlight w:val="none"/>
        </w:rPr>
      </w:pPr>
      <w:permStart w:id="2" w:edGrp="everyone"/>
      <w:r>
        <w:rPr>
          <w:rFonts w:hint="eastAsia" w:ascii="宋体" w:hAnsi="宋体"/>
          <w:b/>
          <w:color w:val="auto"/>
          <w:sz w:val="52"/>
          <w:szCs w:val="52"/>
          <w:highlight w:val="none"/>
        </w:rPr>
        <w:t>XX</w:t>
      </w:r>
      <w:r>
        <w:rPr>
          <w:rFonts w:hint="eastAsia" w:ascii="宋体" w:hAnsi="宋体"/>
          <w:b/>
          <w:color w:val="auto"/>
          <w:sz w:val="52"/>
          <w:szCs w:val="52"/>
          <w:highlight w:val="none"/>
          <w:lang w:val="en-US" w:eastAsia="zh-CN"/>
        </w:rPr>
        <w:t>厂区</w:t>
      </w:r>
      <w:permEnd w:id="2"/>
      <w:r>
        <w:rPr>
          <w:rFonts w:hint="eastAsia" w:ascii="宋体" w:hAnsi="宋体"/>
          <w:b/>
          <w:color w:val="auto"/>
          <w:sz w:val="52"/>
          <w:szCs w:val="52"/>
          <w:highlight w:val="none"/>
        </w:rPr>
        <w:t>分布式光伏发电项目</w:t>
      </w:r>
    </w:p>
    <w:p w14:paraId="78953D03">
      <w:pPr>
        <w:jc w:val="center"/>
        <w:rPr>
          <w:rFonts w:hint="eastAsia" w:ascii="宋体" w:hAnsi="宋体"/>
          <w:b/>
          <w:color w:val="auto"/>
          <w:sz w:val="52"/>
          <w:szCs w:val="52"/>
          <w:highlight w:val="none"/>
        </w:rPr>
      </w:pPr>
      <w:r>
        <w:rPr>
          <w:rFonts w:hint="eastAsia" w:ascii="宋体" w:hAnsi="宋体"/>
          <w:b/>
          <w:color w:val="auto"/>
          <w:sz w:val="52"/>
          <w:szCs w:val="52"/>
          <w:highlight w:val="none"/>
        </w:rPr>
        <w:t>总承包合同</w:t>
      </w:r>
    </w:p>
    <w:p w14:paraId="2AF198C4">
      <w:pPr>
        <w:ind w:firstLine="1626" w:firstLineChars="540"/>
        <w:rPr>
          <w:rFonts w:hint="eastAsia" w:ascii="宋体" w:hAnsi="宋体"/>
          <w:b/>
          <w:color w:val="auto"/>
          <w:sz w:val="30"/>
          <w:highlight w:val="none"/>
        </w:rPr>
      </w:pPr>
    </w:p>
    <w:p w14:paraId="130D6980">
      <w:pPr>
        <w:ind w:firstLine="1626" w:firstLineChars="540"/>
        <w:rPr>
          <w:rFonts w:hint="eastAsia" w:ascii="宋体" w:hAnsi="宋体"/>
          <w:b/>
          <w:color w:val="auto"/>
          <w:sz w:val="30"/>
          <w:highlight w:val="none"/>
        </w:rPr>
      </w:pPr>
    </w:p>
    <w:p w14:paraId="7ACF6247">
      <w:pPr>
        <w:rPr>
          <w:rFonts w:hint="eastAsia" w:ascii="宋体" w:hAnsi="宋体"/>
          <w:b/>
          <w:color w:val="auto"/>
          <w:sz w:val="30"/>
          <w:highlight w:val="none"/>
        </w:rPr>
      </w:pPr>
    </w:p>
    <w:p w14:paraId="730EF14A">
      <w:pPr>
        <w:rPr>
          <w:rFonts w:hint="eastAsia" w:ascii="宋体" w:hAnsi="宋体"/>
          <w:b/>
          <w:color w:val="auto"/>
          <w:sz w:val="30"/>
          <w:highlight w:val="none"/>
        </w:rPr>
      </w:pPr>
    </w:p>
    <w:p w14:paraId="414A1CC9">
      <w:pPr>
        <w:pStyle w:val="2"/>
        <w:adjustRightInd w:val="0"/>
        <w:snapToGrid w:val="0"/>
        <w:spacing w:line="288" w:lineRule="auto"/>
        <w:ind w:firstLine="900" w:firstLineChars="280"/>
        <w:outlineLvl w:val="0"/>
        <w:rPr>
          <w:rFonts w:hint="eastAsia" w:ascii="宋体" w:hAnsi="宋体" w:eastAsia="宋体"/>
          <w:b/>
          <w:color w:val="auto"/>
          <w:sz w:val="32"/>
          <w:szCs w:val="32"/>
          <w:highlight w:val="none"/>
          <w:u w:val="single"/>
          <w:lang w:eastAsia="zh-CN"/>
        </w:rPr>
      </w:pPr>
      <w:r>
        <w:rPr>
          <w:rFonts w:hint="eastAsia" w:ascii="宋体" w:hAnsi="宋体"/>
          <w:b/>
          <w:color w:val="auto"/>
          <w:sz w:val="32"/>
          <w:szCs w:val="32"/>
          <w:highlight w:val="none"/>
        </w:rPr>
        <w:t xml:space="preserve">  </w:t>
      </w:r>
      <w:bookmarkStart w:id="99" w:name="_Toc26365"/>
      <w:bookmarkStart w:id="100" w:name="_Toc25696"/>
      <w:r>
        <w:rPr>
          <w:rFonts w:hint="eastAsia" w:ascii="宋体" w:hAnsi="宋体"/>
          <w:b/>
          <w:color w:val="auto"/>
          <w:sz w:val="32"/>
          <w:szCs w:val="32"/>
          <w:highlight w:val="none"/>
        </w:rPr>
        <w:t xml:space="preserve">发包人（甲方）： </w:t>
      </w:r>
      <w:r>
        <w:rPr>
          <w:rFonts w:hint="eastAsia" w:ascii="宋体" w:hAnsi="宋体"/>
          <w:b/>
          <w:color w:val="auto"/>
          <w:sz w:val="32"/>
          <w:szCs w:val="32"/>
          <w:highlight w:val="none"/>
          <w:u w:val="single"/>
          <w:lang w:eastAsia="zh-CN"/>
        </w:rPr>
        <w:t>东莞市新锋新能源有限公司</w:t>
      </w:r>
      <w:bookmarkEnd w:id="99"/>
      <w:bookmarkEnd w:id="100"/>
    </w:p>
    <w:p w14:paraId="4BE1728D">
      <w:pPr>
        <w:pStyle w:val="2"/>
        <w:adjustRightInd w:val="0"/>
        <w:snapToGrid w:val="0"/>
        <w:spacing w:line="288" w:lineRule="auto"/>
        <w:ind w:firstLine="900" w:firstLineChars="280"/>
        <w:outlineLvl w:val="0"/>
        <w:rPr>
          <w:rFonts w:hint="eastAsia" w:ascii="宋体" w:hAnsi="宋体"/>
          <w:b/>
          <w:color w:val="auto"/>
          <w:sz w:val="32"/>
          <w:szCs w:val="32"/>
          <w:highlight w:val="none"/>
          <w:u w:val="single"/>
        </w:rPr>
      </w:pPr>
    </w:p>
    <w:p w14:paraId="3E71AAA4">
      <w:pPr>
        <w:pStyle w:val="2"/>
        <w:adjustRightInd w:val="0"/>
        <w:snapToGrid w:val="0"/>
        <w:spacing w:line="288" w:lineRule="auto"/>
        <w:ind w:firstLine="900" w:firstLineChars="280"/>
        <w:outlineLvl w:val="0"/>
        <w:rPr>
          <w:rFonts w:hint="eastAsia" w:ascii="宋体" w:hAnsi="宋体" w:eastAsia="宋体" w:cs="宋体"/>
          <w:b/>
          <w:color w:val="auto"/>
          <w:sz w:val="32"/>
          <w:szCs w:val="32"/>
          <w:highlight w:val="none"/>
          <w:lang w:eastAsia="zh-CN"/>
        </w:rPr>
      </w:pPr>
      <w:r>
        <w:rPr>
          <w:rFonts w:hint="eastAsia" w:ascii="宋体" w:hAnsi="宋体"/>
          <w:b/>
          <w:color w:val="auto"/>
          <w:sz w:val="32"/>
          <w:szCs w:val="32"/>
          <w:highlight w:val="none"/>
        </w:rPr>
        <w:t xml:space="preserve">  </w:t>
      </w:r>
      <w:bookmarkStart w:id="101" w:name="_Toc10208"/>
      <w:bookmarkStart w:id="102" w:name="_Toc30619"/>
      <w:r>
        <w:rPr>
          <w:rFonts w:hint="eastAsia" w:ascii="宋体" w:hAnsi="宋体"/>
          <w:b/>
          <w:color w:val="auto"/>
          <w:sz w:val="32"/>
          <w:szCs w:val="32"/>
          <w:highlight w:val="none"/>
        </w:rPr>
        <w:t xml:space="preserve">承包人（乙方）： </w:t>
      </w:r>
      <w:r>
        <w:rPr>
          <w:rFonts w:hint="eastAsia" w:ascii="宋体" w:hAnsi="宋体"/>
          <w:b/>
          <w:color w:val="auto"/>
          <w:sz w:val="32"/>
          <w:szCs w:val="32"/>
          <w:highlight w:val="none"/>
          <w:u w:val="single"/>
        </w:rPr>
        <w:t>(</w:t>
      </w:r>
      <w:r>
        <w:rPr>
          <w:rFonts w:hint="eastAsia" w:ascii="宋体" w:hAnsi="宋体" w:eastAsia="宋体" w:cs="宋体"/>
          <w:b/>
          <w:color w:val="auto"/>
          <w:sz w:val="32"/>
          <w:szCs w:val="32"/>
          <w:highlight w:val="none"/>
          <w:u w:val="single"/>
        </w:rPr>
        <w:t>主)</w:t>
      </w:r>
      <w:permStart w:id="3" w:edGrp="everyone"/>
      <w:r>
        <w:rPr>
          <w:rFonts w:hint="eastAsia" w:ascii="宋体" w:hAnsi="宋体" w:eastAsia="宋体" w:cs="宋体"/>
          <w:b/>
          <w:color w:val="auto"/>
          <w:sz w:val="32"/>
          <w:szCs w:val="32"/>
          <w:highlight w:val="none"/>
          <w:u w:val="single"/>
          <w:lang w:eastAsia="zh-CN"/>
        </w:rPr>
        <w:t>（</w:t>
      </w:r>
      <w:r>
        <w:rPr>
          <w:rFonts w:hint="eastAsia" w:ascii="宋体" w:hAnsi="宋体" w:eastAsia="宋体" w:cs="宋体"/>
          <w:b/>
          <w:color w:val="auto"/>
          <w:sz w:val="32"/>
          <w:szCs w:val="32"/>
          <w:highlight w:val="none"/>
          <w:u w:val="single"/>
          <w:lang w:val="en-US" w:eastAsia="zh-CN"/>
        </w:rPr>
        <w:t>盖章</w:t>
      </w:r>
      <w:r>
        <w:rPr>
          <w:rFonts w:hint="eastAsia" w:ascii="宋体" w:hAnsi="宋体" w:eastAsia="宋体" w:cs="宋体"/>
          <w:b/>
          <w:color w:val="auto"/>
          <w:sz w:val="32"/>
          <w:szCs w:val="32"/>
          <w:highlight w:val="none"/>
          <w:u w:val="single"/>
          <w:lang w:eastAsia="zh-CN"/>
        </w:rPr>
        <w:t>）</w:t>
      </w:r>
      <w:r>
        <w:rPr>
          <w:rFonts w:hint="eastAsia" w:ascii="宋体" w:hAnsi="宋体" w:eastAsia="宋体" w:cs="宋体"/>
          <w:b/>
          <w:color w:val="auto"/>
          <w:sz w:val="32"/>
          <w:szCs w:val="32"/>
          <w:highlight w:val="none"/>
          <w:u w:val="single"/>
        </w:rPr>
        <w:fldChar w:fldCharType="begin"/>
      </w:r>
      <w:r>
        <w:rPr>
          <w:rFonts w:hint="eastAsia" w:ascii="宋体" w:hAnsi="宋体" w:eastAsia="宋体" w:cs="宋体"/>
          <w:b/>
          <w:color w:val="auto"/>
          <w:sz w:val="32"/>
          <w:szCs w:val="32"/>
          <w:highlight w:val="none"/>
          <w:u w:val="single"/>
        </w:rPr>
        <w:instrText xml:space="preserve"> REF 乙方（主） \h </w:instrText>
      </w:r>
      <w:r>
        <w:rPr>
          <w:rFonts w:hint="eastAsia" w:ascii="宋体" w:hAnsi="宋体" w:eastAsia="宋体" w:cs="宋体"/>
          <w:b/>
          <w:color w:val="auto"/>
          <w:sz w:val="32"/>
          <w:szCs w:val="32"/>
          <w:highlight w:val="none"/>
          <w:u w:val="single"/>
        </w:rPr>
        <w:fldChar w:fldCharType="separate"/>
      </w:r>
      <w:r>
        <w:rPr>
          <w:rFonts w:hint="eastAsia" w:ascii="宋体" w:hAnsi="宋体" w:eastAsia="宋体" w:cs="宋体"/>
          <w:b/>
          <w:color w:val="auto"/>
          <w:sz w:val="32"/>
          <w:szCs w:val="32"/>
          <w:highlight w:val="none"/>
          <w:u w:val="single"/>
        </w:rPr>
        <w:t>XX有限公司</w:t>
      </w:r>
      <w:r>
        <w:rPr>
          <w:rFonts w:hint="eastAsia" w:ascii="宋体" w:hAnsi="宋体" w:eastAsia="宋体" w:cs="宋体"/>
          <w:b/>
          <w:color w:val="auto"/>
          <w:sz w:val="32"/>
          <w:szCs w:val="32"/>
          <w:highlight w:val="none"/>
          <w:u w:val="single"/>
        </w:rPr>
        <w:fldChar w:fldCharType="end"/>
      </w:r>
      <w:bookmarkEnd w:id="101"/>
      <w:bookmarkEnd w:id="102"/>
      <w:permEnd w:id="3"/>
    </w:p>
    <w:p w14:paraId="578FF63A">
      <w:pPr>
        <w:pStyle w:val="2"/>
        <w:adjustRightInd w:val="0"/>
        <w:snapToGrid w:val="0"/>
        <w:spacing w:line="288" w:lineRule="auto"/>
        <w:ind w:firstLine="900" w:firstLineChars="280"/>
        <w:outlineLvl w:val="0"/>
        <w:rPr>
          <w:rFonts w:hint="eastAsia" w:ascii="宋体" w:hAnsi="宋体"/>
          <w:b/>
          <w:color w:val="auto"/>
          <w:sz w:val="32"/>
          <w:szCs w:val="32"/>
          <w:highlight w:val="none"/>
        </w:rPr>
      </w:pPr>
      <w:r>
        <w:rPr>
          <w:rFonts w:hint="eastAsia" w:ascii="宋体" w:hAnsi="宋体" w:eastAsia="宋体" w:cs="宋体"/>
          <w:b/>
          <w:color w:val="auto"/>
          <w:sz w:val="32"/>
          <w:szCs w:val="32"/>
          <w:highlight w:val="none"/>
        </w:rPr>
        <w:t xml:space="preserve">               </w:t>
      </w:r>
      <w:r>
        <w:rPr>
          <w:rFonts w:hint="eastAsia" w:ascii="宋体" w:hAnsi="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 xml:space="preserve">  </w:t>
      </w:r>
      <w:r>
        <w:rPr>
          <w:rFonts w:hint="eastAsia" w:ascii="宋体" w:hAnsi="宋体" w:eastAsia="宋体" w:cs="宋体"/>
          <w:b/>
          <w:color w:val="auto"/>
          <w:sz w:val="32"/>
          <w:szCs w:val="32"/>
          <w:highlight w:val="none"/>
          <w:lang w:val="en-US" w:eastAsia="zh-CN"/>
        </w:rPr>
        <w:t xml:space="preserve"> </w:t>
      </w:r>
      <w:bookmarkStart w:id="103" w:name="_Toc14544"/>
      <w:bookmarkStart w:id="104" w:name="_Toc18252"/>
      <w:r>
        <w:rPr>
          <w:rFonts w:hint="eastAsia" w:ascii="宋体" w:hAnsi="宋体" w:eastAsia="宋体" w:cs="宋体"/>
          <w:b/>
          <w:color w:val="auto"/>
          <w:sz w:val="32"/>
          <w:szCs w:val="32"/>
          <w:highlight w:val="none"/>
          <w:u w:val="single"/>
        </w:rPr>
        <w:t>(成)</w:t>
      </w:r>
      <w:permStart w:id="4" w:edGrp="everyone"/>
      <w:r>
        <w:rPr>
          <w:rFonts w:hint="eastAsia" w:ascii="宋体" w:hAnsi="宋体" w:eastAsia="宋体" w:cs="宋体"/>
          <w:b/>
          <w:color w:val="auto"/>
          <w:sz w:val="32"/>
          <w:szCs w:val="32"/>
          <w:highlight w:val="none"/>
          <w:u w:val="single"/>
        </w:rPr>
        <w:t>（盖章）</w:t>
      </w:r>
      <w:r>
        <w:rPr>
          <w:rFonts w:hint="eastAsia" w:ascii="宋体" w:hAnsi="宋体" w:eastAsia="宋体" w:cs="宋体"/>
          <w:b/>
          <w:color w:val="auto"/>
          <w:sz w:val="32"/>
          <w:szCs w:val="32"/>
          <w:highlight w:val="none"/>
          <w:u w:val="single"/>
        </w:rPr>
        <w:fldChar w:fldCharType="begin"/>
      </w:r>
      <w:r>
        <w:rPr>
          <w:rFonts w:hint="eastAsia" w:ascii="宋体" w:hAnsi="宋体" w:eastAsia="宋体" w:cs="宋体"/>
          <w:b/>
          <w:color w:val="auto"/>
          <w:sz w:val="32"/>
          <w:szCs w:val="32"/>
          <w:highlight w:val="none"/>
          <w:u w:val="single"/>
        </w:rPr>
        <w:instrText xml:space="preserve"> REF 乙方（成） \h </w:instrText>
      </w:r>
      <w:r>
        <w:rPr>
          <w:rFonts w:hint="eastAsia" w:ascii="宋体" w:hAnsi="宋体" w:eastAsia="宋体" w:cs="宋体"/>
          <w:b/>
          <w:color w:val="auto"/>
          <w:sz w:val="32"/>
          <w:szCs w:val="32"/>
          <w:highlight w:val="none"/>
          <w:u w:val="single"/>
        </w:rPr>
        <w:fldChar w:fldCharType="separate"/>
      </w:r>
      <w:r>
        <w:rPr>
          <w:rFonts w:hint="eastAsia" w:ascii="宋体" w:hAnsi="宋体" w:eastAsia="宋体" w:cs="宋体"/>
          <w:b/>
          <w:color w:val="auto"/>
          <w:sz w:val="32"/>
          <w:szCs w:val="32"/>
          <w:highlight w:val="none"/>
          <w:u w:val="single"/>
        </w:rPr>
        <w:t>XX有限公司</w:t>
      </w:r>
      <w:r>
        <w:rPr>
          <w:rFonts w:hint="eastAsia" w:ascii="宋体" w:hAnsi="宋体" w:eastAsia="宋体" w:cs="宋体"/>
          <w:b/>
          <w:color w:val="auto"/>
          <w:sz w:val="32"/>
          <w:szCs w:val="32"/>
          <w:highlight w:val="none"/>
          <w:u w:val="single"/>
        </w:rPr>
        <w:fldChar w:fldCharType="end"/>
      </w:r>
      <w:permEnd w:id="4"/>
      <w:bookmarkEnd w:id="103"/>
      <w:bookmarkEnd w:id="104"/>
    </w:p>
    <w:p w14:paraId="5EEBCF4C">
      <w:pPr>
        <w:pStyle w:val="39"/>
        <w:spacing w:before="156"/>
        <w:ind w:firstLine="0" w:firstLineChars="0"/>
        <w:rPr>
          <w:color w:val="auto"/>
          <w:highlight w:val="none"/>
        </w:rPr>
      </w:pPr>
    </w:p>
    <w:p w14:paraId="21D3F4D1">
      <w:pPr>
        <w:adjustRightInd w:val="0"/>
        <w:snapToGrid w:val="0"/>
        <w:spacing w:line="288" w:lineRule="auto"/>
        <w:jc w:val="center"/>
        <w:rPr>
          <w:rFonts w:hint="eastAsia" w:ascii="宋体" w:hAnsi="宋体"/>
          <w:b/>
          <w:color w:val="auto"/>
          <w:sz w:val="32"/>
          <w:szCs w:val="32"/>
          <w:highlight w:val="none"/>
        </w:rPr>
      </w:pPr>
      <w:r>
        <w:rPr>
          <w:rFonts w:hint="eastAsia" w:ascii="宋体" w:hAnsi="宋体"/>
          <w:b/>
          <w:color w:val="auto"/>
          <w:sz w:val="32"/>
          <w:szCs w:val="32"/>
          <w:highlight w:val="none"/>
        </w:rPr>
        <w:t>广东省 东莞市</w:t>
      </w:r>
    </w:p>
    <w:p w14:paraId="72B38819">
      <w:pPr>
        <w:adjustRightInd w:val="0"/>
        <w:snapToGrid w:val="0"/>
        <w:spacing w:line="288" w:lineRule="auto"/>
        <w:jc w:val="center"/>
        <w:rPr>
          <w:rFonts w:hint="eastAsia" w:ascii="宋体" w:hAnsi="宋体"/>
          <w:b/>
          <w:color w:val="auto"/>
          <w:sz w:val="32"/>
          <w:szCs w:val="32"/>
          <w:highlight w:val="none"/>
        </w:rPr>
      </w:pPr>
    </w:p>
    <w:p w14:paraId="78676501">
      <w:pPr>
        <w:adjustRightInd w:val="0"/>
        <w:snapToGrid w:val="0"/>
        <w:spacing w:line="288" w:lineRule="auto"/>
        <w:jc w:val="center"/>
        <w:rPr>
          <w:rFonts w:hint="eastAsia" w:ascii="宋体" w:hAnsi="宋体"/>
          <w:b/>
          <w:color w:val="auto"/>
          <w:sz w:val="32"/>
          <w:szCs w:val="32"/>
          <w:highlight w:val="none"/>
        </w:rPr>
      </w:pP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年</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月</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日</w:t>
      </w:r>
    </w:p>
    <w:p w14:paraId="53BBA4B7">
      <w:pPr>
        <w:rPr>
          <w:color w:val="auto"/>
          <w:highlight w:val="none"/>
        </w:rPr>
      </w:pPr>
    </w:p>
    <w:p w14:paraId="3C2BEFC4">
      <w:pPr>
        <w:spacing w:line="360" w:lineRule="auto"/>
        <w:jc w:val="center"/>
        <w:rPr>
          <w:rFonts w:hint="eastAsia" w:ascii="宋体" w:hAnsi="宋体"/>
          <w:b/>
          <w:color w:val="auto"/>
          <w:sz w:val="32"/>
          <w:szCs w:val="32"/>
          <w:highlight w:val="none"/>
        </w:rPr>
        <w:sectPr>
          <w:headerReference r:id="rId7" w:type="first"/>
          <w:headerReference r:id="rId6" w:type="default"/>
          <w:footerReference r:id="rId8" w:type="default"/>
          <w:footerReference r:id="rId9" w:type="even"/>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7C98E21E">
      <w:pPr>
        <w:spacing w:line="360" w:lineRule="auto"/>
        <w:jc w:val="center"/>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东莞市新锋新能源有限公司</w:t>
      </w:r>
    </w:p>
    <w:p w14:paraId="5D302ABC">
      <w:pPr>
        <w:spacing w:line="360" w:lineRule="auto"/>
        <w:jc w:val="center"/>
        <w:rPr>
          <w:rFonts w:hint="eastAsia" w:ascii="宋体" w:hAnsi="宋体"/>
          <w:b/>
          <w:color w:val="auto"/>
          <w:sz w:val="32"/>
          <w:szCs w:val="32"/>
          <w:highlight w:val="none"/>
        </w:rPr>
      </w:pPr>
      <w:permStart w:id="5" w:edGrp="everyone"/>
      <w:r>
        <w:rPr>
          <w:rFonts w:hint="eastAsia" w:ascii="宋体" w:hAnsi="宋体"/>
          <w:b/>
          <w:color w:val="auto"/>
          <w:sz w:val="32"/>
          <w:szCs w:val="32"/>
          <w:highlight w:val="none"/>
          <w:lang w:val="en-US" w:eastAsia="zh-CN"/>
        </w:rPr>
        <w:t>XX</w:t>
      </w:r>
      <w:r>
        <w:rPr>
          <w:rFonts w:hint="eastAsia" w:ascii="宋体" w:hAnsi="宋体"/>
          <w:b/>
          <w:color w:val="auto"/>
          <w:sz w:val="32"/>
          <w:szCs w:val="32"/>
          <w:highlight w:val="none"/>
        </w:rPr>
        <w:t>厂区</w:t>
      </w:r>
      <w:permEnd w:id="5"/>
      <w:r>
        <w:rPr>
          <w:rFonts w:hint="eastAsia" w:ascii="宋体" w:hAnsi="宋体"/>
          <w:b/>
          <w:color w:val="auto"/>
          <w:sz w:val="32"/>
          <w:szCs w:val="32"/>
          <w:highlight w:val="none"/>
        </w:rPr>
        <w:t>分布式光伏发电项目总承包合同</w:t>
      </w:r>
    </w:p>
    <w:p w14:paraId="162A19BB">
      <w:pPr>
        <w:spacing w:line="360" w:lineRule="auto"/>
        <w:rPr>
          <w:rFonts w:hint="default" w:ascii="仿宋_GB2312" w:eastAsia="仿宋_GB2312"/>
          <w:color w:val="auto"/>
          <w:sz w:val="24"/>
          <w:highlight w:val="none"/>
        </w:rPr>
      </w:pPr>
    </w:p>
    <w:p w14:paraId="233FD079">
      <w:pPr>
        <w:spacing w:line="360" w:lineRule="auto"/>
        <w:rPr>
          <w:rFonts w:hint="eastAsia" w:ascii="仿宋_GB2312" w:eastAsia="仿宋_GB2312"/>
          <w:color w:val="auto"/>
          <w:sz w:val="24"/>
          <w:highlight w:val="none"/>
          <w:u w:val="none"/>
          <w:lang w:eastAsia="zh-CN"/>
        </w:rPr>
      </w:pPr>
      <w:r>
        <w:rPr>
          <w:rFonts w:hint="eastAsia" w:ascii="仿宋_GB2312" w:eastAsia="仿宋_GB2312"/>
          <w:b/>
          <w:color w:val="auto"/>
          <w:sz w:val="24"/>
          <w:highlight w:val="none"/>
        </w:rPr>
        <w:t>发包单位</w:t>
      </w:r>
      <w:r>
        <w:rPr>
          <w:rFonts w:hint="eastAsia" w:ascii="仿宋_GB2312" w:eastAsia="仿宋_GB2312"/>
          <w:color w:val="auto"/>
          <w:sz w:val="24"/>
          <w:highlight w:val="none"/>
        </w:rPr>
        <w:t>（以下简称甲方）</w:t>
      </w:r>
      <w:r>
        <w:rPr>
          <w:rFonts w:hint="eastAsia" w:ascii="仿宋_GB2312" w:eastAsia="仿宋_GB2312"/>
          <w:color w:val="auto"/>
          <w:sz w:val="24"/>
          <w:highlight w:val="none"/>
          <w:u w:val="none"/>
        </w:rPr>
        <w:t>：</w:t>
      </w:r>
      <w:r>
        <w:rPr>
          <w:rFonts w:hint="eastAsia" w:ascii="仿宋_GB2312" w:eastAsia="仿宋_GB2312"/>
          <w:color w:val="auto"/>
          <w:sz w:val="24"/>
          <w:highlight w:val="none"/>
          <w:u w:val="none"/>
          <w:lang w:eastAsia="zh-CN"/>
        </w:rPr>
        <w:t>东莞市新锋新能源有限公司</w:t>
      </w:r>
    </w:p>
    <w:p w14:paraId="45DBB215">
      <w:pPr>
        <w:spacing w:line="360" w:lineRule="auto"/>
        <w:rPr>
          <w:rFonts w:hint="default" w:ascii="仿宋_GB2312" w:eastAsia="仿宋_GB2312"/>
          <w:color w:val="auto"/>
          <w:sz w:val="24"/>
          <w:highlight w:val="none"/>
          <w:u w:val="none"/>
        </w:rPr>
      </w:pPr>
      <w:r>
        <w:rPr>
          <w:rFonts w:hint="eastAsia" w:ascii="仿宋_GB2312" w:eastAsia="仿宋_GB2312"/>
          <w:b/>
          <w:color w:val="auto"/>
          <w:sz w:val="24"/>
          <w:highlight w:val="none"/>
          <w:u w:val="none"/>
        </w:rPr>
        <w:t>承包单位</w:t>
      </w:r>
      <w:r>
        <w:rPr>
          <w:rFonts w:hint="eastAsia" w:ascii="仿宋_GB2312" w:eastAsia="仿宋_GB2312"/>
          <w:color w:val="auto"/>
          <w:sz w:val="24"/>
          <w:highlight w:val="none"/>
          <w:u w:val="none"/>
        </w:rPr>
        <w:t>（以下简称乙方）：(主)</w:t>
      </w:r>
      <w:bookmarkStart w:id="105" w:name="乙方（主）"/>
      <w:permStart w:id="6" w:edGrp="everyone"/>
      <w:r>
        <w:rPr>
          <w:rFonts w:hint="eastAsia" w:ascii="仿宋_GB2312" w:eastAsia="仿宋_GB2312"/>
          <w:color w:val="auto"/>
          <w:sz w:val="24"/>
          <w:highlight w:val="none"/>
          <w:u w:val="none"/>
        </w:rPr>
        <w:t>XX</w:t>
      </w:r>
      <w:permEnd w:id="6"/>
      <w:r>
        <w:rPr>
          <w:rFonts w:hint="eastAsia" w:ascii="仿宋_GB2312" w:eastAsia="仿宋_GB2312"/>
          <w:color w:val="auto"/>
          <w:sz w:val="24"/>
          <w:highlight w:val="none"/>
          <w:u w:val="none"/>
        </w:rPr>
        <w:t>有限公司</w:t>
      </w:r>
      <w:bookmarkEnd w:id="105"/>
      <w:r>
        <w:rPr>
          <w:rFonts w:hint="eastAsia" w:ascii="仿宋_GB2312" w:eastAsia="仿宋_GB2312"/>
          <w:color w:val="auto"/>
          <w:sz w:val="24"/>
          <w:highlight w:val="none"/>
          <w:u w:val="none"/>
        </w:rPr>
        <w:t>、(成)</w:t>
      </w:r>
      <w:bookmarkStart w:id="106" w:name="乙方（成）"/>
      <w:permStart w:id="7" w:edGrp="everyone"/>
      <w:r>
        <w:rPr>
          <w:rFonts w:hint="eastAsia" w:ascii="仿宋_GB2312" w:eastAsia="仿宋_GB2312"/>
          <w:color w:val="auto"/>
          <w:sz w:val="24"/>
          <w:highlight w:val="none"/>
          <w:u w:val="none"/>
        </w:rPr>
        <w:t>XX</w:t>
      </w:r>
      <w:permEnd w:id="7"/>
      <w:r>
        <w:rPr>
          <w:rFonts w:hint="eastAsia" w:ascii="仿宋_GB2312" w:eastAsia="仿宋_GB2312"/>
          <w:color w:val="auto"/>
          <w:sz w:val="24"/>
          <w:highlight w:val="none"/>
          <w:u w:val="none"/>
        </w:rPr>
        <w:t>有限公司</w:t>
      </w:r>
      <w:bookmarkEnd w:id="106"/>
    </w:p>
    <w:p w14:paraId="0F7C8D2A">
      <w:pPr>
        <w:spacing w:line="360" w:lineRule="auto"/>
        <w:rPr>
          <w:rFonts w:hint="default" w:ascii="仿宋_GB2312" w:eastAsia="仿宋_GB2312"/>
          <w:color w:val="auto"/>
          <w:sz w:val="24"/>
          <w:highlight w:val="none"/>
        </w:rPr>
      </w:pPr>
    </w:p>
    <w:p w14:paraId="12666FF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经甲乙双方协商一致，确定由乙方作为</w:t>
      </w:r>
      <w:permStart w:id="8" w:edGrp="everyone"/>
      <w:bookmarkStart w:id="107" w:name="项目名称"/>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w:t>
      </w:r>
      <w:permEnd w:id="8"/>
      <w:r>
        <w:rPr>
          <w:rFonts w:hint="eastAsia" w:ascii="仿宋_GB2312" w:eastAsia="仿宋_GB2312"/>
          <w:color w:val="auto"/>
          <w:sz w:val="24"/>
          <w:highlight w:val="none"/>
        </w:rPr>
        <w:t>分布式光伏发电项目</w:t>
      </w:r>
      <w:bookmarkEnd w:id="107"/>
      <w:r>
        <w:rPr>
          <w:rFonts w:hint="eastAsia" w:ascii="仿宋_GB2312" w:eastAsia="仿宋_GB2312"/>
          <w:color w:val="auto"/>
          <w:sz w:val="24"/>
          <w:highlight w:val="none"/>
        </w:rPr>
        <w:t>相关设备及配套设施设计、采购及安装等服务的承包单位,为明确双方的权利、义务，保质、保量、按期完成工程任务，双方根据《中华人民共和国民法典》、《中华人民共和国建筑法》等法律法规，签订本合同，供双方共同遵守执行。</w:t>
      </w:r>
    </w:p>
    <w:p w14:paraId="0D06C05A">
      <w:pPr>
        <w:spacing w:line="360" w:lineRule="auto"/>
        <w:rPr>
          <w:rFonts w:hint="default" w:ascii="仿宋_GB2312" w:eastAsia="仿宋_GB2312"/>
          <w:b/>
          <w:color w:val="auto"/>
          <w:sz w:val="24"/>
          <w:highlight w:val="none"/>
        </w:rPr>
      </w:pPr>
    </w:p>
    <w:p w14:paraId="6A05B33D">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一、工程概况</w:t>
      </w:r>
    </w:p>
    <w:p w14:paraId="0996819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1．工程名称：</w:t>
      </w:r>
      <w:permStart w:id="9" w:edGrp="everyone"/>
      <w:r>
        <w:rPr>
          <w:rFonts w:hint="eastAsia" w:ascii="仿宋_GB2312" w:eastAsia="仿宋_GB2312"/>
          <w:color w:val="auto"/>
          <w:sz w:val="24"/>
          <w:highlight w:val="none"/>
          <w:lang w:eastAsia="zh-CN"/>
        </w:rPr>
        <w:fldChar w:fldCharType="begin"/>
      </w:r>
      <w:r>
        <w:rPr>
          <w:rFonts w:hint="eastAsia" w:ascii="仿宋_GB2312" w:eastAsia="仿宋_GB2312"/>
          <w:color w:val="auto"/>
          <w:sz w:val="24"/>
          <w:highlight w:val="none"/>
          <w:lang w:eastAsia="zh-CN"/>
        </w:rPr>
        <w:instrText xml:space="preserve"> REF 项目名称 \h </w:instrText>
      </w:r>
      <w:r>
        <w:rPr>
          <w:rFonts w:hint="eastAsia" w:ascii="仿宋_GB2312" w:eastAsia="仿宋_GB2312"/>
          <w:color w:val="auto"/>
          <w:sz w:val="24"/>
          <w:highlight w:val="none"/>
          <w:lang w:eastAsia="zh-CN"/>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lang w:eastAsia="zh-CN"/>
        </w:rPr>
        <w:fldChar w:fldCharType="end"/>
      </w:r>
      <w:permEnd w:id="9"/>
    </w:p>
    <w:p w14:paraId="36922E5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2．工程地点：广东省东莞市</w:t>
      </w:r>
      <w:permStart w:id="10" w:edGrp="everyone"/>
      <w:r>
        <w:rPr>
          <w:rFonts w:hint="eastAsia" w:ascii="仿宋_GB2312" w:eastAsia="仿宋_GB2312"/>
          <w:color w:val="auto"/>
          <w:sz w:val="24"/>
          <w:highlight w:val="none"/>
        </w:rPr>
        <w:t>XX</w:t>
      </w:r>
      <w:permEnd w:id="10"/>
      <w:r>
        <w:rPr>
          <w:rFonts w:hint="eastAsia" w:ascii="仿宋_GB2312" w:eastAsia="仿宋_GB2312"/>
          <w:color w:val="auto"/>
          <w:sz w:val="24"/>
          <w:highlight w:val="none"/>
        </w:rPr>
        <w:t>镇/街道</w:t>
      </w:r>
      <w:permStart w:id="11" w:edGrp="everyone"/>
      <w:r>
        <w:rPr>
          <w:rFonts w:hint="eastAsia" w:ascii="仿宋_GB2312" w:eastAsia="仿宋_GB2312"/>
          <w:color w:val="auto"/>
          <w:sz w:val="24"/>
          <w:highlight w:val="none"/>
        </w:rPr>
        <w:t>XXX</w:t>
      </w:r>
      <w:permEnd w:id="11"/>
    </w:p>
    <w:p w14:paraId="7EF68A23">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rPr>
        <w:t>3．工程规模：</w:t>
      </w:r>
      <w:permStart w:id="12" w:edGrp="everyone"/>
      <w:r>
        <w:rPr>
          <w:rFonts w:hint="eastAsia" w:ascii="仿宋_GB2312" w:eastAsia="仿宋_GB2312"/>
          <w:color w:val="auto"/>
          <w:sz w:val="24"/>
          <w:highlight w:val="none"/>
        </w:rPr>
        <w:t>XX</w:t>
      </w:r>
      <w:permEnd w:id="12"/>
      <w:r>
        <w:rPr>
          <w:rFonts w:hint="eastAsia" w:ascii="仿宋_GB2312" w:eastAsia="仿宋_GB2312"/>
          <w:color w:val="auto"/>
          <w:sz w:val="24"/>
          <w:highlight w:val="none"/>
        </w:rPr>
        <w:t>kWp（其中平铺式XXXkWp，阵列式XXXkWp，棚架式XXXkWp）</w:t>
      </w:r>
    </w:p>
    <w:p w14:paraId="5D7FCB72">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 xml:space="preserve"> 安装方式：</w:t>
      </w:r>
      <w:permStart w:id="13" w:edGrp="everyone"/>
      <w:r>
        <w:rPr>
          <w:rFonts w:hint="eastAsia" w:ascii="仿宋_GB2312" w:eastAsia="仿宋_GB2312"/>
          <w:color w:val="auto"/>
          <w:sz w:val="24"/>
          <w:highlight w:val="none"/>
        </w:rPr>
        <w:t>平铺式、</w:t>
      </w:r>
      <w:r>
        <w:rPr>
          <w:rFonts w:hint="eastAsia" w:ascii="仿宋_GB2312" w:eastAsia="仿宋_GB2312"/>
          <w:color w:val="auto"/>
          <w:sz w:val="24"/>
          <w:highlight w:val="none"/>
          <w:lang w:val="en-US" w:eastAsia="zh-CN"/>
        </w:rPr>
        <w:t>阵列式、</w:t>
      </w:r>
      <w:r>
        <w:rPr>
          <w:rFonts w:hint="eastAsia" w:ascii="仿宋_GB2312" w:eastAsia="仿宋_GB2312"/>
          <w:color w:val="auto"/>
          <w:sz w:val="24"/>
          <w:highlight w:val="none"/>
        </w:rPr>
        <w:t>棚架式，自发自用，余电上网</w:t>
      </w:r>
    </w:p>
    <w:p w14:paraId="7D8C9186">
      <w:pPr>
        <w:pStyle w:val="2"/>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hAnsi="Times New Roman"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5</w:t>
      </w:r>
      <w:r>
        <w:rPr>
          <w:rFonts w:hint="eastAsia" w:ascii="仿宋_GB2312" w:hAnsi="Times New Roman" w:eastAsia="仿宋_GB2312" w:cs="Times New Roman"/>
          <w:color w:val="auto"/>
          <w:kern w:val="2"/>
          <w:sz w:val="24"/>
          <w:szCs w:val="24"/>
          <w:highlight w:val="none"/>
          <w:lang w:val="en-US" w:eastAsia="zh-CN" w:bidi="ar-SA"/>
        </w:rPr>
        <w:t>. 其他增加项：</w:t>
      </w:r>
      <w:permEnd w:id="13"/>
    </w:p>
    <w:p w14:paraId="4D442A81">
      <w:pPr>
        <w:spacing w:line="360" w:lineRule="auto"/>
        <w:rPr>
          <w:rFonts w:hint="default" w:ascii="仿宋_GB2312" w:eastAsia="仿宋_GB2312"/>
          <w:b/>
          <w:color w:val="auto"/>
          <w:sz w:val="24"/>
          <w:highlight w:val="none"/>
        </w:rPr>
      </w:pPr>
    </w:p>
    <w:p w14:paraId="3F446AB5">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二、承包范围与承包方式</w:t>
      </w:r>
    </w:p>
    <w:p w14:paraId="17494E4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1．承包范围：</w:t>
      </w:r>
      <w:permStart w:id="14" w:edGrp="everyone"/>
      <w:r>
        <w:rPr>
          <w:rFonts w:hint="eastAsia" w:ascii="仿宋_GB2312" w:eastAsia="仿宋_GB2312"/>
          <w:color w:val="auto"/>
          <w:sz w:val="24"/>
          <w:highlight w:val="none"/>
          <w:lang w:eastAsia="zh-CN"/>
        </w:rPr>
        <w:fldChar w:fldCharType="begin"/>
      </w:r>
      <w:r>
        <w:rPr>
          <w:rFonts w:hint="eastAsia" w:ascii="仿宋_GB2312" w:eastAsia="仿宋_GB2312"/>
          <w:color w:val="auto"/>
          <w:sz w:val="24"/>
          <w:highlight w:val="none"/>
          <w:lang w:eastAsia="zh-CN"/>
        </w:rPr>
        <w:instrText xml:space="preserve"> REF 项目名称 \h </w:instrText>
      </w:r>
      <w:r>
        <w:rPr>
          <w:rFonts w:hint="eastAsia" w:ascii="仿宋_GB2312" w:eastAsia="仿宋_GB2312"/>
          <w:color w:val="auto"/>
          <w:sz w:val="24"/>
          <w:highlight w:val="none"/>
          <w:lang w:eastAsia="zh-CN"/>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lang w:eastAsia="zh-CN"/>
        </w:rPr>
        <w:fldChar w:fldCharType="end"/>
      </w:r>
      <w:permEnd w:id="14"/>
      <w:r>
        <w:rPr>
          <w:rFonts w:hint="eastAsia" w:ascii="仿宋_GB2312" w:eastAsia="仿宋_GB2312"/>
          <w:color w:val="auto"/>
          <w:sz w:val="24"/>
          <w:highlight w:val="none"/>
        </w:rPr>
        <w:t>前期勘察、施工图纸设计、发改备案、两违办报建、供电报装、采购施工、并网投运及相应视频监控系统、水清洗系统、安全设施、运维设施安装及其他为实现合同目的所涉及的承包范围。</w:t>
      </w:r>
      <w:r>
        <w:rPr>
          <w:rFonts w:hint="eastAsia" w:ascii="仿宋_GB2312" w:eastAsia="仿宋_GB2312"/>
          <w:color w:val="auto"/>
          <w:sz w:val="24"/>
          <w:szCs w:val="24"/>
          <w:highlight w:val="none"/>
        </w:rPr>
        <w:t>包括但不限于当地电力公司送电前的验收、安全生产标准化达标、工程档案验收、质监、并网安评、计量系统、并网协议、调度协议、低电压穿越现场验收由乙方牵头，</w:t>
      </w:r>
      <w:r>
        <w:rPr>
          <w:rFonts w:hint="eastAsia" w:ascii="仿宋_GB2312" w:eastAsia="仿宋_GB2312"/>
          <w:color w:val="auto"/>
          <w:sz w:val="24"/>
          <w:szCs w:val="24"/>
          <w:highlight w:val="none"/>
          <w:lang w:val="en-US" w:eastAsia="zh-CN"/>
        </w:rPr>
        <w:t>甲方</w:t>
      </w:r>
      <w:r>
        <w:rPr>
          <w:rFonts w:hint="eastAsia" w:ascii="仿宋_GB2312" w:eastAsia="仿宋_GB2312"/>
          <w:color w:val="auto"/>
          <w:sz w:val="24"/>
          <w:szCs w:val="24"/>
          <w:highlight w:val="none"/>
        </w:rPr>
        <w:t>协助办理，乙方提供人力、物力、财力等相关支持。</w:t>
      </w:r>
    </w:p>
    <w:p w14:paraId="4C2E8F1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2．具体承包范围包含但不限于如下内容：</w:t>
      </w:r>
    </w:p>
    <w:p w14:paraId="6F9CFD02">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乙方已进行了实地勘察并全面了解本工程施工现场情况，根据招标技术要求及施工现场情况自行负责委托具备相应资质的设计单位进行施工图纸深化设计、供电方案编制并确保通过甲方和当地供电部门审核通过，工程因未通过有关部门的审查或按有关部门提出的审查修改意见进行整改而增加的任何费用均已含在本合同总价内，由乙方自行负责解决；</w:t>
      </w:r>
    </w:p>
    <w:p w14:paraId="3CEDD019">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本工程分布式光伏发电项目接入南方电网所有报装手续的办理（包括配合发改备案证办理、负责物业办电信用报告或供水供电报装证明办理、房屋安全鉴定与承重报告等）、审图及验收，报装过程中所需其他手续及增加费用已含在本合同总价内，由乙方自行负责解决；</w:t>
      </w:r>
    </w:p>
    <w:p w14:paraId="209C4A25">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负责光伏组件（含导流器等）、并网逆变器（含通讯模块等）、并网计量柜（含槽钢基础，按供电公司要求配置）、视频监控（含全年流量等）、直流电缆、交流电缆的采购、安装（敷设）、调试与通电；</w:t>
      </w:r>
    </w:p>
    <w:p w14:paraId="2BB22906">
      <w:pPr>
        <w:numPr>
          <w:ilvl w:val="2"/>
          <w:numId w:val="6"/>
        </w:numPr>
        <w:spacing w:beforeLines="0" w:afterLines="0" w:line="360" w:lineRule="auto"/>
        <w:rPr>
          <w:rFonts w:hint="default"/>
          <w:color w:val="auto"/>
          <w:sz w:val="21"/>
          <w:szCs w:val="24"/>
          <w:highlight w:val="none"/>
        </w:rPr>
      </w:pPr>
      <w:r>
        <w:rPr>
          <w:rFonts w:hint="eastAsia" w:ascii="仿宋_GB2312" w:eastAsia="仿宋_GB2312"/>
          <w:color w:val="auto"/>
          <w:sz w:val="24"/>
          <w:szCs w:val="24"/>
          <w:highlight w:val="none"/>
        </w:rPr>
        <w:t>负责光伏“四可”（‌可观、可控、可测、可调）系统的安装与调试，包括但不限于“四可”系统的主材费用、辅材费用、人工费用、调试费用及为实现“四可”系统投运的其他一切费用。</w:t>
      </w:r>
    </w:p>
    <w:p w14:paraId="768E5155">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szCs w:val="24"/>
          <w:highlight w:val="none"/>
        </w:rPr>
        <w:t>负责光伏并网接入后，确保业主原电房所有电容柜的补偿功率因素达0.9以上，及更换四象限光伏补偿控制器的一切费用。</w:t>
      </w:r>
    </w:p>
    <w:p w14:paraId="32E9CEC8">
      <w:pPr>
        <w:numPr>
          <w:ilvl w:val="2"/>
          <w:numId w:val="6"/>
        </w:numPr>
        <w:spacing w:line="360" w:lineRule="auto"/>
        <w:rPr>
          <w:color w:val="auto"/>
          <w:highlight w:val="none"/>
        </w:rPr>
      </w:pPr>
      <w:permStart w:id="15" w:edGrp="everyone"/>
      <w:r>
        <w:rPr>
          <w:rFonts w:hint="eastAsia" w:ascii="仿宋_GB2312" w:eastAsia="仿宋_GB2312"/>
          <w:color w:val="auto"/>
          <w:sz w:val="24"/>
          <w:highlight w:val="none"/>
        </w:rPr>
        <w:t>负责混凝土屋顶光伏阵列式支架（含预制水泥墩基础等）的制作与安装</w:t>
      </w:r>
      <w:permEnd w:id="15"/>
      <w:r>
        <w:rPr>
          <w:rFonts w:hint="eastAsia" w:ascii="仿宋_GB2312" w:eastAsia="仿宋_GB2312"/>
          <w:color w:val="auto"/>
          <w:sz w:val="24"/>
          <w:highlight w:val="none"/>
        </w:rPr>
        <w:t>；</w:t>
      </w:r>
    </w:p>
    <w:p w14:paraId="16906D76">
      <w:pPr>
        <w:numPr>
          <w:ilvl w:val="2"/>
          <w:numId w:val="6"/>
        </w:numPr>
        <w:spacing w:line="360" w:lineRule="auto"/>
        <w:rPr>
          <w:rFonts w:hint="default" w:ascii="仿宋_GB2312" w:eastAsia="仿宋_GB2312"/>
          <w:color w:val="auto"/>
          <w:sz w:val="24"/>
          <w:highlight w:val="none"/>
        </w:rPr>
      </w:pPr>
      <w:permStart w:id="16" w:edGrp="everyone"/>
      <w:r>
        <w:rPr>
          <w:rFonts w:hint="eastAsia" w:ascii="仿宋_GB2312" w:eastAsia="仿宋_GB2312"/>
          <w:color w:val="auto"/>
          <w:sz w:val="24"/>
          <w:highlight w:val="none"/>
        </w:rPr>
        <w:t>负责混凝土屋顶光伏防水结构棚架（含基础防水、排水系统、结构防水等）的制作与安装</w:t>
      </w:r>
      <w:permEnd w:id="16"/>
      <w:r>
        <w:rPr>
          <w:rFonts w:hint="eastAsia" w:ascii="仿宋_GB2312" w:eastAsia="仿宋_GB2312"/>
          <w:color w:val="auto"/>
          <w:sz w:val="24"/>
          <w:highlight w:val="none"/>
        </w:rPr>
        <w:t>；</w:t>
      </w:r>
    </w:p>
    <w:p w14:paraId="6CF3CEBB">
      <w:pPr>
        <w:numPr>
          <w:ilvl w:val="2"/>
          <w:numId w:val="6"/>
        </w:numPr>
        <w:spacing w:line="360" w:lineRule="auto"/>
        <w:rPr>
          <w:rFonts w:hint="default" w:ascii="仿宋_GB2312" w:eastAsia="仿宋_GB2312"/>
          <w:color w:val="auto"/>
          <w:sz w:val="24"/>
          <w:highlight w:val="none"/>
        </w:rPr>
      </w:pPr>
      <w:permStart w:id="17" w:edGrp="everyone"/>
      <w:r>
        <w:rPr>
          <w:rFonts w:hint="eastAsia" w:ascii="仿宋_GB2312" w:eastAsia="仿宋_GB2312"/>
          <w:color w:val="auto"/>
          <w:sz w:val="24"/>
          <w:highlight w:val="none"/>
        </w:rPr>
        <w:t>负责彩钢瓦屋顶光伏导轨支架（含彩钢瓦夹具等）的制作与安装</w:t>
      </w:r>
      <w:permEnd w:id="17"/>
      <w:r>
        <w:rPr>
          <w:rFonts w:hint="eastAsia" w:ascii="仿宋_GB2312" w:eastAsia="仿宋_GB2312"/>
          <w:color w:val="auto"/>
          <w:sz w:val="24"/>
          <w:highlight w:val="none"/>
        </w:rPr>
        <w:t>；</w:t>
      </w:r>
    </w:p>
    <w:p w14:paraId="799F7819">
      <w:pPr>
        <w:numPr>
          <w:ilvl w:val="2"/>
          <w:numId w:val="6"/>
        </w:numPr>
        <w:spacing w:line="360" w:lineRule="auto"/>
        <w:rPr>
          <w:rFonts w:hint="default" w:ascii="仿宋_GB2312" w:eastAsia="仿宋_GB2312"/>
          <w:color w:val="auto"/>
          <w:sz w:val="24"/>
          <w:highlight w:val="none"/>
        </w:rPr>
      </w:pPr>
      <w:permStart w:id="18" w:edGrp="everyone"/>
      <w:r>
        <w:rPr>
          <w:rFonts w:hint="eastAsia" w:ascii="仿宋_GB2312" w:eastAsia="仿宋_GB2312"/>
          <w:color w:val="auto"/>
          <w:sz w:val="24"/>
          <w:highlight w:val="none"/>
        </w:rPr>
        <w:t>负责彩钢瓦屋顶光伏防水支架（含排水系统、结构防水等）的制作与安装</w:t>
      </w:r>
      <w:permEnd w:id="18"/>
      <w:r>
        <w:rPr>
          <w:rFonts w:hint="eastAsia" w:ascii="仿宋_GB2312" w:eastAsia="仿宋_GB2312"/>
          <w:color w:val="auto"/>
          <w:sz w:val="24"/>
          <w:highlight w:val="none"/>
        </w:rPr>
        <w:t>；</w:t>
      </w:r>
    </w:p>
    <w:p w14:paraId="7BE1D50D">
      <w:pPr>
        <w:numPr>
          <w:ilvl w:val="2"/>
          <w:numId w:val="6"/>
        </w:numPr>
        <w:spacing w:line="360" w:lineRule="auto"/>
        <w:rPr>
          <w:rFonts w:hint="default" w:ascii="仿宋_GB2312" w:eastAsia="仿宋_GB2312"/>
          <w:color w:val="auto"/>
          <w:sz w:val="24"/>
          <w:highlight w:val="none"/>
        </w:rPr>
      </w:pPr>
      <w:r>
        <w:rPr>
          <w:rFonts w:hint="default" w:ascii="仿宋_GB2312" w:eastAsia="仿宋_GB2312"/>
          <w:color w:val="auto"/>
          <w:sz w:val="24"/>
          <w:highlight w:val="none"/>
        </w:rPr>
        <w:t>负责硬化地面光伏防水车棚架（含基础防水、排水系统、结构防水等）的制作与安装车棚</w:t>
      </w:r>
      <w:r>
        <w:rPr>
          <w:rFonts w:hint="eastAsia" w:ascii="仿宋_GB2312" w:eastAsia="仿宋_GB2312"/>
          <w:color w:val="auto"/>
          <w:sz w:val="24"/>
          <w:highlight w:val="none"/>
          <w:lang w:eastAsia="zh-CN"/>
        </w:rPr>
        <w:t>；</w:t>
      </w:r>
    </w:p>
    <w:p w14:paraId="3C51A862">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负责屋顶分布式光伏发电项目在内、至配电房并网点的电缆桥架采购及安装、电缆通道（含电缆保护管、电缆井等）施工以及完成与电缆敷设工程相关的封堵、套管、标识工作；</w:t>
      </w:r>
    </w:p>
    <w:p w14:paraId="0F8A2D36">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负责屋顶分布式光伏发电项目接地网、独立接地极安装和接地电阻测试（包括并网柜）；</w:t>
      </w:r>
    </w:p>
    <w:p w14:paraId="1D40D494">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负责屋顶分布式光伏发电项目安全设施（含安全护栏、“生命线”、灭火器箱、安全警示牌、逆变器挡雨棚、绝缘垫等）的制作与安装；</w:t>
      </w:r>
    </w:p>
    <w:p w14:paraId="05CD457C">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负责屋顶分布式光伏发电项目附属运维设施（含运维通道、运维步梯、运维直爬梯</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rPr>
        <w:t>水清洗系统、标识牌、接入系统图板等）的制作与安装；</w:t>
      </w:r>
    </w:p>
    <w:p w14:paraId="598C8EA3">
      <w:pPr>
        <w:numPr>
          <w:ilvl w:val="2"/>
          <w:numId w:val="6"/>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负责屋顶分布式光伏发电项目其他附属工程，如彩钢瓦屋面换瓦工程、彩钢瓦屋面结构加固工程、屋面防水工程（按《</w:t>
      </w:r>
      <w:r>
        <w:rPr>
          <w:rFonts w:hint="eastAsia" w:ascii="仿宋_GB2312" w:eastAsia="仿宋_GB2312"/>
          <w:color w:val="auto"/>
          <w:sz w:val="24"/>
          <w:highlight w:val="none"/>
          <w:lang w:val="en-US" w:eastAsia="zh-CN"/>
        </w:rPr>
        <w:t>建设</w:t>
      </w:r>
      <w:r>
        <w:rPr>
          <w:rFonts w:hint="eastAsia" w:ascii="仿宋_GB2312" w:eastAsia="仿宋_GB2312"/>
          <w:color w:val="auto"/>
          <w:sz w:val="24"/>
          <w:highlight w:val="none"/>
        </w:rPr>
        <w:t>工程质量管理条例》保修期执行，因乙方施工运维不当导致如漏水、破损等情况均由乙方负责修复）、供配电设备改造工程、箱变安装工程等</w:t>
      </w:r>
    </w:p>
    <w:p w14:paraId="39864F68">
      <w:pPr>
        <w:numPr>
          <w:ilvl w:val="2"/>
          <w:numId w:val="6"/>
        </w:numPr>
        <w:spacing w:line="360" w:lineRule="auto"/>
        <w:rPr>
          <w:rFonts w:hint="default" w:eastAsia="仿宋_GB2312"/>
          <w:color w:val="auto"/>
          <w:highlight w:val="none"/>
        </w:rPr>
      </w:pPr>
      <w:r>
        <w:rPr>
          <w:rFonts w:hint="eastAsia" w:ascii="仿宋_GB2312" w:eastAsia="仿宋_GB2312"/>
          <w:color w:val="auto"/>
          <w:sz w:val="24"/>
          <w:highlight w:val="none"/>
        </w:rPr>
        <w:t>负责并网前所有设备的委托试验工作，包括验收、并网的所有手续办理、资料提交、人员资质审核、技术培训等工作；</w:t>
      </w:r>
    </w:p>
    <w:p w14:paraId="51F04D13">
      <w:pPr>
        <w:numPr>
          <w:ilvl w:val="2"/>
          <w:numId w:val="6"/>
        </w:numPr>
        <w:spacing w:beforeLines="0" w:afterLines="0" w:line="360" w:lineRule="auto"/>
        <w:rPr>
          <w:rFonts w:hint="default"/>
          <w:color w:val="auto"/>
          <w:sz w:val="21"/>
          <w:szCs w:val="24"/>
          <w:highlight w:val="none"/>
        </w:rPr>
      </w:pPr>
      <w:r>
        <w:rPr>
          <w:rFonts w:hint="eastAsia" w:ascii="仿宋_GB2312" w:eastAsia="仿宋_GB2312"/>
          <w:color w:val="auto"/>
          <w:sz w:val="24"/>
          <w:szCs w:val="24"/>
          <w:highlight w:val="none"/>
        </w:rPr>
        <w:t>乙方负责的性能试验包括三个部分：设备出厂前的性能试验、设备安装调试的性能试验和电站试运行时的性能试验。乙方应提供各个性能试验的完整的试验报告，并签字盖章。包括但不限于交接试验报告、接地电阻测试报告、EL检测报告及其它主要设备按国家标准和行业标准进行安装调试的性能试验。</w:t>
      </w:r>
    </w:p>
    <w:p w14:paraId="1DE1717D">
      <w:pPr>
        <w:numPr>
          <w:ilvl w:val="2"/>
          <w:numId w:val="6"/>
        </w:numPr>
        <w:spacing w:line="360" w:lineRule="auto"/>
        <w:rPr>
          <w:color w:val="auto"/>
          <w:highlight w:val="none"/>
        </w:rPr>
      </w:pPr>
      <w:r>
        <w:rPr>
          <w:rFonts w:hint="eastAsia" w:ascii="仿宋_GB2312" w:eastAsia="仿宋_GB2312"/>
          <w:color w:val="auto"/>
          <w:sz w:val="24"/>
          <w:szCs w:val="24"/>
          <w:highlight w:val="none"/>
        </w:rPr>
        <w:t>负责实施过程中的相关竣工资料、施、隐蔽工程报审资料、设备材料进场报审资料、施工日志、施工图片，按甲方交底的竣工资料样板完成全套竣工资料，并按甲方所要求档案规定编制成册。</w:t>
      </w:r>
    </w:p>
    <w:p w14:paraId="0A572F5D">
      <w:pPr>
        <w:numPr>
          <w:ilvl w:val="2"/>
          <w:numId w:val="6"/>
        </w:numPr>
        <w:spacing w:line="360" w:lineRule="auto"/>
        <w:rPr>
          <w:color w:val="auto"/>
          <w:highlight w:val="none"/>
        </w:rPr>
      </w:pPr>
      <w:r>
        <w:rPr>
          <w:rFonts w:hint="eastAsia" w:ascii="仿宋_GB2312" w:eastAsia="仿宋_GB2312"/>
          <w:color w:val="auto"/>
          <w:sz w:val="24"/>
          <w:highlight w:val="none"/>
        </w:rPr>
        <w:t>负责其他为本工程通过供电局验收所必须施工的项目内容；</w:t>
      </w:r>
    </w:p>
    <w:p w14:paraId="0161BB8F">
      <w:pPr>
        <w:numPr>
          <w:ilvl w:val="2"/>
          <w:numId w:val="6"/>
        </w:numPr>
        <w:spacing w:line="360" w:lineRule="auto"/>
        <w:rPr>
          <w:color w:val="auto"/>
          <w:highlight w:val="none"/>
        </w:rPr>
      </w:pPr>
      <w:r>
        <w:rPr>
          <w:rFonts w:hint="eastAsia" w:ascii="仿宋_GB2312" w:eastAsia="仿宋_GB2312"/>
          <w:color w:val="auto"/>
          <w:sz w:val="24"/>
          <w:highlight w:val="none"/>
        </w:rPr>
        <w:t>以上所有工作以及为完成本工程所需向有关部门、单位缴纳的费用均已包含在合同总价内,乙方不得以任何理由、任何形式要求甲方再为此项工程支付任何费用。</w:t>
      </w:r>
    </w:p>
    <w:p w14:paraId="7A2C382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3．承包方式：以暂定总价、以固定每瓦单价总承包的方式承包，最终根据实际安装容量对合同总价作相应调整。在此约定下，乙方包施工图纸设计、包供应设备及其配件、包工包料包</w:t>
      </w:r>
      <w:r>
        <w:rPr>
          <w:rFonts w:hint="default" w:ascii="仿宋_GB2312" w:eastAsia="仿宋_GB2312"/>
          <w:color w:val="auto"/>
          <w:sz w:val="24"/>
          <w:highlight w:val="none"/>
        </w:rPr>
        <w:t>安装、</w:t>
      </w:r>
      <w:r>
        <w:rPr>
          <w:rFonts w:hint="eastAsia" w:ascii="仿宋_GB2312" w:eastAsia="仿宋_GB2312"/>
          <w:color w:val="auto"/>
          <w:sz w:val="24"/>
          <w:highlight w:val="none"/>
        </w:rPr>
        <w:t>包调试及检测、包质量、包工期、包施工图纸通过甲方和供电部门审定、包供电部门的验收合格并网、包资料、包安全、包</w:t>
      </w:r>
      <w:r>
        <w:rPr>
          <w:rFonts w:hint="default" w:ascii="仿宋_GB2312" w:eastAsia="仿宋_GB2312"/>
          <w:color w:val="auto"/>
          <w:sz w:val="24"/>
          <w:highlight w:val="none"/>
        </w:rPr>
        <w:t>管理、</w:t>
      </w:r>
      <w:r>
        <w:rPr>
          <w:rFonts w:hint="eastAsia" w:ascii="仿宋_GB2312" w:eastAsia="仿宋_GB2312"/>
          <w:color w:val="auto"/>
          <w:sz w:val="24"/>
          <w:highlight w:val="none"/>
        </w:rPr>
        <w:t>包</w:t>
      </w:r>
      <w:r>
        <w:rPr>
          <w:rFonts w:hint="default" w:ascii="仿宋_GB2312" w:eastAsia="仿宋_GB2312"/>
          <w:color w:val="auto"/>
          <w:sz w:val="24"/>
          <w:highlight w:val="none"/>
        </w:rPr>
        <w:t>利润</w:t>
      </w:r>
      <w:r>
        <w:rPr>
          <w:rFonts w:hint="eastAsia" w:ascii="仿宋_GB2312" w:eastAsia="仿宋_GB2312"/>
          <w:color w:val="auto"/>
          <w:sz w:val="24"/>
          <w:highlight w:val="none"/>
        </w:rPr>
        <w:t>、包税金、包安全文明施工、包材料及成品保管、包保险、包保修等。</w:t>
      </w:r>
    </w:p>
    <w:p w14:paraId="7A314320">
      <w:pPr>
        <w:spacing w:line="360" w:lineRule="auto"/>
        <w:rPr>
          <w:rFonts w:hint="default" w:ascii="仿宋_GB2312" w:eastAsia="仿宋_GB2312"/>
          <w:color w:val="auto"/>
          <w:sz w:val="24"/>
          <w:highlight w:val="none"/>
        </w:rPr>
      </w:pPr>
    </w:p>
    <w:p w14:paraId="6E67B664">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三、合同工期</w:t>
      </w:r>
    </w:p>
    <w:p w14:paraId="4519774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1．合同总工期数为</w:t>
      </w:r>
      <w:permStart w:id="19" w:edGrp="everyone"/>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ermEnd w:id="19"/>
      <w:r>
        <w:rPr>
          <w:rFonts w:hint="eastAsia" w:ascii="仿宋_GB2312" w:eastAsia="仿宋_GB2312"/>
          <w:color w:val="auto"/>
          <w:sz w:val="24"/>
          <w:highlight w:val="none"/>
        </w:rPr>
        <w:t>个日历天。</w:t>
      </w:r>
    </w:p>
    <w:p w14:paraId="521ABC7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（1）计划开工日期为：</w:t>
      </w:r>
      <w:permStart w:id="20" w:edGrp="everyone"/>
      <w:r>
        <w:rPr>
          <w:rFonts w:hint="eastAsia" w:ascii="仿宋_GB2312" w:eastAsia="仿宋_GB2312"/>
          <w:color w:val="auto"/>
          <w:sz w:val="24"/>
          <w:highlight w:val="none"/>
          <w:u w:val="single"/>
        </w:rPr>
        <w:t xml:space="preserve">      </w:t>
      </w:r>
      <w:permEnd w:id="20"/>
      <w:r>
        <w:rPr>
          <w:rFonts w:hint="eastAsia" w:ascii="仿宋_GB2312" w:eastAsia="仿宋_GB2312"/>
          <w:color w:val="auto"/>
          <w:sz w:val="24"/>
          <w:highlight w:val="none"/>
        </w:rPr>
        <w:t>年</w:t>
      </w:r>
      <w:permStart w:id="21" w:edGrp="everyone"/>
      <w:r>
        <w:rPr>
          <w:rFonts w:hint="eastAsia" w:ascii="仿宋_GB2312" w:eastAsia="仿宋_GB2312"/>
          <w:color w:val="auto"/>
          <w:sz w:val="24"/>
          <w:highlight w:val="none"/>
          <w:u w:val="single"/>
        </w:rPr>
        <w:t xml:space="preserve">    </w:t>
      </w:r>
      <w:permEnd w:id="21"/>
      <w:r>
        <w:rPr>
          <w:rFonts w:hint="eastAsia" w:ascii="仿宋_GB2312" w:eastAsia="仿宋_GB2312"/>
          <w:color w:val="auto"/>
          <w:sz w:val="24"/>
          <w:highlight w:val="none"/>
        </w:rPr>
        <w:t>月</w:t>
      </w:r>
      <w:permStart w:id="22" w:edGrp="everyone"/>
      <w:r>
        <w:rPr>
          <w:rFonts w:hint="eastAsia" w:ascii="仿宋_GB2312" w:eastAsia="仿宋_GB2312"/>
          <w:color w:val="auto"/>
          <w:sz w:val="24"/>
          <w:highlight w:val="none"/>
          <w:u w:val="single"/>
        </w:rPr>
        <w:t xml:space="preserve">    </w:t>
      </w:r>
      <w:permEnd w:id="22"/>
      <w:r>
        <w:rPr>
          <w:rFonts w:hint="eastAsia" w:ascii="仿宋_GB2312" w:eastAsia="仿宋_GB2312"/>
          <w:color w:val="auto"/>
          <w:sz w:val="24"/>
          <w:highlight w:val="none"/>
        </w:rPr>
        <w:t>日，具体以甲方签发的中标通知书确定的中标日期为准；若甲方无另行通知的，乙方应按照前述约定日期开工。</w:t>
      </w:r>
    </w:p>
    <w:p w14:paraId="660C905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（2）计划竣工日期为：</w:t>
      </w:r>
      <w:permStart w:id="23" w:edGrp="everyone"/>
      <w:r>
        <w:rPr>
          <w:rFonts w:hint="eastAsia" w:ascii="仿宋_GB2312" w:eastAsia="仿宋_GB2312"/>
          <w:color w:val="auto"/>
          <w:sz w:val="24"/>
          <w:highlight w:val="none"/>
          <w:u w:val="single"/>
        </w:rPr>
        <w:t xml:space="preserve">      </w:t>
      </w:r>
      <w:permEnd w:id="23"/>
      <w:r>
        <w:rPr>
          <w:rFonts w:hint="eastAsia" w:ascii="仿宋_GB2312" w:eastAsia="仿宋_GB2312"/>
          <w:color w:val="auto"/>
          <w:sz w:val="24"/>
          <w:highlight w:val="none"/>
        </w:rPr>
        <w:t>年</w:t>
      </w:r>
      <w:permStart w:id="24" w:edGrp="everyone"/>
      <w:r>
        <w:rPr>
          <w:rFonts w:hint="eastAsia" w:ascii="仿宋_GB2312" w:eastAsia="仿宋_GB2312"/>
          <w:color w:val="auto"/>
          <w:sz w:val="24"/>
          <w:highlight w:val="none"/>
          <w:u w:val="single"/>
        </w:rPr>
        <w:t xml:space="preserve">    </w:t>
      </w:r>
      <w:permEnd w:id="24"/>
      <w:r>
        <w:rPr>
          <w:rFonts w:hint="eastAsia" w:ascii="仿宋_GB2312" w:eastAsia="仿宋_GB2312"/>
          <w:color w:val="auto"/>
          <w:sz w:val="24"/>
          <w:highlight w:val="none"/>
        </w:rPr>
        <w:t>月</w:t>
      </w:r>
      <w:permStart w:id="25" w:edGrp="everyone"/>
      <w:r>
        <w:rPr>
          <w:rFonts w:hint="eastAsia" w:ascii="仿宋_GB2312" w:eastAsia="仿宋_GB2312"/>
          <w:color w:val="auto"/>
          <w:sz w:val="24"/>
          <w:highlight w:val="none"/>
          <w:u w:val="single"/>
        </w:rPr>
        <w:t xml:space="preserve">    </w:t>
      </w:r>
      <w:permEnd w:id="25"/>
      <w:r>
        <w:rPr>
          <w:rFonts w:hint="eastAsia" w:ascii="仿宋_GB2312" w:eastAsia="仿宋_GB2312"/>
          <w:color w:val="auto"/>
          <w:sz w:val="24"/>
          <w:highlight w:val="none"/>
        </w:rPr>
        <w:t>日，乙方须保证于此日期前通过当地供电局验收合格并完成并网投运。</w:t>
      </w:r>
    </w:p>
    <w:p w14:paraId="26200B70">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rPr>
        <w:t>2．如乙方预计施工进度将滞后于合同约定的竣工日期，不论工期的延误是何种原因造成，乙方均应在完工前向甲方提出书面申请报告，详细解释工期延误发生的原因提供相关证明资料。甲方</w:t>
      </w:r>
      <w:r>
        <w:rPr>
          <w:rFonts w:hint="eastAsia" w:ascii="仿宋_GB2312" w:eastAsia="仿宋_GB2312"/>
          <w:color w:val="auto"/>
          <w:sz w:val="24"/>
          <w:highlight w:val="none"/>
          <w:lang w:val="en-US" w:eastAsia="zh-CN"/>
        </w:rPr>
        <w:t>可以</w:t>
      </w:r>
      <w:r>
        <w:rPr>
          <w:rFonts w:hint="eastAsia" w:ascii="仿宋_GB2312" w:eastAsia="仿宋_GB2312"/>
          <w:color w:val="auto"/>
          <w:sz w:val="24"/>
          <w:highlight w:val="none"/>
        </w:rPr>
        <w:t>根据乙方提供的书面申请报告重新调整竣工日期，但</w:t>
      </w:r>
      <w:r>
        <w:rPr>
          <w:rFonts w:hint="eastAsia" w:ascii="仿宋_GB2312" w:eastAsia="仿宋_GB2312"/>
          <w:color w:val="auto"/>
          <w:sz w:val="24"/>
          <w:highlight w:val="none"/>
          <w:lang w:val="en-US" w:eastAsia="zh-CN"/>
        </w:rPr>
        <w:t>因乙方原因发生</w:t>
      </w:r>
      <w:r>
        <w:rPr>
          <w:rFonts w:hint="eastAsia" w:ascii="仿宋_GB2312" w:eastAsia="仿宋_GB2312"/>
          <w:color w:val="auto"/>
          <w:sz w:val="24"/>
          <w:highlight w:val="none"/>
        </w:rPr>
        <w:t>工期延误</w:t>
      </w:r>
      <w:r>
        <w:rPr>
          <w:rFonts w:hint="eastAsia" w:ascii="仿宋_GB2312" w:eastAsia="仿宋_GB2312"/>
          <w:color w:val="auto"/>
          <w:sz w:val="24"/>
          <w:highlight w:val="none"/>
          <w:lang w:val="en-US" w:eastAsia="zh-CN"/>
        </w:rPr>
        <w:t>导致甲方自身发生损失或向第三方赔偿</w:t>
      </w:r>
      <w:r>
        <w:rPr>
          <w:rFonts w:hint="eastAsia" w:ascii="仿宋_GB2312" w:eastAsia="仿宋_GB2312"/>
          <w:color w:val="auto"/>
          <w:sz w:val="24"/>
          <w:highlight w:val="none"/>
        </w:rPr>
        <w:t>责任</w:t>
      </w:r>
      <w:r>
        <w:rPr>
          <w:rFonts w:hint="eastAsia" w:ascii="仿宋_GB2312" w:eastAsia="仿宋_GB2312"/>
          <w:color w:val="auto"/>
          <w:sz w:val="24"/>
          <w:highlight w:val="none"/>
          <w:lang w:val="en-US" w:eastAsia="zh-CN"/>
        </w:rPr>
        <w:t>的</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由</w:t>
      </w:r>
      <w:r>
        <w:rPr>
          <w:rFonts w:hint="eastAsia" w:ascii="仿宋_GB2312" w:eastAsia="仿宋_GB2312"/>
          <w:color w:val="auto"/>
          <w:sz w:val="24"/>
          <w:highlight w:val="none"/>
        </w:rPr>
        <w:t>乙方</w:t>
      </w:r>
      <w:r>
        <w:rPr>
          <w:rFonts w:hint="eastAsia" w:ascii="仿宋_GB2312" w:eastAsia="仿宋_GB2312"/>
          <w:color w:val="auto"/>
          <w:sz w:val="24"/>
          <w:highlight w:val="none"/>
          <w:lang w:val="en-US" w:eastAsia="zh-CN"/>
        </w:rPr>
        <w:t>实际</w:t>
      </w:r>
      <w:r>
        <w:rPr>
          <w:rFonts w:hint="eastAsia" w:ascii="仿宋_GB2312" w:eastAsia="仿宋_GB2312"/>
          <w:color w:val="auto"/>
          <w:sz w:val="24"/>
          <w:highlight w:val="none"/>
        </w:rPr>
        <w:t>承担。</w:t>
      </w:r>
      <w:r>
        <w:rPr>
          <w:rFonts w:hint="eastAsia" w:ascii="仿宋_GB2312" w:eastAsia="仿宋_GB2312"/>
          <w:color w:val="auto"/>
          <w:sz w:val="24"/>
          <w:highlight w:val="none"/>
          <w:lang w:val="en-US" w:eastAsia="zh-CN"/>
        </w:rPr>
        <w:t xml:space="preserve"> </w:t>
      </w:r>
    </w:p>
    <w:p w14:paraId="524C61C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3．本工程工期已充分考虑各种因素的影响，除按照本条第4款约定经甲方签证后相应顺延工期外，工期不因</w:t>
      </w:r>
      <w:r>
        <w:rPr>
          <w:rFonts w:hint="eastAsia" w:ascii="仿宋_GB2312" w:eastAsia="仿宋_GB2312"/>
          <w:color w:val="auto"/>
          <w:sz w:val="24"/>
          <w:highlight w:val="none"/>
          <w:lang w:val="en-US" w:eastAsia="zh-CN"/>
        </w:rPr>
        <w:t>下列</w:t>
      </w:r>
      <w:r>
        <w:rPr>
          <w:rFonts w:hint="eastAsia" w:ascii="仿宋_GB2312" w:eastAsia="仿宋_GB2312"/>
          <w:color w:val="auto"/>
          <w:sz w:val="24"/>
          <w:highlight w:val="none"/>
        </w:rPr>
        <w:t>任何因素而顺延，具体包括但不限于：</w:t>
      </w:r>
    </w:p>
    <w:p w14:paraId="7419AF7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（1）下雨、大风、高低温天气等气候干扰等；</w:t>
      </w:r>
    </w:p>
    <w:p w14:paraId="5B7078B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（2）施工中可能遇到的设备材料不能按时备货、交叉作业、现场配合、停水、停电、扰民、有关部门人员及权限变动、政策调整、市场价格变动等因素引起工期延误。</w:t>
      </w:r>
    </w:p>
    <w:p w14:paraId="3BB90C9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4．因下列原因且经甲方签证确认，乙方工期可相应顺延：</w:t>
      </w:r>
    </w:p>
    <w:p w14:paraId="704A9D9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（1）甲方未能履行本合同规定之责任；</w:t>
      </w:r>
    </w:p>
    <w:p w14:paraId="222B770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（2）屋顶业主、当地有关部门对设计方案、施工图纸进行变更或工作配合导致施工无法正常进行而影响进度；</w:t>
      </w:r>
    </w:p>
    <w:p w14:paraId="6A1277D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（3）人力不可抗拒的自然灾害（如特大暴雨、台风等）。</w:t>
      </w:r>
    </w:p>
    <w:p w14:paraId="1C395A44">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若发生上述原因，未经甲方签证确认，乙方工期不顺延。非乙方原因造成的停工或工期延误，该拖延后果确属不可避免，且有充分证据证明该事件的停工或工期延误对工期造成影响，经甲方确认，工期可相应顺延，甲方不承担乙方因停工或工期延误造成如窝工、停工、误工、机械停滞、机械进出场等增加的费用与其它款项。</w:t>
      </w:r>
    </w:p>
    <w:p w14:paraId="2C811EF8">
      <w:pPr>
        <w:pStyle w:val="39"/>
        <w:rPr>
          <w:rFonts w:hint="default"/>
          <w:color w:val="auto"/>
          <w:highlight w:val="none"/>
        </w:rPr>
      </w:pPr>
    </w:p>
    <w:p w14:paraId="469477D9">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四、合同价款</w:t>
      </w:r>
    </w:p>
    <w:p w14:paraId="5F7DE4F1">
      <w:pPr>
        <w:keepNext w:val="0"/>
        <w:keepLines w:val="0"/>
        <w:pageBreakBefore w:val="0"/>
        <w:widowControl w:val="0"/>
        <w:kinsoku/>
        <w:wordWrap/>
        <w:overflowPunct/>
        <w:topLinePunct w:val="0"/>
        <w:autoSpaceDE/>
        <w:autoSpaceDN/>
        <w:adjustRightInd w:val="0"/>
        <w:snapToGrid/>
        <w:spacing w:line="360" w:lineRule="auto"/>
        <w:ind w:firstLine="480" w:firstLineChars="200"/>
        <w:textAlignment w:val="auto"/>
        <w:rPr>
          <w:rFonts w:hint="default" w:ascii="仿宋_GB2312" w:eastAsia="仿宋_GB2312"/>
          <w:color w:val="auto"/>
          <w:sz w:val="24"/>
          <w:highlight w:val="none"/>
          <w:u w:val="none"/>
          <w:lang w:val="en-US" w:eastAsia="zh-CN"/>
        </w:rPr>
      </w:pPr>
      <w:r>
        <w:rPr>
          <w:rFonts w:hint="eastAsia" w:ascii="仿宋_GB2312" w:eastAsia="仿宋_GB2312"/>
          <w:color w:val="auto"/>
          <w:sz w:val="24"/>
          <w:highlight w:val="none"/>
        </w:rPr>
        <w:t>1．</w:t>
      </w:r>
      <w:r>
        <w:rPr>
          <w:rFonts w:hint="eastAsia" w:ascii="仿宋_GB2312" w:eastAsia="仿宋_GB2312"/>
          <w:color w:val="auto"/>
          <w:sz w:val="24"/>
          <w:highlight w:val="none"/>
          <w:lang w:val="en-US" w:eastAsia="zh-CN"/>
        </w:rPr>
        <w:t>中标下浮率：</w:t>
      </w:r>
      <w:r>
        <w:rPr>
          <w:rFonts w:hint="eastAsia" w:ascii="仿宋_GB2312" w:eastAsia="仿宋_GB2312"/>
          <w:color w:val="auto"/>
          <w:sz w:val="24"/>
          <w:highlight w:val="none"/>
          <w:u w:val="single"/>
          <w:lang w:val="en-US" w:eastAsia="zh-CN"/>
        </w:rPr>
        <w:t>%（百分之）</w:t>
      </w:r>
      <w:r>
        <w:rPr>
          <w:rFonts w:hint="eastAsia" w:ascii="仿宋_GB2312" w:eastAsia="仿宋_GB2312"/>
          <w:color w:val="auto"/>
          <w:sz w:val="24"/>
          <w:highlight w:val="none"/>
          <w:u w:val="none"/>
          <w:lang w:val="en-US" w:eastAsia="zh-CN"/>
        </w:rPr>
        <w:t>；</w:t>
      </w:r>
    </w:p>
    <w:p w14:paraId="72C37E2F">
      <w:pPr>
        <w:keepNext w:val="0"/>
        <w:keepLines w:val="0"/>
        <w:pageBreakBefore w:val="0"/>
        <w:widowControl w:val="0"/>
        <w:numPr>
          <w:ilvl w:val="1"/>
          <w:numId w:val="6"/>
        </w:numPr>
        <w:kinsoku/>
        <w:wordWrap/>
        <w:overflowPunct/>
        <w:topLinePunct w:val="0"/>
        <w:autoSpaceDE/>
        <w:autoSpaceDN/>
        <w:adjustRightInd w:val="0"/>
        <w:snapToGrid/>
        <w:spacing w:line="360" w:lineRule="auto"/>
        <w:ind w:left="0" w:leftChars="0" w:firstLine="420" w:firstLineChars="0"/>
        <w:textAlignment w:val="auto"/>
        <w:rPr>
          <w:rFonts w:hint="eastAsia" w:ascii="仿宋_GB2312" w:eastAsia="仿宋_GB2312"/>
          <w:color w:val="auto"/>
          <w:sz w:val="24"/>
          <w:highlight w:val="none"/>
          <w:lang w:val="en-US" w:eastAsia="zh-CN"/>
        </w:rPr>
      </w:pPr>
      <w:r>
        <w:rPr>
          <w:rFonts w:hint="eastAsia" w:ascii="仿宋_GB2312" w:eastAsia="仿宋_GB2312"/>
          <w:color w:val="auto"/>
          <w:sz w:val="24"/>
          <w:highlight w:val="none"/>
        </w:rPr>
        <w:t>签约合同价（含税）为：</w:t>
      </w:r>
      <w:r>
        <w:rPr>
          <w:rFonts w:hint="eastAsia" w:ascii="仿宋_GB2312" w:hAnsi="仿宋_GB2312" w:eastAsia="仿宋_GB2312" w:cs="仿宋_GB2312"/>
          <w:color w:val="auto"/>
          <w:sz w:val="24"/>
          <w:highlight w:val="none"/>
        </w:rPr>
        <w:t>¥</w:t>
      </w:r>
      <w:permStart w:id="26" w:edGrp="everyone"/>
      <w:r>
        <w:rPr>
          <w:rFonts w:hint="eastAsia" w:ascii="仿宋_GB2312" w:eastAsia="仿宋_GB2312"/>
          <w:color w:val="auto"/>
          <w:sz w:val="24"/>
          <w:highlight w:val="none"/>
          <w:u w:val="single"/>
        </w:rPr>
        <w:t xml:space="preserve"> XX,XXX,XXX.XX</w:t>
      </w:r>
      <w:permEnd w:id="26"/>
      <w:r>
        <w:rPr>
          <w:rFonts w:hint="eastAsia" w:ascii="仿宋_GB2312" w:eastAsia="仿宋_GB2312"/>
          <w:color w:val="auto"/>
          <w:sz w:val="24"/>
          <w:highlight w:val="none"/>
        </w:rPr>
        <w:t>元（大写：</w:t>
      </w:r>
      <w:permStart w:id="27" w:edGrp="everyone"/>
      <w:r>
        <w:rPr>
          <w:rFonts w:hint="eastAsia" w:ascii="仿宋_GB2312" w:eastAsia="仿宋_GB2312"/>
          <w:color w:val="auto"/>
          <w:sz w:val="24"/>
          <w:highlight w:val="none"/>
          <w:u w:val="single"/>
        </w:rPr>
        <w:t xml:space="preserve"> X仟X佰X拾X万X仟X佰X拾X元X角X分</w:t>
      </w:r>
      <w:permEnd w:id="27"/>
      <w:r>
        <w:rPr>
          <w:rFonts w:hint="eastAsia" w:ascii="仿宋_GB2312" w:eastAsia="仿宋_GB2312"/>
          <w:color w:val="auto"/>
          <w:sz w:val="24"/>
          <w:highlight w:val="none"/>
          <w:u w:val="single"/>
        </w:rPr>
        <w:t>整</w:t>
      </w:r>
      <w:r>
        <w:rPr>
          <w:rFonts w:hint="eastAsia" w:ascii="仿宋_GB2312" w:eastAsia="仿宋_GB2312"/>
          <w:color w:val="auto"/>
          <w:sz w:val="24"/>
          <w:highlight w:val="none"/>
        </w:rPr>
        <w:t>），每瓦单价为¥</w:t>
      </w:r>
      <w:r>
        <w:rPr>
          <w:rFonts w:hint="eastAsia" w:ascii="仿宋_GB2312" w:eastAsia="仿宋_GB2312"/>
          <w:color w:val="auto"/>
          <w:sz w:val="24"/>
          <w:highlight w:val="none"/>
          <w:u w:val="single"/>
        </w:rPr>
        <w:t xml:space="preserve"> XX,XXX,XXX.XX</w:t>
      </w:r>
      <w:r>
        <w:rPr>
          <w:rFonts w:hint="eastAsia" w:ascii="仿宋_GB2312" w:eastAsia="仿宋_GB2312"/>
          <w:color w:val="auto"/>
          <w:sz w:val="24"/>
          <w:highlight w:val="none"/>
        </w:rPr>
        <w:t>元。其中设计费（含税）为：</w:t>
      </w:r>
      <w:r>
        <w:rPr>
          <w:rFonts w:hint="eastAsia" w:ascii="仿宋_GB2312" w:hAnsi="仿宋_GB2312" w:eastAsia="仿宋_GB2312" w:cs="仿宋_GB2312"/>
          <w:color w:val="auto"/>
          <w:sz w:val="24"/>
          <w:highlight w:val="none"/>
        </w:rPr>
        <w:t>¥</w:t>
      </w:r>
      <w:permStart w:id="28" w:edGrp="everyone"/>
      <w:r>
        <w:rPr>
          <w:rFonts w:hint="eastAsia" w:ascii="仿宋_GB2312" w:eastAsia="仿宋_GB2312"/>
          <w:color w:val="auto"/>
          <w:sz w:val="24"/>
          <w:highlight w:val="none"/>
          <w:u w:val="single"/>
        </w:rPr>
        <w:t xml:space="preserve"> XX,XXX,XXX.XX</w:t>
      </w:r>
      <w:permEnd w:id="28"/>
      <w:r>
        <w:rPr>
          <w:rFonts w:hint="eastAsia" w:ascii="仿宋_GB2312" w:eastAsia="仿宋_GB2312"/>
          <w:color w:val="auto"/>
          <w:sz w:val="24"/>
          <w:highlight w:val="none"/>
        </w:rPr>
        <w:t>元（大写：</w:t>
      </w:r>
      <w:permStart w:id="29" w:edGrp="everyone"/>
      <w:r>
        <w:rPr>
          <w:rFonts w:hint="eastAsia" w:ascii="仿宋_GB2312" w:eastAsia="仿宋_GB2312"/>
          <w:color w:val="auto"/>
          <w:sz w:val="24"/>
          <w:highlight w:val="none"/>
          <w:u w:val="single"/>
        </w:rPr>
        <w:t xml:space="preserve"> X仟X佰X拾X万X仟X佰X拾X元X角X分</w:t>
      </w:r>
      <w:permEnd w:id="29"/>
      <w:r>
        <w:rPr>
          <w:rFonts w:hint="eastAsia" w:ascii="仿宋_GB2312" w:eastAsia="仿宋_GB2312"/>
          <w:color w:val="auto"/>
          <w:sz w:val="24"/>
          <w:highlight w:val="none"/>
          <w:u w:val="single"/>
        </w:rPr>
        <w:t>整</w:t>
      </w:r>
      <w:r>
        <w:rPr>
          <w:rFonts w:hint="eastAsia" w:ascii="仿宋_GB2312" w:eastAsia="仿宋_GB2312"/>
          <w:color w:val="auto"/>
          <w:sz w:val="24"/>
          <w:highlight w:val="none"/>
        </w:rPr>
        <w:t>），施工费（含税）为：</w:t>
      </w:r>
      <w:r>
        <w:rPr>
          <w:rFonts w:hint="eastAsia" w:ascii="仿宋_GB2312" w:hAnsi="仿宋_GB2312" w:eastAsia="仿宋_GB2312" w:cs="仿宋_GB2312"/>
          <w:color w:val="auto"/>
          <w:sz w:val="24"/>
          <w:highlight w:val="none"/>
        </w:rPr>
        <w:t>¥</w:t>
      </w:r>
      <w:permStart w:id="30" w:edGrp="everyone"/>
      <w:r>
        <w:rPr>
          <w:rFonts w:hint="eastAsia" w:ascii="仿宋_GB2312" w:eastAsia="仿宋_GB2312"/>
          <w:color w:val="auto"/>
          <w:sz w:val="24"/>
          <w:highlight w:val="none"/>
          <w:u w:val="single"/>
        </w:rPr>
        <w:t xml:space="preserve"> XX,XXX,XXX.XX</w:t>
      </w:r>
      <w:permEnd w:id="30"/>
      <w:r>
        <w:rPr>
          <w:rFonts w:hint="eastAsia" w:ascii="仿宋_GB2312" w:eastAsia="仿宋_GB2312"/>
          <w:color w:val="auto"/>
          <w:sz w:val="24"/>
          <w:highlight w:val="none"/>
        </w:rPr>
        <w:t>元（大写：</w:t>
      </w:r>
      <w:permStart w:id="31" w:edGrp="everyone"/>
      <w:r>
        <w:rPr>
          <w:rFonts w:hint="eastAsia" w:ascii="仿宋_GB2312" w:eastAsia="仿宋_GB2312"/>
          <w:color w:val="auto"/>
          <w:sz w:val="24"/>
          <w:highlight w:val="none"/>
          <w:u w:val="single"/>
        </w:rPr>
        <w:t xml:space="preserve"> X仟X佰X拾X万X仟X佰X拾X元X角X分</w:t>
      </w:r>
      <w:permEnd w:id="31"/>
      <w:r>
        <w:rPr>
          <w:rFonts w:hint="eastAsia" w:ascii="仿宋_GB2312" w:eastAsia="仿宋_GB2312"/>
          <w:color w:val="auto"/>
          <w:sz w:val="24"/>
          <w:highlight w:val="none"/>
          <w:u w:val="single"/>
        </w:rPr>
        <w:t>整</w:t>
      </w:r>
      <w:r>
        <w:rPr>
          <w:rFonts w:hint="eastAsia" w:ascii="仿宋_GB2312" w:eastAsia="仿宋_GB2312"/>
          <w:color w:val="auto"/>
          <w:sz w:val="24"/>
          <w:highlight w:val="none"/>
        </w:rPr>
        <w:t>）。税率9%（增值税额按业务发生时国家政策规定增值税率计算），分项价格如下表所示：</w:t>
      </w:r>
    </w:p>
    <w:tbl>
      <w:tblPr>
        <w:tblStyle w:val="31"/>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41"/>
        <w:gridCol w:w="1229"/>
        <w:gridCol w:w="1970"/>
        <w:gridCol w:w="1970"/>
        <w:gridCol w:w="1818"/>
        <w:gridCol w:w="2122"/>
      </w:tblGrid>
      <w:tr w14:paraId="54570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FDFADE">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安装方式</w:t>
            </w:r>
          </w:p>
        </w:tc>
        <w:tc>
          <w:tcPr>
            <w:tcW w:w="1970" w:type="dxa"/>
            <w:tcBorders>
              <w:top w:val="single" w:color="auto" w:sz="4" w:space="0"/>
              <w:left w:val="nil"/>
              <w:bottom w:val="single" w:color="auto" w:sz="4" w:space="0"/>
              <w:right w:val="single" w:color="auto" w:sz="4" w:space="0"/>
            </w:tcBorders>
            <w:shd w:val="clear" w:color="auto" w:fill="auto"/>
            <w:vAlign w:val="center"/>
          </w:tcPr>
          <w:p w14:paraId="0DDD2DB1">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装机容量（kWp）</w:t>
            </w:r>
          </w:p>
        </w:tc>
        <w:tc>
          <w:tcPr>
            <w:tcW w:w="1970" w:type="dxa"/>
            <w:tcBorders>
              <w:top w:val="single" w:color="auto" w:sz="4" w:space="0"/>
              <w:left w:val="nil"/>
              <w:bottom w:val="single" w:color="auto" w:sz="4" w:space="0"/>
              <w:right w:val="single" w:color="auto" w:sz="4" w:space="0"/>
            </w:tcBorders>
            <w:shd w:val="clear" w:color="auto" w:fill="auto"/>
            <w:vAlign w:val="center"/>
          </w:tcPr>
          <w:p w14:paraId="17CF4E61">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含税综合单价（元/Wp）保留三位小数</w:t>
            </w:r>
          </w:p>
        </w:tc>
        <w:tc>
          <w:tcPr>
            <w:tcW w:w="1818" w:type="dxa"/>
            <w:tcBorders>
              <w:top w:val="single" w:color="auto" w:sz="4" w:space="0"/>
              <w:left w:val="nil"/>
              <w:bottom w:val="single" w:color="auto" w:sz="4" w:space="0"/>
              <w:right w:val="single" w:color="auto" w:sz="4" w:space="0"/>
            </w:tcBorders>
            <w:shd w:val="clear" w:color="auto" w:fill="auto"/>
            <w:vAlign w:val="center"/>
          </w:tcPr>
          <w:p w14:paraId="11C1B699">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含税合价（元）</w:t>
            </w:r>
          </w:p>
        </w:tc>
        <w:tc>
          <w:tcPr>
            <w:tcW w:w="2122" w:type="dxa"/>
            <w:tcBorders>
              <w:top w:val="single" w:color="auto" w:sz="4" w:space="0"/>
              <w:left w:val="nil"/>
              <w:bottom w:val="single" w:color="auto" w:sz="4" w:space="0"/>
              <w:right w:val="single" w:color="auto" w:sz="4" w:space="0"/>
            </w:tcBorders>
            <w:shd w:val="clear" w:color="auto" w:fill="auto"/>
            <w:vAlign w:val="center"/>
          </w:tcPr>
          <w:p w14:paraId="49314293">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备注</w:t>
            </w:r>
          </w:p>
        </w:tc>
      </w:tr>
      <w:tr w14:paraId="1FB98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421D0E">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1970" w:type="dxa"/>
            <w:tcBorders>
              <w:top w:val="single" w:color="auto" w:sz="4" w:space="0"/>
              <w:left w:val="nil"/>
              <w:bottom w:val="single" w:color="auto" w:sz="4" w:space="0"/>
              <w:right w:val="single" w:color="auto" w:sz="4" w:space="0"/>
            </w:tcBorders>
            <w:shd w:val="clear" w:color="auto" w:fill="auto"/>
            <w:vAlign w:val="center"/>
          </w:tcPr>
          <w:p w14:paraId="4089A212">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1970" w:type="dxa"/>
            <w:tcBorders>
              <w:top w:val="single" w:color="auto" w:sz="4" w:space="0"/>
              <w:left w:val="nil"/>
              <w:bottom w:val="single" w:color="auto" w:sz="4" w:space="0"/>
              <w:right w:val="single" w:color="auto" w:sz="4" w:space="0"/>
            </w:tcBorders>
            <w:shd w:val="clear" w:color="auto" w:fill="auto"/>
            <w:vAlign w:val="center"/>
          </w:tcPr>
          <w:p w14:paraId="28CF2FE7">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1818" w:type="dxa"/>
            <w:tcBorders>
              <w:top w:val="single" w:color="auto" w:sz="4" w:space="0"/>
              <w:left w:val="nil"/>
              <w:bottom w:val="single" w:color="auto" w:sz="4" w:space="0"/>
              <w:right w:val="single" w:color="auto" w:sz="4" w:space="0"/>
            </w:tcBorders>
            <w:shd w:val="clear" w:color="auto" w:fill="auto"/>
            <w:vAlign w:val="center"/>
          </w:tcPr>
          <w:p w14:paraId="63B15197">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2122" w:type="dxa"/>
            <w:tcBorders>
              <w:top w:val="single" w:color="auto" w:sz="4" w:space="0"/>
              <w:left w:val="nil"/>
              <w:bottom w:val="single" w:color="auto" w:sz="4" w:space="0"/>
              <w:right w:val="single" w:color="auto" w:sz="4" w:space="0"/>
            </w:tcBorders>
            <w:shd w:val="clear" w:color="auto" w:fill="auto"/>
            <w:vAlign w:val="center"/>
          </w:tcPr>
          <w:p w14:paraId="19188D73">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r w14:paraId="3D9AB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5DD4D97">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1970" w:type="dxa"/>
            <w:tcBorders>
              <w:top w:val="single" w:color="auto" w:sz="4" w:space="0"/>
              <w:left w:val="nil"/>
              <w:bottom w:val="single" w:color="auto" w:sz="4" w:space="0"/>
              <w:right w:val="single" w:color="auto" w:sz="4" w:space="0"/>
            </w:tcBorders>
            <w:shd w:val="clear" w:color="auto" w:fill="auto"/>
            <w:vAlign w:val="center"/>
          </w:tcPr>
          <w:p w14:paraId="2CB0BCEE">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1970" w:type="dxa"/>
            <w:tcBorders>
              <w:top w:val="single" w:color="auto" w:sz="4" w:space="0"/>
              <w:left w:val="nil"/>
              <w:bottom w:val="single" w:color="auto" w:sz="4" w:space="0"/>
              <w:right w:val="single" w:color="auto" w:sz="4" w:space="0"/>
            </w:tcBorders>
            <w:shd w:val="clear" w:color="auto" w:fill="auto"/>
            <w:vAlign w:val="center"/>
          </w:tcPr>
          <w:p w14:paraId="01D5AD15">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1818" w:type="dxa"/>
            <w:tcBorders>
              <w:top w:val="single" w:color="auto" w:sz="4" w:space="0"/>
              <w:left w:val="nil"/>
              <w:bottom w:val="single" w:color="auto" w:sz="4" w:space="0"/>
              <w:right w:val="single" w:color="auto" w:sz="4" w:space="0"/>
            </w:tcBorders>
            <w:shd w:val="clear" w:color="auto" w:fill="auto"/>
            <w:vAlign w:val="center"/>
          </w:tcPr>
          <w:p w14:paraId="7897D57A">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2122" w:type="dxa"/>
            <w:tcBorders>
              <w:top w:val="single" w:color="auto" w:sz="4" w:space="0"/>
              <w:left w:val="nil"/>
              <w:bottom w:val="single" w:color="auto" w:sz="4" w:space="0"/>
              <w:right w:val="single" w:color="auto" w:sz="4" w:space="0"/>
            </w:tcBorders>
            <w:shd w:val="clear" w:color="auto" w:fill="auto"/>
            <w:vAlign w:val="center"/>
          </w:tcPr>
          <w:p w14:paraId="51453C1A">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r w14:paraId="510A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1" w:type="dxa"/>
            <w:tcBorders>
              <w:top w:val="nil"/>
              <w:left w:val="single" w:color="auto" w:sz="4" w:space="0"/>
              <w:bottom w:val="single" w:color="auto" w:sz="4" w:space="0"/>
              <w:right w:val="single" w:color="auto" w:sz="4" w:space="0"/>
            </w:tcBorders>
            <w:shd w:val="clear" w:color="auto" w:fill="auto"/>
            <w:vAlign w:val="center"/>
          </w:tcPr>
          <w:p w14:paraId="6EA2992B">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1229" w:type="dxa"/>
            <w:tcBorders>
              <w:top w:val="single" w:color="auto" w:sz="4" w:space="0"/>
              <w:left w:val="nil"/>
              <w:bottom w:val="single" w:color="auto" w:sz="4" w:space="0"/>
              <w:right w:val="single" w:color="auto" w:sz="4" w:space="0"/>
            </w:tcBorders>
            <w:shd w:val="clear" w:color="auto" w:fill="auto"/>
            <w:vAlign w:val="center"/>
          </w:tcPr>
          <w:p w14:paraId="61E877D4">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1970" w:type="dxa"/>
            <w:tcBorders>
              <w:top w:val="single" w:color="auto" w:sz="4" w:space="0"/>
              <w:left w:val="nil"/>
              <w:bottom w:val="single" w:color="auto" w:sz="4" w:space="0"/>
              <w:right w:val="single" w:color="auto" w:sz="4" w:space="0"/>
            </w:tcBorders>
            <w:shd w:val="clear" w:color="auto" w:fill="auto"/>
            <w:vAlign w:val="center"/>
          </w:tcPr>
          <w:p w14:paraId="0759CE90">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1970" w:type="dxa"/>
            <w:tcBorders>
              <w:top w:val="single" w:color="auto" w:sz="4" w:space="0"/>
              <w:left w:val="nil"/>
              <w:bottom w:val="single" w:color="auto" w:sz="4" w:space="0"/>
              <w:right w:val="single" w:color="auto" w:sz="4" w:space="0"/>
            </w:tcBorders>
            <w:shd w:val="clear" w:color="auto" w:fill="auto"/>
            <w:vAlign w:val="center"/>
          </w:tcPr>
          <w:p w14:paraId="0C644C1F">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1818" w:type="dxa"/>
            <w:tcBorders>
              <w:top w:val="single" w:color="auto" w:sz="4" w:space="0"/>
              <w:left w:val="nil"/>
              <w:bottom w:val="single" w:color="auto" w:sz="4" w:space="0"/>
              <w:right w:val="single" w:color="auto" w:sz="4" w:space="0"/>
            </w:tcBorders>
            <w:shd w:val="clear" w:color="auto" w:fill="auto"/>
            <w:vAlign w:val="center"/>
          </w:tcPr>
          <w:p w14:paraId="3DC4C6B5">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2122" w:type="dxa"/>
            <w:tcBorders>
              <w:top w:val="single" w:color="auto" w:sz="4" w:space="0"/>
              <w:left w:val="nil"/>
              <w:bottom w:val="single" w:color="auto" w:sz="4" w:space="0"/>
              <w:right w:val="single" w:color="auto" w:sz="4" w:space="0"/>
            </w:tcBorders>
            <w:shd w:val="clear" w:color="auto" w:fill="auto"/>
            <w:vAlign w:val="center"/>
          </w:tcPr>
          <w:p w14:paraId="3D8B8092">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r w14:paraId="62BCA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91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E8E3585">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合计（含税）</w:t>
            </w:r>
          </w:p>
        </w:tc>
        <w:tc>
          <w:tcPr>
            <w:tcW w:w="1818" w:type="dxa"/>
            <w:tcBorders>
              <w:top w:val="single" w:color="auto" w:sz="4" w:space="0"/>
              <w:left w:val="nil"/>
              <w:bottom w:val="single" w:color="auto" w:sz="4" w:space="0"/>
              <w:right w:val="single" w:color="auto" w:sz="4" w:space="0"/>
            </w:tcBorders>
            <w:shd w:val="clear" w:color="auto" w:fill="auto"/>
            <w:vAlign w:val="center"/>
          </w:tcPr>
          <w:p w14:paraId="10AB6AE2">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2122" w:type="dxa"/>
            <w:tcBorders>
              <w:top w:val="single" w:color="auto" w:sz="4" w:space="0"/>
              <w:left w:val="nil"/>
              <w:bottom w:val="single" w:color="auto" w:sz="4" w:space="0"/>
              <w:right w:val="single" w:color="auto" w:sz="4" w:space="0"/>
            </w:tcBorders>
            <w:shd w:val="clear" w:color="auto" w:fill="auto"/>
            <w:vAlign w:val="center"/>
          </w:tcPr>
          <w:p w14:paraId="4751419F">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r w14:paraId="1C423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85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55E3E75">
            <w:pPr>
              <w:keepNext w:val="0"/>
              <w:keepLines w:val="0"/>
              <w:widowControl w:val="0"/>
              <w:suppressLineNumbers w:val="0"/>
              <w:autoSpaceDE w:val="0"/>
              <w:autoSpaceDN/>
              <w:adjustRightInd w:val="0"/>
              <w:spacing w:before="0" w:beforeAutospacing="0" w:after="0" w:afterAutospacing="0"/>
              <w:ind w:left="0" w:right="0" w:firstLine="0" w:firstLineChars="0"/>
              <w:jc w:val="left"/>
              <w:rPr>
                <w:rFonts w:hint="default" w:ascii="仿宋_GB2312" w:hAnsi="Times New Roman" w:eastAsia="仿宋_GB2312" w:cs="仿宋_GB2312"/>
                <w:color w:val="auto"/>
                <w:kern w:val="2"/>
                <w:sz w:val="21"/>
                <w:szCs w:val="21"/>
                <w:highlight w:val="none"/>
                <w:lang w:val="en-US" w:eastAsia="zh-CN"/>
              </w:rPr>
            </w:pPr>
            <w:r>
              <w:rPr>
                <w:rFonts w:hint="eastAsia" w:ascii="仿宋_GB2312" w:eastAsia="仿宋_GB2312" w:cs="仿宋_GB2312"/>
                <w:b/>
                <w:bCs/>
                <w:color w:val="auto"/>
                <w:kern w:val="2"/>
                <w:sz w:val="21"/>
                <w:szCs w:val="21"/>
                <w:highlight w:val="none"/>
                <w:lang w:val="en-US" w:eastAsia="zh-CN"/>
              </w:rPr>
              <w:t>注：结算总价=Σ(各项安装方式的最终实际安装容量×相应的含税综合单价)</w:t>
            </w:r>
          </w:p>
        </w:tc>
      </w:tr>
    </w:tbl>
    <w:p w14:paraId="394743B9">
      <w:pPr>
        <w:keepNext w:val="0"/>
        <w:keepLines w:val="0"/>
        <w:pageBreakBefore w:val="0"/>
        <w:widowControl w:val="0"/>
        <w:kinsoku/>
        <w:wordWrap/>
        <w:overflowPunct/>
        <w:topLinePunct w:val="0"/>
        <w:autoSpaceDE/>
        <w:autoSpaceDN/>
        <w:adjustRightInd w:val="0"/>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rPr>
        <w:t>该签约合同价包含但不限于：</w:t>
      </w:r>
    </w:p>
    <w:p w14:paraId="79F933F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（1）前期勘察费、设计费、鉴定费、资料费、结构加固费、报建费、报装费等费用；</w:t>
      </w:r>
    </w:p>
    <w:p w14:paraId="0A3ADB7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场地清理费、材料费、辅材费、人工费、设备及配件费、施工机具费、包装运输费、吊装费、安装费、保险费、保修费、测试及检测费、采保费、施工管理费、临水临电费、赶工费、安全防护措施费、文明施工措施费、其他一切项目措施费、规费、人员培训教育、售后技术服务等费用、管理</w:t>
      </w:r>
      <w:r>
        <w:rPr>
          <w:rFonts w:hint="default" w:ascii="仿宋_GB2312" w:eastAsia="仿宋_GB2312"/>
          <w:color w:val="auto"/>
          <w:sz w:val="24"/>
          <w:highlight w:val="none"/>
        </w:rPr>
        <w:t>费、</w:t>
      </w:r>
      <w:r>
        <w:rPr>
          <w:rFonts w:hint="eastAsia" w:ascii="仿宋_GB2312" w:eastAsia="仿宋_GB2312"/>
          <w:color w:val="auto"/>
          <w:sz w:val="24"/>
          <w:highlight w:val="none"/>
        </w:rPr>
        <w:t>利润</w:t>
      </w:r>
      <w:r>
        <w:rPr>
          <w:rFonts w:hint="default" w:ascii="仿宋_GB2312" w:eastAsia="仿宋_GB2312"/>
          <w:color w:val="auto"/>
          <w:sz w:val="24"/>
          <w:highlight w:val="none"/>
        </w:rPr>
        <w:t>、</w:t>
      </w:r>
      <w:r>
        <w:rPr>
          <w:rFonts w:hint="eastAsia" w:ascii="仿宋_GB2312" w:eastAsia="仿宋_GB2312"/>
          <w:color w:val="auto"/>
          <w:sz w:val="24"/>
          <w:highlight w:val="none"/>
        </w:rPr>
        <w:t>税金等所有费用。</w:t>
      </w:r>
    </w:p>
    <w:p w14:paraId="20B4302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（3）本工程产生的建筑垃圾、生活垃圾、临建搭拆及施工所需的设备、线材、辅材、人工等费用和乙方为履行本合同项下的义务而应承担的一切可预见或不可预见的费用。</w:t>
      </w:r>
    </w:p>
    <w:p w14:paraId="03EB629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2．除本工程价款外，甲方为实现本合同项下权益，无需再向乙方或任何第三方支付其他任何费用或款项。</w:t>
      </w:r>
    </w:p>
    <w:p w14:paraId="6917EE92">
      <w:pPr>
        <w:spacing w:line="360" w:lineRule="auto"/>
        <w:ind w:firstLine="480" w:firstLineChars="200"/>
        <w:rPr>
          <w:rFonts w:hint="default" w:ascii="仿宋_GB2312" w:eastAsia="仿宋_GB2312"/>
          <w:dstrike/>
          <w:color w:val="auto"/>
          <w:sz w:val="24"/>
          <w:highlight w:val="none"/>
        </w:rPr>
      </w:pPr>
      <w:r>
        <w:rPr>
          <w:rFonts w:hint="eastAsia" w:ascii="仿宋_GB2312" w:eastAsia="仿宋_GB2312"/>
          <w:color w:val="auto"/>
          <w:sz w:val="24"/>
          <w:highlight w:val="none"/>
        </w:rPr>
        <w:t>3．本合同在承包范围内暂定总价、以固定每瓦单价总承包的方式承包，除容量变动外不予调整，增值税按业务发生时国家增值税率计算。</w:t>
      </w:r>
    </w:p>
    <w:p w14:paraId="1E0F5FE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4．经甲方确认后的施工图纸不得进行变更。</w:t>
      </w:r>
    </w:p>
    <w:p w14:paraId="0CE8CA7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乙方在本合同签订前已到工地现场踏勘，已充分了解工地位置、场地情况、道路情况、安装空间、装卸限制及任何其他足以影响承包总价的情况，任何因忽视或误解工地情况导致的索赔（增补）或工期延长申请将不被批准。</w:t>
      </w:r>
    </w:p>
    <w:p w14:paraId="569E5FD0">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6．乙方应具备相应的专业资格及丰富施工经验，在本合同签订前已综合考虑行业规范、政府要求、施工图纸、资料说明或专业交叉施工将要发生质量缺陷、验收风险等，任何因素导致的索赔（增补）或工期延长申请将不被批准。</w:t>
      </w:r>
    </w:p>
    <w:p w14:paraId="7A00694B">
      <w:pPr>
        <w:pStyle w:val="28"/>
        <w:rPr>
          <w:rFonts w:hint="default"/>
          <w:color w:val="auto"/>
          <w:highlight w:val="none"/>
        </w:rPr>
      </w:pPr>
    </w:p>
    <w:p w14:paraId="3677DD4A">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五、工程质量技术要求</w:t>
      </w:r>
    </w:p>
    <w:p w14:paraId="0F4EADEA">
      <w:pPr>
        <w:wordWrap/>
        <w:topLinePunct w:val="0"/>
        <w:spacing w:line="360" w:lineRule="auto"/>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highlight w:val="none"/>
        </w:rPr>
        <w:t>1．</w:t>
      </w:r>
      <w:r>
        <w:rPr>
          <w:rFonts w:hint="eastAsia" w:ascii="仿宋_GB2312" w:eastAsia="仿宋_GB2312"/>
          <w:color w:val="auto"/>
          <w:sz w:val="24"/>
          <w:szCs w:val="24"/>
          <w:highlight w:val="none"/>
          <w:lang w:val="en-US" w:eastAsia="zh-CN"/>
        </w:rPr>
        <w:t>设计</w:t>
      </w:r>
      <w:r>
        <w:rPr>
          <w:rFonts w:hint="eastAsia" w:ascii="仿宋_GB2312" w:eastAsia="仿宋_GB2312"/>
          <w:color w:val="auto"/>
          <w:sz w:val="24"/>
          <w:szCs w:val="24"/>
          <w:highlight w:val="none"/>
        </w:rPr>
        <w:t>质量标准：</w:t>
      </w:r>
      <w:r>
        <w:rPr>
          <w:rFonts w:hint="eastAsia" w:ascii="仿宋_GB2312" w:eastAsia="仿宋_GB2312"/>
          <w:color w:val="auto"/>
          <w:sz w:val="24"/>
          <w:szCs w:val="24"/>
          <w:highlight w:val="none"/>
          <w:u w:val="none"/>
        </w:rPr>
        <w:t>本项目的设计过程和成果必须符合国家、广东省、东莞市颁布的有关设计方面的现行标准、规范、规程、定额、办法，满足招标人的相关功能需求，并通过招标人及有关部门或专业审图机构的审查。在设计过程中，如果国家或有关部门颁发了新的技术标准或规范，应采用新的标准或规范进行设计</w:t>
      </w:r>
      <w:r>
        <w:rPr>
          <w:rFonts w:hint="eastAsia" w:ascii="仿宋_GB2312" w:eastAsia="仿宋_GB2312"/>
          <w:color w:val="auto"/>
          <w:sz w:val="24"/>
          <w:szCs w:val="24"/>
          <w:highlight w:val="none"/>
        </w:rPr>
        <w:t>。</w:t>
      </w:r>
    </w:p>
    <w:p w14:paraId="11D9710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szCs w:val="24"/>
          <w:highlight w:val="none"/>
          <w:lang w:val="en-US" w:eastAsia="zh-CN"/>
        </w:rPr>
        <w:t>施工</w:t>
      </w:r>
      <w:r>
        <w:rPr>
          <w:rFonts w:hint="eastAsia" w:ascii="仿宋_GB2312" w:eastAsia="仿宋_GB2312"/>
          <w:color w:val="auto"/>
          <w:sz w:val="24"/>
          <w:szCs w:val="24"/>
          <w:highlight w:val="none"/>
        </w:rPr>
        <w:t>质量标准：</w:t>
      </w:r>
      <w:r>
        <w:rPr>
          <w:rFonts w:hint="eastAsia" w:ascii="仿宋_GB2312" w:eastAsia="仿宋_GB2312"/>
          <w:color w:val="auto"/>
          <w:sz w:val="24"/>
          <w:szCs w:val="24"/>
          <w:highlight w:val="none"/>
          <w:u w:val="none"/>
        </w:rPr>
        <w:t>执行国家、</w:t>
      </w:r>
      <w:r>
        <w:rPr>
          <w:rFonts w:hint="eastAsia" w:ascii="仿宋_GB2312" w:eastAsia="仿宋_GB2312"/>
          <w:color w:val="auto"/>
          <w:sz w:val="24"/>
          <w:szCs w:val="24"/>
          <w:highlight w:val="none"/>
          <w:u w:val="none"/>
          <w:lang w:val="en-US" w:eastAsia="zh-CN"/>
        </w:rPr>
        <w:t>本市</w:t>
      </w:r>
      <w:r>
        <w:rPr>
          <w:rFonts w:hint="eastAsia" w:ascii="仿宋_GB2312" w:eastAsia="仿宋_GB2312"/>
          <w:color w:val="auto"/>
          <w:sz w:val="24"/>
          <w:szCs w:val="24"/>
          <w:highlight w:val="none"/>
          <w:u w:val="none"/>
        </w:rPr>
        <w:t>或行业现行的工程建设质量验收标准及规范，须达到合格标准，并</w:t>
      </w:r>
      <w:r>
        <w:rPr>
          <w:rFonts w:hint="eastAsia" w:ascii="仿宋_GB2312" w:eastAsia="仿宋_GB2312"/>
          <w:color w:val="auto"/>
          <w:sz w:val="24"/>
          <w:highlight w:val="none"/>
        </w:rPr>
        <w:t>通过本市供电部门验收合格，保证按时并网投运。</w:t>
      </w:r>
    </w:p>
    <w:p w14:paraId="6098977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在本工程开工前，乙方应向甲方报送材料、设备清单，并须经甲方审核同意，乙方须按经甲方审核同意的材料、设备品牌、规格清单中的要求执行。乙方采购的材料、设备的品牌、型号、规格、质量标准等应与甲方招标技术要求及本合同约定的一致。设备的技术参数应与施工图纸和当地供电部门审查意见书一致。若乙方在本工程现场使用的材料、设备与本合同约定的不一致，甲方有权要求乙方在2小时内把不符约定的材料、设备清运出施工现场，已经使用的，必须拆换或者拆除重新返工，由此发生的费用和损失全部由乙方承担，且工期不予顺延；同时乙方应按本合同第十二条第7款的约定承担违约责任。</w:t>
      </w:r>
    </w:p>
    <w:p w14:paraId="2C8B457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eastAsia" w:ascii="仿宋_GB2312" w:eastAsia="仿宋_GB2312"/>
          <w:color w:val="auto"/>
          <w:sz w:val="24"/>
          <w:highlight w:val="none"/>
        </w:rPr>
        <w:t>．光伏组件品牌选用隆基绿能、晶澳科技、天合光能等国内知名一线品牌；并网逆变器品牌选用</w:t>
      </w:r>
      <w:permStart w:id="32" w:edGrp="everyone"/>
      <w:r>
        <w:rPr>
          <w:rFonts w:hint="eastAsia" w:ascii="仿宋_GB2312" w:eastAsia="仿宋_GB2312"/>
          <w:color w:val="auto"/>
          <w:sz w:val="24"/>
          <w:highlight w:val="none"/>
        </w:rPr>
        <w:t>华为、阳光电源</w:t>
      </w:r>
      <w:r>
        <w:rPr>
          <w:rFonts w:hint="eastAsia" w:ascii="仿宋_GB2312" w:eastAsia="仿宋_GB2312"/>
          <w:color w:val="auto"/>
          <w:sz w:val="24"/>
          <w:highlight w:val="none"/>
          <w:lang w:val="en-US" w:eastAsia="zh-CN"/>
        </w:rPr>
        <w:t>与</w:t>
      </w:r>
      <w:r>
        <w:rPr>
          <w:rFonts w:hint="eastAsia" w:ascii="仿宋_GB2312" w:eastAsia="仿宋_GB2312"/>
          <w:color w:val="auto"/>
          <w:sz w:val="24"/>
          <w:highlight w:val="none"/>
        </w:rPr>
        <w:t>古瑞瓦特或具备</w:t>
      </w:r>
      <w:r>
        <w:rPr>
          <w:rFonts w:hint="eastAsia" w:ascii="仿宋_GB2312" w:eastAsia="仿宋_GB2312"/>
          <w:color w:val="auto"/>
          <w:sz w:val="24"/>
          <w:highlight w:val="none"/>
          <w:lang w:val="en-US" w:eastAsia="zh-CN"/>
        </w:rPr>
        <w:t>同</w:t>
      </w:r>
      <w:r>
        <w:rPr>
          <w:rFonts w:hint="eastAsia" w:ascii="仿宋_GB2312" w:eastAsia="仿宋_GB2312"/>
          <w:color w:val="auto"/>
          <w:sz w:val="24"/>
          <w:highlight w:val="none"/>
        </w:rPr>
        <w:t>等质量的品牌</w:t>
      </w:r>
      <w:permEnd w:id="32"/>
      <w:r>
        <w:rPr>
          <w:rFonts w:hint="eastAsia" w:ascii="仿宋_GB2312" w:eastAsia="仿宋_GB2312"/>
          <w:color w:val="auto"/>
          <w:sz w:val="24"/>
          <w:highlight w:val="none"/>
        </w:rPr>
        <w:t>；光伏并网柜断路器品牌选用</w:t>
      </w:r>
      <w:permStart w:id="33" w:edGrp="everyone"/>
      <w:r>
        <w:rPr>
          <w:rFonts w:hint="eastAsia" w:ascii="仿宋_GB2312" w:eastAsia="仿宋_GB2312"/>
          <w:color w:val="auto"/>
          <w:sz w:val="24"/>
          <w:highlight w:val="none"/>
        </w:rPr>
        <w:t>常熟、良信、上海人民或具备</w:t>
      </w:r>
      <w:r>
        <w:rPr>
          <w:rFonts w:hint="eastAsia" w:ascii="仿宋_GB2312" w:eastAsia="仿宋_GB2312"/>
          <w:color w:val="auto"/>
          <w:sz w:val="24"/>
          <w:highlight w:val="none"/>
          <w:lang w:val="en-US" w:eastAsia="zh-CN"/>
        </w:rPr>
        <w:t>同</w:t>
      </w:r>
      <w:r>
        <w:rPr>
          <w:rFonts w:hint="eastAsia" w:ascii="仿宋_GB2312" w:eastAsia="仿宋_GB2312"/>
          <w:color w:val="auto"/>
          <w:sz w:val="24"/>
          <w:highlight w:val="none"/>
        </w:rPr>
        <w:t>等质量的品牌</w:t>
      </w:r>
      <w:permEnd w:id="33"/>
      <w:r>
        <w:rPr>
          <w:rFonts w:hint="eastAsia" w:ascii="仿宋_GB2312" w:eastAsia="仿宋_GB2312"/>
          <w:color w:val="auto"/>
          <w:sz w:val="24"/>
          <w:highlight w:val="none"/>
        </w:rPr>
        <w:t>；交、直流电缆品牌选用</w:t>
      </w:r>
      <w:r>
        <w:rPr>
          <w:rFonts w:hint="eastAsia" w:ascii="仿宋_GB2312" w:eastAsia="仿宋_GB2312"/>
          <w:color w:val="auto"/>
          <w:sz w:val="24"/>
          <w:highlight w:val="none"/>
          <w:lang w:val="en-US" w:eastAsia="zh-CN"/>
        </w:rPr>
        <w:t>深圳市东佳信电线电缆、深圳市成天泰电缆、广州南洋电缆、广东新亚光电缆、东莞市民兴电缆、江苏上上电缆、远东电缆或具备同等质量的品牌</w:t>
      </w:r>
      <w:r>
        <w:rPr>
          <w:rFonts w:hint="eastAsia" w:ascii="仿宋_GB2312" w:eastAsia="仿宋_GB2312"/>
          <w:color w:val="auto"/>
          <w:sz w:val="24"/>
          <w:highlight w:val="none"/>
        </w:rPr>
        <w:t>；视频监控品牌选用</w:t>
      </w:r>
      <w:permStart w:id="34" w:edGrp="everyone"/>
      <w:r>
        <w:rPr>
          <w:rFonts w:hint="eastAsia" w:ascii="仿宋_GB2312" w:eastAsia="仿宋_GB2312"/>
          <w:color w:val="auto"/>
          <w:sz w:val="24"/>
          <w:highlight w:val="none"/>
        </w:rPr>
        <w:t>海康威视、大华科技</w:t>
      </w:r>
      <w:r>
        <w:rPr>
          <w:rFonts w:hint="eastAsia" w:ascii="仿宋_GB2312" w:eastAsia="仿宋_GB2312"/>
          <w:color w:val="auto"/>
          <w:sz w:val="24"/>
          <w:highlight w:val="none"/>
          <w:lang w:val="en-US" w:eastAsia="zh-CN"/>
        </w:rPr>
        <w:t>或具备同等质量的品牌</w:t>
      </w:r>
      <w:permEnd w:id="34"/>
      <w:r>
        <w:rPr>
          <w:rFonts w:hint="eastAsia" w:ascii="仿宋_GB2312" w:eastAsia="仿宋_GB2312"/>
          <w:color w:val="auto"/>
          <w:sz w:val="24"/>
          <w:highlight w:val="none"/>
        </w:rPr>
        <w:t>，防水棚架最高点（组件面）高度不得高于2.8m，因本工程实际需要乙方需更换设备品牌的，必须征得甲方书面同意后才能更换。</w:t>
      </w:r>
    </w:p>
    <w:p w14:paraId="7B2C4AF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．乙方所供应的所有设备、材料须为国标产品，应符合国家或行业规定的合格质量标准，品牌、型号规格等必须符合本工程招标文件技术要求约定，应具备本市供电局入网许可要求。</w:t>
      </w:r>
    </w:p>
    <w:p w14:paraId="0C9B0AA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乙方须保证其所供应的所有设备、材料有合法来源且甲方有权在屋顶合法使用。任何涉及本合同设备或工程的非法使用、包括但不限于知识产权侵权或任何第三方针对甲方的索赔或控诉，应由乙方出面代表甲方处理此类索赔或控诉并承担一切法律责任和因此给甲方造成的任何损失及费用。</w:t>
      </w:r>
    </w:p>
    <w:p w14:paraId="14E490AF">
      <w:pPr>
        <w:rPr>
          <w:color w:val="auto"/>
          <w:highlight w:val="none"/>
        </w:rPr>
      </w:pPr>
    </w:p>
    <w:p w14:paraId="5BE2DBC0">
      <w:pPr>
        <w:spacing w:line="360" w:lineRule="auto"/>
        <w:rPr>
          <w:rFonts w:hint="default" w:ascii="仿宋_GB2312" w:eastAsia="仿宋_GB2312"/>
          <w:b/>
          <w:color w:val="auto"/>
          <w:sz w:val="24"/>
          <w:highlight w:val="none"/>
          <w:lang w:val="en-US" w:eastAsia="zh-CN"/>
        </w:rPr>
      </w:pPr>
      <w:r>
        <w:rPr>
          <w:rFonts w:hint="eastAsia" w:ascii="仿宋_GB2312" w:eastAsia="仿宋_GB2312"/>
          <w:b/>
          <w:color w:val="auto"/>
          <w:sz w:val="24"/>
          <w:highlight w:val="none"/>
        </w:rPr>
        <w:t>六、履约担保</w:t>
      </w:r>
      <w:r>
        <w:rPr>
          <w:rFonts w:hint="eastAsia" w:ascii="仿宋_GB2312" w:eastAsia="仿宋_GB2312"/>
          <w:b/>
          <w:color w:val="auto"/>
          <w:sz w:val="24"/>
          <w:highlight w:val="none"/>
          <w:lang w:val="en-US" w:eastAsia="zh-CN"/>
        </w:rPr>
        <w:t>与保险</w:t>
      </w:r>
    </w:p>
    <w:p w14:paraId="428458C2">
      <w:pPr>
        <w:spacing w:line="360" w:lineRule="auto"/>
        <w:ind w:firstLine="480" w:firstLineChars="200"/>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1、履约担保</w:t>
      </w:r>
    </w:p>
    <w:p w14:paraId="19333A77">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乙方应于本合同签订之日起7个日历日内，按合同总价的10%向甲方缴纳履约保证金。其中人民币50万元整（含本数），须以电汇或银行转账方式支付至甲方指定账户；剩余部分可选择电汇、银行转账方式支付至甲方指定账户，或提交银行机构出具的履约保函（担保公司出具的保函不予接受）。待本工程全部竣工验收合格且乙方无任何违约行为的，甲方应在工程竣工结算完成后，无息全额退还乙方已缴纳的履约保证金。</w:t>
      </w:r>
    </w:p>
    <w:p w14:paraId="662191C5">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2、保险条例</w:t>
      </w:r>
    </w:p>
    <w:p w14:paraId="2548516C">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（1）乙方应在项目开工前完成办理本项目建筑安装工程一切险等保险、第三者责任险、施工人员工伤保险/意外保险。</w:t>
      </w:r>
    </w:p>
    <w:p w14:paraId="31B527D7">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2）乙方应按照合同约定向双方同意的保险人投保建筑安装工程一切险等保险。具体的投保险种、保险范围、保险金额、保险费率、保险期限等有关内容应当在专用合同条件中明确约定，该保险的费用由乙方承担。</w:t>
      </w:r>
    </w:p>
    <w:p w14:paraId="708421BA">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（3）乙方应按照合同条件的约定投保第三者责任险，并在缺陷责任期终止证书颁发前维持其持续有效。第三者责任险最低投保额应在专用合同条件内约定，该保险的费用由乙方承担。</w:t>
      </w:r>
    </w:p>
    <w:p w14:paraId="414FE128">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（4）乙方应依照法律规定为其履行合同雇用的全部人员办理工伤保险，缴纳工伤保险费，并要求分包人及由乙方为履行合同聘请的第三方雇用的全部人员依法办理工伤保险。</w:t>
      </w:r>
    </w:p>
    <w:p w14:paraId="692F8B9D">
      <w:pPr>
        <w:rPr>
          <w:color w:val="auto"/>
          <w:highlight w:val="none"/>
        </w:rPr>
      </w:pPr>
    </w:p>
    <w:p w14:paraId="0D9C24F9">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七、付款方式与工程结算</w:t>
      </w:r>
    </w:p>
    <w:p w14:paraId="13C6028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（一）付款方式：</w:t>
      </w:r>
    </w:p>
    <w:p w14:paraId="45219D91">
      <w:pPr>
        <w:spacing w:line="360" w:lineRule="auto"/>
        <w:ind w:firstLine="480" w:firstLineChars="200"/>
        <w:rPr>
          <w:color w:val="auto"/>
          <w:highlight w:val="none"/>
        </w:rPr>
      </w:pPr>
      <w:r>
        <w:rPr>
          <w:rFonts w:hint="default" w:ascii="仿宋_GB2312" w:eastAsia="仿宋_GB2312"/>
          <w:color w:val="auto"/>
          <w:sz w:val="24"/>
          <w:highlight w:val="none"/>
        </w:rPr>
        <w:t>1、</w:t>
      </w:r>
      <w:r>
        <w:rPr>
          <w:rFonts w:hint="eastAsia" w:ascii="仿宋_GB2312" w:eastAsia="仿宋_GB2312"/>
          <w:color w:val="auto"/>
          <w:sz w:val="24"/>
          <w:highlight w:val="none"/>
        </w:rPr>
        <w:t>预付</w:t>
      </w:r>
      <w:r>
        <w:rPr>
          <w:rFonts w:hint="default" w:ascii="仿宋_GB2312" w:eastAsia="仿宋_GB2312"/>
          <w:color w:val="auto"/>
          <w:sz w:val="24"/>
          <w:highlight w:val="none"/>
        </w:rPr>
        <w:t>款支付：本项目无预付款。</w:t>
      </w:r>
    </w:p>
    <w:p w14:paraId="3F4B489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w:t>
      </w:r>
      <w:r>
        <w:rPr>
          <w:rFonts w:hint="default" w:ascii="仿宋_GB2312" w:eastAsia="仿宋_GB2312"/>
          <w:color w:val="auto"/>
          <w:sz w:val="24"/>
          <w:highlight w:val="none"/>
        </w:rPr>
        <w:t>、进度款支付：</w:t>
      </w:r>
    </w:p>
    <w:p w14:paraId="1603CA3C">
      <w:pPr>
        <w:spacing w:line="360" w:lineRule="auto"/>
        <w:ind w:firstLine="480" w:firstLineChars="200"/>
        <w:rPr>
          <w:rFonts w:hint="eastAsia" w:ascii="仿宋_GB2312" w:eastAsia="仿宋_GB2312"/>
          <w:color w:val="auto"/>
          <w:sz w:val="24"/>
          <w:highlight w:val="none"/>
          <w:lang w:eastAsia="zh-CN"/>
        </w:rPr>
      </w:pP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1</w:t>
      </w:r>
      <w:r>
        <w:rPr>
          <w:rFonts w:hint="eastAsia" w:ascii="仿宋_GB2312" w:eastAsia="仿宋_GB2312"/>
          <w:color w:val="auto"/>
          <w:sz w:val="24"/>
          <w:highlight w:val="none"/>
          <w:lang w:eastAsia="zh-CN"/>
        </w:rPr>
        <w:t>）</w:t>
      </w:r>
      <w:r>
        <w:rPr>
          <w:rFonts w:hint="eastAsia" w:ascii="仿宋_GB2312" w:eastAsia="仿宋_GB2312"/>
          <w:color w:val="auto"/>
          <w:sz w:val="24"/>
          <w:szCs w:val="24"/>
          <w:highlight w:val="none"/>
        </w:rPr>
        <w:t>支付原则：乙方在申请进度款之前，应先自行确认是否满足支付条件后，邀请发包人现场代表确认，并在提交请款资料之前，缴清因承包人在工程实施过程中因违规或违章作业所产生的全部违规罚款。</w:t>
      </w:r>
    </w:p>
    <w:p w14:paraId="13D758E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）在规定期限内提供相关资料并配合</w:t>
      </w:r>
      <w:r>
        <w:rPr>
          <w:rFonts w:hint="eastAsia" w:ascii="仿宋_GB2312" w:eastAsia="仿宋_GB2312"/>
          <w:color w:val="auto"/>
          <w:sz w:val="24"/>
          <w:highlight w:val="none"/>
          <w:lang w:val="en-US" w:eastAsia="zh-CN"/>
        </w:rPr>
        <w:t>负责</w:t>
      </w:r>
      <w:r>
        <w:rPr>
          <w:rFonts w:hint="eastAsia" w:ascii="仿宋_GB2312" w:eastAsia="仿宋_GB2312"/>
          <w:color w:val="auto"/>
          <w:sz w:val="24"/>
          <w:highlight w:val="none"/>
        </w:rPr>
        <w:t>发包人取得备案许可证，办理完成各种与本工程相关的报建、报装手续及施工所需</w:t>
      </w:r>
      <w:r>
        <w:rPr>
          <w:rFonts w:hint="eastAsia" w:ascii="仿宋_GB2312" w:eastAsia="仿宋_GB2312"/>
          <w:color w:val="auto"/>
          <w:sz w:val="24"/>
          <w:highlight w:val="none"/>
          <w:lang w:val="en-US" w:eastAsia="zh-CN"/>
        </w:rPr>
        <w:t>开工报审、</w:t>
      </w:r>
      <w:r>
        <w:rPr>
          <w:rFonts w:hint="eastAsia" w:ascii="仿宋_GB2312" w:eastAsia="仿宋_GB2312"/>
          <w:color w:val="auto"/>
          <w:sz w:val="24"/>
          <w:highlight w:val="none"/>
        </w:rPr>
        <w:t>许可、证件</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批件等文件</w:t>
      </w:r>
      <w:r>
        <w:rPr>
          <w:rFonts w:hint="eastAsia" w:ascii="仿宋_GB2312" w:eastAsia="仿宋_GB2312"/>
          <w:color w:val="auto"/>
          <w:sz w:val="24"/>
          <w:highlight w:val="none"/>
        </w:rPr>
        <w:t>，包括但不限于办理施工许可证、报建手续、物业办电信用报告或供水供电报装证明、项目并网申请已受理</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开工令</w:t>
      </w:r>
      <w:r>
        <w:rPr>
          <w:rFonts w:hint="eastAsia" w:ascii="仿宋_GB2312" w:eastAsia="仿宋_GB2312"/>
          <w:color w:val="auto"/>
          <w:sz w:val="24"/>
          <w:highlight w:val="none"/>
        </w:rPr>
        <w:t>相关文件等工作，同时完成视频监控系统（甲方负责人指定位置）安装投运并移交安全管理部（并网后再移交运营部）</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待满足开工条件且取得甲方签证的开工报审页后，</w:t>
      </w:r>
      <w:r>
        <w:rPr>
          <w:rFonts w:hint="eastAsia" w:ascii="仿宋_GB2312" w:eastAsia="仿宋_GB2312"/>
          <w:color w:val="auto"/>
          <w:sz w:val="24"/>
          <w:highlight w:val="none"/>
        </w:rPr>
        <w:t>乙方可向甲方申请支付合同总金额的30%。</w:t>
      </w:r>
    </w:p>
    <w:p w14:paraId="6536B5F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3</w:t>
      </w:r>
      <w:r>
        <w:rPr>
          <w:rFonts w:hint="eastAsia" w:ascii="仿宋_GB2312" w:eastAsia="仿宋_GB2312"/>
          <w:color w:val="auto"/>
          <w:sz w:val="24"/>
          <w:highlight w:val="none"/>
        </w:rPr>
        <w:t>）完成施工图纸设计并盖章，同时</w:t>
      </w:r>
      <w:r>
        <w:rPr>
          <w:rFonts w:hint="default" w:ascii="仿宋_GB2312" w:eastAsia="仿宋_GB2312"/>
          <w:color w:val="auto"/>
          <w:sz w:val="24"/>
          <w:highlight w:val="none"/>
        </w:rPr>
        <w:t>主</w:t>
      </w:r>
      <w:r>
        <w:rPr>
          <w:rFonts w:hint="eastAsia" w:ascii="仿宋_GB2312" w:eastAsia="仿宋_GB2312"/>
          <w:color w:val="auto"/>
          <w:sz w:val="24"/>
          <w:highlight w:val="none"/>
        </w:rPr>
        <w:t>设备（</w:t>
      </w:r>
      <w:permStart w:id="35" w:edGrp="everyone"/>
      <w:r>
        <w:rPr>
          <w:rFonts w:hint="eastAsia" w:ascii="仿宋_GB2312" w:eastAsia="仿宋_GB2312"/>
          <w:color w:val="auto"/>
          <w:sz w:val="24"/>
          <w:highlight w:val="none"/>
        </w:rPr>
        <w:t>光伏组件、并网逆变器、光伏并网柜、交流电缆、独立接地极</w:t>
      </w:r>
      <w:permEnd w:id="35"/>
      <w:r>
        <w:rPr>
          <w:rFonts w:hint="eastAsia" w:ascii="仿宋_GB2312" w:eastAsia="仿宋_GB2312"/>
          <w:color w:val="auto"/>
          <w:sz w:val="24"/>
          <w:highlight w:val="none"/>
        </w:rPr>
        <w:t>）到进场工地并经甲方验收合格；同时完成接地系统施工及完成停电并柜接入后，经</w:t>
      </w:r>
      <w:r>
        <w:rPr>
          <w:rFonts w:hint="eastAsia" w:ascii="仿宋_GB2312" w:eastAsia="仿宋_GB2312"/>
          <w:color w:val="auto"/>
          <w:sz w:val="24"/>
          <w:highlight w:val="none"/>
          <w:lang w:val="en-US" w:eastAsia="zh-CN"/>
        </w:rPr>
        <w:t>甲方</w:t>
      </w:r>
      <w:r>
        <w:rPr>
          <w:rFonts w:hint="eastAsia" w:ascii="仿宋_GB2312" w:eastAsia="仿宋_GB2312"/>
          <w:color w:val="auto"/>
          <w:sz w:val="24"/>
          <w:highlight w:val="none"/>
        </w:rPr>
        <w:t>现场代表确认后，乙方可向甲方申请支付合同总金额的</w:t>
      </w: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0%。</w:t>
      </w:r>
    </w:p>
    <w:p w14:paraId="60BB4A3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）工程现场安装调试完毕并经相关部门验收合格，同时完成并网投运后,乙方可向甲方申请支付合同总金额的</w:t>
      </w:r>
      <w:permStart w:id="36" w:edGrp="everyone"/>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0</w:t>
      </w:r>
      <w:permEnd w:id="36"/>
      <w:r>
        <w:rPr>
          <w:rFonts w:hint="eastAsia" w:ascii="仿宋_GB2312" w:eastAsia="仿宋_GB2312"/>
          <w:color w:val="auto"/>
          <w:sz w:val="24"/>
          <w:highlight w:val="none"/>
        </w:rPr>
        <w:t>%。</w:t>
      </w:r>
    </w:p>
    <w:p w14:paraId="02CB6ED2">
      <w:pPr>
        <w:spacing w:line="360" w:lineRule="auto"/>
        <w:ind w:firstLine="480" w:firstLineChars="200"/>
        <w:rPr>
          <w:rFonts w:hint="eastAsia" w:ascii="仿宋_GB2312" w:eastAsia="仿宋_GB2312"/>
          <w:color w:val="auto"/>
          <w:sz w:val="24"/>
          <w:highlight w:val="none"/>
          <w:lang w:eastAsia="zh-CN"/>
        </w:rPr>
      </w:pPr>
      <w:r>
        <w:rPr>
          <w:rFonts w:hint="eastAsia" w:ascii="仿宋_GB2312" w:eastAsia="仿宋_GB2312"/>
          <w:color w:val="auto"/>
          <w:sz w:val="24"/>
          <w:highlight w:val="none"/>
          <w:lang w:val="en-US" w:eastAsia="zh-CN"/>
        </w:rPr>
        <w:t>3、进度款及结算款暂缓支付：当施工期间出现农民工闹事，在乙方未结清应付农民工款项之前，甲方有权暂缓支付当期进度款及结算款。</w:t>
      </w:r>
    </w:p>
    <w:p w14:paraId="265E796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工程通过甲方竣工验收并移交甲方竣工资料，同时办理完成结算后，乙方可向甲方申请支付至合同总结算金额的97%，留</w:t>
      </w:r>
      <w:r>
        <w:rPr>
          <w:rFonts w:hint="default" w:ascii="仿宋_GB2312" w:eastAsia="仿宋_GB2312"/>
          <w:color w:val="auto"/>
          <w:sz w:val="24"/>
          <w:highlight w:val="none"/>
        </w:rPr>
        <w:t>本工程</w:t>
      </w:r>
      <w:r>
        <w:rPr>
          <w:rFonts w:hint="eastAsia" w:ascii="仿宋_GB2312" w:eastAsia="仿宋_GB2312"/>
          <w:color w:val="auto"/>
          <w:sz w:val="24"/>
          <w:highlight w:val="none"/>
        </w:rPr>
        <w:t>合同总结算金额</w:t>
      </w:r>
      <w:r>
        <w:rPr>
          <w:rFonts w:hint="default" w:ascii="仿宋_GB2312" w:eastAsia="仿宋_GB2312"/>
          <w:color w:val="auto"/>
          <w:sz w:val="24"/>
          <w:highlight w:val="none"/>
        </w:rPr>
        <w:t>的3%作为质量保修金留置在甲方处。自本工程</w:t>
      </w:r>
      <w:r>
        <w:rPr>
          <w:rFonts w:hint="eastAsia" w:ascii="仿宋_GB2312" w:eastAsia="仿宋_GB2312"/>
          <w:color w:val="auto"/>
          <w:sz w:val="24"/>
          <w:highlight w:val="none"/>
        </w:rPr>
        <w:t>保修期届满</w:t>
      </w:r>
      <w:r>
        <w:rPr>
          <w:rFonts w:hint="default" w:ascii="仿宋_GB2312" w:eastAsia="仿宋_GB2312"/>
          <w:color w:val="auto"/>
          <w:sz w:val="24"/>
          <w:highlight w:val="none"/>
        </w:rPr>
        <w:t>后，甲方扣除乙方应付的维修、维护及质量损失赔偿金等</w:t>
      </w:r>
      <w:r>
        <w:rPr>
          <w:rFonts w:hint="eastAsia" w:ascii="仿宋_GB2312" w:eastAsia="仿宋_GB2312"/>
          <w:color w:val="auto"/>
          <w:sz w:val="24"/>
          <w:highlight w:val="none"/>
        </w:rPr>
        <w:t>金额</w:t>
      </w:r>
      <w:r>
        <w:rPr>
          <w:rFonts w:hint="default" w:ascii="仿宋_GB2312" w:eastAsia="仿宋_GB2312"/>
          <w:color w:val="auto"/>
          <w:sz w:val="24"/>
          <w:highlight w:val="none"/>
        </w:rPr>
        <w:t>后</w:t>
      </w:r>
      <w:r>
        <w:rPr>
          <w:rFonts w:hint="eastAsia" w:ascii="仿宋_GB2312" w:eastAsia="仿宋_GB2312"/>
          <w:color w:val="auto"/>
          <w:sz w:val="24"/>
          <w:highlight w:val="none"/>
        </w:rPr>
        <w:t>乙方可向甲方申请无息退还</w:t>
      </w:r>
      <w:r>
        <w:rPr>
          <w:rFonts w:hint="default" w:ascii="仿宋_GB2312" w:eastAsia="仿宋_GB2312"/>
          <w:color w:val="auto"/>
          <w:sz w:val="24"/>
          <w:highlight w:val="none"/>
        </w:rPr>
        <w:t>。</w:t>
      </w:r>
    </w:p>
    <w:p w14:paraId="43D8FB6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乙方每次申请付款前，应向甲方提供与工程产值等额且含税9%的增值税专用发票（增值税按业务发生时国家增值税率计算），并报送相应款项的形象进度完成情况的照片和资料。</w:t>
      </w:r>
    </w:p>
    <w:p w14:paraId="1F4DD6DD">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甲方有权根据实际并网容量及项目整改情况决定各项进度款支付比例。</w:t>
      </w:r>
    </w:p>
    <w:p w14:paraId="339460C6">
      <w:pPr>
        <w:spacing w:line="360" w:lineRule="auto"/>
        <w:ind w:firstLine="480" w:firstLineChars="200"/>
        <w:rPr>
          <w:rFonts w:hint="default"/>
          <w:color w:val="auto"/>
          <w:highlight w:val="none"/>
        </w:rPr>
      </w:pP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乙方保证按时足额向实际施工人发放薪资，保障用工秩序，如因乙方欠薪导致甲方</w:t>
      </w:r>
      <w:r>
        <w:rPr>
          <w:rFonts w:hint="eastAsia" w:ascii="仿宋_GB2312" w:eastAsia="仿宋_GB2312"/>
          <w:color w:val="auto"/>
          <w:sz w:val="24"/>
          <w:highlight w:val="none"/>
          <w:lang w:val="en-US" w:eastAsia="zh-CN"/>
        </w:rPr>
        <w:t>遭</w:t>
      </w:r>
      <w:r>
        <w:rPr>
          <w:rFonts w:hint="eastAsia" w:ascii="仿宋_GB2312" w:eastAsia="仿宋_GB2312"/>
          <w:color w:val="auto"/>
          <w:sz w:val="24"/>
          <w:highlight w:val="none"/>
        </w:rPr>
        <w:t>实际施工人追讨（包括但不限于前往甲方经营、施工现场、向甲方提起诉讼等），甲方有权在未结算工程款范围内指定乙方优先支付工人薪资，必要时，乙方应配合甲方及实际施工人签订三方支付结算协议。因乙方违反上述义务造成甲方工期延误、</w:t>
      </w:r>
      <w:r>
        <w:rPr>
          <w:rFonts w:hint="eastAsia" w:ascii="仿宋_GB2312" w:eastAsia="仿宋_GB2312"/>
          <w:color w:val="auto"/>
          <w:sz w:val="24"/>
          <w:highlight w:val="none"/>
          <w:lang w:val="en-US" w:eastAsia="zh-CN"/>
        </w:rPr>
        <w:t>项目损失、</w:t>
      </w:r>
      <w:r>
        <w:rPr>
          <w:rFonts w:hint="eastAsia" w:ascii="仿宋_GB2312" w:eastAsia="仿宋_GB2312"/>
          <w:color w:val="auto"/>
          <w:sz w:val="24"/>
          <w:highlight w:val="none"/>
        </w:rPr>
        <w:t>向第三方赔偿、</w:t>
      </w:r>
      <w:r>
        <w:rPr>
          <w:rFonts w:hint="eastAsia" w:ascii="仿宋_GB2312" w:eastAsia="仿宋_GB2312"/>
          <w:color w:val="auto"/>
          <w:sz w:val="24"/>
          <w:highlight w:val="none"/>
          <w:lang w:val="en-US" w:eastAsia="zh-CN"/>
        </w:rPr>
        <w:t>诉讼费、律师费等损失的，由乙方承担全部责任。</w:t>
      </w:r>
    </w:p>
    <w:p w14:paraId="59E4ECD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（二）工程结算：</w:t>
      </w:r>
    </w:p>
    <w:p w14:paraId="317A2B2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1．原则要求</w:t>
      </w:r>
    </w:p>
    <w:p w14:paraId="62E2F19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w:t>
      </w:r>
      <w:permStart w:id="37" w:edGrp="everyone"/>
      <w:r>
        <w:rPr>
          <w:rFonts w:hint="eastAsia" w:ascii="仿宋_GB2312" w:eastAsia="仿宋_GB2312"/>
          <w:color w:val="auto"/>
          <w:sz w:val="24"/>
          <w:highlight w:val="none"/>
        </w:rPr>
        <w:t xml:space="preserve"> 本项目拟安装XX块XXWp N型单晶硅高效组件，</w:t>
      </w:r>
      <w:r>
        <w:rPr>
          <w:rFonts w:hint="eastAsia" w:ascii="仿宋_GB2312" w:eastAsia="仿宋_GB2312"/>
          <w:color w:val="auto"/>
          <w:sz w:val="24"/>
          <w:highlight w:val="none"/>
          <w:lang w:val="en-US" w:eastAsia="zh-CN"/>
        </w:rPr>
        <w:t>总</w:t>
      </w:r>
      <w:r>
        <w:rPr>
          <w:rFonts w:hint="eastAsia" w:ascii="仿宋_GB2312" w:eastAsia="仿宋_GB2312"/>
          <w:color w:val="auto"/>
          <w:sz w:val="24"/>
          <w:highlight w:val="none"/>
        </w:rPr>
        <w:t>安装容量XXkWp</w:t>
      </w:r>
      <w:permEnd w:id="37"/>
      <w:r>
        <w:rPr>
          <w:rFonts w:hint="eastAsia" w:ascii="仿宋_GB2312" w:eastAsia="仿宋_GB2312"/>
          <w:color w:val="auto"/>
          <w:sz w:val="24"/>
          <w:highlight w:val="none"/>
        </w:rPr>
        <w:t>。本合同暂定总价、以固定每瓦单价总承包的方式承包，除容量变动外双方不得以任何理由调整总价。</w:t>
      </w:r>
    </w:p>
    <w:p w14:paraId="1C52421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在组件及支架安装数量不变的情况下，如果因单块组件容量增大导致实际装机容量增大，如580Wp改为585Wp，仍按单块组件580Wp计算总装机容量来结算总价，如组件单块容量不变，安装组件数量增多，可按照实际装机容量结算。</w:t>
      </w:r>
    </w:p>
    <w:p w14:paraId="5523A381">
      <w:pPr>
        <w:adjustRightInd w:val="0"/>
        <w:snapToGrid w:val="0"/>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 竣工结算</w:t>
      </w:r>
    </w:p>
    <w:p w14:paraId="6CC18292">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rPr>
        <w:t>（1）</w:t>
      </w:r>
      <w:r>
        <w:rPr>
          <w:rFonts w:hint="eastAsia" w:ascii="仿宋_GB2312" w:eastAsia="仿宋_GB2312"/>
          <w:color w:val="auto"/>
          <w:sz w:val="24"/>
          <w:szCs w:val="24"/>
          <w:highlight w:val="none"/>
        </w:rPr>
        <w:t>工程经乙方自检合格后，在工程验收前，乙方应在30日内向甲方移交完整的竣工结算资料（含组件、逆变器、并网柜、电缆等主要设备的合格证及使用说明书等竣工资料）。因乙方原因影响结算款的支付由乙方负责</w:t>
      </w:r>
      <w:r>
        <w:rPr>
          <w:rFonts w:hint="eastAsia" w:ascii="仿宋_GB2312" w:eastAsia="仿宋_GB2312"/>
          <w:color w:val="auto"/>
          <w:sz w:val="24"/>
          <w:highlight w:val="none"/>
        </w:rPr>
        <w:t>。</w:t>
      </w:r>
    </w:p>
    <w:p w14:paraId="5EA562D3">
      <w:pPr>
        <w:keepNext w:val="0"/>
        <w:keepLines w:val="0"/>
        <w:pageBreakBefore w:val="0"/>
        <w:widowControl w:val="0"/>
        <w:tabs>
          <w:tab w:val="left" w:pos="900"/>
        </w:tabs>
        <w:kinsoku/>
        <w:wordWrap/>
        <w:overflowPunct/>
        <w:topLinePunct w:val="0"/>
        <w:autoSpaceDE/>
        <w:autoSpaceDN/>
        <w:bidi w:val="0"/>
        <w:adjustRightInd w:val="0"/>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rPr>
        <w:t>（2）甲方结算资料接收人为甲方代表。乙方需按以下要求报送完整结算资料，结算资料包括但不限于下列内容：</w:t>
      </w:r>
    </w:p>
    <w:p w14:paraId="3695B82A">
      <w:pPr>
        <w:keepNext w:val="0"/>
        <w:keepLines w:val="0"/>
        <w:pageBreakBefore w:val="0"/>
        <w:widowControl w:val="0"/>
        <w:kinsoku/>
        <w:wordWrap/>
        <w:overflowPunct/>
        <w:topLinePunct w:val="0"/>
        <w:autoSpaceDE/>
        <w:autoSpaceDN/>
        <w:bidi w:val="0"/>
        <w:adjustRightInd w:val="0"/>
        <w:snapToGrid/>
        <w:spacing w:line="360" w:lineRule="auto"/>
        <w:ind w:left="479" w:leftChars="228"/>
        <w:textAlignment w:val="auto"/>
        <w:rPr>
          <w:rFonts w:hint="default" w:ascii="仿宋_GB2312" w:eastAsia="仿宋_GB2312"/>
          <w:color w:val="auto"/>
          <w:sz w:val="24"/>
          <w:highlight w:val="none"/>
        </w:rPr>
      </w:pPr>
      <w:r>
        <w:rPr>
          <w:rFonts w:hint="eastAsia" w:ascii="仿宋_GB2312" w:eastAsia="仿宋_GB2312"/>
          <w:color w:val="auto"/>
          <w:sz w:val="24"/>
          <w:highlight w:val="none"/>
        </w:rPr>
        <w:t>①</w:t>
      </w:r>
      <w:r>
        <w:rPr>
          <w:rFonts w:hint="default" w:ascii="仿宋_GB2312" w:eastAsia="仿宋_GB2312"/>
          <w:color w:val="auto"/>
          <w:sz w:val="24"/>
          <w:highlight w:val="none"/>
        </w:rPr>
        <w:t>工程结算书（编制说明、造价汇总表等）</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②</w:t>
      </w:r>
      <w:r>
        <w:rPr>
          <w:rFonts w:hint="default" w:ascii="仿宋_GB2312" w:eastAsia="仿宋_GB2312"/>
          <w:color w:val="auto"/>
          <w:sz w:val="24"/>
          <w:highlight w:val="none"/>
        </w:rPr>
        <w:t>竣工图、施工图（经建设方确认的图纸）</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③</w:t>
      </w:r>
      <w:r>
        <w:rPr>
          <w:rFonts w:hint="default" w:ascii="仿宋_GB2312" w:eastAsia="仿宋_GB2312"/>
          <w:color w:val="auto"/>
          <w:sz w:val="24"/>
          <w:highlight w:val="none"/>
        </w:rPr>
        <w:t>工程</w:t>
      </w:r>
      <w:r>
        <w:rPr>
          <w:rFonts w:hint="eastAsia" w:ascii="仿宋_GB2312" w:eastAsia="仿宋_GB2312"/>
          <w:color w:val="auto"/>
          <w:sz w:val="24"/>
          <w:highlight w:val="none"/>
        </w:rPr>
        <w:t>总</w:t>
      </w:r>
      <w:r>
        <w:rPr>
          <w:rFonts w:hint="default" w:ascii="仿宋_GB2312" w:eastAsia="仿宋_GB2312"/>
          <w:color w:val="auto"/>
          <w:sz w:val="24"/>
          <w:highlight w:val="none"/>
        </w:rPr>
        <w:t>承包合同及补充协议</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4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④</w:t>
      </w:r>
      <w:r>
        <w:rPr>
          <w:rFonts w:hint="default" w:ascii="仿宋_GB2312" w:eastAsia="仿宋_GB2312"/>
          <w:color w:val="auto"/>
          <w:sz w:val="24"/>
          <w:highlight w:val="none"/>
        </w:rPr>
        <w:fldChar w:fldCharType="end"/>
      </w:r>
      <w:r>
        <w:rPr>
          <w:rFonts w:hint="default" w:ascii="仿宋_GB2312" w:eastAsia="仿宋_GB2312"/>
          <w:color w:val="auto"/>
          <w:sz w:val="24"/>
          <w:highlight w:val="none"/>
        </w:rPr>
        <w:t>开工</w:t>
      </w:r>
      <w:r>
        <w:rPr>
          <w:rFonts w:hint="eastAsia" w:ascii="仿宋_GB2312" w:eastAsia="仿宋_GB2312"/>
          <w:color w:val="auto"/>
          <w:sz w:val="24"/>
          <w:highlight w:val="none"/>
        </w:rPr>
        <w:t>资料</w:t>
      </w:r>
      <w:r>
        <w:rPr>
          <w:rFonts w:hint="default" w:ascii="仿宋_GB2312" w:eastAsia="仿宋_GB2312"/>
          <w:color w:val="auto"/>
          <w:sz w:val="24"/>
          <w:highlight w:val="none"/>
        </w:rPr>
        <w:t>、工程验收证明、工期延期证明</w:t>
      </w:r>
      <w:r>
        <w:rPr>
          <w:rFonts w:hint="eastAsia" w:ascii="仿宋_GB2312" w:eastAsia="仿宋_GB2312"/>
          <w:color w:val="auto"/>
          <w:sz w:val="24"/>
          <w:highlight w:val="none"/>
        </w:rPr>
        <w:t>、甲方</w:t>
      </w:r>
      <w:r>
        <w:rPr>
          <w:rFonts w:hint="default" w:ascii="仿宋_GB2312" w:eastAsia="仿宋_GB2312"/>
          <w:color w:val="auto"/>
          <w:sz w:val="24"/>
          <w:highlight w:val="none"/>
        </w:rPr>
        <w:t>《</w:t>
      </w:r>
      <w:r>
        <w:rPr>
          <w:rFonts w:hint="eastAsia" w:ascii="仿宋_GB2312" w:eastAsia="仿宋_GB2312"/>
          <w:color w:val="auto"/>
          <w:sz w:val="24"/>
          <w:highlight w:val="none"/>
        </w:rPr>
        <w:t>工程竣工验收申请表》</w:t>
      </w:r>
      <w:r>
        <w:rPr>
          <w:rFonts w:hint="default"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⑤</w:t>
      </w:r>
      <w:r>
        <w:rPr>
          <w:rFonts w:hint="default" w:ascii="仿宋_GB2312" w:eastAsia="仿宋_GB2312"/>
          <w:color w:val="auto"/>
          <w:sz w:val="24"/>
          <w:highlight w:val="none"/>
        </w:rPr>
        <w:t>扣款罚款单（如有）</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⑥甲方结算清单规定的</w:t>
      </w:r>
      <w:r>
        <w:rPr>
          <w:rFonts w:hint="default" w:ascii="仿宋_GB2312" w:eastAsia="仿宋_GB2312"/>
          <w:color w:val="auto"/>
          <w:sz w:val="24"/>
          <w:highlight w:val="none"/>
        </w:rPr>
        <w:t>其他</w:t>
      </w:r>
      <w:r>
        <w:rPr>
          <w:rFonts w:hint="eastAsia" w:ascii="仿宋_GB2312" w:eastAsia="仿宋_GB2312"/>
          <w:color w:val="auto"/>
          <w:sz w:val="24"/>
          <w:highlight w:val="none"/>
        </w:rPr>
        <w:t>工程资料、</w:t>
      </w:r>
      <w:r>
        <w:rPr>
          <w:rFonts w:hint="default" w:ascii="仿宋_GB2312" w:eastAsia="仿宋_GB2312"/>
          <w:color w:val="auto"/>
          <w:sz w:val="24"/>
          <w:highlight w:val="none"/>
        </w:rPr>
        <w:t>结算资料及</w:t>
      </w:r>
      <w:r>
        <w:rPr>
          <w:rFonts w:hint="eastAsia" w:ascii="仿宋_GB2312" w:eastAsia="仿宋_GB2312"/>
          <w:color w:val="auto"/>
          <w:sz w:val="24"/>
          <w:highlight w:val="none"/>
        </w:rPr>
        <w:t>依据。</w:t>
      </w:r>
    </w:p>
    <w:p w14:paraId="04E03623">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rPr>
        <w:t>（3）结算资料报送甲方后，原则上不再调整，但经甲方确认不属实需更改的除外。乙方由于自身原因申请调增结算价款的，甲方有权要求乙方按照审核同意调增金额的</w:t>
      </w:r>
      <w:r>
        <w:rPr>
          <w:rFonts w:hint="default" w:ascii="仿宋_GB2312" w:eastAsia="仿宋_GB2312"/>
          <w:color w:val="auto"/>
          <w:sz w:val="24"/>
          <w:highlight w:val="none"/>
        </w:rPr>
        <w:t>10%</w:t>
      </w:r>
      <w:r>
        <w:rPr>
          <w:rFonts w:hint="eastAsia" w:ascii="仿宋_GB2312" w:eastAsia="仿宋_GB2312"/>
          <w:color w:val="auto"/>
          <w:sz w:val="24"/>
          <w:highlight w:val="none"/>
        </w:rPr>
        <w:t>支付违约金，且甲方结算审核时间相应顺延。</w:t>
      </w:r>
    </w:p>
    <w:p w14:paraId="0AD6A81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rPr>
        <w:t>（4）如出现以下情况，经甲方催办，乙方必须在10天内予以整改或答复。同一问题催办三次乙方仍未按时予以整改或答复的，每逾期一天，</w:t>
      </w:r>
      <w:r>
        <w:rPr>
          <w:rFonts w:hint="eastAsia" w:ascii="仿宋_GB2312" w:eastAsia="仿宋_GB2312"/>
          <w:color w:val="auto"/>
          <w:sz w:val="24"/>
          <w:highlight w:val="none"/>
          <w:lang w:val="en-US" w:eastAsia="zh-CN"/>
        </w:rPr>
        <w:t>乙方需支付违约金</w:t>
      </w:r>
      <w:r>
        <w:rPr>
          <w:rFonts w:hint="eastAsia" w:ascii="仿宋_GB2312" w:eastAsia="仿宋_GB2312"/>
          <w:color w:val="auto"/>
          <w:sz w:val="24"/>
          <w:highlight w:val="none"/>
        </w:rPr>
        <w:t>人民币</w:t>
      </w:r>
      <w:permStart w:id="38" w:edGrp="everyone"/>
      <w:r>
        <w:rPr>
          <w:rFonts w:hint="eastAsia" w:ascii="仿宋_GB2312" w:eastAsia="仿宋_GB2312"/>
          <w:color w:val="auto"/>
          <w:sz w:val="24"/>
          <w:highlight w:val="none"/>
        </w:rPr>
        <w:t>1000</w:t>
      </w:r>
      <w:permEnd w:id="38"/>
      <w:r>
        <w:rPr>
          <w:rFonts w:hint="eastAsia" w:ascii="仿宋_GB2312" w:eastAsia="仿宋_GB2312"/>
          <w:color w:val="auto"/>
          <w:sz w:val="24"/>
          <w:highlight w:val="none"/>
        </w:rPr>
        <w:t>元，处罚金额累计不超过合同总价</w:t>
      </w:r>
      <w:permStart w:id="39" w:edGrp="everyone"/>
      <w:r>
        <w:rPr>
          <w:rFonts w:hint="eastAsia" w:ascii="仿宋_GB2312" w:eastAsia="仿宋_GB2312"/>
          <w:color w:val="auto"/>
          <w:sz w:val="24"/>
          <w:highlight w:val="none"/>
        </w:rPr>
        <w:t>1</w:t>
      </w:r>
      <w:permEnd w:id="39"/>
      <w:r>
        <w:rPr>
          <w:rFonts w:hint="eastAsia" w:ascii="仿宋_GB2312" w:eastAsia="仿宋_GB2312"/>
          <w:color w:val="auto"/>
          <w:sz w:val="24"/>
          <w:highlight w:val="none"/>
        </w:rPr>
        <w:t>%：</w:t>
      </w:r>
    </w:p>
    <w:p w14:paraId="4E8C1595">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仿宋_GB2312" w:eastAsia="仿宋_GB2312"/>
          <w:color w:val="auto"/>
          <w:sz w:val="24"/>
          <w:highlight w:val="none"/>
        </w:rPr>
      </w:pP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1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①</w:t>
      </w:r>
      <w:r>
        <w:rPr>
          <w:rFonts w:hint="default" w:ascii="仿宋_GB2312" w:eastAsia="仿宋_GB2312"/>
          <w:color w:val="auto"/>
          <w:sz w:val="24"/>
          <w:highlight w:val="none"/>
        </w:rPr>
        <w:fldChar w:fldCharType="end"/>
      </w:r>
      <w:r>
        <w:rPr>
          <w:rFonts w:hint="eastAsia" w:ascii="仿宋_GB2312" w:eastAsia="仿宋_GB2312"/>
          <w:color w:val="auto"/>
          <w:sz w:val="24"/>
          <w:highlight w:val="none"/>
        </w:rPr>
        <w:t>工程已竣工验收，乙方未按时提交竣工资料、结算资料；</w:t>
      </w:r>
    </w:p>
    <w:p w14:paraId="33976E9E">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仿宋_GB2312" w:eastAsia="仿宋_GB2312"/>
          <w:color w:val="auto"/>
          <w:sz w:val="24"/>
          <w:highlight w:val="none"/>
        </w:rPr>
      </w:pP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2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②</w:t>
      </w:r>
      <w:r>
        <w:rPr>
          <w:rFonts w:hint="default" w:ascii="仿宋_GB2312" w:eastAsia="仿宋_GB2312"/>
          <w:color w:val="auto"/>
          <w:sz w:val="24"/>
          <w:highlight w:val="none"/>
        </w:rPr>
        <w:fldChar w:fldCharType="end"/>
      </w:r>
      <w:r>
        <w:rPr>
          <w:rFonts w:hint="eastAsia" w:ascii="仿宋_GB2312" w:eastAsia="仿宋_GB2312"/>
          <w:color w:val="auto"/>
          <w:sz w:val="24"/>
          <w:highlight w:val="none"/>
        </w:rPr>
        <w:t>结算资料需补充完善；</w:t>
      </w:r>
    </w:p>
    <w:p w14:paraId="5081B412">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仿宋_GB2312" w:eastAsia="仿宋_GB2312"/>
          <w:color w:val="auto"/>
          <w:sz w:val="24"/>
          <w:highlight w:val="none"/>
        </w:rPr>
      </w:pP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3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③</w:t>
      </w:r>
      <w:r>
        <w:rPr>
          <w:rFonts w:hint="default" w:ascii="仿宋_GB2312" w:eastAsia="仿宋_GB2312"/>
          <w:color w:val="auto"/>
          <w:sz w:val="24"/>
          <w:highlight w:val="none"/>
        </w:rPr>
        <w:fldChar w:fldCharType="end"/>
      </w:r>
      <w:r>
        <w:rPr>
          <w:rFonts w:hint="eastAsia" w:ascii="仿宋_GB2312" w:eastAsia="仿宋_GB2312"/>
          <w:color w:val="auto"/>
          <w:sz w:val="24"/>
          <w:highlight w:val="none"/>
        </w:rPr>
        <w:t>乙方不配合甲方进行商务沟通。</w:t>
      </w:r>
    </w:p>
    <w:p w14:paraId="2E464E1A">
      <w:pPr>
        <w:rPr>
          <w:color w:val="auto"/>
          <w:highlight w:val="none"/>
        </w:rPr>
      </w:pPr>
    </w:p>
    <w:p w14:paraId="28D33048">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八、双方的权利和义务</w:t>
      </w:r>
    </w:p>
    <w:p w14:paraId="4CAB6F7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1．甲方权利与义务</w:t>
      </w:r>
    </w:p>
    <w:p w14:paraId="4FC501D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（1）指派</w:t>
      </w:r>
      <w:permStart w:id="40" w:edGrp="everyone"/>
      <w:r>
        <w:rPr>
          <w:rFonts w:hint="eastAsia" w:ascii="仿宋_GB2312" w:eastAsia="仿宋_GB2312"/>
          <w:color w:val="auto"/>
          <w:sz w:val="24"/>
          <w:highlight w:val="none"/>
        </w:rPr>
        <w:t>XXX</w:t>
      </w:r>
      <w:permEnd w:id="40"/>
      <w:r>
        <w:rPr>
          <w:rFonts w:hint="eastAsia" w:ascii="仿宋_GB2312" w:eastAsia="仿宋_GB2312"/>
          <w:color w:val="auto"/>
          <w:sz w:val="24"/>
          <w:highlight w:val="none"/>
        </w:rPr>
        <w:t>为现场代表，联系方式</w:t>
      </w:r>
      <w:permStart w:id="41" w:edGrp="everyone"/>
      <w:r>
        <w:rPr>
          <w:rFonts w:hint="eastAsia" w:ascii="仿宋_GB2312" w:eastAsia="仿宋_GB2312"/>
          <w:color w:val="auto"/>
          <w:sz w:val="24"/>
          <w:highlight w:val="none"/>
        </w:rPr>
        <w:t>XXXXXXXXXXX</w:t>
      </w:r>
      <w:permEnd w:id="41"/>
      <w:r>
        <w:rPr>
          <w:rFonts w:hint="eastAsia" w:ascii="仿宋_GB2312" w:eastAsia="仿宋_GB2312"/>
          <w:color w:val="auto"/>
          <w:sz w:val="24"/>
          <w:highlight w:val="none"/>
        </w:rPr>
        <w:t>,参与对工程质量、进度及安全的监督检查。甲方中途更换现场代表，应在更换之日起3日内通知乙方。</w:t>
      </w:r>
    </w:p>
    <w:p w14:paraId="1319DB6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（2）有权对乙方设计提供的施工图纸进行审核并提出修改意见。</w:t>
      </w:r>
    </w:p>
    <w:p w14:paraId="1455DF2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（3）有权对乙方工程建设中提供的设备、材料及隐蔽工程进行检验和验收。</w:t>
      </w:r>
    </w:p>
    <w:p w14:paraId="23B69D3F">
      <w:pPr>
        <w:ind w:left="479" w:leftChars="228" w:firstLine="0" w:firstLineChars="0"/>
        <w:rPr>
          <w:rFonts w:hint="default" w:eastAsia="仿宋_GB2312"/>
          <w:color w:val="auto"/>
          <w:highlight w:val="none"/>
          <w:lang w:val="en-US" w:eastAsia="zh-CN"/>
        </w:rPr>
      </w:pPr>
      <w:r>
        <w:rPr>
          <w:rFonts w:hint="eastAsia" w:ascii="仿宋_GB2312" w:eastAsia="仿宋_GB2312"/>
          <w:color w:val="auto"/>
          <w:sz w:val="24"/>
          <w:highlight w:val="none"/>
        </w:rPr>
        <w:t>（4）有权对乙方不规范的施工行为和设备、材料质量、施工进度等提出质疑和处理意见。</w:t>
      </w:r>
    </w:p>
    <w:p w14:paraId="5B830DB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（5）组织监理单位、乙方进行工程技术交底、施工图纸会审、施工安全交底。</w:t>
      </w:r>
    </w:p>
    <w:p w14:paraId="417B802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（6）组织工程竣工验收，负责施工图纸的处理，设计变更、技术核定及现场签证的签署及审批。</w:t>
      </w:r>
    </w:p>
    <w:p w14:paraId="30319C8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（7）配合乙方完成东莞市供电局完成购售电合同等并网资料的盖章、签署。</w:t>
      </w:r>
    </w:p>
    <w:p w14:paraId="79458CE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（8）配合乙方有关工程进度及工程结算的签认工作，乙方递交请款、竣工结算资料后，</w:t>
      </w:r>
      <w:r>
        <w:rPr>
          <w:rFonts w:hint="eastAsia" w:ascii="仿宋_GB2312" w:eastAsia="仿宋_GB2312"/>
          <w:color w:val="auto"/>
          <w:sz w:val="24"/>
          <w:highlight w:val="none"/>
          <w:lang w:val="en-US" w:eastAsia="zh-CN"/>
        </w:rPr>
        <w:t>在乙方完全履约前提下，</w:t>
      </w:r>
      <w:r>
        <w:rPr>
          <w:rFonts w:hint="eastAsia" w:ascii="仿宋_GB2312" w:eastAsia="仿宋_GB2312"/>
          <w:color w:val="auto"/>
          <w:sz w:val="24"/>
          <w:highlight w:val="none"/>
        </w:rPr>
        <w:t>甲方应按时办理完工程进度款和竣工结算的审核，按时向乙方支付工程进度款。</w:t>
      </w:r>
    </w:p>
    <w:p w14:paraId="6BF7F1F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如乙方不按合同要求进行施工，甲方有权通知乙方暂停施工，待整改完毕后报甲方验收并同意后方可复工，由此造成的损失由乙方负责，工期不予顺延；若乙方拒绝整改或在甲方规定的时间内未整改完毕又没有向甲方说明理由的，甲方有权单方解除合同，未支付的工程费不予支付，乙方还应赔偿甲方因此遭受的所有损失</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包括但不限于甲方与第三方进行替代交易、向第三方赔偿、合同履行后的利益损失、诉讼费、律师费、保全保险费等）</w:t>
      </w:r>
      <w:r>
        <w:rPr>
          <w:rFonts w:hint="eastAsia" w:ascii="仿宋_GB2312" w:eastAsia="仿宋_GB2312"/>
          <w:color w:val="auto"/>
          <w:sz w:val="24"/>
          <w:highlight w:val="none"/>
        </w:rPr>
        <w:t>。</w:t>
      </w:r>
    </w:p>
    <w:p w14:paraId="589B9CA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（10）有权监控乙方内部的工资发放情况，对出现的劳资纠纷甲方有权出面进行处理，并有权在支付工程进度款时直接扣留相应的工资优先发放给被拖欠工资的人员，同时乙方应按本合同约定承担违约责任。</w:t>
      </w:r>
    </w:p>
    <w:p w14:paraId="62F2512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2．乙方权利与义务</w:t>
      </w:r>
    </w:p>
    <w:p w14:paraId="636602B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（1）指派</w:t>
      </w:r>
      <w:permStart w:id="42" w:edGrp="everyone"/>
      <w:r>
        <w:rPr>
          <w:rFonts w:hint="eastAsia" w:ascii="仿宋_GB2312" w:eastAsia="仿宋_GB2312"/>
          <w:color w:val="auto"/>
          <w:sz w:val="24"/>
          <w:highlight w:val="none"/>
        </w:rPr>
        <w:t xml:space="preserve"> XXX </w:t>
      </w:r>
      <w:permEnd w:id="42"/>
      <w:r>
        <w:rPr>
          <w:rFonts w:hint="eastAsia" w:ascii="仿宋_GB2312" w:eastAsia="仿宋_GB2312"/>
          <w:color w:val="auto"/>
          <w:sz w:val="24"/>
          <w:highlight w:val="none"/>
        </w:rPr>
        <w:t>为工程总承包项目经理，联系方式</w:t>
      </w:r>
      <w:permStart w:id="43" w:edGrp="everyone"/>
      <w:r>
        <w:rPr>
          <w:rFonts w:hint="eastAsia" w:ascii="仿宋_GB2312" w:eastAsia="仿宋_GB2312"/>
          <w:color w:val="auto"/>
          <w:sz w:val="24"/>
          <w:highlight w:val="none"/>
        </w:rPr>
        <w:t xml:space="preserve"> XXXXXXXXXXX </w:t>
      </w:r>
      <w:permEnd w:id="43"/>
      <w:r>
        <w:rPr>
          <w:rFonts w:hint="eastAsia" w:ascii="仿宋_GB2312" w:eastAsia="仿宋_GB2312"/>
          <w:color w:val="auto"/>
          <w:sz w:val="24"/>
          <w:highlight w:val="none"/>
        </w:rPr>
        <w:t>,负责合同履行，按要求组织施工，解决由乙方负责的各项事宜，同时与屋顶业主对接好施工场地规划、施工时间安排、施工人员进出、施工用水用电等相关事宜。乙方中途更换现场代表，应提出书面申请征得甲方和监理单位同意后方可换人，否则乙方应按本合同约定承担违约金。</w:t>
      </w:r>
    </w:p>
    <w:p w14:paraId="2D5AC00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（2）严格按施工图纸、招标技术要求、设计变更及国家、本市的现行施工验收规范的要求负责本工程的施工，保证本工程质量达到本合同约定的标准，并通过当地供电局的验收。</w:t>
      </w:r>
    </w:p>
    <w:p w14:paraId="4480069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实地勘察并全面了解本工程现场情况，根据招标技术要求及现场情况自行负责委托具备相应资质的设计单位进行施工图纸深化设计、供电方案编制并确保通过甲方、当地供电部门审核通过，按甲方或当地供电部门提出的审查修改意见进行整改。</w:t>
      </w:r>
    </w:p>
    <w:p w14:paraId="2A99ED0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自本工程开工前，乙方应向甲方报送施工组织设计、安全专项方案、施工资质、设计资质、相关管理人员资质、特种作业人员资质、工程一切保险（含第三者）、人员团体意外险，施工总进度计划等开工报审资料，经甲方、监理单位审核同意后，乙方须严格按开工报审资料要求执行。</w:t>
      </w:r>
    </w:p>
    <w:p w14:paraId="2632A51D">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5）项目开工后，乙方须严格执行施工日志制度，每日向甲方提交施工日志，该制度持续至项目并网投运为止。同时，所有主材及设备进场前，乙方必须向甲方报审，并提供完整的产品合格证、质量检验报告及现场检查记录表等资料，经甲方技术人员和监理人员检查确认合格后方可进场使用。</w:t>
      </w:r>
    </w:p>
    <w:p w14:paraId="70459DD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此外，项目经理每月现场出勤天数不得低于施工周期总天数的80%，且需进行现场打卡考勤。若项目经理出勤率未达标准，甲方有权更换项目经理</w:t>
      </w:r>
      <w:r>
        <w:rPr>
          <w:rFonts w:hint="eastAsia" w:ascii="仿宋_GB2312" w:eastAsia="仿宋_GB2312"/>
          <w:color w:val="auto"/>
          <w:sz w:val="24"/>
          <w:highlight w:val="none"/>
          <w:lang w:val="en-US" w:eastAsia="zh-CN"/>
        </w:rPr>
        <w:t>及按施工管理条例进行处罚</w:t>
      </w:r>
      <w:r>
        <w:rPr>
          <w:rFonts w:hint="eastAsia" w:ascii="仿宋_GB2312" w:eastAsia="仿宋_GB2312"/>
          <w:color w:val="auto"/>
          <w:sz w:val="24"/>
          <w:highlight w:val="none"/>
        </w:rPr>
        <w:t>。</w:t>
      </w:r>
    </w:p>
    <w:p w14:paraId="71611CE7">
      <w:pPr>
        <w:spacing w:line="360" w:lineRule="auto"/>
        <w:ind w:firstLine="480" w:firstLineChars="200"/>
        <w:rPr>
          <w:color w:val="auto"/>
          <w:highlight w:val="none"/>
        </w:rPr>
      </w:pPr>
      <w:r>
        <w:rPr>
          <w:rFonts w:hint="eastAsia" w:ascii="仿宋_GB2312" w:eastAsia="仿宋_GB2312"/>
          <w:color w:val="auto"/>
          <w:sz w:val="24"/>
          <w:highlight w:val="none"/>
        </w:rPr>
        <w:t>（6）施工过程中，隐蔽工程完成前乙方需向甲方申请报验并提供现场施工记录表等资料，经甲方专业技术人员、监理人员检验合格并经现场确认后方可进行下一步工序施工。</w:t>
      </w:r>
    </w:p>
    <w:p w14:paraId="4B56D7C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服从甲方对工程进度监督，并严格遵守甲方各项管理规定；服从甲方及监理单位质量检查，对不满足质量要求的必须立即整改，按期完成施工任务；服从甲方现场施工管理与协调，处理、协调好与屋顶业主、当地两违办、经发局、供电部门关系，积极配合其工作，保证项目按工期并网投运。</w:t>
      </w:r>
    </w:p>
    <w:p w14:paraId="54383D3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（8）在全部工程验收合格移交甲方之前,对承包范围内已完</w:t>
      </w:r>
      <w:r>
        <w:rPr>
          <w:rFonts w:hint="eastAsia" w:ascii="仿宋_GB2312" w:eastAsia="仿宋_GB2312"/>
          <w:color w:val="auto"/>
          <w:sz w:val="24"/>
          <w:highlight w:val="none"/>
          <w:lang w:val="en-US" w:eastAsia="zh-CN"/>
        </w:rPr>
        <w:t>成</w:t>
      </w:r>
      <w:r>
        <w:rPr>
          <w:rFonts w:hint="eastAsia" w:ascii="仿宋_GB2312" w:eastAsia="仿宋_GB2312"/>
          <w:color w:val="auto"/>
          <w:sz w:val="24"/>
          <w:highlight w:val="none"/>
        </w:rPr>
        <w:t>工程成品、半成品进行保管、保护，保护期间发生的损坏，乙方自费予以修复。</w:t>
      </w:r>
    </w:p>
    <w:p w14:paraId="4F48E06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（9）施工期间，妥善保护好施工现场周围建筑物、设备管线与其他相关专业的施工成品、半成品，做到人走场清；若有损坏，乙方须无条件修复。</w:t>
      </w:r>
    </w:p>
    <w:p w14:paraId="6E681D3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（10）按甲方相关部门的规定</w:t>
      </w:r>
      <w:r>
        <w:rPr>
          <w:rFonts w:hint="eastAsia" w:ascii="仿宋_GB2312" w:eastAsia="仿宋_GB2312"/>
          <w:color w:val="auto"/>
          <w:sz w:val="24"/>
          <w:highlight w:val="none"/>
          <w:lang w:val="en-US" w:eastAsia="zh-CN"/>
        </w:rPr>
        <w:t>做</w:t>
      </w:r>
      <w:r>
        <w:rPr>
          <w:rFonts w:hint="eastAsia" w:ascii="仿宋_GB2312" w:eastAsia="仿宋_GB2312"/>
          <w:color w:val="auto"/>
          <w:sz w:val="24"/>
          <w:highlight w:val="none"/>
        </w:rPr>
        <w:t>好施工文件报审记录，汇集资料作为竣工资料移交甲方。</w:t>
      </w:r>
    </w:p>
    <w:p w14:paraId="66FE8B1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（11）健全质量、安全检查制度，在现场设专职质量、安全检查员，做好自检</w:t>
      </w:r>
      <w:r>
        <w:rPr>
          <w:rFonts w:hint="eastAsia" w:ascii="仿宋_GB2312" w:eastAsia="仿宋_GB2312"/>
          <w:color w:val="auto"/>
          <w:sz w:val="24"/>
          <w:highlight w:val="none"/>
          <w:lang w:val="en-US" w:eastAsia="zh-CN"/>
        </w:rPr>
        <w:t>记</w:t>
      </w:r>
      <w:r>
        <w:rPr>
          <w:rFonts w:hint="eastAsia" w:ascii="仿宋_GB2312" w:eastAsia="仿宋_GB2312"/>
          <w:color w:val="auto"/>
          <w:sz w:val="24"/>
          <w:highlight w:val="none"/>
        </w:rPr>
        <w:t>录。</w:t>
      </w:r>
      <w:r>
        <w:rPr>
          <w:rFonts w:hint="eastAsia" w:ascii="仿宋_GB2312" w:hAnsi="宋体" w:eastAsia="仿宋_GB2312"/>
          <w:color w:val="auto"/>
          <w:sz w:val="24"/>
          <w:highlight w:val="none"/>
        </w:rPr>
        <w:t>必须时时做好施工人员的安全教育，</w:t>
      </w:r>
      <w:r>
        <w:rPr>
          <w:rFonts w:hint="eastAsia" w:ascii="仿宋_GB2312" w:eastAsia="仿宋_GB2312"/>
          <w:color w:val="auto"/>
          <w:sz w:val="24"/>
          <w:highlight w:val="none"/>
        </w:rPr>
        <w:t>为施工现场人员办理人身意外伤害保险、工伤保险和第三者责任险，</w:t>
      </w:r>
      <w:r>
        <w:rPr>
          <w:rFonts w:hint="eastAsia" w:ascii="仿宋_GB2312" w:hAnsi="宋体" w:eastAsia="仿宋_GB2312"/>
          <w:color w:val="auto"/>
          <w:sz w:val="24"/>
          <w:highlight w:val="none"/>
        </w:rPr>
        <w:t>杜绝安全事故的发生</w:t>
      </w:r>
      <w:r>
        <w:rPr>
          <w:rFonts w:hint="eastAsia" w:ascii="仿宋_GB2312" w:eastAsia="仿宋_GB2312"/>
          <w:color w:val="auto"/>
          <w:sz w:val="24"/>
          <w:highlight w:val="none"/>
        </w:rPr>
        <w:t>。因</w:t>
      </w:r>
      <w:r>
        <w:rPr>
          <w:rFonts w:hint="eastAsia" w:ascii="仿宋_GB2312" w:hAnsi="宋体" w:eastAsia="仿宋_GB2312"/>
          <w:color w:val="auto"/>
          <w:sz w:val="24"/>
          <w:highlight w:val="none"/>
        </w:rPr>
        <w:t>安全施工措施不力等</w:t>
      </w:r>
      <w:r>
        <w:rPr>
          <w:rFonts w:hint="eastAsia" w:ascii="仿宋_GB2312" w:eastAsia="仿宋_GB2312"/>
          <w:color w:val="auto"/>
          <w:sz w:val="24"/>
          <w:highlight w:val="none"/>
        </w:rPr>
        <w:t>乙方原因造成任何人员伤亡（包括第三方人员伤亡在内），一切责任均由乙方负责。给甲方造成的损失的（包括但不限于声誉及经济损失），乙方还应进行赔偿。</w:t>
      </w:r>
    </w:p>
    <w:p w14:paraId="4F6F779A">
      <w:pPr>
        <w:spacing w:line="360" w:lineRule="auto"/>
        <w:ind w:firstLine="480" w:firstLineChars="200"/>
        <w:rPr>
          <w:rFonts w:hint="eastAsia" w:ascii="仿宋_GB2312" w:hAnsi="宋体" w:eastAsia="仿宋_GB2312"/>
          <w:color w:val="auto"/>
          <w:sz w:val="24"/>
          <w:highlight w:val="none"/>
        </w:rPr>
      </w:pPr>
      <w:r>
        <w:rPr>
          <w:rFonts w:hint="eastAsia" w:ascii="仿宋_GB2312" w:eastAsia="仿宋_GB2312"/>
          <w:color w:val="auto"/>
          <w:sz w:val="24"/>
          <w:highlight w:val="none"/>
        </w:rPr>
        <w:t>（12）</w:t>
      </w:r>
      <w:r>
        <w:rPr>
          <w:rFonts w:hint="eastAsia" w:ascii="仿宋_GB2312" w:hAnsi="宋体" w:eastAsia="仿宋_GB2312"/>
          <w:color w:val="auto"/>
          <w:sz w:val="24"/>
          <w:highlight w:val="none"/>
        </w:rPr>
        <w:t>乙方应服从甲方管理，并与甲方签订“安全协议”。</w:t>
      </w:r>
    </w:p>
    <w:p w14:paraId="4D7FA05A">
      <w:pPr>
        <w:rPr>
          <w:color w:val="auto"/>
          <w:highlight w:val="none"/>
        </w:rPr>
      </w:pPr>
    </w:p>
    <w:p w14:paraId="323687C4">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九、现场施工管理</w:t>
      </w:r>
    </w:p>
    <w:p w14:paraId="712FF68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1．材料、设备管理</w:t>
      </w:r>
    </w:p>
    <w:p w14:paraId="4AB1B34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（1）乙方应严格按会审好的施工图纸要求选择材料、设备与施工工艺，按图施工。</w:t>
      </w:r>
    </w:p>
    <w:p w14:paraId="04DE93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（2）乙方进场材料、设备应报甲方、监理单位验收确认，材料、设备经甲方、监理单位确认同意后方可进行施工，否则，甲方有权要求乙方返工，不合格的材料、设备退场，且施工工期不得顺延。</w:t>
      </w:r>
    </w:p>
    <w:p w14:paraId="4855169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2．现场施工管理</w:t>
      </w:r>
    </w:p>
    <w:p w14:paraId="34B8EEE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无论任何一方提出设计变更（如：改变设备、材料、规格、型号、产地、功能等；或需要更改施工路线，设备安装位置，改变系统功能等），均需先由提出设计变更要求的一方提出变更方案，交监理单位审核后报甲方及相关部门审批确认后方可实施。设计变更一律使用书面通知形式，任何口头通知都属无效。</w:t>
      </w:r>
    </w:p>
    <w:p w14:paraId="21E6094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在进场施工前应编制书面进场报告给甲方，进场报告中应包括：施工组织设计、施工安全专项方案、施工资质、设计资质、相关管理人员资质、特种作业人员资质、工程一切保险（含第三者）、人员团体意外险、详细的工程进度计划及相关的联络、投诉电话等。</w:t>
      </w:r>
    </w:p>
    <w:p w14:paraId="6A21511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（3）乙方必须服从甲方现场工程师（监理）的监督、管理，接受合理的、先进的施工方法建议。</w:t>
      </w:r>
    </w:p>
    <w:p w14:paraId="19A0312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（4）乙方在实施施工图纸时，发现问题要及时向甲方及监理单位汇报与沟通，确实需要更改原工程施工图纸的，应书面报经监理单位确认并经甲方及相关部门审批后方可实施，不得擅作修改。</w:t>
      </w:r>
    </w:p>
    <w:p w14:paraId="6712460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成品保护措施：彩钢瓦屋面或脆弱屋面在实施前应采集承载数据，符合承载要求才可进行安装；应采取避免集中受力的保证措施，如架设轻质木板或其他增大受力面积的保证措施，同时必须优先安装运维通道，避免彩钢瓦因集中受力变形破裂受损。如因保护措施不足，使原有彩钢瓦受损，承包单位应承担维修责任及费用，情况严重的，我司有权要求更换全部彩钢瓦屋面。</w:t>
      </w:r>
    </w:p>
    <w:p w14:paraId="590300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（6）乙方在施工中要严格按照国家标准规范或专业的技术规范施工，并最终通过相关部门验收合格。</w:t>
      </w:r>
    </w:p>
    <w:p w14:paraId="2328F4C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（7）乙方在施工过程中，应做好各种工程施工记录，填写各种工程验收所必</w:t>
      </w:r>
      <w:r>
        <w:rPr>
          <w:rFonts w:hint="eastAsia" w:ascii="仿宋_GB2312" w:eastAsia="仿宋_GB2312"/>
          <w:color w:val="auto"/>
          <w:sz w:val="24"/>
          <w:highlight w:val="none"/>
          <w:lang w:val="en-US" w:eastAsia="zh-CN"/>
        </w:rPr>
        <w:t>需</w:t>
      </w:r>
      <w:r>
        <w:rPr>
          <w:rFonts w:hint="eastAsia" w:ascii="仿宋_GB2312" w:eastAsia="仿宋_GB2312"/>
          <w:color w:val="auto"/>
          <w:sz w:val="24"/>
          <w:highlight w:val="none"/>
        </w:rPr>
        <w:t>的工程资料。</w:t>
      </w:r>
    </w:p>
    <w:p w14:paraId="7798887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（8）乙方施工过程中，应遵守甲方、监理单位制定的《工程管理制度》，乙方违反现场施工管理制度的，应接受相关单位的罚款等处罚。</w:t>
      </w:r>
    </w:p>
    <w:p w14:paraId="43EECC5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乙方应在项目现场设立安全警示牌。危险区域必须悬挂“临边区域，当心坠落”、“高空作业，当心坠落”、“小心踏空，以防坠落”、“以防坠落，请勿攀爬”、“吊装作业，请勿靠近”、“高压有电，请勿靠近”、“当心触电”、“注意安全 ”、“严禁烟火”、“禁止通行”或“高空作业，系好安全带”、“必须系安全带”、“必须戴安全帽”等安全警示标志。</w:t>
      </w:r>
    </w:p>
    <w:p w14:paraId="34F9DAA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（10）</w:t>
      </w:r>
      <w:r>
        <w:rPr>
          <w:rFonts w:hint="default" w:ascii="仿宋_GB2312" w:eastAsia="仿宋_GB2312"/>
          <w:color w:val="auto"/>
          <w:sz w:val="24"/>
          <w:highlight w:val="none"/>
        </w:rPr>
        <w:t>乙方</w:t>
      </w:r>
      <w:r>
        <w:rPr>
          <w:rFonts w:hint="eastAsia" w:ascii="仿宋_GB2312" w:eastAsia="仿宋_GB2312"/>
          <w:color w:val="auto"/>
          <w:sz w:val="24"/>
          <w:highlight w:val="none"/>
        </w:rPr>
        <w:t>在</w:t>
      </w:r>
      <w:r>
        <w:rPr>
          <w:rFonts w:hint="default" w:ascii="仿宋_GB2312" w:eastAsia="仿宋_GB2312"/>
          <w:color w:val="auto"/>
          <w:sz w:val="24"/>
          <w:highlight w:val="none"/>
        </w:rPr>
        <w:t>施工过程有义务</w:t>
      </w:r>
      <w:r>
        <w:rPr>
          <w:rFonts w:hint="eastAsia" w:ascii="仿宋_GB2312" w:eastAsia="仿宋_GB2312"/>
          <w:color w:val="auto"/>
          <w:sz w:val="24"/>
          <w:highlight w:val="none"/>
        </w:rPr>
        <w:t>完成</w:t>
      </w:r>
      <w:r>
        <w:rPr>
          <w:rFonts w:hint="default" w:ascii="仿宋_GB2312" w:eastAsia="仿宋_GB2312"/>
          <w:color w:val="auto"/>
          <w:sz w:val="24"/>
          <w:highlight w:val="none"/>
        </w:rPr>
        <w:t>施工图纸深化</w:t>
      </w:r>
      <w:r>
        <w:rPr>
          <w:rFonts w:hint="eastAsia" w:ascii="仿宋_GB2312" w:eastAsia="仿宋_GB2312"/>
          <w:color w:val="auto"/>
          <w:sz w:val="24"/>
          <w:highlight w:val="none"/>
        </w:rPr>
        <w:t>设计</w:t>
      </w:r>
      <w:r>
        <w:rPr>
          <w:rFonts w:hint="default" w:ascii="仿宋_GB2312" w:eastAsia="仿宋_GB2312"/>
          <w:color w:val="auto"/>
          <w:sz w:val="24"/>
          <w:highlight w:val="none"/>
        </w:rPr>
        <w:t>，如果在施工过程中因为图纸设计不合理或不应发生的损失由乙方承担，工期不顺延，如乙方提出合理化建议后，由于甲方</w:t>
      </w:r>
      <w:r>
        <w:rPr>
          <w:rFonts w:hint="eastAsia" w:ascii="仿宋_GB2312" w:eastAsia="仿宋_GB2312"/>
          <w:color w:val="auto"/>
          <w:sz w:val="24"/>
          <w:highlight w:val="none"/>
        </w:rPr>
        <w:t>以及</w:t>
      </w:r>
      <w:r>
        <w:rPr>
          <w:rFonts w:hint="default" w:ascii="仿宋_GB2312" w:eastAsia="仿宋_GB2312"/>
          <w:color w:val="auto"/>
          <w:sz w:val="24"/>
          <w:highlight w:val="none"/>
        </w:rPr>
        <w:t>监理</w:t>
      </w:r>
      <w:r>
        <w:rPr>
          <w:rFonts w:hint="eastAsia" w:ascii="仿宋_GB2312" w:eastAsia="仿宋_GB2312"/>
          <w:color w:val="auto"/>
          <w:sz w:val="24"/>
          <w:highlight w:val="none"/>
        </w:rPr>
        <w:t>单位</w:t>
      </w:r>
      <w:r>
        <w:rPr>
          <w:rFonts w:hint="default" w:ascii="仿宋_GB2312" w:eastAsia="仿宋_GB2312"/>
          <w:color w:val="auto"/>
          <w:sz w:val="24"/>
          <w:highlight w:val="none"/>
        </w:rPr>
        <w:t>没有及时处理造成的损失</w:t>
      </w:r>
      <w:r>
        <w:rPr>
          <w:rFonts w:hint="eastAsia" w:ascii="仿宋_GB2312" w:eastAsia="仿宋_GB2312"/>
          <w:color w:val="auto"/>
          <w:sz w:val="24"/>
          <w:highlight w:val="none"/>
        </w:rPr>
        <w:t>由</w:t>
      </w:r>
      <w:r>
        <w:rPr>
          <w:rFonts w:hint="default" w:ascii="仿宋_GB2312" w:eastAsia="仿宋_GB2312"/>
          <w:color w:val="auto"/>
          <w:sz w:val="24"/>
          <w:highlight w:val="none"/>
        </w:rPr>
        <w:t>责任方承担。</w:t>
      </w:r>
    </w:p>
    <w:p w14:paraId="4C01623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11）乙方应无条件执行甲方、监理公司的工程指令，按照施工图纸、图纸会审纪要、施工及验收规范进行施工，按合同约定按时保质地完成全部承建内容。合同约定由乙方完成的施工内容和配合工作（包括合同约定、会议纪要、设计变更工程指令、安全文明施工、成品保护等），乙方应全面完成，若由于乙方原因未能按质按期完成或乙方明确表示不予完成的，甲方有权单方解除合同，未支付的工程费不予支付，乙方还应赔偿甲方因此遭受的所有损失</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包括但不限于甲方与第三方进行替代交易、向第三方赔偿、合同履行后的利益损失、诉讼费、律师费、保全保险费等）</w:t>
      </w:r>
    </w:p>
    <w:p w14:paraId="02706783">
      <w:pPr>
        <w:spacing w:line="360" w:lineRule="auto"/>
        <w:rPr>
          <w:rFonts w:hint="eastAsia" w:ascii="仿宋_GB2312" w:eastAsia="仿宋_GB2312"/>
          <w:b/>
          <w:color w:val="auto"/>
          <w:sz w:val="24"/>
          <w:highlight w:val="none"/>
        </w:rPr>
      </w:pPr>
    </w:p>
    <w:p w14:paraId="1140C148">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十、工程验收</w:t>
      </w:r>
    </w:p>
    <w:p w14:paraId="6FE1AAD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1．材料设备检查、验收及交货</w:t>
      </w:r>
    </w:p>
    <w:p w14:paraId="474EEDE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（1）乙</w:t>
      </w:r>
      <w:r>
        <w:rPr>
          <w:rFonts w:hint="eastAsia" w:ascii="仿宋_GB2312" w:eastAsia="仿宋_GB2312"/>
          <w:color w:val="auto"/>
          <w:sz w:val="24"/>
          <w:highlight w:val="none"/>
          <w:lang w:val="en-US" w:eastAsia="zh-CN"/>
        </w:rPr>
        <w:t>方</w:t>
      </w:r>
      <w:r>
        <w:rPr>
          <w:rFonts w:hint="eastAsia" w:ascii="仿宋_GB2312" w:eastAsia="仿宋_GB2312"/>
          <w:color w:val="auto"/>
          <w:sz w:val="24"/>
          <w:highlight w:val="none"/>
        </w:rPr>
        <w:t>材料设备进场前应向甲方进行品牌、型号规格、</w:t>
      </w:r>
      <w:r>
        <w:rPr>
          <w:rFonts w:hint="default" w:ascii="仿宋_GB2312" w:eastAsia="仿宋_GB2312"/>
          <w:color w:val="auto"/>
          <w:sz w:val="24"/>
          <w:highlight w:val="none"/>
        </w:rPr>
        <w:t>技术参数</w:t>
      </w:r>
      <w:r>
        <w:rPr>
          <w:rFonts w:hint="eastAsia" w:ascii="仿宋_GB2312" w:eastAsia="仿宋_GB2312"/>
          <w:color w:val="auto"/>
          <w:sz w:val="24"/>
          <w:highlight w:val="none"/>
        </w:rPr>
        <w:t>等报审，经甲方确认后方可采购。材料设备运抵工地后乙方应通知甲方及监理工程师，共同开箱验收，经进场验收合格并填写设备材料现场检查记录表后方可施工。未经验收擅自使用的材料设备，甲方有权对该部分工程量不予确认，并要求乙方按要求重新购买材料设备</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rPr>
        <w:t>且工期不予顺延。</w:t>
      </w:r>
    </w:p>
    <w:p w14:paraId="1B139C4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（2）进场验收合格并不免除任何乙方对材料设备存在质量、设计、性能方面的缺陷和不合格的责任，</w:t>
      </w:r>
      <w:r>
        <w:rPr>
          <w:rFonts w:hint="default" w:ascii="仿宋_GB2312" w:eastAsia="仿宋_GB2312"/>
          <w:color w:val="auto"/>
          <w:sz w:val="24"/>
          <w:highlight w:val="none"/>
        </w:rPr>
        <w:t>以及材料设备品牌、规格型号、技术参数等不符合合同约定的责任</w:t>
      </w:r>
      <w:r>
        <w:rPr>
          <w:rFonts w:hint="eastAsia" w:ascii="仿宋_GB2312" w:eastAsia="仿宋_GB2312"/>
          <w:color w:val="auto"/>
          <w:sz w:val="24"/>
          <w:highlight w:val="none"/>
        </w:rPr>
        <w:t>。</w:t>
      </w:r>
      <w:r>
        <w:rPr>
          <w:rFonts w:hint="eastAsia" w:ascii="仿宋_GB2312" w:hAnsi="宋体" w:eastAsia="仿宋_GB2312"/>
          <w:color w:val="auto"/>
          <w:sz w:val="24"/>
          <w:highlight w:val="none"/>
        </w:rPr>
        <w:t>甲方有权</w:t>
      </w:r>
      <w:r>
        <w:rPr>
          <w:rFonts w:hint="default" w:ascii="仿宋_GB2312" w:hAnsi="宋体" w:eastAsia="仿宋_GB2312"/>
          <w:color w:val="auto"/>
          <w:sz w:val="24"/>
          <w:highlight w:val="none"/>
        </w:rPr>
        <w:t>对</w:t>
      </w:r>
      <w:r>
        <w:rPr>
          <w:rFonts w:hint="eastAsia" w:ascii="仿宋_GB2312" w:hAnsi="宋体" w:eastAsia="仿宋_GB2312"/>
          <w:color w:val="auto"/>
          <w:sz w:val="24"/>
          <w:highlight w:val="none"/>
        </w:rPr>
        <w:t>材料设备</w:t>
      </w:r>
      <w:r>
        <w:rPr>
          <w:rFonts w:hint="default" w:ascii="仿宋_GB2312" w:hAnsi="宋体" w:eastAsia="仿宋_GB2312"/>
          <w:color w:val="auto"/>
          <w:sz w:val="24"/>
          <w:highlight w:val="none"/>
        </w:rPr>
        <w:t>进行破坏性检验，</w:t>
      </w:r>
      <w:r>
        <w:rPr>
          <w:rFonts w:hint="eastAsia" w:ascii="仿宋_GB2312" w:hAnsi="宋体" w:eastAsia="仿宋_GB2312"/>
          <w:color w:val="auto"/>
          <w:sz w:val="24"/>
          <w:highlight w:val="none"/>
        </w:rPr>
        <w:t>如</w:t>
      </w:r>
      <w:r>
        <w:rPr>
          <w:rFonts w:hint="default" w:ascii="仿宋_GB2312" w:hAnsi="宋体" w:eastAsia="仿宋_GB2312"/>
          <w:color w:val="auto"/>
          <w:sz w:val="24"/>
          <w:highlight w:val="none"/>
        </w:rPr>
        <w:t>检验结论证明</w:t>
      </w:r>
      <w:r>
        <w:rPr>
          <w:rFonts w:hint="eastAsia" w:ascii="仿宋_GB2312" w:hAnsi="宋体" w:eastAsia="仿宋_GB2312"/>
          <w:color w:val="auto"/>
          <w:sz w:val="24"/>
          <w:highlight w:val="none"/>
        </w:rPr>
        <w:t>材料设备</w:t>
      </w:r>
      <w:r>
        <w:rPr>
          <w:rFonts w:hint="default" w:ascii="仿宋_GB2312" w:hAnsi="宋体" w:eastAsia="仿宋_GB2312"/>
          <w:color w:val="auto"/>
          <w:sz w:val="24"/>
          <w:highlight w:val="none"/>
        </w:rPr>
        <w:t>不符合合同约定的要求，检验费用</w:t>
      </w:r>
      <w:r>
        <w:rPr>
          <w:rFonts w:hint="eastAsia" w:ascii="仿宋_GB2312" w:hAnsi="宋体" w:eastAsia="仿宋_GB2312"/>
          <w:color w:val="auto"/>
          <w:sz w:val="24"/>
          <w:highlight w:val="none"/>
        </w:rPr>
        <w:t>由</w:t>
      </w:r>
      <w:r>
        <w:rPr>
          <w:rFonts w:hint="default" w:ascii="仿宋_GB2312" w:hAnsi="宋体" w:eastAsia="仿宋_GB2312"/>
          <w:color w:val="auto"/>
          <w:sz w:val="24"/>
          <w:highlight w:val="none"/>
        </w:rPr>
        <w:t>乙方承担</w:t>
      </w:r>
      <w:r>
        <w:rPr>
          <w:rFonts w:hint="eastAsia" w:ascii="仿宋_GB2312" w:hAnsi="宋体" w:eastAsia="仿宋_GB2312"/>
          <w:color w:val="auto"/>
          <w:sz w:val="24"/>
          <w:highlight w:val="none"/>
        </w:rPr>
        <w:t>，并无条件对不符合合同约定要求的材料设备进行更换。</w:t>
      </w:r>
    </w:p>
    <w:p w14:paraId="6C0A12F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（3）进场验收合格后的材料不能及时使用的，应由乙方自行负责保管，并承担保管风险。</w:t>
      </w:r>
    </w:p>
    <w:p w14:paraId="7E97A51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2．工程竣工验收</w:t>
      </w:r>
    </w:p>
    <w:p w14:paraId="31D66E8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乙方安装完毕，在自检合格的基础上，负责组织调试检查，调试自检合格后书面通知甲方、监理方，协同甲方及监理作预验收检查，各方应及时参加验收；预验收检查合格后3天内乙方应负责向供电部门办理并网手续。</w:t>
      </w:r>
    </w:p>
    <w:p w14:paraId="3C1C902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（2）乙方应按甲方合理要求及时组织验收整改。本工程通过当地供电局验收合格并送电并网后15天内，乙方应及时完成竣工验收整改后向甲方移交，双方办理工程移交。</w:t>
      </w:r>
    </w:p>
    <w:p w14:paraId="7B2211B6">
      <w:pPr>
        <w:spacing w:line="360" w:lineRule="auto"/>
        <w:ind w:firstLine="480" w:firstLineChars="200"/>
        <w:rPr>
          <w:color w:val="auto"/>
          <w:highlight w:val="none"/>
        </w:rPr>
      </w:pPr>
      <w:r>
        <w:rPr>
          <w:rFonts w:hint="eastAsia" w:ascii="仿宋_GB2312" w:eastAsia="仿宋_GB2312"/>
          <w:color w:val="auto"/>
          <w:sz w:val="24"/>
          <w:highlight w:val="none"/>
        </w:rPr>
        <w:t>（3）工程竣工时，乙方负责收集、整理本工程承包范围内的全部资料，在甲方规定的时间内向甲方提交全部施工资料，同时资料应满足甲方归档要求。</w:t>
      </w:r>
    </w:p>
    <w:p w14:paraId="4BCBB6C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（4）自本工程并网投运后3天内，乙方人员应从施工现场撤离并清理运出乙方剩余材料、设备、垃圾和各种临时设施，保持整个现场清洁、美观，达到竣工使用状态。</w:t>
      </w:r>
    </w:p>
    <w:p w14:paraId="1EB681CE">
      <w:pPr>
        <w:spacing w:line="360" w:lineRule="auto"/>
        <w:rPr>
          <w:rFonts w:hint="default" w:ascii="仿宋_GB2312" w:eastAsia="仿宋_GB2312"/>
          <w:b/>
          <w:color w:val="auto"/>
          <w:sz w:val="24"/>
          <w:highlight w:val="none"/>
        </w:rPr>
      </w:pPr>
    </w:p>
    <w:p w14:paraId="60C57D15">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十一、工程保修</w:t>
      </w:r>
    </w:p>
    <w:p w14:paraId="675E0C3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1．本工程</w:t>
      </w:r>
      <w:r>
        <w:rPr>
          <w:rFonts w:hint="eastAsia" w:ascii="仿宋_GB2312" w:eastAsia="仿宋_GB2312"/>
          <w:color w:val="auto"/>
          <w:sz w:val="24"/>
          <w:highlight w:val="none"/>
          <w:lang w:val="en-US" w:eastAsia="zh-CN"/>
        </w:rPr>
        <w:t>缺陷责任期</w:t>
      </w:r>
      <w:r>
        <w:rPr>
          <w:rFonts w:hint="eastAsia" w:ascii="仿宋_GB2312" w:eastAsia="仿宋_GB2312"/>
          <w:color w:val="auto"/>
          <w:sz w:val="24"/>
          <w:highlight w:val="none"/>
        </w:rPr>
        <w:t>为</w:t>
      </w:r>
      <w:permStart w:id="44" w:edGrp="everyone"/>
      <w:r>
        <w:rPr>
          <w:rFonts w:hint="default" w:ascii="仿宋_GB2312" w:eastAsia="仿宋_GB2312"/>
          <w:color w:val="auto"/>
          <w:sz w:val="24"/>
          <w:highlight w:val="none"/>
        </w:rPr>
        <w:t>2</w:t>
      </w:r>
      <w:permEnd w:id="44"/>
      <w:r>
        <w:rPr>
          <w:rFonts w:hint="eastAsia" w:ascii="仿宋_GB2312" w:eastAsia="仿宋_GB2312"/>
          <w:color w:val="auto"/>
          <w:sz w:val="24"/>
          <w:highlight w:val="none"/>
        </w:rPr>
        <w:t>年，自本工程验收合格，并网投运并交付给甲方之日起计。</w:t>
      </w:r>
    </w:p>
    <w:p w14:paraId="2686BA3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保修责任：在本工程保修期内，乙方须对无法正常运行的设备承担维修或更换责任。设备发生故障时，乙方应在接到甲方通知后2小时内予以响应，并在4小时内派遣技术人员抵达现场进行维修；若故障无法现场修复，乙方须立即更换新设备或配件以确保发电系统正常运行。若乙方未能按时响应、拒绝维修或未及时处理故障，甲方有权委托第三方进行维修，由此产生的全部维修费用由乙方承担，并需额外支付维修费用20%的违约金，相关款项将从质量保修金中直接扣除</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质量保修金不足以覆盖甲方全部损失的，甲方有权向乙方追索，乙方应在接到甲方通知后5个工作日内补足</w:t>
      </w:r>
      <w:r>
        <w:rPr>
          <w:rFonts w:hint="eastAsia" w:ascii="仿宋_GB2312" w:eastAsia="仿宋_GB2312"/>
          <w:color w:val="auto"/>
          <w:sz w:val="24"/>
          <w:highlight w:val="none"/>
        </w:rPr>
        <w:t>。如因乙方维修延误或维修不当导致电站全部或部分停运，由此产生的发电量损失（按该项目当月光伏结算单价计算）由乙方全额赔偿。</w:t>
      </w:r>
    </w:p>
    <w:p w14:paraId="08CF0D1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eastAsia" w:ascii="仿宋_GB2312" w:eastAsia="仿宋_GB2312"/>
          <w:color w:val="auto"/>
          <w:sz w:val="24"/>
          <w:highlight w:val="none"/>
        </w:rPr>
        <w:t>．保修期限届满后，在设备发生故障时，甲方不能自行排除时，通知乙方，乙方应在接到通知后3小时之内派员到达现场进行维修，协助排除故障，超过保修期更换零配件的，乙方应按出厂价收取，人工费按市场标准收取。</w:t>
      </w:r>
    </w:p>
    <w:p w14:paraId="0FDE71F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．工程在交付使用前，乙方应对甲方或业主单位的人员进行技术指导培训，保证甲方或业主单位的人员掌握光伏系统具体情况及设备的操作使用方法、注意事项。</w:t>
      </w:r>
    </w:p>
    <w:p w14:paraId="6AB364C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．乙方应以书面形式提供保修服务队伍有效的名称、资质、人员配备、联系地址、电话等详细资料（若乙方提供的保修服务队伍的地址、电话等变更应及时以书面通知甲方</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如因乙方未及时通知导致未能及时响应的，按上述第2款约定处理</w:t>
      </w:r>
      <w:r>
        <w:rPr>
          <w:rFonts w:hint="eastAsia" w:ascii="仿宋_GB2312" w:eastAsia="仿宋_GB2312"/>
          <w:color w:val="auto"/>
          <w:sz w:val="24"/>
          <w:highlight w:val="none"/>
        </w:rPr>
        <w:t>）。</w:t>
      </w:r>
    </w:p>
    <w:p w14:paraId="0B952643">
      <w:pPr>
        <w:spacing w:line="360" w:lineRule="auto"/>
        <w:rPr>
          <w:rFonts w:hint="default" w:ascii="仿宋_GB2312" w:eastAsia="仿宋_GB2312"/>
          <w:b/>
          <w:color w:val="auto"/>
          <w:sz w:val="24"/>
          <w:highlight w:val="none"/>
        </w:rPr>
      </w:pPr>
    </w:p>
    <w:p w14:paraId="01A2A474">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十二、违约</w:t>
      </w:r>
      <w:r>
        <w:rPr>
          <w:rFonts w:hint="eastAsia" w:ascii="仿宋_GB2312" w:eastAsia="仿宋_GB2312"/>
          <w:b/>
          <w:color w:val="auto"/>
          <w:sz w:val="24"/>
          <w:highlight w:val="none"/>
          <w:lang w:val="en-US" w:eastAsia="zh-CN"/>
        </w:rPr>
        <w:t>及合同解除</w:t>
      </w:r>
    </w:p>
    <w:p w14:paraId="05928BD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工程严禁转包或违法分包，若乙方擅自违法分包、转包或中途退场的，甲方有权单方解除本合同，合同解除后，乙方应无条件退还甲方已付工程款，同时应向甲方支付合同总价10%的违约金，且乙方无权要求甲方退回履约保证金。</w:t>
      </w:r>
    </w:p>
    <w:p w14:paraId="416724A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2．乙方逾期并网的，需按每逾期一天向甲方支付合同总价</w:t>
      </w:r>
      <w:r>
        <w:rPr>
          <w:rFonts w:hint="eastAsia" w:ascii="仿宋_GB2312" w:eastAsia="仿宋_GB2312"/>
          <w:b/>
          <w:color w:val="auto"/>
          <w:sz w:val="24"/>
          <w:highlight w:val="none"/>
        </w:rPr>
        <w:t>1‰</w:t>
      </w:r>
      <w:r>
        <w:rPr>
          <w:rFonts w:hint="eastAsia" w:ascii="仿宋_GB2312" w:eastAsia="仿宋_GB2312"/>
          <w:color w:val="auto"/>
          <w:sz w:val="24"/>
          <w:highlight w:val="none"/>
        </w:rPr>
        <w:t>的违约金，累计至合同总价的</w:t>
      </w:r>
      <w:permStart w:id="45" w:edGrp="everyone"/>
      <w:r>
        <w:rPr>
          <w:rFonts w:hint="eastAsia" w:ascii="仿宋_GB2312" w:eastAsia="仿宋_GB2312"/>
          <w:color w:val="auto"/>
          <w:sz w:val="24"/>
          <w:highlight w:val="none"/>
        </w:rPr>
        <w:t>30%</w:t>
      </w:r>
      <w:permEnd w:id="45"/>
      <w:r>
        <w:rPr>
          <w:rFonts w:hint="eastAsia" w:ascii="仿宋_GB2312" w:eastAsia="仿宋_GB2312"/>
          <w:color w:val="auto"/>
          <w:sz w:val="24"/>
          <w:highlight w:val="none"/>
        </w:rPr>
        <w:t>为止。逾期超过60天，甲方有权单方解除本合同，</w:t>
      </w:r>
      <w:r>
        <w:rPr>
          <w:rFonts w:hint="eastAsia" w:ascii="仿宋_GB2312" w:eastAsia="仿宋_GB2312"/>
          <w:color w:val="auto"/>
          <w:sz w:val="24"/>
          <w:highlight w:val="none"/>
          <w:lang w:val="en-US" w:eastAsia="zh-CN"/>
        </w:rPr>
        <w:t>没收乙方履约保证金，</w:t>
      </w:r>
      <w:r>
        <w:rPr>
          <w:rFonts w:hint="eastAsia" w:ascii="仿宋_GB2312" w:eastAsia="仿宋_GB2312"/>
          <w:color w:val="auto"/>
          <w:sz w:val="24"/>
          <w:highlight w:val="none"/>
        </w:rPr>
        <w:t>所造成的损失</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包括但不限于甲方与第三方进行替代交易、向第三方赔偿、合同履行利益损失、诉讼费、律师费、保全保险费等）</w:t>
      </w:r>
      <w:r>
        <w:rPr>
          <w:rFonts w:hint="eastAsia" w:ascii="仿宋_GB2312" w:hAnsi="仿宋_GB2312" w:eastAsia="仿宋_GB2312" w:cs="仿宋_GB2312"/>
          <w:color w:val="auto"/>
          <w:spacing w:val="-2"/>
          <w:sz w:val="24"/>
          <w:szCs w:val="24"/>
          <w:highlight w:val="none"/>
          <w:lang w:val="en-US" w:eastAsia="zh-CN"/>
        </w:rPr>
        <w:t>，</w:t>
      </w:r>
      <w:r>
        <w:rPr>
          <w:rFonts w:hint="eastAsia" w:ascii="仿宋_GB2312" w:eastAsia="仿宋_GB2312"/>
          <w:color w:val="auto"/>
          <w:sz w:val="24"/>
          <w:highlight w:val="none"/>
        </w:rPr>
        <w:t>全部由乙方承担</w:t>
      </w:r>
      <w:r>
        <w:rPr>
          <w:rFonts w:hint="eastAsia" w:ascii="仿宋_GB2312" w:eastAsia="仿宋_GB2312"/>
          <w:color w:val="auto"/>
          <w:sz w:val="24"/>
          <w:highlight w:val="none"/>
          <w:lang w:eastAsia="zh-CN"/>
        </w:rPr>
        <w:t>。</w:t>
      </w:r>
    </w:p>
    <w:p w14:paraId="74DD75F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3．工程施工过程中出现工程质量问题的，甲方有权要求乙方</w:t>
      </w:r>
      <w:r>
        <w:rPr>
          <w:rFonts w:hint="eastAsia" w:ascii="仿宋_GB2312" w:eastAsia="仿宋_GB2312"/>
          <w:color w:val="auto"/>
          <w:sz w:val="24"/>
          <w:highlight w:val="none"/>
          <w:lang w:val="en-US" w:eastAsia="zh-CN"/>
        </w:rPr>
        <w:t>在合理期限内</w:t>
      </w:r>
      <w:r>
        <w:rPr>
          <w:rFonts w:hint="eastAsia" w:ascii="仿宋_GB2312" w:eastAsia="仿宋_GB2312"/>
          <w:color w:val="auto"/>
          <w:sz w:val="24"/>
          <w:highlight w:val="none"/>
        </w:rPr>
        <w:t>进行整改，整改费用全部由乙方承担，工期不予顺延。</w:t>
      </w:r>
    </w:p>
    <w:p w14:paraId="3D25DD9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4．乙方违章施工或施工质量不符合规范要求而造成工程的质量事故，乙方须按甲方要求进行整改，整改费用全部由乙方承担，工期不予顺延，同时乙方应按相应责任赔偿损失</w:t>
      </w:r>
      <w:r>
        <w:rPr>
          <w:rFonts w:hint="eastAsia" w:ascii="仿宋_GB2312" w:eastAsia="仿宋_GB2312"/>
          <w:color w:val="auto"/>
          <w:sz w:val="24"/>
          <w:highlight w:val="none"/>
          <w:lang w:eastAsia="zh-CN"/>
        </w:rPr>
        <w:t>，</w:t>
      </w:r>
      <w:r>
        <w:rPr>
          <w:rFonts w:hint="eastAsia" w:ascii="仿宋_GB2312" w:hAnsi="仿宋_GB2312" w:eastAsia="仿宋_GB2312" w:cs="仿宋_GB2312"/>
          <w:color w:val="auto"/>
          <w:spacing w:val="-2"/>
          <w:sz w:val="24"/>
          <w:szCs w:val="24"/>
          <w:highlight w:val="none"/>
          <w:lang w:val="en-US" w:eastAsia="zh-CN"/>
        </w:rPr>
        <w:t>包括但不限于甲乙双方或第三方的人身损害赔偿、财产损失赔偿、甲方因事故导致的行政处罚、信誉损失、项目延期损失、可得利益损失等</w:t>
      </w:r>
      <w:r>
        <w:rPr>
          <w:rFonts w:hint="eastAsia" w:ascii="仿宋_GB2312" w:eastAsia="仿宋_GB2312"/>
          <w:color w:val="auto"/>
          <w:sz w:val="24"/>
          <w:highlight w:val="none"/>
        </w:rPr>
        <w:t>。</w:t>
      </w:r>
    </w:p>
    <w:p w14:paraId="59BE808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工程全部完工，经甲方验收工程质量未能达到本合同约定标准和国家相关标准的，乙方须按甲方要求无条件整改至合格，费用全部由乙方承担，工期不予顺延，造成工期延误的，乙方还应按本条第2款逾期完工的约定承担违约责任。</w:t>
      </w:r>
    </w:p>
    <w:p w14:paraId="740676F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乙方未按本合同约定施工图纸施工的，甲方有权要求乙方整改至符合图纸内容要求，整改费用由乙方承担；乙方未按图纸施工部分造价达到工程总造价20%的，甲方有权单方解除本合同，乙方已完成且验收合格的工程量按</w:t>
      </w:r>
      <w:r>
        <w:rPr>
          <w:rFonts w:hint="eastAsia" w:ascii="仿宋_GB2312" w:eastAsia="仿宋_GB2312"/>
          <w:b/>
          <w:color w:val="auto"/>
          <w:sz w:val="24"/>
          <w:highlight w:val="none"/>
        </w:rPr>
        <w:t>80%</w:t>
      </w:r>
      <w:r>
        <w:rPr>
          <w:rFonts w:hint="eastAsia" w:ascii="仿宋_GB2312" w:eastAsia="仿宋_GB2312"/>
          <w:color w:val="auto"/>
          <w:sz w:val="24"/>
          <w:highlight w:val="none"/>
        </w:rPr>
        <w:t>结算，</w:t>
      </w:r>
      <w:r>
        <w:rPr>
          <w:rFonts w:hint="eastAsia" w:ascii="仿宋_GB2312" w:eastAsia="仿宋_GB2312"/>
          <w:color w:val="auto"/>
          <w:sz w:val="24"/>
          <w:highlight w:val="none"/>
          <w:lang w:val="en-US" w:eastAsia="zh-CN"/>
        </w:rPr>
        <w:t>合同解除后，乙方按照本条第1款承担违约和赔偿责任</w:t>
      </w:r>
      <w:r>
        <w:rPr>
          <w:rFonts w:hint="eastAsia" w:ascii="仿宋_GB2312" w:eastAsia="仿宋_GB2312"/>
          <w:color w:val="auto"/>
          <w:sz w:val="24"/>
          <w:highlight w:val="none"/>
        </w:rPr>
        <w:t>。</w:t>
      </w:r>
    </w:p>
    <w:p w14:paraId="41529BB2">
      <w:pPr>
        <w:spacing w:line="360" w:lineRule="auto"/>
        <w:ind w:firstLine="480" w:firstLineChars="200"/>
        <w:rPr>
          <w:rFonts w:hint="default" w:ascii="仿宋_GB2312" w:hAnsi="仿宋_GB2312" w:eastAsia="仿宋_GB2312" w:cs="仿宋_GB2312"/>
          <w:color w:val="auto"/>
          <w:spacing w:val="-2"/>
          <w:sz w:val="24"/>
          <w:szCs w:val="24"/>
          <w:highlight w:val="none"/>
          <w:lang w:val="en-US" w:eastAsia="zh-CN"/>
        </w:rPr>
      </w:pPr>
      <w:r>
        <w:rPr>
          <w:rFonts w:hint="eastAsia" w:ascii="仿宋_GB2312" w:eastAsia="仿宋_GB2312"/>
          <w:color w:val="auto"/>
          <w:sz w:val="24"/>
          <w:highlight w:val="none"/>
        </w:rPr>
        <w:t>7.</w:t>
      </w:r>
      <w:r>
        <w:rPr>
          <w:rFonts w:hint="default" w:ascii="仿宋_GB2312" w:eastAsia="仿宋_GB2312"/>
          <w:color w:val="auto"/>
          <w:sz w:val="24"/>
          <w:highlight w:val="none"/>
        </w:rPr>
        <w:t>甲方发现乙方</w:t>
      </w:r>
      <w:r>
        <w:rPr>
          <w:rFonts w:hint="eastAsia" w:ascii="仿宋_GB2312" w:eastAsia="仿宋_GB2312"/>
          <w:color w:val="auto"/>
          <w:sz w:val="24"/>
          <w:highlight w:val="none"/>
          <w:lang w:val="en-US" w:eastAsia="zh-CN"/>
        </w:rPr>
        <w:t>交付</w:t>
      </w:r>
      <w:r>
        <w:rPr>
          <w:rFonts w:hint="default" w:ascii="仿宋_GB2312" w:eastAsia="仿宋_GB2312"/>
          <w:color w:val="auto"/>
          <w:sz w:val="24"/>
          <w:highlight w:val="none"/>
        </w:rPr>
        <w:t>工程存在质量问题，</w:t>
      </w:r>
      <w:r>
        <w:rPr>
          <w:rFonts w:hint="eastAsia" w:ascii="仿宋_GB2312" w:eastAsia="仿宋_GB2312"/>
          <w:color w:val="auto"/>
          <w:sz w:val="24"/>
          <w:highlight w:val="none"/>
          <w:lang w:val="en-US" w:eastAsia="zh-CN"/>
        </w:rPr>
        <w:t>有权要求乙方</w:t>
      </w:r>
      <w:r>
        <w:rPr>
          <w:rFonts w:hint="eastAsia" w:ascii="仿宋_GB2312" w:hAnsi="仿宋_GB2312" w:eastAsia="仿宋_GB2312" w:cs="仿宋_GB2312"/>
          <w:color w:val="auto"/>
          <w:spacing w:val="-2"/>
          <w:sz w:val="24"/>
          <w:szCs w:val="24"/>
          <w:highlight w:val="none"/>
          <w:lang w:val="en-US" w:eastAsia="zh-CN"/>
        </w:rPr>
        <w:t>按照本合同施工及保修条款履行整改、维修义务及违约、赔偿责任。乙方认为交付工程质量不存在问题的，应予3日内书面说明并提供相应佐证材料，双方就工程质量仍有争议的，应由双方共同委托</w:t>
      </w:r>
      <w:r>
        <w:rPr>
          <w:rFonts w:hint="eastAsia" w:ascii="仿宋_GB2312" w:hAnsi="仿宋_GB2312" w:eastAsia="仿宋_GB2312" w:cs="仿宋_GB2312"/>
          <w:color w:val="auto"/>
          <w:spacing w:val="-2"/>
          <w:sz w:val="24"/>
          <w:szCs w:val="24"/>
          <w:highlight w:val="none"/>
        </w:rPr>
        <w:t>具有法定鉴定资质的鉴定机构</w:t>
      </w:r>
      <w:r>
        <w:rPr>
          <w:rFonts w:hint="eastAsia" w:ascii="仿宋_GB2312" w:hAnsi="仿宋_GB2312" w:eastAsia="仿宋_GB2312" w:cs="仿宋_GB2312"/>
          <w:color w:val="auto"/>
          <w:spacing w:val="-2"/>
          <w:sz w:val="24"/>
          <w:szCs w:val="24"/>
          <w:highlight w:val="none"/>
          <w:lang w:val="en-US" w:eastAsia="zh-CN"/>
        </w:rPr>
        <w:t>进行鉴定，鉴定费用由乙方垫付，根据</w:t>
      </w:r>
      <w:r>
        <w:rPr>
          <w:rFonts w:hint="eastAsia" w:ascii="仿宋_GB2312" w:hAnsi="仿宋_GB2312" w:eastAsia="仿宋_GB2312" w:cs="仿宋_GB2312"/>
          <w:color w:val="auto"/>
          <w:spacing w:val="-2"/>
          <w:sz w:val="24"/>
          <w:szCs w:val="24"/>
          <w:highlight w:val="none"/>
        </w:rPr>
        <w:t>鉴定</w:t>
      </w:r>
      <w:r>
        <w:rPr>
          <w:rFonts w:hint="eastAsia" w:ascii="仿宋_GB2312" w:hAnsi="仿宋_GB2312" w:eastAsia="仿宋_GB2312" w:cs="仿宋_GB2312"/>
          <w:color w:val="auto"/>
          <w:spacing w:val="-2"/>
          <w:sz w:val="24"/>
          <w:szCs w:val="24"/>
          <w:highlight w:val="none"/>
          <w:lang w:val="en-US" w:eastAsia="zh-CN"/>
        </w:rPr>
        <w:t>结果实际分担。乙方无法证明工程不存在质量问题，也不申请鉴定的，甲方有权推定乙方承担质量过错责任，按照本条第2款合同解除追究乙方责任。</w:t>
      </w:r>
    </w:p>
    <w:p w14:paraId="26CE26C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8.若乙方提供</w:t>
      </w:r>
      <w:r>
        <w:rPr>
          <w:rFonts w:hint="default" w:ascii="仿宋_GB2312" w:eastAsia="仿宋_GB2312"/>
          <w:color w:val="auto"/>
          <w:sz w:val="24"/>
          <w:highlight w:val="none"/>
        </w:rPr>
        <w:t>的材料设备存在</w:t>
      </w:r>
      <w:r>
        <w:rPr>
          <w:rFonts w:hint="eastAsia" w:ascii="仿宋_GB2312" w:eastAsia="仿宋_GB2312"/>
          <w:color w:val="auto"/>
          <w:sz w:val="24"/>
          <w:highlight w:val="none"/>
        </w:rPr>
        <w:t>掺</w:t>
      </w:r>
      <w:r>
        <w:rPr>
          <w:rFonts w:hint="default" w:ascii="仿宋_GB2312" w:eastAsia="仿宋_GB2312"/>
          <w:color w:val="auto"/>
          <w:sz w:val="24"/>
          <w:highlight w:val="none"/>
        </w:rPr>
        <w:t>杂、掺假，</w:t>
      </w:r>
      <w:r>
        <w:rPr>
          <w:rFonts w:hint="eastAsia" w:ascii="仿宋_GB2312" w:eastAsia="仿宋_GB2312"/>
          <w:color w:val="auto"/>
          <w:sz w:val="24"/>
          <w:highlight w:val="none"/>
        </w:rPr>
        <w:t>以</w:t>
      </w:r>
      <w:r>
        <w:rPr>
          <w:rFonts w:hint="default" w:ascii="仿宋_GB2312" w:eastAsia="仿宋_GB2312"/>
          <w:color w:val="auto"/>
          <w:sz w:val="24"/>
          <w:highlight w:val="none"/>
        </w:rPr>
        <w:t>假</w:t>
      </w:r>
      <w:r>
        <w:rPr>
          <w:rFonts w:hint="eastAsia" w:ascii="仿宋_GB2312" w:eastAsia="仿宋_GB2312"/>
          <w:color w:val="auto"/>
          <w:sz w:val="24"/>
          <w:highlight w:val="none"/>
        </w:rPr>
        <w:t>充</w:t>
      </w:r>
      <w:r>
        <w:rPr>
          <w:rFonts w:hint="default" w:ascii="仿宋_GB2312" w:eastAsia="仿宋_GB2312"/>
          <w:color w:val="auto"/>
          <w:sz w:val="24"/>
          <w:highlight w:val="none"/>
        </w:rPr>
        <w:t>真，</w:t>
      </w:r>
      <w:r>
        <w:rPr>
          <w:rFonts w:hint="eastAsia" w:ascii="仿宋_GB2312" w:eastAsia="仿宋_GB2312"/>
          <w:color w:val="auto"/>
          <w:sz w:val="24"/>
          <w:highlight w:val="none"/>
        </w:rPr>
        <w:t>以</w:t>
      </w:r>
      <w:r>
        <w:rPr>
          <w:rFonts w:hint="default" w:ascii="仿宋_GB2312" w:eastAsia="仿宋_GB2312"/>
          <w:color w:val="auto"/>
          <w:sz w:val="24"/>
          <w:highlight w:val="none"/>
        </w:rPr>
        <w:t>次充好，以不合格产品冒充合格产品、以旧货冒充新货</w:t>
      </w:r>
      <w:r>
        <w:rPr>
          <w:rFonts w:hint="eastAsia" w:ascii="仿宋_GB2312" w:eastAsia="仿宋_GB2312"/>
          <w:color w:val="auto"/>
          <w:sz w:val="24"/>
          <w:highlight w:val="none"/>
        </w:rPr>
        <w:t>或擅自更换合同约定材料设备品牌的，甲方有权要求乙方整改至符合合同约定要求，整改费用由乙方承担</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rPr>
        <w:t>工期不予顺延</w:t>
      </w:r>
      <w:r>
        <w:rPr>
          <w:rFonts w:hint="default" w:ascii="仿宋_GB2312" w:eastAsia="仿宋_GB2312"/>
          <w:color w:val="auto"/>
          <w:sz w:val="24"/>
          <w:highlight w:val="none"/>
        </w:rPr>
        <w:t>。</w:t>
      </w:r>
    </w:p>
    <w:p w14:paraId="0FE7DF80">
      <w:pPr>
        <w:spacing w:line="360" w:lineRule="auto"/>
        <w:ind w:firstLine="480" w:firstLineChars="200"/>
        <w:rPr>
          <w:rFonts w:hint="eastAsia" w:ascii="仿宋_GB2312" w:hAnsi="仿宋_GB2312" w:eastAsia="仿宋_GB2312" w:cs="仿宋_GB2312"/>
          <w:color w:val="auto"/>
          <w:sz w:val="24"/>
          <w:highlight w:val="none"/>
        </w:rPr>
      </w:pPr>
      <w:r>
        <w:rPr>
          <w:rFonts w:hint="eastAsia" w:ascii="仿宋_GB2312" w:eastAsia="仿宋_GB2312"/>
          <w:color w:val="auto"/>
          <w:sz w:val="24"/>
          <w:highlight w:val="none"/>
        </w:rPr>
        <w:t>9．乙方损坏施工现场周围建筑物、设备管线及其他相关专业的施工成品、半成品的，乙方须无条件修复，修复费用由乙方承担，工期不予顺延。</w:t>
      </w:r>
    </w:p>
    <w:p w14:paraId="68020CC8">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10.项目投入运行后，因施工质量缺陷导致发生安全生产事故的，甲方有权对乙方进行罚款，同时乙方应按相应责任赔偿损失</w:t>
      </w:r>
      <w:r>
        <w:rPr>
          <w:rFonts w:hint="eastAsia" w:ascii="仿宋_GB2312" w:hAnsi="仿宋_GB2312" w:eastAsia="仿宋_GB2312" w:cs="仿宋_GB2312"/>
          <w:color w:val="auto"/>
          <w:spacing w:val="-2"/>
          <w:sz w:val="24"/>
          <w:szCs w:val="24"/>
          <w:highlight w:val="none"/>
          <w:lang w:eastAsia="zh-CN"/>
        </w:rPr>
        <w:t>，</w:t>
      </w:r>
      <w:r>
        <w:rPr>
          <w:rFonts w:hint="eastAsia" w:ascii="仿宋_GB2312" w:hAnsi="仿宋_GB2312" w:eastAsia="仿宋_GB2312" w:cs="仿宋_GB2312"/>
          <w:color w:val="auto"/>
          <w:spacing w:val="-2"/>
          <w:sz w:val="24"/>
          <w:szCs w:val="24"/>
          <w:highlight w:val="none"/>
          <w:lang w:val="en-US" w:eastAsia="zh-CN"/>
        </w:rPr>
        <w:t>包括但不限于甲乙双方或第三方的人身损害赔偿、财产损失赔偿、甲方因事故导致的行政处罚、信誉损失、项目延期损失、可得利益损失等</w:t>
      </w:r>
      <w:r>
        <w:rPr>
          <w:rFonts w:hint="default" w:ascii="仿宋_GB2312" w:eastAsia="仿宋_GB2312"/>
          <w:color w:val="auto"/>
          <w:sz w:val="24"/>
          <w:highlight w:val="none"/>
        </w:rPr>
        <w:t>。</w:t>
      </w:r>
    </w:p>
    <w:p w14:paraId="3FAD157E">
      <w:pPr>
        <w:rPr>
          <w:rFonts w:hint="default"/>
          <w:color w:val="auto"/>
          <w:highlight w:val="none"/>
        </w:rPr>
      </w:pPr>
    </w:p>
    <w:p w14:paraId="585F665C">
      <w:pPr>
        <w:spacing w:line="360" w:lineRule="auto"/>
        <w:rPr>
          <w:rFonts w:hint="eastAsia" w:ascii="仿宋_GB2312" w:eastAsia="仿宋_GB2312"/>
          <w:b/>
          <w:color w:val="auto"/>
          <w:sz w:val="24"/>
          <w:highlight w:val="none"/>
          <w:lang w:val="en-US" w:eastAsia="zh-CN"/>
        </w:rPr>
      </w:pPr>
      <w:r>
        <w:rPr>
          <w:rFonts w:hint="eastAsia" w:ascii="仿宋_GB2312" w:eastAsia="仿宋_GB2312"/>
          <w:b/>
          <w:color w:val="auto"/>
          <w:sz w:val="24"/>
          <w:highlight w:val="none"/>
        </w:rPr>
        <w:t>十三、</w:t>
      </w:r>
      <w:r>
        <w:rPr>
          <w:rFonts w:hint="eastAsia" w:ascii="仿宋_GB2312" w:eastAsia="仿宋_GB2312"/>
          <w:b/>
          <w:color w:val="auto"/>
          <w:sz w:val="24"/>
          <w:highlight w:val="none"/>
          <w:lang w:val="en-US" w:eastAsia="zh-CN"/>
        </w:rPr>
        <w:t>保密</w:t>
      </w:r>
    </w:p>
    <w:p w14:paraId="10436DBF">
      <w:pPr>
        <w:wordWrap/>
        <w:topLinePunct w:val="0"/>
        <w:spacing w:line="360" w:lineRule="auto"/>
        <w:ind w:firstLine="480" w:firstLineChars="200"/>
        <w:rPr>
          <w:rFonts w:hint="eastAsia" w:ascii="仿宋_GB2312" w:eastAsia="仿宋_GB2312"/>
          <w:color w:val="auto"/>
          <w:sz w:val="24"/>
          <w:szCs w:val="24"/>
          <w:highlight w:val="none"/>
        </w:rPr>
      </w:pPr>
      <w:r>
        <w:rPr>
          <w:rFonts w:hint="eastAsia" w:ascii="仿宋_GB2312" w:hAnsi="Times New Roman" w:eastAsia="仿宋_GB2312" w:cs="Times New Roman"/>
          <w:color w:val="auto"/>
          <w:sz w:val="24"/>
          <w:szCs w:val="24"/>
          <w:highlight w:val="none"/>
          <w:lang w:val="en-US" w:eastAsia="zh-CN"/>
        </w:rPr>
        <w:t xml:space="preserve">1. </w:t>
      </w:r>
      <w:r>
        <w:rPr>
          <w:rFonts w:hint="eastAsia" w:ascii="仿宋_GB2312" w:eastAsia="仿宋_GB2312"/>
          <w:color w:val="auto"/>
          <w:sz w:val="24"/>
          <w:szCs w:val="24"/>
          <w:highlight w:val="none"/>
        </w:rPr>
        <w:t>合同当事人一方对在订立和履行合同过程中知悉的另一方的商业秘密、技术秘密，以及任何一方明确要求保密的其它信息，负有保密责任。</w:t>
      </w:r>
    </w:p>
    <w:p w14:paraId="0C8B6D20">
      <w:pPr>
        <w:wordWrap/>
        <w:topLinePunct w:val="0"/>
        <w:spacing w:line="360" w:lineRule="auto"/>
        <w:ind w:firstLine="480" w:firstLineChars="200"/>
        <w:rPr>
          <w:rFonts w:hint="eastAsia" w:ascii="仿宋_GB2312" w:eastAsia="仿宋_GB2312"/>
          <w:color w:val="auto"/>
          <w:sz w:val="24"/>
          <w:szCs w:val="24"/>
          <w:highlight w:val="none"/>
        </w:rPr>
      </w:pPr>
      <w:r>
        <w:rPr>
          <w:rFonts w:hint="eastAsia" w:ascii="仿宋_GB2312" w:hAnsi="Times New Roman" w:eastAsia="仿宋_GB2312" w:cs="Times New Roman"/>
          <w:color w:val="auto"/>
          <w:sz w:val="24"/>
          <w:szCs w:val="24"/>
          <w:highlight w:val="none"/>
          <w:lang w:val="en-US" w:eastAsia="zh-CN"/>
        </w:rPr>
        <w:t xml:space="preserve">2. </w:t>
      </w:r>
      <w:r>
        <w:rPr>
          <w:rFonts w:hint="eastAsia" w:ascii="仿宋_GB2312" w:eastAsia="仿宋_GB2312"/>
          <w:color w:val="auto"/>
          <w:sz w:val="24"/>
          <w:szCs w:val="24"/>
          <w:highlight w:val="none"/>
        </w:rPr>
        <w:t>除法律规定或合同另有约定外，未经对方同意，任何一方当事人不得将对方提供的文件、技术秘密以及声明需要保密的资料信息等商业秘密泄露给第三方或者用于本合同以外的目的。</w:t>
      </w:r>
    </w:p>
    <w:p w14:paraId="513FC169">
      <w:pPr>
        <w:wordWrap/>
        <w:topLinePunct w:val="0"/>
        <w:spacing w:line="360" w:lineRule="auto"/>
        <w:ind w:firstLine="480" w:firstLineChars="200"/>
        <w:rPr>
          <w:rFonts w:hint="eastAsia" w:ascii="仿宋_GB2312" w:eastAsia="仿宋_GB2312"/>
          <w:color w:val="auto"/>
          <w:sz w:val="24"/>
          <w:szCs w:val="24"/>
          <w:highlight w:val="none"/>
        </w:rPr>
      </w:pPr>
      <w:r>
        <w:rPr>
          <w:rFonts w:hint="eastAsia" w:ascii="仿宋_GB2312" w:hAnsi="Times New Roman" w:eastAsia="仿宋_GB2312" w:cs="Times New Roman"/>
          <w:color w:val="auto"/>
          <w:sz w:val="24"/>
          <w:szCs w:val="24"/>
          <w:highlight w:val="none"/>
          <w:lang w:val="en-US" w:eastAsia="zh-CN"/>
        </w:rPr>
        <w:t xml:space="preserve">3. </w:t>
      </w:r>
      <w:r>
        <w:rPr>
          <w:rFonts w:hint="eastAsia" w:ascii="仿宋_GB2312" w:eastAsia="仿宋_GB2312"/>
          <w:color w:val="auto"/>
          <w:sz w:val="24"/>
          <w:szCs w:val="24"/>
          <w:highlight w:val="none"/>
        </w:rPr>
        <w:t>一方泄露或者在本合同以外使用该商业秘密、技术秘密等保密信息给另一方造成损失的，应承担损害赔偿责任。当事人为履行合同所需要的信息，另一方应予以提供。当事人认为必要时，可订立保密协议，作为合同附件。</w:t>
      </w:r>
    </w:p>
    <w:p w14:paraId="563A957E">
      <w:pPr>
        <w:spacing w:line="360" w:lineRule="auto"/>
        <w:ind w:firstLine="480" w:firstLineChars="200"/>
        <w:rPr>
          <w:rFonts w:hint="eastAsia" w:ascii="仿宋_GB2312" w:eastAsia="仿宋_GB2312"/>
          <w:b w:val="0"/>
          <w:color w:val="auto"/>
          <w:sz w:val="24"/>
          <w:highlight w:val="none"/>
        </w:rPr>
      </w:pPr>
    </w:p>
    <w:p w14:paraId="56B2CC0A">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lang w:val="en-US" w:eastAsia="zh-CN"/>
        </w:rPr>
        <w:t>十四、</w:t>
      </w:r>
      <w:r>
        <w:rPr>
          <w:rFonts w:hint="eastAsia" w:ascii="仿宋_GB2312" w:eastAsia="仿宋_GB2312"/>
          <w:b/>
          <w:color w:val="auto"/>
          <w:sz w:val="24"/>
          <w:highlight w:val="none"/>
        </w:rPr>
        <w:t>不可抗力</w:t>
      </w:r>
    </w:p>
    <w:p w14:paraId="2DA63EA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在本合同期限内，任何一方因不可抗力情形的发生（如战争、地震等），导致不能全部或部分履行本合同约定的义务时，双方均应积极采取补救措施以减少损失，需免责方须立即用电话或传真通知对方，并在十天内以书面方式将不可抗力情形详细情况及有关证明文件提供给对方，在其证明得到证实后，可部分或全部免除其违约责任。</w:t>
      </w:r>
    </w:p>
    <w:p w14:paraId="0D43D14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2．一方迟延履行后发生不可抗力的，不得免除或减轻其应承担的违约责任。</w:t>
      </w:r>
    </w:p>
    <w:p w14:paraId="20DF61F2">
      <w:pPr>
        <w:rPr>
          <w:color w:val="auto"/>
          <w:highlight w:val="none"/>
        </w:rPr>
      </w:pPr>
    </w:p>
    <w:p w14:paraId="6C71615B">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w:t>
      </w:r>
      <w:r>
        <w:rPr>
          <w:rFonts w:hint="eastAsia" w:ascii="仿宋_GB2312" w:eastAsia="仿宋_GB2312"/>
          <w:b/>
          <w:color w:val="auto"/>
          <w:sz w:val="24"/>
          <w:highlight w:val="none"/>
          <w:lang w:val="en-US" w:eastAsia="zh-CN"/>
        </w:rPr>
        <w:t>五</w:t>
      </w:r>
      <w:r>
        <w:rPr>
          <w:rFonts w:hint="eastAsia" w:ascii="仿宋_GB2312" w:eastAsia="仿宋_GB2312"/>
          <w:b/>
          <w:color w:val="auto"/>
          <w:sz w:val="24"/>
          <w:highlight w:val="none"/>
        </w:rPr>
        <w:t>、争议解决方式</w:t>
      </w:r>
    </w:p>
    <w:p w14:paraId="3207751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在本合同的履行过程中，双方如发生争议的，由双方协商解决；协商不成的，双方均可向工程所在地人民法院起诉。</w:t>
      </w:r>
    </w:p>
    <w:p w14:paraId="5E9116A6">
      <w:pPr>
        <w:rPr>
          <w:color w:val="auto"/>
          <w:highlight w:val="none"/>
        </w:rPr>
      </w:pPr>
    </w:p>
    <w:p w14:paraId="7D0B7397">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w:t>
      </w:r>
      <w:r>
        <w:rPr>
          <w:rFonts w:hint="eastAsia" w:ascii="仿宋_GB2312" w:eastAsia="仿宋_GB2312"/>
          <w:b/>
          <w:color w:val="auto"/>
          <w:sz w:val="24"/>
          <w:highlight w:val="none"/>
          <w:lang w:val="en-US" w:eastAsia="zh-CN"/>
        </w:rPr>
        <w:t>六</w:t>
      </w:r>
      <w:r>
        <w:rPr>
          <w:rFonts w:hint="eastAsia" w:ascii="仿宋_GB2312" w:eastAsia="仿宋_GB2312"/>
          <w:b/>
          <w:color w:val="auto"/>
          <w:sz w:val="24"/>
          <w:highlight w:val="none"/>
        </w:rPr>
        <w:t>、其他</w:t>
      </w:r>
    </w:p>
    <w:p w14:paraId="7EE3337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长期合作约定：乙方如严格履行合同，诚实信用，配合情况良好并为甲方提供了高质量、高效率的工作成果，甲方将与其长期合作；若乙方违反合同约定要求及不诚信的，甲方将不再与乙方合作，并追究乙方的违约责任。</w:t>
      </w:r>
    </w:p>
    <w:p w14:paraId="7D2B02C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2．双方应保证地址、联系方式、企业法定代表人等工商登记情况及代理人等有关资料和证件真实有效，如有变更，须提前7天书面通知对方。</w:t>
      </w:r>
    </w:p>
    <w:p w14:paraId="54669FE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3．与本合同有关的通知、文件等均须采用书面形式发出。</w:t>
      </w:r>
    </w:p>
    <w:p w14:paraId="16664F5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4．本合同</w:t>
      </w:r>
      <w:bookmarkStart w:id="108" w:name="合同总数"/>
      <w:r>
        <w:rPr>
          <w:rFonts w:hint="eastAsia" w:ascii="仿宋_GB2312" w:eastAsia="仿宋_GB2312"/>
          <w:color w:val="auto"/>
          <w:sz w:val="24"/>
          <w:highlight w:val="none"/>
        </w:rPr>
        <w:t>一式</w:t>
      </w:r>
      <w:permStart w:id="46" w:edGrp="everyone"/>
      <w:r>
        <w:rPr>
          <w:rFonts w:hint="eastAsia" w:ascii="仿宋_GB2312" w:eastAsia="仿宋_GB2312"/>
          <w:color w:val="auto"/>
          <w:sz w:val="24"/>
          <w:highlight w:val="none"/>
        </w:rPr>
        <w:t>陆</w:t>
      </w:r>
      <w:permEnd w:id="46"/>
      <w:r>
        <w:rPr>
          <w:rFonts w:hint="eastAsia" w:ascii="仿宋_GB2312" w:eastAsia="仿宋_GB2312"/>
          <w:color w:val="auto"/>
          <w:sz w:val="24"/>
          <w:highlight w:val="none"/>
        </w:rPr>
        <w:t>份</w:t>
      </w:r>
      <w:bookmarkEnd w:id="108"/>
      <w:r>
        <w:rPr>
          <w:rFonts w:hint="eastAsia" w:ascii="仿宋_GB2312" w:eastAsia="仿宋_GB2312"/>
          <w:color w:val="auto"/>
          <w:sz w:val="24"/>
          <w:highlight w:val="none"/>
        </w:rPr>
        <w:t>，甲方执</w:t>
      </w:r>
      <w:permStart w:id="47" w:edGrp="everyone"/>
      <w:r>
        <w:rPr>
          <w:rFonts w:hint="eastAsia" w:ascii="仿宋_GB2312" w:eastAsia="仿宋_GB2312"/>
          <w:color w:val="auto"/>
          <w:sz w:val="24"/>
          <w:highlight w:val="none"/>
        </w:rPr>
        <w:t>贰</w:t>
      </w:r>
      <w:permEnd w:id="47"/>
      <w:r>
        <w:rPr>
          <w:rFonts w:hint="eastAsia" w:ascii="仿宋_GB2312" w:eastAsia="仿宋_GB2312"/>
          <w:color w:val="auto"/>
          <w:sz w:val="24"/>
          <w:highlight w:val="none"/>
        </w:rPr>
        <w:t>份，乙方</w:t>
      </w:r>
      <w:bookmarkStart w:id="109" w:name="乙方份数"/>
      <w:r>
        <w:rPr>
          <w:rFonts w:hint="eastAsia" w:ascii="仿宋_GB2312" w:eastAsia="仿宋_GB2312"/>
          <w:color w:val="auto"/>
          <w:sz w:val="24"/>
          <w:highlight w:val="none"/>
        </w:rPr>
        <w:t>各执</w:t>
      </w:r>
      <w:permStart w:id="48" w:edGrp="everyone"/>
      <w:r>
        <w:rPr>
          <w:rFonts w:hint="eastAsia" w:ascii="仿宋_GB2312" w:eastAsia="仿宋_GB2312"/>
          <w:color w:val="auto"/>
          <w:sz w:val="24"/>
          <w:highlight w:val="none"/>
        </w:rPr>
        <w:t>贰</w:t>
      </w:r>
      <w:permEnd w:id="48"/>
      <w:r>
        <w:rPr>
          <w:rFonts w:hint="eastAsia" w:ascii="仿宋_GB2312" w:eastAsia="仿宋_GB2312"/>
          <w:color w:val="auto"/>
          <w:sz w:val="24"/>
          <w:highlight w:val="none"/>
        </w:rPr>
        <w:t>份</w:t>
      </w:r>
      <w:bookmarkEnd w:id="109"/>
      <w:r>
        <w:rPr>
          <w:rFonts w:hint="eastAsia" w:ascii="仿宋_GB2312" w:eastAsia="仿宋_GB2312"/>
          <w:color w:val="auto"/>
          <w:sz w:val="24"/>
          <w:highlight w:val="none"/>
        </w:rPr>
        <w:t>，均具同等法律效力。本合同自双方签字盖章之日起发生法律效力，双方履行完合同全部义务后自行失效。</w:t>
      </w:r>
    </w:p>
    <w:p w14:paraId="66EB76F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5．本合同未尽事宜，双方另行协商签订补充协议，补充协议与本合同具有同等法律效力。</w:t>
      </w:r>
    </w:p>
    <w:p w14:paraId="6F7EC030">
      <w:pPr>
        <w:rPr>
          <w:color w:val="auto"/>
          <w:highlight w:val="none"/>
        </w:rPr>
      </w:pPr>
    </w:p>
    <w:p w14:paraId="44BD85EA">
      <w:pPr>
        <w:spacing w:line="360" w:lineRule="auto"/>
        <w:rPr>
          <w:rFonts w:hint="default" w:ascii="仿宋_GB2312" w:eastAsia="仿宋_GB2312"/>
          <w:b/>
          <w:color w:val="auto"/>
          <w:sz w:val="24"/>
          <w:highlight w:val="none"/>
        </w:rPr>
      </w:pPr>
      <w:permStart w:id="49" w:edGrp="everyone"/>
      <w:r>
        <w:rPr>
          <w:rFonts w:hint="eastAsia" w:ascii="仿宋_GB2312" w:eastAsia="仿宋_GB2312"/>
          <w:b/>
          <w:color w:val="auto"/>
          <w:sz w:val="24"/>
          <w:highlight w:val="none"/>
        </w:rPr>
        <w:t>十</w:t>
      </w:r>
      <w:r>
        <w:rPr>
          <w:rFonts w:hint="eastAsia" w:ascii="仿宋_GB2312" w:eastAsia="仿宋_GB2312"/>
          <w:b/>
          <w:color w:val="auto"/>
          <w:sz w:val="24"/>
          <w:highlight w:val="none"/>
          <w:lang w:val="en-US" w:eastAsia="zh-CN"/>
        </w:rPr>
        <w:t>七</w:t>
      </w:r>
      <w:r>
        <w:rPr>
          <w:rFonts w:hint="eastAsia" w:ascii="仿宋_GB2312" w:eastAsia="仿宋_GB2312"/>
          <w:b/>
          <w:color w:val="auto"/>
          <w:sz w:val="24"/>
          <w:highlight w:val="none"/>
        </w:rPr>
        <w:t>、专用补充约定 （若本条约定内容与以上条款内容相冲突的，以本条约定内容为准）</w:t>
      </w:r>
    </w:p>
    <w:p w14:paraId="0463293F">
      <w:pPr>
        <w:spacing w:line="360" w:lineRule="auto"/>
        <w:ind w:firstLine="480" w:firstLineChars="200"/>
        <w:rPr>
          <w:rFonts w:hint="eastAsia" w:ascii="仿宋_GB2312" w:hAnsi="仿宋_GB2312" w:eastAsia="仿宋_GB2312" w:cs="仿宋_GB2312"/>
          <w:color w:val="auto"/>
          <w:sz w:val="24"/>
          <w:highlight w:val="none"/>
          <w:u w:val="none"/>
        </w:rPr>
      </w:pPr>
      <w:r>
        <w:rPr>
          <w:rFonts w:hint="eastAsia" w:ascii="仿宋_GB2312" w:hAnsi="仿宋_GB2312" w:eastAsia="仿宋_GB2312" w:cs="仿宋_GB2312"/>
          <w:color w:val="auto"/>
          <w:sz w:val="24"/>
          <w:highlight w:val="none"/>
          <w:u w:val="none"/>
        </w:rPr>
        <w:t>1、乙方保证自中标公示完毕之日起15天内提交完整开工资料，在收到甲方通知后2日内进场施工，否则甲方有权按本合同第十二条第2款逾期并网的约定承担违约责任。</w:t>
      </w:r>
    </w:p>
    <w:p w14:paraId="1CAD6ED5">
      <w:pPr>
        <w:spacing w:line="360" w:lineRule="auto"/>
        <w:ind w:firstLine="480" w:firstLineChars="200"/>
        <w:rPr>
          <w:rFonts w:hint="eastAsia" w:ascii="仿宋_GB2312" w:hAnsi="仿宋_GB2312" w:eastAsia="仿宋_GB2312" w:cs="仿宋_GB2312"/>
          <w:color w:val="auto"/>
          <w:sz w:val="24"/>
          <w:highlight w:val="none"/>
          <w:u w:val="none"/>
          <w:lang w:val="en-US" w:eastAsia="zh-CN"/>
        </w:rPr>
      </w:pPr>
      <w:r>
        <w:rPr>
          <w:rFonts w:hint="eastAsia" w:ascii="仿宋_GB2312" w:hAnsi="仿宋_GB2312" w:eastAsia="仿宋_GB2312" w:cs="仿宋_GB2312"/>
          <w:color w:val="auto"/>
          <w:sz w:val="24"/>
          <w:highlight w:val="none"/>
          <w:u w:val="none"/>
          <w:lang w:val="en-US" w:eastAsia="zh-CN"/>
        </w:rPr>
        <w:t>2、发包方如遇到以下情况可解除本合同:</w:t>
      </w:r>
    </w:p>
    <w:p w14:paraId="59EEDD15">
      <w:pPr>
        <w:spacing w:line="360" w:lineRule="auto"/>
        <w:ind w:firstLine="480" w:firstLineChars="200"/>
        <w:rPr>
          <w:rFonts w:hint="eastAsia" w:ascii="仿宋_GB2312" w:hAnsi="仿宋_GB2312" w:eastAsia="仿宋_GB2312" w:cs="仿宋_GB2312"/>
          <w:color w:val="auto"/>
          <w:sz w:val="24"/>
          <w:highlight w:val="none"/>
          <w:u w:val="none"/>
          <w:lang w:val="en-US" w:eastAsia="zh-CN"/>
        </w:rPr>
      </w:pPr>
      <w:r>
        <w:rPr>
          <w:rFonts w:hint="eastAsia" w:ascii="仿宋_GB2312" w:hAnsi="仿宋_GB2312" w:eastAsia="仿宋_GB2312" w:cs="仿宋_GB2312"/>
          <w:color w:val="auto"/>
          <w:sz w:val="24"/>
          <w:highlight w:val="none"/>
          <w:u w:val="none"/>
          <w:lang w:val="en-US" w:eastAsia="zh-CN"/>
        </w:rPr>
        <w:t>2.1、若本光伏项目用能方与我司解除《合同能源管理合同》，进而导致我司无法继续实施投资建设光伏项目，则本《光伏项目总承包合同》同步解除。在此情况下，承包方为参与该项目招采活动而产生的所有费用（包括但不限于交通费、咨询费、标书制作费、打印费、招标代理服务费等）需自行承担，且承包方应在接到解除合同通知后的7个工作日内完成人员及设备的撤离工作，并妥善处理好现场的清理与交接事宜，确保不对发包方造成任何额外的负担和损失。</w:t>
      </w:r>
    </w:p>
    <w:p w14:paraId="4C222BBC">
      <w:pPr>
        <w:spacing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highlight w:val="none"/>
          <w:u w:val="none"/>
          <w:lang w:val="en-US" w:eastAsia="zh-CN"/>
        </w:rPr>
        <w:t>2.2、承包人需在中标公示完毕后</w:t>
      </w:r>
      <w:r>
        <w:rPr>
          <w:rFonts w:hint="eastAsia" w:ascii="仿宋_GB2312" w:hAnsi="仿宋_GB2312" w:eastAsia="仿宋_GB2312" w:cs="仿宋_GB2312"/>
          <w:color w:val="auto"/>
          <w:sz w:val="24"/>
          <w:highlight w:val="none"/>
          <w:u w:val="none"/>
        </w:rPr>
        <w:t>15天内提交完整开工资料，在收到甲方通知后2日内进场施工</w:t>
      </w:r>
      <w:r>
        <w:rPr>
          <w:rFonts w:hint="eastAsia" w:ascii="仿宋_GB2312" w:hAnsi="仿宋_GB2312" w:eastAsia="仿宋_GB2312" w:cs="仿宋_GB2312"/>
          <w:color w:val="auto"/>
          <w:sz w:val="24"/>
          <w:highlight w:val="none"/>
          <w:u w:val="none"/>
          <w:lang w:val="en-US" w:eastAsia="zh-CN"/>
        </w:rPr>
        <w:t>。若因承包人自身原因（如拖延办理必要手续、施工组织不力等）导致项目进度滞后，且滞后时间超过7个工作日的，已经对发包人的整体规划产生了实质性影响（例如导致发包方错过最佳并网时机、影响后续项目衔接等），发包人有权解除《光伏项目总承包合同》。承包人需自行承担相关损失，包括但不限于已投入的成本、因滞后产生的额外费用以及对发包方整体规划造成影响的赔偿责任等。同时，承包人应在接到解除合同通知后的7个工作日内无条件撤场，并做好已完工程的保护工作，确保现场安全和环境整洁。</w:t>
      </w:r>
      <w:permEnd w:id="49"/>
    </w:p>
    <w:p w14:paraId="6F15EC2A">
      <w:pPr>
        <w:spacing w:beforeLines="0" w:afterLines="0"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val="en-US" w:eastAsia="zh-CN"/>
        </w:rPr>
        <w:t>3</w:t>
      </w:r>
      <w:r>
        <w:rPr>
          <w:rFonts w:hint="eastAsia" w:ascii="仿宋_GB2312" w:hAnsi="仿宋_GB2312" w:eastAsia="仿宋_GB2312" w:cs="仿宋_GB2312"/>
          <w:color w:val="auto"/>
          <w:sz w:val="24"/>
          <w:szCs w:val="24"/>
          <w:highlight w:val="none"/>
          <w:u w:val="none"/>
        </w:rPr>
        <w:t>、本项目实行发电量考核制：承包单位应确保该项目发电量数据（即年发电保底电量发电时数，详见下表）按月统计、确认，以1年为周期考核，考核期限为光伏发电项目并网投运后连续2年运营期。因业主单位或供电部门计划停电或检修产生的电量损失、双方认定的不可抗力影响的发电量损失等不在考核范围内，属于免考核发电量。当光伏电站由于承包单位在安装时自身原因未达到相应年限考核发电量时，承包单位向发包单位补足本应发电量的差额部分（差额部分=全年考核发电时数差额×实际装机容量×本项目应收电价），差额部分从工程款质量保修金中扣除。</w:t>
      </w:r>
    </w:p>
    <w:p w14:paraId="6D91AD47">
      <w:pPr>
        <w:spacing w:beforeLines="0" w:afterLines="0" w:line="400" w:lineRule="exact"/>
        <w:ind w:firstLine="480" w:firstLineChars="20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项目运营期考核发电量数据表</w:t>
      </w:r>
    </w:p>
    <w:tbl>
      <w:tblPr>
        <w:tblStyle w:val="30"/>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24"/>
        <w:gridCol w:w="1737"/>
        <w:gridCol w:w="1824"/>
        <w:gridCol w:w="2237"/>
      </w:tblGrid>
      <w:tr w14:paraId="2A534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59B52A0">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运维年限</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285D66C8">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第1年</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6B79C8A7">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第2年</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87C8A9C">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第3年及之后</w:t>
            </w:r>
          </w:p>
        </w:tc>
      </w:tr>
      <w:tr w14:paraId="5A61C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10E76E7F">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全年考核发电时数</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49E1D0A9">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1055小时</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6637F81B">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1029小时</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722870CA">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不考核</w:t>
            </w:r>
          </w:p>
        </w:tc>
      </w:tr>
    </w:tbl>
    <w:p w14:paraId="0CAEDF82">
      <w:pPr>
        <w:spacing w:line="360" w:lineRule="auto"/>
        <w:rPr>
          <w:rFonts w:hint="default" w:ascii="仿宋_GB2312" w:eastAsia="仿宋_GB2312"/>
          <w:b/>
          <w:color w:val="auto"/>
          <w:sz w:val="24"/>
          <w:highlight w:val="none"/>
        </w:rPr>
      </w:pPr>
    </w:p>
    <w:p w14:paraId="6997B5AE">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w:t>
      </w:r>
      <w:r>
        <w:rPr>
          <w:rFonts w:hint="eastAsia" w:ascii="仿宋_GB2312" w:eastAsia="仿宋_GB2312"/>
          <w:b/>
          <w:color w:val="auto"/>
          <w:sz w:val="24"/>
          <w:highlight w:val="none"/>
          <w:lang w:val="en-US" w:eastAsia="zh-CN"/>
        </w:rPr>
        <w:t>八</w:t>
      </w:r>
      <w:r>
        <w:rPr>
          <w:rFonts w:hint="eastAsia" w:ascii="仿宋_GB2312" w:eastAsia="仿宋_GB2312"/>
          <w:b/>
          <w:color w:val="auto"/>
          <w:sz w:val="24"/>
          <w:highlight w:val="none"/>
        </w:rPr>
        <w:t>、合同附件</w:t>
      </w:r>
    </w:p>
    <w:p w14:paraId="35BCC6BD">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eastAsia="仿宋_GB2312"/>
          <w:color w:val="auto"/>
          <w:highlight w:val="none"/>
        </w:rPr>
      </w:pPr>
      <w:r>
        <w:rPr>
          <w:rFonts w:hint="eastAsia" w:ascii="仿宋_GB2312" w:eastAsia="仿宋_GB2312"/>
          <w:color w:val="auto"/>
          <w:sz w:val="24"/>
          <w:highlight w:val="none"/>
        </w:rPr>
        <w:t>1．联合体共同投标协议；</w:t>
      </w:r>
    </w:p>
    <w:p w14:paraId="37783833">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eastAsia="仿宋_GB2312"/>
          <w:color w:val="auto"/>
          <w:highlight w:val="none"/>
        </w:rPr>
      </w:pPr>
      <w:r>
        <w:rPr>
          <w:rFonts w:hint="eastAsia" w:ascii="仿宋_GB2312" w:eastAsia="仿宋_GB2312"/>
          <w:color w:val="auto"/>
          <w:sz w:val="24"/>
          <w:highlight w:val="none"/>
        </w:rPr>
        <w:t>2．安全协议书；</w:t>
      </w:r>
    </w:p>
    <w:p w14:paraId="0D50A754">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eastAsia="zh-CN"/>
        </w:rPr>
      </w:pPr>
      <w:r>
        <w:rPr>
          <w:rFonts w:hint="eastAsia" w:ascii="仿宋_GB2312" w:eastAsia="仿宋_GB2312"/>
          <w:color w:val="auto"/>
          <w:sz w:val="24"/>
          <w:highlight w:val="none"/>
        </w:rPr>
        <w:t>3．廉洁协议</w:t>
      </w:r>
      <w:r>
        <w:rPr>
          <w:rFonts w:hint="eastAsia" w:ascii="仿宋_GB2312" w:eastAsia="仿宋_GB2312"/>
          <w:color w:val="auto"/>
          <w:sz w:val="24"/>
          <w:highlight w:val="none"/>
          <w:lang w:eastAsia="zh-CN"/>
        </w:rPr>
        <w:t>；</w:t>
      </w:r>
    </w:p>
    <w:p w14:paraId="6078C4E4">
      <w:pPr>
        <w:pStyle w:val="43"/>
        <w:rPr>
          <w:rFonts w:hint="default"/>
          <w:color w:val="auto"/>
          <w:highlight w:val="none"/>
          <w:lang w:val="en-US" w:eastAsia="zh-CN"/>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阳光合作协议；</w:t>
      </w:r>
    </w:p>
    <w:p w14:paraId="49455A30">
      <w:pPr>
        <w:pStyle w:val="39"/>
        <w:keepNext w:val="0"/>
        <w:keepLines w:val="0"/>
        <w:pageBreakBefore w:val="0"/>
        <w:widowControl w:val="0"/>
        <w:kinsoku/>
        <w:wordWrap/>
        <w:overflowPunct/>
        <w:topLinePunct w:val="0"/>
        <w:autoSpaceDE/>
        <w:autoSpaceDN/>
        <w:adjustRightInd/>
        <w:snapToGrid/>
        <w:spacing w:beforeLines="0"/>
        <w:textAlignment w:val="auto"/>
        <w:rPr>
          <w:rFonts w:hint="default"/>
          <w:color w:val="auto"/>
          <w:highlight w:val="none"/>
          <w:lang w:val="en-US" w:eastAsia="zh-CN"/>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中标（成交）通知书</w:t>
      </w:r>
    </w:p>
    <w:p w14:paraId="66AA5501">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．承包商违规行为处罚条例；</w:t>
      </w:r>
    </w:p>
    <w:p w14:paraId="5991B653">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7．光伏电站发电量保证书；</w:t>
      </w:r>
    </w:p>
    <w:p w14:paraId="2FF48216">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8. 环境保护要求</w:t>
      </w:r>
    </w:p>
    <w:p w14:paraId="410E5A43">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9. 关于民工权益保障承诺书；</w:t>
      </w:r>
    </w:p>
    <w:p w14:paraId="51B31963">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10. 实施本项目的有关人员资料表；</w:t>
      </w:r>
    </w:p>
    <w:p w14:paraId="1D0C25BA">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11. 其他。</w:t>
      </w:r>
    </w:p>
    <w:p w14:paraId="5971B37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该等附件是本合同不可分割的组成部分，与本合同具有同等法律效力。若附件内容与本合同内容不一致的，以本合同内容为准。</w:t>
      </w:r>
    </w:p>
    <w:p w14:paraId="12C9E15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（以下无正文）</w:t>
      </w:r>
    </w:p>
    <w:p w14:paraId="0E0EC3EE">
      <w:pPr>
        <w:pStyle w:val="39"/>
        <w:spacing w:before="156"/>
        <w:ind w:firstLine="480"/>
        <w:rPr>
          <w:rFonts w:hint="default" w:ascii="仿宋_GB2312" w:eastAsia="仿宋_GB2312"/>
          <w:color w:val="auto"/>
          <w:highlight w:val="none"/>
        </w:rPr>
      </w:pPr>
      <w:r>
        <w:rPr>
          <w:color w:val="auto"/>
          <w:highlight w:val="none"/>
        </w:rPr>
        <w:br w:type="page"/>
      </w:r>
      <w:r>
        <w:rPr>
          <w:rFonts w:hint="eastAsia" w:ascii="仿宋_GB2312" w:eastAsia="仿宋_GB2312"/>
          <w:color w:val="auto"/>
          <w:highlight w:val="none"/>
        </w:rPr>
        <w:t>（签署页）</w:t>
      </w:r>
    </w:p>
    <w:p w14:paraId="680A8542">
      <w:pPr>
        <w:rPr>
          <w:color w:val="auto"/>
          <w:highlight w:val="none"/>
        </w:rPr>
      </w:pPr>
    </w:p>
    <w:tbl>
      <w:tblPr>
        <w:tblStyle w:val="30"/>
        <w:tblpPr w:leftFromText="180" w:rightFromText="180" w:vertAnchor="text" w:horzAnchor="page" w:tblpX="1740" w:tblpY="119"/>
        <w:tblW w:w="9145" w:type="dxa"/>
        <w:tblInd w:w="0" w:type="dxa"/>
        <w:tblLayout w:type="fixed"/>
        <w:tblCellMar>
          <w:top w:w="0" w:type="dxa"/>
          <w:left w:w="108" w:type="dxa"/>
          <w:bottom w:w="0" w:type="dxa"/>
          <w:right w:w="108" w:type="dxa"/>
        </w:tblCellMar>
      </w:tblPr>
      <w:tblGrid>
        <w:gridCol w:w="3054"/>
        <w:gridCol w:w="3025"/>
        <w:gridCol w:w="3066"/>
      </w:tblGrid>
      <w:tr w14:paraId="4F9E87EC">
        <w:tblPrEx>
          <w:tblCellMar>
            <w:top w:w="0" w:type="dxa"/>
            <w:left w:w="108" w:type="dxa"/>
            <w:bottom w:w="0" w:type="dxa"/>
            <w:right w:w="108" w:type="dxa"/>
          </w:tblCellMar>
        </w:tblPrEx>
        <w:trPr>
          <w:trHeight w:val="2208" w:hRule="atLeast"/>
        </w:trPr>
        <w:tc>
          <w:tcPr>
            <w:tcW w:w="3054" w:type="dxa"/>
            <w:shd w:val="clear" w:color="auto" w:fill="auto"/>
          </w:tcPr>
          <w:p w14:paraId="1D5C5ADD">
            <w:pPr>
              <w:pStyle w:val="91"/>
              <w:spacing w:after="50" w:line="360" w:lineRule="auto"/>
              <w:rPr>
                <w:rFonts w:hint="eastAsia" w:ascii="仿宋_GB2312" w:hAnsi="宋体" w:eastAsia="仿宋_GB2312"/>
                <w:color w:val="auto"/>
                <w:szCs w:val="24"/>
                <w:highlight w:val="none"/>
                <w:u w:val="none"/>
              </w:rPr>
            </w:pPr>
            <w:r>
              <w:rPr>
                <w:rFonts w:hint="eastAsia" w:ascii="仿宋_GB2312" w:eastAsia="仿宋_GB2312"/>
                <w:color w:val="auto"/>
                <w:highlight w:val="none"/>
                <w:u w:val="none"/>
              </w:rPr>
              <w:t>甲方</w:t>
            </w:r>
            <w:r>
              <w:rPr>
                <w:rFonts w:hint="eastAsia" w:ascii="仿宋_GB2312" w:hAnsi="宋体" w:eastAsia="仿宋_GB2312"/>
                <w:color w:val="auto"/>
                <w:szCs w:val="24"/>
                <w:highlight w:val="none"/>
                <w:u w:val="none"/>
              </w:rPr>
              <w:t>：（公章）</w:t>
            </w:r>
          </w:p>
          <w:p w14:paraId="5F201C8B">
            <w:pPr>
              <w:pStyle w:val="91"/>
              <w:spacing w:after="50" w:line="360" w:lineRule="auto"/>
              <w:rPr>
                <w:rFonts w:hint="eastAsia" w:ascii="仿宋_GB2312" w:hAnsi="宋体" w:eastAsia="仿宋_GB2312"/>
                <w:color w:val="auto"/>
                <w:szCs w:val="24"/>
                <w:highlight w:val="none"/>
                <w:u w:val="none"/>
                <w:lang w:eastAsia="zh-CN"/>
              </w:rPr>
            </w:pPr>
            <w:r>
              <w:rPr>
                <w:rFonts w:hint="eastAsia" w:ascii="仿宋_GB2312" w:hAnsi="宋体" w:eastAsia="仿宋_GB2312"/>
                <w:color w:val="auto"/>
                <w:szCs w:val="24"/>
                <w:highlight w:val="none"/>
                <w:u w:val="none"/>
                <w:lang w:eastAsia="zh-CN"/>
              </w:rPr>
              <w:t>东莞市新锋新能源有限公司</w:t>
            </w:r>
          </w:p>
        </w:tc>
        <w:tc>
          <w:tcPr>
            <w:tcW w:w="3025" w:type="dxa"/>
            <w:shd w:val="clear" w:color="auto" w:fill="auto"/>
          </w:tcPr>
          <w:p w14:paraId="62FDAAB9">
            <w:pPr>
              <w:pStyle w:val="91"/>
              <w:spacing w:after="50" w:line="360" w:lineRule="auto"/>
              <w:rPr>
                <w:rFonts w:hint="eastAsia" w:ascii="仿宋_GB2312" w:hAnsi="宋体" w:eastAsia="仿宋_GB2312"/>
                <w:color w:val="auto"/>
                <w:szCs w:val="24"/>
                <w:highlight w:val="none"/>
                <w:u w:val="none"/>
              </w:rPr>
            </w:pPr>
            <w:r>
              <w:rPr>
                <w:rFonts w:hint="eastAsia" w:ascii="仿宋_GB2312" w:eastAsia="仿宋_GB2312"/>
                <w:color w:val="auto"/>
                <w:highlight w:val="none"/>
                <w:u w:val="none"/>
              </w:rPr>
              <w:t>乙方</w:t>
            </w:r>
            <w:r>
              <w:rPr>
                <w:rFonts w:hint="eastAsia" w:ascii="仿宋_GB2312" w:hAnsi="宋体" w:eastAsia="仿宋_GB2312"/>
                <w:color w:val="auto"/>
                <w:szCs w:val="24"/>
                <w:highlight w:val="none"/>
                <w:u w:val="none"/>
              </w:rPr>
              <w:t>（主）：（公章）</w:t>
            </w:r>
          </w:p>
          <w:p w14:paraId="4B0BADB0">
            <w:pPr>
              <w:pStyle w:val="91"/>
              <w:spacing w:after="50" w:line="360" w:lineRule="auto"/>
              <w:rPr>
                <w:rFonts w:hint="eastAsia" w:ascii="仿宋_GB2312" w:hAnsi="宋体" w:eastAsia="仿宋_GB2312"/>
                <w:color w:val="auto"/>
                <w:szCs w:val="24"/>
                <w:highlight w:val="none"/>
                <w:u w:val="none"/>
              </w:rPr>
            </w:pPr>
            <w:permStart w:id="50" w:edGrp="everyone"/>
            <w:r>
              <w:rPr>
                <w:rFonts w:hint="eastAsia" w:ascii="仿宋_GB2312" w:hAnsi="宋体" w:eastAsia="仿宋_GB2312"/>
                <w:color w:val="auto"/>
                <w:szCs w:val="24"/>
                <w:highlight w:val="none"/>
                <w:u w:val="none"/>
                <w:lang w:eastAsia="zh-CN"/>
              </w:rPr>
              <w:fldChar w:fldCharType="begin"/>
            </w:r>
            <w:r>
              <w:rPr>
                <w:rFonts w:hint="eastAsia" w:ascii="仿宋_GB2312" w:hAnsi="宋体" w:eastAsia="仿宋_GB2312"/>
                <w:color w:val="auto"/>
                <w:szCs w:val="24"/>
                <w:highlight w:val="none"/>
                <w:u w:val="none"/>
                <w:lang w:eastAsia="zh-CN"/>
              </w:rPr>
              <w:instrText xml:space="preserve"> REF 乙方（主） \h </w:instrText>
            </w:r>
            <w:r>
              <w:rPr>
                <w:rFonts w:hint="eastAsia" w:ascii="仿宋_GB2312" w:hAnsi="宋体" w:eastAsia="仿宋_GB2312"/>
                <w:color w:val="auto"/>
                <w:szCs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hAnsi="宋体" w:eastAsia="仿宋_GB2312"/>
                <w:color w:val="auto"/>
                <w:szCs w:val="24"/>
                <w:highlight w:val="none"/>
                <w:u w:val="none"/>
                <w:lang w:eastAsia="zh-CN"/>
              </w:rPr>
              <w:fldChar w:fldCharType="end"/>
            </w:r>
            <w:permEnd w:id="50"/>
          </w:p>
          <w:p w14:paraId="260E3CAB">
            <w:pPr>
              <w:pStyle w:val="91"/>
              <w:spacing w:after="50" w:line="360" w:lineRule="auto"/>
              <w:rPr>
                <w:rFonts w:hint="eastAsia" w:ascii="仿宋_GB2312" w:hAnsi="宋体" w:eastAsia="仿宋_GB2312"/>
                <w:color w:val="auto"/>
                <w:szCs w:val="24"/>
                <w:highlight w:val="none"/>
                <w:u w:val="none"/>
              </w:rPr>
            </w:pPr>
          </w:p>
        </w:tc>
        <w:tc>
          <w:tcPr>
            <w:tcW w:w="3066" w:type="dxa"/>
            <w:shd w:val="clear" w:color="auto" w:fill="auto"/>
          </w:tcPr>
          <w:p w14:paraId="6F6213F8">
            <w:pPr>
              <w:pStyle w:val="91"/>
              <w:spacing w:after="50" w:line="360" w:lineRule="auto"/>
              <w:rPr>
                <w:rFonts w:hint="eastAsia" w:ascii="仿宋_GB2312" w:hAnsi="宋体" w:eastAsia="仿宋_GB2312"/>
                <w:color w:val="auto"/>
                <w:szCs w:val="24"/>
                <w:highlight w:val="none"/>
                <w:u w:val="none"/>
              </w:rPr>
            </w:pPr>
            <w:r>
              <w:rPr>
                <w:rFonts w:hint="eastAsia" w:ascii="仿宋_GB2312" w:eastAsia="仿宋_GB2312"/>
                <w:color w:val="auto"/>
                <w:highlight w:val="none"/>
                <w:u w:val="none"/>
              </w:rPr>
              <w:t>乙方</w:t>
            </w:r>
            <w:r>
              <w:rPr>
                <w:rFonts w:hint="eastAsia" w:ascii="仿宋_GB2312" w:hAnsi="宋体" w:eastAsia="仿宋_GB2312"/>
                <w:color w:val="auto"/>
                <w:szCs w:val="24"/>
                <w:highlight w:val="none"/>
                <w:u w:val="none"/>
              </w:rPr>
              <w:t>（成）：（公章）</w:t>
            </w:r>
          </w:p>
          <w:p w14:paraId="25F3E56A">
            <w:pPr>
              <w:pStyle w:val="91"/>
              <w:spacing w:after="50" w:line="360" w:lineRule="auto"/>
              <w:rPr>
                <w:rFonts w:hint="eastAsia" w:ascii="仿宋_GB2312" w:hAnsi="宋体" w:eastAsia="仿宋_GB2312"/>
                <w:color w:val="auto"/>
                <w:szCs w:val="24"/>
                <w:highlight w:val="none"/>
                <w:u w:val="none"/>
              </w:rPr>
            </w:pPr>
            <w:permStart w:id="51" w:edGrp="everyone"/>
            <w:r>
              <w:rPr>
                <w:rFonts w:hint="eastAsia" w:ascii="仿宋_GB2312" w:hAnsi="宋体" w:eastAsia="仿宋_GB2312"/>
                <w:color w:val="auto"/>
                <w:szCs w:val="24"/>
                <w:highlight w:val="none"/>
                <w:u w:val="none"/>
                <w:lang w:eastAsia="zh-CN"/>
              </w:rPr>
              <w:fldChar w:fldCharType="begin"/>
            </w:r>
            <w:r>
              <w:rPr>
                <w:rFonts w:hint="eastAsia" w:ascii="仿宋_GB2312" w:hAnsi="宋体" w:eastAsia="仿宋_GB2312"/>
                <w:color w:val="auto"/>
                <w:szCs w:val="24"/>
                <w:highlight w:val="none"/>
                <w:u w:val="none"/>
                <w:lang w:eastAsia="zh-CN"/>
              </w:rPr>
              <w:instrText xml:space="preserve"> REF 乙方（成） \h </w:instrText>
            </w:r>
            <w:r>
              <w:rPr>
                <w:rFonts w:hint="eastAsia" w:ascii="仿宋_GB2312" w:hAnsi="宋体" w:eastAsia="仿宋_GB2312"/>
                <w:color w:val="auto"/>
                <w:szCs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hAnsi="宋体" w:eastAsia="仿宋_GB2312"/>
                <w:color w:val="auto"/>
                <w:szCs w:val="24"/>
                <w:highlight w:val="none"/>
                <w:u w:val="none"/>
                <w:lang w:eastAsia="zh-CN"/>
              </w:rPr>
              <w:fldChar w:fldCharType="end"/>
            </w:r>
            <w:permEnd w:id="51"/>
          </w:p>
        </w:tc>
      </w:tr>
      <w:tr w14:paraId="62724B11">
        <w:tblPrEx>
          <w:tblCellMar>
            <w:top w:w="0" w:type="dxa"/>
            <w:left w:w="108" w:type="dxa"/>
            <w:bottom w:w="0" w:type="dxa"/>
            <w:right w:w="108" w:type="dxa"/>
          </w:tblCellMar>
        </w:tblPrEx>
        <w:trPr>
          <w:trHeight w:val="1580" w:hRule="atLeast"/>
        </w:trPr>
        <w:tc>
          <w:tcPr>
            <w:tcW w:w="3054" w:type="dxa"/>
            <w:shd w:val="clear" w:color="auto" w:fill="auto"/>
          </w:tcPr>
          <w:p w14:paraId="60EDF3F4">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法定代表人（或授权代表）：（签字）</w:t>
            </w:r>
          </w:p>
          <w:p w14:paraId="5DBCA081">
            <w:pPr>
              <w:pStyle w:val="91"/>
              <w:spacing w:after="50" w:line="360" w:lineRule="auto"/>
              <w:rPr>
                <w:rFonts w:hint="eastAsia" w:ascii="仿宋_GB2312" w:hAnsi="宋体" w:eastAsia="仿宋_GB2312"/>
                <w:color w:val="auto"/>
                <w:szCs w:val="24"/>
                <w:highlight w:val="none"/>
              </w:rPr>
            </w:pPr>
          </w:p>
        </w:tc>
        <w:tc>
          <w:tcPr>
            <w:tcW w:w="3025" w:type="dxa"/>
            <w:shd w:val="clear" w:color="auto" w:fill="auto"/>
          </w:tcPr>
          <w:p w14:paraId="197ADAE2">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法定代表人（或授权代表）：（签字）</w:t>
            </w:r>
          </w:p>
          <w:p w14:paraId="777BFD0B">
            <w:pPr>
              <w:pStyle w:val="91"/>
              <w:spacing w:after="50" w:line="360" w:lineRule="auto"/>
              <w:rPr>
                <w:rFonts w:hint="eastAsia" w:ascii="仿宋_GB2312" w:hAnsi="宋体" w:eastAsia="仿宋_GB2312"/>
                <w:color w:val="auto"/>
                <w:szCs w:val="24"/>
                <w:highlight w:val="none"/>
              </w:rPr>
            </w:pPr>
          </w:p>
          <w:p w14:paraId="59532791">
            <w:pPr>
              <w:pStyle w:val="91"/>
              <w:spacing w:after="50" w:line="360" w:lineRule="auto"/>
              <w:rPr>
                <w:rFonts w:hint="eastAsia" w:ascii="仿宋_GB2312" w:hAnsi="宋体" w:eastAsia="仿宋_GB2312"/>
                <w:color w:val="auto"/>
                <w:szCs w:val="24"/>
                <w:highlight w:val="none"/>
              </w:rPr>
            </w:pPr>
          </w:p>
        </w:tc>
        <w:tc>
          <w:tcPr>
            <w:tcW w:w="3066" w:type="dxa"/>
            <w:shd w:val="clear" w:color="auto" w:fill="auto"/>
          </w:tcPr>
          <w:p w14:paraId="38047C4E">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法定代表人（或授权代表）：（签字）</w:t>
            </w:r>
          </w:p>
          <w:p w14:paraId="0DD51F8D">
            <w:pPr>
              <w:pStyle w:val="91"/>
              <w:spacing w:after="50" w:line="360" w:lineRule="auto"/>
              <w:rPr>
                <w:rFonts w:hint="eastAsia" w:ascii="仿宋_GB2312" w:hAnsi="宋体" w:eastAsia="仿宋_GB2312"/>
                <w:color w:val="auto"/>
                <w:szCs w:val="24"/>
                <w:highlight w:val="none"/>
              </w:rPr>
            </w:pPr>
          </w:p>
          <w:p w14:paraId="45E1018C">
            <w:pPr>
              <w:pStyle w:val="91"/>
              <w:spacing w:after="50" w:line="360" w:lineRule="auto"/>
              <w:rPr>
                <w:rFonts w:hint="eastAsia" w:ascii="仿宋_GB2312" w:hAnsi="宋体" w:eastAsia="仿宋_GB2312"/>
                <w:color w:val="auto"/>
                <w:szCs w:val="24"/>
                <w:highlight w:val="none"/>
              </w:rPr>
            </w:pPr>
          </w:p>
        </w:tc>
      </w:tr>
      <w:tr w14:paraId="41CDABB2">
        <w:tblPrEx>
          <w:tblCellMar>
            <w:top w:w="0" w:type="dxa"/>
            <w:left w:w="108" w:type="dxa"/>
            <w:bottom w:w="0" w:type="dxa"/>
            <w:right w:w="108" w:type="dxa"/>
          </w:tblCellMar>
        </w:tblPrEx>
        <w:tc>
          <w:tcPr>
            <w:tcW w:w="3054" w:type="dxa"/>
            <w:shd w:val="clear" w:color="auto" w:fill="auto"/>
          </w:tcPr>
          <w:p w14:paraId="3258E352">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统一社会信用代码：</w:t>
            </w:r>
          </w:p>
          <w:p w14:paraId="18DDDA9C">
            <w:pPr>
              <w:pStyle w:val="91"/>
              <w:spacing w:after="50" w:line="360" w:lineRule="auto"/>
              <w:rPr>
                <w:rFonts w:hint="eastAsia" w:ascii="仿宋_GB2312" w:hAnsi="宋体" w:eastAsia="仿宋_GB2312"/>
                <w:color w:val="auto"/>
                <w:kern w:val="0"/>
                <w:szCs w:val="24"/>
                <w:highlight w:val="none"/>
                <w:u w:val="single"/>
              </w:rPr>
            </w:pPr>
            <w:r>
              <w:rPr>
                <w:rFonts w:hint="eastAsia" w:ascii="仿宋_GB2312" w:hAnsi="宋体" w:eastAsia="仿宋_GB2312"/>
                <w:color w:val="auto"/>
                <w:kern w:val="0"/>
                <w:szCs w:val="24"/>
                <w:highlight w:val="none"/>
                <w:u w:val="single"/>
              </w:rPr>
              <w:t>91441900MAA4GDFY5J</w:t>
            </w:r>
          </w:p>
          <w:p w14:paraId="382AF82B">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地址：</w:t>
            </w:r>
            <w:r>
              <w:rPr>
                <w:rFonts w:hint="eastAsia" w:ascii="仿宋_GB2312" w:hAnsi="宋体" w:eastAsia="仿宋_GB2312"/>
                <w:color w:val="auto"/>
                <w:kern w:val="0"/>
                <w:szCs w:val="24"/>
                <w:highlight w:val="none"/>
                <w:u w:val="single"/>
              </w:rPr>
              <w:t>广东省东莞市松山湖园区新城路5号1栋601室</w:t>
            </w:r>
          </w:p>
          <w:p w14:paraId="1B37DB9F">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邮政编码：</w:t>
            </w:r>
            <w:r>
              <w:rPr>
                <w:rFonts w:hint="eastAsia" w:ascii="仿宋_GB2312" w:hAnsi="宋体" w:eastAsia="仿宋_GB2312"/>
                <w:color w:val="auto"/>
                <w:kern w:val="0"/>
                <w:szCs w:val="24"/>
                <w:highlight w:val="none"/>
                <w:u w:val="single"/>
              </w:rPr>
              <w:t>523808</w:t>
            </w:r>
          </w:p>
          <w:p w14:paraId="1DA169D6">
            <w:pPr>
              <w:pStyle w:val="91"/>
              <w:spacing w:after="50" w:line="360" w:lineRule="auto"/>
              <w:rPr>
                <w:rFonts w:hint="default" w:ascii="仿宋_GB2312" w:eastAsia="仿宋_GB2312"/>
                <w:color w:val="auto"/>
                <w:kern w:val="0"/>
                <w:szCs w:val="24"/>
                <w:highlight w:val="none"/>
                <w:u w:val="single"/>
              </w:rPr>
            </w:pPr>
            <w:r>
              <w:rPr>
                <w:rFonts w:hint="eastAsia" w:ascii="仿宋_GB2312" w:hAnsi="宋体" w:eastAsia="仿宋_GB2312"/>
                <w:color w:val="auto"/>
                <w:szCs w:val="24"/>
                <w:highlight w:val="none"/>
              </w:rPr>
              <w:t>法定代表人：</w:t>
            </w:r>
            <w:r>
              <w:rPr>
                <w:rFonts w:hint="eastAsia" w:ascii="仿宋_GB2312" w:eastAsia="仿宋_GB2312"/>
                <w:color w:val="auto"/>
                <w:kern w:val="0"/>
                <w:szCs w:val="24"/>
                <w:highlight w:val="none"/>
                <w:u w:val="single"/>
              </w:rPr>
              <w:t>梁志均</w:t>
            </w:r>
          </w:p>
          <w:p w14:paraId="70EB5C99">
            <w:pPr>
              <w:pStyle w:val="91"/>
              <w:spacing w:after="50" w:line="360" w:lineRule="auto"/>
              <w:rPr>
                <w:rFonts w:hint="default" w:ascii="仿宋_GB2312" w:eastAsia="仿宋_GB2312"/>
                <w:color w:val="auto"/>
                <w:kern w:val="0"/>
                <w:szCs w:val="24"/>
                <w:highlight w:val="none"/>
                <w:u w:val="single"/>
                <w:lang w:val="en-US" w:eastAsia="zh-CN"/>
              </w:rPr>
            </w:pPr>
            <w:r>
              <w:rPr>
                <w:rFonts w:hint="default" w:ascii="仿宋_GB2312" w:eastAsia="仿宋_GB2312"/>
                <w:color w:val="auto"/>
                <w:kern w:val="0"/>
                <w:szCs w:val="24"/>
                <w:highlight w:val="none"/>
              </w:rPr>
              <w:t>委托代理人：</w:t>
            </w:r>
            <w:r>
              <w:rPr>
                <w:rFonts w:hint="eastAsia" w:ascii="仿宋_GB2312" w:eastAsia="仿宋_GB2312"/>
                <w:color w:val="auto"/>
                <w:kern w:val="0"/>
                <w:szCs w:val="24"/>
                <w:highlight w:val="none"/>
                <w:u w:val="single"/>
                <w:lang w:val="en-US" w:eastAsia="zh-CN"/>
              </w:rPr>
              <w:t>卢泽桦</w:t>
            </w:r>
          </w:p>
          <w:p w14:paraId="6DD4AE59">
            <w:pPr>
              <w:pStyle w:val="91"/>
              <w:spacing w:after="50" w:line="360" w:lineRule="auto"/>
              <w:rPr>
                <w:rFonts w:hint="default" w:ascii="仿宋_GB2312" w:eastAsia="仿宋_GB2312"/>
                <w:color w:val="auto"/>
                <w:kern w:val="0"/>
                <w:szCs w:val="24"/>
                <w:highlight w:val="none"/>
                <w:u w:val="single"/>
              </w:rPr>
            </w:pPr>
            <w:r>
              <w:rPr>
                <w:rFonts w:hint="eastAsia" w:ascii="仿宋_GB2312" w:hAnsi="宋体" w:eastAsia="仿宋_GB2312"/>
                <w:color w:val="auto"/>
                <w:szCs w:val="24"/>
                <w:highlight w:val="none"/>
              </w:rPr>
              <w:t>电话：</w:t>
            </w:r>
            <w:r>
              <w:rPr>
                <w:rFonts w:hint="eastAsia" w:ascii="仿宋_GB2312" w:eastAsia="仿宋_GB2312"/>
                <w:color w:val="auto"/>
                <w:kern w:val="0"/>
                <w:szCs w:val="24"/>
                <w:highlight w:val="none"/>
                <w:u w:val="single"/>
              </w:rPr>
              <w:t>0769-22899838</w:t>
            </w:r>
          </w:p>
          <w:p w14:paraId="586BCE82">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开户银行：</w:t>
            </w:r>
            <w:r>
              <w:rPr>
                <w:rFonts w:hint="eastAsia" w:ascii="仿宋_GB2312" w:eastAsia="仿宋_GB2312"/>
                <w:color w:val="auto"/>
                <w:kern w:val="0"/>
                <w:szCs w:val="24"/>
                <w:highlight w:val="none"/>
                <w:u w:val="single"/>
              </w:rPr>
              <w:t>中信银行东莞大朗支行</w:t>
            </w:r>
          </w:p>
          <w:p w14:paraId="3E9DBFD9">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账号：</w:t>
            </w:r>
            <w:r>
              <w:rPr>
                <w:rFonts w:hint="eastAsia" w:ascii="仿宋_GB2312" w:eastAsia="仿宋_GB2312"/>
                <w:color w:val="auto"/>
                <w:kern w:val="0"/>
                <w:szCs w:val="24"/>
                <w:highlight w:val="none"/>
                <w:u w:val="single"/>
              </w:rPr>
              <w:t>8110901012501383079</w:t>
            </w:r>
          </w:p>
        </w:tc>
        <w:tc>
          <w:tcPr>
            <w:tcW w:w="3025" w:type="dxa"/>
            <w:shd w:val="clear" w:color="auto" w:fill="auto"/>
          </w:tcPr>
          <w:p w14:paraId="181D2524">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统一社会信用代码：</w:t>
            </w:r>
          </w:p>
          <w:p w14:paraId="3D70A02E">
            <w:pPr>
              <w:pStyle w:val="91"/>
              <w:spacing w:after="50" w:line="360" w:lineRule="auto"/>
              <w:rPr>
                <w:rFonts w:hint="eastAsia" w:ascii="仿宋_GB2312" w:hAnsi="宋体" w:eastAsia="仿宋_GB2312"/>
                <w:color w:val="auto"/>
                <w:kern w:val="0"/>
                <w:szCs w:val="24"/>
                <w:highlight w:val="none"/>
                <w:u w:val="single"/>
              </w:rPr>
            </w:pPr>
            <w:r>
              <w:rPr>
                <w:rFonts w:hint="eastAsia" w:ascii="仿宋_GB2312" w:hAnsi="宋体" w:eastAsia="仿宋_GB2312"/>
                <w:color w:val="auto"/>
                <w:kern w:val="0"/>
                <w:szCs w:val="24"/>
                <w:highlight w:val="none"/>
                <w:u w:val="single"/>
              </w:rPr>
              <w:t xml:space="preserve">                 </w:t>
            </w:r>
          </w:p>
          <w:p w14:paraId="32D02447">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地址：</w:t>
            </w:r>
            <w:r>
              <w:rPr>
                <w:rFonts w:hint="eastAsia" w:ascii="仿宋_GB2312" w:hAnsi="宋体" w:eastAsia="仿宋_GB2312"/>
                <w:color w:val="auto"/>
                <w:kern w:val="0"/>
                <w:szCs w:val="24"/>
                <w:highlight w:val="none"/>
                <w:u w:val="single"/>
              </w:rPr>
              <w:t xml:space="preserve">                 </w:t>
            </w:r>
          </w:p>
          <w:p w14:paraId="14EBFF46">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邮政编码：</w:t>
            </w:r>
            <w:r>
              <w:rPr>
                <w:rFonts w:hint="eastAsia" w:ascii="仿宋_GB2312" w:hAnsi="宋体" w:eastAsia="仿宋_GB2312"/>
                <w:color w:val="auto"/>
                <w:szCs w:val="24"/>
                <w:highlight w:val="none"/>
                <w:u w:val="single"/>
              </w:rPr>
              <w:t xml:space="preserve">      </w:t>
            </w:r>
          </w:p>
          <w:p w14:paraId="1F22FFA3">
            <w:pPr>
              <w:pStyle w:val="91"/>
              <w:spacing w:after="50" w:line="360" w:lineRule="auto"/>
              <w:rPr>
                <w:rFonts w:hint="eastAsia" w:ascii="仿宋_GB2312" w:hAnsi="宋体" w:eastAsia="仿宋_GB2312"/>
                <w:color w:val="auto"/>
                <w:szCs w:val="24"/>
                <w:highlight w:val="none"/>
                <w:u w:val="single"/>
              </w:rPr>
            </w:pPr>
            <w:r>
              <w:rPr>
                <w:rFonts w:hint="eastAsia" w:ascii="仿宋_GB2312" w:hAnsi="宋体" w:eastAsia="仿宋_GB2312"/>
                <w:color w:val="auto"/>
                <w:szCs w:val="24"/>
                <w:highlight w:val="none"/>
              </w:rPr>
              <w:t>法定代表人：</w:t>
            </w:r>
            <w:r>
              <w:rPr>
                <w:rFonts w:hint="eastAsia" w:ascii="仿宋_GB2312" w:hAnsi="宋体" w:eastAsia="仿宋_GB2312"/>
                <w:color w:val="auto"/>
                <w:szCs w:val="24"/>
                <w:highlight w:val="none"/>
                <w:u w:val="single"/>
              </w:rPr>
              <w:t xml:space="preserve">      </w:t>
            </w:r>
          </w:p>
          <w:p w14:paraId="4FD1E5C6">
            <w:pPr>
              <w:pStyle w:val="91"/>
              <w:spacing w:after="50" w:line="360" w:lineRule="auto"/>
              <w:rPr>
                <w:rFonts w:hint="eastAsia" w:ascii="仿宋_GB2312" w:hAnsi="宋体" w:eastAsia="仿宋_GB2312"/>
                <w:color w:val="auto"/>
                <w:szCs w:val="24"/>
                <w:highlight w:val="none"/>
              </w:rPr>
            </w:pPr>
            <w:r>
              <w:rPr>
                <w:rFonts w:hint="default" w:ascii="仿宋_GB2312" w:eastAsia="仿宋_GB2312"/>
                <w:color w:val="auto"/>
                <w:kern w:val="0"/>
                <w:szCs w:val="24"/>
                <w:highlight w:val="none"/>
              </w:rPr>
              <w:t>委托代理人：</w:t>
            </w:r>
            <w:r>
              <w:rPr>
                <w:rFonts w:hint="eastAsia" w:ascii="仿宋_GB2312" w:eastAsia="仿宋_GB2312"/>
                <w:color w:val="auto"/>
                <w:kern w:val="0"/>
                <w:szCs w:val="24"/>
                <w:highlight w:val="none"/>
                <w:u w:val="single"/>
              </w:rPr>
              <w:t>/</w:t>
            </w:r>
          </w:p>
          <w:p w14:paraId="5C8F2851">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电话：</w:t>
            </w:r>
            <w:r>
              <w:rPr>
                <w:rFonts w:hint="eastAsia" w:ascii="仿宋_GB2312" w:hAnsi="宋体" w:eastAsia="仿宋_GB2312"/>
                <w:color w:val="auto"/>
                <w:szCs w:val="24"/>
                <w:highlight w:val="none"/>
                <w:u w:val="single"/>
              </w:rPr>
              <w:t xml:space="preserve">            </w:t>
            </w:r>
          </w:p>
          <w:p w14:paraId="56227625">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开户银行：</w:t>
            </w:r>
            <w:r>
              <w:rPr>
                <w:rFonts w:hint="eastAsia" w:ascii="仿宋_GB2312" w:hAnsi="宋体" w:eastAsia="仿宋_GB2312"/>
                <w:color w:val="auto"/>
                <w:szCs w:val="24"/>
                <w:highlight w:val="none"/>
                <w:u w:val="single"/>
              </w:rPr>
              <w:t xml:space="preserve"> </w:t>
            </w:r>
            <w:r>
              <w:rPr>
                <w:rFonts w:hint="eastAsia" w:ascii="仿宋_GB2312" w:eastAsia="仿宋_GB2312"/>
                <w:color w:val="auto"/>
                <w:kern w:val="0"/>
                <w:szCs w:val="24"/>
                <w:highlight w:val="none"/>
                <w:u w:val="single"/>
              </w:rPr>
              <w:t xml:space="preserve">     </w:t>
            </w:r>
          </w:p>
          <w:p w14:paraId="411EB4F0">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账号：</w:t>
            </w:r>
            <w:r>
              <w:rPr>
                <w:rFonts w:hint="eastAsia" w:ascii="仿宋_GB2312" w:hAnsi="宋体" w:eastAsia="仿宋_GB2312"/>
                <w:color w:val="auto"/>
                <w:kern w:val="0"/>
                <w:szCs w:val="24"/>
                <w:highlight w:val="none"/>
                <w:u w:val="single"/>
              </w:rPr>
              <w:t xml:space="preserve">            </w:t>
            </w:r>
          </w:p>
        </w:tc>
        <w:tc>
          <w:tcPr>
            <w:tcW w:w="3066" w:type="dxa"/>
            <w:shd w:val="clear" w:color="auto" w:fill="auto"/>
          </w:tcPr>
          <w:p w14:paraId="4891ACFF">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统一社会信用代码：</w:t>
            </w:r>
          </w:p>
          <w:p w14:paraId="1A589958">
            <w:pPr>
              <w:pStyle w:val="91"/>
              <w:spacing w:after="50" w:line="360" w:lineRule="auto"/>
              <w:rPr>
                <w:rFonts w:hint="eastAsia" w:ascii="仿宋_GB2312" w:hAnsi="宋体" w:eastAsia="仿宋_GB2312"/>
                <w:color w:val="auto"/>
                <w:kern w:val="0"/>
                <w:szCs w:val="24"/>
                <w:highlight w:val="none"/>
                <w:u w:val="single"/>
              </w:rPr>
            </w:pPr>
            <w:r>
              <w:rPr>
                <w:rFonts w:hint="eastAsia" w:ascii="仿宋_GB2312" w:hAnsi="宋体" w:eastAsia="仿宋_GB2312"/>
                <w:color w:val="auto"/>
                <w:kern w:val="0"/>
                <w:szCs w:val="24"/>
                <w:highlight w:val="none"/>
                <w:u w:val="single"/>
              </w:rPr>
              <w:t xml:space="preserve">                 </w:t>
            </w:r>
          </w:p>
          <w:p w14:paraId="6F2E14F3">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地址：</w:t>
            </w:r>
            <w:r>
              <w:rPr>
                <w:rFonts w:hint="eastAsia" w:ascii="仿宋_GB2312" w:hAnsi="宋体" w:eastAsia="仿宋_GB2312"/>
                <w:color w:val="auto"/>
                <w:kern w:val="0"/>
                <w:szCs w:val="24"/>
                <w:highlight w:val="none"/>
                <w:u w:val="single"/>
              </w:rPr>
              <w:t xml:space="preserve">                  </w:t>
            </w:r>
          </w:p>
          <w:p w14:paraId="6A71C060">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邮政编码：</w:t>
            </w:r>
            <w:r>
              <w:rPr>
                <w:rFonts w:hint="eastAsia" w:ascii="仿宋_GB2312" w:hAnsi="宋体" w:eastAsia="仿宋_GB2312"/>
                <w:color w:val="auto"/>
                <w:szCs w:val="24"/>
                <w:highlight w:val="none"/>
                <w:u w:val="single"/>
              </w:rPr>
              <w:t xml:space="preserve">      </w:t>
            </w:r>
          </w:p>
          <w:p w14:paraId="792865C3">
            <w:pPr>
              <w:pStyle w:val="91"/>
              <w:spacing w:after="50" w:line="360" w:lineRule="auto"/>
              <w:rPr>
                <w:rFonts w:hint="eastAsia" w:ascii="仿宋_GB2312" w:hAnsi="宋体" w:eastAsia="仿宋_GB2312"/>
                <w:color w:val="auto"/>
                <w:szCs w:val="24"/>
                <w:highlight w:val="none"/>
                <w:u w:val="single"/>
              </w:rPr>
            </w:pPr>
            <w:r>
              <w:rPr>
                <w:rFonts w:hint="eastAsia" w:ascii="仿宋_GB2312" w:hAnsi="宋体" w:eastAsia="仿宋_GB2312"/>
                <w:color w:val="auto"/>
                <w:szCs w:val="24"/>
                <w:highlight w:val="none"/>
              </w:rPr>
              <w:t>法定代表人：</w:t>
            </w:r>
            <w:r>
              <w:rPr>
                <w:rFonts w:hint="eastAsia" w:ascii="仿宋_GB2312" w:hAnsi="宋体" w:eastAsia="仿宋_GB2312"/>
                <w:color w:val="auto"/>
                <w:szCs w:val="24"/>
                <w:highlight w:val="none"/>
                <w:u w:val="single"/>
              </w:rPr>
              <w:t xml:space="preserve">      </w:t>
            </w:r>
          </w:p>
          <w:p w14:paraId="694155AC">
            <w:pPr>
              <w:pStyle w:val="91"/>
              <w:spacing w:after="50" w:line="360" w:lineRule="auto"/>
              <w:rPr>
                <w:rFonts w:hint="eastAsia" w:ascii="仿宋_GB2312" w:hAnsi="宋体" w:eastAsia="仿宋_GB2312"/>
                <w:color w:val="auto"/>
                <w:szCs w:val="24"/>
                <w:highlight w:val="none"/>
                <w:u w:val="single"/>
              </w:rPr>
            </w:pPr>
            <w:r>
              <w:rPr>
                <w:rFonts w:hint="default" w:ascii="仿宋_GB2312" w:eastAsia="仿宋_GB2312"/>
                <w:color w:val="auto"/>
                <w:kern w:val="0"/>
                <w:szCs w:val="24"/>
                <w:highlight w:val="none"/>
              </w:rPr>
              <w:t>委托代理人：</w:t>
            </w:r>
            <w:r>
              <w:rPr>
                <w:rFonts w:hint="eastAsia" w:ascii="仿宋_GB2312" w:eastAsia="仿宋_GB2312"/>
                <w:color w:val="auto"/>
                <w:kern w:val="0"/>
                <w:szCs w:val="24"/>
                <w:highlight w:val="none"/>
                <w:u w:val="single"/>
              </w:rPr>
              <w:t>/</w:t>
            </w:r>
          </w:p>
          <w:p w14:paraId="1465356E">
            <w:pPr>
              <w:pStyle w:val="91"/>
              <w:spacing w:after="50" w:line="360" w:lineRule="auto"/>
              <w:rPr>
                <w:rFonts w:hint="default" w:eastAsia="仿宋_GB2312"/>
                <w:color w:val="auto"/>
                <w:szCs w:val="24"/>
                <w:highlight w:val="none"/>
              </w:rPr>
            </w:pPr>
            <w:r>
              <w:rPr>
                <w:rFonts w:hint="eastAsia" w:ascii="仿宋_GB2312" w:hAnsi="宋体" w:eastAsia="仿宋_GB2312"/>
                <w:color w:val="auto"/>
                <w:szCs w:val="24"/>
                <w:highlight w:val="none"/>
              </w:rPr>
              <w:t>电话：</w:t>
            </w:r>
            <w:r>
              <w:rPr>
                <w:rFonts w:hint="eastAsia" w:ascii="仿宋_GB2312" w:hAnsi="宋体" w:eastAsia="仿宋_GB2312"/>
                <w:color w:val="auto"/>
                <w:szCs w:val="24"/>
                <w:highlight w:val="none"/>
                <w:u w:val="single"/>
              </w:rPr>
              <w:t xml:space="preserve">            </w:t>
            </w:r>
          </w:p>
          <w:p w14:paraId="746D9864">
            <w:pPr>
              <w:pStyle w:val="91"/>
              <w:spacing w:after="50" w:line="360" w:lineRule="auto"/>
              <w:rPr>
                <w:rFonts w:hint="default" w:eastAsia="仿宋_GB2312"/>
                <w:color w:val="auto"/>
                <w:szCs w:val="24"/>
                <w:highlight w:val="none"/>
              </w:rPr>
            </w:pPr>
            <w:r>
              <w:rPr>
                <w:rFonts w:hint="eastAsia" w:ascii="仿宋_GB2312" w:hAnsi="宋体" w:eastAsia="仿宋_GB2312"/>
                <w:color w:val="auto"/>
                <w:szCs w:val="24"/>
                <w:highlight w:val="none"/>
              </w:rPr>
              <w:t>开户银行：</w:t>
            </w:r>
            <w:r>
              <w:rPr>
                <w:rFonts w:hint="eastAsia" w:ascii="仿宋_GB2312" w:hAnsi="宋体" w:eastAsia="仿宋_GB2312"/>
                <w:color w:val="auto"/>
                <w:szCs w:val="24"/>
                <w:highlight w:val="none"/>
                <w:u w:val="single"/>
              </w:rPr>
              <w:t xml:space="preserve">       </w:t>
            </w:r>
          </w:p>
          <w:p w14:paraId="09F9E554">
            <w:pPr>
              <w:pStyle w:val="91"/>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账号：</w:t>
            </w:r>
            <w:r>
              <w:rPr>
                <w:rFonts w:hint="eastAsia" w:ascii="仿宋_GB2312" w:hAnsi="宋体" w:eastAsia="仿宋_GB2312"/>
                <w:color w:val="auto"/>
                <w:szCs w:val="24"/>
                <w:highlight w:val="none"/>
                <w:u w:val="single"/>
              </w:rPr>
              <w:t xml:space="preserve">            </w:t>
            </w:r>
          </w:p>
        </w:tc>
      </w:tr>
    </w:tbl>
    <w:p w14:paraId="443652EE">
      <w:pPr>
        <w:spacing w:line="360" w:lineRule="auto"/>
        <w:ind w:firstLine="480" w:firstLineChars="200"/>
        <w:rPr>
          <w:rFonts w:hint="default" w:ascii="仿宋_GB2312" w:eastAsia="仿宋_GB2312"/>
          <w:color w:val="auto"/>
          <w:sz w:val="24"/>
          <w:highlight w:val="none"/>
        </w:rPr>
      </w:pPr>
    </w:p>
    <w:p w14:paraId="709BC96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合同签订时间：</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日</w:t>
      </w:r>
    </w:p>
    <w:p w14:paraId="5C453E5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合同签订地点：广东省东莞市</w:t>
      </w:r>
    </w:p>
    <w:p w14:paraId="4885D7F4">
      <w:pPr>
        <w:numPr>
          <w:ilvl w:val="2"/>
          <w:numId w:val="6"/>
        </w:numPr>
        <w:spacing w:line="360" w:lineRule="auto"/>
        <w:rPr>
          <w:rFonts w:hint="default" w:ascii="仿宋_GB2312" w:eastAsia="仿宋_GB2312"/>
          <w:color w:val="auto"/>
          <w:sz w:val="24"/>
          <w:highlight w:val="none"/>
        </w:rPr>
        <w:sectPr>
          <w:headerReference r:id="rId10" w:type="default"/>
          <w:footerReference r:id="rId11" w:type="default"/>
          <w:pgSz w:w="11906" w:h="16838"/>
          <w:pgMar w:top="1361" w:right="1134" w:bottom="1361" w:left="1134"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25CBC091">
      <w:pPr>
        <w:spacing w:line="360" w:lineRule="auto"/>
        <w:jc w:val="lef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附件1</w:t>
      </w:r>
    </w:p>
    <w:p w14:paraId="3EA7AFDE">
      <w:pPr>
        <w:spacing w:line="360" w:lineRule="auto"/>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联合体共同投标协议</w:t>
      </w:r>
    </w:p>
    <w:p w14:paraId="4CC17AA3">
      <w:pPr>
        <w:spacing w:line="360" w:lineRule="auto"/>
        <w:rPr>
          <w:rFonts w:hint="default" w:ascii="仿宋_GB2312" w:eastAsia="仿宋_GB2312"/>
          <w:color w:val="auto"/>
          <w:sz w:val="24"/>
          <w:highlight w:val="none"/>
        </w:rPr>
      </w:pPr>
    </w:p>
    <w:p w14:paraId="267754DA">
      <w:p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 xml:space="preserve">    </w:t>
      </w:r>
      <w:permStart w:id="52" w:edGrp="everyone"/>
      <w:r>
        <w:rPr>
          <w:rFonts w:hint="eastAsia" w:ascii="仿宋_GB2312" w:eastAsia="仿宋_GB2312"/>
          <w:color w:val="auto"/>
          <w:sz w:val="24"/>
          <w:highlight w:val="none"/>
          <w:lang w:eastAsia="zh-CN"/>
        </w:rPr>
        <w:fldChar w:fldCharType="begin"/>
      </w:r>
      <w:r>
        <w:rPr>
          <w:rFonts w:hint="eastAsia" w:ascii="仿宋_GB2312" w:eastAsia="仿宋_GB2312"/>
          <w:color w:val="auto"/>
          <w:sz w:val="24"/>
          <w:highlight w:val="none"/>
          <w:lang w:eastAsia="zh-CN"/>
        </w:rPr>
        <w:instrText xml:space="preserve"> REF 乙方（主） \h </w:instrText>
      </w:r>
      <w:r>
        <w:rPr>
          <w:rFonts w:hint="eastAsia" w:ascii="仿宋_GB2312" w:eastAsia="仿宋_GB2312"/>
          <w:color w:val="auto"/>
          <w:sz w:val="24"/>
          <w:highlight w:val="none"/>
          <w:lang w:eastAsia="zh-CN"/>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lang w:eastAsia="zh-CN"/>
        </w:rPr>
        <w:fldChar w:fldCharType="end"/>
      </w:r>
      <w:permEnd w:id="52"/>
      <w:r>
        <w:rPr>
          <w:rFonts w:hint="eastAsia" w:ascii="仿宋_GB2312" w:eastAsia="仿宋_GB2312"/>
          <w:color w:val="auto"/>
          <w:sz w:val="24"/>
          <w:highlight w:val="none"/>
          <w:u w:val="single"/>
        </w:rPr>
        <w:t>、</w:t>
      </w:r>
      <w:permStart w:id="53"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3"/>
      <w:r>
        <w:rPr>
          <w:rFonts w:hint="eastAsia" w:ascii="仿宋_GB2312" w:eastAsia="仿宋_GB2312"/>
          <w:color w:val="auto"/>
          <w:sz w:val="24"/>
          <w:highlight w:val="none"/>
        </w:rPr>
        <w:t>（联合体名称）联合体,共同参加</w:t>
      </w:r>
      <w:permStart w:id="54" w:edGrp="everyone"/>
      <w:r>
        <w:rPr>
          <w:rFonts w:hint="eastAsia" w:ascii="仿宋_GB2312" w:eastAsia="仿宋_GB2312"/>
          <w:color w:val="auto"/>
          <w:sz w:val="24"/>
          <w:highlight w:val="none"/>
        </w:rPr>
        <w:fldChar w:fldCharType="begin"/>
      </w:r>
      <w:r>
        <w:rPr>
          <w:rFonts w:hint="eastAsia" w:ascii="仿宋_GB2312" w:eastAsia="仿宋_GB2312"/>
          <w:color w:val="auto"/>
          <w:sz w:val="24"/>
          <w:highlight w:val="none"/>
        </w:rPr>
        <w:instrText xml:space="preserve"> REF 项目名称 \h </w:instrText>
      </w:r>
      <w:r>
        <w:rPr>
          <w:rFonts w:hint="eastAsia" w:ascii="仿宋_GB2312" w:eastAsia="仿宋_GB2312"/>
          <w:color w:val="auto"/>
          <w:sz w:val="24"/>
          <w:highlight w:val="none"/>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rPr>
        <w:fldChar w:fldCharType="end"/>
      </w:r>
      <w:permEnd w:id="54"/>
      <w:r>
        <w:rPr>
          <w:rFonts w:hint="eastAsia" w:ascii="仿宋_GB2312" w:eastAsia="仿宋_GB2312"/>
          <w:color w:val="auto"/>
          <w:sz w:val="24"/>
          <w:highlight w:val="none"/>
        </w:rPr>
        <w:t>设计施工总承包投标。我方授权委托本协议牵头人代表联合体各成员参加投标、签署投标资料、提交投标文件。现就联合体投标事宜订立如下协议。</w:t>
      </w:r>
    </w:p>
    <w:p w14:paraId="021A324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w:t>
      </w:r>
      <w:permStart w:id="55"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5"/>
      <w:r>
        <w:rPr>
          <w:rFonts w:hint="eastAsia" w:ascii="仿宋_GB2312" w:eastAsia="仿宋_GB2312"/>
          <w:color w:val="auto"/>
          <w:sz w:val="24"/>
          <w:highlight w:val="none"/>
        </w:rPr>
        <w:t>（施工方单位名称）为</w:t>
      </w:r>
      <w:permStart w:id="56"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6"/>
      <w:r>
        <w:rPr>
          <w:rFonts w:hint="eastAsia" w:ascii="仿宋_GB2312" w:eastAsia="仿宋_GB2312"/>
          <w:color w:val="auto"/>
          <w:sz w:val="24"/>
          <w:highlight w:val="none"/>
          <w:u w:val="single"/>
        </w:rPr>
        <w:t>、</w:t>
      </w:r>
      <w:permStart w:id="57"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7"/>
      <w:r>
        <w:rPr>
          <w:rFonts w:hint="eastAsia" w:ascii="仿宋_GB2312" w:eastAsia="仿宋_GB2312"/>
          <w:b/>
          <w:color w:val="auto"/>
          <w:sz w:val="24"/>
          <w:highlight w:val="none"/>
        </w:rPr>
        <w:t>联合体主办方</w:t>
      </w:r>
      <w:r>
        <w:rPr>
          <w:rFonts w:hint="eastAsia" w:ascii="仿宋_GB2312" w:eastAsia="仿宋_GB2312"/>
          <w:color w:val="auto"/>
          <w:sz w:val="24"/>
          <w:highlight w:val="none"/>
        </w:rPr>
        <w:t>。</w:t>
      </w:r>
    </w:p>
    <w:p w14:paraId="20C322D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w:t>
      </w:r>
      <w:r>
        <w:rPr>
          <w:rFonts w:hint="eastAsia" w:ascii="仿宋_GB2312" w:eastAsia="仿宋_GB2312"/>
          <w:b/>
          <w:color w:val="auto"/>
          <w:sz w:val="24"/>
          <w:highlight w:val="none"/>
        </w:rPr>
        <w:t>联合体主办方</w:t>
      </w:r>
      <w:r>
        <w:rPr>
          <w:rFonts w:hint="eastAsia" w:ascii="仿宋_GB2312" w:eastAsia="仿宋_GB2312"/>
          <w:color w:val="auto"/>
          <w:sz w:val="24"/>
          <w:highlight w:val="none"/>
        </w:rPr>
        <w:t>合法代表联合体各成员负责本招标项目投标文件编制和合同谈判活动，并代表联合体提交和接收相关的资料、信息及指示，并处理与之有关的一切事务，负责合同实施阶段的主办、组织和协调工作。</w:t>
      </w:r>
    </w:p>
    <w:p w14:paraId="50A0417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3、联合体将严格按照招标文件各项要求，递交投标文件，履行合同，并对外承担相应责任。</w:t>
      </w:r>
    </w:p>
    <w:p w14:paraId="6D8BC58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4、联合体各成员单位内部的职责分工如下：</w:t>
      </w:r>
    </w:p>
    <w:p w14:paraId="5462507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①</w:t>
      </w:r>
      <w:permStart w:id="58"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8"/>
      <w:r>
        <w:rPr>
          <w:rFonts w:hint="eastAsia" w:ascii="仿宋_GB2312" w:eastAsia="仿宋_GB2312"/>
          <w:color w:val="auto"/>
          <w:sz w:val="24"/>
          <w:highlight w:val="none"/>
        </w:rPr>
        <w:t>（施工方单位名称）：作为联合体的主办方除负责本工程的施工外，还应负责设计施工总承包管理的职责。联合体其他相关方违约时，主办方应承担连带责任，具体按合同要求。</w:t>
      </w:r>
    </w:p>
    <w:p w14:paraId="1F7F11E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②</w:t>
      </w:r>
      <w:permStart w:id="59"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9"/>
      <w:r>
        <w:rPr>
          <w:rFonts w:hint="eastAsia" w:ascii="仿宋_GB2312" w:eastAsia="仿宋_GB2312"/>
          <w:color w:val="auto"/>
          <w:sz w:val="24"/>
          <w:highlight w:val="none"/>
        </w:rPr>
        <w:t>（设计方单位名称）：主要负责本工程的初步设计、可行性研究报告、系统接入设计、施工图设计、竣工图设计、设计优化等工作，具体按合同要求。</w:t>
      </w:r>
    </w:p>
    <w:p w14:paraId="6F46FB5A">
      <w:pPr>
        <w:numPr>
          <w:ilvl w:val="0"/>
          <w:numId w:val="7"/>
        </w:num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本协议书自签署之日起生效，合同履行完毕后自动失效。</w:t>
      </w:r>
    </w:p>
    <w:p w14:paraId="7EAC48FF">
      <w:pPr>
        <w:pStyle w:val="39"/>
        <w:spacing w:before="156"/>
        <w:ind w:firstLine="480"/>
        <w:rPr>
          <w:rFonts w:hint="default" w:ascii="仿宋_GB2312" w:eastAsia="仿宋_GB2312"/>
          <w:color w:val="auto"/>
          <w:highlight w:val="none"/>
        </w:rPr>
      </w:pPr>
      <w:r>
        <w:rPr>
          <w:rFonts w:hint="eastAsia" w:ascii="仿宋_GB2312" w:eastAsia="仿宋_GB2312"/>
          <w:color w:val="auto"/>
          <w:highlight w:val="none"/>
        </w:rPr>
        <w:t>（以下无正文）</w:t>
      </w:r>
    </w:p>
    <w:p w14:paraId="0CB0FD41">
      <w:pPr>
        <w:rPr>
          <w:rFonts w:hint="default" w:ascii="仿宋_GB2312" w:eastAsia="仿宋_GB2312"/>
          <w:color w:val="auto"/>
          <w:sz w:val="24"/>
          <w:highlight w:val="none"/>
        </w:rPr>
      </w:pPr>
    </w:p>
    <w:p w14:paraId="0EEAE88B">
      <w:pPr>
        <w:pStyle w:val="39"/>
        <w:spacing w:before="156"/>
        <w:ind w:firstLine="480"/>
        <w:rPr>
          <w:rFonts w:hint="default" w:ascii="仿宋_GB2312" w:eastAsia="仿宋_GB2312"/>
          <w:color w:val="auto"/>
          <w:highlight w:val="none"/>
        </w:rPr>
      </w:pPr>
    </w:p>
    <w:p w14:paraId="028FEDB2">
      <w:pPr>
        <w:rPr>
          <w:rFonts w:hint="default" w:ascii="仿宋_GB2312" w:eastAsia="仿宋_GB2312"/>
          <w:color w:val="auto"/>
          <w:sz w:val="24"/>
          <w:highlight w:val="none"/>
        </w:rPr>
      </w:pPr>
    </w:p>
    <w:p w14:paraId="6CCFFE6B">
      <w:pPr>
        <w:pStyle w:val="39"/>
        <w:spacing w:before="156"/>
        <w:ind w:firstLine="480"/>
        <w:rPr>
          <w:rFonts w:hint="default" w:ascii="仿宋_GB2312" w:eastAsia="仿宋_GB2312"/>
          <w:color w:val="auto"/>
          <w:highlight w:val="none"/>
        </w:rPr>
      </w:pPr>
    </w:p>
    <w:p w14:paraId="4DA6AC91">
      <w:pPr>
        <w:rPr>
          <w:rFonts w:hint="default" w:ascii="仿宋_GB2312" w:eastAsia="仿宋_GB2312"/>
          <w:color w:val="auto"/>
          <w:sz w:val="24"/>
          <w:highlight w:val="none"/>
        </w:rPr>
      </w:pPr>
    </w:p>
    <w:p w14:paraId="34F4C826">
      <w:pPr>
        <w:pStyle w:val="39"/>
        <w:spacing w:before="156"/>
        <w:ind w:firstLine="480"/>
        <w:rPr>
          <w:rFonts w:hint="default" w:ascii="仿宋_GB2312" w:eastAsia="仿宋_GB2312"/>
          <w:color w:val="auto"/>
          <w:highlight w:val="none"/>
        </w:rPr>
      </w:pPr>
    </w:p>
    <w:p w14:paraId="4CF59FEB">
      <w:pPr>
        <w:rPr>
          <w:rFonts w:hint="default" w:ascii="仿宋_GB2312" w:eastAsia="仿宋_GB2312"/>
          <w:color w:val="auto"/>
          <w:sz w:val="24"/>
          <w:highlight w:val="none"/>
        </w:rPr>
      </w:pPr>
    </w:p>
    <w:p w14:paraId="60E53F32">
      <w:pPr>
        <w:pStyle w:val="39"/>
        <w:spacing w:before="156"/>
        <w:ind w:firstLine="480"/>
        <w:rPr>
          <w:rFonts w:hint="default" w:ascii="仿宋_GB2312" w:eastAsia="仿宋_GB2312"/>
          <w:color w:val="auto"/>
          <w:highlight w:val="none"/>
        </w:rPr>
      </w:pPr>
    </w:p>
    <w:p w14:paraId="68E9848C">
      <w:pPr>
        <w:pStyle w:val="39"/>
        <w:spacing w:before="156"/>
        <w:ind w:firstLine="480"/>
        <w:rPr>
          <w:rFonts w:hint="default" w:ascii="仿宋_GB2312" w:eastAsia="仿宋_GB2312"/>
          <w:color w:val="auto"/>
          <w:highlight w:val="none"/>
        </w:rPr>
      </w:pPr>
      <w:r>
        <w:rPr>
          <w:rFonts w:hint="eastAsia" w:ascii="仿宋_GB2312" w:eastAsia="仿宋_GB2312"/>
          <w:color w:val="auto"/>
          <w:highlight w:val="none"/>
        </w:rPr>
        <w:t>（签署页）</w:t>
      </w:r>
    </w:p>
    <w:p w14:paraId="3D2D5592">
      <w:pPr>
        <w:rPr>
          <w:color w:val="auto"/>
          <w:highlight w:val="none"/>
        </w:rPr>
      </w:pPr>
    </w:p>
    <w:p w14:paraId="2294F097">
      <w:pPr>
        <w:spacing w:line="360" w:lineRule="auto"/>
        <w:rPr>
          <w:rFonts w:hint="default" w:ascii="仿宋_GB2312" w:eastAsia="仿宋_GB2312"/>
          <w:color w:val="auto"/>
          <w:sz w:val="24"/>
          <w:highlight w:val="none"/>
        </w:rPr>
      </w:pPr>
    </w:p>
    <w:p w14:paraId="7CD50710">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承包人（主）：（盖章）</w:t>
      </w:r>
      <w:permStart w:id="60"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60"/>
      <w:r>
        <w:rPr>
          <w:rFonts w:hint="eastAsia" w:ascii="仿宋_GB2312" w:eastAsia="仿宋_GB2312"/>
          <w:color w:val="auto"/>
          <w:sz w:val="24"/>
          <w:highlight w:val="none"/>
        </w:rPr>
        <w:t xml:space="preserve">        </w:t>
      </w:r>
    </w:p>
    <w:p w14:paraId="6A7C97A3">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19091FE7">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日    期：    年   月   日</w:t>
      </w:r>
    </w:p>
    <w:p w14:paraId="1B9ECBF0">
      <w:pPr>
        <w:spacing w:line="480" w:lineRule="auto"/>
        <w:ind w:firstLine="480" w:firstLineChars="200"/>
        <w:rPr>
          <w:rFonts w:hint="default" w:ascii="仿宋_GB2312" w:eastAsia="仿宋_GB2312"/>
          <w:color w:val="auto"/>
          <w:sz w:val="24"/>
          <w:highlight w:val="none"/>
        </w:rPr>
      </w:pPr>
    </w:p>
    <w:p w14:paraId="3AD58143">
      <w:pPr>
        <w:spacing w:line="480" w:lineRule="auto"/>
        <w:ind w:firstLine="480" w:firstLineChars="200"/>
        <w:rPr>
          <w:rFonts w:hint="default" w:ascii="仿宋_GB2312" w:eastAsia="仿宋_GB2312"/>
          <w:color w:val="auto"/>
          <w:sz w:val="24"/>
          <w:highlight w:val="none"/>
        </w:rPr>
      </w:pPr>
    </w:p>
    <w:p w14:paraId="7F90999D">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承包人（成）：（盖章）</w:t>
      </w:r>
      <w:permStart w:id="61"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61"/>
      <w:r>
        <w:rPr>
          <w:rFonts w:hint="eastAsia" w:ascii="仿宋_GB2312" w:eastAsia="仿宋_GB2312"/>
          <w:color w:val="auto"/>
          <w:sz w:val="24"/>
          <w:highlight w:val="none"/>
        </w:rPr>
        <w:t xml:space="preserve">        </w:t>
      </w:r>
    </w:p>
    <w:p w14:paraId="2E62329A">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3E388C8D">
      <w:pPr>
        <w:spacing w:line="480" w:lineRule="auto"/>
        <w:ind w:firstLine="480" w:firstLineChars="200"/>
        <w:rPr>
          <w:rFonts w:hint="eastAsia" w:ascii="仿宋_GB2312" w:hAnsi="仿宋_GB2312" w:eastAsia="仿宋_GB2312" w:cs="仿宋_GB2312"/>
          <w:b/>
          <w:color w:val="auto"/>
          <w:sz w:val="32"/>
          <w:szCs w:val="32"/>
          <w:highlight w:val="none"/>
        </w:rPr>
      </w:pPr>
      <w:r>
        <w:rPr>
          <w:rFonts w:hint="eastAsia" w:ascii="仿宋_GB2312" w:eastAsia="仿宋_GB2312"/>
          <w:color w:val="auto"/>
          <w:sz w:val="24"/>
          <w:highlight w:val="none"/>
        </w:rPr>
        <w:t>日    期：    年   月   日</w:t>
      </w:r>
    </w:p>
    <w:p w14:paraId="14DA110A">
      <w:pPr>
        <w:spacing w:line="360" w:lineRule="auto"/>
        <w:jc w:val="left"/>
        <w:rPr>
          <w:rFonts w:hint="eastAsia" w:ascii="仿宋_GB2312" w:hAnsi="仿宋_GB2312" w:eastAsia="仿宋_GB2312" w:cs="仿宋_GB2312"/>
          <w:b/>
          <w:color w:val="auto"/>
          <w:sz w:val="32"/>
          <w:szCs w:val="32"/>
          <w:highlight w:val="none"/>
        </w:rPr>
      </w:pPr>
    </w:p>
    <w:p w14:paraId="438DF485">
      <w:pPr>
        <w:spacing w:line="360" w:lineRule="auto"/>
        <w:jc w:val="lef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br w:type="page"/>
      </w:r>
      <w:r>
        <w:rPr>
          <w:rFonts w:hint="eastAsia" w:ascii="仿宋_GB2312" w:hAnsi="仿宋_GB2312" w:eastAsia="仿宋_GB2312" w:cs="仿宋_GB2312"/>
          <w:b/>
          <w:color w:val="auto"/>
          <w:sz w:val="32"/>
          <w:szCs w:val="32"/>
          <w:highlight w:val="none"/>
        </w:rPr>
        <w:t>附件2</w:t>
      </w:r>
    </w:p>
    <w:p w14:paraId="6FF40C4B">
      <w:pPr>
        <w:spacing w:line="360" w:lineRule="auto"/>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安全协议书</w:t>
      </w:r>
    </w:p>
    <w:p w14:paraId="4707DC1C">
      <w:pPr>
        <w:spacing w:line="360" w:lineRule="auto"/>
        <w:rPr>
          <w:rFonts w:hint="default" w:ascii="仿宋_GB2312" w:eastAsia="仿宋_GB2312"/>
          <w:color w:val="auto"/>
          <w:sz w:val="24"/>
          <w:highlight w:val="none"/>
        </w:rPr>
      </w:pPr>
    </w:p>
    <w:p w14:paraId="1B7B859C">
      <w:pPr>
        <w:spacing w:line="360" w:lineRule="auto"/>
        <w:rPr>
          <w:rFonts w:hint="default" w:ascii="仿宋_GB2312" w:eastAsia="仿宋_GB2312"/>
          <w:color w:val="auto"/>
          <w:sz w:val="24"/>
          <w:highlight w:val="none"/>
        </w:rPr>
      </w:pPr>
      <w:r>
        <w:rPr>
          <w:rFonts w:hint="eastAsia" w:ascii="仿宋_GB2312" w:eastAsia="仿宋_GB2312"/>
          <w:b/>
          <w:color w:val="auto"/>
          <w:sz w:val="24"/>
          <w:highlight w:val="none"/>
        </w:rPr>
        <w:t>项目名称：</w:t>
      </w:r>
      <w:permStart w:id="62" w:edGrp="everyone"/>
      <w:r>
        <w:rPr>
          <w:rFonts w:hint="eastAsia" w:ascii="仿宋_GB2312" w:eastAsia="仿宋_GB2312"/>
          <w:color w:val="auto"/>
          <w:sz w:val="24"/>
          <w:highlight w:val="none"/>
        </w:rPr>
        <w:fldChar w:fldCharType="begin"/>
      </w:r>
      <w:r>
        <w:rPr>
          <w:rFonts w:hint="eastAsia" w:ascii="仿宋_GB2312" w:eastAsia="仿宋_GB2312"/>
          <w:color w:val="auto"/>
          <w:sz w:val="24"/>
          <w:highlight w:val="none"/>
        </w:rPr>
        <w:instrText xml:space="preserve"> REF 项目名称 \h </w:instrText>
      </w:r>
      <w:r>
        <w:rPr>
          <w:rFonts w:hint="eastAsia" w:ascii="仿宋_GB2312" w:eastAsia="仿宋_GB2312"/>
          <w:color w:val="auto"/>
          <w:sz w:val="24"/>
          <w:highlight w:val="none"/>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rPr>
        <w:fldChar w:fldCharType="end"/>
      </w:r>
      <w:permEnd w:id="62"/>
    </w:p>
    <w:p w14:paraId="013E21B7">
      <w:pPr>
        <w:spacing w:line="360" w:lineRule="auto"/>
        <w:rPr>
          <w:rFonts w:hint="default" w:ascii="仿宋_GB2312" w:hAnsi="Times New Roman" w:eastAsia="仿宋_GB2312" w:cs="Times New Roman"/>
          <w:color w:val="auto"/>
          <w:sz w:val="24"/>
          <w:highlight w:val="none"/>
        </w:rPr>
      </w:pPr>
      <w:r>
        <w:rPr>
          <w:rFonts w:hint="eastAsia" w:ascii="仿宋_GB2312" w:eastAsia="仿宋_GB2312"/>
          <w:b/>
          <w:color w:val="auto"/>
          <w:sz w:val="24"/>
          <w:highlight w:val="none"/>
        </w:rPr>
        <w:t>合同编号：</w:t>
      </w:r>
      <w:permStart w:id="63" w:edGrp="everyone"/>
      <w:r>
        <w:rPr>
          <w:rFonts w:hint="eastAsia" w:ascii="仿宋_GB2312" w:hAnsi="Times New Roman" w:eastAsia="仿宋_GB2312" w:cs="Times New Roman"/>
          <w:color w:val="auto"/>
          <w:sz w:val="24"/>
          <w:highlight w:val="none"/>
        </w:rPr>
        <w:fldChar w:fldCharType="begin"/>
      </w:r>
      <w:r>
        <w:rPr>
          <w:rFonts w:hint="eastAsia" w:ascii="仿宋_GB2312" w:hAnsi="Times New Roman" w:eastAsia="仿宋_GB2312" w:cs="Times New Roman"/>
          <w:color w:val="auto"/>
          <w:sz w:val="24"/>
          <w:highlight w:val="none"/>
        </w:rPr>
        <w:instrText xml:space="preserve"> REF 合同编号 \h </w:instrText>
      </w:r>
      <w:r>
        <w:rPr>
          <w:rFonts w:hint="eastAsia" w:ascii="仿宋_GB2312" w:hAnsi="Times New Roman" w:eastAsia="仿宋_GB2312" w:cs="Times New Roman"/>
          <w:color w:val="auto"/>
          <w:sz w:val="24"/>
          <w:highlight w:val="none"/>
        </w:rPr>
        <w:fldChar w:fldCharType="separate"/>
      </w:r>
      <w:r>
        <w:rPr>
          <w:rFonts w:hint="eastAsia" w:ascii="仿宋_GB2312" w:hAnsi="Times New Roman" w:eastAsia="仿宋_GB2312" w:cs="Times New Roman"/>
          <w:color w:val="auto"/>
          <w:sz w:val="24"/>
          <w:highlight w:val="none"/>
        </w:rPr>
        <w:t>XFGFSG202X0XX</w:t>
      </w:r>
      <w:r>
        <w:rPr>
          <w:rFonts w:hint="eastAsia" w:ascii="仿宋_GB2312" w:hAnsi="Times New Roman" w:eastAsia="仿宋_GB2312" w:cs="Times New Roman"/>
          <w:color w:val="auto"/>
          <w:sz w:val="24"/>
          <w:highlight w:val="none"/>
        </w:rPr>
        <w:fldChar w:fldCharType="end"/>
      </w:r>
      <w:permEnd w:id="63"/>
    </w:p>
    <w:p w14:paraId="44E6EBAE">
      <w:pPr>
        <w:spacing w:line="360" w:lineRule="auto"/>
        <w:rPr>
          <w:rFonts w:hint="eastAsia" w:ascii="仿宋_GB2312" w:eastAsia="仿宋_GB2312"/>
          <w:color w:val="auto"/>
          <w:sz w:val="24"/>
          <w:highlight w:val="none"/>
          <w:lang w:eastAsia="zh-CN"/>
        </w:rPr>
      </w:pPr>
      <w:r>
        <w:rPr>
          <w:rFonts w:hint="eastAsia" w:ascii="仿宋_GB2312" w:eastAsia="仿宋_GB2312"/>
          <w:b/>
          <w:color w:val="auto"/>
          <w:sz w:val="24"/>
          <w:highlight w:val="none"/>
        </w:rPr>
        <w:t>发包人：</w:t>
      </w:r>
      <w:r>
        <w:rPr>
          <w:rFonts w:hint="eastAsia" w:ascii="仿宋_GB2312" w:eastAsia="仿宋_GB2312"/>
          <w:color w:val="auto"/>
          <w:sz w:val="24"/>
          <w:highlight w:val="none"/>
          <w:lang w:eastAsia="zh-CN"/>
        </w:rPr>
        <w:t>东莞市新锋新能源有限公司</w:t>
      </w:r>
    </w:p>
    <w:p w14:paraId="34DF29ED">
      <w:pPr>
        <w:spacing w:line="360" w:lineRule="auto"/>
        <w:rPr>
          <w:rFonts w:hint="default" w:ascii="仿宋_GB2312" w:eastAsia="仿宋_GB2312"/>
          <w:color w:val="auto"/>
          <w:sz w:val="24"/>
          <w:highlight w:val="none"/>
          <w:u w:val="none"/>
        </w:rPr>
      </w:pPr>
      <w:r>
        <w:rPr>
          <w:rFonts w:hint="eastAsia" w:ascii="仿宋_GB2312" w:eastAsia="仿宋_GB2312"/>
          <w:b/>
          <w:color w:val="auto"/>
          <w:sz w:val="24"/>
          <w:highlight w:val="none"/>
        </w:rPr>
        <w:t>承包人</w:t>
      </w:r>
      <w:r>
        <w:rPr>
          <w:rFonts w:hint="eastAsia" w:ascii="仿宋_GB2312" w:eastAsia="仿宋_GB2312"/>
          <w:b/>
          <w:color w:val="auto"/>
          <w:sz w:val="24"/>
          <w:highlight w:val="none"/>
          <w:lang w:eastAsia="zh-CN"/>
        </w:rPr>
        <w:t>：</w:t>
      </w:r>
      <w:r>
        <w:rPr>
          <w:rFonts w:hint="eastAsia" w:ascii="仿宋_GB2312" w:eastAsia="仿宋_GB2312"/>
          <w:color w:val="auto"/>
          <w:sz w:val="24"/>
          <w:highlight w:val="none"/>
        </w:rPr>
        <w:t>(主</w:t>
      </w:r>
      <w:r>
        <w:rPr>
          <w:rFonts w:hint="eastAsia" w:ascii="仿宋_GB2312" w:eastAsia="仿宋_GB2312"/>
          <w:color w:val="auto"/>
          <w:sz w:val="24"/>
          <w:highlight w:val="none"/>
          <w:u w:val="none"/>
        </w:rPr>
        <w:t>)</w:t>
      </w:r>
      <w:permStart w:id="64"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4"/>
      <w:r>
        <w:rPr>
          <w:rFonts w:hint="eastAsia" w:ascii="仿宋_GB2312" w:eastAsia="仿宋_GB2312"/>
          <w:color w:val="auto"/>
          <w:sz w:val="24"/>
          <w:highlight w:val="none"/>
          <w:u w:val="none"/>
          <w:lang w:eastAsia="zh-CN"/>
        </w:rPr>
        <w:t>、</w:t>
      </w:r>
      <w:r>
        <w:rPr>
          <w:rFonts w:hint="eastAsia" w:ascii="仿宋_GB2312" w:eastAsia="仿宋_GB2312"/>
          <w:color w:val="auto"/>
          <w:sz w:val="24"/>
          <w:highlight w:val="none"/>
          <w:u w:val="none"/>
        </w:rPr>
        <w:t>(成)</w:t>
      </w:r>
      <w:permStart w:id="65"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5"/>
    </w:p>
    <w:p w14:paraId="780403E4">
      <w:pPr>
        <w:spacing w:line="360" w:lineRule="auto"/>
        <w:rPr>
          <w:rFonts w:hint="default" w:ascii="仿宋_GB2312" w:eastAsia="仿宋_GB2312"/>
          <w:color w:val="auto"/>
          <w:sz w:val="24"/>
          <w:highlight w:val="none"/>
        </w:rPr>
      </w:pPr>
    </w:p>
    <w:p w14:paraId="6CE94923">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一、安全施工考核</w:t>
      </w:r>
    </w:p>
    <w:p w14:paraId="7359A5F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按照施工总承包合同的“安全施工”、“安全事故与检查”的有关内容执行。</w:t>
      </w:r>
    </w:p>
    <w:p w14:paraId="3495C24C">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二、发包人安全责任</w:t>
      </w:r>
    </w:p>
    <w:p w14:paraId="4CBAAA1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1.对承包人单位进行安全资质审查。</w:t>
      </w:r>
    </w:p>
    <w:p w14:paraId="37706D7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2.核实承包人进入施工场地的人员经过安全培训教育，具备安全上岗资格。施工场地属配电房、办公楼等治安消防管理重点部位的，配合承包人向建设单位申办出入登记。</w:t>
      </w:r>
    </w:p>
    <w:p w14:paraId="010E1E1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3.监督承包人编制、报批施工方案（含安全组织措施、技术措施）。</w:t>
      </w:r>
    </w:p>
    <w:p w14:paraId="227A3DA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4.向承包人派出安全管理人员并按规定进行安全技术交底。</w:t>
      </w:r>
    </w:p>
    <w:p w14:paraId="67A66A2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5.按规定协助承包人办理工作票签发、许可手续，布置安全措施。</w:t>
      </w:r>
    </w:p>
    <w:p w14:paraId="7D99532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6.按照国家《</w:t>
      </w:r>
      <w:r>
        <w:rPr>
          <w:rFonts w:hint="eastAsia" w:ascii="仿宋_GB2312" w:eastAsia="仿宋_GB2312"/>
          <w:color w:val="auto"/>
          <w:sz w:val="24"/>
          <w:highlight w:val="none"/>
          <w:lang w:eastAsia="zh-CN"/>
        </w:rPr>
        <w:t>中华人民共和国安全生产法</w:t>
      </w:r>
      <w:r>
        <w:rPr>
          <w:rFonts w:hint="eastAsia" w:ascii="仿宋_GB2312" w:eastAsia="仿宋_GB2312"/>
          <w:color w:val="auto"/>
          <w:sz w:val="24"/>
          <w:highlight w:val="none"/>
        </w:rPr>
        <w:t>》规定，督促在同一区域长时间交叉作业的多个承包商开工前协商签订安全协议。</w:t>
      </w:r>
    </w:p>
    <w:p w14:paraId="5C0D048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7.向承包人传达有关安全施工、治安、消防工作管理制度、专项活动部署与事故通报等重要信息。</w:t>
      </w:r>
    </w:p>
    <w:p w14:paraId="668C4893">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三、承包人安全责任</w:t>
      </w:r>
    </w:p>
    <w:p w14:paraId="0C55D7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1.依法建立健全施工安全管理制度，严格执行南方电网公司《电网建设安全健康与环境管理办法实施细则》。</w:t>
      </w:r>
    </w:p>
    <w:p w14:paraId="30D3A57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2.对所派出的施工人员持证上岗和上岗前安全教育全面负责。</w:t>
      </w:r>
    </w:p>
    <w:p w14:paraId="4696737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3.开工前负责配合对施工人员进行安全技术交底,人</w:t>
      </w:r>
      <w:r>
        <w:rPr>
          <w:rFonts w:hint="eastAsia" w:ascii="仿宋_GB2312" w:eastAsia="仿宋_GB2312"/>
          <w:color w:val="auto"/>
          <w:sz w:val="24"/>
          <w:highlight w:val="none"/>
          <w:lang w:val="en-US" w:eastAsia="zh-CN"/>
        </w:rPr>
        <w:t>员</w:t>
      </w:r>
      <w:r>
        <w:rPr>
          <w:rFonts w:hint="eastAsia" w:ascii="仿宋_GB2312" w:eastAsia="仿宋_GB2312"/>
          <w:color w:val="auto"/>
          <w:sz w:val="24"/>
          <w:highlight w:val="none"/>
        </w:rPr>
        <w:t>签名记录。</w:t>
      </w:r>
    </w:p>
    <w:p w14:paraId="6CD5AF4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4.严格按照安全规程、制度要求组织实施现场施工作业，办理各类电气、动火工作票，并负责全面执行各项安全措施。</w:t>
      </w:r>
    </w:p>
    <w:p w14:paraId="00B389D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5.制订治安、消防工作管理措施并全面落实执行。</w:t>
      </w:r>
    </w:p>
    <w:p w14:paraId="04080C1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6.工地、工棚、临时宿舍等应按规定敷设、使用施工电源，配备足够的消防器材，必要时办理消防报审手续。</w:t>
      </w:r>
    </w:p>
    <w:p w14:paraId="06C9802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7.易燃易爆物品应按规定在室内分类妥善保管，设置明显防火标志。</w:t>
      </w:r>
    </w:p>
    <w:p w14:paraId="5993DBF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8.负责施工范围内电力设施防盗工作，夜班值守人员要保证3人以上，并按规定做好废旧线材回收工作。</w:t>
      </w:r>
    </w:p>
    <w:p w14:paraId="1ED81C4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9.完全接受发包人或监理公司的安全管理和事故、违章处罚。</w:t>
      </w:r>
    </w:p>
    <w:p w14:paraId="0FF668CD">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四、违约责任及处罚</w:t>
      </w:r>
    </w:p>
    <w:p w14:paraId="0E6DBEA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按照总承包合同的“双方的权利和义务”、“违约责任”的有关内容执行。</w:t>
      </w:r>
    </w:p>
    <w:p w14:paraId="73CBC777">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五、附则</w:t>
      </w:r>
    </w:p>
    <w:p w14:paraId="7C250AF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1.本合同未尽事宜，按国家有关法律法规执行。</w:t>
      </w:r>
    </w:p>
    <w:p w14:paraId="16D909E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2.本协议书与工程总承包合同为一整体合同文件。</w:t>
      </w:r>
    </w:p>
    <w:p w14:paraId="1C72429A">
      <w:pPr>
        <w:spacing w:line="360" w:lineRule="auto"/>
        <w:ind w:firstLine="480" w:firstLineChars="200"/>
        <w:rPr>
          <w:rFonts w:hint="default" w:ascii="仿宋_GB2312" w:eastAsia="仿宋_GB2312"/>
          <w:color w:val="auto"/>
          <w:sz w:val="24"/>
          <w:highlight w:val="none"/>
        </w:rPr>
      </w:pPr>
    </w:p>
    <w:p w14:paraId="4B7A3131">
      <w:pPr>
        <w:spacing w:line="360" w:lineRule="auto"/>
        <w:rPr>
          <w:rFonts w:hint="default" w:ascii="仿宋_GB2312" w:eastAsia="仿宋_GB2312"/>
          <w:color w:val="auto"/>
          <w:sz w:val="24"/>
          <w:highlight w:val="none"/>
        </w:rPr>
      </w:pPr>
    </w:p>
    <w:p w14:paraId="4DF526D7">
      <w:pPr>
        <w:spacing w:line="480" w:lineRule="auto"/>
        <w:ind w:firstLine="480" w:firstLineChars="200"/>
        <w:rPr>
          <w:rFonts w:hint="eastAsia" w:ascii="仿宋_GB2312" w:eastAsia="仿宋_GB2312"/>
          <w:color w:val="auto"/>
          <w:sz w:val="24"/>
          <w:highlight w:val="none"/>
          <w:u w:val="none"/>
          <w:lang w:eastAsia="zh-CN"/>
        </w:rPr>
      </w:pPr>
      <w:r>
        <w:rPr>
          <w:rFonts w:hint="eastAsia" w:ascii="仿宋_GB2312" w:eastAsia="仿宋_GB2312"/>
          <w:color w:val="auto"/>
          <w:sz w:val="24"/>
          <w:highlight w:val="none"/>
        </w:rPr>
        <w:t>发包人：（盖章）</w:t>
      </w:r>
      <w:r>
        <w:rPr>
          <w:rFonts w:hint="eastAsia" w:ascii="仿宋_GB2312" w:eastAsia="仿宋_GB2312"/>
          <w:color w:val="auto"/>
          <w:sz w:val="24"/>
          <w:highlight w:val="none"/>
          <w:u w:val="none"/>
          <w:lang w:eastAsia="zh-CN"/>
        </w:rPr>
        <w:t>东莞市新锋新能源有限公司</w:t>
      </w:r>
    </w:p>
    <w:p w14:paraId="3E598684">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0FA7455A">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日   期：    年   月   日</w:t>
      </w:r>
    </w:p>
    <w:p w14:paraId="3F16A501">
      <w:pPr>
        <w:spacing w:line="480" w:lineRule="auto"/>
        <w:ind w:firstLine="480" w:firstLineChars="200"/>
        <w:rPr>
          <w:rFonts w:hint="default" w:ascii="仿宋_GB2312" w:eastAsia="仿宋_GB2312"/>
          <w:color w:val="auto"/>
          <w:sz w:val="24"/>
          <w:highlight w:val="none"/>
        </w:rPr>
      </w:pPr>
    </w:p>
    <w:p w14:paraId="662069B6">
      <w:pPr>
        <w:spacing w:line="480" w:lineRule="auto"/>
        <w:ind w:firstLine="480" w:firstLineChars="200"/>
        <w:rPr>
          <w:rFonts w:hint="default" w:ascii="仿宋_GB2312" w:eastAsia="仿宋_GB2312"/>
          <w:color w:val="auto"/>
          <w:sz w:val="24"/>
          <w:highlight w:val="none"/>
          <w:u w:val="none"/>
        </w:rPr>
      </w:pPr>
      <w:r>
        <w:rPr>
          <w:rFonts w:hint="eastAsia" w:ascii="仿宋_GB2312" w:eastAsia="仿宋_GB2312"/>
          <w:color w:val="auto"/>
          <w:sz w:val="24"/>
          <w:highlight w:val="none"/>
        </w:rPr>
        <w:t>承包人（主）：（盖章）</w:t>
      </w:r>
      <w:permStart w:id="66"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6"/>
      <w:r>
        <w:rPr>
          <w:rFonts w:hint="eastAsia" w:ascii="仿宋_GB2312" w:eastAsia="仿宋_GB2312"/>
          <w:color w:val="auto"/>
          <w:sz w:val="24"/>
          <w:highlight w:val="none"/>
          <w:u w:val="none"/>
        </w:rPr>
        <w:t xml:space="preserve">        </w:t>
      </w:r>
    </w:p>
    <w:p w14:paraId="5E742057">
      <w:pPr>
        <w:spacing w:line="480" w:lineRule="auto"/>
        <w:ind w:firstLine="480" w:firstLineChars="200"/>
        <w:rPr>
          <w:rFonts w:hint="default" w:ascii="仿宋_GB2312" w:eastAsia="仿宋_GB2312"/>
          <w:color w:val="auto"/>
          <w:sz w:val="24"/>
          <w:highlight w:val="none"/>
          <w:u w:val="none"/>
        </w:rPr>
      </w:pPr>
      <w:r>
        <w:rPr>
          <w:rFonts w:hint="eastAsia" w:ascii="仿宋_GB2312" w:eastAsia="仿宋_GB2312"/>
          <w:color w:val="auto"/>
          <w:sz w:val="24"/>
          <w:highlight w:val="none"/>
          <w:u w:val="none"/>
        </w:rPr>
        <w:t xml:space="preserve">法定代表人（或授权代表）签字：              </w:t>
      </w:r>
    </w:p>
    <w:p w14:paraId="470E0F05">
      <w:pPr>
        <w:spacing w:line="480" w:lineRule="auto"/>
        <w:ind w:firstLine="480" w:firstLineChars="200"/>
        <w:rPr>
          <w:rFonts w:hint="default" w:ascii="仿宋_GB2312" w:eastAsia="仿宋_GB2312"/>
          <w:color w:val="auto"/>
          <w:sz w:val="24"/>
          <w:highlight w:val="none"/>
          <w:u w:val="none"/>
        </w:rPr>
      </w:pPr>
      <w:r>
        <w:rPr>
          <w:rFonts w:hint="eastAsia" w:ascii="仿宋_GB2312" w:eastAsia="仿宋_GB2312"/>
          <w:color w:val="auto"/>
          <w:sz w:val="24"/>
          <w:highlight w:val="none"/>
          <w:u w:val="none"/>
        </w:rPr>
        <w:t>日    期：    年   月   日</w:t>
      </w:r>
    </w:p>
    <w:p w14:paraId="058837D4">
      <w:pPr>
        <w:spacing w:line="480" w:lineRule="auto"/>
        <w:ind w:firstLine="480" w:firstLineChars="200"/>
        <w:rPr>
          <w:rFonts w:hint="default" w:ascii="仿宋_GB2312" w:eastAsia="仿宋_GB2312"/>
          <w:color w:val="auto"/>
          <w:sz w:val="24"/>
          <w:highlight w:val="none"/>
          <w:u w:val="none"/>
        </w:rPr>
      </w:pPr>
    </w:p>
    <w:p w14:paraId="33F869F2">
      <w:pPr>
        <w:spacing w:line="480" w:lineRule="auto"/>
        <w:ind w:firstLine="480" w:firstLineChars="200"/>
        <w:rPr>
          <w:rFonts w:hint="default" w:ascii="仿宋_GB2312" w:eastAsia="仿宋_GB2312"/>
          <w:color w:val="auto"/>
          <w:sz w:val="24"/>
          <w:highlight w:val="none"/>
          <w:u w:val="none"/>
        </w:rPr>
      </w:pPr>
    </w:p>
    <w:p w14:paraId="78475938">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u w:val="none"/>
        </w:rPr>
        <w:t>承包人（成）：（盖章）</w:t>
      </w:r>
      <w:permStart w:id="67"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7"/>
      <w:r>
        <w:rPr>
          <w:rFonts w:hint="eastAsia" w:ascii="仿宋_GB2312" w:eastAsia="仿宋_GB2312"/>
          <w:color w:val="auto"/>
          <w:sz w:val="24"/>
          <w:highlight w:val="none"/>
        </w:rPr>
        <w:t xml:space="preserve">        </w:t>
      </w:r>
    </w:p>
    <w:p w14:paraId="072AEA8E">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07915A61">
      <w:pPr>
        <w:spacing w:line="480" w:lineRule="auto"/>
        <w:ind w:firstLine="480" w:firstLineChars="200"/>
        <w:rPr>
          <w:rFonts w:hint="eastAsia" w:ascii="仿宋_GB2312" w:hAnsi="仿宋_GB2312" w:eastAsia="仿宋_GB2312" w:cs="仿宋_GB2312"/>
          <w:b/>
          <w:color w:val="auto"/>
          <w:sz w:val="32"/>
          <w:szCs w:val="32"/>
          <w:highlight w:val="none"/>
        </w:rPr>
      </w:pPr>
      <w:r>
        <w:rPr>
          <w:rFonts w:hint="eastAsia" w:ascii="仿宋_GB2312" w:eastAsia="仿宋_GB2312"/>
          <w:color w:val="auto"/>
          <w:sz w:val="24"/>
          <w:highlight w:val="none"/>
        </w:rPr>
        <w:t>日    期：    年   月   日</w:t>
      </w:r>
    </w:p>
    <w:p w14:paraId="0B965465">
      <w:pPr>
        <w:spacing w:line="360" w:lineRule="auto"/>
        <w:jc w:val="left"/>
        <w:rPr>
          <w:rFonts w:hint="eastAsia" w:ascii="仿宋_GB2312" w:hAnsi="仿宋_GB2312" w:eastAsia="仿宋_GB2312" w:cs="仿宋_GB2312"/>
          <w:b/>
          <w:color w:val="auto"/>
          <w:sz w:val="32"/>
          <w:szCs w:val="32"/>
          <w:highlight w:val="none"/>
        </w:rPr>
        <w:sectPr>
          <w:headerReference r:id="rId13" w:type="first"/>
          <w:footerReference r:id="rId15" w:type="first"/>
          <w:headerReference r:id="rId12" w:type="default"/>
          <w:footerReference r:id="rId14" w:type="default"/>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732BAC80">
      <w:pPr>
        <w:pStyle w:val="39"/>
        <w:spacing w:before="156"/>
        <w:ind w:firstLine="0" w:firstLineChars="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 xml:space="preserve">附件3 </w:t>
      </w:r>
    </w:p>
    <w:p w14:paraId="2F1A30E2">
      <w:pPr>
        <w:pStyle w:val="39"/>
        <w:spacing w:before="156"/>
        <w:ind w:firstLine="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廉洁协议</w:t>
      </w:r>
    </w:p>
    <w:p w14:paraId="3380986C">
      <w:pPr>
        <w:spacing w:line="360" w:lineRule="auto"/>
        <w:rPr>
          <w:rFonts w:hint="default" w:ascii="仿宋_GB2312" w:eastAsia="仿宋_GB2312"/>
          <w:color w:val="auto"/>
          <w:sz w:val="24"/>
          <w:highlight w:val="none"/>
        </w:rPr>
      </w:pPr>
      <w:r>
        <w:rPr>
          <w:rFonts w:hint="default" w:ascii="仿宋_GB2312" w:eastAsia="仿宋_GB2312"/>
          <w:b/>
          <w:color w:val="auto"/>
          <w:sz w:val="24"/>
          <w:highlight w:val="none"/>
        </w:rPr>
        <w:t>项目名称：</w:t>
      </w:r>
      <w:permStart w:id="68" w:edGrp="everyone"/>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REF 项目名称 \h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default" w:ascii="仿宋_GB2312" w:eastAsia="仿宋_GB2312"/>
          <w:color w:val="auto"/>
          <w:sz w:val="24"/>
          <w:highlight w:val="none"/>
        </w:rPr>
        <w:fldChar w:fldCharType="end"/>
      </w:r>
      <w:permEnd w:id="68"/>
    </w:p>
    <w:p w14:paraId="57A358C6">
      <w:pPr>
        <w:spacing w:line="360" w:lineRule="auto"/>
        <w:rPr>
          <w:rFonts w:hint="default" w:ascii="仿宋_GB2312" w:hAnsi="Times New Roman" w:eastAsia="仿宋_GB2312" w:cs="Times New Roman"/>
          <w:color w:val="auto"/>
          <w:sz w:val="24"/>
          <w:highlight w:val="none"/>
        </w:rPr>
      </w:pPr>
      <w:r>
        <w:rPr>
          <w:rFonts w:hint="default" w:ascii="仿宋_GB2312" w:eastAsia="仿宋_GB2312"/>
          <w:b/>
          <w:color w:val="auto"/>
          <w:sz w:val="24"/>
          <w:highlight w:val="none"/>
        </w:rPr>
        <w:t>合同编号：</w:t>
      </w:r>
      <w:permStart w:id="69" w:edGrp="everyone"/>
      <w:r>
        <w:rPr>
          <w:rFonts w:hint="eastAsia" w:ascii="仿宋_GB2312" w:hAnsi="Times New Roman" w:eastAsia="仿宋_GB2312" w:cs="Times New Roman"/>
          <w:color w:val="auto"/>
          <w:sz w:val="24"/>
          <w:highlight w:val="none"/>
        </w:rPr>
        <w:fldChar w:fldCharType="begin"/>
      </w:r>
      <w:r>
        <w:rPr>
          <w:rFonts w:hint="eastAsia" w:ascii="仿宋_GB2312" w:hAnsi="Times New Roman" w:eastAsia="仿宋_GB2312" w:cs="Times New Roman"/>
          <w:color w:val="auto"/>
          <w:sz w:val="24"/>
          <w:highlight w:val="none"/>
        </w:rPr>
        <w:instrText xml:space="preserve"> REF 合同编号 \h </w:instrText>
      </w:r>
      <w:r>
        <w:rPr>
          <w:rFonts w:hint="eastAsia" w:ascii="仿宋_GB2312" w:hAnsi="Times New Roman" w:eastAsia="仿宋_GB2312" w:cs="Times New Roman"/>
          <w:color w:val="auto"/>
          <w:sz w:val="24"/>
          <w:highlight w:val="none"/>
        </w:rPr>
        <w:fldChar w:fldCharType="separate"/>
      </w:r>
      <w:r>
        <w:rPr>
          <w:rFonts w:hint="eastAsia" w:ascii="仿宋_GB2312" w:hAnsi="Times New Roman" w:eastAsia="仿宋_GB2312" w:cs="Times New Roman"/>
          <w:color w:val="auto"/>
          <w:sz w:val="24"/>
          <w:highlight w:val="none"/>
        </w:rPr>
        <w:t>XFGFSG202X0XX</w:t>
      </w:r>
      <w:r>
        <w:rPr>
          <w:rFonts w:hint="eastAsia" w:ascii="仿宋_GB2312" w:hAnsi="Times New Roman" w:eastAsia="仿宋_GB2312" w:cs="Times New Roman"/>
          <w:color w:val="auto"/>
          <w:sz w:val="24"/>
          <w:highlight w:val="none"/>
        </w:rPr>
        <w:fldChar w:fldCharType="end"/>
      </w:r>
      <w:permEnd w:id="69"/>
    </w:p>
    <w:p w14:paraId="53AC71A2">
      <w:pPr>
        <w:spacing w:line="360" w:lineRule="auto"/>
        <w:rPr>
          <w:rFonts w:hint="eastAsia" w:ascii="仿宋_GB2312" w:eastAsia="仿宋_GB2312"/>
          <w:color w:val="auto"/>
          <w:sz w:val="24"/>
          <w:highlight w:val="none"/>
          <w:lang w:eastAsia="zh-CN"/>
        </w:rPr>
      </w:pPr>
      <w:r>
        <w:rPr>
          <w:rFonts w:hint="default" w:ascii="仿宋_GB2312" w:eastAsia="仿宋_GB2312"/>
          <w:b/>
          <w:color w:val="auto"/>
          <w:sz w:val="24"/>
          <w:highlight w:val="none"/>
        </w:rPr>
        <w:t>发包人：</w:t>
      </w:r>
      <w:r>
        <w:rPr>
          <w:rFonts w:hint="default" w:ascii="仿宋_GB2312" w:eastAsia="仿宋_GB2312"/>
          <w:color w:val="auto"/>
          <w:sz w:val="24"/>
          <w:highlight w:val="none"/>
        </w:rPr>
        <w:t xml:space="preserve"> </w:t>
      </w:r>
      <w:r>
        <w:rPr>
          <w:rFonts w:hint="eastAsia" w:ascii="仿宋_GB2312" w:eastAsia="仿宋_GB2312"/>
          <w:color w:val="auto"/>
          <w:sz w:val="24"/>
          <w:highlight w:val="none"/>
          <w:lang w:eastAsia="zh-CN"/>
        </w:rPr>
        <w:t>东莞市新锋新能源有限公司</w:t>
      </w:r>
    </w:p>
    <w:p w14:paraId="54A849FD">
      <w:pPr>
        <w:spacing w:line="360" w:lineRule="auto"/>
        <w:rPr>
          <w:rFonts w:hint="default" w:ascii="仿宋_GB2312" w:eastAsia="仿宋_GB2312"/>
          <w:color w:val="auto"/>
          <w:sz w:val="24"/>
          <w:highlight w:val="none"/>
          <w:u w:val="none"/>
        </w:rPr>
      </w:pPr>
      <w:r>
        <w:rPr>
          <w:rFonts w:hint="eastAsia" w:ascii="仿宋_GB2312" w:eastAsia="仿宋_GB2312"/>
          <w:b/>
          <w:color w:val="auto"/>
          <w:sz w:val="24"/>
          <w:highlight w:val="none"/>
        </w:rPr>
        <w:t>承包人</w:t>
      </w:r>
      <w:r>
        <w:rPr>
          <w:rFonts w:hint="eastAsia" w:ascii="仿宋_GB2312" w:eastAsia="仿宋_GB2312"/>
          <w:b/>
          <w:color w:val="auto"/>
          <w:sz w:val="24"/>
          <w:highlight w:val="none"/>
          <w:lang w:eastAsia="zh-CN"/>
        </w:rPr>
        <w:t>：</w:t>
      </w:r>
      <w:r>
        <w:rPr>
          <w:rFonts w:hint="eastAsia" w:ascii="仿宋_GB2312" w:eastAsia="仿宋_GB2312"/>
          <w:color w:val="auto"/>
          <w:sz w:val="24"/>
          <w:highlight w:val="none"/>
        </w:rPr>
        <w:t>(主</w:t>
      </w:r>
      <w:r>
        <w:rPr>
          <w:rFonts w:hint="eastAsia" w:ascii="仿宋_GB2312" w:eastAsia="仿宋_GB2312"/>
          <w:color w:val="auto"/>
          <w:sz w:val="24"/>
          <w:highlight w:val="none"/>
          <w:u w:val="none"/>
        </w:rPr>
        <w:t>)</w:t>
      </w:r>
      <w:permStart w:id="70"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0"/>
      <w:r>
        <w:rPr>
          <w:rFonts w:hint="eastAsia" w:ascii="仿宋_GB2312" w:eastAsia="仿宋_GB2312"/>
          <w:color w:val="auto"/>
          <w:sz w:val="24"/>
          <w:highlight w:val="none"/>
          <w:u w:val="none"/>
          <w:lang w:eastAsia="zh-CN"/>
        </w:rPr>
        <w:t>、</w:t>
      </w:r>
      <w:r>
        <w:rPr>
          <w:rFonts w:hint="eastAsia" w:ascii="仿宋_GB2312" w:eastAsia="仿宋_GB2312"/>
          <w:color w:val="auto"/>
          <w:sz w:val="24"/>
          <w:highlight w:val="none"/>
          <w:u w:val="none"/>
        </w:rPr>
        <w:t>(成)</w:t>
      </w:r>
      <w:permStart w:id="71"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1"/>
    </w:p>
    <w:p w14:paraId="22D1F973">
      <w:pPr>
        <w:spacing w:line="360" w:lineRule="auto"/>
        <w:ind w:firstLine="480" w:firstLineChars="200"/>
        <w:rPr>
          <w:rFonts w:hint="default" w:ascii="仿宋_GB2312" w:eastAsia="仿宋_GB2312"/>
          <w:color w:val="auto"/>
          <w:sz w:val="24"/>
          <w:highlight w:val="none"/>
        </w:rPr>
      </w:pPr>
    </w:p>
    <w:p w14:paraId="77E69259">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为规范</w:t>
      </w:r>
      <w:r>
        <w:rPr>
          <w:rFonts w:hint="eastAsia" w:ascii="仿宋_GB2312" w:hAnsi="Times New Roman" w:eastAsia="仿宋_GB2312" w:cs="Times New Roman"/>
          <w:color w:val="auto"/>
          <w:sz w:val="24"/>
          <w:highlight w:val="none"/>
          <w:lang w:val="en-US" w:eastAsia="zh-CN"/>
        </w:rPr>
        <w:t>发、承包人</w:t>
      </w:r>
      <w:r>
        <w:rPr>
          <w:rFonts w:hint="default" w:ascii="仿宋_GB2312" w:eastAsia="仿宋_GB2312"/>
          <w:color w:val="auto"/>
          <w:sz w:val="24"/>
          <w:highlight w:val="none"/>
        </w:rPr>
        <w:t>双方的行为，防止违法违纪事件的发生，经双方协商同意，签订廉洁协议，供双方恪守，具体条款如下：</w:t>
      </w:r>
    </w:p>
    <w:p w14:paraId="23731AD9">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一、发包人的权利和义务</w:t>
      </w:r>
    </w:p>
    <w:p w14:paraId="0E889E5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default" w:ascii="仿宋_GB2312" w:eastAsia="仿宋_GB2312"/>
          <w:color w:val="auto"/>
          <w:sz w:val="24"/>
          <w:highlight w:val="none"/>
        </w:rPr>
        <w:t>发包人的工作人员有责任向承包人介绍本单位有关廉洁从业的制度、规定。发包人的纪检监察人员有权对双方在合同执行过程中的廉洁情况进行监督。</w:t>
      </w:r>
    </w:p>
    <w:p w14:paraId="6E02987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default" w:ascii="仿宋_GB2312" w:eastAsia="仿宋_GB2312"/>
          <w:color w:val="auto"/>
          <w:sz w:val="24"/>
          <w:highlight w:val="none"/>
        </w:rPr>
        <w:t>发包人的工作人员不得向承包人泄露经济活动中的商业秘密。</w:t>
      </w:r>
    </w:p>
    <w:p w14:paraId="57893A9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default" w:ascii="仿宋_GB2312" w:eastAsia="仿宋_GB2312"/>
          <w:color w:val="auto"/>
          <w:sz w:val="24"/>
          <w:highlight w:val="none"/>
        </w:rPr>
        <w:t>发包人的工作人员在业务往来过程以及合同执行过程中，不得以任何形式向承包人索取贿赂、收受回扣及好处费等；不得接受承包人馈赠的有价证券和贵重物品；不得让承包人报销任何费用；不得参加对执行公务有影响的娱乐活动和宴请；不得向承包人介绍家属或亲友从事与该项目有关的材料、设备供应和该项目分包等经济活动；不得要求承包人为其装修房子；不得要求承包人为亲属安排出境和国内旅游等；不得借婚丧嫁娶之机收受承包人的钱（含有价证券）、物。</w:t>
      </w:r>
    </w:p>
    <w:p w14:paraId="608914E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default" w:ascii="仿宋_GB2312" w:eastAsia="仿宋_GB2312"/>
          <w:color w:val="auto"/>
          <w:sz w:val="24"/>
          <w:highlight w:val="none"/>
        </w:rPr>
        <w:t>对承包人主动给予的钱（含有价证券）、物，发包人的工作人员要坚决谢绝，无法拒绝的要在两周内上交发包人的纪检监察部门或上级纪检监察部门。</w:t>
      </w:r>
    </w:p>
    <w:p w14:paraId="1FCD01E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default" w:ascii="仿宋_GB2312" w:eastAsia="仿宋_GB2312"/>
          <w:color w:val="auto"/>
          <w:sz w:val="24"/>
          <w:highlight w:val="none"/>
        </w:rPr>
        <w:t>发包人的工作人员必须遵守廉洁自律的其他有关规定。</w:t>
      </w:r>
    </w:p>
    <w:p w14:paraId="38717C7A">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二、承包人的权利和义务</w:t>
      </w:r>
    </w:p>
    <w:p w14:paraId="5B3F634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default" w:ascii="仿宋_GB2312" w:eastAsia="仿宋_GB2312"/>
          <w:color w:val="auto"/>
          <w:sz w:val="24"/>
          <w:highlight w:val="none"/>
        </w:rPr>
        <w:t>承包人的纪检监察人员有权对双方在业务往来及合同执行过程中的廉洁从业情况进行监督，并积极配合发包人纪检监察工作人员就有关违纪问题进行调查取证。</w:t>
      </w:r>
    </w:p>
    <w:p w14:paraId="358C541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default" w:ascii="仿宋_GB2312" w:eastAsia="仿宋_GB2312"/>
          <w:color w:val="auto"/>
          <w:sz w:val="24"/>
          <w:highlight w:val="none"/>
        </w:rPr>
        <w:t>承包人有权了解发包人在廉洁从业方面的各项制度和规定，并主动配合发包人遵守执行。</w:t>
      </w:r>
    </w:p>
    <w:p w14:paraId="743D90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default" w:ascii="仿宋_GB2312" w:eastAsia="仿宋_GB2312"/>
          <w:color w:val="auto"/>
          <w:sz w:val="24"/>
          <w:highlight w:val="none"/>
        </w:rPr>
        <w:t>承包人的工作人员不得以任何方式向发包人的工作人员了解业务往来中的商业秘密。</w:t>
      </w:r>
    </w:p>
    <w:p w14:paraId="5DCE123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default" w:ascii="仿宋_GB2312" w:eastAsia="仿宋_GB2312"/>
          <w:color w:val="auto"/>
          <w:sz w:val="24"/>
          <w:highlight w:val="none"/>
        </w:rPr>
        <w:t>承包人的工作人员在业务往来过程及合同执行过程中，不得向发包人的工作人员行贿、提供回扣或其他好处费等；不得向发包人的工作人员馈赠有价证券和贵重物品；不得给发包人的工作人员报销任何费用；不得为发包人的工作人员购置或长期无偿提供交通工具、通讯工具、家电、办公用品等；不得邀请发包人的工作人员参加对执行公务有影响的娱乐活动和宴请；不得接受发包人的工作人员介绍的家属或亲友从事与该项目有关的材料、设备供应或该项目分包等经济活动；不得为发包人的工作人员装修房子；不得为发包人的工作人员的亲属安排出境和国内旅游等；不得借婚丧嫁娶之机向发包人的工作人员赠送钱（含有价证券）、物。</w:t>
      </w:r>
    </w:p>
    <w:p w14:paraId="3C94B79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default" w:ascii="仿宋_GB2312" w:eastAsia="仿宋_GB2312"/>
          <w:color w:val="auto"/>
          <w:sz w:val="24"/>
          <w:highlight w:val="none"/>
        </w:rPr>
        <w:t>承包人发现发包人的工作人员有不廉洁的行为，必须在48小时内署名报告发包人的纪检监察人员或有关领导。</w:t>
      </w:r>
    </w:p>
    <w:p w14:paraId="5777D980">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三、违约责任</w:t>
      </w:r>
    </w:p>
    <w:p w14:paraId="3CBFAFB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default" w:ascii="仿宋_GB2312" w:eastAsia="仿宋_GB2312"/>
          <w:color w:val="auto"/>
          <w:sz w:val="24"/>
          <w:highlight w:val="none"/>
        </w:rPr>
        <w:t>发包人的工作人员违反廉洁责任，经调查属实的，发包人将依据党、政纪对当事人进行严肃处理，对涉嫌犯罪人员移送司法机关。</w:t>
      </w:r>
    </w:p>
    <w:p w14:paraId="1A1DFCE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default" w:ascii="仿宋_GB2312" w:eastAsia="仿宋_GB2312"/>
          <w:color w:val="auto"/>
          <w:sz w:val="24"/>
          <w:highlight w:val="none"/>
        </w:rPr>
        <w:t>承包人工作人员违反廉洁责任，经调查属实，发包人有权对承包人进行一次性扣罚与其签订合同总价款的0.5—10%直至终止合同执行，由此造成的经济损失由承包人承担。在今后项目中，发包人公司系统各企业不再考虑与承包人的合作。</w:t>
      </w:r>
    </w:p>
    <w:p w14:paraId="0073B019">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四、协议的生效</w:t>
      </w:r>
    </w:p>
    <w:p w14:paraId="2715CB66">
      <w:pPr>
        <w:spacing w:line="360" w:lineRule="auto"/>
        <w:ind w:firstLine="480" w:firstLineChars="200"/>
        <w:jc w:val="both"/>
        <w:rPr>
          <w:rFonts w:hint="default" w:ascii="仿宋_GB2312" w:hAnsi="Times New Roman" w:eastAsia="仿宋_GB2312" w:cs="Times New Roman"/>
          <w:color w:val="auto"/>
          <w:sz w:val="24"/>
          <w:highlight w:val="none"/>
        </w:rPr>
      </w:pPr>
      <w:r>
        <w:rPr>
          <w:rFonts w:hint="eastAsia" w:ascii="仿宋_GB2312" w:hAnsi="Times New Roman" w:eastAsia="仿宋_GB2312" w:cs="Times New Roman"/>
          <w:color w:val="auto"/>
          <w:sz w:val="24"/>
          <w:highlight w:val="none"/>
          <w:lang w:val="en-US" w:eastAsia="zh-CN"/>
        </w:rPr>
        <w:t>1</w:t>
      </w:r>
      <w:r>
        <w:rPr>
          <w:rFonts w:hint="eastAsia" w:ascii="仿宋_GB2312" w:hAnsi="Times New Roman" w:eastAsia="仿宋_GB2312" w:cs="Times New Roman"/>
          <w:color w:val="auto"/>
          <w:sz w:val="24"/>
          <w:highlight w:val="none"/>
        </w:rPr>
        <w:t>.</w:t>
      </w:r>
      <w:r>
        <w:rPr>
          <w:rFonts w:hint="default" w:ascii="仿宋_GB2312" w:hAnsi="Times New Roman" w:eastAsia="仿宋_GB2312" w:cs="Times New Roman"/>
          <w:color w:val="auto"/>
          <w:sz w:val="24"/>
          <w:highlight w:val="none"/>
        </w:rPr>
        <w:t>本</w:t>
      </w:r>
      <w:r>
        <w:rPr>
          <w:rFonts w:hint="eastAsia" w:ascii="仿宋_GB2312" w:hAnsi="Times New Roman" w:eastAsia="仿宋_GB2312" w:cs="Times New Roman"/>
          <w:color w:val="auto"/>
          <w:sz w:val="24"/>
          <w:highlight w:val="none"/>
        </w:rPr>
        <w:t>协议</w:t>
      </w:r>
      <w:permStart w:id="72" w:edGrp="everyone"/>
      <w:r>
        <w:rPr>
          <w:rFonts w:hint="default" w:ascii="仿宋_GB2312" w:hAnsi="Times New Roman" w:eastAsia="仿宋_GB2312" w:cs="Times New Roman"/>
          <w:color w:val="auto"/>
          <w:sz w:val="24"/>
          <w:highlight w:val="none"/>
        </w:rPr>
        <w:fldChar w:fldCharType="begin"/>
      </w:r>
      <w:r>
        <w:rPr>
          <w:rFonts w:hint="default" w:ascii="仿宋_GB2312" w:hAnsi="Times New Roman" w:eastAsia="仿宋_GB2312" w:cs="Times New Roman"/>
          <w:color w:val="auto"/>
          <w:sz w:val="24"/>
          <w:highlight w:val="none"/>
        </w:rPr>
        <w:instrText xml:space="preserve"> REF 合同总数 \h </w:instrText>
      </w:r>
      <w:r>
        <w:rPr>
          <w:rFonts w:hint="default" w:ascii="仿宋_GB2312" w:hAnsi="Times New Roman" w:eastAsia="仿宋_GB2312" w:cs="Times New Roman"/>
          <w:color w:val="auto"/>
          <w:sz w:val="24"/>
          <w:highlight w:val="none"/>
        </w:rPr>
        <w:fldChar w:fldCharType="separate"/>
      </w:r>
      <w:r>
        <w:rPr>
          <w:rFonts w:hint="eastAsia" w:ascii="仿宋_GB2312" w:eastAsia="仿宋_GB2312"/>
          <w:color w:val="auto"/>
          <w:sz w:val="24"/>
          <w:highlight w:val="none"/>
        </w:rPr>
        <w:t>一式陆份</w:t>
      </w:r>
      <w:r>
        <w:rPr>
          <w:rFonts w:hint="default" w:ascii="仿宋_GB2312" w:hAnsi="Times New Roman" w:eastAsia="仿宋_GB2312" w:cs="Times New Roman"/>
          <w:color w:val="auto"/>
          <w:sz w:val="24"/>
          <w:highlight w:val="none"/>
        </w:rPr>
        <w:fldChar w:fldCharType="end"/>
      </w:r>
      <w:permEnd w:id="72"/>
      <w:r>
        <w:rPr>
          <w:rFonts w:hint="default" w:ascii="仿宋_GB2312" w:hAnsi="Times New Roman" w:eastAsia="仿宋_GB2312" w:cs="Times New Roman"/>
          <w:color w:val="auto"/>
          <w:sz w:val="24"/>
          <w:highlight w:val="none"/>
        </w:rPr>
        <w:t>，</w:t>
      </w:r>
      <w:r>
        <w:rPr>
          <w:rFonts w:hint="eastAsia" w:ascii="仿宋_GB2312" w:hAnsi="Times New Roman" w:eastAsia="仿宋_GB2312" w:cs="Times New Roman"/>
          <w:color w:val="auto"/>
          <w:sz w:val="24"/>
          <w:highlight w:val="none"/>
          <w:lang w:eastAsia="zh-CN"/>
        </w:rPr>
        <w:t>发包人</w:t>
      </w:r>
      <w:r>
        <w:rPr>
          <w:rFonts w:hint="default" w:ascii="仿宋_GB2312" w:hAnsi="Times New Roman" w:eastAsia="仿宋_GB2312" w:cs="Times New Roman"/>
          <w:color w:val="auto"/>
          <w:sz w:val="24"/>
          <w:highlight w:val="none"/>
        </w:rPr>
        <w:t>执</w:t>
      </w:r>
      <w:r>
        <w:rPr>
          <w:rFonts w:hint="eastAsia" w:ascii="仿宋_GB2312" w:hAnsi="Times New Roman" w:eastAsia="仿宋_GB2312" w:cs="Times New Roman"/>
          <w:color w:val="auto"/>
          <w:sz w:val="24"/>
          <w:highlight w:val="none"/>
        </w:rPr>
        <w:t>贰</w:t>
      </w:r>
      <w:r>
        <w:rPr>
          <w:rFonts w:hint="default" w:ascii="仿宋_GB2312" w:hAnsi="Times New Roman" w:eastAsia="仿宋_GB2312" w:cs="Times New Roman"/>
          <w:color w:val="auto"/>
          <w:sz w:val="24"/>
          <w:highlight w:val="none"/>
        </w:rPr>
        <w:t>份，</w:t>
      </w:r>
      <w:r>
        <w:rPr>
          <w:rFonts w:hint="eastAsia" w:ascii="仿宋_GB2312" w:hAnsi="Times New Roman" w:eastAsia="仿宋_GB2312" w:cs="Times New Roman"/>
          <w:color w:val="auto"/>
          <w:sz w:val="24"/>
          <w:highlight w:val="none"/>
          <w:lang w:eastAsia="zh-CN"/>
        </w:rPr>
        <w:t>承包人</w:t>
      </w:r>
      <w:permStart w:id="73" w:edGrp="everyone"/>
      <w:r>
        <w:rPr>
          <w:rFonts w:hint="eastAsia" w:ascii="仿宋_GB2312" w:hAnsi="Times New Roman" w:eastAsia="仿宋_GB2312" w:cs="Times New Roman"/>
          <w:color w:val="auto"/>
          <w:sz w:val="24"/>
          <w:highlight w:val="none"/>
          <w:lang w:val="en-US" w:eastAsia="zh-CN"/>
        </w:rPr>
        <w:fldChar w:fldCharType="begin"/>
      </w:r>
      <w:r>
        <w:rPr>
          <w:rFonts w:hint="eastAsia" w:ascii="仿宋_GB2312" w:hAnsi="Times New Roman" w:eastAsia="仿宋_GB2312" w:cs="Times New Roman"/>
          <w:color w:val="auto"/>
          <w:sz w:val="24"/>
          <w:highlight w:val="none"/>
          <w:lang w:val="en-US" w:eastAsia="zh-CN"/>
        </w:rPr>
        <w:instrText xml:space="preserve"> REF 乙方份数 \h </w:instrText>
      </w:r>
      <w:r>
        <w:rPr>
          <w:rFonts w:hint="eastAsia" w:ascii="仿宋_GB2312" w:hAnsi="Times New Roman" w:eastAsia="仿宋_GB2312" w:cs="Times New Roman"/>
          <w:color w:val="auto"/>
          <w:sz w:val="24"/>
          <w:highlight w:val="none"/>
          <w:lang w:val="en-US" w:eastAsia="zh-CN"/>
        </w:rPr>
        <w:fldChar w:fldCharType="separate"/>
      </w:r>
      <w:r>
        <w:rPr>
          <w:rFonts w:hint="eastAsia" w:ascii="仿宋_GB2312" w:eastAsia="仿宋_GB2312"/>
          <w:color w:val="auto"/>
          <w:sz w:val="24"/>
          <w:highlight w:val="none"/>
        </w:rPr>
        <w:t>各执贰份</w:t>
      </w:r>
      <w:r>
        <w:rPr>
          <w:rFonts w:hint="eastAsia" w:ascii="仿宋_GB2312" w:hAnsi="Times New Roman" w:eastAsia="仿宋_GB2312" w:cs="Times New Roman"/>
          <w:color w:val="auto"/>
          <w:sz w:val="24"/>
          <w:highlight w:val="none"/>
          <w:lang w:val="en-US" w:eastAsia="zh-CN"/>
        </w:rPr>
        <w:fldChar w:fldCharType="end"/>
      </w:r>
      <w:permEnd w:id="73"/>
      <w:r>
        <w:rPr>
          <w:rFonts w:hint="eastAsia" w:ascii="仿宋_GB2312" w:hAnsi="Times New Roman" w:eastAsia="仿宋_GB2312" w:cs="Times New Roman"/>
          <w:color w:val="auto"/>
          <w:sz w:val="24"/>
          <w:highlight w:val="none"/>
        </w:rPr>
        <w:t>,具有同等法律效力。</w:t>
      </w:r>
    </w:p>
    <w:p w14:paraId="02A2757D">
      <w:pPr>
        <w:spacing w:line="360" w:lineRule="auto"/>
        <w:ind w:firstLine="480" w:firstLineChars="200"/>
        <w:jc w:val="both"/>
        <w:rPr>
          <w:rFonts w:hint="default" w:ascii="仿宋_GB2312" w:hAnsi="Times New Roman" w:eastAsia="仿宋_GB2312" w:cs="Times New Roman"/>
          <w:color w:val="auto"/>
          <w:sz w:val="24"/>
          <w:highlight w:val="none"/>
        </w:rPr>
      </w:pPr>
      <w:r>
        <w:rPr>
          <w:rFonts w:hint="eastAsia" w:ascii="仿宋_GB2312" w:hAnsi="Times New Roman" w:eastAsia="仿宋_GB2312" w:cs="Times New Roman"/>
          <w:color w:val="auto"/>
          <w:sz w:val="24"/>
          <w:highlight w:val="none"/>
          <w:lang w:val="en-US" w:eastAsia="zh-CN"/>
        </w:rPr>
        <w:t>2</w:t>
      </w:r>
      <w:r>
        <w:rPr>
          <w:rFonts w:hint="eastAsia" w:ascii="仿宋_GB2312" w:hAnsi="Times New Roman" w:eastAsia="仿宋_GB2312" w:cs="Times New Roman"/>
          <w:color w:val="auto"/>
          <w:sz w:val="24"/>
          <w:highlight w:val="none"/>
        </w:rPr>
        <w:t>.本协议经双方签署后生效。</w:t>
      </w:r>
    </w:p>
    <w:p w14:paraId="5A58F47A">
      <w:pPr>
        <w:spacing w:line="360" w:lineRule="auto"/>
        <w:ind w:firstLine="480" w:firstLineChars="200"/>
        <w:rPr>
          <w:rFonts w:hint="default" w:ascii="仿宋_GB2312" w:eastAsia="仿宋_GB2312"/>
          <w:color w:val="auto"/>
          <w:sz w:val="24"/>
          <w:highlight w:val="none"/>
        </w:rPr>
      </w:pPr>
    </w:p>
    <w:p w14:paraId="0CAC7C13">
      <w:pPr>
        <w:pStyle w:val="39"/>
        <w:spacing w:before="156"/>
        <w:ind w:firstLine="480"/>
        <w:rPr>
          <w:color w:val="auto"/>
          <w:highlight w:val="none"/>
        </w:rPr>
      </w:pPr>
    </w:p>
    <w:p w14:paraId="0B6788D4">
      <w:pPr>
        <w:rPr>
          <w:color w:val="auto"/>
          <w:highlight w:val="none"/>
        </w:rPr>
      </w:pPr>
    </w:p>
    <w:p w14:paraId="1454E9C6">
      <w:pPr>
        <w:pStyle w:val="39"/>
        <w:spacing w:before="156"/>
        <w:ind w:firstLine="480"/>
        <w:rPr>
          <w:color w:val="auto"/>
          <w:highlight w:val="none"/>
        </w:rPr>
      </w:pPr>
    </w:p>
    <w:p w14:paraId="7E4E0A8D">
      <w:pPr>
        <w:rPr>
          <w:color w:val="auto"/>
          <w:highlight w:val="none"/>
        </w:rPr>
      </w:pPr>
    </w:p>
    <w:p w14:paraId="2D2075AD">
      <w:pPr>
        <w:pStyle w:val="39"/>
        <w:spacing w:before="156"/>
        <w:ind w:firstLine="480"/>
        <w:rPr>
          <w:color w:val="auto"/>
          <w:highlight w:val="none"/>
        </w:rPr>
      </w:pPr>
    </w:p>
    <w:p w14:paraId="4017ABD6">
      <w:pPr>
        <w:rPr>
          <w:color w:val="auto"/>
          <w:highlight w:val="none"/>
        </w:rPr>
      </w:pPr>
    </w:p>
    <w:p w14:paraId="4F7C229E">
      <w:pPr>
        <w:pStyle w:val="39"/>
        <w:spacing w:before="156"/>
        <w:ind w:firstLine="480"/>
        <w:rPr>
          <w:color w:val="auto"/>
          <w:highlight w:val="none"/>
        </w:rPr>
      </w:pPr>
    </w:p>
    <w:p w14:paraId="088C0D2D">
      <w:pPr>
        <w:ind w:firstLine="420" w:firstLineChars="200"/>
        <w:rPr>
          <w:rFonts w:hint="eastAsia" w:ascii="仿宋_GB2312" w:eastAsia="仿宋_GB2312"/>
          <w:color w:val="auto"/>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4891FAE7">
      <w:pPr>
        <w:spacing w:line="480" w:lineRule="auto"/>
        <w:ind w:firstLine="480" w:firstLineChars="200"/>
        <w:jc w:val="both"/>
        <w:rPr>
          <w:rFonts w:hint="default" w:ascii="仿宋_GB2312" w:hAnsi="Times New Roman" w:eastAsia="仿宋_GB2312" w:cs="Times New Roman"/>
          <w:color w:val="auto"/>
          <w:sz w:val="24"/>
          <w:highlight w:val="none"/>
        </w:rPr>
      </w:pPr>
      <w:r>
        <w:rPr>
          <w:rFonts w:hint="eastAsia" w:ascii="仿宋_GB2312" w:hAnsi="Times New Roman" w:eastAsia="仿宋_GB2312" w:cs="Times New Roman"/>
          <w:color w:val="auto"/>
          <w:sz w:val="24"/>
          <w:highlight w:val="none"/>
        </w:rPr>
        <w:t>（签署页）</w:t>
      </w:r>
    </w:p>
    <w:p w14:paraId="2922EF35">
      <w:pPr>
        <w:pStyle w:val="39"/>
        <w:spacing w:before="156"/>
        <w:ind w:firstLine="480"/>
        <w:rPr>
          <w:color w:val="auto"/>
          <w:highlight w:val="none"/>
        </w:rPr>
      </w:pPr>
    </w:p>
    <w:p w14:paraId="6AD90344">
      <w:pPr>
        <w:spacing w:line="480" w:lineRule="auto"/>
        <w:ind w:firstLine="480" w:firstLineChars="200"/>
        <w:rPr>
          <w:rFonts w:hint="eastAsia" w:ascii="仿宋_GB2312" w:eastAsia="仿宋_GB2312"/>
          <w:color w:val="auto"/>
          <w:sz w:val="24"/>
          <w:highlight w:val="none"/>
          <w:lang w:eastAsia="zh-CN"/>
        </w:rPr>
      </w:pPr>
      <w:r>
        <w:rPr>
          <w:rFonts w:hint="default" w:ascii="仿宋_GB2312" w:eastAsia="仿宋_GB2312"/>
          <w:color w:val="auto"/>
          <w:sz w:val="24"/>
          <w:highlight w:val="none"/>
        </w:rPr>
        <w:t>发包人：（盖章）</w:t>
      </w:r>
      <w:r>
        <w:rPr>
          <w:rFonts w:hint="eastAsia" w:ascii="仿宋_GB2312" w:eastAsia="仿宋_GB2312"/>
          <w:color w:val="auto"/>
          <w:sz w:val="24"/>
          <w:highlight w:val="none"/>
          <w:u w:val="none"/>
          <w:lang w:eastAsia="zh-CN"/>
        </w:rPr>
        <w:t>东莞市新锋新能源有限公司</w:t>
      </w:r>
    </w:p>
    <w:p w14:paraId="68AB3FE3">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 xml:space="preserve">法定代表人（或授权代表）签字：             </w:t>
      </w:r>
    </w:p>
    <w:p w14:paraId="51A1B49F">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日   期：    年   月   日</w:t>
      </w:r>
    </w:p>
    <w:p w14:paraId="261EF537">
      <w:pPr>
        <w:spacing w:line="480" w:lineRule="auto"/>
        <w:ind w:firstLine="480" w:firstLineChars="200"/>
        <w:rPr>
          <w:rFonts w:hint="default" w:ascii="仿宋_GB2312" w:eastAsia="仿宋_GB2312"/>
          <w:color w:val="auto"/>
          <w:sz w:val="24"/>
          <w:highlight w:val="none"/>
        </w:rPr>
      </w:pPr>
    </w:p>
    <w:p w14:paraId="7D7103C4">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rPr>
        <w:t>承包人（主）：（盖章</w:t>
      </w:r>
      <w:r>
        <w:rPr>
          <w:rFonts w:hint="default" w:ascii="仿宋_GB2312" w:eastAsia="仿宋_GB2312"/>
          <w:color w:val="auto"/>
          <w:sz w:val="24"/>
          <w:highlight w:val="none"/>
          <w:u w:val="none"/>
        </w:rPr>
        <w:t>）</w:t>
      </w:r>
      <w:permStart w:id="74"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4"/>
      <w:r>
        <w:rPr>
          <w:rFonts w:hint="eastAsia" w:ascii="仿宋_GB2312" w:eastAsia="仿宋_GB2312"/>
          <w:color w:val="auto"/>
          <w:sz w:val="24"/>
          <w:highlight w:val="none"/>
          <w:u w:val="none"/>
        </w:rPr>
        <w:t xml:space="preserve">        </w:t>
      </w:r>
    </w:p>
    <w:p w14:paraId="39A8056D">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u w:val="none"/>
        </w:rPr>
        <w:t xml:space="preserve">法定代表人（或授权代表）签字：              </w:t>
      </w:r>
    </w:p>
    <w:p w14:paraId="514DE9E6">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u w:val="none"/>
        </w:rPr>
        <w:t>日    期：    年   月   日</w:t>
      </w:r>
    </w:p>
    <w:p w14:paraId="526DF756">
      <w:pPr>
        <w:spacing w:line="480" w:lineRule="auto"/>
        <w:ind w:firstLine="480" w:firstLineChars="200"/>
        <w:rPr>
          <w:rFonts w:hint="default" w:ascii="仿宋_GB2312" w:eastAsia="仿宋_GB2312"/>
          <w:color w:val="auto"/>
          <w:sz w:val="24"/>
          <w:highlight w:val="none"/>
          <w:u w:val="none"/>
        </w:rPr>
      </w:pPr>
    </w:p>
    <w:p w14:paraId="33C71584">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u w:val="none"/>
        </w:rPr>
        <w:t>承包人（成）：（盖章）</w:t>
      </w:r>
      <w:permStart w:id="75"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5"/>
      <w:r>
        <w:rPr>
          <w:rFonts w:hint="default" w:ascii="仿宋_GB2312" w:eastAsia="仿宋_GB2312"/>
          <w:color w:val="auto"/>
          <w:sz w:val="24"/>
          <w:highlight w:val="none"/>
          <w:u w:val="none"/>
        </w:rPr>
        <w:t xml:space="preserve">                          </w:t>
      </w:r>
    </w:p>
    <w:p w14:paraId="48FFF745">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u w:val="none"/>
        </w:rPr>
        <w:t xml:space="preserve">法定代表人（或授权代表）签字：      </w:t>
      </w:r>
      <w:r>
        <w:rPr>
          <w:rFonts w:hint="default" w:ascii="仿宋_GB2312" w:eastAsia="仿宋_GB2312"/>
          <w:color w:val="auto"/>
          <w:sz w:val="24"/>
          <w:highlight w:val="none"/>
        </w:rPr>
        <w:t xml:space="preserve">        </w:t>
      </w:r>
    </w:p>
    <w:p w14:paraId="0CDECFA3">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日    期：    年   月   日</w:t>
      </w:r>
    </w:p>
    <w:p w14:paraId="1DA6443A">
      <w:pPr>
        <w:rPr>
          <w:color w:val="auto"/>
          <w:highlight w:val="none"/>
        </w:rPr>
      </w:pPr>
    </w:p>
    <w:p w14:paraId="02E20F51">
      <w:pPr>
        <w:pStyle w:val="39"/>
        <w:spacing w:before="156"/>
        <w:ind w:firstLine="480"/>
        <w:rPr>
          <w:color w:val="auto"/>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03A476F1">
      <w:pPr>
        <w:spacing w:line="360" w:lineRule="auto"/>
        <w:jc w:val="lef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4</w:t>
      </w:r>
    </w:p>
    <w:p w14:paraId="1A35F2D8">
      <w:pPr>
        <w:pStyle w:val="39"/>
        <w:spacing w:before="156"/>
        <w:ind w:firstLine="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阳光合作协议</w:t>
      </w:r>
    </w:p>
    <w:p w14:paraId="408C95ED">
      <w:pPr>
        <w:keepNext w:val="0"/>
        <w:keepLines w:val="0"/>
        <w:pageBreakBefore w:val="0"/>
        <w:widowControl/>
        <w:kinsoku/>
        <w:wordWrap/>
        <w:overflowPunct/>
        <w:topLinePunct w:val="0"/>
        <w:autoSpaceDE/>
        <w:autoSpaceDN/>
        <w:adjustRightInd/>
        <w:snapToGrid/>
        <w:spacing w:before="156" w:beforeLines="50" w:after="0" w:afterLines="50" w:line="360" w:lineRule="auto"/>
        <w:ind w:firstLine="480" w:firstLineChars="200"/>
        <w:contextualSpacing/>
        <w:textAlignment w:val="auto"/>
        <w:rPr>
          <w:rFonts w:hint="eastAsia"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rPr>
        <w:t>甲方：</w:t>
      </w:r>
      <w:r>
        <w:rPr>
          <w:rFonts w:hint="eastAsia" w:ascii="仿宋_GB2312" w:hAnsi="仿宋_GB2312" w:eastAsia="仿宋_GB2312" w:cs="仿宋_GB2312"/>
          <w:color w:val="auto"/>
          <w:sz w:val="24"/>
          <w:szCs w:val="24"/>
          <w:highlight w:val="none"/>
          <w:lang w:eastAsia="zh-CN"/>
        </w:rPr>
        <w:t>东莞市新锋新能源有限公司</w:t>
      </w:r>
    </w:p>
    <w:p w14:paraId="48328ABF">
      <w:pPr>
        <w:spacing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rPr>
        <w:t>乙方：</w:t>
      </w:r>
      <w:r>
        <w:rPr>
          <w:rFonts w:hint="eastAsia" w:ascii="仿宋_GB2312" w:eastAsia="仿宋_GB2312"/>
          <w:color w:val="auto"/>
          <w:sz w:val="24"/>
          <w:highlight w:val="none"/>
        </w:rPr>
        <w:t>(主)</w:t>
      </w:r>
      <w:permStart w:id="76" w:edGrp="everyone"/>
      <w:r>
        <w:rPr>
          <w:rFonts w:hint="eastAsia" w:ascii="仿宋_GB2312" w:eastAsia="仿宋_GB2312"/>
          <w:color w:val="auto"/>
          <w:sz w:val="24"/>
          <w:highlight w:val="none"/>
          <w:u w:val="none"/>
          <w:lang w:eastAsia="zh-CN"/>
        </w:rPr>
        <w:fldChar w:fldCharType="begin"/>
      </w:r>
      <w:r>
        <w:rPr>
          <w:rFonts w:hint="eastAsia" w:ascii="仿宋_GB2312" w:eastAsia="仿宋_GB2312"/>
          <w:color w:val="auto"/>
          <w:sz w:val="24"/>
          <w:highlight w:val="none"/>
          <w:u w:val="none"/>
          <w:lang w:eastAsia="zh-CN"/>
        </w:rPr>
        <w:instrText xml:space="preserve"> REF 乙方（主） \h </w:instrText>
      </w:r>
      <w:r>
        <w:rPr>
          <w:rFonts w:hint="eastAsia" w:ascii="仿宋_GB2312" w:eastAsia="仿宋_GB2312"/>
          <w:color w:val="auto"/>
          <w:sz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lang w:eastAsia="zh-CN"/>
        </w:rPr>
        <w:fldChar w:fldCharType="end"/>
      </w:r>
      <w:permEnd w:id="76"/>
      <w:r>
        <w:rPr>
          <w:rFonts w:hint="eastAsia" w:ascii="仿宋_GB2312" w:eastAsia="仿宋_GB2312"/>
          <w:color w:val="auto"/>
          <w:sz w:val="24"/>
          <w:highlight w:val="none"/>
          <w:u w:val="none"/>
          <w:lang w:eastAsia="zh-CN"/>
        </w:rPr>
        <w:t>、</w:t>
      </w:r>
      <w:r>
        <w:rPr>
          <w:rFonts w:hint="eastAsia" w:ascii="仿宋_GB2312" w:eastAsia="仿宋_GB2312"/>
          <w:color w:val="auto"/>
          <w:sz w:val="24"/>
          <w:highlight w:val="none"/>
          <w:u w:val="none"/>
        </w:rPr>
        <w:t>(成)</w:t>
      </w:r>
      <w:permStart w:id="77" w:edGrp="everyone"/>
      <w:r>
        <w:rPr>
          <w:rFonts w:hint="eastAsia" w:ascii="仿宋_GB2312" w:eastAsia="仿宋_GB2312"/>
          <w:color w:val="auto"/>
          <w:sz w:val="24"/>
          <w:highlight w:val="none"/>
          <w:u w:val="none"/>
          <w:lang w:eastAsia="zh-CN"/>
        </w:rPr>
        <w:fldChar w:fldCharType="begin"/>
      </w:r>
      <w:r>
        <w:rPr>
          <w:rFonts w:hint="eastAsia" w:ascii="仿宋_GB2312" w:eastAsia="仿宋_GB2312"/>
          <w:color w:val="auto"/>
          <w:sz w:val="24"/>
          <w:highlight w:val="none"/>
          <w:u w:val="none"/>
          <w:lang w:eastAsia="zh-CN"/>
        </w:rPr>
        <w:instrText xml:space="preserve"> REF 乙方（成） \h </w:instrText>
      </w:r>
      <w:r>
        <w:rPr>
          <w:rFonts w:hint="eastAsia" w:ascii="仿宋_GB2312" w:eastAsia="仿宋_GB2312"/>
          <w:color w:val="auto"/>
          <w:sz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lang w:eastAsia="zh-CN"/>
        </w:rPr>
        <w:fldChar w:fldCharType="end"/>
      </w:r>
      <w:permEnd w:id="77"/>
    </w:p>
    <w:p w14:paraId="495407EF">
      <w:pPr>
        <w:keepNext w:val="0"/>
        <w:keepLines w:val="0"/>
        <w:pageBreakBefore w:val="0"/>
        <w:widowControl/>
        <w:kinsoku/>
        <w:wordWrap/>
        <w:overflowPunct/>
        <w:topLinePunct w:val="0"/>
        <w:autoSpaceDE/>
        <w:autoSpaceDN/>
        <w:adjustRightInd/>
        <w:snapToGrid/>
        <w:spacing w:before="0" w:beforeLines="200" w:after="156" w:afterLines="50" w:line="360" w:lineRule="auto"/>
        <w:ind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甲乙双方于</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日签署了《</w:t>
      </w:r>
      <w:permStart w:id="78" w:edGrp="everyone"/>
      <w:r>
        <w:rPr>
          <w:rFonts w:hint="eastAsia" w:ascii="仿宋_GB2312" w:hAnsi="仿宋_GB2312" w:eastAsia="仿宋_GB2312" w:cs="仿宋_GB2312"/>
          <w:snapToGrid w:val="0"/>
          <w:color w:val="auto"/>
          <w:kern w:val="0"/>
          <w:sz w:val="24"/>
          <w:szCs w:val="24"/>
          <w:highlight w:val="none"/>
          <w:u w:val="single"/>
          <w:lang w:val="en-US"/>
        </w:rPr>
        <w:fldChar w:fldCharType="begin"/>
      </w:r>
      <w:r>
        <w:rPr>
          <w:rFonts w:hint="eastAsia" w:ascii="仿宋_GB2312" w:hAnsi="仿宋_GB2312" w:eastAsia="仿宋_GB2312" w:cs="仿宋_GB2312"/>
          <w:snapToGrid w:val="0"/>
          <w:color w:val="auto"/>
          <w:kern w:val="0"/>
          <w:sz w:val="24"/>
          <w:szCs w:val="24"/>
          <w:highlight w:val="none"/>
          <w:u w:val="single"/>
          <w:lang w:val="en-US"/>
        </w:rPr>
        <w:instrText xml:space="preserve"> REF 项目名称 \h </w:instrText>
      </w:r>
      <w:r>
        <w:rPr>
          <w:rFonts w:hint="eastAsia" w:ascii="仿宋_GB2312" w:hAnsi="仿宋_GB2312" w:eastAsia="仿宋_GB2312" w:cs="仿宋_GB2312"/>
          <w:snapToGrid w:val="0"/>
          <w:color w:val="auto"/>
          <w:kern w:val="0"/>
          <w:sz w:val="24"/>
          <w:szCs w:val="24"/>
          <w:highlight w:val="none"/>
          <w:u w:val="single"/>
          <w:lang w:val="en-US"/>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hAnsi="仿宋_GB2312" w:eastAsia="仿宋_GB2312" w:cs="仿宋_GB2312"/>
          <w:snapToGrid w:val="0"/>
          <w:color w:val="auto"/>
          <w:kern w:val="0"/>
          <w:sz w:val="24"/>
          <w:szCs w:val="24"/>
          <w:highlight w:val="none"/>
          <w:u w:val="single"/>
          <w:lang w:val="en-US"/>
        </w:rPr>
        <w:fldChar w:fldCharType="end"/>
      </w:r>
      <w:permEnd w:id="78"/>
      <w:r>
        <w:rPr>
          <w:rFonts w:hint="eastAsia" w:ascii="仿宋_GB2312" w:hAnsi="仿宋_GB2312" w:eastAsia="仿宋_GB2312" w:cs="仿宋_GB2312"/>
          <w:snapToGrid w:val="0"/>
          <w:color w:val="auto"/>
          <w:kern w:val="0"/>
          <w:sz w:val="24"/>
          <w:szCs w:val="24"/>
          <w:highlight w:val="none"/>
          <w:u w:val="none"/>
          <w:lang w:val="en-US" w:eastAsia="zh-CN"/>
        </w:rPr>
        <w:t>合同</w:t>
      </w:r>
      <w:r>
        <w:rPr>
          <w:rFonts w:hint="eastAsia" w:ascii="仿宋_GB2312" w:hAnsi="仿宋_GB2312" w:eastAsia="仿宋_GB2312" w:cs="仿宋_GB2312"/>
          <w:color w:val="auto"/>
          <w:sz w:val="24"/>
          <w:szCs w:val="24"/>
          <w:highlight w:val="none"/>
        </w:rPr>
        <w:t>》（以下简称原合同），为加强双方阳光合作，保证职员职业安全，甲乙双方经协商签订本协议并作为双方共同遵守的阳光合作行为准则。</w:t>
      </w:r>
    </w:p>
    <w:p w14:paraId="5E0A0989">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一、</w:t>
      </w:r>
      <w:r>
        <w:rPr>
          <w:rFonts w:hint="eastAsia" w:ascii="仿宋_GB2312" w:hAnsi="仿宋_GB2312" w:eastAsia="仿宋_GB2312" w:cs="仿宋_GB2312"/>
          <w:b/>
          <w:color w:val="auto"/>
          <w:sz w:val="24"/>
          <w:szCs w:val="24"/>
          <w:highlight w:val="none"/>
        </w:rPr>
        <w:t>甲方责任</w:t>
      </w:r>
    </w:p>
    <w:p w14:paraId="6AB78928">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1.甲方有责任向乙方介绍本单位有关采购管理通用原则和本协议的规定。</w:t>
      </w:r>
    </w:p>
    <w:p w14:paraId="73B33587">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2.甲方有责任对本单位相关人员进行阳光合作教育。</w:t>
      </w:r>
    </w:p>
    <w:p w14:paraId="59E202F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71AADE8">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4.甲方人员如违反阳光合作管理制度及本协议规定，甲方视情节轻重、影响大小给予行政及经济处罚。</w:t>
      </w:r>
    </w:p>
    <w:p w14:paraId="2B8D9346">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5．对于乙方举报甲方人员违反阳光合作规定的情况，甲方应及时进行调查，根据调查情况进行处理，并将调查结果向乙方反馈。</w:t>
      </w:r>
    </w:p>
    <w:p w14:paraId="08C81D4C">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6.接受举报的一方应为举报方保密，不得对举报方进行报复，对举报属实和严格遵守《阳光合作协议》的合作方，在同等条件下给予后续合作的优先权。</w:t>
      </w:r>
    </w:p>
    <w:p w14:paraId="322F7A55">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二、</w:t>
      </w:r>
      <w:r>
        <w:rPr>
          <w:rFonts w:hint="eastAsia" w:ascii="仿宋_GB2312" w:hAnsi="仿宋_GB2312" w:eastAsia="仿宋_GB2312" w:cs="仿宋_GB2312"/>
          <w:b/>
          <w:color w:val="auto"/>
          <w:sz w:val="24"/>
          <w:szCs w:val="24"/>
          <w:highlight w:val="none"/>
        </w:rPr>
        <w:t>乙方责任</w:t>
      </w:r>
    </w:p>
    <w:p w14:paraId="02AD7C3A">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1.乙方应保证乙方人员了解甲方有关采购管理通用原则和及本协议的规定，并遵照执行。</w:t>
      </w:r>
    </w:p>
    <w:p w14:paraId="5E86E08C">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2.乙方不得以任何形式给予甲方人员回扣、赠送实物、现金、有价证券、礼券等有价物品或提供旅游等其他可能影响职务行为公正履行的活动（以下统称“财物”）。</w:t>
      </w:r>
    </w:p>
    <w:p w14:paraId="277F740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3.乙方有责任接受甲方对乙方在合作期间阳光合作管理执行情况的监督，并对甲方相关调查工作主动配合。</w:t>
      </w:r>
    </w:p>
    <w:p w14:paraId="3010E4FB">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4.乙方有义务就甲方人员任何形式的索取或收受财物行为及时向甲方（直接联系人为</w:t>
      </w:r>
      <w:r>
        <w:rPr>
          <w:rFonts w:hint="eastAsia" w:ascii="仿宋_GB2312" w:hAnsi="仿宋_GB2312" w:eastAsia="仿宋_GB2312" w:cs="仿宋_GB2312"/>
          <w:color w:val="auto"/>
          <w:sz w:val="24"/>
          <w:szCs w:val="24"/>
          <w:highlight w:val="none"/>
          <w:lang w:eastAsia="zh-CN"/>
        </w:rPr>
        <w:t>东莞市新锋新能源有限公司</w:t>
      </w:r>
      <w:r>
        <w:rPr>
          <w:rFonts w:hint="eastAsia" w:ascii="仿宋_GB2312" w:hAnsi="仿宋_GB2312" w:eastAsia="仿宋_GB2312" w:cs="仿宋_GB2312"/>
          <w:color w:val="auto"/>
          <w:sz w:val="24"/>
          <w:szCs w:val="24"/>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w:t>
      </w:r>
      <w:r>
        <w:rPr>
          <w:rFonts w:hint="eastAsia" w:ascii="仿宋_GB2312" w:hAnsi="仿宋_GB2312" w:eastAsia="仿宋_GB2312" w:cs="仿宋_GB2312"/>
          <w:color w:val="auto"/>
          <w:sz w:val="24"/>
          <w:szCs w:val="24"/>
          <w:highlight w:val="none"/>
          <w:lang w:val="en-US" w:eastAsia="zh-CN"/>
        </w:rPr>
        <w:t>东莞市新锋新能源有限公司</w:t>
      </w:r>
      <w:r>
        <w:rPr>
          <w:rFonts w:hint="eastAsia" w:ascii="仿宋_GB2312" w:hAnsi="仿宋_GB2312" w:eastAsia="仿宋_GB2312" w:cs="仿宋_GB2312"/>
          <w:color w:val="auto"/>
          <w:sz w:val="24"/>
          <w:szCs w:val="24"/>
          <w:highlight w:val="none"/>
        </w:rPr>
        <w:t>合格供应商。</w:t>
      </w:r>
    </w:p>
    <w:p w14:paraId="49639633">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5．甲方接受乙方实名或匿名举报，保证为举报者的信息保密，常设举报部门及电</w:t>
      </w:r>
      <w:r>
        <w:rPr>
          <w:rFonts w:hint="eastAsia" w:ascii="仿宋_GB2312" w:hAnsi="仿宋_GB2312" w:eastAsia="仿宋_GB2312" w:cs="仿宋_GB2312"/>
          <w:color w:val="auto"/>
          <w:sz w:val="24"/>
          <w:szCs w:val="24"/>
          <w:highlight w:val="none"/>
          <w:lang w:val="en-US" w:eastAsia="zh-CN"/>
        </w:rPr>
        <w:t>话</w:t>
      </w:r>
      <w:r>
        <w:rPr>
          <w:rFonts w:hint="eastAsia" w:ascii="仿宋_GB2312" w:hAnsi="仿宋_GB2312" w:eastAsia="仿宋_GB2312" w:cs="仿宋_GB2312"/>
          <w:color w:val="auto"/>
          <w:sz w:val="24"/>
          <w:szCs w:val="24"/>
          <w:highlight w:val="none"/>
        </w:rPr>
        <w:t xml:space="preserve">： </w:t>
      </w:r>
    </w:p>
    <w:p w14:paraId="1CE58A8C">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举报受理部门：</w:t>
      </w:r>
      <w:r>
        <w:rPr>
          <w:rFonts w:hint="eastAsia" w:ascii="仿宋_GB2312" w:hAnsi="仿宋_GB2312" w:eastAsia="仿宋_GB2312" w:cs="仿宋_GB2312"/>
          <w:color w:val="auto"/>
          <w:sz w:val="24"/>
          <w:szCs w:val="24"/>
          <w:highlight w:val="none"/>
          <w:lang w:eastAsia="zh-CN"/>
        </w:rPr>
        <w:t>东莞市新锋新能源有限公司</w:t>
      </w:r>
    </w:p>
    <w:p w14:paraId="16175E2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举报电话：</w:t>
      </w:r>
      <w:r>
        <w:rPr>
          <w:rFonts w:hint="eastAsia" w:ascii="仿宋_GB2312" w:hAnsi="仿宋_GB2312" w:eastAsia="仿宋_GB2312" w:cs="仿宋_GB2312"/>
          <w:color w:val="auto"/>
          <w:sz w:val="24"/>
          <w:szCs w:val="24"/>
          <w:highlight w:val="none"/>
          <w:lang w:val="en-US" w:eastAsia="zh-CN"/>
        </w:rPr>
        <w:t>0769-22899838</w:t>
      </w:r>
    </w:p>
    <w:p w14:paraId="1324BA0B">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邮寄地址：广东省东莞市松山湖园区新城路5号1栋601室</w:t>
      </w:r>
    </w:p>
    <w:p w14:paraId="4EFCB33D">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三、</w:t>
      </w:r>
      <w:r>
        <w:rPr>
          <w:rFonts w:hint="eastAsia" w:ascii="仿宋_GB2312" w:hAnsi="仿宋_GB2312" w:eastAsia="仿宋_GB2312" w:cs="仿宋_GB2312"/>
          <w:b/>
          <w:color w:val="auto"/>
          <w:sz w:val="24"/>
          <w:szCs w:val="24"/>
          <w:highlight w:val="none"/>
        </w:rPr>
        <w:t>其他</w:t>
      </w:r>
    </w:p>
    <w:p w14:paraId="20B49CF7">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1.本协议是原合同的补充协议，与原合同有同等法律效力。</w:t>
      </w:r>
    </w:p>
    <w:p w14:paraId="12E41755">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2.本协议</w:t>
      </w:r>
      <w:permStart w:id="79" w:edGrp="everyone"/>
      <w:r>
        <w:rPr>
          <w:rFonts w:hint="eastAsia" w:ascii="仿宋_GB2312" w:hAnsi="仿宋_GB2312" w:eastAsia="仿宋_GB2312" w:cs="仿宋_GB2312"/>
          <w:color w:val="auto"/>
          <w:sz w:val="24"/>
          <w:szCs w:val="24"/>
          <w:highlight w:val="none"/>
          <w:u w:val="single"/>
          <w:lang w:val="en-US" w:eastAsia="zh-CN"/>
        </w:rPr>
        <w:fldChar w:fldCharType="begin"/>
      </w:r>
      <w:r>
        <w:rPr>
          <w:rFonts w:hint="eastAsia" w:ascii="仿宋_GB2312" w:hAnsi="仿宋_GB2312" w:eastAsia="仿宋_GB2312" w:cs="仿宋_GB2312"/>
          <w:color w:val="auto"/>
          <w:sz w:val="24"/>
          <w:szCs w:val="24"/>
          <w:highlight w:val="none"/>
          <w:u w:val="single"/>
          <w:lang w:val="en-US" w:eastAsia="zh-CN"/>
        </w:rPr>
        <w:instrText xml:space="preserve"> REF 合同总数 \h </w:instrText>
      </w:r>
      <w:r>
        <w:rPr>
          <w:rFonts w:hint="eastAsia" w:ascii="仿宋_GB2312" w:hAnsi="仿宋_GB2312" w:eastAsia="仿宋_GB2312" w:cs="仿宋_GB2312"/>
          <w:color w:val="auto"/>
          <w:sz w:val="24"/>
          <w:szCs w:val="24"/>
          <w:highlight w:val="none"/>
          <w:u w:val="single"/>
          <w:lang w:val="en-US" w:eastAsia="zh-CN"/>
        </w:rPr>
        <w:fldChar w:fldCharType="separate"/>
      </w:r>
      <w:r>
        <w:rPr>
          <w:rFonts w:hint="eastAsia" w:ascii="仿宋_GB2312" w:eastAsia="仿宋_GB2312"/>
          <w:color w:val="auto"/>
          <w:sz w:val="24"/>
          <w:highlight w:val="none"/>
        </w:rPr>
        <w:t>一式陆份</w:t>
      </w:r>
      <w:r>
        <w:rPr>
          <w:rFonts w:hint="eastAsia" w:ascii="仿宋_GB2312" w:hAnsi="仿宋_GB2312" w:eastAsia="仿宋_GB2312" w:cs="仿宋_GB2312"/>
          <w:color w:val="auto"/>
          <w:sz w:val="24"/>
          <w:szCs w:val="24"/>
          <w:highlight w:val="none"/>
          <w:u w:val="single"/>
          <w:lang w:val="en-US" w:eastAsia="zh-CN"/>
        </w:rPr>
        <w:fldChar w:fldCharType="end"/>
      </w:r>
      <w:permEnd w:id="79"/>
      <w:r>
        <w:rPr>
          <w:rFonts w:hint="eastAsia" w:ascii="仿宋_GB2312" w:hAnsi="仿宋_GB2312" w:eastAsia="仿宋_GB2312" w:cs="仿宋_GB2312"/>
          <w:color w:val="auto"/>
          <w:sz w:val="24"/>
          <w:szCs w:val="24"/>
          <w:highlight w:val="none"/>
        </w:rPr>
        <w:t>，甲方执</w:t>
      </w:r>
      <w:r>
        <w:rPr>
          <w:rFonts w:hint="eastAsia" w:ascii="仿宋_GB2312" w:hAnsi="仿宋_GB2312" w:eastAsia="仿宋_GB2312" w:cs="仿宋_GB2312"/>
          <w:color w:val="auto"/>
          <w:sz w:val="24"/>
          <w:szCs w:val="24"/>
          <w:highlight w:val="none"/>
          <w:u w:val="none"/>
          <w:lang w:val="en-US" w:eastAsia="zh-CN"/>
        </w:rPr>
        <w:t>贰</w:t>
      </w:r>
      <w:r>
        <w:rPr>
          <w:rFonts w:hint="eastAsia" w:ascii="仿宋_GB2312" w:hAnsi="仿宋_GB2312" w:eastAsia="仿宋_GB2312" w:cs="仿宋_GB2312"/>
          <w:color w:val="auto"/>
          <w:sz w:val="24"/>
          <w:szCs w:val="24"/>
          <w:highlight w:val="none"/>
        </w:rPr>
        <w:t>份，乙方</w:t>
      </w:r>
      <w:permStart w:id="80" w:edGrp="everyone"/>
      <w:r>
        <w:rPr>
          <w:rFonts w:hint="eastAsia" w:ascii="仿宋_GB2312" w:hAnsi="仿宋_GB2312" w:eastAsia="仿宋_GB2312" w:cs="仿宋_GB2312"/>
          <w:color w:val="auto"/>
          <w:sz w:val="24"/>
          <w:szCs w:val="24"/>
          <w:highlight w:val="none"/>
        </w:rPr>
        <w:fldChar w:fldCharType="begin"/>
      </w:r>
      <w:r>
        <w:rPr>
          <w:rFonts w:hint="eastAsia" w:ascii="仿宋_GB2312" w:hAnsi="仿宋_GB2312" w:eastAsia="仿宋_GB2312" w:cs="仿宋_GB2312"/>
          <w:color w:val="auto"/>
          <w:sz w:val="24"/>
          <w:szCs w:val="24"/>
          <w:highlight w:val="none"/>
        </w:rPr>
        <w:instrText xml:space="preserve"> REF 乙方份数 \h </w:instrText>
      </w:r>
      <w:r>
        <w:rPr>
          <w:rFonts w:hint="eastAsia" w:ascii="仿宋_GB2312" w:hAnsi="仿宋_GB2312" w:eastAsia="仿宋_GB2312" w:cs="仿宋_GB2312"/>
          <w:color w:val="auto"/>
          <w:sz w:val="24"/>
          <w:szCs w:val="24"/>
          <w:highlight w:val="none"/>
        </w:rPr>
        <w:fldChar w:fldCharType="separate"/>
      </w:r>
      <w:r>
        <w:rPr>
          <w:rFonts w:hint="eastAsia" w:ascii="仿宋_GB2312" w:eastAsia="仿宋_GB2312"/>
          <w:color w:val="auto"/>
          <w:sz w:val="24"/>
          <w:highlight w:val="none"/>
        </w:rPr>
        <w:t>各执贰份</w:t>
      </w:r>
      <w:r>
        <w:rPr>
          <w:rFonts w:hint="eastAsia" w:ascii="仿宋_GB2312" w:hAnsi="仿宋_GB2312" w:eastAsia="仿宋_GB2312" w:cs="仿宋_GB2312"/>
          <w:color w:val="auto"/>
          <w:sz w:val="24"/>
          <w:szCs w:val="24"/>
          <w:highlight w:val="none"/>
        </w:rPr>
        <w:fldChar w:fldCharType="end"/>
      </w:r>
      <w:permEnd w:id="80"/>
      <w:r>
        <w:rPr>
          <w:rFonts w:hint="eastAsia" w:ascii="仿宋_GB2312" w:hAnsi="仿宋_GB2312" w:eastAsia="仿宋_GB2312" w:cs="仿宋_GB2312"/>
          <w:color w:val="auto"/>
          <w:sz w:val="24"/>
          <w:szCs w:val="24"/>
          <w:highlight w:val="none"/>
        </w:rPr>
        <w:t>,具有同等法律效力。</w:t>
      </w:r>
    </w:p>
    <w:p w14:paraId="1DEFB58F">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3.本协议经双方签署后生效。</w:t>
      </w:r>
    </w:p>
    <w:p w14:paraId="07A66E40">
      <w:pPr>
        <w:pStyle w:val="2"/>
        <w:rPr>
          <w:rFonts w:hint="eastAsia" w:ascii="仿宋_GB2312" w:hAnsi="仿宋_GB2312" w:eastAsia="仿宋_GB2312" w:cs="仿宋_GB2312"/>
          <w:color w:val="auto"/>
          <w:sz w:val="24"/>
          <w:szCs w:val="24"/>
          <w:highlight w:val="none"/>
        </w:rPr>
      </w:pPr>
    </w:p>
    <w:tbl>
      <w:tblPr>
        <w:tblStyle w:val="31"/>
        <w:tblW w:w="0" w:type="auto"/>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3284"/>
        <w:gridCol w:w="3284"/>
        <w:gridCol w:w="3284"/>
      </w:tblGrid>
      <w:tr w14:paraId="3E1411FF">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411" w:hRule="atLeast"/>
        </w:trPr>
        <w:tc>
          <w:tcPr>
            <w:tcW w:w="3284" w:type="dxa"/>
            <w:tcBorders>
              <w:tl2br w:val="nil"/>
              <w:tr2bl w:val="nil"/>
            </w:tcBorders>
            <w:shd w:val="clear" w:color="auto" w:fill="auto"/>
            <w:noWrap w:val="0"/>
            <w:vAlign w:val="center"/>
          </w:tcPr>
          <w:p w14:paraId="73F83DEC">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rPr>
              <w:t>甲方（盖章）：</w:t>
            </w:r>
            <w:r>
              <w:rPr>
                <w:rFonts w:hint="eastAsia" w:ascii="仿宋_GB2312" w:hAnsi="仿宋_GB2312" w:eastAsia="仿宋_GB2312" w:cs="仿宋_GB2312"/>
                <w:color w:val="auto"/>
                <w:sz w:val="24"/>
                <w:szCs w:val="24"/>
                <w:highlight w:val="none"/>
                <w:u w:val="none"/>
                <w:lang w:eastAsia="zh-CN"/>
              </w:rPr>
              <w:t>东莞市新锋新能源有限公司</w:t>
            </w:r>
          </w:p>
        </w:tc>
        <w:tc>
          <w:tcPr>
            <w:tcW w:w="3284" w:type="dxa"/>
            <w:tcBorders>
              <w:tl2br w:val="nil"/>
              <w:tr2bl w:val="nil"/>
            </w:tcBorders>
            <w:shd w:val="clear" w:color="auto" w:fill="auto"/>
            <w:noWrap w:val="0"/>
            <w:vAlign w:val="center"/>
          </w:tcPr>
          <w:p w14:paraId="6D19B244">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rPr>
              <w:t>乙方</w:t>
            </w:r>
            <w:r>
              <w:rPr>
                <w:rFonts w:hint="eastAsia" w:ascii="仿宋_GB2312" w:hAnsi="仿宋_GB2312" w:eastAsia="仿宋_GB2312" w:cs="仿宋_GB2312"/>
                <w:color w:val="auto"/>
                <w:sz w:val="24"/>
                <w:szCs w:val="24"/>
                <w:highlight w:val="none"/>
                <w:u w:val="none"/>
                <w:lang w:eastAsia="zh-CN"/>
              </w:rPr>
              <w:t>（</w:t>
            </w:r>
            <w:r>
              <w:rPr>
                <w:rFonts w:hint="eastAsia" w:ascii="仿宋_GB2312" w:hAnsi="仿宋_GB2312" w:eastAsia="仿宋_GB2312" w:cs="仿宋_GB2312"/>
                <w:color w:val="auto"/>
                <w:sz w:val="24"/>
                <w:szCs w:val="24"/>
                <w:highlight w:val="none"/>
                <w:u w:val="none"/>
                <w:lang w:val="en-US" w:eastAsia="zh-CN"/>
              </w:rPr>
              <w:t>主）</w:t>
            </w:r>
            <w:r>
              <w:rPr>
                <w:rFonts w:hint="eastAsia" w:ascii="仿宋_GB2312" w:hAnsi="仿宋_GB2312" w:eastAsia="仿宋_GB2312" w:cs="仿宋_GB2312"/>
                <w:color w:val="auto"/>
                <w:sz w:val="24"/>
                <w:szCs w:val="24"/>
                <w:highlight w:val="none"/>
                <w:u w:val="none"/>
              </w:rPr>
              <w:t>（盖章）：</w:t>
            </w:r>
            <w:permStart w:id="81" w:edGrp="everyone"/>
            <w:r>
              <w:rPr>
                <w:rFonts w:hint="eastAsia" w:ascii="仿宋_GB2312" w:hAnsi="仿宋_GB2312" w:eastAsia="仿宋_GB2312" w:cs="仿宋_GB2312"/>
                <w:color w:val="auto"/>
                <w:sz w:val="24"/>
                <w:szCs w:val="24"/>
                <w:highlight w:val="none"/>
                <w:u w:val="none"/>
              </w:rPr>
              <w:fldChar w:fldCharType="begin"/>
            </w:r>
            <w:r>
              <w:rPr>
                <w:rFonts w:hint="eastAsia" w:ascii="仿宋_GB2312" w:hAnsi="仿宋_GB2312" w:eastAsia="仿宋_GB2312" w:cs="仿宋_GB2312"/>
                <w:color w:val="auto"/>
                <w:sz w:val="24"/>
                <w:szCs w:val="24"/>
                <w:highlight w:val="none"/>
                <w:u w:val="none"/>
              </w:rPr>
              <w:instrText xml:space="preserve"> REF 乙方（主） \h </w:instrText>
            </w:r>
            <w:r>
              <w:rPr>
                <w:rFonts w:hint="eastAsia" w:ascii="仿宋_GB2312" w:hAnsi="仿宋_GB2312" w:eastAsia="仿宋_GB2312" w:cs="仿宋_GB2312"/>
                <w:color w:val="auto"/>
                <w:sz w:val="24"/>
                <w:szCs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hAnsi="仿宋_GB2312" w:eastAsia="仿宋_GB2312" w:cs="仿宋_GB2312"/>
                <w:color w:val="auto"/>
                <w:sz w:val="24"/>
                <w:szCs w:val="24"/>
                <w:highlight w:val="none"/>
                <w:u w:val="none"/>
              </w:rPr>
              <w:fldChar w:fldCharType="end"/>
            </w:r>
            <w:permEnd w:id="81"/>
          </w:p>
        </w:tc>
        <w:tc>
          <w:tcPr>
            <w:tcW w:w="3284" w:type="dxa"/>
            <w:tcBorders>
              <w:tl2br w:val="nil"/>
              <w:tr2bl w:val="nil"/>
            </w:tcBorders>
            <w:shd w:val="clear" w:color="auto" w:fill="auto"/>
            <w:noWrap w:val="0"/>
            <w:vAlign w:val="center"/>
          </w:tcPr>
          <w:p w14:paraId="0D3FE669">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乙方</w:t>
            </w:r>
            <w:r>
              <w:rPr>
                <w:rFonts w:hint="default" w:ascii="仿宋_GB2312" w:eastAsia="仿宋_GB2312"/>
                <w:color w:val="auto"/>
                <w:sz w:val="24"/>
                <w:highlight w:val="none"/>
                <w:u w:val="none"/>
              </w:rPr>
              <w:t>（成）：（盖章）</w:t>
            </w:r>
            <w:permStart w:id="82" w:edGrp="everyone"/>
            <w:r>
              <w:rPr>
                <w:rFonts w:hint="default" w:ascii="仿宋_GB2312" w:eastAsia="仿宋_GB2312"/>
                <w:color w:val="auto"/>
                <w:sz w:val="24"/>
                <w:highlight w:val="none"/>
                <w:u w:val="none"/>
                <w:lang w:val="en-US"/>
              </w:rPr>
              <w:fldChar w:fldCharType="begin"/>
            </w:r>
            <w:r>
              <w:rPr>
                <w:rFonts w:hint="default" w:ascii="仿宋_GB2312" w:eastAsia="仿宋_GB2312"/>
                <w:color w:val="auto"/>
                <w:sz w:val="24"/>
                <w:highlight w:val="none"/>
                <w:u w:val="none"/>
                <w:lang w:val="en-US"/>
              </w:rPr>
              <w:instrText xml:space="preserve"> REF 乙方（成） \h </w:instrText>
            </w:r>
            <w:r>
              <w:rPr>
                <w:rFonts w:hint="default" w:ascii="仿宋_GB2312" w:eastAsia="仿宋_GB2312"/>
                <w:color w:val="auto"/>
                <w:sz w:val="24"/>
                <w:highlight w:val="none"/>
                <w:u w:val="none"/>
                <w:lang w:val="en-US"/>
              </w:rPr>
              <w:fldChar w:fldCharType="separate"/>
            </w:r>
            <w:r>
              <w:rPr>
                <w:rFonts w:hint="eastAsia" w:ascii="仿宋_GB2312" w:eastAsia="仿宋_GB2312"/>
                <w:color w:val="auto"/>
                <w:sz w:val="24"/>
                <w:highlight w:val="none"/>
                <w:u w:val="none"/>
              </w:rPr>
              <w:t>XX有限公司</w:t>
            </w:r>
            <w:r>
              <w:rPr>
                <w:rFonts w:hint="default" w:ascii="仿宋_GB2312" w:eastAsia="仿宋_GB2312"/>
                <w:color w:val="auto"/>
                <w:sz w:val="24"/>
                <w:highlight w:val="none"/>
                <w:u w:val="none"/>
                <w:lang w:val="en-US"/>
              </w:rPr>
              <w:fldChar w:fldCharType="end"/>
            </w:r>
            <w:permEnd w:id="82"/>
          </w:p>
        </w:tc>
      </w:tr>
      <w:tr w14:paraId="303B14B3">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502" w:hRule="atLeast"/>
        </w:trPr>
        <w:tc>
          <w:tcPr>
            <w:tcW w:w="3284" w:type="dxa"/>
            <w:tcBorders>
              <w:tl2br w:val="nil"/>
              <w:tr2bl w:val="nil"/>
            </w:tcBorders>
            <w:shd w:val="clear" w:color="auto" w:fill="auto"/>
            <w:noWrap w:val="0"/>
            <w:vAlign w:val="center"/>
          </w:tcPr>
          <w:p w14:paraId="4AAB8EB0">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法定代表人（授权代表）：</w:t>
            </w:r>
          </w:p>
        </w:tc>
        <w:tc>
          <w:tcPr>
            <w:tcW w:w="3284" w:type="dxa"/>
            <w:tcBorders>
              <w:tl2br w:val="nil"/>
              <w:tr2bl w:val="nil"/>
            </w:tcBorders>
            <w:shd w:val="clear" w:color="auto" w:fill="auto"/>
            <w:noWrap w:val="0"/>
            <w:vAlign w:val="center"/>
          </w:tcPr>
          <w:p w14:paraId="3D6DD8B3">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法定代表人（授权代表）：</w:t>
            </w:r>
          </w:p>
        </w:tc>
        <w:tc>
          <w:tcPr>
            <w:tcW w:w="3284" w:type="dxa"/>
            <w:tcBorders>
              <w:tl2br w:val="nil"/>
              <w:tr2bl w:val="nil"/>
            </w:tcBorders>
            <w:shd w:val="clear" w:color="auto" w:fill="auto"/>
            <w:noWrap w:val="0"/>
            <w:vAlign w:val="center"/>
          </w:tcPr>
          <w:p w14:paraId="63AF9BB9">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法定代表人（授权代表）：</w:t>
            </w:r>
          </w:p>
        </w:tc>
      </w:tr>
      <w:tr w14:paraId="0694E170">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203" w:hRule="atLeast"/>
        </w:trPr>
        <w:tc>
          <w:tcPr>
            <w:tcW w:w="3284" w:type="dxa"/>
            <w:tcBorders>
              <w:tl2br w:val="nil"/>
              <w:tr2bl w:val="nil"/>
            </w:tcBorders>
            <w:shd w:val="clear" w:color="auto" w:fill="auto"/>
            <w:noWrap w:val="0"/>
            <w:vAlign w:val="center"/>
          </w:tcPr>
          <w:p w14:paraId="35C68A51">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签约日期：   年   月   日</w:t>
            </w:r>
          </w:p>
        </w:tc>
        <w:tc>
          <w:tcPr>
            <w:tcW w:w="3284" w:type="dxa"/>
            <w:tcBorders>
              <w:tl2br w:val="nil"/>
              <w:tr2bl w:val="nil"/>
            </w:tcBorders>
            <w:shd w:val="clear" w:color="auto" w:fill="auto"/>
            <w:noWrap w:val="0"/>
            <w:vAlign w:val="center"/>
          </w:tcPr>
          <w:p w14:paraId="67300D5C">
            <w:pPr>
              <w:pStyle w:val="2"/>
              <w:widowControl w:val="0"/>
              <w:spacing w:after="120"/>
              <w:jc w:val="both"/>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签约日期：   年   月   日</w:t>
            </w:r>
          </w:p>
        </w:tc>
        <w:tc>
          <w:tcPr>
            <w:tcW w:w="3284" w:type="dxa"/>
            <w:tcBorders>
              <w:tl2br w:val="nil"/>
              <w:tr2bl w:val="nil"/>
            </w:tcBorders>
            <w:shd w:val="clear" w:color="auto" w:fill="auto"/>
            <w:noWrap w:val="0"/>
            <w:vAlign w:val="center"/>
          </w:tcPr>
          <w:p w14:paraId="5D2152C8">
            <w:pPr>
              <w:pStyle w:val="2"/>
              <w:widowControl w:val="0"/>
              <w:spacing w:after="12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签约日期：   年   月   日</w:t>
            </w:r>
          </w:p>
        </w:tc>
      </w:tr>
    </w:tbl>
    <w:p w14:paraId="13379FFA">
      <w:pPr>
        <w:spacing w:line="360" w:lineRule="auto"/>
        <w:jc w:val="both"/>
        <w:rPr>
          <w:rFonts w:hint="eastAsia" w:ascii="仿宋_GB2312" w:hAnsi="仿宋_GB2312" w:eastAsia="仿宋_GB2312" w:cs="仿宋_GB2312"/>
          <w:b/>
          <w:color w:val="auto"/>
          <w:sz w:val="32"/>
          <w:szCs w:val="32"/>
          <w:highlight w:val="none"/>
        </w:rPr>
      </w:pPr>
    </w:p>
    <w:p w14:paraId="3D3EBF00">
      <w:pPr>
        <w:spacing w:line="360" w:lineRule="auto"/>
        <w:jc w:val="both"/>
        <w:rPr>
          <w:rFonts w:hint="eastAsia" w:ascii="仿宋_GB2312" w:hAnsi="仿宋_GB2312" w:eastAsia="仿宋_GB2312" w:cs="仿宋_GB2312"/>
          <w:b/>
          <w:color w:val="auto"/>
          <w:sz w:val="32"/>
          <w:szCs w:val="32"/>
          <w:highlight w:val="none"/>
        </w:rPr>
      </w:pPr>
    </w:p>
    <w:p w14:paraId="476223E9">
      <w:pPr>
        <w:spacing w:line="360" w:lineRule="auto"/>
        <w:jc w:val="both"/>
        <w:rPr>
          <w:rFonts w:hint="eastAsia" w:ascii="仿宋_GB2312" w:hAnsi="仿宋_GB2312" w:eastAsia="仿宋_GB2312" w:cs="仿宋_GB2312"/>
          <w:b/>
          <w:color w:val="auto"/>
          <w:sz w:val="32"/>
          <w:szCs w:val="32"/>
          <w:highlight w:val="none"/>
        </w:rPr>
      </w:pPr>
    </w:p>
    <w:p w14:paraId="2D2A9BDA">
      <w:pPr>
        <w:spacing w:line="360" w:lineRule="auto"/>
        <w:jc w:val="both"/>
        <w:rPr>
          <w:rFonts w:hint="eastAsia" w:ascii="仿宋_GB2312" w:hAnsi="仿宋_GB2312" w:eastAsia="仿宋_GB2312" w:cs="仿宋_GB2312"/>
          <w:b/>
          <w:color w:val="auto"/>
          <w:sz w:val="32"/>
          <w:szCs w:val="32"/>
          <w:highlight w:val="none"/>
        </w:rPr>
      </w:pPr>
    </w:p>
    <w:p w14:paraId="7DA0B97F">
      <w:pPr>
        <w:spacing w:line="360" w:lineRule="auto"/>
        <w:jc w:val="both"/>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5</w:t>
      </w:r>
      <w:r>
        <w:rPr>
          <w:rFonts w:hint="eastAsia" w:ascii="仿宋_GB2312" w:hAnsi="仿宋_GB2312" w:eastAsia="仿宋_GB2312" w:cs="仿宋_GB2312"/>
          <w:b/>
          <w:color w:val="auto"/>
          <w:sz w:val="32"/>
          <w:szCs w:val="32"/>
          <w:highlight w:val="none"/>
        </w:rPr>
        <w:t xml:space="preserve"> 中标（成交）通知书</w:t>
      </w:r>
    </w:p>
    <w:p w14:paraId="337398E9">
      <w:pPr>
        <w:rPr>
          <w:rFonts w:hint="eastAsia"/>
          <w:color w:val="auto"/>
          <w:highlight w:val="none"/>
        </w:rPr>
      </w:pPr>
    </w:p>
    <w:p w14:paraId="713D8662">
      <w:pPr>
        <w:rPr>
          <w:rFonts w:hint="eastAsia"/>
          <w:color w:val="auto"/>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480DDB08">
      <w:pPr>
        <w:spacing w:line="360" w:lineRule="auto"/>
        <w:jc w:val="left"/>
        <w:rPr>
          <w:rFonts w:hint="eastAsia" w:ascii="仿宋_GB2312" w:hAnsi="仿宋_GB2312" w:eastAsia="仿宋_GB2312" w:cs="仿宋_GB2312"/>
          <w:b/>
          <w:color w:val="auto"/>
          <w:sz w:val="32"/>
          <w:szCs w:val="32"/>
          <w:highlight w:val="none"/>
          <w:lang w:eastAsia="zh-CN"/>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6</w:t>
      </w:r>
    </w:p>
    <w:p w14:paraId="43F6A3E2">
      <w:pPr>
        <w:spacing w:line="360" w:lineRule="auto"/>
        <w:jc w:val="center"/>
        <w:rPr>
          <w:rFonts w:hint="default" w:ascii="仿宋_GB2312" w:eastAsia="仿宋_GB2312"/>
          <w:color w:val="auto"/>
          <w:sz w:val="24"/>
          <w:highlight w:val="none"/>
        </w:rPr>
      </w:pPr>
      <w:r>
        <w:rPr>
          <w:rFonts w:hint="eastAsia" w:ascii="仿宋_GB2312" w:hAnsi="仿宋_GB2312" w:eastAsia="仿宋_GB2312" w:cs="仿宋_GB2312"/>
          <w:b/>
          <w:color w:val="auto"/>
          <w:sz w:val="32"/>
          <w:szCs w:val="32"/>
          <w:highlight w:val="none"/>
        </w:rPr>
        <w:t>承包商违规行为处罚条例</w:t>
      </w:r>
    </w:p>
    <w:tbl>
      <w:tblPr>
        <w:tblStyle w:val="30"/>
        <w:tblpPr w:leftFromText="180" w:rightFromText="180" w:vertAnchor="text" w:horzAnchor="page" w:tblpX="1123" w:tblpY="659"/>
        <w:tblOverlap w:val="never"/>
        <w:tblW w:w="9941" w:type="dxa"/>
        <w:tblInd w:w="0" w:type="dxa"/>
        <w:tblLayout w:type="autofit"/>
        <w:tblCellMar>
          <w:top w:w="0" w:type="dxa"/>
          <w:left w:w="108" w:type="dxa"/>
          <w:bottom w:w="0" w:type="dxa"/>
          <w:right w:w="108" w:type="dxa"/>
        </w:tblCellMar>
      </w:tblPr>
      <w:tblGrid>
        <w:gridCol w:w="815"/>
        <w:gridCol w:w="1275"/>
        <w:gridCol w:w="2791"/>
        <w:gridCol w:w="1319"/>
        <w:gridCol w:w="1250"/>
        <w:gridCol w:w="1250"/>
        <w:gridCol w:w="1241"/>
      </w:tblGrid>
      <w:tr w14:paraId="19D7CB48">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987BD">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序号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6A2F0">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项目</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99DB6">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内容</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C23258">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罚款说明</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63EB3">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第一次违反</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C139A">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第二次违反</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7FA30">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三次以上违反</w:t>
            </w:r>
          </w:p>
        </w:tc>
      </w:tr>
      <w:tr w14:paraId="3EF7D1A9">
        <w:tblPrEx>
          <w:tblCellMar>
            <w:top w:w="0" w:type="dxa"/>
            <w:left w:w="108" w:type="dxa"/>
            <w:bottom w:w="0" w:type="dxa"/>
            <w:right w:w="108" w:type="dxa"/>
          </w:tblCellMar>
        </w:tblPrEx>
        <w:trPr>
          <w:trHeight w:val="454" w:hRule="atLeast"/>
        </w:trPr>
        <w:tc>
          <w:tcPr>
            <w:tcW w:w="815" w:type="dxa"/>
            <w:tcBorders>
              <w:top w:val="nil"/>
              <w:left w:val="single" w:color="000000" w:sz="4" w:space="0"/>
              <w:bottom w:val="single" w:color="000000" w:sz="4" w:space="0"/>
              <w:right w:val="single" w:color="000000" w:sz="4" w:space="0"/>
            </w:tcBorders>
            <w:shd w:val="clear" w:color="auto" w:fill="BFBFBF"/>
            <w:vAlign w:val="center"/>
          </w:tcPr>
          <w:p w14:paraId="7D6D8457">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一</w:t>
            </w:r>
          </w:p>
        </w:tc>
        <w:tc>
          <w:tcPr>
            <w:tcW w:w="4066" w:type="dxa"/>
            <w:gridSpan w:val="2"/>
            <w:tcBorders>
              <w:top w:val="nil"/>
              <w:left w:val="single" w:color="000000" w:sz="4" w:space="0"/>
              <w:bottom w:val="single" w:color="000000" w:sz="4" w:space="0"/>
              <w:right w:val="single" w:color="000000" w:sz="4" w:space="0"/>
            </w:tcBorders>
            <w:shd w:val="clear" w:color="auto" w:fill="BFBFBF"/>
            <w:vAlign w:val="center"/>
          </w:tcPr>
          <w:p w14:paraId="2FF6585B">
            <w:pPr>
              <w:widowControl/>
              <w:jc w:val="left"/>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工程前期准备</w:t>
            </w:r>
          </w:p>
        </w:tc>
        <w:tc>
          <w:tcPr>
            <w:tcW w:w="1319" w:type="dxa"/>
            <w:tcBorders>
              <w:top w:val="nil"/>
              <w:left w:val="single" w:color="000000" w:sz="4" w:space="0"/>
              <w:bottom w:val="single" w:color="000000" w:sz="4" w:space="0"/>
              <w:right w:val="single" w:color="000000" w:sz="4" w:space="0"/>
            </w:tcBorders>
            <w:shd w:val="clear" w:color="auto" w:fill="BFBFBF"/>
            <w:vAlign w:val="center"/>
          </w:tcPr>
          <w:p w14:paraId="59617240">
            <w:pPr>
              <w:jc w:val="center"/>
              <w:rPr>
                <w:rFonts w:hint="eastAsia" w:ascii="仿宋_GB2312" w:hAnsi="仿宋_GB2312" w:eastAsia="仿宋_GB2312" w:cs="仿宋_GB2312"/>
                <w:b/>
                <w:color w:val="auto"/>
                <w:sz w:val="20"/>
                <w:szCs w:val="20"/>
                <w:highlight w:val="none"/>
              </w:rPr>
            </w:pPr>
          </w:p>
        </w:tc>
        <w:tc>
          <w:tcPr>
            <w:tcW w:w="3741" w:type="dxa"/>
            <w:gridSpan w:val="3"/>
            <w:tcBorders>
              <w:top w:val="nil"/>
              <w:left w:val="single" w:color="000000" w:sz="4" w:space="0"/>
              <w:bottom w:val="single" w:color="000000" w:sz="4" w:space="0"/>
              <w:right w:val="single" w:color="000000" w:sz="4" w:space="0"/>
            </w:tcBorders>
            <w:shd w:val="clear" w:color="auto" w:fill="BFBFBF"/>
            <w:vAlign w:val="center"/>
          </w:tcPr>
          <w:p w14:paraId="4BBD9D6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单位：元/次</w:t>
            </w:r>
          </w:p>
        </w:tc>
      </w:tr>
      <w:tr w14:paraId="09F4E1E6">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42F2E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A0BA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持证上岗</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9B470C">
            <w:pPr>
              <w:widowControl/>
              <w:jc w:val="left"/>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施工劳动力安排合理、充足，具备持证上岗资格。</w:t>
            </w:r>
            <w:r>
              <w:rPr>
                <w:rFonts w:hint="eastAsia" w:ascii="仿宋_GB2312" w:hAnsi="仿宋_GB2312" w:eastAsia="仿宋_GB2312" w:cs="仿宋_GB2312"/>
                <w:color w:val="auto"/>
                <w:kern w:val="0"/>
                <w:sz w:val="20"/>
                <w:szCs w:val="20"/>
                <w:highlight w:val="none"/>
                <w:lang w:val="en-US" w:eastAsia="zh-CN" w:bidi="ar-SA"/>
              </w:rPr>
              <w:t>特种作业人员应具备特种作业人员证件，如电工证、高空作业证、焊接与热切割作业证等。</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B26C4">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不符合上述规定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B71C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FFD09">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F04A5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2AC2BC70">
        <w:tblPrEx>
          <w:tblCellMar>
            <w:top w:w="0" w:type="dxa"/>
            <w:left w:w="108" w:type="dxa"/>
            <w:bottom w:w="0" w:type="dxa"/>
            <w:right w:w="108" w:type="dxa"/>
          </w:tblCellMar>
        </w:tblPrEx>
        <w:trPr>
          <w:trHeight w:val="142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6A2F8">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1E12F2">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擅自开工</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699A5">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项目未满足开工条件，未按要求准备开工资料的，包括但不限于施工组织设计、承包单位资质人员报审、保险等。承包单位擅自开工的。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2BEA3D">
            <w:pPr>
              <w:widowControl/>
              <w:jc w:val="left"/>
              <w:textAlignment w:val="center"/>
              <w:rPr>
                <w:rFonts w:hint="eastAsia" w:ascii="仿宋_GB2312" w:hAnsi="仿宋_GB2312" w:eastAsia="仿宋_GB2312" w:cs="仿宋_GB2312"/>
                <w:color w:val="auto"/>
                <w:kern w:val="0"/>
                <w:sz w:val="20"/>
                <w:szCs w:val="20"/>
                <w:highlight w:val="none"/>
                <w:lang w:val="en-US" w:bidi="ar-SA"/>
              </w:rPr>
            </w:pPr>
            <w:r>
              <w:rPr>
                <w:rFonts w:hint="eastAsia" w:ascii="仿宋_GB2312" w:hAnsi="仿宋_GB2312" w:eastAsia="仿宋_GB2312" w:cs="仿宋_GB2312"/>
                <w:color w:val="auto"/>
                <w:kern w:val="0"/>
                <w:sz w:val="20"/>
                <w:szCs w:val="20"/>
                <w:highlight w:val="none"/>
                <w:lang w:val="en-US" w:eastAsia="zh-CN" w:bidi="ar-SA"/>
              </w:rPr>
              <w:t>擅自开工的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6FB98C">
            <w:pPr>
              <w:widowControl/>
              <w:jc w:val="center"/>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52ADE">
            <w:pPr>
              <w:widowControl/>
              <w:jc w:val="center"/>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3C5D0">
            <w:pPr>
              <w:widowControl/>
              <w:jc w:val="center"/>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07D72834">
        <w:tblPrEx>
          <w:tblCellMar>
            <w:top w:w="0" w:type="dxa"/>
            <w:left w:w="108" w:type="dxa"/>
            <w:bottom w:w="0" w:type="dxa"/>
            <w:right w:w="108" w:type="dxa"/>
          </w:tblCellMar>
        </w:tblPrEx>
        <w:trPr>
          <w:trHeight w:val="99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CE46B">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E30A5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工器具管理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30146">
            <w:pPr>
              <w:widowControl/>
              <w:jc w:val="left"/>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施工机械、施工机具、工器具、安全工器具</w:t>
            </w:r>
            <w:r>
              <w:rPr>
                <w:rFonts w:hint="eastAsia" w:ascii="仿宋_GB2312" w:hAnsi="仿宋_GB2312" w:eastAsia="仿宋_GB2312" w:cs="仿宋_GB2312"/>
                <w:color w:val="auto"/>
                <w:kern w:val="0"/>
                <w:sz w:val="20"/>
                <w:szCs w:val="20"/>
                <w:highlight w:val="none"/>
                <w:lang w:val="en-US" w:eastAsia="zh-CN" w:bidi="ar-SA"/>
              </w:rPr>
              <w:t>不符合安全规定</w:t>
            </w:r>
            <w:r>
              <w:rPr>
                <w:rFonts w:hint="eastAsia" w:ascii="仿宋_GB2312" w:hAnsi="仿宋_GB2312" w:eastAsia="仿宋_GB2312" w:cs="仿宋_GB2312"/>
                <w:color w:val="auto"/>
                <w:kern w:val="0"/>
                <w:sz w:val="20"/>
                <w:szCs w:val="20"/>
                <w:highlight w:val="none"/>
                <w:lang w:bidi="ar-SA"/>
              </w:rPr>
              <w:t>；</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6F26E">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w:t>
            </w:r>
            <w:r>
              <w:rPr>
                <w:rFonts w:hint="eastAsia" w:ascii="仿宋_GB2312" w:hAnsi="仿宋_GB2312" w:eastAsia="仿宋_GB2312" w:cs="仿宋_GB2312"/>
                <w:color w:val="auto"/>
                <w:kern w:val="0"/>
                <w:sz w:val="20"/>
                <w:szCs w:val="20"/>
                <w:highlight w:val="none"/>
                <w:lang w:val="en-US" w:eastAsia="zh-CN" w:bidi="ar-SA"/>
              </w:rPr>
              <w:t>安全</w:t>
            </w:r>
            <w:r>
              <w:rPr>
                <w:rFonts w:hint="eastAsia" w:ascii="仿宋_GB2312" w:hAnsi="仿宋_GB2312" w:eastAsia="仿宋_GB2312" w:cs="仿宋_GB2312"/>
                <w:color w:val="auto"/>
                <w:kern w:val="0"/>
                <w:sz w:val="20"/>
                <w:szCs w:val="20"/>
                <w:highlight w:val="none"/>
                <w:lang w:bidi="ar-SA"/>
              </w:rPr>
              <w:t>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E2C8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6F45D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BC1C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5DB8C792">
        <w:tblPrEx>
          <w:tblCellMar>
            <w:top w:w="0" w:type="dxa"/>
            <w:left w:w="108" w:type="dxa"/>
            <w:bottom w:w="0" w:type="dxa"/>
            <w:right w:w="108" w:type="dxa"/>
          </w:tblCellMar>
        </w:tblPrEx>
        <w:trPr>
          <w:trHeight w:val="116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2D271">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5DFF0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固定场所配置</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094D72">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五牌一图按规范挂设，按合同约定设立项目部（如有）</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3C11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在材料/施工人员进场前未完成，不符合上述规定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98AD9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2F88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62B3A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21F922AA">
        <w:tblPrEx>
          <w:tblCellMar>
            <w:top w:w="0" w:type="dxa"/>
            <w:left w:w="108" w:type="dxa"/>
            <w:bottom w:w="0" w:type="dxa"/>
            <w:right w:w="108" w:type="dxa"/>
          </w:tblCellMar>
        </w:tblPrEx>
        <w:trPr>
          <w:trHeight w:val="116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143DA">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08644B">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人员准备</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C0FD02">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施工现场未准备实名制花名册的，或施工人员意外险保额少于200万/人的。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68F482">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存在以上问题的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CEB9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CBE0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E155D">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2AA2B21C">
        <w:tblPrEx>
          <w:tblCellMar>
            <w:top w:w="0" w:type="dxa"/>
            <w:left w:w="108" w:type="dxa"/>
            <w:bottom w:w="0" w:type="dxa"/>
            <w:right w:w="108" w:type="dxa"/>
          </w:tblCellMar>
        </w:tblPrEx>
        <w:trPr>
          <w:trHeight w:val="116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979986">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DB1C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人员准备</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798F4">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施工现场实际施工人员与现场名制花名册对不上的，或现场实际施工人员未购买意外险的；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1C9FC">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存在以上问题的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8EA17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36E39">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BE9BBF">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68FCD831">
        <w:tblPrEx>
          <w:tblCellMar>
            <w:top w:w="0" w:type="dxa"/>
            <w:left w:w="108" w:type="dxa"/>
            <w:bottom w:w="0" w:type="dxa"/>
            <w:right w:w="108" w:type="dxa"/>
          </w:tblCellMar>
        </w:tblPrEx>
        <w:trPr>
          <w:trHeight w:val="116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FDDCD">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A28D0">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特殊作业许可</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1DD03">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施工现场需要特殊作业的，如吊装作业、高空作业、临时用电作业、焊接作业等应取得发包人现场代表的许可单才可作业</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3DEB2E">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未经许可擅自进行特殊作业的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90893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EBF91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AB9796">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139AF965">
        <w:tblPrEx>
          <w:tblCellMar>
            <w:top w:w="0" w:type="dxa"/>
            <w:left w:w="108" w:type="dxa"/>
            <w:bottom w:w="0" w:type="dxa"/>
            <w:right w:w="108" w:type="dxa"/>
          </w:tblCellMar>
        </w:tblPrEx>
        <w:trPr>
          <w:trHeight w:val="116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F899F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13FC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防疫工作</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EF4B52">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在防疫期间，消极对待防疫工作的，屡劝不改的。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7C6BBB">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防疫消极的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FFCF3E">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5ADDAC">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C2BB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101729F2">
        <w:tblPrEx>
          <w:tblCellMar>
            <w:top w:w="0" w:type="dxa"/>
            <w:left w:w="108" w:type="dxa"/>
            <w:bottom w:w="0" w:type="dxa"/>
            <w:right w:w="108" w:type="dxa"/>
          </w:tblCellMar>
        </w:tblPrEx>
        <w:trPr>
          <w:trHeight w:val="470" w:hRule="atLeast"/>
        </w:trPr>
        <w:tc>
          <w:tcPr>
            <w:tcW w:w="81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2491FC22">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二</w:t>
            </w:r>
          </w:p>
        </w:tc>
        <w:tc>
          <w:tcPr>
            <w:tcW w:w="5385"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61B0ADD8">
            <w:pPr>
              <w:widowControl/>
              <w:jc w:val="left"/>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工程安全管理</w:t>
            </w:r>
          </w:p>
        </w:tc>
        <w:tc>
          <w:tcPr>
            <w:tcW w:w="3741"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333BDED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单位：元</w:t>
            </w:r>
            <w:r>
              <w:rPr>
                <w:rFonts w:hint="eastAsia" w:ascii="仿宋_GB2312" w:hAnsi="仿宋_GB2312" w:eastAsia="仿宋_GB2312" w:cs="仿宋_GB2312"/>
                <w:color w:val="auto"/>
                <w:kern w:val="0"/>
                <w:sz w:val="20"/>
                <w:szCs w:val="20"/>
                <w:highlight w:val="none"/>
                <w:lang w:val="en-US" w:eastAsia="zh-CN" w:bidi="ar-SA"/>
              </w:rPr>
              <w:t>/</w:t>
            </w:r>
            <w:r>
              <w:rPr>
                <w:rFonts w:hint="eastAsia" w:ascii="仿宋_GB2312" w:hAnsi="仿宋_GB2312" w:eastAsia="仿宋_GB2312" w:cs="仿宋_GB2312"/>
                <w:color w:val="auto"/>
                <w:kern w:val="0"/>
                <w:sz w:val="20"/>
                <w:szCs w:val="20"/>
                <w:highlight w:val="none"/>
                <w:lang w:bidi="ar-SA"/>
              </w:rPr>
              <w:t>次</w:t>
            </w:r>
          </w:p>
        </w:tc>
      </w:tr>
      <w:tr w14:paraId="21254693">
        <w:tblPrEx>
          <w:tblCellMar>
            <w:top w:w="0" w:type="dxa"/>
            <w:left w:w="108" w:type="dxa"/>
            <w:bottom w:w="0" w:type="dxa"/>
            <w:right w:w="108" w:type="dxa"/>
          </w:tblCellMar>
        </w:tblPrEx>
        <w:trPr>
          <w:trHeight w:val="122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4D3EDC">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51A14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劳保用品使用</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FB25F0">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作业人员按照规定</w:t>
            </w:r>
            <w:r>
              <w:rPr>
                <w:rFonts w:hint="eastAsia" w:ascii="仿宋_GB2312" w:hAnsi="仿宋_GB2312" w:eastAsia="仿宋_GB2312" w:cs="仿宋_GB2312"/>
                <w:color w:val="auto"/>
                <w:kern w:val="0"/>
                <w:sz w:val="20"/>
                <w:szCs w:val="20"/>
                <w:highlight w:val="none"/>
                <w:lang w:val="en-US" w:eastAsia="zh-CN" w:bidi="ar-SA"/>
              </w:rPr>
              <w:t>佩戴安全帽、反光衣/劳动工作服等劳保用具，安全帽应系紧下颚带，且安全帽应在有效期内。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EE515F">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没使用劳务用具、或没正确使用劳务安全用具均属于以上范畴</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6A1E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E1DDE">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C822C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1500</w:t>
            </w:r>
          </w:p>
        </w:tc>
      </w:tr>
      <w:tr w14:paraId="3EBC35B5">
        <w:tblPrEx>
          <w:tblCellMar>
            <w:top w:w="0" w:type="dxa"/>
            <w:left w:w="108" w:type="dxa"/>
            <w:bottom w:w="0" w:type="dxa"/>
            <w:right w:w="108" w:type="dxa"/>
          </w:tblCellMar>
        </w:tblPrEx>
        <w:trPr>
          <w:trHeight w:val="122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BBE606">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0315D">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每日交底</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6A9A9">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每天施工前应在当天上报站班会，由专职安全员/项目经理对班组进行每日交底。</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69148A">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发现当日擅自施工的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F7E7F">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07260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2418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1500</w:t>
            </w:r>
          </w:p>
        </w:tc>
      </w:tr>
      <w:tr w14:paraId="1B97ED65">
        <w:tblPrEx>
          <w:tblCellMar>
            <w:top w:w="0" w:type="dxa"/>
            <w:left w:w="108" w:type="dxa"/>
            <w:bottom w:w="0" w:type="dxa"/>
            <w:right w:w="108" w:type="dxa"/>
          </w:tblCellMar>
        </w:tblPrEx>
        <w:trPr>
          <w:trHeight w:val="106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7C2395">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33A3C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文明施工</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5B67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遵守施工现场管理要求，做到安全警示标志齐全、安全防护措施有效、施工材料定置摆放、现场道路过道畅通无阻。</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026878">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不符合上述规定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E147B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AD2B4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29A6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564E5F2C">
        <w:tblPrEx>
          <w:tblCellMar>
            <w:top w:w="0" w:type="dxa"/>
            <w:left w:w="108" w:type="dxa"/>
            <w:bottom w:w="0" w:type="dxa"/>
            <w:right w:w="108" w:type="dxa"/>
          </w:tblCellMar>
        </w:tblPrEx>
        <w:trPr>
          <w:trHeight w:val="100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C8258">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B783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安全隐患限时整改</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6FDE0E">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规定的期限内，按照业主项目部及监理单位下发的安全隐患整改通知单限时进行隐患原因分析及整改。</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40A2D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限时约定时间按通知单约定，若超过约定整改时间者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3113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9F6A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98E2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5608DCAC">
        <w:tblPrEx>
          <w:tblCellMar>
            <w:top w:w="0" w:type="dxa"/>
            <w:left w:w="108" w:type="dxa"/>
            <w:bottom w:w="0" w:type="dxa"/>
            <w:right w:w="108" w:type="dxa"/>
          </w:tblCellMar>
        </w:tblPrEx>
        <w:trPr>
          <w:trHeight w:val="144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A6C8FE">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3CC17">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电源箱</w:t>
            </w:r>
            <w:r>
              <w:rPr>
                <w:rFonts w:hint="eastAsia" w:ascii="仿宋_GB2312" w:hAnsi="仿宋_GB2312" w:eastAsia="仿宋_GB2312" w:cs="仿宋_GB2312"/>
                <w:color w:val="auto"/>
                <w:kern w:val="0"/>
                <w:sz w:val="20"/>
                <w:szCs w:val="20"/>
                <w:highlight w:val="none"/>
                <w:lang w:val="en-US" w:eastAsia="zh-CN" w:bidi="ar-SA"/>
              </w:rPr>
              <w:t>/临时用电</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0A09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电源箱、柜、板符合作业环境要求，编号、识别标记齐全醒目，箱、柜、板内外整洁、完好，无杂物、无积水，有足够的操作空间，符合安全规程要求，箱、柜、门完好，开关外壳、消弧罩齐全，引入、引出电缆孔洞封堵严密，室外电源箱防雨设施良好。</w:t>
            </w:r>
            <w:r>
              <w:rPr>
                <w:rFonts w:hint="eastAsia" w:ascii="仿宋_GB2312" w:hAnsi="仿宋_GB2312" w:eastAsia="仿宋_GB2312" w:cs="仿宋_GB2312"/>
                <w:color w:val="auto"/>
                <w:kern w:val="0"/>
                <w:sz w:val="20"/>
                <w:szCs w:val="20"/>
                <w:highlight w:val="none"/>
                <w:lang w:bidi="ar-SA"/>
              </w:rPr>
              <w:br w:type="textWrapping"/>
            </w:r>
            <w:r>
              <w:rPr>
                <w:rFonts w:hint="eastAsia" w:ascii="仿宋_GB2312" w:hAnsi="仿宋_GB2312" w:eastAsia="仿宋_GB2312" w:cs="仿宋_GB2312"/>
                <w:color w:val="auto"/>
                <w:kern w:val="0"/>
                <w:sz w:val="20"/>
                <w:szCs w:val="20"/>
                <w:highlight w:val="none"/>
                <w:lang w:bidi="ar-SA"/>
              </w:rPr>
              <w:t>导线敷设符合规定，内部器件安装及配线工艺符合安全要求，漏电保护装置配置合理、动作可靠，各路配线负荷标志清晰，熔丝（片）容量符合规程要求，无铜丝、铝线等其他物质代替熔丝现象。</w:t>
            </w:r>
            <w:r>
              <w:rPr>
                <w:rFonts w:hint="eastAsia" w:ascii="仿宋_GB2312" w:hAnsi="仿宋_GB2312" w:eastAsia="仿宋_GB2312" w:cs="仿宋_GB2312"/>
                <w:color w:val="auto"/>
                <w:kern w:val="0"/>
                <w:sz w:val="20"/>
                <w:szCs w:val="20"/>
                <w:highlight w:val="none"/>
                <w:lang w:bidi="ar-SA"/>
              </w:rPr>
              <w:br w:type="textWrapping"/>
            </w:r>
            <w:r>
              <w:rPr>
                <w:rFonts w:hint="eastAsia" w:ascii="仿宋_GB2312" w:hAnsi="仿宋_GB2312" w:eastAsia="仿宋_GB2312" w:cs="仿宋_GB2312"/>
                <w:color w:val="auto"/>
                <w:kern w:val="0"/>
                <w:sz w:val="20"/>
                <w:szCs w:val="20"/>
                <w:highlight w:val="none"/>
                <w:lang w:bidi="ar-SA"/>
              </w:rPr>
              <w:t>保护接地、接零系统连接正确、牢固可靠，符合安全要求，插座相线、中性线布置符合规定，接线端子标志清楚，保护装置齐全，与负荷匹配合理，外露带电部分屏护完好。</w:t>
            </w:r>
            <w:r>
              <w:rPr>
                <w:rFonts w:hint="eastAsia" w:ascii="仿宋_GB2312" w:hAnsi="仿宋_GB2312" w:eastAsia="仿宋_GB2312" w:cs="仿宋_GB2312"/>
                <w:color w:val="auto"/>
                <w:kern w:val="0"/>
                <w:sz w:val="20"/>
                <w:szCs w:val="20"/>
                <w:highlight w:val="none"/>
                <w:lang w:bidi="ar-SA"/>
              </w:rPr>
              <w:br w:type="textWrapping"/>
            </w:r>
            <w:r>
              <w:rPr>
                <w:rFonts w:hint="eastAsia" w:ascii="仿宋_GB2312" w:hAnsi="仿宋_GB2312" w:eastAsia="仿宋_GB2312" w:cs="仿宋_GB2312"/>
                <w:color w:val="auto"/>
                <w:kern w:val="0"/>
                <w:sz w:val="20"/>
                <w:szCs w:val="20"/>
                <w:highlight w:val="none"/>
                <w:lang w:bidi="ar-SA"/>
              </w:rPr>
              <w:t>临时用电接线应经过允许，使用绝缘良好、并与负荷匹配的护套软管，敷设符合安全要求，装有总开关控制和漏电保护装置，每分路应装设与负荷匹配的熔断器，临时用电设备接地可靠，严禁在有爆炸和火灾危险场所设临时线路，不得在刀闸或开关上口使用插头、开关。</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5358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不符合上述规定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4BAC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E2EFF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5AC5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17566BBD">
        <w:tblPrEx>
          <w:tblCellMar>
            <w:top w:w="0" w:type="dxa"/>
            <w:left w:w="108" w:type="dxa"/>
            <w:bottom w:w="0" w:type="dxa"/>
            <w:right w:w="108" w:type="dxa"/>
          </w:tblCellMar>
        </w:tblPrEx>
        <w:trPr>
          <w:trHeight w:val="144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0ABE6C">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54D888">
            <w:pPr>
              <w:widowControl/>
              <w:jc w:val="center"/>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电源箱</w:t>
            </w:r>
            <w:r>
              <w:rPr>
                <w:rFonts w:hint="eastAsia" w:ascii="仿宋_GB2312" w:hAnsi="仿宋_GB2312" w:eastAsia="仿宋_GB2312" w:cs="仿宋_GB2312"/>
                <w:color w:val="auto"/>
                <w:kern w:val="0"/>
                <w:sz w:val="20"/>
                <w:szCs w:val="20"/>
                <w:highlight w:val="none"/>
                <w:lang w:val="en-US" w:eastAsia="zh-CN" w:bidi="ar-SA"/>
              </w:rPr>
              <w:t>/临时用电</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95DBD">
            <w:pPr>
              <w:widowControl/>
              <w:jc w:val="left"/>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val="en-US" w:eastAsia="zh-CN" w:bidi="ar-SA"/>
              </w:rPr>
              <w:t>临时用电的</w:t>
            </w:r>
            <w:r>
              <w:rPr>
                <w:rFonts w:hint="eastAsia" w:ascii="仿宋_GB2312" w:hAnsi="仿宋_GB2312" w:eastAsia="仿宋_GB2312" w:cs="仿宋_GB2312"/>
                <w:color w:val="auto"/>
                <w:kern w:val="0"/>
                <w:sz w:val="20"/>
                <w:szCs w:val="20"/>
                <w:highlight w:val="none"/>
                <w:lang w:bidi="ar-SA"/>
              </w:rPr>
              <w:t>电源箱设置不符合“一机、一闸、一保护”要求，临时电源箱无漏电保护装置或漏电装置损坏，或插头、插座、电源箱破损明显，或使用铁线、铜线等代替保险丝。</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D453D">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存在上述违规的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76E74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B440F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22857A">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00332EAC">
        <w:tblPrEx>
          <w:tblCellMar>
            <w:top w:w="0" w:type="dxa"/>
            <w:left w:w="108" w:type="dxa"/>
            <w:bottom w:w="0" w:type="dxa"/>
            <w:right w:w="108" w:type="dxa"/>
          </w:tblCellMar>
        </w:tblPrEx>
        <w:trPr>
          <w:trHeight w:val="144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81267E">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4AF19">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安全管理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33914">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项目开工后，施工方应委派专职安全员对项目现场施工作业进行旁站管理，特种作业/危大作业/吊装作业/动火作业必须有效旁站。</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FC03DB">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专职安全员/项目经理未到现场旁站的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54E3AA">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282021">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B6E09">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6F65393D">
        <w:tblPrEx>
          <w:tblCellMar>
            <w:top w:w="0" w:type="dxa"/>
            <w:left w:w="108" w:type="dxa"/>
            <w:bottom w:w="0" w:type="dxa"/>
            <w:right w:w="108" w:type="dxa"/>
          </w:tblCellMar>
        </w:tblPrEx>
        <w:trPr>
          <w:trHeight w:val="218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731ABA">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67A53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电焊作业</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0E965">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电焊机使用管理、检查试验制度完善，检查维护责任落实，编号统一、清晰。</w:t>
            </w:r>
            <w:r>
              <w:rPr>
                <w:rFonts w:hint="eastAsia" w:ascii="仿宋_GB2312" w:hAnsi="仿宋_GB2312" w:eastAsia="仿宋_GB2312" w:cs="仿宋_GB2312"/>
                <w:color w:val="auto"/>
                <w:kern w:val="0"/>
                <w:sz w:val="20"/>
                <w:szCs w:val="20"/>
                <w:highlight w:val="none"/>
                <w:lang w:bidi="ar-SA"/>
              </w:rPr>
              <w:br w:type="textWrapping"/>
            </w:r>
            <w:r>
              <w:rPr>
                <w:rFonts w:hint="eastAsia" w:ascii="仿宋_GB2312" w:hAnsi="仿宋_GB2312" w:eastAsia="仿宋_GB2312" w:cs="仿宋_GB2312"/>
                <w:color w:val="auto"/>
                <w:kern w:val="0"/>
                <w:sz w:val="20"/>
                <w:szCs w:val="20"/>
                <w:highlight w:val="none"/>
                <w:lang w:bidi="ar-SA"/>
              </w:rPr>
              <w:t>电焊机性能良好，符合安全要求，接线端子屏蔽罩齐全，电焊机接线规范，电源线、焊接电缆与焊机连接处有可靠屏护。金属外壳有可靠的接地（零），一、二次绕组及绕组与外壳间绝缘良好，一次线长度不超过2-3米，且不得拖地或跨越通道使用。二次线接头不超过三个，连接良好。焊钳夹紧力好，绝缘可靠，隔热层完好。</w:t>
            </w:r>
            <w:r>
              <w:rPr>
                <w:rFonts w:hint="eastAsia" w:ascii="仿宋_GB2312" w:hAnsi="仿宋_GB2312" w:eastAsia="仿宋_GB2312" w:cs="仿宋_GB2312"/>
                <w:color w:val="auto"/>
                <w:kern w:val="0"/>
                <w:sz w:val="20"/>
                <w:szCs w:val="20"/>
                <w:highlight w:val="none"/>
                <w:lang w:bidi="ar-SA"/>
              </w:rPr>
              <w:br w:type="textWrapping"/>
            </w:r>
            <w:r>
              <w:rPr>
                <w:rFonts w:hint="eastAsia" w:ascii="仿宋_GB2312" w:hAnsi="仿宋_GB2312" w:eastAsia="仿宋_GB2312" w:cs="仿宋_GB2312"/>
                <w:color w:val="auto"/>
                <w:kern w:val="0"/>
                <w:sz w:val="20"/>
                <w:szCs w:val="20"/>
                <w:highlight w:val="none"/>
                <w:lang w:bidi="ar-SA"/>
              </w:rPr>
              <w:t>焊接作业应使用动火工作票，现场的防火措施足够，作业人员应持证上岗，按规定正确佩戴个人防护用品。在有限空间作业必须设有防止金属熔渣飞溅、掉落引起火灾的措施以及防止烫伤、触电、爆炸等措施。</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62AC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不符合上述规定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080A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FE4F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12E9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48D54A85">
        <w:tblPrEx>
          <w:tblCellMar>
            <w:top w:w="0" w:type="dxa"/>
            <w:left w:w="108" w:type="dxa"/>
            <w:bottom w:w="0" w:type="dxa"/>
            <w:right w:w="108" w:type="dxa"/>
          </w:tblCellMar>
        </w:tblPrEx>
        <w:trPr>
          <w:trHeight w:val="218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24362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93CFD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电焊作业</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8F48C9">
            <w:pPr>
              <w:widowControl/>
              <w:jc w:val="left"/>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val="en-US" w:eastAsia="zh-CN" w:bidi="ar-SA"/>
              </w:rPr>
              <w:t>焊机</w:t>
            </w:r>
            <w:r>
              <w:rPr>
                <w:rFonts w:hint="eastAsia" w:ascii="仿宋_GB2312" w:hAnsi="仿宋_GB2312" w:eastAsia="仿宋_GB2312" w:cs="仿宋_GB2312"/>
                <w:color w:val="auto"/>
                <w:kern w:val="0"/>
                <w:sz w:val="20"/>
                <w:szCs w:val="20"/>
                <w:highlight w:val="none"/>
                <w:lang w:bidi="ar-SA"/>
              </w:rPr>
              <w:t>外壳未接地或接地不规范、无锁、无警示标志等。现场使用的施工机具等应接地未接地或接地不规范。</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574FF1">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存在上述违规的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C2B76D">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F720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E0F350">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5520A89A">
        <w:tblPrEx>
          <w:tblCellMar>
            <w:top w:w="0" w:type="dxa"/>
            <w:left w:w="108" w:type="dxa"/>
            <w:bottom w:w="0" w:type="dxa"/>
            <w:right w:w="108" w:type="dxa"/>
          </w:tblCellMar>
        </w:tblPrEx>
        <w:trPr>
          <w:trHeight w:val="455" w:hRule="atLeast"/>
        </w:trPr>
        <w:tc>
          <w:tcPr>
            <w:tcW w:w="81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4E9FA5A9">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三</w:t>
            </w:r>
          </w:p>
        </w:tc>
        <w:tc>
          <w:tcPr>
            <w:tcW w:w="5385"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09C8182A">
            <w:pPr>
              <w:widowControl/>
              <w:jc w:val="left"/>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工程质量管理</w:t>
            </w:r>
          </w:p>
        </w:tc>
        <w:tc>
          <w:tcPr>
            <w:tcW w:w="3741"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7F77E6B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单位：元/次</w:t>
            </w:r>
          </w:p>
        </w:tc>
      </w:tr>
      <w:tr w14:paraId="28805B60">
        <w:tblPrEx>
          <w:tblCellMar>
            <w:top w:w="0" w:type="dxa"/>
            <w:left w:w="108" w:type="dxa"/>
            <w:bottom w:w="0" w:type="dxa"/>
            <w:right w:w="108" w:type="dxa"/>
          </w:tblCellMar>
        </w:tblPrEx>
        <w:trPr>
          <w:trHeight w:val="82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BBE3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E3979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材料/设备报验</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8AAD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材料/设备应在进场前通知监理单位/建设单位验收，未经检验的材料/设备不得使用，检验不合格的材料/设备及时退场</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441DEA">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不符合上述规定的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1F180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70FE4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C88CE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525D6A5">
        <w:tblPrEx>
          <w:tblCellMar>
            <w:top w:w="0" w:type="dxa"/>
            <w:left w:w="108" w:type="dxa"/>
            <w:bottom w:w="0" w:type="dxa"/>
            <w:right w:w="108" w:type="dxa"/>
          </w:tblCellMar>
        </w:tblPrEx>
        <w:trPr>
          <w:trHeight w:val="92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D3990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BACD6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材料/设备检验验收</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A5D66">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工程施工中没有使用国家、地方和行业以及公司明令禁止和限制使用的建筑材料及施工工艺，及不符合国家标准的；且不符合合同或招标文件约定的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CFCE7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优先顺序：设计图纸（已盖章）、行业标准、国家标准</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D266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FABA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DAF7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93BDF06">
        <w:tblPrEx>
          <w:tblCellMar>
            <w:top w:w="0" w:type="dxa"/>
            <w:left w:w="108" w:type="dxa"/>
            <w:bottom w:w="0" w:type="dxa"/>
            <w:right w:w="108" w:type="dxa"/>
          </w:tblCellMar>
        </w:tblPrEx>
        <w:trPr>
          <w:trHeight w:val="142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8C58E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16F61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隐蔽工程验收</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B2E9A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隐蔽工程自检合格后，承包单位在 48 小时前书面通知监理工程师参加隐蔽工程的检查，承包人准备记录表格验收合格监理工程师在验收记录上签字后，承包单位可进行隐蔽和继续施工。验收不合格。承包人在监理工程师限定的时间内整改后重新验收。</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CE93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未按上述规定执行者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F2B271">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73C32">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E2D8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0529786D">
        <w:tblPrEx>
          <w:tblCellMar>
            <w:top w:w="0" w:type="dxa"/>
            <w:left w:w="108" w:type="dxa"/>
            <w:bottom w:w="0" w:type="dxa"/>
            <w:right w:w="108" w:type="dxa"/>
          </w:tblCellMar>
        </w:tblPrEx>
        <w:trPr>
          <w:trHeight w:val="1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148E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1BF6B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质量缺陷管理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52B62">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对施工存在的质量缺陷，认真整改并及时回复整改意见。</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58E96">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48小时内回复整改意见；并在通知单约定时间内限时整改，不符合上述规定者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AC1C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A1D27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5F260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477C36EE">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A125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CDC7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资料与进度同步</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1D5BC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工程质保资料、验评记录及签证记录内容真实、数据准确，能与工程保持同步。</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5CF3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不符合上述规定</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F05E4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57429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469A3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60084A65">
        <w:tblPrEx>
          <w:tblCellMar>
            <w:top w:w="0" w:type="dxa"/>
            <w:left w:w="108" w:type="dxa"/>
            <w:bottom w:w="0" w:type="dxa"/>
            <w:right w:w="108" w:type="dxa"/>
          </w:tblCellMar>
        </w:tblPrEx>
        <w:trPr>
          <w:trHeight w:val="147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1502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ACA2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材料/设备进场检验</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5FB87A">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工程施工中没有使用国家、地方和行业以及公司明令禁止和限制使用的建筑材料及施工工艺，及不符合国家标准的；且不符合合同或招标文件约定的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A9B76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优先顺序：设计图纸（已盖章）、行业标准、国家标准</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590D0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15980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3E9BA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6BEE9472">
        <w:tblPrEx>
          <w:tblCellMar>
            <w:top w:w="0" w:type="dxa"/>
            <w:left w:w="108" w:type="dxa"/>
            <w:bottom w:w="0" w:type="dxa"/>
            <w:right w:w="108" w:type="dxa"/>
          </w:tblCellMar>
        </w:tblPrEx>
        <w:trPr>
          <w:trHeight w:val="485" w:hRule="atLeast"/>
        </w:trPr>
        <w:tc>
          <w:tcPr>
            <w:tcW w:w="81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787555EE">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四</w:t>
            </w:r>
          </w:p>
        </w:tc>
        <w:tc>
          <w:tcPr>
            <w:tcW w:w="5385"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342E3AA0">
            <w:pPr>
              <w:widowControl/>
              <w:jc w:val="left"/>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工程综合管理</w:t>
            </w:r>
          </w:p>
        </w:tc>
        <w:tc>
          <w:tcPr>
            <w:tcW w:w="3741"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4652B79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单位：元/次</w:t>
            </w:r>
          </w:p>
        </w:tc>
      </w:tr>
      <w:tr w14:paraId="28AADBDC">
        <w:tblPrEx>
          <w:tblCellMar>
            <w:top w:w="0" w:type="dxa"/>
            <w:left w:w="108" w:type="dxa"/>
            <w:bottom w:w="0" w:type="dxa"/>
            <w:right w:w="108" w:type="dxa"/>
          </w:tblCellMar>
        </w:tblPrEx>
        <w:trPr>
          <w:trHeight w:val="147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EAB75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99B36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业主单位/客户/监管部门投诉</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7B6D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总承包单位在实施过程中，因施工单位原因：不限于安全、质量、进度问题。业主单位/客户/监管部门投诉至新锋光伏总经理的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9D95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2E980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01741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616A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0A48E172">
        <w:tblPrEx>
          <w:tblCellMar>
            <w:top w:w="0" w:type="dxa"/>
            <w:left w:w="108" w:type="dxa"/>
            <w:bottom w:w="0" w:type="dxa"/>
            <w:right w:w="108" w:type="dxa"/>
          </w:tblCellMar>
        </w:tblPrEx>
        <w:trPr>
          <w:trHeight w:val="147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C066D7">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0C5EA">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进度工作汇报</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2CDF0F">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项目开始实施到竣工验收，施工单位需每天向甲方负责人书面汇报工程进度；每周三汇报项目周进度（项目一张图）</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F3FB34">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未如期汇报者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75F7C">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90C9EA">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C2D3D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55584DB">
        <w:tblPrEx>
          <w:tblCellMar>
            <w:top w:w="0" w:type="dxa"/>
            <w:left w:w="108" w:type="dxa"/>
            <w:bottom w:w="0" w:type="dxa"/>
            <w:right w:w="108" w:type="dxa"/>
          </w:tblCellMar>
        </w:tblPrEx>
        <w:trPr>
          <w:trHeight w:val="583"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1356B">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2F78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工完料尽场地清</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9A2E81">
            <w:pPr>
              <w:widowControl/>
              <w:jc w:val="left"/>
              <w:textAlignment w:val="center"/>
              <w:rPr>
                <w:rFonts w:hint="eastAsia" w:ascii="仿宋_GB2312" w:hAnsi="仿宋_GB2312" w:eastAsia="仿宋_GB2312" w:cs="仿宋_GB2312"/>
                <w:color w:val="auto"/>
                <w:sz w:val="20"/>
                <w:szCs w:val="20"/>
                <w:highlight w:val="none"/>
                <w:lang w:val="en-US"/>
              </w:rPr>
            </w:pPr>
            <w:r>
              <w:rPr>
                <w:rFonts w:hint="eastAsia" w:ascii="仿宋_GB2312" w:hAnsi="仿宋_GB2312" w:eastAsia="仿宋_GB2312" w:cs="仿宋_GB2312"/>
                <w:color w:val="auto"/>
                <w:kern w:val="0"/>
                <w:sz w:val="20"/>
                <w:szCs w:val="20"/>
                <w:highlight w:val="none"/>
                <w:lang w:bidi="ar-SA"/>
              </w:rPr>
              <w:t>施工现场工完</w:t>
            </w:r>
            <w:r>
              <w:rPr>
                <w:rFonts w:hint="eastAsia" w:ascii="仿宋_GB2312" w:hAnsi="仿宋_GB2312" w:eastAsia="仿宋_GB2312" w:cs="仿宋_GB2312"/>
                <w:color w:val="auto"/>
                <w:kern w:val="0"/>
                <w:sz w:val="20"/>
                <w:szCs w:val="20"/>
                <w:highlight w:val="none"/>
                <w:lang w:val="en-US" w:eastAsia="zh-CN" w:bidi="ar-SA"/>
              </w:rPr>
              <w:t>后15天内做到工完料清。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5B838">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未按上述规定执行者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45727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91BCF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B5B1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70418CED">
        <w:tblPrEx>
          <w:tblCellMar>
            <w:top w:w="0" w:type="dxa"/>
            <w:left w:w="108" w:type="dxa"/>
            <w:bottom w:w="0" w:type="dxa"/>
            <w:right w:w="108" w:type="dxa"/>
          </w:tblCellMar>
        </w:tblPrEx>
        <w:trPr>
          <w:trHeight w:val="1093"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B62BC">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sz w:val="20"/>
                <w:szCs w:val="20"/>
                <w:highlight w:val="none"/>
                <w:lang w:val="en-US" w:eastAsia="zh-CN"/>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FAD5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sz w:val="20"/>
                <w:szCs w:val="20"/>
                <w:highlight w:val="none"/>
              </w:rPr>
              <w:t>施工进度滞后</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8784E">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sz w:val="20"/>
                <w:szCs w:val="20"/>
                <w:highlight w:val="none"/>
              </w:rPr>
              <w:t>项目开工后，工程进度滞后超过5天（自然日），且未经甲方项目负责人书面同意延期的。（不可抗力因素除外）</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7D36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sz w:val="20"/>
                <w:szCs w:val="20"/>
                <w:highlight w:val="none"/>
              </w:rPr>
              <w:t>实际工期与计划工程不符者、工期滞后者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BFBCD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3852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E755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罚款8000</w:t>
            </w:r>
          </w:p>
        </w:tc>
      </w:tr>
      <w:tr w14:paraId="53CC3249">
        <w:tblPrEx>
          <w:tblCellMar>
            <w:top w:w="0" w:type="dxa"/>
            <w:left w:w="108" w:type="dxa"/>
            <w:bottom w:w="0" w:type="dxa"/>
            <w:right w:w="108" w:type="dxa"/>
          </w:tblCellMar>
        </w:tblPrEx>
        <w:trPr>
          <w:trHeight w:val="95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BFAB7">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DFBC3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施工道路及场地保护</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ECDEE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施工道路修筑、维护确保不造成水土流失、破坏周围植被。</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164679">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未按上述规定执行者</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79309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F4AD3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3984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0FCFC4F6">
        <w:tblPrEx>
          <w:tblCellMar>
            <w:top w:w="0" w:type="dxa"/>
            <w:left w:w="108" w:type="dxa"/>
            <w:bottom w:w="0" w:type="dxa"/>
            <w:right w:w="108" w:type="dxa"/>
          </w:tblCellMar>
        </w:tblPrEx>
        <w:trPr>
          <w:trHeight w:val="170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8D8DE">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FB53E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监管部门罚单</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EAA75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因施工单位原因，受监管部门开罚单及被扣分者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434680">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E0A51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罚款金额为监管部门开出罚单金额的两倍</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0820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罚款金额为监管部门开出罚单金额的两倍</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EF5F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罚款金额为监管部门开出罚单金额的两倍，且该分包商年度综合评定为：不合格</w:t>
            </w:r>
          </w:p>
        </w:tc>
      </w:tr>
      <w:tr w14:paraId="585FE8CD">
        <w:tblPrEx>
          <w:tblCellMar>
            <w:top w:w="0" w:type="dxa"/>
            <w:left w:w="108" w:type="dxa"/>
            <w:bottom w:w="0" w:type="dxa"/>
            <w:right w:w="108" w:type="dxa"/>
          </w:tblCellMar>
        </w:tblPrEx>
        <w:trPr>
          <w:trHeight w:val="390" w:hRule="atLeast"/>
        </w:trPr>
        <w:tc>
          <w:tcPr>
            <w:tcW w:w="81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1AC2CB52">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五</w:t>
            </w:r>
          </w:p>
        </w:tc>
        <w:tc>
          <w:tcPr>
            <w:tcW w:w="5385"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39316468">
            <w:pPr>
              <w:widowControl/>
              <w:jc w:val="left"/>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起重吊装作业</w:t>
            </w:r>
          </w:p>
        </w:tc>
        <w:tc>
          <w:tcPr>
            <w:tcW w:w="3741"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19DCB39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单位：元/次</w:t>
            </w:r>
          </w:p>
        </w:tc>
      </w:tr>
      <w:tr w14:paraId="5EF1A174">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2479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745E64">
            <w:pPr>
              <w:jc w:val="center"/>
              <w:rPr>
                <w:rFonts w:hint="eastAsia" w:ascii="仿宋_GB2312" w:hAnsi="仿宋_GB2312" w:eastAsia="仿宋_GB2312" w:cs="仿宋_GB2312"/>
                <w:color w:val="auto"/>
                <w:sz w:val="20"/>
                <w:szCs w:val="20"/>
                <w:highlight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811E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起重机的安全保护装置不完好</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7AD3D4">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4FFD3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9451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5F39C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39AF0F47">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CF162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6F8957">
            <w:pPr>
              <w:jc w:val="center"/>
              <w:rPr>
                <w:rFonts w:hint="eastAsia" w:ascii="仿宋_GB2312" w:hAnsi="仿宋_GB2312" w:eastAsia="仿宋_GB2312" w:cs="仿宋_GB2312"/>
                <w:color w:val="auto"/>
                <w:sz w:val="20"/>
                <w:szCs w:val="20"/>
                <w:highlight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D22EB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使用未经许可或未经注册的吊装装置</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5A196">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9ECF9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2C778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BD218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1368F0E">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BE6C3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77335">
            <w:pPr>
              <w:jc w:val="center"/>
              <w:rPr>
                <w:rFonts w:hint="eastAsia" w:ascii="仿宋_GB2312" w:hAnsi="仿宋_GB2312" w:eastAsia="仿宋_GB2312" w:cs="仿宋_GB2312"/>
                <w:color w:val="auto"/>
                <w:sz w:val="20"/>
                <w:szCs w:val="20"/>
                <w:highlight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C41A3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使用未经检查合格的索具</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A1F45">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7CBF8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F26BC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31FF6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4587A18F">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51C0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E40A2">
            <w:pPr>
              <w:jc w:val="center"/>
              <w:rPr>
                <w:rFonts w:hint="eastAsia" w:ascii="仿宋_GB2312" w:hAnsi="仿宋_GB2312" w:eastAsia="仿宋_GB2312" w:cs="仿宋_GB2312"/>
                <w:color w:val="auto"/>
                <w:sz w:val="20"/>
                <w:szCs w:val="20"/>
                <w:highlight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65837E">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非起重工进行起重操作和指挥</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C144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82E02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5D6DC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43555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61C18C8A">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601A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1590AB">
            <w:pPr>
              <w:jc w:val="center"/>
              <w:rPr>
                <w:rFonts w:hint="eastAsia" w:ascii="仿宋_GB2312" w:hAnsi="仿宋_GB2312" w:eastAsia="仿宋_GB2312" w:cs="仿宋_GB2312"/>
                <w:color w:val="auto"/>
                <w:sz w:val="20"/>
                <w:szCs w:val="20"/>
                <w:highlight w:val="none"/>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A7E4A">
            <w:pPr>
              <w:widowControl/>
              <w:jc w:val="left"/>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吊装区域未进行隔离及无人监护</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未对吊装范围进行围蔽，未设置警示标志即起吊的。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0EC06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289D4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89507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BABD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07F0E425">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E7409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59E327">
            <w:pPr>
              <w:jc w:val="center"/>
              <w:rPr>
                <w:rFonts w:hint="eastAsia" w:ascii="仿宋_GB2312" w:hAnsi="仿宋_GB2312" w:eastAsia="仿宋_GB2312" w:cs="仿宋_GB2312"/>
                <w:color w:val="auto"/>
                <w:kern w:val="2"/>
                <w:sz w:val="20"/>
                <w:szCs w:val="20"/>
                <w:highlight w:val="none"/>
                <w:lang w:val="en-US" w:eastAsia="zh-CN" w:bidi="ar-SA"/>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1105A">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吊车起吊时，被吊物品正下方有人的违规作业，不限于行人、施工人员、管理人员等</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072342">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存在上述违规的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52F51">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B0D518">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B3C1BB">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4BD761E3">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F93B2F">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A0BB4">
            <w:pPr>
              <w:jc w:val="center"/>
              <w:rPr>
                <w:rFonts w:hint="eastAsia" w:ascii="仿宋_GB2312" w:hAnsi="仿宋_GB2312" w:eastAsia="仿宋_GB2312" w:cs="仿宋_GB2312"/>
                <w:color w:val="auto"/>
                <w:kern w:val="2"/>
                <w:sz w:val="20"/>
                <w:szCs w:val="20"/>
                <w:highlight w:val="none"/>
                <w:lang w:val="en-US" w:eastAsia="zh-CN" w:bidi="ar-SA"/>
              </w:rPr>
            </w:pP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A8312">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吊装前应编制专项吊装方案/吊装许可，并提前24小时上报吊装计划。</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CFD0DA">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擅自吊装的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8535C">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01189">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9C6D8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10E01C05">
        <w:tblPrEx>
          <w:tblCellMar>
            <w:top w:w="0" w:type="dxa"/>
            <w:left w:w="108" w:type="dxa"/>
            <w:bottom w:w="0" w:type="dxa"/>
            <w:right w:w="108" w:type="dxa"/>
          </w:tblCellMar>
        </w:tblPrEx>
        <w:trPr>
          <w:trHeight w:val="399" w:hRule="atLeast"/>
        </w:trPr>
        <w:tc>
          <w:tcPr>
            <w:tcW w:w="81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75F68891">
            <w:pPr>
              <w:widowControl/>
              <w:jc w:val="center"/>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六</w:t>
            </w:r>
          </w:p>
        </w:tc>
        <w:tc>
          <w:tcPr>
            <w:tcW w:w="5385"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2E6DEACE">
            <w:pPr>
              <w:widowControl/>
              <w:jc w:val="left"/>
              <w:textAlignment w:val="center"/>
              <w:rPr>
                <w:rFonts w:hint="eastAsia" w:ascii="仿宋_GB2312" w:hAnsi="仿宋_GB2312" w:eastAsia="仿宋_GB2312" w:cs="仿宋_GB2312"/>
                <w:b/>
                <w:color w:val="auto"/>
                <w:sz w:val="20"/>
                <w:szCs w:val="20"/>
                <w:highlight w:val="none"/>
              </w:rPr>
            </w:pPr>
            <w:r>
              <w:rPr>
                <w:rFonts w:hint="eastAsia" w:ascii="仿宋_GB2312" w:hAnsi="仿宋_GB2312" w:eastAsia="仿宋_GB2312" w:cs="仿宋_GB2312"/>
                <w:b/>
                <w:color w:val="auto"/>
                <w:kern w:val="0"/>
                <w:sz w:val="20"/>
                <w:szCs w:val="20"/>
                <w:highlight w:val="none"/>
                <w:lang w:bidi="ar-SA"/>
              </w:rPr>
              <w:t>光伏专项管理</w:t>
            </w:r>
          </w:p>
        </w:tc>
        <w:tc>
          <w:tcPr>
            <w:tcW w:w="3741"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321C72B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单位：元/次</w:t>
            </w:r>
          </w:p>
        </w:tc>
      </w:tr>
      <w:tr w14:paraId="6C65BEA1">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5A14B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DC1CF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87D14">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施工人员在非指定区域吸烟、乱丢烟头的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D89B82">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48EB8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6D9E0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1D780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0AB2AEF1">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60EF0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9607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0F460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不按指定路线出入施工区域且不听劝阻者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DCDEE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A57E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140D3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4E5E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588BE44">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E85AD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8B3B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8D43A">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下班收工未将施工设备断电、气体钢瓶断气者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163D2">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1B3D7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29F9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9C5F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27FDF451">
        <w:tblPrEx>
          <w:tblCellMar>
            <w:top w:w="0" w:type="dxa"/>
            <w:left w:w="108" w:type="dxa"/>
            <w:bottom w:w="0" w:type="dxa"/>
            <w:right w:w="108" w:type="dxa"/>
          </w:tblCellMar>
        </w:tblPrEx>
        <w:trPr>
          <w:trHeight w:val="365"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B380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792BC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9B19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未经申请用电/不按规定接电/使用破损电缆/电线搭接延长者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D5B49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DCF14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7EDE9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A9CB6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1C934B11">
        <w:tblPrEx>
          <w:tblCellMar>
            <w:top w:w="0" w:type="dxa"/>
            <w:left w:w="108" w:type="dxa"/>
            <w:bottom w:w="0" w:type="dxa"/>
            <w:right w:w="108" w:type="dxa"/>
          </w:tblCellMar>
        </w:tblPrEx>
        <w:trPr>
          <w:trHeight w:val="9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CCA1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04CB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1DFD2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施工现场存在坑洞、高空坠落物、触电、滑倒等危险因素的场地,未设置醒目标识、护栏或围栏，经指正仍未整改的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E29705">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64B1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214E1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72E2B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621DAAFB">
        <w:tblPrEx>
          <w:tblCellMar>
            <w:top w:w="0" w:type="dxa"/>
            <w:left w:w="108" w:type="dxa"/>
            <w:bottom w:w="0" w:type="dxa"/>
            <w:right w:w="108" w:type="dxa"/>
          </w:tblCellMar>
        </w:tblPrEx>
        <w:trPr>
          <w:trHeight w:val="600"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A0B4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58DB7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A719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危险作业场所未设置警示标志(如禁止进入/注意头部等)及安全防护措施(如耐高压电或耐热手套等)者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A0C2FE">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E9FA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E01B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AE23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5786667">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6D7C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684F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FD88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违规采用头顶、肩扛等方式搬运组件、踩踏光伏组件者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4879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2F7A5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11D3E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9208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27858255">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5F33C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7A000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5874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屋顶作业违规抛掷支架、桥架、扁钢等施工材料者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8DDD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84F3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62054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E374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3466E4CC">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4D559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9</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2C4F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69534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出现焊接质量（主控项）问题</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C3E46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2B9A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BF5B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89763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9345C6E">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2A5D86">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1</w:t>
            </w:r>
            <w:r>
              <w:rPr>
                <w:rFonts w:hint="eastAsia" w:ascii="仿宋_GB2312" w:hAnsi="仿宋_GB2312" w:eastAsia="仿宋_GB2312" w:cs="仿宋_GB2312"/>
                <w:color w:val="auto"/>
                <w:kern w:val="0"/>
                <w:sz w:val="20"/>
                <w:szCs w:val="20"/>
                <w:highlight w:val="none"/>
                <w:lang w:val="en-US" w:eastAsia="zh-CN" w:bidi="ar-SA"/>
              </w:rPr>
              <w:t>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C364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9C00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出现混凝土墩缺角、破损开裂严重、不密实、养护不到位等质量问题</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6BDE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46E77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2900C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59602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1C4E0D90">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163FDB">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1</w:t>
            </w:r>
            <w:r>
              <w:rPr>
                <w:rFonts w:hint="eastAsia" w:ascii="仿宋_GB2312" w:hAnsi="仿宋_GB2312" w:eastAsia="仿宋_GB2312" w:cs="仿宋_GB2312"/>
                <w:color w:val="auto"/>
                <w:kern w:val="0"/>
                <w:sz w:val="20"/>
                <w:szCs w:val="20"/>
                <w:highlight w:val="none"/>
                <w:lang w:val="en-US" w:eastAsia="zh-CN" w:bidi="ar-SA"/>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9CA55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AB2D9">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出现楼板防水质量差、导致楼板漏水的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AB68BA">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A1A9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7954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BAEF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2FDA0B3E">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D42049">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1</w:t>
            </w:r>
            <w:r>
              <w:rPr>
                <w:rFonts w:hint="eastAsia" w:ascii="仿宋_GB2312" w:hAnsi="仿宋_GB2312" w:eastAsia="仿宋_GB2312" w:cs="仿宋_GB2312"/>
                <w:color w:val="auto"/>
                <w:kern w:val="0"/>
                <w:sz w:val="20"/>
                <w:szCs w:val="20"/>
                <w:highlight w:val="none"/>
                <w:lang w:val="en-US" w:eastAsia="zh-CN" w:bidi="ar-SA"/>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C5ED3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4F59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因施工不当，打穿楼板的，没做好成品保护的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E1AC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1C21D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78F21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124E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66D0B2D5">
        <w:tblPrEx>
          <w:tblCellMar>
            <w:top w:w="0" w:type="dxa"/>
            <w:left w:w="108" w:type="dxa"/>
            <w:bottom w:w="0" w:type="dxa"/>
            <w:right w:w="108" w:type="dxa"/>
          </w:tblCellMar>
        </w:tblPrEx>
        <w:trPr>
          <w:trHeight w:val="778"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D14F2B">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1</w:t>
            </w:r>
            <w:r>
              <w:rPr>
                <w:rFonts w:hint="eastAsia" w:ascii="仿宋_GB2312" w:hAnsi="仿宋_GB2312" w:eastAsia="仿宋_GB2312" w:cs="仿宋_GB2312"/>
                <w:color w:val="auto"/>
                <w:kern w:val="0"/>
                <w:sz w:val="20"/>
                <w:szCs w:val="20"/>
                <w:highlight w:val="none"/>
                <w:lang w:val="en-US" w:eastAsia="zh-CN" w:bidi="ar-SA"/>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6BAA7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9DA96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高压钢瓶未集中保管或直立未进行固定或任其横置滚动或管线阻碍走道者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D156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7943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36F1E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2803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97C0A9B">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6803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E9652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5C0E39">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使用氧气或乙炔进行切割时未加装逆止阀</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F2F30">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A784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C273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B38A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7032D31A">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B77C3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1CFDD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DAB3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在严禁动火区或在油漆施工中，以及其它危险区域吸烟或动火者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C4A0C4">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AB9E2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495D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89DC1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3469384F">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5D620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4608F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6647C">
            <w:pPr>
              <w:widowControl/>
              <w:jc w:val="left"/>
              <w:textAlignment w:val="center"/>
              <w:rPr>
                <w:rFonts w:hint="eastAsia" w:ascii="仿宋_GB2312" w:hAnsi="仿宋_GB2312" w:eastAsia="仿宋_GB2312" w:cs="仿宋_GB2312"/>
                <w:color w:val="auto"/>
                <w:sz w:val="20"/>
                <w:szCs w:val="20"/>
                <w:highlight w:val="none"/>
                <w:lang w:val="en-US"/>
              </w:rPr>
            </w:pPr>
            <w:r>
              <w:rPr>
                <w:rFonts w:hint="eastAsia" w:ascii="仿宋_GB2312" w:hAnsi="仿宋_GB2312" w:eastAsia="仿宋_GB2312" w:cs="仿宋_GB2312"/>
                <w:color w:val="auto"/>
                <w:kern w:val="0"/>
                <w:sz w:val="20"/>
                <w:szCs w:val="20"/>
                <w:highlight w:val="none"/>
                <w:lang w:bidi="ar-SA"/>
              </w:rPr>
              <w:t>施工现场</w:t>
            </w:r>
            <w:r>
              <w:rPr>
                <w:rFonts w:hint="eastAsia" w:ascii="仿宋_GB2312" w:hAnsi="仿宋_GB2312" w:eastAsia="仿宋_GB2312" w:cs="仿宋_GB2312"/>
                <w:color w:val="auto"/>
                <w:kern w:val="0"/>
                <w:sz w:val="20"/>
                <w:szCs w:val="20"/>
                <w:highlight w:val="none"/>
                <w:lang w:val="en-US" w:eastAsia="zh-CN" w:bidi="ar-SA"/>
              </w:rPr>
              <w:t>专职</w:t>
            </w:r>
            <w:r>
              <w:rPr>
                <w:rFonts w:hint="eastAsia" w:ascii="仿宋_GB2312" w:hAnsi="仿宋_GB2312" w:eastAsia="仿宋_GB2312" w:cs="仿宋_GB2312"/>
                <w:color w:val="auto"/>
                <w:kern w:val="0"/>
                <w:sz w:val="20"/>
                <w:szCs w:val="20"/>
                <w:highlight w:val="none"/>
                <w:lang w:bidi="ar-SA"/>
              </w:rPr>
              <w:t>安全管理人员或</w:t>
            </w:r>
            <w:r>
              <w:rPr>
                <w:rFonts w:hint="eastAsia" w:ascii="仿宋_GB2312" w:hAnsi="仿宋_GB2312" w:eastAsia="仿宋_GB2312" w:cs="仿宋_GB2312"/>
                <w:color w:val="auto"/>
                <w:kern w:val="0"/>
                <w:sz w:val="20"/>
                <w:szCs w:val="20"/>
                <w:highlight w:val="none"/>
                <w:lang w:val="en-US" w:eastAsia="zh-CN" w:bidi="ar-SA"/>
              </w:rPr>
              <w:t>项目经理未在现场旁站管理的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F335A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C73B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A3B9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49DB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5</w:t>
            </w:r>
            <w:r>
              <w:rPr>
                <w:rFonts w:hint="eastAsia" w:ascii="仿宋_GB2312" w:hAnsi="仿宋_GB2312" w:eastAsia="仿宋_GB2312" w:cs="仿宋_GB2312"/>
                <w:color w:val="auto"/>
                <w:kern w:val="0"/>
                <w:sz w:val="20"/>
                <w:szCs w:val="20"/>
                <w:highlight w:val="none"/>
                <w:lang w:bidi="ar-SA"/>
              </w:rPr>
              <w:t>000</w:t>
            </w:r>
          </w:p>
        </w:tc>
      </w:tr>
      <w:tr w14:paraId="1B5346F4">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95197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8D7FA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087A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施工人员不听劝阻等正常管理，而采取抵触、漫骂等行为</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B82FFA">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F2E10">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80C5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2302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35D3757A">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B961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B40A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8E2975">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吊车作业时，无信号指挥人员、安全管理人员在现场指挥、管理的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E89B7">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8E62A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29E4D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D7D5B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50B3A2B2">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F47E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19</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CC53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85FE8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未办理施工/危险作业审批手续，擅自施工</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75B8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C47B2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08095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D3BB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7FC4EC27">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A0FCCC">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2</w:t>
            </w:r>
            <w:r>
              <w:rPr>
                <w:rFonts w:hint="eastAsia" w:ascii="仿宋_GB2312" w:hAnsi="仿宋_GB2312" w:eastAsia="仿宋_GB2312" w:cs="仿宋_GB2312"/>
                <w:color w:val="auto"/>
                <w:kern w:val="0"/>
                <w:sz w:val="20"/>
                <w:szCs w:val="20"/>
                <w:highlight w:val="none"/>
                <w:lang w:val="en-US" w:eastAsia="zh-CN" w:bidi="ar-SA"/>
              </w:rPr>
              <w:t>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1AD98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3D04C2">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未通知相关负责人员，自行任意转动任一管路之阀类开关或电气开关者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7802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8A9D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B1A3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CE79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35481C29">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DEED0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FEA05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4578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擅自拆除或挪用或隔离机电设备/安全装置/消防设施/警告标志者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564266">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26FC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7077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1AF7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148DD5CF">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3106A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1108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58097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使用未依法注册登记的特种设备或特种设备未依法年检的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7A1AD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1988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F756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EB3FE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00A322D1">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4C44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8882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5D0D99">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施工单位未按法律规定用工的，（如施工人员未满16岁童工或女工从事高架作业等危险性、有害性工作）</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07DC9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C2AA1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48C3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66B78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5654AF08">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5B846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CEB8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FB8AE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不当施工或行为造成空气/土壤/水污染且未采取任何恢复措施者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3F18F9">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7CC4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7F49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EDD6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0511D3DD">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B59A7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25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BAD57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9C362">
            <w:pPr>
              <w:widowControl/>
              <w:jc w:val="left"/>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bidi="ar-SA"/>
              </w:rPr>
              <w:t>施工现场</w:t>
            </w:r>
            <w:r>
              <w:rPr>
                <w:rFonts w:hint="eastAsia" w:ascii="仿宋_GB2312" w:hAnsi="仿宋_GB2312" w:eastAsia="仿宋_GB2312" w:cs="仿宋_GB2312"/>
                <w:color w:val="auto"/>
                <w:kern w:val="0"/>
                <w:sz w:val="20"/>
                <w:szCs w:val="20"/>
                <w:highlight w:val="none"/>
                <w:lang w:bidi="ar-SA"/>
              </w:rPr>
              <w:t>高空作业未做安全防护措施的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0F700B">
            <w:pPr>
              <w:widowControl/>
              <w:jc w:val="left"/>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539D9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BFE28">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04C8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5EB2FA97">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463A2B">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2</w:t>
            </w: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0D3E7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631F37">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在高处作业地点的垂直下方及坠物可能落到的地方通行或逗留；高处作业人员随手上下抛掷工具、器具和材料。且施工方专职安全员/项目经理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A96E6F">
            <w:pPr>
              <w:widowControl/>
              <w:jc w:val="left"/>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1AC5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6DB27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ACD040">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罚款5000</w:t>
            </w:r>
          </w:p>
        </w:tc>
      </w:tr>
      <w:tr w14:paraId="53B297F6">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0A54DE">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bidi="ar-SA"/>
              </w:rPr>
              <w:t>2</w:t>
            </w:r>
            <w:r>
              <w:rPr>
                <w:rFonts w:hint="eastAsia" w:ascii="仿宋_GB2312" w:hAnsi="仿宋_GB2312" w:eastAsia="仿宋_GB2312" w:cs="仿宋_GB2312"/>
                <w:color w:val="auto"/>
                <w:kern w:val="0"/>
                <w:sz w:val="20"/>
                <w:szCs w:val="20"/>
                <w:highlight w:val="none"/>
                <w:lang w:val="en-US" w:eastAsia="zh-CN" w:bidi="ar-SA"/>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16EA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7759B7">
            <w:pPr>
              <w:widowControl/>
              <w:jc w:val="left"/>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bidi="ar-SA"/>
              </w:rPr>
              <w:t>施工现场</w:t>
            </w:r>
            <w:r>
              <w:rPr>
                <w:rFonts w:hint="eastAsia" w:ascii="仿宋_GB2312" w:hAnsi="仿宋_GB2312" w:eastAsia="仿宋_GB2312" w:cs="仿宋_GB2312"/>
                <w:color w:val="auto"/>
                <w:kern w:val="0"/>
                <w:sz w:val="20"/>
                <w:szCs w:val="20"/>
                <w:highlight w:val="none"/>
                <w:lang w:bidi="ar-SA"/>
              </w:rPr>
              <w:t>高空作业未做安全防护措施的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9C0A7">
            <w:pPr>
              <w:widowControl/>
              <w:jc w:val="left"/>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BCDEDB">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6CB5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BFEB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7A4B65A1">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26AFE">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2</w:t>
            </w:r>
            <w:r>
              <w:rPr>
                <w:rFonts w:hint="eastAsia" w:ascii="仿宋_GB2312" w:hAnsi="仿宋_GB2312" w:eastAsia="仿宋_GB2312" w:cs="仿宋_GB2312"/>
                <w:color w:val="auto"/>
                <w:kern w:val="0"/>
                <w:sz w:val="20"/>
                <w:szCs w:val="20"/>
                <w:highlight w:val="none"/>
                <w:lang w:val="en-US" w:eastAsia="zh-CN" w:bidi="ar-SA"/>
              </w:rPr>
              <w:t>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273F0">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328F4">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施工现场使用三点式安全带等不合格的高空作业安全用品的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5C360">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5F9F9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A864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9EEC49">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罚款5000</w:t>
            </w:r>
          </w:p>
        </w:tc>
      </w:tr>
      <w:tr w14:paraId="70FCC004">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8BDC3E">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2</w:t>
            </w:r>
            <w:r>
              <w:rPr>
                <w:rFonts w:hint="eastAsia" w:ascii="仿宋_GB2312" w:hAnsi="仿宋_GB2312" w:eastAsia="仿宋_GB2312" w:cs="仿宋_GB2312"/>
                <w:color w:val="auto"/>
                <w:kern w:val="0"/>
                <w:sz w:val="20"/>
                <w:szCs w:val="20"/>
                <w:highlight w:val="none"/>
                <w:lang w:val="en-US" w:eastAsia="zh-CN" w:bidi="ar-SA"/>
              </w:rPr>
              <w:t>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28F02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112F9E">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高空作业现场，施工爬梯不合格的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7234A">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A61DA">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FF59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49E17B">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罚款5000</w:t>
            </w:r>
          </w:p>
        </w:tc>
      </w:tr>
      <w:tr w14:paraId="7F022332">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965DF">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2</w:t>
            </w:r>
            <w:r>
              <w:rPr>
                <w:rFonts w:hint="eastAsia" w:ascii="仿宋_GB2312" w:hAnsi="仿宋_GB2312" w:eastAsia="仿宋_GB2312" w:cs="仿宋_GB2312"/>
                <w:color w:val="auto"/>
                <w:kern w:val="0"/>
                <w:sz w:val="20"/>
                <w:szCs w:val="20"/>
                <w:highlight w:val="none"/>
                <w:lang w:val="en-US" w:eastAsia="zh-CN" w:bidi="ar-SA"/>
              </w:rPr>
              <w:t>9</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117B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15002">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高空作业现场，施工人员上下≥2米的施工爬梯但无人扶梯的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3EABB4">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5989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9F088">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D99E1">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罚款5000</w:t>
            </w:r>
          </w:p>
        </w:tc>
      </w:tr>
      <w:tr w14:paraId="04BB0F34">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F11A1F">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F2949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076A3">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2"/>
                <w:sz w:val="20"/>
                <w:szCs w:val="20"/>
                <w:highlight w:val="none"/>
                <w:lang w:val="en-US" w:eastAsia="zh-CN" w:bidi="ar-SA"/>
              </w:rPr>
              <w:t>未按规定安装视频监控(含视频点不足、故意遮挡视频、非可调摄像头未对准作业现场、位置摆放错误);监控未在安装后24h内转让;竣工前监控中断时间超过24h。</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1DCBC">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886ADD">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2A6F6">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B12A5D">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1C43AB91">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DDABB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8A2AB7">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FB7AA0">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在临时用电作业时，施工人员出现临时用电违规的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CA6BC">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0465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C5E86">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9F2B8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罚款5000</w:t>
            </w:r>
          </w:p>
        </w:tc>
      </w:tr>
      <w:tr w14:paraId="1A7F4827">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FAF68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E82404">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81B26">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在动火/焊接作业时，施工人员出现动火/焊接作业违规的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且施工方专职安全员/项目经理</w:t>
            </w:r>
            <w:r>
              <w:rPr>
                <w:rFonts w:hint="eastAsia" w:ascii="仿宋_GB2312" w:hAnsi="仿宋_GB2312" w:eastAsia="仿宋_GB2312" w:cs="仿宋_GB2312"/>
                <w:b/>
                <w:color w:val="auto"/>
                <w:kern w:val="0"/>
                <w:sz w:val="20"/>
                <w:szCs w:val="20"/>
                <w:highlight w:val="none"/>
                <w:u w:val="single"/>
                <w:lang w:val="en-US" w:eastAsia="zh-CN" w:bidi="ar-SA"/>
              </w:rPr>
              <w:t>不在</w:t>
            </w:r>
            <w:r>
              <w:rPr>
                <w:rFonts w:hint="eastAsia" w:ascii="仿宋_GB2312" w:hAnsi="仿宋_GB2312" w:eastAsia="仿宋_GB2312" w:cs="仿宋_GB2312"/>
                <w:color w:val="auto"/>
                <w:kern w:val="0"/>
                <w:sz w:val="20"/>
                <w:szCs w:val="20"/>
                <w:highlight w:val="none"/>
                <w:lang w:val="en-US" w:eastAsia="zh-CN" w:bidi="ar-SA"/>
              </w:rPr>
              <w:t>现场旁站的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EFDD1">
            <w:pPr>
              <w:widowControl/>
              <w:jc w:val="left"/>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r>
              <w:rPr>
                <w:rFonts w:hint="eastAsia" w:ascii="仿宋_GB2312" w:hAnsi="仿宋_GB2312" w:eastAsia="仿宋_GB2312" w:cs="仿宋_GB2312"/>
                <w:color w:val="auto"/>
                <w:kern w:val="0"/>
                <w:sz w:val="20"/>
                <w:szCs w:val="20"/>
                <w:highlight w:val="none"/>
                <w:lang w:eastAsia="zh-CN" w:bidi="ar-SA"/>
              </w:rPr>
              <w:t>，</w:t>
            </w:r>
            <w:r>
              <w:rPr>
                <w:rFonts w:hint="eastAsia" w:ascii="仿宋_GB2312" w:hAnsi="仿宋_GB2312" w:eastAsia="仿宋_GB2312" w:cs="仿宋_GB2312"/>
                <w:color w:val="auto"/>
                <w:kern w:val="0"/>
                <w:sz w:val="20"/>
                <w:szCs w:val="20"/>
                <w:highlight w:val="none"/>
                <w:lang w:val="en-US" w:eastAsia="zh-CN" w:bidi="ar-SA"/>
              </w:rPr>
              <w:t>属于安全管理责任缺失</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2BBBE">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61591">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07117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罚款5000</w:t>
            </w:r>
          </w:p>
        </w:tc>
      </w:tr>
      <w:tr w14:paraId="7A95D714">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C3B4E">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699EFB">
            <w:pPr>
              <w:widowControl/>
              <w:jc w:val="center"/>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E825C">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停电作业操作电气设备时未穿绝缘鞋，未戴低压绝缘手套，未使用有绝缘柄的工具。作业前未采取绝缘隔离、遮蔽带电部分等防止相间或接地短路的有效措施。</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BB657">
            <w:pPr>
              <w:widowControl/>
              <w:jc w:val="left"/>
              <w:textAlignment w:val="center"/>
              <w:rPr>
                <w:rFonts w:hint="eastAsia" w:ascii="仿宋_GB2312" w:hAnsi="仿宋_GB2312" w:eastAsia="仿宋_GB2312" w:cs="仿宋_GB2312"/>
                <w:color w:val="auto"/>
                <w:kern w:val="0"/>
                <w:sz w:val="20"/>
                <w:szCs w:val="20"/>
                <w:highlight w:val="none"/>
                <w:lang w:bidi="ar-SA"/>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1C821B">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6BF865">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D53D2">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4594CE68">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EDD9C0">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8C3E7D">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6E78E">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未使用相应电压等级且合格的验电器进行验电。</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60E29">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36D71">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48069F">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EB9E8">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59B1027D">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A834CE">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2CA290">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54B1C">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停电作业时，未在低压侧挂设有效的低压接地线的或未做有效的保护措施的。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03D74">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66378">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4E4AB">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5FFC3E">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r>
      <w:tr w14:paraId="4CFB972D">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62E17D">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36</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7614B">
            <w:pPr>
              <w:widowControl/>
              <w:jc w:val="center"/>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C779EA">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val="en-US" w:eastAsia="zh-CN" w:bidi="ar-SA"/>
              </w:rPr>
              <w:t>施工范围内，电缆井/基础施工时，未进行围蔽或警示的；当天下班未将电缆井/基础有效遮盖的，导致有行人跌落风险的。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CCDF2">
            <w:pPr>
              <w:widowControl/>
              <w:jc w:val="left"/>
              <w:textAlignment w:val="center"/>
              <w:rPr>
                <w:rFonts w:hint="eastAsia" w:ascii="仿宋_GB2312" w:hAnsi="仿宋_GB2312" w:eastAsia="仿宋_GB2312" w:cs="仿宋_GB2312"/>
                <w:color w:val="auto"/>
                <w:kern w:val="0"/>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BAA953">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1</w:t>
            </w:r>
            <w:r>
              <w:rPr>
                <w:rFonts w:hint="eastAsia" w:ascii="仿宋_GB2312" w:hAnsi="仿宋_GB2312" w:eastAsia="仿宋_GB2312" w:cs="仿宋_GB2312"/>
                <w:color w:val="auto"/>
                <w:kern w:val="0"/>
                <w:sz w:val="20"/>
                <w:szCs w:val="20"/>
                <w:highlight w:val="none"/>
                <w:lang w:bidi="ar-SA"/>
              </w:rPr>
              <w:t>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605F0">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2</w:t>
            </w:r>
            <w:r>
              <w:rPr>
                <w:rFonts w:hint="eastAsia" w:ascii="仿宋_GB2312" w:hAnsi="仿宋_GB2312" w:eastAsia="仿宋_GB2312" w:cs="仿宋_GB2312"/>
                <w:color w:val="auto"/>
                <w:kern w:val="0"/>
                <w:sz w:val="20"/>
                <w:szCs w:val="20"/>
                <w:highlight w:val="none"/>
                <w:lang w:bidi="ar-SA"/>
              </w:rPr>
              <w:t>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3E88B1">
            <w:pPr>
              <w:widowControl/>
              <w:jc w:val="center"/>
              <w:textAlignment w:val="center"/>
              <w:rPr>
                <w:rFonts w:hint="eastAsia" w:ascii="仿宋_GB2312" w:hAnsi="仿宋_GB2312" w:eastAsia="仿宋_GB2312" w:cs="仿宋_GB2312"/>
                <w:color w:val="auto"/>
                <w:kern w:val="2"/>
                <w:sz w:val="20"/>
                <w:szCs w:val="20"/>
                <w:highlight w:val="none"/>
                <w:lang w:val="en-US" w:eastAsia="zh-CN" w:bidi="ar-SA"/>
              </w:rPr>
            </w:pPr>
            <w:r>
              <w:rPr>
                <w:rFonts w:hint="eastAsia" w:ascii="仿宋_GB2312" w:hAnsi="仿宋_GB2312" w:eastAsia="仿宋_GB2312" w:cs="仿宋_GB2312"/>
                <w:color w:val="auto"/>
                <w:kern w:val="0"/>
                <w:sz w:val="20"/>
                <w:szCs w:val="20"/>
                <w:highlight w:val="none"/>
                <w:lang w:bidi="ar-SA"/>
              </w:rPr>
              <w:t>罚款</w:t>
            </w:r>
            <w:r>
              <w:rPr>
                <w:rFonts w:hint="eastAsia" w:ascii="仿宋_GB2312" w:hAnsi="仿宋_GB2312" w:eastAsia="仿宋_GB2312" w:cs="仿宋_GB2312"/>
                <w:color w:val="auto"/>
                <w:kern w:val="0"/>
                <w:sz w:val="20"/>
                <w:szCs w:val="20"/>
                <w:highlight w:val="none"/>
                <w:lang w:val="en-US" w:eastAsia="zh-CN" w:bidi="ar-SA"/>
              </w:rPr>
              <w:t>3</w:t>
            </w:r>
            <w:r>
              <w:rPr>
                <w:rFonts w:hint="eastAsia" w:ascii="仿宋_GB2312" w:hAnsi="仿宋_GB2312" w:eastAsia="仿宋_GB2312" w:cs="仿宋_GB2312"/>
                <w:color w:val="auto"/>
                <w:kern w:val="0"/>
                <w:sz w:val="20"/>
                <w:szCs w:val="20"/>
                <w:highlight w:val="none"/>
                <w:lang w:bidi="ar-SA"/>
              </w:rPr>
              <w:t>000</w:t>
            </w:r>
          </w:p>
        </w:tc>
      </w:tr>
      <w:tr w14:paraId="0CCDCCB5">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84A81">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bidi="ar-SA"/>
              </w:rPr>
              <w:t>37</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44F4D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1BCC1">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吊车利用吊索及钩头直接当作人员上/下之用者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D7549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ACC88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4EB3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AF40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2CD059DE">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BCE11">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bidi="ar-SA"/>
              </w:rPr>
              <w:t>38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86CF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090E8F">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施工场所喝酒/酒醉工作者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D682E">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9BE3A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55D77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12E5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473DBC5C">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91855F">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bidi="ar-SA"/>
              </w:rPr>
              <w:t>39</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924C1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8964EB">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吊车吊运钢瓶等需要固定的物品而未使用固定支架，直接用钢索吊升的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47BBA">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29D42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6380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罚款3000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20BB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r>
      <w:tr w14:paraId="4A599C38">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965B5">
            <w:pPr>
              <w:widowControl/>
              <w:jc w:val="center"/>
              <w:textAlignment w:val="center"/>
              <w:rPr>
                <w:rFonts w:hint="eastAsia"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bidi="ar-SA"/>
              </w:rPr>
              <w:t>40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DE4E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7E71A0">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有危险通知停工改善而未改善或不执行按甲方/监理单位停工整改要求的</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5CEB94">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7CFB3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0DD1F">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罚款8000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A6C7C4">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罚款10000</w:t>
            </w:r>
          </w:p>
        </w:tc>
      </w:tr>
      <w:tr w14:paraId="1AF64A4E">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42ACA">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val="en-US" w:eastAsia="zh-CN" w:bidi="ar-SA"/>
              </w:rPr>
              <w:t>41</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6274C">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F99A5">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违反安全管理法规，在强风、雨雪等恶劣天气强行施工者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AE97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01D16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A7C6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罚款8000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FA5D5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罚款10000</w:t>
            </w:r>
          </w:p>
        </w:tc>
      </w:tr>
      <w:tr w14:paraId="0827CA55">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B69FE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val="en-US" w:eastAsia="zh-CN" w:bidi="ar-SA"/>
              </w:rPr>
              <w:t>42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A8C4A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9841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施工现场发生危险，未令停止作业及未告知甲方或监理人员，发生事故者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A5A80D">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40A1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EB346">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75FDE">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罚款20000</w:t>
            </w:r>
          </w:p>
        </w:tc>
      </w:tr>
      <w:tr w14:paraId="02AD8630">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70C79">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43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AA835">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624DBC">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工作场所发生职业伤害，未通报甲方且未依照相关规定办理者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6FCF63">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3D57D3">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BB63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7ED7D">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罚款20000</w:t>
            </w:r>
          </w:p>
        </w:tc>
      </w:tr>
      <w:tr w14:paraId="0E5AA5B9">
        <w:tblPrEx>
          <w:tblCellMar>
            <w:top w:w="0" w:type="dxa"/>
            <w:left w:w="108" w:type="dxa"/>
            <w:bottom w:w="0" w:type="dxa"/>
            <w:right w:w="108" w:type="dxa"/>
          </w:tblCellMar>
        </w:tblPrEx>
        <w:trPr>
          <w:trHeight w:val="1037" w:hRule="atLeast"/>
        </w:trPr>
        <w:tc>
          <w:tcPr>
            <w:tcW w:w="8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B323ED">
            <w:pPr>
              <w:widowControl/>
              <w:jc w:val="center"/>
              <w:textAlignment w:val="center"/>
              <w:rPr>
                <w:rFonts w:hint="eastAsia" w:ascii="仿宋_GB2312" w:hAnsi="仿宋_GB2312" w:eastAsia="仿宋_GB2312" w:cs="仿宋_GB2312"/>
                <w:color w:val="auto"/>
                <w:sz w:val="20"/>
                <w:szCs w:val="20"/>
                <w:highlight w:val="none"/>
                <w:lang w:eastAsia="zh-CN"/>
              </w:rPr>
            </w:pPr>
            <w:r>
              <w:rPr>
                <w:rFonts w:hint="eastAsia" w:ascii="仿宋_GB2312" w:hAnsi="仿宋_GB2312" w:eastAsia="仿宋_GB2312" w:cs="仿宋_GB2312"/>
                <w:color w:val="auto"/>
                <w:kern w:val="0"/>
                <w:sz w:val="20"/>
                <w:szCs w:val="20"/>
                <w:highlight w:val="none"/>
                <w:lang w:val="en-US" w:eastAsia="zh-CN" w:bidi="ar-SA"/>
              </w:rPr>
              <w:t>44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DFAC1">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专项管理</w:t>
            </w:r>
          </w:p>
        </w:tc>
        <w:tc>
          <w:tcPr>
            <w:tcW w:w="2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9D6F2">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因现场施工单位安全防护措施不到位导致发生事故</w:t>
            </w:r>
          </w:p>
        </w:tc>
        <w:tc>
          <w:tcPr>
            <w:tcW w:w="13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389CE8">
            <w:pPr>
              <w:widowControl/>
              <w:jc w:val="left"/>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存在上述问题的</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04C122">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776557">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罚款10000</w:t>
            </w:r>
          </w:p>
        </w:tc>
        <w:tc>
          <w:tcPr>
            <w:tcW w:w="12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5BD39">
            <w:pPr>
              <w:widowControl/>
              <w:jc w:val="center"/>
              <w:textAlignment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kern w:val="0"/>
                <w:sz w:val="20"/>
                <w:szCs w:val="20"/>
                <w:highlight w:val="none"/>
                <w:lang w:bidi="ar-SA"/>
              </w:rPr>
              <w:t>罚款20000</w:t>
            </w:r>
          </w:p>
        </w:tc>
      </w:tr>
    </w:tbl>
    <w:p w14:paraId="46156B2B">
      <w:pPr>
        <w:pStyle w:val="39"/>
        <w:ind w:left="0" w:leftChars="0" w:firstLine="0" w:firstLineChars="0"/>
        <w:rPr>
          <w:rFonts w:hint="default" w:eastAsia="宋体"/>
          <w:color w:val="auto"/>
          <w:highlight w:val="none"/>
          <w:lang w:val="en-US" w:eastAsia="zh-CN"/>
        </w:rPr>
      </w:pPr>
    </w:p>
    <w:p w14:paraId="55EB0E3A">
      <w:pPr>
        <w:rPr>
          <w:rFonts w:hint="default" w:eastAsia="宋体"/>
          <w:color w:val="auto"/>
          <w:highlight w:val="none"/>
          <w:lang w:val="en-US" w:eastAsia="zh-CN"/>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6CE50D56">
      <w:pPr>
        <w:spacing w:line="360" w:lineRule="auto"/>
        <w:jc w:val="left"/>
        <w:rPr>
          <w:rFonts w:hint="eastAsia"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 xml:space="preserve">7 </w:t>
      </w:r>
    </w:p>
    <w:p w14:paraId="1EE46FFB">
      <w:pPr>
        <w:spacing w:line="360" w:lineRule="auto"/>
        <w:jc w:val="center"/>
        <w:rPr>
          <w:rFonts w:hint="default"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光伏电站发电量保证书</w:t>
      </w:r>
    </w:p>
    <w:p w14:paraId="13EFA1E2">
      <w:pPr>
        <w:spacing w:beforeLines="0" w:afterLines="0" w:line="360" w:lineRule="auto"/>
        <w:rPr>
          <w:rFonts w:hint="eastAsia" w:ascii="仿宋_GB2312" w:hAnsi="Times New Roman" w:eastAsia="仿宋_GB2312"/>
          <w:color w:val="auto"/>
          <w:sz w:val="24"/>
          <w:szCs w:val="24"/>
          <w:highlight w:val="none"/>
        </w:rPr>
      </w:pPr>
    </w:p>
    <w:p w14:paraId="3DE45911">
      <w:pPr>
        <w:spacing w:beforeLines="0" w:after="313" w:afterLines="100" w:line="36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致</w:t>
      </w:r>
      <w:r>
        <w:rPr>
          <w:rFonts w:hint="eastAsia" w:ascii="仿宋_GB2312" w:eastAsia="仿宋_GB2312"/>
          <w:b/>
          <w:color w:val="auto"/>
          <w:sz w:val="24"/>
          <w:szCs w:val="24"/>
          <w:highlight w:val="none"/>
          <w:lang w:eastAsia="zh-CN"/>
        </w:rPr>
        <w:t>东莞市新锋新能源有限公司</w:t>
      </w:r>
      <w:r>
        <w:rPr>
          <w:rFonts w:hint="eastAsia" w:ascii="仿宋_GB2312" w:hAnsi="Times New Roman" w:eastAsia="仿宋_GB2312"/>
          <w:b/>
          <w:color w:val="auto"/>
          <w:sz w:val="24"/>
          <w:szCs w:val="24"/>
          <w:highlight w:val="none"/>
        </w:rPr>
        <w:t>：</w:t>
      </w:r>
      <w:r>
        <w:rPr>
          <w:rFonts w:hint="eastAsia" w:ascii="仿宋_GB2312" w:hAnsi="Times New Roman" w:eastAsia="仿宋_GB2312"/>
          <w:color w:val="auto"/>
          <w:sz w:val="24"/>
          <w:szCs w:val="24"/>
          <w:highlight w:val="none"/>
        </w:rPr>
        <w:t xml:space="preserve"> </w:t>
      </w:r>
    </w:p>
    <w:p w14:paraId="0D5DF17F">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我司已与贵司签订</w:t>
      </w:r>
      <w:permStart w:id="83" w:edGrp="everyone"/>
      <w:r>
        <w:rPr>
          <w:rFonts w:hint="eastAsia" w:ascii="仿宋_GB2312" w:hAnsi="Times New Roman" w:eastAsia="仿宋_GB2312"/>
          <w:color w:val="auto"/>
          <w:sz w:val="24"/>
          <w:szCs w:val="24"/>
          <w:highlight w:val="none"/>
        </w:rPr>
        <w:fldChar w:fldCharType="begin"/>
      </w:r>
      <w:r>
        <w:rPr>
          <w:rFonts w:hint="eastAsia" w:ascii="仿宋_GB2312" w:hAnsi="Times New Roman" w:eastAsia="仿宋_GB2312"/>
          <w:color w:val="auto"/>
          <w:sz w:val="24"/>
          <w:szCs w:val="24"/>
          <w:highlight w:val="none"/>
        </w:rPr>
        <w:instrText xml:space="preserve"> REF 项目名称 \h </w:instrText>
      </w:r>
      <w:r>
        <w:rPr>
          <w:rFonts w:hint="eastAsia" w:ascii="仿宋_GB2312" w:hAnsi="Times New Roman" w:eastAsia="仿宋_GB2312"/>
          <w:color w:val="auto"/>
          <w:sz w:val="24"/>
          <w:szCs w:val="24"/>
          <w:highlight w:val="none"/>
        </w:rPr>
        <w:fldChar w:fldCharType="separate"/>
      </w:r>
      <w:r>
        <w:rPr>
          <w:rFonts w:hint="eastAsia" w:ascii="仿宋_GB2312" w:eastAsia="仿宋_GB2312"/>
          <w:color w:val="auto"/>
          <w:sz w:val="24"/>
          <w:szCs w:val="24"/>
          <w:highlight w:val="none"/>
          <w:lang w:eastAsia="zh-CN"/>
        </w:rPr>
        <w:t>东莞市新锋新能源有限公司</w:t>
      </w:r>
      <w:r>
        <w:rPr>
          <w:rFonts w:hint="eastAsia" w:ascii="仿宋_GB2312" w:hAnsi="Times New Roman" w:eastAsia="仿宋_GB2312"/>
          <w:color w:val="auto"/>
          <w:sz w:val="24"/>
          <w:szCs w:val="24"/>
          <w:highlight w:val="none"/>
        </w:rPr>
        <w:t>XX厂区分布式光伏发电项目</w:t>
      </w:r>
      <w:r>
        <w:rPr>
          <w:rFonts w:hint="eastAsia" w:ascii="仿宋_GB2312" w:hAnsi="Times New Roman" w:eastAsia="仿宋_GB2312"/>
          <w:color w:val="auto"/>
          <w:sz w:val="24"/>
          <w:szCs w:val="24"/>
          <w:highlight w:val="none"/>
        </w:rPr>
        <w:fldChar w:fldCharType="end"/>
      </w:r>
      <w:permEnd w:id="83"/>
      <w:r>
        <w:rPr>
          <w:rFonts w:hint="eastAsia" w:ascii="仿宋_GB2312" w:hAnsi="Times New Roman" w:eastAsia="仿宋_GB2312"/>
          <w:color w:val="auto"/>
          <w:sz w:val="24"/>
          <w:szCs w:val="24"/>
          <w:highlight w:val="none"/>
        </w:rPr>
        <w:t>总承包合同（合同编号</w:t>
      </w:r>
      <w:r>
        <w:rPr>
          <w:rFonts w:hint="eastAsia" w:ascii="仿宋_GB2312" w:hAnsi="Times New Roman" w:eastAsia="仿宋_GB2312"/>
          <w:b/>
          <w:color w:val="auto"/>
          <w:sz w:val="24"/>
          <w:szCs w:val="24"/>
          <w:highlight w:val="none"/>
        </w:rPr>
        <w:t>：</w:t>
      </w:r>
      <w:permStart w:id="84" w:edGrp="everyone"/>
      <w:r>
        <w:rPr>
          <w:rFonts w:hint="eastAsia" w:ascii="仿宋_GB2312" w:hAnsi="Times New Roman" w:eastAsia="仿宋_GB2312" w:cs="Times New Roman"/>
          <w:color w:val="auto"/>
          <w:sz w:val="24"/>
          <w:szCs w:val="24"/>
          <w:highlight w:val="none"/>
        </w:rPr>
        <w:fldChar w:fldCharType="begin"/>
      </w:r>
      <w:r>
        <w:rPr>
          <w:rFonts w:hint="eastAsia" w:ascii="仿宋_GB2312" w:hAnsi="Times New Roman" w:eastAsia="仿宋_GB2312" w:cs="Times New Roman"/>
          <w:color w:val="auto"/>
          <w:sz w:val="24"/>
          <w:szCs w:val="24"/>
          <w:highlight w:val="none"/>
        </w:rPr>
        <w:instrText xml:space="preserve"> REF 合同编号 \h </w:instrText>
      </w:r>
      <w:r>
        <w:rPr>
          <w:rFonts w:hint="eastAsia" w:ascii="仿宋_GB2312" w:hAnsi="Times New Roman" w:eastAsia="仿宋_GB2312" w:cs="Times New Roman"/>
          <w:color w:val="auto"/>
          <w:sz w:val="24"/>
          <w:szCs w:val="24"/>
          <w:highlight w:val="none"/>
        </w:rPr>
        <w:fldChar w:fldCharType="separate"/>
      </w:r>
      <w:r>
        <w:rPr>
          <w:rFonts w:hint="eastAsia" w:ascii="仿宋_GB2312" w:hAnsi="Times New Roman" w:eastAsia="仿宋_GB2312" w:cs="Times New Roman"/>
          <w:color w:val="auto"/>
          <w:sz w:val="24"/>
          <w:szCs w:val="24"/>
          <w:highlight w:val="none"/>
        </w:rPr>
        <w:t>XFGFSG202X0XX</w:t>
      </w:r>
      <w:r>
        <w:rPr>
          <w:rFonts w:hint="eastAsia" w:ascii="仿宋_GB2312" w:hAnsi="Times New Roman" w:eastAsia="仿宋_GB2312" w:cs="Times New Roman"/>
          <w:color w:val="auto"/>
          <w:sz w:val="24"/>
          <w:szCs w:val="24"/>
          <w:highlight w:val="none"/>
        </w:rPr>
        <w:fldChar w:fldCharType="end"/>
      </w:r>
      <w:permEnd w:id="84"/>
      <w:r>
        <w:rPr>
          <w:rFonts w:hint="eastAsia" w:ascii="仿宋_GB2312" w:hAnsi="Times New Roman" w:eastAsia="仿宋_GB2312"/>
          <w:color w:val="auto"/>
          <w:sz w:val="24"/>
          <w:szCs w:val="24"/>
          <w:highlight w:val="none"/>
        </w:rPr>
        <w:t>），我司同意在合同履行过程中，向贵司就本项目建成投运光伏电站发电量做如下保证：</w:t>
      </w:r>
    </w:p>
    <w:p w14:paraId="3408B1BE">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1、我司保证本项目在并网投运后连续</w:t>
      </w:r>
      <w:r>
        <w:rPr>
          <w:rFonts w:hint="eastAsia" w:ascii="仿宋_GB2312" w:hAnsi="Times New Roman" w:eastAsia="仿宋_GB2312"/>
          <w:b/>
          <w:color w:val="auto"/>
          <w:sz w:val="24"/>
          <w:szCs w:val="24"/>
          <w:highlight w:val="none"/>
        </w:rPr>
        <w:t>2年</w:t>
      </w:r>
      <w:r>
        <w:rPr>
          <w:rFonts w:hint="eastAsia" w:ascii="仿宋_GB2312" w:hAnsi="Times New Roman" w:eastAsia="仿宋_GB2312"/>
          <w:color w:val="auto"/>
          <w:sz w:val="24"/>
          <w:szCs w:val="24"/>
          <w:highlight w:val="none"/>
        </w:rPr>
        <w:t>运营期内，项目</w:t>
      </w:r>
      <w:r>
        <w:rPr>
          <w:rFonts w:hint="eastAsia" w:ascii="仿宋_GB2312" w:hAnsi="Times New Roman" w:eastAsia="仿宋_GB2312"/>
          <w:b/>
          <w:color w:val="auto"/>
          <w:sz w:val="24"/>
          <w:szCs w:val="24"/>
          <w:highlight w:val="none"/>
        </w:rPr>
        <w:t>年发电保底电量发电时数</w:t>
      </w:r>
      <w:r>
        <w:rPr>
          <w:rFonts w:hint="eastAsia" w:ascii="仿宋_GB2312" w:hAnsi="Times New Roman" w:eastAsia="仿宋_GB2312"/>
          <w:color w:val="auto"/>
          <w:sz w:val="24"/>
          <w:szCs w:val="24"/>
          <w:highlight w:val="none"/>
        </w:rPr>
        <w:t>（年发电量/实际装机容量）符合贵司要求，如下表；</w:t>
      </w:r>
    </w:p>
    <w:p w14:paraId="70FF0B1D">
      <w:pPr>
        <w:spacing w:beforeLines="0" w:afterLines="0" w:line="360" w:lineRule="auto"/>
        <w:ind w:firstLine="480" w:firstLineChars="200"/>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项目运营期考核发电量数据表</w:t>
      </w:r>
    </w:p>
    <w:tbl>
      <w:tblPr>
        <w:tblStyle w:val="30"/>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24"/>
        <w:gridCol w:w="1737"/>
        <w:gridCol w:w="1824"/>
        <w:gridCol w:w="2237"/>
      </w:tblGrid>
      <w:tr w14:paraId="0A2CB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85C1F04">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运维年限</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669E9F59">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第1年</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F2842B9">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第2年</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BA2943A">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第3年及以后</w:t>
            </w:r>
          </w:p>
        </w:tc>
      </w:tr>
      <w:tr w14:paraId="3E1B9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1FB494F2">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全年考核发电时数</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CCAAA95">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b/>
                <w:color w:val="auto"/>
                <w:sz w:val="24"/>
                <w:szCs w:val="24"/>
                <w:highlight w:val="none"/>
              </w:rPr>
              <w:t>1055小时</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22500E50">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b/>
                <w:color w:val="auto"/>
                <w:sz w:val="24"/>
                <w:szCs w:val="24"/>
                <w:highlight w:val="none"/>
              </w:rPr>
              <w:t>1029小时</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4718CB38">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不考核</w:t>
            </w:r>
          </w:p>
        </w:tc>
      </w:tr>
    </w:tbl>
    <w:p w14:paraId="2F31E016">
      <w:pPr>
        <w:spacing w:beforeLines="0" w:afterLines="0"/>
        <w:rPr>
          <w:rFonts w:hint="eastAsia" w:ascii="仿宋_GB2312" w:hAnsi="Times New Roman" w:eastAsia="仿宋_GB2312"/>
          <w:color w:val="auto"/>
          <w:sz w:val="24"/>
          <w:szCs w:val="24"/>
          <w:highlight w:val="none"/>
        </w:rPr>
      </w:pPr>
    </w:p>
    <w:p w14:paraId="748846C4">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2、若本项目建成投运光伏电站由于我司在安装时自身原因（如图纸设计不符合规范要求、组件遮挡、发电设备质量不符合要求、电气设备接触不良、保修期内保修响应不及时等）未达到相应年限考核发电时数时，我司向贵司补足本应发电量的差额部分（差额部分=全年考核发电时数差额×实际装机容量×本项目能源管理合同应收电价），同意将该差额部分从本项目质量保修金中扣除；</w:t>
      </w:r>
    </w:p>
    <w:p w14:paraId="2224E2C0">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3、因业主单位或供电部门计划停电或检修产生的电量损失、双方认定的不可抗力影响的发电量损失等不在考核范围内，属于免考核发电量；</w:t>
      </w:r>
    </w:p>
    <w:p w14:paraId="5730410B">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4、本保证书自双方签字盖章之日起生效，与合同一起具有同等法律效力。</w:t>
      </w:r>
    </w:p>
    <w:p w14:paraId="25D2F258">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特此保证！</w:t>
      </w:r>
    </w:p>
    <w:p w14:paraId="0464AA47">
      <w:pPr>
        <w:pStyle w:val="39"/>
        <w:spacing w:before="156" w:afterLines="0"/>
        <w:ind w:firstLine="48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（以下无正文）</w:t>
      </w:r>
    </w:p>
    <w:p w14:paraId="59D87A6B">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35BAA35C">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252FBA86">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356866EB">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2442F9A0">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47E3FFC9">
      <w:pPr>
        <w:spacing w:beforeLines="0" w:afterLines="0" w:line="480" w:lineRule="auto"/>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（签署页）</w:t>
      </w:r>
    </w:p>
    <w:p w14:paraId="7F91034B">
      <w:pPr>
        <w:spacing w:beforeLines="0" w:afterLines="0" w:line="480" w:lineRule="auto"/>
        <w:rPr>
          <w:rFonts w:hint="eastAsia" w:ascii="仿宋_GB2312" w:hAnsi="Times New Roman" w:eastAsia="仿宋_GB2312"/>
          <w:color w:val="auto"/>
          <w:sz w:val="24"/>
          <w:szCs w:val="24"/>
          <w:highlight w:val="none"/>
        </w:rPr>
      </w:pPr>
    </w:p>
    <w:p w14:paraId="76DEC944">
      <w:pPr>
        <w:spacing w:beforeLines="0" w:afterLines="0" w:line="480" w:lineRule="auto"/>
        <w:ind w:firstLine="4800" w:firstLineChars="2000"/>
        <w:rPr>
          <w:rFonts w:hint="eastAsia" w:ascii="仿宋_GB2312" w:hAnsi="Times New Roman" w:eastAsia="仿宋_GB2312"/>
          <w:color w:val="auto"/>
          <w:sz w:val="24"/>
          <w:szCs w:val="24"/>
          <w:highlight w:val="none"/>
        </w:rPr>
      </w:pPr>
    </w:p>
    <w:p w14:paraId="0F6D56E4">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承诺方（主）：（盖章）</w:t>
      </w:r>
      <w:permStart w:id="85" w:edGrp="everyone"/>
      <w:r>
        <w:rPr>
          <w:rFonts w:hint="eastAsia" w:ascii="仿宋_GB2312" w:hAnsi="Times New Roman" w:eastAsia="仿宋_GB2312"/>
          <w:color w:val="auto"/>
          <w:sz w:val="24"/>
          <w:szCs w:val="24"/>
          <w:highlight w:val="none"/>
        </w:rPr>
        <w:fldChar w:fldCharType="begin"/>
      </w:r>
      <w:r>
        <w:rPr>
          <w:rFonts w:hint="eastAsia" w:ascii="仿宋_GB2312" w:hAnsi="Times New Roman" w:eastAsia="仿宋_GB2312"/>
          <w:color w:val="auto"/>
          <w:sz w:val="24"/>
          <w:szCs w:val="24"/>
          <w:highlight w:val="none"/>
        </w:rPr>
        <w:instrText xml:space="preserve"> REF 乙方（主） \h </w:instrText>
      </w:r>
      <w:r>
        <w:rPr>
          <w:rFonts w:hint="eastAsia" w:ascii="仿宋_GB2312" w:hAnsi="Times New Roman" w:eastAsia="仿宋_GB2312"/>
          <w:color w:val="auto"/>
          <w:sz w:val="24"/>
          <w:szCs w:val="24"/>
          <w:highlight w:val="none"/>
        </w:rPr>
        <w:fldChar w:fldCharType="separate"/>
      </w:r>
      <w:r>
        <w:rPr>
          <w:rFonts w:hint="eastAsia" w:ascii="仿宋_GB2312" w:hAnsi="Times New Roman" w:eastAsia="仿宋_GB2312"/>
          <w:color w:val="auto"/>
          <w:sz w:val="24"/>
          <w:szCs w:val="24"/>
          <w:highlight w:val="none"/>
        </w:rPr>
        <w:t>XX有限公司</w:t>
      </w:r>
      <w:r>
        <w:rPr>
          <w:rFonts w:hint="eastAsia" w:ascii="仿宋_GB2312" w:hAnsi="Times New Roman" w:eastAsia="仿宋_GB2312"/>
          <w:color w:val="auto"/>
          <w:sz w:val="24"/>
          <w:szCs w:val="24"/>
          <w:highlight w:val="none"/>
        </w:rPr>
        <w:fldChar w:fldCharType="end"/>
      </w:r>
      <w:permEnd w:id="85"/>
      <w:r>
        <w:rPr>
          <w:rFonts w:hint="eastAsia" w:ascii="仿宋_GB2312" w:hAnsi="Times New Roman" w:eastAsia="仿宋_GB2312"/>
          <w:color w:val="auto"/>
          <w:sz w:val="24"/>
          <w:szCs w:val="24"/>
          <w:highlight w:val="none"/>
        </w:rPr>
        <w:t xml:space="preserve">        </w:t>
      </w:r>
    </w:p>
    <w:p w14:paraId="1322D7E0">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 xml:space="preserve">法定代表人（或授权代表）签字：              </w:t>
      </w:r>
    </w:p>
    <w:p w14:paraId="6B13F69C">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承诺日期：    年   月   日</w:t>
      </w:r>
    </w:p>
    <w:p w14:paraId="56EE1DED">
      <w:pPr>
        <w:spacing w:beforeLines="0" w:afterLines="0" w:line="480" w:lineRule="auto"/>
        <w:rPr>
          <w:rFonts w:hint="eastAsia" w:ascii="仿宋_GB2312" w:hAnsi="Times New Roman" w:eastAsia="仿宋_GB2312"/>
          <w:color w:val="auto"/>
          <w:sz w:val="24"/>
          <w:szCs w:val="24"/>
          <w:highlight w:val="none"/>
        </w:rPr>
      </w:pPr>
    </w:p>
    <w:p w14:paraId="600AE463">
      <w:pPr>
        <w:spacing w:beforeLines="0" w:afterLines="0" w:line="480" w:lineRule="auto"/>
        <w:rPr>
          <w:rFonts w:hint="eastAsia" w:ascii="仿宋_GB2312" w:hAnsi="Times New Roman" w:eastAsia="仿宋_GB2312"/>
          <w:color w:val="auto"/>
          <w:sz w:val="24"/>
          <w:szCs w:val="24"/>
          <w:highlight w:val="none"/>
        </w:rPr>
      </w:pPr>
    </w:p>
    <w:p w14:paraId="3413F278">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承诺方（成）：（盖章）</w:t>
      </w:r>
      <w:permStart w:id="86" w:edGrp="everyone"/>
      <w:r>
        <w:rPr>
          <w:rFonts w:hint="eastAsia" w:ascii="仿宋_GB2312" w:hAnsi="Times New Roman" w:eastAsia="仿宋_GB2312"/>
          <w:color w:val="auto"/>
          <w:sz w:val="24"/>
          <w:szCs w:val="24"/>
          <w:highlight w:val="none"/>
        </w:rPr>
        <w:fldChar w:fldCharType="begin"/>
      </w:r>
      <w:r>
        <w:rPr>
          <w:rFonts w:hint="eastAsia" w:ascii="仿宋_GB2312" w:hAnsi="Times New Roman" w:eastAsia="仿宋_GB2312"/>
          <w:color w:val="auto"/>
          <w:sz w:val="24"/>
          <w:szCs w:val="24"/>
          <w:highlight w:val="none"/>
        </w:rPr>
        <w:instrText xml:space="preserve"> REF 乙方（成） \h </w:instrText>
      </w:r>
      <w:r>
        <w:rPr>
          <w:rFonts w:hint="eastAsia" w:ascii="仿宋_GB2312" w:hAnsi="Times New Roman" w:eastAsia="仿宋_GB2312"/>
          <w:color w:val="auto"/>
          <w:sz w:val="24"/>
          <w:szCs w:val="24"/>
          <w:highlight w:val="none"/>
        </w:rPr>
        <w:fldChar w:fldCharType="separate"/>
      </w:r>
      <w:r>
        <w:rPr>
          <w:rFonts w:hint="eastAsia" w:ascii="仿宋_GB2312" w:hAnsi="Times New Roman" w:eastAsia="仿宋_GB2312"/>
          <w:color w:val="auto"/>
          <w:sz w:val="24"/>
          <w:szCs w:val="24"/>
          <w:highlight w:val="none"/>
        </w:rPr>
        <w:t>XX有限公司</w:t>
      </w:r>
      <w:r>
        <w:rPr>
          <w:rFonts w:hint="eastAsia" w:ascii="仿宋_GB2312" w:hAnsi="Times New Roman" w:eastAsia="仿宋_GB2312"/>
          <w:color w:val="auto"/>
          <w:sz w:val="24"/>
          <w:szCs w:val="24"/>
          <w:highlight w:val="none"/>
        </w:rPr>
        <w:fldChar w:fldCharType="end"/>
      </w:r>
      <w:permEnd w:id="86"/>
      <w:r>
        <w:rPr>
          <w:rFonts w:hint="eastAsia" w:ascii="仿宋_GB2312" w:hAnsi="Times New Roman" w:eastAsia="仿宋_GB2312"/>
          <w:color w:val="auto"/>
          <w:sz w:val="24"/>
          <w:szCs w:val="24"/>
          <w:highlight w:val="none"/>
        </w:rPr>
        <w:t xml:space="preserve">        </w:t>
      </w:r>
    </w:p>
    <w:p w14:paraId="03607BDC">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 xml:space="preserve">法定代表人（或授权代表）签字：              </w:t>
      </w:r>
    </w:p>
    <w:p w14:paraId="6AE446AF">
      <w:pPr>
        <w:spacing w:beforeLines="0" w:afterLines="0" w:line="480" w:lineRule="auto"/>
        <w:rPr>
          <w:rFonts w:hint="eastAsia" w:ascii="仿宋_GB2312" w:hAnsi="仿宋_GB2312" w:eastAsia="仿宋_GB2312" w:cs="仿宋_GB2312"/>
          <w:b/>
          <w:color w:val="auto"/>
          <w:sz w:val="32"/>
          <w:szCs w:val="32"/>
          <w:highlight w:val="none"/>
        </w:rPr>
      </w:pPr>
      <w:r>
        <w:rPr>
          <w:rFonts w:hint="eastAsia" w:ascii="仿宋_GB2312" w:hAnsi="Times New Roman" w:eastAsia="仿宋_GB2312"/>
          <w:color w:val="auto"/>
          <w:sz w:val="24"/>
          <w:szCs w:val="24"/>
          <w:highlight w:val="none"/>
        </w:rPr>
        <w:t>承诺日期：    年   月   日</w:t>
      </w:r>
    </w:p>
    <w:p w14:paraId="71AF8D84">
      <w:pPr>
        <w:spacing w:beforeLines="0" w:afterLines="0" w:line="480" w:lineRule="auto"/>
        <w:rPr>
          <w:rFonts w:hint="default" w:ascii="Times New Roman" w:hAnsi="Times New Roman" w:eastAsia="宋体"/>
          <w:color w:val="auto"/>
          <w:sz w:val="21"/>
          <w:szCs w:val="24"/>
          <w:highlight w:val="none"/>
        </w:rPr>
      </w:pPr>
    </w:p>
    <w:p w14:paraId="55F205C7">
      <w:pPr>
        <w:spacing w:line="360" w:lineRule="auto"/>
        <w:jc w:val="both"/>
        <w:rPr>
          <w:rFonts w:hint="default" w:ascii="仿宋_GB2312" w:hAnsi="仿宋_GB2312" w:eastAsia="仿宋_GB2312" w:cs="仿宋_GB2312"/>
          <w:b/>
          <w:color w:val="auto"/>
          <w:sz w:val="32"/>
          <w:szCs w:val="32"/>
          <w:highlight w:val="none"/>
          <w:lang w:val="en-US" w:eastAsia="zh-CN"/>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1099CF05">
      <w:pPr>
        <w:pStyle w:val="3"/>
        <w:numPr>
          <w:ilvl w:val="-1"/>
          <w:numId w:val="0"/>
        </w:numPr>
        <w:spacing w:after="158"/>
        <w:ind w:left="0" w:firstLine="0" w:firstLineChars="0"/>
        <w:jc w:val="both"/>
        <w:rPr>
          <w:rFonts w:hint="eastAsia" w:ascii="仿宋_GB2312" w:hAnsi="仿宋_GB2312" w:eastAsia="仿宋_GB2312" w:cs="仿宋_GB2312"/>
          <w:b/>
          <w:color w:val="auto"/>
          <w:sz w:val="32"/>
          <w:szCs w:val="32"/>
          <w:highlight w:val="none"/>
          <w:lang w:val="en-US" w:eastAsia="zh-CN"/>
        </w:rPr>
      </w:pPr>
      <w:bookmarkStart w:id="110" w:name="_Toc11507"/>
      <w:bookmarkStart w:id="111" w:name="_Toc6643"/>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8</w:t>
      </w:r>
      <w:bookmarkEnd w:id="110"/>
      <w:bookmarkEnd w:id="111"/>
      <w:r>
        <w:rPr>
          <w:rFonts w:hint="default" w:ascii="仿宋_GB2312" w:hAnsi="仿宋_GB2312" w:eastAsia="仿宋_GB2312" w:cs="仿宋_GB2312"/>
          <w:b/>
          <w:color w:val="auto"/>
          <w:sz w:val="32"/>
          <w:szCs w:val="32"/>
          <w:highlight w:val="none"/>
          <w:lang w:val="en-US" w:eastAsia="zh-CN"/>
        </w:rPr>
        <w:t xml:space="preserve"> </w:t>
      </w:r>
      <w:bookmarkStart w:id="112" w:name="_Toc26592"/>
      <w:bookmarkStart w:id="113" w:name="_Toc15852"/>
      <w:bookmarkStart w:id="114" w:name="_Toc29885"/>
      <w:bookmarkStart w:id="115" w:name="_Toc32160"/>
      <w:bookmarkStart w:id="116" w:name="_Toc27661"/>
      <w:bookmarkStart w:id="117" w:name="_Toc27663"/>
      <w:bookmarkStart w:id="118" w:name="_Toc24816"/>
      <w:bookmarkStart w:id="119" w:name="_Toc18103"/>
      <w:bookmarkStart w:id="120" w:name="_Toc8267"/>
      <w:bookmarkStart w:id="121" w:name="_Toc15524"/>
      <w:bookmarkStart w:id="122" w:name="_Toc17546"/>
      <w:bookmarkStart w:id="123" w:name="_Toc17757"/>
      <w:r>
        <w:rPr>
          <w:rFonts w:hint="eastAsia" w:ascii="仿宋_GB2312" w:hAnsi="仿宋_GB2312" w:eastAsia="仿宋_GB2312" w:cs="仿宋_GB2312"/>
          <w:b/>
          <w:color w:val="auto"/>
          <w:sz w:val="32"/>
          <w:szCs w:val="32"/>
          <w:highlight w:val="none"/>
          <w:lang w:val="en-US" w:eastAsia="zh-CN"/>
        </w:rPr>
        <w:t xml:space="preserve">           </w:t>
      </w:r>
    </w:p>
    <w:p w14:paraId="3CCB6643">
      <w:pPr>
        <w:pStyle w:val="3"/>
        <w:numPr>
          <w:ilvl w:val="-1"/>
          <w:numId w:val="0"/>
        </w:numPr>
        <w:spacing w:after="158"/>
        <w:ind w:left="0" w:firstLine="0" w:firstLineChars="0"/>
        <w:jc w:val="center"/>
        <w:rPr>
          <w:rFonts w:ascii="仿宋_GB2312" w:hAnsi="仿宋_GB2312" w:eastAsia="仿宋_GB2312" w:cs="仿宋_GB2312"/>
          <w:color w:val="auto"/>
          <w:sz w:val="32"/>
          <w:szCs w:val="32"/>
          <w:highlight w:val="none"/>
        </w:rPr>
      </w:pPr>
      <w:bookmarkStart w:id="124" w:name="_Toc13943"/>
      <w:bookmarkStart w:id="125" w:name="_Toc810"/>
      <w:r>
        <w:rPr>
          <w:rFonts w:hint="eastAsia" w:ascii="仿宋_GB2312" w:hAnsi="仿宋_GB2312" w:eastAsia="仿宋_GB2312" w:cs="仿宋_GB2312"/>
          <w:color w:val="auto"/>
          <w:kern w:val="2"/>
          <w:sz w:val="32"/>
          <w:szCs w:val="32"/>
          <w:highlight w:val="none"/>
        </w:rPr>
        <w:t>环境保护要求</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57D85E09">
      <w:pPr>
        <w:spacing w:beforeLines="0" w:after="0" w:afterLines="0" w:line="480" w:lineRule="auto"/>
        <w:ind w:firstLine="480" w:firstLineChars="200"/>
        <w:rPr>
          <w:rFonts w:ascii="仿宋_GB2312" w:hAnsi="Times New Roman" w:eastAsia="仿宋_GB2312" w:cs="Times New Roman"/>
          <w:color w:val="auto"/>
          <w:sz w:val="24"/>
          <w:szCs w:val="24"/>
          <w:highlight w:val="none"/>
        </w:rPr>
      </w:pPr>
      <w:r>
        <w:rPr>
          <w:rFonts w:hint="default" w:ascii="仿宋_GB2312" w:hAnsi="Times New Roman" w:eastAsia="仿宋_GB2312" w:cs="Times New Roman"/>
          <w:color w:val="auto"/>
          <w:sz w:val="24"/>
          <w:szCs w:val="24"/>
          <w:highlight w:val="none"/>
        </w:rPr>
        <w:t>在施工过程中施工方应严格按照业主方、发包人及政府部门规划用地范围内施工、物资摆放、取弃土、停车等工作，一旦造成乱碾乱压破坏草场、污染环境等现象，政府部门对此实施的停工、整改、罚款等损失全部由承包人承担并负责协调政府相关部门尽快恢复施工。</w:t>
      </w:r>
    </w:p>
    <w:p w14:paraId="18BB8CE8">
      <w:pPr>
        <w:spacing w:beforeLines="0" w:after="0" w:afterLines="0" w:line="480" w:lineRule="auto"/>
        <w:ind w:firstLine="480" w:firstLineChars="200"/>
        <w:rPr>
          <w:rFonts w:ascii="仿宋_GB2312" w:hAnsi="Times New Roman" w:eastAsia="仿宋_GB2312" w:cs="Times New Roman"/>
          <w:color w:val="auto"/>
          <w:sz w:val="24"/>
          <w:szCs w:val="24"/>
          <w:highlight w:val="none"/>
        </w:rPr>
      </w:pPr>
      <w:r>
        <w:rPr>
          <w:rFonts w:hint="default" w:ascii="仿宋_GB2312" w:hAnsi="Times New Roman" w:eastAsia="仿宋_GB2312" w:cs="Times New Roman"/>
          <w:color w:val="auto"/>
          <w:sz w:val="24"/>
          <w:szCs w:val="24"/>
          <w:highlight w:val="none"/>
        </w:rPr>
        <w:t>若施工方不按照业主方提出的要求进行协调处理，发包人有权从工程总额中扣除承包人所造成的全部损失费用，并扣除施工方五万元违约金。</w:t>
      </w:r>
    </w:p>
    <w:p w14:paraId="3467B21B">
      <w:pPr>
        <w:spacing w:line="480" w:lineRule="auto"/>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承诺方（主）：（盖章）XX有限公司        </w:t>
      </w:r>
    </w:p>
    <w:p w14:paraId="6684DB85">
      <w:pPr>
        <w:spacing w:line="480" w:lineRule="auto"/>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法定代表人（或授权代表）签字：              </w:t>
      </w:r>
    </w:p>
    <w:p w14:paraId="28947C96">
      <w:pPr>
        <w:spacing w:line="480" w:lineRule="auto"/>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承诺日期：    年   月   日</w:t>
      </w:r>
    </w:p>
    <w:p w14:paraId="254C5230">
      <w:pPr>
        <w:spacing w:line="480" w:lineRule="auto"/>
        <w:ind w:firstLine="480" w:firstLineChars="200"/>
        <w:rPr>
          <w:rFonts w:hint="eastAsia" w:ascii="仿宋_GB2312" w:eastAsia="仿宋_GB2312"/>
          <w:color w:val="auto"/>
          <w:sz w:val="24"/>
          <w:szCs w:val="24"/>
          <w:highlight w:val="none"/>
        </w:rPr>
      </w:pPr>
    </w:p>
    <w:p w14:paraId="2386B576">
      <w:pPr>
        <w:spacing w:line="480" w:lineRule="auto"/>
        <w:ind w:firstLine="480" w:firstLineChars="200"/>
        <w:rPr>
          <w:rFonts w:hint="eastAsia" w:ascii="仿宋_GB2312" w:eastAsia="仿宋_GB2312"/>
          <w:color w:val="auto"/>
          <w:sz w:val="24"/>
          <w:szCs w:val="24"/>
          <w:highlight w:val="none"/>
        </w:rPr>
      </w:pPr>
    </w:p>
    <w:p w14:paraId="188C6A8E">
      <w:pPr>
        <w:spacing w:line="480" w:lineRule="auto"/>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承诺方（成）：（盖章）XX有限公司        </w:t>
      </w:r>
    </w:p>
    <w:p w14:paraId="522D7B3F">
      <w:pPr>
        <w:spacing w:line="480" w:lineRule="auto"/>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法定代表人（或授权代表）签字：              </w:t>
      </w:r>
    </w:p>
    <w:p w14:paraId="324C0ECD">
      <w:pPr>
        <w:spacing w:beforeLines="0" w:after="0" w:afterLines="0" w:line="480" w:lineRule="auto"/>
        <w:ind w:firstLine="480" w:firstLineChars="200"/>
        <w:rPr>
          <w:rFonts w:hint="default" w:ascii="仿宋_GB2312" w:hAnsi="Times New Roman" w:eastAsia="仿宋_GB2312" w:cs="Times New Roman"/>
          <w:color w:val="auto"/>
          <w:sz w:val="24"/>
          <w:szCs w:val="24"/>
          <w:highlight w:val="none"/>
          <w:u w:val="none"/>
        </w:rPr>
      </w:pPr>
      <w:r>
        <w:rPr>
          <w:rFonts w:hint="eastAsia" w:ascii="仿宋_GB2312" w:eastAsia="仿宋_GB2312"/>
          <w:color w:val="auto"/>
          <w:sz w:val="24"/>
          <w:szCs w:val="24"/>
          <w:highlight w:val="none"/>
        </w:rPr>
        <w:t>承诺日期：    年   月   日</w:t>
      </w:r>
    </w:p>
    <w:p w14:paraId="53E29E34">
      <w:pPr>
        <w:spacing w:line="360" w:lineRule="auto"/>
        <w:jc w:val="both"/>
        <w:rPr>
          <w:rFonts w:hint="default" w:ascii="仿宋_GB2312" w:hAnsi="仿宋_GB2312" w:eastAsia="仿宋_GB2312" w:cs="仿宋_GB2312"/>
          <w:b/>
          <w:color w:val="auto"/>
          <w:sz w:val="32"/>
          <w:szCs w:val="32"/>
          <w:highlight w:val="none"/>
          <w:lang w:val="en-US" w:eastAsia="zh-CN"/>
        </w:rPr>
      </w:pPr>
    </w:p>
    <w:p w14:paraId="7614A00D">
      <w:pPr>
        <w:spacing w:line="240" w:lineRule="auto"/>
        <w:jc w:val="left"/>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lang w:val="en-US" w:eastAsia="zh-CN"/>
        </w:rPr>
        <w:br w:type="page"/>
      </w:r>
    </w:p>
    <w:p w14:paraId="5257C1D2">
      <w:pPr>
        <w:spacing w:line="360" w:lineRule="auto"/>
        <w:jc w:val="both"/>
        <w:rPr>
          <w:rFonts w:hint="eastAsia"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9</w:t>
      </w:r>
      <w:r>
        <w:rPr>
          <w:rFonts w:hint="default" w:ascii="仿宋_GB2312" w:hAnsi="仿宋_GB2312" w:eastAsia="仿宋_GB2312" w:cs="仿宋_GB2312"/>
          <w:b/>
          <w:color w:val="auto"/>
          <w:sz w:val="32"/>
          <w:szCs w:val="32"/>
          <w:highlight w:val="none"/>
          <w:lang w:val="en-US" w:eastAsia="zh-CN"/>
        </w:rPr>
        <w:t xml:space="preserve"> </w:t>
      </w:r>
    </w:p>
    <w:p w14:paraId="0E6E0CD3">
      <w:pPr>
        <w:spacing w:line="360" w:lineRule="auto"/>
        <w:jc w:val="center"/>
        <w:rPr>
          <w:rFonts w:hint="default"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lang w:val="en-US" w:eastAsia="zh-CN"/>
        </w:rPr>
        <w:t>关于民工权益保障承诺书</w:t>
      </w:r>
    </w:p>
    <w:p w14:paraId="0E74031A">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致 东莞市新锋新能源有限公司： </w:t>
      </w:r>
    </w:p>
    <w:p w14:paraId="4BC7E4B4">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我</w:t>
      </w:r>
      <w:r>
        <w:rPr>
          <w:rFonts w:hint="default" w:ascii="仿宋_GB2312" w:hAnsi="Times New Roman" w:eastAsia="仿宋_GB2312" w:cs="Times New Roman"/>
          <w:color w:val="auto"/>
          <w:sz w:val="24"/>
          <w:szCs w:val="24"/>
          <w:highlight w:val="none"/>
          <w:lang w:val="en-US" w:eastAsia="zh-CN"/>
        </w:rPr>
        <w:t>司已与贵司签订东莞市新锋新能源有限公司XX厂区分布式光伏发电项目合同</w:t>
      </w:r>
      <w:r>
        <w:rPr>
          <w:rFonts w:hint="eastAsia" w:ascii="仿宋_GB2312" w:eastAsia="仿宋_GB2312" w:cs="Times New Roman"/>
          <w:color w:val="auto"/>
          <w:sz w:val="24"/>
          <w:szCs w:val="24"/>
          <w:highlight w:val="none"/>
          <w:lang w:val="en-US" w:eastAsia="zh-CN"/>
        </w:rPr>
        <w:t>。</w:t>
      </w:r>
      <w:r>
        <w:rPr>
          <w:rFonts w:hint="default" w:ascii="仿宋_GB2312" w:hAnsi="Times New Roman" w:eastAsia="仿宋_GB2312" w:cs="Times New Roman"/>
          <w:color w:val="auto"/>
          <w:sz w:val="24"/>
          <w:szCs w:val="24"/>
          <w:highlight w:val="none"/>
          <w:lang w:val="en-US" w:eastAsia="zh-CN"/>
        </w:rPr>
        <w:t>现就</w:t>
      </w:r>
      <w:r>
        <w:rPr>
          <w:rFonts w:hint="eastAsia" w:ascii="仿宋_GB2312" w:eastAsia="仿宋_GB2312" w:cs="Times New Roman"/>
          <w:color w:val="auto"/>
          <w:sz w:val="24"/>
          <w:szCs w:val="24"/>
          <w:highlight w:val="none"/>
          <w:lang w:val="en-US" w:eastAsia="zh-CN"/>
        </w:rPr>
        <w:t>本项目实施工作，我司郑重承诺如下</w:t>
      </w:r>
      <w:r>
        <w:rPr>
          <w:rFonts w:hint="default" w:ascii="仿宋_GB2312" w:hAnsi="Times New Roman" w:eastAsia="仿宋_GB2312" w:cs="Times New Roman"/>
          <w:color w:val="auto"/>
          <w:sz w:val="24"/>
          <w:szCs w:val="24"/>
          <w:highlight w:val="none"/>
          <w:lang w:val="en-US" w:eastAsia="zh-CN"/>
        </w:rPr>
        <w:t>：</w:t>
      </w:r>
    </w:p>
    <w:p w14:paraId="42B051F8">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1、我司承诺严格按照国家规定及合同要求，足额支付农民工工资，决不拖欠或克扣。若因违反规定导致农民工上访，我司自愿接受人力资源社会保障、建设、公安等部门的处理和处罚。</w:t>
      </w:r>
    </w:p>
    <w:p w14:paraId="56618241">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2、我司将认真履行民工用工管理职责，确保劳务班组工程款足额支付，并监督工资直接发放至农民工本人（国家法定节假日前优先支付工资）；妥善安排民工生活，落实安全教育、劳保及安全用品发放等权益保障工作。</w:t>
      </w:r>
    </w:p>
    <w:p w14:paraId="4C1C9D19">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3、我司已为承接的工程购买工程一切险，并为所有管理人员及施工人员投保工伤保险和意外保险。</w:t>
      </w:r>
    </w:p>
    <w:p w14:paraId="4E4CB9E3">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4、民工权益保障绩效将作为工程款支付依据之一。若我司违反承诺，贵司有权分两步支付进度款：先支付上月（期）民工工资，待我司提供工资发放凭证后再支付余额。</w:t>
      </w:r>
    </w:p>
    <w:p w14:paraId="754F5976">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5、如因我司民工权益保障不到位引发重大突发事件（如围堵项目或贵司办公场所），我司同意接受每次20万元的处罚；若贵司代为支付相关费用，可直接从进度款或结算款中扣除，并承担由此造成的一切负面影响及赔偿责任。</w:t>
      </w:r>
    </w:p>
    <w:p w14:paraId="5B34D494">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特此承诺</w:t>
      </w:r>
    </w:p>
    <w:p w14:paraId="4ED0B70D">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p>
    <w:p w14:paraId="33E3206A">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p>
    <w:p w14:paraId="035DB541">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p>
    <w:p w14:paraId="6816FACF">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（签署页）</w:t>
      </w:r>
    </w:p>
    <w:p w14:paraId="047036E8">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49BF0EE5">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51E6FB1D">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承诺方（主）：（盖章）XX有限公司        </w:t>
      </w:r>
    </w:p>
    <w:p w14:paraId="2957EBB2">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法定代表人（或授权代表）签字：              </w:t>
      </w:r>
    </w:p>
    <w:p w14:paraId="05EC14AF">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承诺日期：    年   月   日</w:t>
      </w:r>
    </w:p>
    <w:p w14:paraId="218F8549">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131E6EE6">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5732C743">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承诺方（成）：（盖章）XX有限公司        </w:t>
      </w:r>
    </w:p>
    <w:p w14:paraId="6C1D53AA">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法定代表人（或授权代表）签字：              </w:t>
      </w:r>
    </w:p>
    <w:p w14:paraId="606DE3B4">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r>
        <w:rPr>
          <w:rFonts w:hint="default" w:ascii="仿宋_GB2312" w:hAnsi="Times New Roman" w:eastAsia="仿宋_GB2312" w:cs="Times New Roman"/>
          <w:color w:val="auto"/>
          <w:sz w:val="24"/>
          <w:szCs w:val="24"/>
          <w:highlight w:val="none"/>
          <w:lang w:val="en-US" w:eastAsia="zh-CN"/>
        </w:rPr>
        <w:t>承诺日期：    年   月   日</w:t>
      </w:r>
    </w:p>
    <w:p w14:paraId="4BA7478A">
      <w:pPr>
        <w:spacing w:line="360" w:lineRule="auto"/>
        <w:jc w:val="both"/>
        <w:rPr>
          <w:rFonts w:hint="default"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10</w:t>
      </w:r>
      <w:r>
        <w:rPr>
          <w:rFonts w:hint="default" w:ascii="仿宋_GB2312" w:hAnsi="仿宋_GB2312" w:eastAsia="仿宋_GB2312" w:cs="仿宋_GB2312"/>
          <w:b/>
          <w:color w:val="auto"/>
          <w:sz w:val="32"/>
          <w:szCs w:val="32"/>
          <w:highlight w:val="none"/>
          <w:lang w:val="en-US" w:eastAsia="zh-CN"/>
        </w:rPr>
        <w:t xml:space="preserve"> 实施本项目的有关人员资料表</w:t>
      </w:r>
    </w:p>
    <w:p w14:paraId="68C5BD3E">
      <w:pPr>
        <w:spacing w:line="360" w:lineRule="auto"/>
        <w:jc w:val="center"/>
        <w:rPr>
          <w:rFonts w:hint="default" w:ascii="仿宋_GB2312" w:hAnsi="仿宋_GB2312" w:eastAsia="仿宋_GB2312" w:cs="仿宋_GB2312"/>
          <w:b/>
          <w:color w:val="auto"/>
          <w:sz w:val="32"/>
          <w:szCs w:val="32"/>
          <w:highlight w:val="none"/>
          <w:lang w:val="en-US" w:eastAsia="zh-CN"/>
        </w:rPr>
      </w:pPr>
    </w:p>
    <w:p w14:paraId="38AA2732">
      <w:pPr>
        <w:tabs>
          <w:tab w:val="left" w:pos="360"/>
        </w:tabs>
        <w:spacing w:line="360" w:lineRule="auto"/>
        <w:rPr>
          <w:rFonts w:hint="default" w:ascii="宋体" w:hAnsi="宋体" w:cs="宋体"/>
          <w:color w:val="auto"/>
          <w:highlight w:val="none"/>
          <w:lang w:val="en-US" w:eastAsia="zh-CN"/>
        </w:rPr>
      </w:pPr>
    </w:p>
    <w:p w14:paraId="796738F9">
      <w:pPr>
        <w:rPr>
          <w:rFonts w:hint="eastAsia" w:ascii="宋体" w:hAnsi="宋体" w:eastAsia="宋体" w:cs="宋体"/>
          <w:color w:val="auto"/>
          <w:sz w:val="28"/>
          <w:szCs w:val="28"/>
          <w:highlight w:val="none"/>
        </w:rPr>
      </w:pPr>
    </w:p>
    <w:p w14:paraId="048E41CD">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7FA1A1A7">
      <w:pPr>
        <w:pStyle w:val="4"/>
        <w:spacing w:before="0" w:after="0" w:line="240" w:lineRule="auto"/>
        <w:rPr>
          <w:rFonts w:hint="eastAsia" w:ascii="宋体" w:hAnsi="宋体" w:eastAsia="宋体" w:cs="宋体"/>
          <w:color w:val="auto"/>
          <w:sz w:val="28"/>
          <w:szCs w:val="28"/>
          <w:highlight w:val="none"/>
        </w:rPr>
      </w:pPr>
      <w:bookmarkStart w:id="126" w:name="_Toc2100"/>
      <w:r>
        <w:rPr>
          <w:rFonts w:hint="eastAsia" w:ascii="宋体" w:hAnsi="宋体" w:eastAsia="宋体" w:cs="宋体"/>
          <w:color w:val="auto"/>
          <w:sz w:val="28"/>
          <w:szCs w:val="28"/>
          <w:highlight w:val="none"/>
        </w:rPr>
        <w:t>第六部分 附件－投标文件格式</w:t>
      </w:r>
      <w:bookmarkEnd w:id="126"/>
    </w:p>
    <w:p w14:paraId="575AFACF">
      <w:pPr>
        <w:pStyle w:val="4"/>
        <w:jc w:val="center"/>
        <w:rPr>
          <w:rFonts w:hint="eastAsia" w:ascii="宋体" w:hAnsi="宋体" w:cs="宋体"/>
          <w:color w:val="auto"/>
          <w:sz w:val="28"/>
          <w:szCs w:val="28"/>
          <w:highlight w:val="none"/>
        </w:rPr>
      </w:pPr>
      <w:bookmarkStart w:id="127" w:name="_Toc19068"/>
      <w:r>
        <w:rPr>
          <w:rFonts w:hint="eastAsia" w:ascii="宋体" w:hAnsi="宋体" w:cs="宋体"/>
          <w:color w:val="auto"/>
          <w:sz w:val="28"/>
          <w:szCs w:val="28"/>
          <w:highlight w:val="none"/>
        </w:rPr>
        <w:t>投标文件目录</w:t>
      </w:r>
      <w:bookmarkEnd w:id="127"/>
    </w:p>
    <w:p w14:paraId="25F94109">
      <w:pPr>
        <w:pStyle w:val="14"/>
        <w:tabs>
          <w:tab w:val="right" w:leader="dot" w:pos="8306"/>
          <w:tab w:val="clear" w:pos="8296"/>
        </w:tabs>
        <w:ind w:left="0" w:leftChars="0" w:firstLine="179"/>
        <w:rPr>
          <w:rFonts w:hint="eastAsia" w:ascii="宋体" w:hAnsi="宋体" w:cs="宋体"/>
          <w:b/>
          <w:bCs/>
          <w:color w:val="auto"/>
          <w:sz w:val="24"/>
          <w:szCs w:val="24"/>
          <w:highlight w:val="none"/>
        </w:rPr>
      </w:pPr>
      <w:r>
        <w:rPr>
          <w:color w:val="auto"/>
          <w:highlight w:val="none"/>
        </w:rPr>
        <w:fldChar w:fldCharType="begin"/>
      </w:r>
      <w:r>
        <w:rPr>
          <w:color w:val="auto"/>
          <w:highlight w:val="none"/>
        </w:rPr>
        <w:instrText xml:space="preserve"> HYPERLINK \l "_Toc30895" </w:instrText>
      </w:r>
      <w:r>
        <w:rPr>
          <w:color w:val="auto"/>
          <w:highlight w:val="none"/>
        </w:rPr>
        <w:fldChar w:fldCharType="separate"/>
      </w:r>
      <w:r>
        <w:rPr>
          <w:rFonts w:hint="eastAsia" w:ascii="宋体" w:hAnsi="宋体" w:cs="宋体"/>
          <w:b/>
          <w:bCs/>
          <w:color w:val="auto"/>
          <w:sz w:val="24"/>
          <w:szCs w:val="24"/>
          <w:highlight w:val="none"/>
        </w:rPr>
        <w:t>价格文件</w:t>
      </w:r>
      <w:r>
        <w:rPr>
          <w:rFonts w:hint="eastAsia" w:ascii="宋体" w:hAnsi="宋体" w:cs="宋体"/>
          <w:b/>
          <w:bCs/>
          <w:color w:val="auto"/>
          <w:sz w:val="24"/>
          <w:szCs w:val="24"/>
          <w:highlight w:val="none"/>
        </w:rPr>
        <w:fldChar w:fldCharType="end"/>
      </w:r>
    </w:p>
    <w:p w14:paraId="6640BBBA">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"_Toc15657" </w:instrText>
      </w:r>
      <w:r>
        <w:rPr>
          <w:color w:val="auto"/>
          <w:highlight w:val="none"/>
        </w:rPr>
        <w:fldChar w:fldCharType="separate"/>
      </w:r>
      <w:r>
        <w:rPr>
          <w:rFonts w:hint="eastAsia" w:ascii="宋体" w:hAnsi="宋体" w:cs="宋体"/>
          <w:color w:val="auto"/>
          <w:highlight w:val="none"/>
        </w:rPr>
        <w:t>开标一览表</w:t>
      </w:r>
      <w:r>
        <w:rPr>
          <w:rFonts w:hint="eastAsia" w:ascii="宋体" w:hAnsi="宋体" w:cs="宋体"/>
          <w:color w:val="auto"/>
          <w:highlight w:val="none"/>
        </w:rPr>
        <w:fldChar w:fldCharType="end"/>
      </w:r>
    </w:p>
    <w:p w14:paraId="5C6EB705">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"_Toc17495" </w:instrText>
      </w:r>
      <w:r>
        <w:rPr>
          <w:color w:val="auto"/>
          <w:highlight w:val="none"/>
        </w:rPr>
        <w:fldChar w:fldCharType="separate"/>
      </w:r>
      <w:r>
        <w:rPr>
          <w:rFonts w:hint="eastAsia" w:ascii="宋体" w:hAnsi="宋体" w:cs="宋体"/>
          <w:color w:val="auto"/>
          <w:highlight w:val="none"/>
        </w:rPr>
        <w:t>主要设备品牌响应表</w:t>
      </w:r>
      <w:r>
        <w:rPr>
          <w:rFonts w:hint="eastAsia" w:ascii="宋体" w:hAnsi="宋体" w:cs="宋体"/>
          <w:color w:val="auto"/>
          <w:highlight w:val="none"/>
        </w:rPr>
        <w:fldChar w:fldCharType="end"/>
      </w:r>
    </w:p>
    <w:p w14:paraId="1E701C9A">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"_Toc4453" </w:instrText>
      </w:r>
      <w:r>
        <w:rPr>
          <w:color w:val="auto"/>
          <w:highlight w:val="none"/>
        </w:rPr>
        <w:fldChar w:fldCharType="separate"/>
      </w:r>
      <w:r>
        <w:rPr>
          <w:rFonts w:hint="eastAsia" w:ascii="宋体" w:hAnsi="宋体" w:cs="宋体"/>
          <w:color w:val="auto"/>
          <w:highlight w:val="none"/>
        </w:rPr>
        <w:t>报价明细表</w:t>
      </w:r>
      <w:r>
        <w:rPr>
          <w:rFonts w:hint="eastAsia" w:ascii="宋体" w:hAnsi="宋体" w:cs="宋体"/>
          <w:color w:val="auto"/>
          <w:highlight w:val="none"/>
        </w:rPr>
        <w:fldChar w:fldCharType="end"/>
      </w:r>
    </w:p>
    <w:p w14:paraId="4E05F4FE">
      <w:pPr>
        <w:pStyle w:val="14"/>
        <w:tabs>
          <w:tab w:val="right" w:leader="dot" w:pos="8306"/>
          <w:tab w:val="clear" w:pos="8296"/>
        </w:tabs>
        <w:ind w:left="0" w:leftChars="0" w:firstLine="179"/>
        <w:rPr>
          <w:rFonts w:hint="eastAsia" w:ascii="宋体" w:hAnsi="宋体" w:cs="宋体"/>
          <w:b/>
          <w:bCs/>
          <w:color w:val="auto"/>
          <w:sz w:val="24"/>
          <w:szCs w:val="24"/>
          <w:highlight w:val="none"/>
        </w:rPr>
      </w:pPr>
      <w:r>
        <w:rPr>
          <w:color w:val="auto"/>
          <w:highlight w:val="none"/>
        </w:rPr>
        <w:fldChar w:fldCharType="begin"/>
      </w:r>
      <w:r>
        <w:rPr>
          <w:color w:val="auto"/>
          <w:highlight w:val="none"/>
        </w:rPr>
        <w:instrText xml:space="preserve"> HYPERLINK \l "_Toc8484" </w:instrText>
      </w:r>
      <w:r>
        <w:rPr>
          <w:color w:val="auto"/>
          <w:highlight w:val="none"/>
        </w:rPr>
        <w:fldChar w:fldCharType="separate"/>
      </w:r>
      <w:r>
        <w:rPr>
          <w:rFonts w:hint="eastAsia" w:ascii="宋体" w:hAnsi="宋体" w:cs="宋体"/>
          <w:b/>
          <w:bCs/>
          <w:color w:val="auto"/>
          <w:sz w:val="24"/>
          <w:szCs w:val="24"/>
          <w:highlight w:val="none"/>
        </w:rPr>
        <w:t>商务文件</w:t>
      </w:r>
      <w:r>
        <w:rPr>
          <w:rFonts w:hint="eastAsia" w:ascii="宋体" w:hAnsi="宋体" w:cs="宋体"/>
          <w:b/>
          <w:bCs/>
          <w:color w:val="auto"/>
          <w:sz w:val="24"/>
          <w:szCs w:val="24"/>
          <w:highlight w:val="none"/>
        </w:rPr>
        <w:fldChar w:fldCharType="end"/>
      </w:r>
    </w:p>
    <w:p w14:paraId="5594A530">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商务</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_Toc3044 </w:instrText>
      </w:r>
      <w:r>
        <w:rPr>
          <w:rFonts w:hint="eastAsia" w:ascii="宋体" w:hAnsi="宋体" w:cs="宋体"/>
          <w:color w:val="auto"/>
          <w:highlight w:val="none"/>
        </w:rPr>
        <w:fldChar w:fldCharType="separate"/>
      </w:r>
      <w:r>
        <w:rPr>
          <w:rFonts w:hint="eastAsia" w:ascii="宋体" w:hAnsi="宋体" w:cs="宋体"/>
          <w:color w:val="auto"/>
          <w:highlight w:val="none"/>
        </w:rPr>
        <w:t>评分标准索引表</w:t>
      </w:r>
      <w:r>
        <w:rPr>
          <w:rFonts w:hint="eastAsia" w:ascii="宋体" w:hAnsi="宋体" w:cs="宋体"/>
          <w:color w:val="auto"/>
          <w:highlight w:val="none"/>
        </w:rPr>
        <w:fldChar w:fldCharType="end"/>
      </w:r>
    </w:p>
    <w:p w14:paraId="42921860">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"_Toc28959" </w:instrText>
      </w:r>
      <w:r>
        <w:rPr>
          <w:color w:val="auto"/>
          <w:highlight w:val="none"/>
        </w:rPr>
        <w:fldChar w:fldCharType="separate"/>
      </w:r>
      <w:r>
        <w:rPr>
          <w:rFonts w:hint="eastAsia" w:ascii="宋体" w:hAnsi="宋体" w:cs="宋体"/>
          <w:color w:val="auto"/>
          <w:highlight w:val="none"/>
        </w:rPr>
        <w:t>投标书格式</w:t>
      </w:r>
      <w:r>
        <w:rPr>
          <w:rFonts w:hint="eastAsia" w:ascii="宋体" w:hAnsi="宋体" w:cs="宋体"/>
          <w:color w:val="auto"/>
          <w:highlight w:val="none"/>
        </w:rPr>
        <w:fldChar w:fldCharType="end"/>
      </w:r>
    </w:p>
    <w:p w14:paraId="79BDF0F7">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"_Toc6073" </w:instrText>
      </w:r>
      <w:r>
        <w:rPr>
          <w:color w:val="auto"/>
          <w:highlight w:val="none"/>
        </w:rPr>
        <w:fldChar w:fldCharType="separate"/>
      </w:r>
      <w:r>
        <w:rPr>
          <w:rFonts w:hint="eastAsia" w:ascii="宋体" w:hAnsi="宋体" w:cs="宋体"/>
          <w:color w:val="auto"/>
          <w:highlight w:val="none"/>
        </w:rPr>
        <w:t>法定代表人证明书</w:t>
      </w:r>
      <w:r>
        <w:rPr>
          <w:rFonts w:hint="eastAsia" w:ascii="宋体" w:hAnsi="宋体" w:cs="宋体"/>
          <w:color w:val="auto"/>
          <w:highlight w:val="none"/>
        </w:rPr>
        <w:fldChar w:fldCharType="end"/>
      </w:r>
    </w:p>
    <w:p w14:paraId="06D2289F">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"_Toc25531" </w:instrText>
      </w:r>
      <w:r>
        <w:rPr>
          <w:color w:val="auto"/>
          <w:highlight w:val="none"/>
        </w:rPr>
        <w:fldChar w:fldCharType="separate"/>
      </w:r>
      <w:r>
        <w:rPr>
          <w:rFonts w:hint="eastAsia" w:ascii="宋体" w:hAnsi="宋体" w:cs="宋体"/>
          <w:color w:val="auto"/>
          <w:highlight w:val="none"/>
        </w:rPr>
        <w:t>法定代表人授权书</w:t>
      </w:r>
      <w:r>
        <w:rPr>
          <w:rFonts w:hint="eastAsia" w:ascii="宋体" w:hAnsi="宋体" w:cs="宋体"/>
          <w:color w:val="auto"/>
          <w:highlight w:val="none"/>
        </w:rPr>
        <w:fldChar w:fldCharType="end"/>
      </w:r>
    </w:p>
    <w:p w14:paraId="476D1D06">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"_Toc30192" </w:instrText>
      </w:r>
      <w:r>
        <w:rPr>
          <w:color w:val="auto"/>
          <w:highlight w:val="none"/>
        </w:rPr>
        <w:fldChar w:fldCharType="separate"/>
      </w:r>
      <w:r>
        <w:rPr>
          <w:rFonts w:hint="eastAsia" w:ascii="宋体" w:hAnsi="宋体" w:cs="宋体"/>
          <w:color w:val="auto"/>
          <w:highlight w:val="none"/>
        </w:rPr>
        <w:t>资格申明</w:t>
      </w:r>
      <w:r>
        <w:rPr>
          <w:rFonts w:hint="eastAsia" w:ascii="宋体" w:hAnsi="宋体" w:cs="宋体"/>
          <w:color w:val="auto"/>
          <w:highlight w:val="none"/>
        </w:rPr>
        <w:fldChar w:fldCharType="end"/>
      </w:r>
    </w:p>
    <w:p w14:paraId="3FFF5109">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"_Toc31632" </w:instrText>
      </w:r>
      <w:r>
        <w:rPr>
          <w:color w:val="auto"/>
          <w:highlight w:val="none"/>
        </w:rPr>
        <w:fldChar w:fldCharType="separate"/>
      </w:r>
      <w:r>
        <w:rPr>
          <w:rFonts w:hint="eastAsia" w:ascii="宋体" w:hAnsi="宋体" w:cs="宋体"/>
          <w:color w:val="auto"/>
          <w:highlight w:val="none"/>
        </w:rPr>
        <w:t>营业执照</w:t>
      </w:r>
      <w:r>
        <w:rPr>
          <w:rFonts w:hint="eastAsia" w:ascii="宋体" w:hAnsi="宋体" w:cs="宋体"/>
          <w:color w:val="auto"/>
          <w:highlight w:val="none"/>
        </w:rPr>
        <w:fldChar w:fldCharType="end"/>
      </w:r>
    </w:p>
    <w:p w14:paraId="40D4A8A7">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"_Toc6435" </w:instrText>
      </w:r>
      <w:r>
        <w:rPr>
          <w:color w:val="auto"/>
          <w:highlight w:val="none"/>
        </w:rPr>
        <w:fldChar w:fldCharType="separate"/>
      </w:r>
      <w:r>
        <w:rPr>
          <w:rFonts w:hint="eastAsia" w:ascii="宋体" w:hAnsi="宋体" w:cs="宋体"/>
          <w:color w:val="auto"/>
          <w:highlight w:val="none"/>
        </w:rPr>
        <w:t>相关资质证明文件</w:t>
      </w:r>
      <w:r>
        <w:rPr>
          <w:rFonts w:hint="eastAsia" w:ascii="宋体" w:hAnsi="宋体" w:cs="宋体"/>
          <w:color w:val="auto"/>
          <w:highlight w:val="none"/>
        </w:rPr>
        <w:fldChar w:fldCharType="end"/>
      </w:r>
    </w:p>
    <w:p w14:paraId="3956D51A">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"_Toc19329" </w:instrText>
      </w:r>
      <w:r>
        <w:rPr>
          <w:color w:val="auto"/>
          <w:highlight w:val="none"/>
        </w:rPr>
        <w:fldChar w:fldCharType="separate"/>
      </w:r>
      <w:r>
        <w:rPr>
          <w:rFonts w:hint="eastAsia" w:ascii="宋体" w:hAnsi="宋体" w:cs="宋体"/>
          <w:color w:val="auto"/>
          <w:highlight w:val="none"/>
        </w:rPr>
        <w:t>在经营活动中没有重大违法记录的书面声明</w:t>
      </w:r>
      <w:r>
        <w:rPr>
          <w:rFonts w:hint="eastAsia" w:ascii="宋体" w:hAnsi="宋体" w:cs="宋体"/>
          <w:color w:val="auto"/>
          <w:highlight w:val="none"/>
        </w:rPr>
        <w:fldChar w:fldCharType="end"/>
      </w:r>
    </w:p>
    <w:p w14:paraId="27D6CFCC">
      <w:pPr>
        <w:ind w:firstLine="420"/>
        <w:rPr>
          <w:rFonts w:hint="eastAsia" w:ascii="宋体" w:hAnsi="宋体" w:cs="宋体"/>
          <w:color w:val="auto"/>
          <w:highlight w:val="none"/>
          <w:lang w:val="en-US" w:eastAsia="zh-CN"/>
        </w:rPr>
      </w:pPr>
      <w:r>
        <w:rPr>
          <w:rFonts w:hint="eastAsia" w:ascii="宋体" w:hAnsi="宋体" w:cs="宋体"/>
          <w:color w:val="auto"/>
          <w:highlight w:val="none"/>
          <w:lang w:val="en-US" w:eastAsia="zh-CN"/>
        </w:rPr>
        <w:t>未被列入“信用中国”记录失信被执行人或重大税收违法失信主体或政府采购严重违法失信行为记录名单的证明资料</w:t>
      </w:r>
    </w:p>
    <w:p w14:paraId="533A1665">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"_Toc4049" </w:instrText>
      </w:r>
      <w:r>
        <w:rPr>
          <w:color w:val="auto"/>
          <w:highlight w:val="none"/>
        </w:rPr>
        <w:fldChar w:fldCharType="separate"/>
      </w:r>
      <w:r>
        <w:rPr>
          <w:rFonts w:hint="eastAsia" w:ascii="宋体" w:hAnsi="宋体" w:cs="宋体"/>
          <w:color w:val="auto"/>
          <w:highlight w:val="none"/>
        </w:rPr>
        <w:t>承诺书</w:t>
      </w:r>
      <w:r>
        <w:rPr>
          <w:rFonts w:hint="eastAsia" w:ascii="宋体" w:hAnsi="宋体" w:cs="宋体"/>
          <w:color w:val="auto"/>
          <w:highlight w:val="none"/>
        </w:rPr>
        <w:fldChar w:fldCharType="end"/>
      </w:r>
    </w:p>
    <w:p w14:paraId="7679F342">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"_Toc31380" </w:instrText>
      </w:r>
      <w:r>
        <w:rPr>
          <w:color w:val="auto"/>
          <w:highlight w:val="none"/>
        </w:rPr>
        <w:fldChar w:fldCharType="separate"/>
      </w:r>
      <w:r>
        <w:rPr>
          <w:rFonts w:hint="eastAsia" w:ascii="宋体" w:hAnsi="宋体" w:cs="宋体"/>
          <w:color w:val="auto"/>
          <w:highlight w:val="none"/>
        </w:rPr>
        <w:t>商务需求条款偏离表</w:t>
      </w:r>
      <w:r>
        <w:rPr>
          <w:rFonts w:hint="eastAsia" w:ascii="宋体" w:hAnsi="宋体" w:cs="宋体"/>
          <w:color w:val="auto"/>
          <w:highlight w:val="none"/>
        </w:rPr>
        <w:fldChar w:fldCharType="end"/>
      </w:r>
    </w:p>
    <w:p w14:paraId="3F7631A0">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"_Toc30050" </w:instrText>
      </w:r>
      <w:r>
        <w:rPr>
          <w:color w:val="auto"/>
          <w:highlight w:val="none"/>
        </w:rPr>
        <w:fldChar w:fldCharType="separate"/>
      </w:r>
      <w:r>
        <w:rPr>
          <w:rFonts w:hint="eastAsia" w:ascii="宋体" w:hAnsi="宋体" w:cs="宋体"/>
          <w:color w:val="auto"/>
          <w:highlight w:val="none"/>
        </w:rPr>
        <w:t>业绩表</w:t>
      </w:r>
      <w:r>
        <w:rPr>
          <w:rFonts w:hint="eastAsia" w:ascii="宋体" w:hAnsi="宋体" w:cs="宋体"/>
          <w:color w:val="auto"/>
          <w:highlight w:val="none"/>
        </w:rPr>
        <w:fldChar w:fldCharType="end"/>
      </w:r>
      <w:r>
        <w:rPr>
          <w:rFonts w:hint="eastAsia" w:ascii="宋体" w:hAnsi="宋体" w:cs="宋体"/>
          <w:color w:val="auto"/>
          <w:highlight w:val="none"/>
        </w:rPr>
        <w:t>（包括合同复印件、并网证明、验收证明）</w:t>
      </w:r>
    </w:p>
    <w:p w14:paraId="345A8A56">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"_Toc27938" </w:instrText>
      </w:r>
      <w:r>
        <w:rPr>
          <w:color w:val="auto"/>
          <w:highlight w:val="none"/>
        </w:rPr>
        <w:fldChar w:fldCharType="separate"/>
      </w:r>
      <w:r>
        <w:rPr>
          <w:rFonts w:hint="eastAsia" w:ascii="宋体" w:hAnsi="宋体" w:cs="宋体"/>
          <w:color w:val="auto"/>
          <w:highlight w:val="none"/>
        </w:rPr>
        <w:t>联合体协议书（如有）</w:t>
      </w:r>
      <w:r>
        <w:rPr>
          <w:rFonts w:hint="eastAsia" w:ascii="宋体" w:hAnsi="宋体" w:cs="宋体"/>
          <w:color w:val="auto"/>
          <w:highlight w:val="none"/>
        </w:rPr>
        <w:fldChar w:fldCharType="end"/>
      </w:r>
    </w:p>
    <w:p w14:paraId="1079DC76">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体系认证资料</w:t>
      </w:r>
    </w:p>
    <w:p w14:paraId="2E0B5ED4">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财务资料</w:t>
      </w:r>
    </w:p>
    <w:p w14:paraId="0541BB31">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"_Toc32156" </w:instrText>
      </w:r>
      <w:r>
        <w:rPr>
          <w:color w:val="auto"/>
          <w:highlight w:val="none"/>
        </w:rPr>
        <w:fldChar w:fldCharType="separate"/>
      </w:r>
      <w:r>
        <w:rPr>
          <w:rFonts w:hint="eastAsia" w:ascii="宋体" w:hAnsi="宋体" w:cs="宋体"/>
          <w:color w:val="auto"/>
          <w:highlight w:val="none"/>
        </w:rPr>
        <w:t>实施本项目的有关人员资料表</w:t>
      </w:r>
      <w:r>
        <w:rPr>
          <w:rFonts w:hint="eastAsia" w:ascii="宋体" w:hAnsi="宋体" w:cs="宋体"/>
          <w:color w:val="auto"/>
          <w:highlight w:val="none"/>
        </w:rPr>
        <w:fldChar w:fldCharType="end"/>
      </w:r>
      <w:r>
        <w:rPr>
          <w:rFonts w:hint="eastAsia" w:ascii="宋体" w:hAnsi="宋体" w:cs="宋体"/>
          <w:color w:val="auto"/>
          <w:highlight w:val="none"/>
        </w:rPr>
        <w:t>（包括相关人员相关证书资料）</w:t>
      </w:r>
    </w:p>
    <w:p w14:paraId="45B707EA">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有关人员近期的社保缴纳情况</w:t>
      </w:r>
    </w:p>
    <w:p w14:paraId="19B76FEE">
      <w:pPr>
        <w:pStyle w:val="14"/>
        <w:tabs>
          <w:tab w:val="right" w:leader="dot" w:pos="8306"/>
          <w:tab w:val="clear" w:pos="8296"/>
        </w:tabs>
        <w:ind w:left="0" w:leftChars="0" w:firstLine="179"/>
        <w:rPr>
          <w:rFonts w:hint="eastAsia" w:ascii="宋体" w:hAnsi="宋体" w:cs="宋体"/>
          <w:b/>
          <w:bCs/>
          <w:color w:val="auto"/>
          <w:sz w:val="24"/>
          <w:szCs w:val="24"/>
          <w:highlight w:val="none"/>
        </w:rPr>
      </w:pPr>
      <w:r>
        <w:rPr>
          <w:color w:val="auto"/>
          <w:highlight w:val="none"/>
        </w:rPr>
        <w:fldChar w:fldCharType="begin"/>
      </w:r>
      <w:r>
        <w:rPr>
          <w:color w:val="auto"/>
          <w:highlight w:val="none"/>
        </w:rPr>
        <w:instrText xml:space="preserve"> HYPERLINK \l "_Toc16663" </w:instrText>
      </w:r>
      <w:r>
        <w:rPr>
          <w:color w:val="auto"/>
          <w:highlight w:val="none"/>
        </w:rPr>
        <w:fldChar w:fldCharType="separate"/>
      </w:r>
      <w:r>
        <w:rPr>
          <w:rFonts w:hint="eastAsia" w:ascii="宋体" w:hAnsi="宋体" w:cs="宋体"/>
          <w:b/>
          <w:bCs/>
          <w:color w:val="auto"/>
          <w:sz w:val="24"/>
          <w:szCs w:val="24"/>
          <w:highlight w:val="none"/>
        </w:rPr>
        <w:t>技术文件</w:t>
      </w:r>
      <w:r>
        <w:rPr>
          <w:rFonts w:hint="eastAsia" w:ascii="宋体" w:hAnsi="宋体" w:cs="宋体"/>
          <w:b/>
          <w:bCs/>
          <w:color w:val="auto"/>
          <w:sz w:val="24"/>
          <w:szCs w:val="24"/>
          <w:highlight w:val="none"/>
        </w:rPr>
        <w:fldChar w:fldCharType="end"/>
      </w:r>
    </w:p>
    <w:p w14:paraId="2D4DC1B9">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技术</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\l _Toc3044 </w:instrText>
      </w:r>
      <w:r>
        <w:rPr>
          <w:rFonts w:hint="eastAsia" w:ascii="宋体" w:hAnsi="宋体" w:cs="宋体"/>
          <w:color w:val="auto"/>
          <w:highlight w:val="none"/>
        </w:rPr>
        <w:fldChar w:fldCharType="separate"/>
      </w:r>
      <w:r>
        <w:rPr>
          <w:rFonts w:hint="eastAsia" w:ascii="宋体" w:hAnsi="宋体" w:cs="宋体"/>
          <w:color w:val="auto"/>
          <w:highlight w:val="none"/>
        </w:rPr>
        <w:t>评分标准索引表</w:t>
      </w:r>
      <w:r>
        <w:rPr>
          <w:rFonts w:hint="eastAsia" w:ascii="宋体" w:hAnsi="宋体" w:cs="宋体"/>
          <w:color w:val="auto"/>
          <w:highlight w:val="none"/>
        </w:rPr>
        <w:fldChar w:fldCharType="end"/>
      </w:r>
    </w:p>
    <w:p w14:paraId="1B0D9BE5">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"_Toc30859" </w:instrText>
      </w:r>
      <w:r>
        <w:rPr>
          <w:color w:val="auto"/>
          <w:highlight w:val="none"/>
        </w:rPr>
        <w:fldChar w:fldCharType="separate"/>
      </w:r>
      <w:r>
        <w:rPr>
          <w:rFonts w:hint="eastAsia" w:ascii="宋体" w:hAnsi="宋体" w:cs="宋体"/>
          <w:color w:val="auto"/>
          <w:highlight w:val="none"/>
        </w:rPr>
        <w:t>技术规格偏离表</w:t>
      </w:r>
      <w:r>
        <w:rPr>
          <w:rFonts w:hint="eastAsia" w:ascii="宋体" w:hAnsi="宋体" w:cs="宋体"/>
          <w:color w:val="auto"/>
          <w:highlight w:val="none"/>
        </w:rPr>
        <w:fldChar w:fldCharType="end"/>
      </w:r>
    </w:p>
    <w:p w14:paraId="2063B39E">
      <w:pPr>
        <w:pStyle w:val="14"/>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r>
      <w:r>
        <w:rPr>
          <w:color w:val="auto"/>
          <w:highlight w:val="none"/>
        </w:rPr>
        <w:instrText xml:space="preserve"> HYPERLINK \l "_Toc18790" </w:instrText>
      </w:r>
      <w:r>
        <w:rPr>
          <w:color w:val="auto"/>
          <w:highlight w:val="none"/>
        </w:rPr>
        <w:fldChar w:fldCharType="separate"/>
      </w:r>
      <w:r>
        <w:rPr>
          <w:rFonts w:hint="eastAsia" w:ascii="宋体" w:hAnsi="宋体" w:cs="宋体"/>
          <w:color w:val="auto"/>
          <w:highlight w:val="none"/>
        </w:rPr>
        <w:t>项目实施方案</w:t>
      </w:r>
      <w:r>
        <w:rPr>
          <w:rFonts w:hint="eastAsia" w:ascii="宋体" w:hAnsi="宋体" w:cs="宋体"/>
          <w:color w:val="auto"/>
          <w:highlight w:val="none"/>
        </w:rPr>
        <w:fldChar w:fldCharType="end"/>
      </w:r>
      <w:r>
        <w:rPr>
          <w:rFonts w:hint="eastAsia" w:ascii="宋体" w:hAnsi="宋体" w:cs="宋体"/>
          <w:color w:val="auto"/>
          <w:highlight w:val="none"/>
        </w:rPr>
        <w:t>（包括项目实施方案、质量保证措施方案、售后服务方案、所投产品性能资料等）</w:t>
      </w:r>
    </w:p>
    <w:p w14:paraId="1D7D3433">
      <w:pPr>
        <w:pStyle w:val="14"/>
        <w:tabs>
          <w:tab w:val="right" w:leader="dot" w:pos="8306"/>
          <w:tab w:val="clear" w:pos="8296"/>
        </w:tabs>
        <w:ind w:left="0" w:leftChars="0" w:firstLine="210" w:firstLineChars="100"/>
        <w:rPr>
          <w:rFonts w:hint="eastAsia" w:ascii="宋体" w:hAnsi="宋体" w:cs="宋体"/>
          <w:b/>
          <w:bCs/>
          <w:color w:val="auto"/>
          <w:sz w:val="24"/>
          <w:szCs w:val="24"/>
          <w:highlight w:val="none"/>
        </w:rPr>
      </w:pPr>
      <w:r>
        <w:rPr>
          <w:color w:val="auto"/>
          <w:highlight w:val="none"/>
        </w:rPr>
        <w:fldChar w:fldCharType="begin"/>
      </w:r>
      <w:r>
        <w:rPr>
          <w:color w:val="auto"/>
          <w:highlight w:val="none"/>
        </w:rPr>
        <w:instrText xml:space="preserve"> HYPERLINK \l "_Toc13443" </w:instrText>
      </w:r>
      <w:r>
        <w:rPr>
          <w:color w:val="auto"/>
          <w:highlight w:val="none"/>
        </w:rPr>
        <w:fldChar w:fldCharType="separate"/>
      </w:r>
      <w:r>
        <w:rPr>
          <w:rFonts w:hint="eastAsia" w:ascii="宋体" w:hAnsi="宋体" w:cs="宋体"/>
          <w:b/>
          <w:bCs/>
          <w:color w:val="auto"/>
          <w:sz w:val="24"/>
          <w:szCs w:val="24"/>
          <w:highlight w:val="none"/>
        </w:rPr>
        <w:t>唱标信封</w:t>
      </w:r>
      <w:r>
        <w:rPr>
          <w:rFonts w:hint="eastAsia" w:ascii="宋体" w:hAnsi="宋体" w:cs="宋体"/>
          <w:b/>
          <w:bCs/>
          <w:color w:val="auto"/>
          <w:sz w:val="24"/>
          <w:szCs w:val="24"/>
          <w:highlight w:val="none"/>
        </w:rPr>
        <w:fldChar w:fldCharType="end"/>
      </w:r>
    </w:p>
    <w:p w14:paraId="7EAC7F3F">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开标一览表</w:t>
      </w:r>
    </w:p>
    <w:p w14:paraId="3A9AA240">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法定代表人证明书</w:t>
      </w:r>
    </w:p>
    <w:p w14:paraId="594F4F95">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法定代表人授权委托书加盖公章</w:t>
      </w:r>
    </w:p>
    <w:p w14:paraId="52ACFB44">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投标保证金汇入情况说明（含银行汇款凭证）</w:t>
      </w:r>
    </w:p>
    <w:p w14:paraId="51304E5F">
      <w:pPr>
        <w:pStyle w:val="14"/>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投标文件电子文件（U盘）</w:t>
      </w:r>
    </w:p>
    <w:p w14:paraId="77CFF249">
      <w:pPr>
        <w:adjustRightInd/>
        <w:snapToGrid/>
        <w:spacing w:line="276" w:lineRule="auto"/>
        <w:rPr>
          <w:rFonts w:ascii="宋体" w:hAnsi="宋体"/>
          <w:color w:val="auto"/>
          <w:szCs w:val="21"/>
          <w:highlight w:val="none"/>
        </w:rPr>
      </w:pPr>
    </w:p>
    <w:p w14:paraId="4CCB8081">
      <w:pPr>
        <w:adjustRightInd/>
        <w:snapToGrid/>
        <w:spacing w:line="276" w:lineRule="auto"/>
        <w:rPr>
          <w:rFonts w:ascii="宋体" w:hAnsi="宋体"/>
          <w:color w:val="auto"/>
          <w:szCs w:val="21"/>
          <w:highlight w:val="none"/>
        </w:rPr>
      </w:pPr>
    </w:p>
    <w:p w14:paraId="254230BA">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50ADA7EF">
      <w:pPr>
        <w:adjustRightInd/>
        <w:snapToGrid/>
        <w:spacing w:line="276" w:lineRule="auto"/>
        <w:rPr>
          <w:rFonts w:hint="eastAsia" w:ascii="宋体" w:hAnsi="宋体" w:cs="宋体"/>
          <w:color w:val="auto"/>
          <w:szCs w:val="21"/>
          <w:highlight w:val="none"/>
        </w:rPr>
      </w:pPr>
      <w:r>
        <w:rPr>
          <w:rFonts w:hint="eastAsia" w:ascii="宋体" w:hAnsi="宋体"/>
          <w:color w:val="auto"/>
          <w:szCs w:val="21"/>
          <w:highlight w:val="none"/>
        </w:rPr>
        <w:t>1、投标人制作的投标文件应当具备目录。</w:t>
      </w:r>
      <w:r>
        <w:rPr>
          <w:rFonts w:hint="eastAsia" w:ascii="宋体" w:hAnsi="宋体" w:cs="宋体"/>
          <w:color w:val="auto"/>
          <w:szCs w:val="21"/>
          <w:highlight w:val="none"/>
        </w:rPr>
        <w:br w:type="page"/>
      </w:r>
    </w:p>
    <w:p w14:paraId="2B028DA5">
      <w:pPr>
        <w:pStyle w:val="4"/>
        <w:spacing w:before="0" w:after="0" w:line="360" w:lineRule="auto"/>
        <w:jc w:val="center"/>
        <w:rPr>
          <w:color w:val="auto"/>
          <w:sz w:val="72"/>
          <w:szCs w:val="72"/>
          <w:highlight w:val="none"/>
        </w:rPr>
      </w:pPr>
      <w:bookmarkStart w:id="128" w:name="_Toc5411"/>
      <w:bookmarkStart w:id="129" w:name="_Toc30918"/>
      <w:bookmarkStart w:id="130" w:name="_Toc18450"/>
      <w:bookmarkStart w:id="131" w:name="_Toc28154"/>
      <w:bookmarkStart w:id="132" w:name="_Toc20335"/>
      <w:bookmarkStart w:id="133" w:name="_Toc21746"/>
      <w:r>
        <w:rPr>
          <w:rFonts w:hint="eastAsia"/>
          <w:color w:val="auto"/>
          <w:sz w:val="72"/>
          <w:szCs w:val="72"/>
          <w:highlight w:val="none"/>
        </w:rPr>
        <w:t>价格文件</w:t>
      </w:r>
      <w:bookmarkEnd w:id="128"/>
      <w:bookmarkEnd w:id="129"/>
      <w:bookmarkEnd w:id="130"/>
      <w:bookmarkStart w:id="134" w:name="_Hlt10519799"/>
      <w:bookmarkEnd w:id="134"/>
      <w:bookmarkStart w:id="135" w:name="_Hlt10456397"/>
      <w:bookmarkEnd w:id="135"/>
    </w:p>
    <w:p w14:paraId="28C62418">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31"/>
      <w:bookmarkEnd w:id="132"/>
      <w:bookmarkEnd w:id="133"/>
    </w:p>
    <w:p w14:paraId="084495F0">
      <w:pPr>
        <w:rPr>
          <w:color w:val="auto"/>
          <w:highlight w:val="none"/>
        </w:rPr>
      </w:pPr>
    </w:p>
    <w:p w14:paraId="2460EBC5">
      <w:pPr>
        <w:pStyle w:val="2"/>
        <w:rPr>
          <w:rFonts w:hint="eastAsia"/>
          <w:color w:val="auto"/>
          <w:highlight w:val="none"/>
        </w:rPr>
      </w:pPr>
    </w:p>
    <w:p w14:paraId="72EC3EED">
      <w:pPr>
        <w:ind w:firstLine="240"/>
        <w:rPr>
          <w:color w:val="auto"/>
          <w:highlight w:val="none"/>
        </w:rPr>
      </w:pPr>
    </w:p>
    <w:p w14:paraId="27A85748">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531788632"/>
        </w:rPr>
        <w:t>项目名</w:t>
      </w:r>
      <w:r>
        <w:rPr>
          <w:rFonts w:hint="eastAsia" w:ascii="宋体" w:hAnsi="宋体" w:cs="宋体"/>
          <w:b/>
          <w:bCs/>
          <w:color w:val="auto"/>
          <w:spacing w:val="1"/>
          <w:w w:val="100"/>
          <w:kern w:val="0"/>
          <w:sz w:val="32"/>
          <w:szCs w:val="32"/>
          <w:highlight w:val="none"/>
          <w:fitText w:val="1600" w:id="531788632"/>
        </w:rPr>
        <w:t>称</w:t>
      </w:r>
      <w:r>
        <w:rPr>
          <w:rFonts w:hint="eastAsia" w:ascii="宋体" w:hAnsi="宋体" w:cs="宋体"/>
          <w:b/>
          <w:bCs/>
          <w:color w:val="auto"/>
          <w:spacing w:val="-6"/>
          <w:sz w:val="32"/>
          <w:szCs w:val="32"/>
          <w:highlight w:val="none"/>
        </w:rPr>
        <w:t>：</w:t>
      </w:r>
    </w:p>
    <w:p w14:paraId="3DFF6942">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1"/>
        </w:rPr>
        <w:t>项目编</w:t>
      </w:r>
      <w:r>
        <w:rPr>
          <w:rFonts w:hint="eastAsia" w:ascii="宋体" w:hAnsi="宋体" w:cs="宋体"/>
          <w:b/>
          <w:bCs/>
          <w:color w:val="auto"/>
          <w:spacing w:val="1"/>
          <w:w w:val="100"/>
          <w:kern w:val="0"/>
          <w:sz w:val="32"/>
          <w:szCs w:val="32"/>
          <w:highlight w:val="none"/>
          <w:fitText w:val="1600" w:id="1"/>
        </w:rPr>
        <w:t>号</w:t>
      </w:r>
      <w:r>
        <w:rPr>
          <w:rFonts w:hint="eastAsia" w:ascii="宋体" w:hAnsi="宋体" w:cs="宋体"/>
          <w:b/>
          <w:bCs/>
          <w:color w:val="auto"/>
          <w:sz w:val="32"/>
          <w:szCs w:val="32"/>
          <w:highlight w:val="none"/>
        </w:rPr>
        <w:t>：</w:t>
      </w:r>
    </w:p>
    <w:p w14:paraId="54486C5F">
      <w:pPr>
        <w:pStyle w:val="26"/>
        <w:widowControl/>
        <w:adjustRightInd w:val="0"/>
        <w:snapToGrid w:val="0"/>
        <w:spacing w:before="161" w:afterAutospacing="1"/>
        <w:jc w:val="left"/>
        <w:rPr>
          <w:rFonts w:hint="eastAsia"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71AB5044">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2"/>
        </w:rPr>
        <w:t>投标人名称</w:t>
      </w:r>
      <w:r>
        <w:rPr>
          <w:rFonts w:hint="eastAsia" w:ascii="宋体" w:hAnsi="宋体" w:cs="宋体"/>
          <w:b/>
          <w:color w:val="auto"/>
          <w:sz w:val="32"/>
          <w:szCs w:val="32"/>
          <w:highlight w:val="none"/>
        </w:rPr>
        <w:t>：</w:t>
      </w:r>
    </w:p>
    <w:p w14:paraId="1E373451">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3"/>
        </w:rPr>
        <w:t xml:space="preserve">日    </w:t>
      </w:r>
      <w:r>
        <w:rPr>
          <w:rFonts w:hint="eastAsia" w:ascii="宋体" w:hAnsi="宋体" w:cs="宋体"/>
          <w:b/>
          <w:color w:val="auto"/>
          <w:spacing w:val="0"/>
          <w:w w:val="100"/>
          <w:kern w:val="0"/>
          <w:sz w:val="32"/>
          <w:szCs w:val="32"/>
          <w:highlight w:val="none"/>
          <w:fitText w:val="1600" w:id="3"/>
        </w:rPr>
        <w:t>期</w:t>
      </w:r>
      <w:r>
        <w:rPr>
          <w:rFonts w:hint="eastAsia" w:ascii="宋体" w:hAnsi="宋体" w:cs="宋体"/>
          <w:b/>
          <w:color w:val="auto"/>
          <w:sz w:val="32"/>
          <w:szCs w:val="32"/>
          <w:highlight w:val="none"/>
        </w:rPr>
        <w:t>：  年  月  日</w:t>
      </w:r>
    </w:p>
    <w:p w14:paraId="00C031A7">
      <w:pPr>
        <w:rPr>
          <w:color w:val="auto"/>
          <w:highlight w:val="none"/>
        </w:rPr>
      </w:pPr>
    </w:p>
    <w:p w14:paraId="5AEF6161">
      <w:pPr>
        <w:pStyle w:val="2"/>
        <w:rPr>
          <w:rFonts w:hint="eastAsia"/>
          <w:color w:val="auto"/>
          <w:highlight w:val="none"/>
        </w:rPr>
      </w:pPr>
    </w:p>
    <w:p w14:paraId="3F23F48B">
      <w:pPr>
        <w:pStyle w:val="23"/>
        <w:rPr>
          <w:color w:val="auto"/>
          <w:highlight w:val="none"/>
        </w:rPr>
      </w:pPr>
    </w:p>
    <w:p w14:paraId="0B869BF0">
      <w:pPr>
        <w:pStyle w:val="23"/>
        <w:ind w:left="0"/>
        <w:rPr>
          <w:color w:val="auto"/>
          <w:highlight w:val="none"/>
        </w:rPr>
      </w:pPr>
    </w:p>
    <w:p w14:paraId="786F33F9">
      <w:pPr>
        <w:rPr>
          <w:rFonts w:hint="eastAsia" w:ascii="宋体" w:hAnsi="宋体"/>
          <w:color w:val="auto"/>
          <w:szCs w:val="21"/>
          <w:highlight w:val="none"/>
        </w:rPr>
      </w:pPr>
      <w:r>
        <w:rPr>
          <w:rFonts w:hint="eastAsia" w:ascii="宋体" w:hAnsi="宋体"/>
          <w:color w:val="auto"/>
          <w:szCs w:val="21"/>
          <w:highlight w:val="none"/>
        </w:rPr>
        <w:br w:type="page"/>
      </w:r>
    </w:p>
    <w:p w14:paraId="76806D1E">
      <w:pPr>
        <w:pStyle w:val="6"/>
        <w:widowControl w:val="0"/>
        <w:overflowPunct w:val="0"/>
        <w:spacing w:line="240" w:lineRule="auto"/>
        <w:rPr>
          <w:rFonts w:hint="eastAsia" w:ascii="宋体" w:hAnsi="宋体"/>
          <w:color w:val="auto"/>
          <w:sz w:val="21"/>
          <w:szCs w:val="21"/>
          <w:highlight w:val="none"/>
        </w:rPr>
      </w:pPr>
      <w:bookmarkStart w:id="136" w:name="_Toc12192"/>
      <w:bookmarkStart w:id="137" w:name="_Toc1696"/>
      <w:r>
        <w:rPr>
          <w:rFonts w:hint="eastAsia" w:ascii="宋体" w:hAnsi="宋体"/>
          <w:color w:val="auto"/>
          <w:sz w:val="21"/>
          <w:szCs w:val="21"/>
          <w:highlight w:val="none"/>
        </w:rPr>
        <w:t>附件1.开标一览表格式</w:t>
      </w:r>
      <w:bookmarkEnd w:id="136"/>
      <w:bookmarkEnd w:id="137"/>
    </w:p>
    <w:p w14:paraId="2A12C805">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1D76D78A">
      <w:pPr>
        <w:rPr>
          <w:color w:val="auto"/>
          <w:highlight w:val="none"/>
        </w:rPr>
      </w:pPr>
    </w:p>
    <w:p w14:paraId="1ABFC303">
      <w:pPr>
        <w:rPr>
          <w:rFonts w:ascii="宋体" w:hAnsi="宋体"/>
          <w:color w:val="auto"/>
          <w:szCs w:val="21"/>
          <w:highlight w:val="none"/>
        </w:rPr>
      </w:pPr>
      <w:r>
        <w:rPr>
          <w:rFonts w:hint="eastAsia" w:ascii="宋体" w:hAnsi="宋体"/>
          <w:color w:val="auto"/>
          <w:szCs w:val="21"/>
          <w:highlight w:val="none"/>
          <w:lang w:val="en-US" w:eastAsia="zh-CN"/>
        </w:rPr>
        <w:t>项目</w:t>
      </w:r>
      <w:r>
        <w:rPr>
          <w:rFonts w:hint="eastAsia" w:ascii="宋体" w:hAnsi="宋体"/>
          <w:color w:val="auto"/>
          <w:szCs w:val="21"/>
          <w:highlight w:val="none"/>
        </w:rPr>
        <w:t>名称：</w:t>
      </w:r>
    </w:p>
    <w:p w14:paraId="19F69629">
      <w:pPr>
        <w:rPr>
          <w:color w:val="auto"/>
          <w:highlight w:val="none"/>
        </w:rPr>
      </w:pPr>
      <w:r>
        <w:rPr>
          <w:rFonts w:hint="eastAsia" w:ascii="宋体" w:hAnsi="宋体"/>
          <w:color w:val="auto"/>
          <w:szCs w:val="21"/>
          <w:highlight w:val="none"/>
        </w:rPr>
        <w:t>采购项目编号：</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3"/>
        <w:gridCol w:w="2327"/>
        <w:gridCol w:w="1679"/>
        <w:gridCol w:w="2500"/>
      </w:tblGrid>
      <w:tr w14:paraId="3BCFA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81" w:type="pct"/>
            <w:vAlign w:val="center"/>
          </w:tcPr>
          <w:p w14:paraId="20A826B9">
            <w:pPr>
              <w:spacing w:line="240" w:lineRule="auto"/>
              <w:jc w:val="center"/>
              <w:rPr>
                <w:rFonts w:hint="eastAsia" w:ascii="宋体" w:hAnsi="宋体" w:cs="宋体"/>
                <w:color w:val="auto"/>
                <w:kern w:val="28"/>
                <w:szCs w:val="21"/>
                <w:highlight w:val="none"/>
              </w:rPr>
            </w:pPr>
            <w:r>
              <w:rPr>
                <w:rFonts w:hint="eastAsia" w:ascii="宋体" w:hAnsi="宋体"/>
                <w:color w:val="auto"/>
                <w:szCs w:val="21"/>
                <w:highlight w:val="none"/>
              </w:rPr>
              <w:t>项目名称</w:t>
            </w:r>
          </w:p>
        </w:tc>
        <w:tc>
          <w:tcPr>
            <w:tcW w:w="1365" w:type="pct"/>
            <w:vAlign w:val="center"/>
          </w:tcPr>
          <w:p w14:paraId="7F67D8F7">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投标下浮率（%）</w:t>
            </w:r>
          </w:p>
        </w:tc>
        <w:tc>
          <w:tcPr>
            <w:tcW w:w="985" w:type="pct"/>
            <w:vAlign w:val="center"/>
          </w:tcPr>
          <w:p w14:paraId="3E052396">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增值税税率</w:t>
            </w:r>
          </w:p>
        </w:tc>
        <w:tc>
          <w:tcPr>
            <w:tcW w:w="1467" w:type="pct"/>
            <w:vAlign w:val="center"/>
          </w:tcPr>
          <w:p w14:paraId="1FD9E97F">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4F51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181" w:type="pct"/>
            <w:vAlign w:val="center"/>
          </w:tcPr>
          <w:p w14:paraId="6D989395">
            <w:pPr>
              <w:spacing w:line="240" w:lineRule="auto"/>
              <w:jc w:val="center"/>
              <w:rPr>
                <w:rFonts w:hint="eastAsia" w:ascii="宋体" w:hAnsi="宋体" w:cs="宋体"/>
                <w:color w:val="auto"/>
                <w:szCs w:val="21"/>
                <w:highlight w:val="none"/>
              </w:rPr>
            </w:pPr>
          </w:p>
        </w:tc>
        <w:tc>
          <w:tcPr>
            <w:tcW w:w="1365" w:type="pct"/>
            <w:vAlign w:val="center"/>
          </w:tcPr>
          <w:p w14:paraId="0D5949E1">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小写：</w:t>
            </w:r>
          </w:p>
          <w:p w14:paraId="068CF20D">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大写：</w:t>
            </w:r>
          </w:p>
        </w:tc>
        <w:tc>
          <w:tcPr>
            <w:tcW w:w="985" w:type="pct"/>
          </w:tcPr>
          <w:p w14:paraId="4299FE3B">
            <w:pPr>
              <w:pStyle w:val="70"/>
              <w:jc w:val="center"/>
              <w:rPr>
                <w:rFonts w:hint="eastAsia" w:hAnsi="宋体"/>
                <w:color w:val="auto"/>
                <w:sz w:val="21"/>
                <w:szCs w:val="21"/>
                <w:highlight w:val="none"/>
              </w:rPr>
            </w:pPr>
          </w:p>
        </w:tc>
        <w:tc>
          <w:tcPr>
            <w:tcW w:w="1467" w:type="pct"/>
            <w:vAlign w:val="center"/>
          </w:tcPr>
          <w:p w14:paraId="13D9938B">
            <w:pPr>
              <w:pStyle w:val="70"/>
              <w:jc w:val="center"/>
              <w:rPr>
                <w:rFonts w:hint="eastAsia" w:hAnsi="宋体"/>
                <w:color w:val="auto"/>
                <w:sz w:val="21"/>
                <w:szCs w:val="21"/>
                <w:highlight w:val="none"/>
              </w:rPr>
            </w:pPr>
          </w:p>
        </w:tc>
      </w:tr>
    </w:tbl>
    <w:p w14:paraId="587EFEB7">
      <w:pPr>
        <w:ind w:firstLine="359" w:firstLineChars="171"/>
        <w:rPr>
          <w:rFonts w:ascii="宋体" w:hAnsi="宋体"/>
          <w:color w:val="auto"/>
          <w:szCs w:val="21"/>
          <w:highlight w:val="none"/>
        </w:rPr>
      </w:pPr>
    </w:p>
    <w:p w14:paraId="07AC8C4E">
      <w:pPr>
        <w:pStyle w:val="2"/>
        <w:rPr>
          <w:rFonts w:ascii="宋体" w:hAnsi="宋体"/>
          <w:color w:val="auto"/>
          <w:szCs w:val="21"/>
          <w:highlight w:val="none"/>
        </w:rPr>
      </w:pPr>
    </w:p>
    <w:p w14:paraId="62A7322C">
      <w:pPr>
        <w:pStyle w:val="2"/>
        <w:rPr>
          <w:rFonts w:ascii="宋体" w:hAnsi="宋体"/>
          <w:color w:val="auto"/>
          <w:szCs w:val="21"/>
          <w:highlight w:val="none"/>
        </w:rPr>
      </w:pPr>
    </w:p>
    <w:p w14:paraId="7734C9EE">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5BA720D9">
      <w:pPr>
        <w:ind w:firstLine="359" w:firstLineChars="171"/>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lang w:eastAsia="zh-CN"/>
        </w:rPr>
        <w:t>（</w:t>
      </w:r>
      <w:r>
        <w:rPr>
          <w:rFonts w:hint="eastAsia" w:ascii="宋体" w:hAnsi="宋体"/>
          <w:color w:val="auto"/>
          <w:szCs w:val="21"/>
          <w:highlight w:val="none"/>
        </w:rPr>
        <w:t>盖章</w:t>
      </w:r>
      <w:r>
        <w:rPr>
          <w:rFonts w:hint="eastAsia" w:ascii="宋体" w:hAnsi="宋体"/>
          <w:color w:val="auto"/>
          <w:szCs w:val="21"/>
          <w:highlight w:val="none"/>
          <w:lang w:eastAsia="zh-CN"/>
        </w:rPr>
        <w:t>）</w:t>
      </w:r>
      <w:r>
        <w:rPr>
          <w:rFonts w:hint="eastAsia" w:ascii="宋体" w:hAnsi="宋体"/>
          <w:color w:val="auto"/>
          <w:szCs w:val="21"/>
          <w:highlight w:val="none"/>
        </w:rPr>
        <w:t>：</w:t>
      </w:r>
    </w:p>
    <w:p w14:paraId="68C32C1F">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3A389E08">
      <w:pPr>
        <w:ind w:firstLine="359" w:firstLineChars="171"/>
        <w:rPr>
          <w:rFonts w:ascii="宋体" w:hAnsi="宋体"/>
          <w:color w:val="auto"/>
          <w:szCs w:val="21"/>
          <w:highlight w:val="none"/>
        </w:rPr>
      </w:pPr>
    </w:p>
    <w:p w14:paraId="0212DDD6">
      <w:pPr>
        <w:pStyle w:val="2"/>
        <w:rPr>
          <w:rFonts w:ascii="宋体" w:hAnsi="宋体"/>
          <w:color w:val="auto"/>
          <w:szCs w:val="21"/>
          <w:highlight w:val="none"/>
        </w:rPr>
      </w:pPr>
    </w:p>
    <w:p w14:paraId="686ACF71">
      <w:pPr>
        <w:pStyle w:val="2"/>
        <w:rPr>
          <w:rFonts w:ascii="宋体" w:hAnsi="宋体"/>
          <w:color w:val="auto"/>
          <w:szCs w:val="21"/>
          <w:highlight w:val="none"/>
        </w:rPr>
      </w:pPr>
    </w:p>
    <w:p w14:paraId="58915D72">
      <w:pPr>
        <w:pStyle w:val="2"/>
        <w:rPr>
          <w:rFonts w:ascii="宋体" w:hAnsi="宋体"/>
          <w:color w:val="auto"/>
          <w:szCs w:val="21"/>
          <w:highlight w:val="none"/>
        </w:rPr>
      </w:pPr>
    </w:p>
    <w:p w14:paraId="6BDD22D8">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06D07989">
      <w:pPr>
        <w:numPr>
          <w:ilvl w:val="0"/>
          <w:numId w:val="0"/>
        </w:numPr>
        <w:ind w:firstLine="420" w:firstLineChars="200"/>
        <w:rPr>
          <w:rFonts w:hint="eastAsia" w:ascii="宋体" w:hAnsi="宋体"/>
          <w:color w:val="auto"/>
          <w:szCs w:val="21"/>
          <w:highlight w:val="none"/>
        </w:rPr>
      </w:pPr>
      <w:r>
        <w:rPr>
          <w:rFonts w:hint="eastAsia" w:ascii="宋体" w:hAnsi="宋体" w:eastAsiaTheme="minorEastAsia" w:cstheme="minorBidi"/>
          <w:color w:val="auto"/>
          <w:kern w:val="2"/>
          <w:sz w:val="21"/>
          <w:szCs w:val="21"/>
          <w:highlight w:val="none"/>
          <w:lang w:val="en-US" w:eastAsia="zh-CN" w:bidi="ar-SA"/>
        </w:rPr>
        <w:t>1、</w:t>
      </w:r>
      <w:r>
        <w:rPr>
          <w:rFonts w:hint="eastAsia" w:ascii="宋体" w:hAnsi="宋体"/>
          <w:color w:val="auto"/>
          <w:szCs w:val="21"/>
          <w:highlight w:val="none"/>
        </w:rPr>
        <w:t>投标下浮率栏须用大写金额和小写金额两种方式表示的下浮率，报价保留小数点后两位。投标下浮率大小写不一致，以大写为准。</w:t>
      </w:r>
    </w:p>
    <w:p w14:paraId="38E3C746">
      <w:pPr>
        <w:numPr>
          <w:ilvl w:val="0"/>
          <w:numId w:val="0"/>
        </w:numPr>
        <w:ind w:firstLine="420" w:firstLineChars="200"/>
        <w:rPr>
          <w:rFonts w:hint="eastAsia" w:ascii="宋体" w:hAnsi="宋体"/>
          <w:color w:val="auto"/>
          <w:szCs w:val="21"/>
          <w:highlight w:val="none"/>
        </w:rPr>
      </w:pPr>
      <w:r>
        <w:rPr>
          <w:rFonts w:hint="eastAsia" w:ascii="宋体" w:hAnsi="宋体" w:eastAsiaTheme="minorEastAsia" w:cstheme="minorBidi"/>
          <w:color w:val="auto"/>
          <w:kern w:val="2"/>
          <w:sz w:val="21"/>
          <w:szCs w:val="21"/>
          <w:highlight w:val="none"/>
          <w:lang w:val="en-US" w:eastAsia="zh-CN" w:bidi="ar-SA"/>
        </w:rPr>
        <w:t>2、</w:t>
      </w:r>
      <w:r>
        <w:rPr>
          <w:rFonts w:hint="eastAsia" w:ascii="宋体" w:hAnsi="宋体" w:cstheme="minorBidi"/>
          <w:color w:val="auto"/>
          <w:kern w:val="2"/>
          <w:sz w:val="21"/>
          <w:szCs w:val="21"/>
          <w:highlight w:val="none"/>
          <w:lang w:val="en-US" w:eastAsia="zh-CN" w:bidi="ar-SA"/>
        </w:rPr>
        <w:t>限价表中的单价根据投标下浮率进行下浮后保留三位小数（去尾法），总价以单价计算汇总金额结果为准，总价保留两位小数（四舍五入）</w:t>
      </w:r>
      <w:r>
        <w:rPr>
          <w:rFonts w:hint="eastAsia" w:ascii="宋体" w:hAnsi="宋体"/>
          <w:color w:val="auto"/>
          <w:szCs w:val="21"/>
          <w:highlight w:val="none"/>
        </w:rPr>
        <w:t>。</w:t>
      </w:r>
    </w:p>
    <w:p w14:paraId="13BCCF2F">
      <w:pPr>
        <w:ind w:firstLine="420" w:firstLineChars="200"/>
        <w:rPr>
          <w:rFonts w:hint="eastAsia" w:ascii="宋体" w:hAnsi="宋体"/>
          <w:color w:val="auto"/>
          <w:szCs w:val="21"/>
          <w:highlight w:val="none"/>
        </w:rPr>
      </w:pPr>
      <w:r>
        <w:rPr>
          <w:rFonts w:hint="eastAsia" w:ascii="宋体" w:hAnsi="宋体"/>
          <w:color w:val="auto"/>
          <w:szCs w:val="21"/>
          <w:highlight w:val="none"/>
        </w:rPr>
        <w:t>3、报价包含前期勘察、施工图纸设计、发改备案、两违办报建、供电报装、采购施工、并网投运及相应视频监控系统、水清洗系统、安全设施、</w:t>
      </w:r>
      <w:r>
        <w:rPr>
          <w:rFonts w:hint="eastAsia" w:ascii="宋体" w:hAnsi="宋体"/>
          <w:color w:val="auto"/>
          <w:szCs w:val="21"/>
          <w:highlight w:val="none"/>
          <w:lang w:val="en-US" w:eastAsia="zh-CN"/>
        </w:rPr>
        <w:t>运维通道、</w:t>
      </w:r>
      <w:r>
        <w:rPr>
          <w:rFonts w:hint="eastAsia" w:ascii="宋体" w:hAnsi="宋体"/>
          <w:color w:val="auto"/>
          <w:szCs w:val="21"/>
          <w:highlight w:val="none"/>
        </w:rPr>
        <w:t>运维设施安装及其他为实现合同目的所涉及的所有费用，投标总价必须准确唯一且应包含采购文件要求的所有费用。</w:t>
      </w:r>
    </w:p>
    <w:p w14:paraId="4FA1DEE6">
      <w:pPr>
        <w:ind w:firstLine="420" w:firstLineChars="200"/>
        <w:rPr>
          <w:rFonts w:hint="eastAsia" w:ascii="宋体" w:hAnsi="宋体"/>
          <w:color w:val="auto"/>
          <w:szCs w:val="21"/>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olor w:val="auto"/>
          <w:szCs w:val="21"/>
          <w:highlight w:val="none"/>
        </w:rPr>
        <w:t>4</w:t>
      </w:r>
      <w:r>
        <w:rPr>
          <w:rFonts w:hint="eastAsia" w:ascii="宋体" w:hAnsi="宋体"/>
          <w:color w:val="auto"/>
          <w:szCs w:val="21"/>
          <w:highlight w:val="none"/>
          <w:lang w:eastAsia="zh-CN"/>
        </w:rPr>
        <w:t>、</w:t>
      </w:r>
      <w:r>
        <w:rPr>
          <w:rFonts w:hint="eastAsia" w:ascii="宋体" w:hAnsi="宋体"/>
          <w:color w:val="auto"/>
          <w:szCs w:val="21"/>
          <w:highlight w:val="none"/>
        </w:rPr>
        <w:t>未按采购文件要求报价、填写开标一览表是导致投标人废标的常见问题，请投标人仔细填写，认真核对。</w:t>
      </w:r>
    </w:p>
    <w:p w14:paraId="70C77A03">
      <w:pPr>
        <w:numPr>
          <w:ilvl w:val="255"/>
          <w:numId w:val="0"/>
        </w:numPr>
        <w:tabs>
          <w:tab w:val="left" w:pos="567"/>
        </w:tabs>
        <w:autoSpaceDE w:val="0"/>
        <w:autoSpaceDN w:val="0"/>
        <w:adjustRightInd w:val="0"/>
        <w:spacing w:line="360" w:lineRule="auto"/>
        <w:ind w:right="-23" w:rightChars="-11"/>
        <w:jc w:val="left"/>
        <w:rPr>
          <w:rFonts w:hint="eastAsia" w:ascii="宋体" w:hAnsi="宋体" w:eastAsia="宋体" w:cs="宋体"/>
          <w:b/>
          <w:color w:val="auto"/>
          <w:kern w:val="28"/>
          <w:sz w:val="28"/>
          <w:szCs w:val="28"/>
          <w:highlight w:val="none"/>
          <w:lang w:val="zh-CN"/>
        </w:rPr>
      </w:pPr>
      <w:r>
        <w:rPr>
          <w:rFonts w:hint="eastAsia" w:ascii="宋体" w:hAnsi="宋体" w:eastAsia="宋体" w:cs="宋体"/>
          <w:b/>
          <w:color w:val="auto"/>
          <w:kern w:val="0"/>
          <w:sz w:val="30"/>
          <w:szCs w:val="30"/>
          <w:highlight w:val="none"/>
          <w:lang w:val="en-US" w:eastAsia="zh-CN"/>
        </w:rPr>
        <w:t>主要设备品牌响应表格式</w:t>
      </w:r>
    </w:p>
    <w:p w14:paraId="2712A732">
      <w:pPr>
        <w:numPr>
          <w:ilvl w:val="255"/>
          <w:numId w:val="0"/>
        </w:numPr>
        <w:tabs>
          <w:tab w:val="left" w:pos="567"/>
        </w:tabs>
        <w:autoSpaceDE w:val="0"/>
        <w:autoSpaceDN w:val="0"/>
        <w:adjustRightInd w:val="0"/>
        <w:spacing w:line="360" w:lineRule="auto"/>
        <w:ind w:right="-23" w:rightChars="-11"/>
        <w:jc w:val="center"/>
        <w:rPr>
          <w:rFonts w:ascii="宋体" w:hAnsi="宋体" w:eastAsia="宋体" w:cs="宋体"/>
          <w:bCs/>
          <w:color w:val="auto"/>
          <w:kern w:val="28"/>
          <w:sz w:val="28"/>
          <w:szCs w:val="28"/>
          <w:highlight w:val="none"/>
          <w:lang w:val="zh-CN"/>
        </w:rPr>
      </w:pPr>
      <w:r>
        <w:rPr>
          <w:rFonts w:hint="eastAsia" w:ascii="宋体" w:hAnsi="宋体" w:eastAsia="宋体" w:cs="宋体"/>
          <w:b/>
          <w:color w:val="auto"/>
          <w:kern w:val="28"/>
          <w:sz w:val="28"/>
          <w:szCs w:val="28"/>
          <w:highlight w:val="none"/>
          <w:lang w:val="zh-CN"/>
        </w:rPr>
        <w:t>主要设备品牌响应表</w:t>
      </w:r>
    </w:p>
    <w:p w14:paraId="04345AB3">
      <w:pPr>
        <w:autoSpaceDE w:val="0"/>
        <w:autoSpaceDN w:val="0"/>
        <w:adjustRightInd w:val="0"/>
        <w:spacing w:line="360" w:lineRule="auto"/>
        <w:ind w:firstLine="422" w:firstLineChars="200"/>
        <w:jc w:val="left"/>
        <w:rPr>
          <w:rFonts w:hint="eastAsia" w:ascii="宋体" w:hAnsi="宋体" w:eastAsia="宋体" w:cs="宋体"/>
          <w:b/>
          <w:color w:val="auto"/>
          <w:szCs w:val="21"/>
          <w:highlight w:val="none"/>
        </w:rPr>
      </w:pPr>
    </w:p>
    <w:tbl>
      <w:tblPr>
        <w:tblStyle w:val="31"/>
        <w:tblW w:w="10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1673"/>
        <w:gridCol w:w="4876"/>
        <w:gridCol w:w="2843"/>
      </w:tblGrid>
      <w:tr w14:paraId="5EED7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Align w:val="center"/>
          </w:tcPr>
          <w:p w14:paraId="4A404946">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序号</w:t>
            </w:r>
          </w:p>
        </w:tc>
        <w:tc>
          <w:tcPr>
            <w:tcW w:w="1673" w:type="dxa"/>
            <w:vAlign w:val="center"/>
          </w:tcPr>
          <w:p w14:paraId="78D77CCD">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名称</w:t>
            </w:r>
          </w:p>
        </w:tc>
        <w:tc>
          <w:tcPr>
            <w:tcW w:w="4876" w:type="dxa"/>
            <w:vAlign w:val="center"/>
          </w:tcPr>
          <w:p w14:paraId="46031250">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推荐品牌</w:t>
            </w:r>
          </w:p>
        </w:tc>
        <w:tc>
          <w:tcPr>
            <w:tcW w:w="2843" w:type="dxa"/>
            <w:vAlign w:val="center"/>
          </w:tcPr>
          <w:p w14:paraId="64FEFDB0">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投标品牌</w:t>
            </w:r>
          </w:p>
        </w:tc>
      </w:tr>
      <w:tr w14:paraId="773B3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Align w:val="center"/>
          </w:tcPr>
          <w:p w14:paraId="477618AE">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673" w:type="dxa"/>
            <w:vAlign w:val="center"/>
          </w:tcPr>
          <w:p w14:paraId="776CE12F">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光伏组件</w:t>
            </w:r>
          </w:p>
        </w:tc>
        <w:tc>
          <w:tcPr>
            <w:tcW w:w="4876" w:type="dxa"/>
            <w:vAlign w:val="center"/>
          </w:tcPr>
          <w:p w14:paraId="1DC8346B">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隆基绿能、晶澳科技、天合光能等国内知名一线品牌</w:t>
            </w:r>
          </w:p>
        </w:tc>
        <w:tc>
          <w:tcPr>
            <w:tcW w:w="2843" w:type="dxa"/>
            <w:vAlign w:val="center"/>
          </w:tcPr>
          <w:p w14:paraId="23621833">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p>
        </w:tc>
      </w:tr>
      <w:tr w14:paraId="586ED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Align w:val="center"/>
          </w:tcPr>
          <w:p w14:paraId="4D1F75FE">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673" w:type="dxa"/>
            <w:vAlign w:val="center"/>
          </w:tcPr>
          <w:p w14:paraId="44950FA5">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并网</w:t>
            </w:r>
            <w:r>
              <w:rPr>
                <w:rFonts w:hint="default" w:ascii="Times New Roman" w:hAnsi="Times New Roman" w:eastAsia="宋体" w:cs="Times New Roman"/>
                <w:color w:val="auto"/>
                <w:szCs w:val="21"/>
                <w:highlight w:val="none"/>
              </w:rPr>
              <w:t>逆变器</w:t>
            </w:r>
          </w:p>
        </w:tc>
        <w:tc>
          <w:tcPr>
            <w:tcW w:w="4876" w:type="dxa"/>
            <w:vAlign w:val="center"/>
          </w:tcPr>
          <w:p w14:paraId="38864BF4">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华为、阳光电源与古瑞瓦特或具备同等质量的品牌</w:t>
            </w:r>
          </w:p>
        </w:tc>
        <w:tc>
          <w:tcPr>
            <w:tcW w:w="2843" w:type="dxa"/>
            <w:vAlign w:val="center"/>
          </w:tcPr>
          <w:p w14:paraId="31E6703E">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p>
        </w:tc>
      </w:tr>
      <w:tr w14:paraId="0AE81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85" w:type="dxa"/>
            <w:vAlign w:val="center"/>
          </w:tcPr>
          <w:p w14:paraId="6B9229C2">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val="en-US" w:eastAsia="zh-CN"/>
              </w:rPr>
              <w:t>3</w:t>
            </w:r>
          </w:p>
        </w:tc>
        <w:tc>
          <w:tcPr>
            <w:tcW w:w="1673" w:type="dxa"/>
            <w:vAlign w:val="center"/>
          </w:tcPr>
          <w:p w14:paraId="3D6F8FE6">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val="en-US" w:eastAsia="zh-CN"/>
              </w:rPr>
              <w:t>并网柜断路器</w:t>
            </w:r>
          </w:p>
        </w:tc>
        <w:tc>
          <w:tcPr>
            <w:tcW w:w="4876" w:type="dxa"/>
            <w:vAlign w:val="center"/>
          </w:tcPr>
          <w:p w14:paraId="0011D800">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常熟、良信、上海人民或具备同等质量的品牌</w:t>
            </w:r>
          </w:p>
        </w:tc>
        <w:tc>
          <w:tcPr>
            <w:tcW w:w="2843" w:type="dxa"/>
            <w:vAlign w:val="center"/>
          </w:tcPr>
          <w:p w14:paraId="2AB3CE17">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p>
        </w:tc>
      </w:tr>
      <w:tr w14:paraId="716A8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85" w:type="dxa"/>
            <w:vAlign w:val="center"/>
          </w:tcPr>
          <w:p w14:paraId="796CE451">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c>
          <w:tcPr>
            <w:tcW w:w="1673" w:type="dxa"/>
            <w:vAlign w:val="center"/>
          </w:tcPr>
          <w:p w14:paraId="24BDA893">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交、直流电缆</w:t>
            </w:r>
          </w:p>
        </w:tc>
        <w:tc>
          <w:tcPr>
            <w:tcW w:w="4876" w:type="dxa"/>
            <w:vAlign w:val="center"/>
          </w:tcPr>
          <w:p w14:paraId="66DC19FF">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深圳市东佳信电线电缆、深圳市成天泰电缆、广州南洋电缆、广东新亚光电缆、东莞市民兴电缆、江苏上上电缆、远东电缆或具备同等质量的品牌</w:t>
            </w:r>
          </w:p>
        </w:tc>
        <w:tc>
          <w:tcPr>
            <w:tcW w:w="2843" w:type="dxa"/>
            <w:vAlign w:val="center"/>
          </w:tcPr>
          <w:p w14:paraId="4E38376E">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p>
        </w:tc>
      </w:tr>
      <w:tr w14:paraId="62B3D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85" w:type="dxa"/>
            <w:vAlign w:val="center"/>
          </w:tcPr>
          <w:p w14:paraId="06405391">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c>
          <w:tcPr>
            <w:tcW w:w="1673" w:type="dxa"/>
            <w:vAlign w:val="center"/>
          </w:tcPr>
          <w:p w14:paraId="47EA8D78">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视频监控系统</w:t>
            </w:r>
          </w:p>
        </w:tc>
        <w:tc>
          <w:tcPr>
            <w:tcW w:w="4876" w:type="dxa"/>
            <w:vAlign w:val="center"/>
          </w:tcPr>
          <w:p w14:paraId="2B58A7E9">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海康威视、大华科技或具备同等质量的品牌</w:t>
            </w:r>
          </w:p>
        </w:tc>
        <w:tc>
          <w:tcPr>
            <w:tcW w:w="2843" w:type="dxa"/>
            <w:vAlign w:val="center"/>
          </w:tcPr>
          <w:p w14:paraId="1D45C8C9">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firstLine="0" w:firstLineChars="0"/>
              <w:jc w:val="center"/>
              <w:textAlignment w:val="baseline"/>
              <w:rPr>
                <w:rFonts w:hint="default" w:ascii="Times New Roman" w:hAnsi="Times New Roman" w:eastAsia="宋体" w:cs="Times New Roman"/>
                <w:color w:val="auto"/>
                <w:szCs w:val="21"/>
                <w:highlight w:val="none"/>
              </w:rPr>
            </w:pPr>
          </w:p>
        </w:tc>
      </w:tr>
    </w:tbl>
    <w:p w14:paraId="21E46F90">
      <w:pPr>
        <w:autoSpaceDE w:val="0"/>
        <w:autoSpaceDN w:val="0"/>
        <w:adjustRightInd w:val="0"/>
        <w:snapToGrid w:val="0"/>
        <w:spacing w:line="360" w:lineRule="auto"/>
        <w:jc w:val="left"/>
        <w:rPr>
          <w:rFonts w:hint="default" w:ascii="宋体" w:hAnsi="宋体" w:eastAsia="宋体" w:cs="Times New Roman"/>
          <w:color w:val="auto"/>
          <w:kern w:val="0"/>
          <w:szCs w:val="21"/>
          <w:highlight w:val="none"/>
          <w:lang w:val="en-US" w:eastAsia="zh-CN"/>
        </w:rPr>
      </w:pPr>
    </w:p>
    <w:p w14:paraId="7B07C66D">
      <w:pPr>
        <w:autoSpaceDE w:val="0"/>
        <w:autoSpaceDN w:val="0"/>
        <w:adjustRightInd w:val="0"/>
        <w:spacing w:line="360" w:lineRule="auto"/>
        <w:jc w:val="left"/>
        <w:rPr>
          <w:rFonts w:ascii="宋体" w:hAnsi="宋体" w:eastAsia="宋体" w:cs="Times New Roman"/>
          <w:color w:val="auto"/>
          <w:kern w:val="3"/>
          <w:szCs w:val="21"/>
          <w:highlight w:val="none"/>
        </w:rPr>
      </w:pPr>
    </w:p>
    <w:p w14:paraId="21CE195B">
      <w:pPr>
        <w:autoSpaceDE w:val="0"/>
        <w:autoSpaceDN w:val="0"/>
        <w:adjustRightInd w:val="0"/>
        <w:spacing w:line="360" w:lineRule="auto"/>
        <w:ind w:firstLine="4200" w:firstLineChars="2000"/>
        <w:jc w:val="left"/>
        <w:rPr>
          <w:rFonts w:ascii="宋体" w:hAnsi="宋体" w:eastAsia="宋体" w:cs="Times New Roman"/>
          <w:color w:val="auto"/>
          <w:kern w:val="0"/>
          <w:szCs w:val="21"/>
          <w:highlight w:val="none"/>
        </w:rPr>
      </w:pPr>
      <w:r>
        <w:rPr>
          <w:rFonts w:ascii="宋体" w:hAnsi="宋体" w:eastAsia="宋体" w:cs="Times New Roman"/>
          <w:color w:val="auto"/>
          <w:kern w:val="3"/>
          <w:szCs w:val="21"/>
          <w:highlight w:val="none"/>
        </w:rPr>
        <w:t xml:space="preserve">投 标 人（公章）：              </w:t>
      </w:r>
    </w:p>
    <w:p w14:paraId="47CFD68F">
      <w:pPr>
        <w:spacing w:line="360" w:lineRule="auto"/>
        <w:ind w:firstLine="4200" w:firstLineChars="2000"/>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日  期：        年     月     日</w:t>
      </w:r>
    </w:p>
    <w:p w14:paraId="6FD31865">
      <w:pPr>
        <w:jc w:val="center"/>
        <w:rPr>
          <w:rFonts w:hint="eastAsia" w:ascii="黑体" w:eastAsia="黑体"/>
          <w:color w:val="auto"/>
          <w:sz w:val="32"/>
          <w:szCs w:val="32"/>
          <w:highlight w:val="none"/>
          <w:lang w:val="en-US" w:eastAsia="zh-CN"/>
        </w:rPr>
      </w:pPr>
    </w:p>
    <w:p w14:paraId="29B33229">
      <w:pPr>
        <w:jc w:val="center"/>
        <w:rPr>
          <w:rFonts w:hint="eastAsia" w:ascii="黑体" w:eastAsia="黑体"/>
          <w:color w:val="auto"/>
          <w:sz w:val="32"/>
          <w:szCs w:val="32"/>
          <w:highlight w:val="none"/>
          <w:lang w:val="en-US" w:eastAsia="zh-CN"/>
        </w:rPr>
      </w:pPr>
    </w:p>
    <w:p w14:paraId="186E158C">
      <w:pPr>
        <w:jc w:val="center"/>
        <w:rPr>
          <w:rFonts w:hint="eastAsia" w:ascii="黑体" w:eastAsia="黑体"/>
          <w:color w:val="auto"/>
          <w:sz w:val="32"/>
          <w:szCs w:val="32"/>
          <w:highlight w:val="none"/>
          <w:lang w:val="en-US" w:eastAsia="zh-CN"/>
        </w:rPr>
      </w:pPr>
    </w:p>
    <w:p w14:paraId="01093D0C">
      <w:pPr>
        <w:jc w:val="center"/>
        <w:rPr>
          <w:rFonts w:hint="eastAsia" w:ascii="黑体" w:eastAsia="黑体"/>
          <w:color w:val="auto"/>
          <w:sz w:val="32"/>
          <w:szCs w:val="32"/>
          <w:highlight w:val="none"/>
          <w:lang w:val="en-US" w:eastAsia="zh-CN"/>
        </w:rPr>
      </w:pPr>
    </w:p>
    <w:p w14:paraId="4CA5763A">
      <w:pPr>
        <w:jc w:val="center"/>
        <w:rPr>
          <w:rFonts w:hint="eastAsia" w:ascii="黑体" w:eastAsia="黑体"/>
          <w:color w:val="auto"/>
          <w:sz w:val="32"/>
          <w:szCs w:val="32"/>
          <w:highlight w:val="none"/>
          <w:lang w:val="en-US" w:eastAsia="zh-CN"/>
        </w:rPr>
      </w:pPr>
    </w:p>
    <w:p w14:paraId="09875F45">
      <w:pPr>
        <w:jc w:val="center"/>
        <w:rPr>
          <w:rFonts w:hint="eastAsia" w:ascii="黑体" w:eastAsia="黑体"/>
          <w:color w:val="auto"/>
          <w:sz w:val="32"/>
          <w:szCs w:val="32"/>
          <w:highlight w:val="none"/>
          <w:lang w:val="en-US" w:eastAsia="zh-CN"/>
        </w:rPr>
      </w:pPr>
    </w:p>
    <w:p w14:paraId="2DB9A308">
      <w:pPr>
        <w:jc w:val="center"/>
        <w:rPr>
          <w:rFonts w:hint="eastAsia" w:ascii="黑体" w:eastAsia="黑体"/>
          <w:color w:val="auto"/>
          <w:sz w:val="32"/>
          <w:szCs w:val="32"/>
          <w:highlight w:val="none"/>
          <w:lang w:val="en-US" w:eastAsia="zh-CN"/>
        </w:rPr>
      </w:pPr>
    </w:p>
    <w:p w14:paraId="09C7C348">
      <w:pPr>
        <w:jc w:val="center"/>
        <w:rPr>
          <w:rFonts w:hint="eastAsia" w:ascii="黑体" w:eastAsia="黑体"/>
          <w:color w:val="auto"/>
          <w:sz w:val="32"/>
          <w:szCs w:val="32"/>
          <w:highlight w:val="none"/>
          <w:lang w:val="en-US" w:eastAsia="zh-CN"/>
        </w:rPr>
      </w:pPr>
    </w:p>
    <w:p w14:paraId="7C1CC43E">
      <w:pPr>
        <w:jc w:val="center"/>
        <w:rPr>
          <w:rFonts w:hint="eastAsia" w:ascii="黑体" w:eastAsia="黑体"/>
          <w:color w:val="auto"/>
          <w:sz w:val="32"/>
          <w:szCs w:val="32"/>
          <w:highlight w:val="none"/>
          <w:lang w:val="en-US" w:eastAsia="zh-CN"/>
        </w:rPr>
      </w:pPr>
    </w:p>
    <w:p w14:paraId="4B1C1ED9">
      <w:pPr>
        <w:jc w:val="center"/>
        <w:rPr>
          <w:rFonts w:hint="eastAsia" w:ascii="黑体" w:eastAsia="黑体"/>
          <w:color w:val="auto"/>
          <w:sz w:val="32"/>
          <w:szCs w:val="32"/>
          <w:highlight w:val="none"/>
          <w:lang w:val="en-US" w:eastAsia="zh-CN"/>
        </w:rPr>
      </w:pPr>
    </w:p>
    <w:p w14:paraId="5832E8CC">
      <w:pPr>
        <w:jc w:val="center"/>
        <w:rPr>
          <w:rFonts w:hint="eastAsia" w:ascii="黑体" w:eastAsia="黑体"/>
          <w:color w:val="auto"/>
          <w:sz w:val="32"/>
          <w:szCs w:val="32"/>
          <w:highlight w:val="none"/>
          <w:lang w:val="en-US" w:eastAsia="zh-CN"/>
        </w:rPr>
      </w:pPr>
    </w:p>
    <w:p w14:paraId="563501DF">
      <w:pPr>
        <w:pStyle w:val="6"/>
        <w:widowControl w:val="0"/>
        <w:overflowPunct w:val="0"/>
        <w:spacing w:line="240" w:lineRule="auto"/>
        <w:rPr>
          <w:rFonts w:ascii="宋体" w:hAnsi="宋体"/>
          <w:color w:val="auto"/>
          <w:sz w:val="21"/>
          <w:szCs w:val="21"/>
          <w:highlight w:val="none"/>
        </w:rPr>
      </w:pPr>
      <w:bookmarkStart w:id="138" w:name="_Toc9214"/>
      <w:r>
        <w:rPr>
          <w:rFonts w:hint="eastAsia" w:ascii="宋体" w:hAnsi="宋体"/>
          <w:color w:val="auto"/>
          <w:sz w:val="21"/>
          <w:szCs w:val="21"/>
          <w:highlight w:val="none"/>
        </w:rPr>
        <w:t>报价明细表格式</w:t>
      </w:r>
      <w:bookmarkEnd w:id="138"/>
    </w:p>
    <w:p w14:paraId="190A234D">
      <w:pPr>
        <w:jc w:val="center"/>
        <w:rPr>
          <w:rFonts w:ascii="黑体" w:eastAsia="黑体"/>
          <w:color w:val="auto"/>
          <w:sz w:val="32"/>
          <w:szCs w:val="32"/>
          <w:highlight w:val="none"/>
        </w:rPr>
      </w:pPr>
      <w:bookmarkStart w:id="139" w:name="_Toc31062"/>
      <w:bookmarkStart w:id="140" w:name="_Toc31172"/>
      <w:r>
        <w:rPr>
          <w:rFonts w:hint="eastAsia" w:ascii="黑体" w:eastAsia="黑体"/>
          <w:color w:val="auto"/>
          <w:sz w:val="32"/>
          <w:szCs w:val="32"/>
          <w:highlight w:val="none"/>
        </w:rPr>
        <w:t>报价明细表</w:t>
      </w:r>
      <w:bookmarkEnd w:id="139"/>
      <w:bookmarkEnd w:id="140"/>
    </w:p>
    <w:p w14:paraId="181AD08E">
      <w:pPr>
        <w:pStyle w:val="80"/>
        <w:spacing w:before="0" w:after="0"/>
        <w:jc w:val="right"/>
        <w:rPr>
          <w:rFonts w:ascii="宋体" w:hAnsi="宋体" w:cs="宋体"/>
          <w:color w:val="auto"/>
          <w:szCs w:val="21"/>
          <w:highlight w:val="none"/>
        </w:rPr>
      </w:pPr>
      <w:r>
        <w:rPr>
          <w:rFonts w:hint="eastAsia" w:ascii="宋体" w:hAnsi="宋体" w:cs="宋体"/>
          <w:color w:val="auto"/>
          <w:szCs w:val="21"/>
          <w:highlight w:val="none"/>
        </w:rPr>
        <w:t>单位：元</w:t>
      </w:r>
    </w:p>
    <w:tbl>
      <w:tblPr>
        <w:tblStyle w:val="30"/>
        <w:tblW w:w="842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772"/>
        <w:gridCol w:w="992"/>
        <w:gridCol w:w="1230"/>
        <w:gridCol w:w="1005"/>
        <w:gridCol w:w="1110"/>
        <w:gridCol w:w="720"/>
        <w:gridCol w:w="915"/>
      </w:tblGrid>
      <w:tr w14:paraId="0A672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2" w:type="dxa"/>
            <w:tcBorders>
              <w:tl2br w:val="nil"/>
              <w:tr2bl w:val="nil"/>
            </w:tcBorders>
            <w:vAlign w:val="center"/>
          </w:tcPr>
          <w:p w14:paraId="323269A4">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序号</w:t>
            </w:r>
          </w:p>
        </w:tc>
        <w:tc>
          <w:tcPr>
            <w:tcW w:w="1772" w:type="dxa"/>
            <w:tcBorders>
              <w:tl2br w:val="nil"/>
              <w:tr2bl w:val="nil"/>
            </w:tcBorders>
            <w:vAlign w:val="center"/>
          </w:tcPr>
          <w:p w14:paraId="5830FBC8">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货物名称</w:t>
            </w:r>
          </w:p>
        </w:tc>
        <w:tc>
          <w:tcPr>
            <w:tcW w:w="992" w:type="dxa"/>
            <w:tcBorders>
              <w:tl2br w:val="nil"/>
              <w:tr2bl w:val="nil"/>
            </w:tcBorders>
            <w:vAlign w:val="center"/>
          </w:tcPr>
          <w:p w14:paraId="3D4B3217">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品牌</w:t>
            </w:r>
          </w:p>
        </w:tc>
        <w:tc>
          <w:tcPr>
            <w:tcW w:w="1230" w:type="dxa"/>
            <w:tcBorders>
              <w:tl2br w:val="nil"/>
              <w:tr2bl w:val="nil"/>
            </w:tcBorders>
            <w:vAlign w:val="center"/>
          </w:tcPr>
          <w:p w14:paraId="360C66A6">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规格型号</w:t>
            </w:r>
          </w:p>
        </w:tc>
        <w:tc>
          <w:tcPr>
            <w:tcW w:w="1005" w:type="dxa"/>
            <w:tcBorders>
              <w:tl2br w:val="nil"/>
              <w:tr2bl w:val="nil"/>
            </w:tcBorders>
            <w:vAlign w:val="center"/>
          </w:tcPr>
          <w:p w14:paraId="32127FFF">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数量</w:t>
            </w:r>
          </w:p>
        </w:tc>
        <w:tc>
          <w:tcPr>
            <w:tcW w:w="1110" w:type="dxa"/>
            <w:tcBorders>
              <w:tl2br w:val="nil"/>
              <w:tr2bl w:val="nil"/>
            </w:tcBorders>
            <w:vAlign w:val="center"/>
          </w:tcPr>
          <w:p w14:paraId="71F3BE85">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单价</w:t>
            </w:r>
          </w:p>
        </w:tc>
        <w:tc>
          <w:tcPr>
            <w:tcW w:w="720" w:type="dxa"/>
            <w:tcBorders>
              <w:tl2br w:val="nil"/>
              <w:tr2bl w:val="nil"/>
            </w:tcBorders>
            <w:vAlign w:val="center"/>
          </w:tcPr>
          <w:p w14:paraId="6DB2A15E">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w:t>
            </w:r>
          </w:p>
        </w:tc>
        <w:tc>
          <w:tcPr>
            <w:tcW w:w="915" w:type="dxa"/>
            <w:tcBorders>
              <w:tl2br w:val="nil"/>
              <w:tr2bl w:val="nil"/>
            </w:tcBorders>
            <w:vAlign w:val="center"/>
          </w:tcPr>
          <w:p w14:paraId="45C62A5F">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备注</w:t>
            </w:r>
          </w:p>
        </w:tc>
      </w:tr>
      <w:tr w14:paraId="57560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125A90AB">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D05C71E">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6BF92451">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05FBC53A">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6D0D7F75">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1B1B14AE">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30B14796">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602384EB">
            <w:pPr>
              <w:spacing w:before="100" w:beforeAutospacing="1" w:after="100" w:afterAutospacing="1"/>
              <w:jc w:val="center"/>
              <w:rPr>
                <w:rFonts w:ascii="宋体" w:hAnsi="宋体"/>
                <w:color w:val="auto"/>
                <w:szCs w:val="21"/>
                <w:highlight w:val="none"/>
              </w:rPr>
            </w:pPr>
          </w:p>
        </w:tc>
      </w:tr>
      <w:tr w14:paraId="1B64C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23DC4956">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524960B">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1527BB05">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32D3A5B5">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75DDB827">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26E10219">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6E419BD0">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188B55E2">
            <w:pPr>
              <w:spacing w:before="100" w:beforeAutospacing="1" w:after="100" w:afterAutospacing="1"/>
              <w:jc w:val="center"/>
              <w:rPr>
                <w:rFonts w:ascii="宋体" w:hAnsi="宋体"/>
                <w:color w:val="auto"/>
                <w:szCs w:val="21"/>
                <w:highlight w:val="none"/>
              </w:rPr>
            </w:pPr>
          </w:p>
        </w:tc>
      </w:tr>
      <w:tr w14:paraId="43BD0B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711CD5BE">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46261DD">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4FEBE80A">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5E4D4A2F">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6FE4A181">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788BC8E0">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5704E9B9">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0F3B968C">
            <w:pPr>
              <w:spacing w:before="100" w:beforeAutospacing="1" w:after="100" w:afterAutospacing="1"/>
              <w:jc w:val="center"/>
              <w:rPr>
                <w:rFonts w:ascii="宋体" w:hAnsi="宋体"/>
                <w:color w:val="auto"/>
                <w:szCs w:val="21"/>
                <w:highlight w:val="none"/>
              </w:rPr>
            </w:pPr>
          </w:p>
        </w:tc>
      </w:tr>
      <w:tr w14:paraId="3BE610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4770050">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4AC10860">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051F8C48">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0CBB7E3E">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14BE81C1">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48B9769D">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62FA3EBF">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23E01B0C">
            <w:pPr>
              <w:spacing w:before="100" w:beforeAutospacing="1" w:after="100" w:afterAutospacing="1"/>
              <w:jc w:val="center"/>
              <w:rPr>
                <w:rFonts w:ascii="宋体" w:hAnsi="宋体"/>
                <w:color w:val="auto"/>
                <w:szCs w:val="21"/>
                <w:highlight w:val="none"/>
              </w:rPr>
            </w:pPr>
          </w:p>
        </w:tc>
      </w:tr>
      <w:tr w14:paraId="51656F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31A96CE0">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39BB819">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1448652B">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579119DD">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338B6ABB">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3F21F545">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2D628E61">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1F53841C">
            <w:pPr>
              <w:spacing w:before="100" w:beforeAutospacing="1" w:after="100" w:afterAutospacing="1"/>
              <w:jc w:val="center"/>
              <w:rPr>
                <w:rFonts w:ascii="宋体" w:hAnsi="宋体"/>
                <w:color w:val="auto"/>
                <w:szCs w:val="21"/>
                <w:highlight w:val="none"/>
              </w:rPr>
            </w:pPr>
          </w:p>
        </w:tc>
      </w:tr>
      <w:tr w14:paraId="68C92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7F414BF3">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48B0367C">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7C005B3F">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269EB52">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533F33DA">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4B5E508F">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2875661C">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3C8A8D4D">
            <w:pPr>
              <w:spacing w:before="100" w:beforeAutospacing="1" w:after="100" w:afterAutospacing="1"/>
              <w:jc w:val="center"/>
              <w:rPr>
                <w:rFonts w:ascii="宋体" w:hAnsi="宋体"/>
                <w:color w:val="auto"/>
                <w:szCs w:val="21"/>
                <w:highlight w:val="none"/>
              </w:rPr>
            </w:pPr>
          </w:p>
        </w:tc>
      </w:tr>
      <w:tr w14:paraId="4C5C5B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21E7059C">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22129C8">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08571586">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7C99371C">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2B584973">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645ED33D">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72C14849">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738A2308">
            <w:pPr>
              <w:spacing w:before="100" w:beforeAutospacing="1" w:after="100" w:afterAutospacing="1"/>
              <w:jc w:val="center"/>
              <w:rPr>
                <w:rFonts w:ascii="宋体" w:hAnsi="宋体"/>
                <w:color w:val="auto"/>
                <w:szCs w:val="21"/>
                <w:highlight w:val="none"/>
              </w:rPr>
            </w:pPr>
          </w:p>
        </w:tc>
      </w:tr>
      <w:tr w14:paraId="6F766C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5D0DD83B">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5A2CF99">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2E9B968A">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D5A1B3D">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097F228E">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490514B8">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787E5D29">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1B524E34">
            <w:pPr>
              <w:spacing w:before="100" w:beforeAutospacing="1" w:after="100" w:afterAutospacing="1"/>
              <w:jc w:val="center"/>
              <w:rPr>
                <w:rFonts w:ascii="宋体" w:hAnsi="宋体"/>
                <w:color w:val="auto"/>
                <w:szCs w:val="21"/>
                <w:highlight w:val="none"/>
              </w:rPr>
            </w:pPr>
          </w:p>
        </w:tc>
      </w:tr>
      <w:tr w14:paraId="4B96BB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50B547E5">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2B1FD174">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06D891AF">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4D654F04">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663D7D66">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17049C47">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2381A94D">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762CA8A1">
            <w:pPr>
              <w:spacing w:before="100" w:beforeAutospacing="1" w:after="100" w:afterAutospacing="1"/>
              <w:jc w:val="center"/>
              <w:rPr>
                <w:rFonts w:ascii="宋体" w:hAnsi="宋体"/>
                <w:color w:val="auto"/>
                <w:szCs w:val="21"/>
                <w:highlight w:val="none"/>
              </w:rPr>
            </w:pPr>
          </w:p>
        </w:tc>
      </w:tr>
      <w:tr w14:paraId="5EB9A2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0E36352">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89EBF93">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36DDEE8D">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46B87C2">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52BE4CEB">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7ED472CA">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05180431">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5623BCA2">
            <w:pPr>
              <w:spacing w:before="100" w:beforeAutospacing="1" w:after="100" w:afterAutospacing="1"/>
              <w:jc w:val="center"/>
              <w:rPr>
                <w:rFonts w:ascii="宋体" w:hAnsi="宋体"/>
                <w:color w:val="auto"/>
                <w:szCs w:val="21"/>
                <w:highlight w:val="none"/>
              </w:rPr>
            </w:pPr>
          </w:p>
        </w:tc>
      </w:tr>
      <w:tr w14:paraId="21136C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33F984C2">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C4D249E">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567E4B40">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32CCF6C5">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7564DF8B">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0397E06D">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675F44FA">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606D5059">
            <w:pPr>
              <w:spacing w:before="100" w:beforeAutospacing="1" w:after="100" w:afterAutospacing="1"/>
              <w:jc w:val="center"/>
              <w:rPr>
                <w:rFonts w:ascii="宋体" w:hAnsi="宋体"/>
                <w:color w:val="auto"/>
                <w:szCs w:val="21"/>
                <w:highlight w:val="none"/>
              </w:rPr>
            </w:pPr>
          </w:p>
        </w:tc>
      </w:tr>
      <w:tr w14:paraId="6603D3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7D66F9FD">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D89689B">
            <w:pP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64349AF1">
            <w:pP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5B6E47AC">
            <w:pP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0B4FF35A">
            <w:pP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52786E9D">
            <w:pP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18935E94">
            <w:pP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1628EACB">
            <w:pPr>
              <w:spacing w:before="100" w:beforeAutospacing="1" w:after="100" w:afterAutospacing="1"/>
              <w:jc w:val="center"/>
              <w:rPr>
                <w:rFonts w:ascii="宋体" w:hAnsi="宋体"/>
                <w:color w:val="auto"/>
                <w:szCs w:val="21"/>
                <w:highlight w:val="none"/>
              </w:rPr>
            </w:pPr>
          </w:p>
        </w:tc>
      </w:tr>
      <w:tr w14:paraId="37A5F4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791" w:type="dxa"/>
            <w:gridSpan w:val="6"/>
            <w:tcBorders>
              <w:tl2br w:val="nil"/>
              <w:tr2bl w:val="nil"/>
            </w:tcBorders>
            <w:vAlign w:val="center"/>
          </w:tcPr>
          <w:p w14:paraId="18B75203">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合计总价</w:t>
            </w:r>
          </w:p>
        </w:tc>
        <w:tc>
          <w:tcPr>
            <w:tcW w:w="1635" w:type="dxa"/>
            <w:gridSpan w:val="2"/>
            <w:tcBorders>
              <w:tl2br w:val="nil"/>
              <w:tr2bl w:val="nil"/>
            </w:tcBorders>
            <w:vAlign w:val="center"/>
          </w:tcPr>
          <w:p w14:paraId="1655B64D">
            <w:pPr>
              <w:spacing w:before="100" w:beforeAutospacing="1" w:after="100" w:afterAutospacing="1"/>
              <w:jc w:val="center"/>
              <w:rPr>
                <w:rFonts w:ascii="宋体" w:hAnsi="宋体"/>
                <w:color w:val="auto"/>
                <w:szCs w:val="21"/>
                <w:highlight w:val="none"/>
              </w:rPr>
            </w:pPr>
          </w:p>
        </w:tc>
      </w:tr>
    </w:tbl>
    <w:p w14:paraId="5428F9A8">
      <w:pPr>
        <w:rPr>
          <w:rFonts w:ascii="宋体" w:hAnsi="宋体" w:cs="宋体"/>
          <w:b/>
          <w:color w:val="auto"/>
          <w:szCs w:val="21"/>
          <w:highlight w:val="none"/>
        </w:rPr>
      </w:pPr>
    </w:p>
    <w:p w14:paraId="0C4CD530">
      <w:pPr>
        <w:rPr>
          <w:color w:val="auto"/>
          <w:highlight w:val="none"/>
        </w:rPr>
      </w:pPr>
    </w:p>
    <w:p w14:paraId="1FDA8E20">
      <w:pPr>
        <w:rPr>
          <w:rFonts w:ascii="宋体" w:hAnsi="宋体"/>
          <w:color w:val="auto"/>
          <w:szCs w:val="21"/>
          <w:highlight w:val="none"/>
        </w:rPr>
      </w:pPr>
      <w:r>
        <w:rPr>
          <w:rFonts w:hint="eastAsia" w:ascii="宋体" w:hAnsi="宋体"/>
          <w:color w:val="auto"/>
          <w:szCs w:val="21"/>
          <w:highlight w:val="none"/>
        </w:rPr>
        <w:t>投标人代表签字：</w:t>
      </w:r>
    </w:p>
    <w:p w14:paraId="65672462">
      <w:pPr>
        <w:rPr>
          <w:rFonts w:ascii="宋体" w:hAnsi="宋体"/>
          <w:color w:val="auto"/>
          <w:szCs w:val="21"/>
          <w:highlight w:val="none"/>
        </w:rPr>
      </w:pPr>
      <w:r>
        <w:rPr>
          <w:rFonts w:hint="eastAsia" w:ascii="宋体" w:hAnsi="宋体"/>
          <w:color w:val="auto"/>
          <w:szCs w:val="21"/>
          <w:highlight w:val="none"/>
        </w:rPr>
        <w:t>投标人盖章：</w:t>
      </w:r>
    </w:p>
    <w:p w14:paraId="5843FB0B">
      <w:pPr>
        <w:rPr>
          <w:rFonts w:hint="eastAsia" w:ascii="宋体" w:hAnsi="宋体"/>
          <w:color w:val="auto"/>
          <w:szCs w:val="21"/>
          <w:highlight w:val="none"/>
        </w:rPr>
      </w:pPr>
      <w:r>
        <w:rPr>
          <w:rFonts w:hint="eastAsia" w:ascii="宋体" w:hAnsi="宋体"/>
          <w:color w:val="auto"/>
          <w:szCs w:val="21"/>
          <w:highlight w:val="none"/>
        </w:rPr>
        <w:t>日期：</w:t>
      </w:r>
    </w:p>
    <w:p w14:paraId="1557262A">
      <w:pPr>
        <w:pStyle w:val="41"/>
        <w:spacing w:before="180"/>
        <w:ind w:firstLine="480"/>
        <w:rPr>
          <w:color w:val="auto"/>
          <w:highlight w:val="none"/>
        </w:rPr>
      </w:pPr>
    </w:p>
    <w:p w14:paraId="133844CC">
      <w:pPr>
        <w:rPr>
          <w:color w:val="auto"/>
          <w:highlight w:val="none"/>
        </w:rPr>
      </w:pPr>
    </w:p>
    <w:p w14:paraId="53987A98">
      <w:pPr>
        <w:pStyle w:val="28"/>
        <w:rPr>
          <w:color w:val="auto"/>
          <w:highlight w:val="none"/>
        </w:rPr>
      </w:pPr>
    </w:p>
    <w:p w14:paraId="38CD6605">
      <w:pPr>
        <w:pStyle w:val="4"/>
        <w:spacing w:before="0" w:after="0" w:line="360" w:lineRule="auto"/>
        <w:jc w:val="center"/>
        <w:rPr>
          <w:color w:val="auto"/>
          <w:sz w:val="72"/>
          <w:szCs w:val="72"/>
          <w:highlight w:val="none"/>
        </w:rPr>
      </w:pPr>
      <w:bookmarkStart w:id="141" w:name="_Toc8658"/>
      <w:r>
        <w:rPr>
          <w:rFonts w:hint="eastAsia"/>
          <w:color w:val="auto"/>
          <w:sz w:val="72"/>
          <w:szCs w:val="72"/>
          <w:highlight w:val="none"/>
        </w:rPr>
        <w:t>商务文件</w:t>
      </w:r>
      <w:bookmarkEnd w:id="141"/>
    </w:p>
    <w:p w14:paraId="6A894FB9">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1FD47D77">
      <w:pPr>
        <w:rPr>
          <w:color w:val="auto"/>
          <w:highlight w:val="none"/>
        </w:rPr>
      </w:pPr>
    </w:p>
    <w:p w14:paraId="6E31593B">
      <w:pPr>
        <w:pStyle w:val="2"/>
        <w:rPr>
          <w:rFonts w:hint="eastAsia"/>
          <w:color w:val="auto"/>
          <w:highlight w:val="none"/>
        </w:rPr>
      </w:pPr>
    </w:p>
    <w:p w14:paraId="267D9979">
      <w:pPr>
        <w:ind w:firstLine="240"/>
        <w:rPr>
          <w:color w:val="auto"/>
          <w:highlight w:val="none"/>
        </w:rPr>
      </w:pPr>
    </w:p>
    <w:p w14:paraId="6AAF38DB">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4"/>
        </w:rPr>
        <w:t>项目名</w:t>
      </w:r>
      <w:r>
        <w:rPr>
          <w:rFonts w:hint="eastAsia" w:ascii="宋体" w:hAnsi="宋体" w:cs="宋体"/>
          <w:b/>
          <w:bCs/>
          <w:color w:val="auto"/>
          <w:spacing w:val="1"/>
          <w:w w:val="100"/>
          <w:kern w:val="0"/>
          <w:sz w:val="32"/>
          <w:szCs w:val="32"/>
          <w:highlight w:val="none"/>
          <w:fitText w:val="1600" w:id="4"/>
        </w:rPr>
        <w:t>称</w:t>
      </w:r>
      <w:r>
        <w:rPr>
          <w:rFonts w:hint="eastAsia" w:ascii="宋体" w:hAnsi="宋体" w:cs="宋体"/>
          <w:b/>
          <w:bCs/>
          <w:color w:val="auto"/>
          <w:spacing w:val="-6"/>
          <w:sz w:val="32"/>
          <w:szCs w:val="32"/>
          <w:highlight w:val="none"/>
        </w:rPr>
        <w:t>：</w:t>
      </w:r>
    </w:p>
    <w:p w14:paraId="305AC65C">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5"/>
        </w:rPr>
        <w:t>项目编</w:t>
      </w:r>
      <w:r>
        <w:rPr>
          <w:rFonts w:hint="eastAsia" w:ascii="宋体" w:hAnsi="宋体" w:cs="宋体"/>
          <w:b/>
          <w:bCs/>
          <w:color w:val="auto"/>
          <w:spacing w:val="1"/>
          <w:w w:val="100"/>
          <w:kern w:val="0"/>
          <w:sz w:val="32"/>
          <w:szCs w:val="32"/>
          <w:highlight w:val="none"/>
          <w:fitText w:val="1600" w:id="5"/>
        </w:rPr>
        <w:t>号</w:t>
      </w:r>
      <w:r>
        <w:rPr>
          <w:rFonts w:hint="eastAsia" w:ascii="宋体" w:hAnsi="宋体" w:cs="宋体"/>
          <w:b/>
          <w:bCs/>
          <w:color w:val="auto"/>
          <w:sz w:val="32"/>
          <w:szCs w:val="32"/>
          <w:highlight w:val="none"/>
        </w:rPr>
        <w:t>：</w:t>
      </w:r>
    </w:p>
    <w:p w14:paraId="5542CB49">
      <w:pPr>
        <w:pStyle w:val="2"/>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66824462">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6"/>
        </w:rPr>
        <w:t>投标人名称</w:t>
      </w:r>
      <w:r>
        <w:rPr>
          <w:rFonts w:hint="eastAsia" w:ascii="宋体" w:hAnsi="宋体" w:cs="宋体"/>
          <w:b/>
          <w:color w:val="auto"/>
          <w:sz w:val="32"/>
          <w:szCs w:val="32"/>
          <w:highlight w:val="none"/>
        </w:rPr>
        <w:t>：</w:t>
      </w:r>
    </w:p>
    <w:p w14:paraId="16FB525C">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7"/>
        </w:rPr>
        <w:t xml:space="preserve">日    </w:t>
      </w:r>
      <w:r>
        <w:rPr>
          <w:rFonts w:hint="eastAsia" w:ascii="宋体" w:hAnsi="宋体" w:cs="宋体"/>
          <w:b/>
          <w:color w:val="auto"/>
          <w:spacing w:val="0"/>
          <w:w w:val="100"/>
          <w:kern w:val="0"/>
          <w:sz w:val="32"/>
          <w:szCs w:val="32"/>
          <w:highlight w:val="none"/>
          <w:fitText w:val="1600" w:id="7"/>
        </w:rPr>
        <w:t>期</w:t>
      </w:r>
      <w:r>
        <w:rPr>
          <w:rFonts w:hint="eastAsia" w:ascii="宋体" w:hAnsi="宋体" w:cs="宋体"/>
          <w:b/>
          <w:color w:val="auto"/>
          <w:sz w:val="32"/>
          <w:szCs w:val="32"/>
          <w:highlight w:val="none"/>
        </w:rPr>
        <w:t>：  年  月  日</w:t>
      </w:r>
    </w:p>
    <w:p w14:paraId="50EC7415">
      <w:pPr>
        <w:pStyle w:val="2"/>
        <w:rPr>
          <w:rFonts w:hint="eastAsia"/>
          <w:b/>
          <w:color w:val="auto"/>
          <w:sz w:val="32"/>
          <w:szCs w:val="32"/>
          <w:highlight w:val="none"/>
        </w:rPr>
      </w:pPr>
    </w:p>
    <w:p w14:paraId="4DC5DF0A">
      <w:pPr>
        <w:rPr>
          <w:color w:val="auto"/>
          <w:highlight w:val="none"/>
        </w:rPr>
      </w:pPr>
    </w:p>
    <w:p w14:paraId="49D74DAB">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436B58F3">
      <w:pPr>
        <w:pStyle w:val="6"/>
        <w:widowControl w:val="0"/>
        <w:overflowPunct w:val="0"/>
        <w:spacing w:line="240" w:lineRule="auto"/>
        <w:rPr>
          <w:rFonts w:hint="eastAsia" w:ascii="宋体" w:hAnsi="宋体"/>
          <w:color w:val="auto"/>
          <w:sz w:val="21"/>
          <w:szCs w:val="21"/>
          <w:highlight w:val="none"/>
        </w:rPr>
      </w:pPr>
      <w:bookmarkStart w:id="142" w:name="_Toc25667"/>
      <w:r>
        <w:rPr>
          <w:rFonts w:hint="eastAsia" w:ascii="宋体" w:hAnsi="宋体"/>
          <w:color w:val="auto"/>
          <w:sz w:val="21"/>
          <w:szCs w:val="21"/>
          <w:highlight w:val="none"/>
        </w:rPr>
        <w:t>附件1：商务评审评分标准索引表</w:t>
      </w:r>
      <w:bookmarkEnd w:id="142"/>
    </w:p>
    <w:p w14:paraId="674855C0">
      <w:pPr>
        <w:rPr>
          <w:color w:val="auto"/>
          <w:highlight w:val="none"/>
        </w:rPr>
      </w:pPr>
    </w:p>
    <w:p w14:paraId="31EB66B6">
      <w:pPr>
        <w:rPr>
          <w:color w:val="auto"/>
          <w:highlight w:val="none"/>
        </w:rPr>
      </w:pPr>
    </w:p>
    <w:p w14:paraId="6BFEF523">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评分标准索引表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E94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707DC045">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序号</w:t>
            </w:r>
          </w:p>
        </w:tc>
        <w:tc>
          <w:tcPr>
            <w:tcW w:w="1704" w:type="dxa"/>
            <w:vAlign w:val="center"/>
          </w:tcPr>
          <w:p w14:paraId="6BF514F8">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评审项目</w:t>
            </w:r>
          </w:p>
        </w:tc>
        <w:tc>
          <w:tcPr>
            <w:tcW w:w="1704" w:type="dxa"/>
            <w:vAlign w:val="center"/>
          </w:tcPr>
          <w:p w14:paraId="11675154">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评审细则</w:t>
            </w:r>
          </w:p>
        </w:tc>
        <w:tc>
          <w:tcPr>
            <w:tcW w:w="1705" w:type="dxa"/>
            <w:vAlign w:val="center"/>
          </w:tcPr>
          <w:p w14:paraId="6A2383FA">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分值</w:t>
            </w:r>
          </w:p>
        </w:tc>
        <w:tc>
          <w:tcPr>
            <w:tcW w:w="1705" w:type="dxa"/>
            <w:vAlign w:val="center"/>
          </w:tcPr>
          <w:p w14:paraId="43670C13">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页码范围</w:t>
            </w:r>
          </w:p>
        </w:tc>
      </w:tr>
      <w:tr w14:paraId="064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787F3601">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商务评审</w:t>
            </w:r>
          </w:p>
        </w:tc>
      </w:tr>
      <w:tr w14:paraId="5B60B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0EE6FB3">
            <w:pPr>
              <w:jc w:val="center"/>
              <w:rPr>
                <w:rFonts w:ascii="Times New Roman" w:hAnsi="Times New Roman" w:cs="Times New Roman"/>
                <w:color w:val="auto"/>
                <w:sz w:val="24"/>
                <w:szCs w:val="24"/>
                <w:highlight w:val="none"/>
              </w:rPr>
            </w:pPr>
          </w:p>
        </w:tc>
        <w:tc>
          <w:tcPr>
            <w:tcW w:w="1704" w:type="dxa"/>
            <w:vAlign w:val="center"/>
          </w:tcPr>
          <w:p w14:paraId="3EBC5B82">
            <w:pPr>
              <w:jc w:val="center"/>
              <w:rPr>
                <w:rFonts w:ascii="Times New Roman" w:hAnsi="Times New Roman" w:cs="Times New Roman"/>
                <w:color w:val="auto"/>
                <w:sz w:val="24"/>
                <w:szCs w:val="24"/>
                <w:highlight w:val="none"/>
              </w:rPr>
            </w:pPr>
          </w:p>
        </w:tc>
        <w:tc>
          <w:tcPr>
            <w:tcW w:w="1704" w:type="dxa"/>
            <w:vAlign w:val="center"/>
          </w:tcPr>
          <w:p w14:paraId="394D5FF2">
            <w:pPr>
              <w:jc w:val="center"/>
              <w:rPr>
                <w:rFonts w:ascii="Times New Roman" w:hAnsi="Times New Roman" w:cs="Times New Roman"/>
                <w:color w:val="auto"/>
                <w:sz w:val="24"/>
                <w:szCs w:val="24"/>
                <w:highlight w:val="none"/>
              </w:rPr>
            </w:pPr>
          </w:p>
        </w:tc>
        <w:tc>
          <w:tcPr>
            <w:tcW w:w="1705" w:type="dxa"/>
            <w:vAlign w:val="center"/>
          </w:tcPr>
          <w:p w14:paraId="5B3927DB">
            <w:pPr>
              <w:jc w:val="center"/>
              <w:rPr>
                <w:rFonts w:ascii="Times New Roman" w:hAnsi="Times New Roman" w:cs="Times New Roman"/>
                <w:color w:val="auto"/>
                <w:sz w:val="24"/>
                <w:szCs w:val="24"/>
                <w:highlight w:val="none"/>
              </w:rPr>
            </w:pPr>
          </w:p>
        </w:tc>
        <w:tc>
          <w:tcPr>
            <w:tcW w:w="1705" w:type="dxa"/>
            <w:vAlign w:val="center"/>
          </w:tcPr>
          <w:p w14:paraId="7B3DACA5">
            <w:pPr>
              <w:jc w:val="center"/>
              <w:rPr>
                <w:rFonts w:ascii="Times New Roman" w:hAnsi="Times New Roman" w:cs="Times New Roman"/>
                <w:color w:val="auto"/>
                <w:sz w:val="24"/>
                <w:szCs w:val="24"/>
                <w:highlight w:val="none"/>
              </w:rPr>
            </w:pPr>
          </w:p>
        </w:tc>
      </w:tr>
      <w:tr w14:paraId="22125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141E496">
            <w:pPr>
              <w:jc w:val="center"/>
              <w:rPr>
                <w:rFonts w:ascii="Times New Roman" w:hAnsi="Times New Roman" w:cs="Times New Roman"/>
                <w:color w:val="auto"/>
                <w:sz w:val="24"/>
                <w:szCs w:val="24"/>
                <w:highlight w:val="none"/>
              </w:rPr>
            </w:pPr>
          </w:p>
        </w:tc>
        <w:tc>
          <w:tcPr>
            <w:tcW w:w="1704" w:type="dxa"/>
            <w:vAlign w:val="center"/>
          </w:tcPr>
          <w:p w14:paraId="35C4239D">
            <w:pPr>
              <w:jc w:val="center"/>
              <w:rPr>
                <w:rFonts w:ascii="Times New Roman" w:hAnsi="Times New Roman" w:cs="Times New Roman"/>
                <w:color w:val="auto"/>
                <w:sz w:val="24"/>
                <w:szCs w:val="24"/>
                <w:highlight w:val="none"/>
              </w:rPr>
            </w:pPr>
          </w:p>
        </w:tc>
        <w:tc>
          <w:tcPr>
            <w:tcW w:w="1704" w:type="dxa"/>
            <w:vAlign w:val="center"/>
          </w:tcPr>
          <w:p w14:paraId="22BBB98D">
            <w:pPr>
              <w:jc w:val="center"/>
              <w:rPr>
                <w:rFonts w:ascii="Times New Roman" w:hAnsi="Times New Roman" w:cs="Times New Roman"/>
                <w:color w:val="auto"/>
                <w:sz w:val="24"/>
                <w:szCs w:val="24"/>
                <w:highlight w:val="none"/>
              </w:rPr>
            </w:pPr>
          </w:p>
        </w:tc>
        <w:tc>
          <w:tcPr>
            <w:tcW w:w="1705" w:type="dxa"/>
            <w:vAlign w:val="center"/>
          </w:tcPr>
          <w:p w14:paraId="6609E865">
            <w:pPr>
              <w:jc w:val="center"/>
              <w:rPr>
                <w:rFonts w:ascii="Times New Roman" w:hAnsi="Times New Roman" w:cs="Times New Roman"/>
                <w:color w:val="auto"/>
                <w:sz w:val="24"/>
                <w:szCs w:val="24"/>
                <w:highlight w:val="none"/>
              </w:rPr>
            </w:pPr>
          </w:p>
        </w:tc>
        <w:tc>
          <w:tcPr>
            <w:tcW w:w="1705" w:type="dxa"/>
            <w:vAlign w:val="center"/>
          </w:tcPr>
          <w:p w14:paraId="1EF9F923">
            <w:pPr>
              <w:jc w:val="center"/>
              <w:rPr>
                <w:rFonts w:ascii="Times New Roman" w:hAnsi="Times New Roman" w:cs="Times New Roman"/>
                <w:color w:val="auto"/>
                <w:sz w:val="24"/>
                <w:szCs w:val="24"/>
                <w:highlight w:val="none"/>
              </w:rPr>
            </w:pPr>
          </w:p>
        </w:tc>
      </w:tr>
      <w:tr w14:paraId="3180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71322EC">
            <w:pPr>
              <w:jc w:val="center"/>
              <w:rPr>
                <w:rFonts w:ascii="Times New Roman" w:hAnsi="Times New Roman" w:cs="Times New Roman"/>
                <w:color w:val="auto"/>
                <w:sz w:val="24"/>
                <w:szCs w:val="24"/>
                <w:highlight w:val="none"/>
              </w:rPr>
            </w:pPr>
          </w:p>
        </w:tc>
        <w:tc>
          <w:tcPr>
            <w:tcW w:w="1704" w:type="dxa"/>
            <w:vAlign w:val="center"/>
          </w:tcPr>
          <w:p w14:paraId="17C040C4">
            <w:pPr>
              <w:jc w:val="center"/>
              <w:rPr>
                <w:rFonts w:ascii="Times New Roman" w:hAnsi="Times New Roman" w:cs="Times New Roman"/>
                <w:color w:val="auto"/>
                <w:sz w:val="24"/>
                <w:szCs w:val="24"/>
                <w:highlight w:val="none"/>
              </w:rPr>
            </w:pPr>
          </w:p>
        </w:tc>
        <w:tc>
          <w:tcPr>
            <w:tcW w:w="1704" w:type="dxa"/>
            <w:vAlign w:val="center"/>
          </w:tcPr>
          <w:p w14:paraId="729A9D26">
            <w:pPr>
              <w:jc w:val="center"/>
              <w:rPr>
                <w:rFonts w:ascii="Times New Roman" w:hAnsi="Times New Roman" w:cs="Times New Roman"/>
                <w:color w:val="auto"/>
                <w:sz w:val="24"/>
                <w:szCs w:val="24"/>
                <w:highlight w:val="none"/>
              </w:rPr>
            </w:pPr>
          </w:p>
        </w:tc>
        <w:tc>
          <w:tcPr>
            <w:tcW w:w="1705" w:type="dxa"/>
            <w:vAlign w:val="center"/>
          </w:tcPr>
          <w:p w14:paraId="0273F8BC">
            <w:pPr>
              <w:jc w:val="center"/>
              <w:rPr>
                <w:rFonts w:ascii="Times New Roman" w:hAnsi="Times New Roman" w:cs="Times New Roman"/>
                <w:color w:val="auto"/>
                <w:sz w:val="24"/>
                <w:szCs w:val="24"/>
                <w:highlight w:val="none"/>
              </w:rPr>
            </w:pPr>
          </w:p>
        </w:tc>
        <w:tc>
          <w:tcPr>
            <w:tcW w:w="1705" w:type="dxa"/>
            <w:vAlign w:val="center"/>
          </w:tcPr>
          <w:p w14:paraId="39852442">
            <w:pPr>
              <w:jc w:val="center"/>
              <w:rPr>
                <w:rFonts w:ascii="Times New Roman" w:hAnsi="Times New Roman" w:cs="Times New Roman"/>
                <w:color w:val="auto"/>
                <w:sz w:val="24"/>
                <w:szCs w:val="24"/>
                <w:highlight w:val="none"/>
              </w:rPr>
            </w:pPr>
          </w:p>
        </w:tc>
      </w:tr>
    </w:tbl>
    <w:p w14:paraId="1FBF675A">
      <w:pPr>
        <w:adjustRightInd/>
        <w:snapToGrid/>
        <w:spacing w:line="240" w:lineRule="auto"/>
        <w:rPr>
          <w:rFonts w:hint="eastAsia" w:ascii="宋体" w:hAnsi="宋体"/>
          <w:color w:val="auto"/>
          <w:szCs w:val="21"/>
          <w:highlight w:val="none"/>
        </w:rPr>
      </w:pPr>
    </w:p>
    <w:p w14:paraId="7D59C7C3">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749F4935">
      <w:pPr>
        <w:pStyle w:val="6"/>
        <w:widowControl w:val="0"/>
        <w:overflowPunct w:val="0"/>
        <w:spacing w:line="240" w:lineRule="auto"/>
        <w:rPr>
          <w:rFonts w:hint="eastAsia" w:ascii="宋体" w:hAnsi="宋体"/>
          <w:color w:val="auto"/>
          <w:sz w:val="21"/>
          <w:szCs w:val="21"/>
          <w:highlight w:val="none"/>
        </w:rPr>
      </w:pPr>
      <w:bookmarkStart w:id="143" w:name="_Toc17175"/>
      <w:r>
        <w:rPr>
          <w:rFonts w:hint="eastAsia" w:ascii="宋体" w:hAnsi="宋体"/>
          <w:color w:val="auto"/>
          <w:sz w:val="21"/>
          <w:szCs w:val="21"/>
          <w:highlight w:val="none"/>
        </w:rPr>
        <w:t>附件2.投标书格式</w:t>
      </w:r>
      <w:bookmarkEnd w:id="143"/>
    </w:p>
    <w:p w14:paraId="293991C0">
      <w:pPr>
        <w:jc w:val="center"/>
        <w:rPr>
          <w:rFonts w:hint="eastAsia" w:ascii="宋体" w:hAnsi="宋体"/>
          <w:color w:val="auto"/>
          <w:szCs w:val="21"/>
          <w:highlight w:val="none"/>
        </w:rPr>
      </w:pPr>
      <w:r>
        <w:rPr>
          <w:rFonts w:hint="eastAsia" w:ascii="黑体" w:eastAsia="黑体"/>
          <w:color w:val="auto"/>
          <w:sz w:val="32"/>
          <w:szCs w:val="32"/>
          <w:highlight w:val="none"/>
        </w:rPr>
        <w:t>投标书</w:t>
      </w:r>
    </w:p>
    <w:p w14:paraId="5484B3FE">
      <w:pPr>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广东建瀚工程管理有限公司</w:t>
      </w:r>
      <w:r>
        <w:rPr>
          <w:rFonts w:hint="eastAsia" w:ascii="宋体" w:hAnsi="宋体"/>
          <w:color w:val="auto"/>
          <w:szCs w:val="21"/>
          <w:highlight w:val="none"/>
        </w:rPr>
        <w:t>：</w:t>
      </w:r>
    </w:p>
    <w:p w14:paraId="7595C8EB">
      <w:pPr>
        <w:rPr>
          <w:rFonts w:hint="eastAsia" w:ascii="宋体" w:hAnsi="宋体"/>
          <w:color w:val="auto"/>
          <w:szCs w:val="21"/>
          <w:highlight w:val="none"/>
        </w:rPr>
      </w:pPr>
    </w:p>
    <w:p w14:paraId="4F913FA3">
      <w:pPr>
        <w:ind w:firstLine="420" w:firstLineChars="200"/>
        <w:rPr>
          <w:rFonts w:hint="eastAsia"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66DB28E2">
      <w:pPr>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在此，签字代表宣布同意如下： </w:t>
      </w:r>
    </w:p>
    <w:p w14:paraId="73D7784A">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0A642256">
      <w:pPr>
        <w:widowControl w:val="0"/>
        <w:numPr>
          <w:ilvl w:val="0"/>
          <w:numId w:val="8"/>
        </w:numPr>
        <w:adjustRightInd/>
        <w:snapToGrid/>
        <w:jc w:val="both"/>
        <w:rPr>
          <w:rFonts w:hint="eastAsia"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355E5038">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4FCBD48F">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6DB9E1D1">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75F7D43D">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73C7F6A2">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457CC079">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与本投标有关的一切正式信函请寄：</w:t>
      </w:r>
    </w:p>
    <w:p w14:paraId="4ABE3A14">
      <w:pPr>
        <w:rPr>
          <w:rFonts w:hint="eastAsia" w:ascii="宋体" w:hAnsi="宋体"/>
          <w:color w:val="auto"/>
          <w:szCs w:val="21"/>
          <w:highlight w:val="none"/>
        </w:rPr>
      </w:pPr>
      <w:r>
        <w:rPr>
          <w:rFonts w:hint="eastAsia" w:ascii="宋体" w:hAnsi="宋体"/>
          <w:color w:val="auto"/>
          <w:szCs w:val="21"/>
          <w:highlight w:val="none"/>
        </w:rPr>
        <w:t>地址：　　　　　　　　　　　　　　　电子邮箱：　　　　</w:t>
      </w:r>
    </w:p>
    <w:p w14:paraId="71368065">
      <w:pPr>
        <w:rPr>
          <w:rFonts w:hint="eastAsia" w:ascii="宋体" w:hAnsi="宋体"/>
          <w:color w:val="auto"/>
          <w:szCs w:val="21"/>
          <w:highlight w:val="none"/>
        </w:rPr>
      </w:pPr>
      <w:r>
        <w:rPr>
          <w:rFonts w:hint="eastAsia" w:ascii="宋体" w:hAnsi="宋体"/>
          <w:color w:val="auto"/>
          <w:szCs w:val="21"/>
          <w:highlight w:val="none"/>
        </w:rPr>
        <w:t>电话/移动电话：</w:t>
      </w:r>
    </w:p>
    <w:p w14:paraId="744D8E35">
      <w:pPr>
        <w:rPr>
          <w:rFonts w:hint="eastAsia"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7DCFB706">
      <w:pPr>
        <w:rPr>
          <w:rFonts w:hint="eastAsia" w:ascii="宋体" w:hAnsi="宋体"/>
          <w:color w:val="auto"/>
          <w:szCs w:val="21"/>
          <w:highlight w:val="none"/>
        </w:rPr>
      </w:pPr>
      <w:r>
        <w:rPr>
          <w:rFonts w:hint="eastAsia" w:ascii="宋体" w:hAnsi="宋体"/>
          <w:color w:val="auto"/>
          <w:szCs w:val="21"/>
          <w:highlight w:val="none"/>
        </w:rPr>
        <w:t xml:space="preserve">投标人名称（全称）： </w:t>
      </w:r>
    </w:p>
    <w:p w14:paraId="29195F39">
      <w:pPr>
        <w:rPr>
          <w:rFonts w:hint="eastAsia" w:ascii="宋体" w:hAnsi="宋体"/>
          <w:color w:val="auto"/>
          <w:szCs w:val="21"/>
          <w:highlight w:val="none"/>
        </w:rPr>
      </w:pPr>
      <w:r>
        <w:rPr>
          <w:rFonts w:hint="eastAsia" w:ascii="宋体" w:hAnsi="宋体"/>
          <w:color w:val="auto"/>
          <w:szCs w:val="21"/>
          <w:highlight w:val="none"/>
        </w:rPr>
        <w:t xml:space="preserve">投标人盖章： </w:t>
      </w:r>
    </w:p>
    <w:p w14:paraId="47DCC9BC">
      <w:pPr>
        <w:rPr>
          <w:rFonts w:asci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5BE81EDC">
      <w:pPr>
        <w:rPr>
          <w:color w:val="auto"/>
          <w:highlight w:val="none"/>
        </w:rPr>
      </w:pPr>
      <w:r>
        <w:rPr>
          <w:color w:val="auto"/>
          <w:highlight w:val="none"/>
        </w:rPr>
        <w:br w:type="page"/>
      </w:r>
    </w:p>
    <w:p w14:paraId="044F3EBA">
      <w:pPr>
        <w:pStyle w:val="6"/>
        <w:widowControl w:val="0"/>
        <w:overflowPunct w:val="0"/>
        <w:spacing w:line="240" w:lineRule="auto"/>
        <w:rPr>
          <w:rFonts w:hint="eastAsia" w:ascii="宋体" w:hAnsi="宋体"/>
          <w:color w:val="auto"/>
          <w:sz w:val="21"/>
          <w:szCs w:val="21"/>
          <w:highlight w:val="none"/>
        </w:rPr>
      </w:pPr>
      <w:bookmarkStart w:id="144" w:name="_Toc26198"/>
      <w:r>
        <w:rPr>
          <w:rFonts w:hint="eastAsia" w:ascii="宋体" w:hAnsi="宋体"/>
          <w:color w:val="auto"/>
          <w:sz w:val="21"/>
          <w:szCs w:val="21"/>
          <w:highlight w:val="none"/>
        </w:rPr>
        <w:t>附件3. 法定代表人证明书格式</w:t>
      </w:r>
      <w:bookmarkEnd w:id="144"/>
    </w:p>
    <w:p w14:paraId="42E221D9">
      <w:pPr>
        <w:rPr>
          <w:color w:val="auto"/>
          <w:highlight w:val="none"/>
        </w:rPr>
      </w:pPr>
    </w:p>
    <w:p w14:paraId="4D647F88">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405ADB93">
      <w:pPr>
        <w:pStyle w:val="49"/>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广东建瀚工程管理有限公司</w:t>
      </w:r>
    </w:p>
    <w:p w14:paraId="7AF259B6">
      <w:pPr>
        <w:pStyle w:val="49"/>
        <w:spacing w:line="420" w:lineRule="atLeast"/>
        <w:ind w:firstLine="433"/>
        <w:rPr>
          <w:rFonts w:hint="eastAsia" w:ascii="宋体" w:eastAsia="宋体"/>
          <w:color w:val="auto"/>
          <w:sz w:val="21"/>
          <w:szCs w:val="21"/>
          <w:highlight w:val="none"/>
        </w:rPr>
      </w:pPr>
    </w:p>
    <w:p w14:paraId="692534F0">
      <w:pPr>
        <w:pStyle w:val="49"/>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投标人名称：</w:t>
      </w:r>
    </w:p>
    <w:p w14:paraId="0B51A675">
      <w:pPr>
        <w:pStyle w:val="49"/>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单 位 性质：</w:t>
      </w:r>
    </w:p>
    <w:p w14:paraId="25E3A283">
      <w:pPr>
        <w:pStyle w:val="49"/>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地      址：</w:t>
      </w:r>
    </w:p>
    <w:p w14:paraId="416FF2F4">
      <w:pPr>
        <w:pStyle w:val="49"/>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成 立 时间：  年  月  日</w:t>
      </w:r>
    </w:p>
    <w:p w14:paraId="4B0BEC4C">
      <w:pPr>
        <w:pStyle w:val="49"/>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经 营 期限：</w:t>
      </w:r>
    </w:p>
    <w:p w14:paraId="35B2919A">
      <w:pPr>
        <w:pStyle w:val="49"/>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姓名：    性别：    年龄：    职务：</w:t>
      </w:r>
    </w:p>
    <w:p w14:paraId="3ACCD64A">
      <w:pPr>
        <w:pStyle w:val="49"/>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u w:val="single"/>
        </w:rPr>
        <w:t>（投标人名称）</w:t>
      </w:r>
      <w:r>
        <w:rPr>
          <w:rFonts w:hint="eastAsia" w:ascii="宋体" w:eastAsia="宋体"/>
          <w:color w:val="auto"/>
          <w:sz w:val="21"/>
          <w:szCs w:val="21"/>
          <w:highlight w:val="none"/>
        </w:rPr>
        <w:t>的法定代表人。</w:t>
      </w:r>
    </w:p>
    <w:p w14:paraId="1FD580CD">
      <w:pPr>
        <w:spacing w:line="42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特此证明。</w:t>
      </w:r>
    </w:p>
    <w:p w14:paraId="4AE97EEC">
      <w:pPr>
        <w:pStyle w:val="49"/>
        <w:spacing w:line="500" w:lineRule="atLeast"/>
        <w:ind w:firstLine="3517" w:firstLineChars="1675"/>
        <w:rPr>
          <w:rFonts w:hint="eastAsia" w:ascii="宋体" w:eastAsia="宋体"/>
          <w:color w:val="auto"/>
          <w:sz w:val="21"/>
          <w:szCs w:val="21"/>
          <w:highlight w:val="none"/>
        </w:rPr>
      </w:pPr>
    </w:p>
    <w:p w14:paraId="05211262">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1024A38B">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34892009">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法定代表人联系方式：</w:t>
      </w:r>
    </w:p>
    <w:p w14:paraId="3C14926F">
      <w:pPr>
        <w:pStyle w:val="49"/>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身份证号码：</w:t>
      </w:r>
    </w:p>
    <w:p w14:paraId="4DC61FEC">
      <w:pPr>
        <w:pStyle w:val="49"/>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24F066CB">
      <w:pPr>
        <w:ind w:firstLine="420" w:firstLineChars="200"/>
        <w:rPr>
          <w:rFonts w:hint="eastAsia" w:ascii="宋体" w:hAnsi="宋体"/>
          <w:color w:val="auto"/>
          <w:szCs w:val="21"/>
          <w:highlight w:val="none"/>
        </w:rPr>
      </w:pPr>
    </w:p>
    <w:p w14:paraId="5263007F">
      <w:pPr>
        <w:ind w:firstLine="420" w:firstLineChars="200"/>
        <w:rPr>
          <w:rFonts w:hint="eastAsia"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0"/>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334D024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7A52B1DE">
            <w:pPr>
              <w:pStyle w:val="49"/>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1A5A85A4">
            <w:pPr>
              <w:pStyle w:val="49"/>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背面</w:t>
            </w:r>
          </w:p>
        </w:tc>
      </w:tr>
    </w:tbl>
    <w:p w14:paraId="27413765">
      <w:pPr>
        <w:rPr>
          <w:color w:val="auto"/>
          <w:highlight w:val="none"/>
        </w:rPr>
      </w:pPr>
    </w:p>
    <w:p w14:paraId="394F9E41">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7BA0CD05">
      <w:pPr>
        <w:pStyle w:val="6"/>
        <w:widowControl w:val="0"/>
        <w:overflowPunct w:val="0"/>
        <w:spacing w:line="240" w:lineRule="auto"/>
        <w:rPr>
          <w:color w:val="auto"/>
          <w:highlight w:val="none"/>
        </w:rPr>
      </w:pPr>
      <w:bookmarkStart w:id="145" w:name="_Toc26326"/>
      <w:r>
        <w:rPr>
          <w:rFonts w:hint="eastAsia" w:ascii="宋体" w:hAnsi="宋体"/>
          <w:color w:val="auto"/>
          <w:sz w:val="21"/>
          <w:szCs w:val="21"/>
          <w:highlight w:val="none"/>
        </w:rPr>
        <w:t>附件4.法定代表人授权书格式</w:t>
      </w:r>
      <w:bookmarkEnd w:id="145"/>
    </w:p>
    <w:p w14:paraId="60411125">
      <w:pPr>
        <w:rPr>
          <w:color w:val="auto"/>
          <w:highlight w:val="none"/>
        </w:rPr>
      </w:pPr>
    </w:p>
    <w:p w14:paraId="76338508">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46BB5286">
      <w:pPr>
        <w:pStyle w:val="49"/>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广东建瀚工程管理有限公司</w:t>
      </w:r>
    </w:p>
    <w:p w14:paraId="08AC99AD">
      <w:pPr>
        <w:pStyle w:val="49"/>
        <w:spacing w:line="420" w:lineRule="atLeast"/>
        <w:ind w:firstLine="433"/>
        <w:rPr>
          <w:rFonts w:hint="eastAsia" w:ascii="宋体" w:eastAsia="宋体"/>
          <w:color w:val="auto"/>
          <w:sz w:val="21"/>
          <w:szCs w:val="21"/>
          <w:highlight w:val="none"/>
        </w:rPr>
      </w:pPr>
    </w:p>
    <w:p w14:paraId="029CBC41">
      <w:pPr>
        <w:ind w:firstLine="420" w:firstLineChars="200"/>
        <w:rPr>
          <w:rFonts w:hint="eastAsia" w:ascii="宋体" w:hAnsi="宋体" w:cs="Times New Roman"/>
          <w:color w:val="auto"/>
          <w:szCs w:val="21"/>
          <w:highlight w:val="none"/>
        </w:rPr>
      </w:pPr>
      <w:bookmarkStart w:id="146" w:name="_Toc22486"/>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r>
        <w:rPr>
          <w:rFonts w:hint="eastAsia" w:ascii="宋体" w:hAnsi="宋体" w:cs="Times New Roman"/>
          <w:color w:val="auto"/>
          <w:szCs w:val="21"/>
          <w:highlight w:val="none"/>
          <w:lang w:val="en-US" w:eastAsia="zh-CN"/>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06B1FBD7">
      <w:pPr>
        <w:ind w:firstLine="315" w:firstLineChars="150"/>
        <w:rPr>
          <w:rFonts w:hint="eastAsia"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3C438E09">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5DF0C16D">
      <w:pPr>
        <w:pStyle w:val="49"/>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5118EE6D">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被授权人签字：</w:t>
      </w:r>
    </w:p>
    <w:p w14:paraId="64F80D68">
      <w:pPr>
        <w:pStyle w:val="49"/>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职务：</w:t>
      </w:r>
    </w:p>
    <w:p w14:paraId="2164F023">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移动电话： </w:t>
      </w:r>
    </w:p>
    <w:p w14:paraId="19AF2DD7">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详细通讯地址：</w:t>
      </w:r>
    </w:p>
    <w:p w14:paraId="258E895D">
      <w:pPr>
        <w:pStyle w:val="49"/>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邮箱：                          </w:t>
      </w:r>
    </w:p>
    <w:p w14:paraId="27E6E1A7">
      <w:pPr>
        <w:pStyle w:val="49"/>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0524C85F">
      <w:pPr>
        <w:pStyle w:val="49"/>
        <w:spacing w:line="460" w:lineRule="exact"/>
        <w:ind w:firstLine="433"/>
        <w:rPr>
          <w:rFonts w:hint="eastAsia" w:ascii="宋体" w:eastAsia="宋体"/>
          <w:color w:val="auto"/>
          <w:sz w:val="21"/>
          <w:szCs w:val="21"/>
          <w:highlight w:val="none"/>
        </w:rPr>
      </w:pPr>
    </w:p>
    <w:p w14:paraId="6A159514">
      <w:pPr>
        <w:rPr>
          <w:rFonts w:hint="eastAsia" w:eastAsia="宋体"/>
          <w:color w:val="auto"/>
          <w:highlight w:val="none"/>
          <w:lang w:eastAsia="zh-CN"/>
        </w:rPr>
      </w:pPr>
      <w:r>
        <w:rPr>
          <w:rFonts w:hint="eastAsia" w:ascii="宋体" w:hAnsi="宋体"/>
          <w:color w:val="auto"/>
          <w:szCs w:val="21"/>
          <w:highlight w:val="none"/>
        </w:rPr>
        <w:t>须附：被授权人身份证复印件</w:t>
      </w:r>
      <w:r>
        <w:rPr>
          <w:rFonts w:hint="eastAsia" w:ascii="宋体" w:hAnsi="宋体"/>
          <w:color w:val="auto"/>
          <w:szCs w:val="21"/>
          <w:highlight w:val="none"/>
          <w:lang w:eastAsia="zh-CN"/>
        </w:rPr>
        <w:t>、</w:t>
      </w:r>
      <w:r>
        <w:rPr>
          <w:rFonts w:hint="eastAsia" w:ascii="宋体" w:hAnsi="宋体"/>
          <w:color w:val="auto"/>
          <w:szCs w:val="21"/>
          <w:highlight w:val="none"/>
        </w:rPr>
        <w:t>人</w:t>
      </w:r>
      <w:r>
        <w:rPr>
          <w:rFonts w:hint="eastAsia" w:ascii="宋体" w:hAnsi="宋体" w:cs="Times New Roman"/>
          <w:color w:val="auto"/>
          <w:szCs w:val="21"/>
          <w:highlight w:val="none"/>
        </w:rPr>
        <w:t>社保部门出具的近六个月内任意一个月社会保险证明（或劳动合同证明）</w:t>
      </w:r>
      <w:r>
        <w:rPr>
          <w:rFonts w:hint="eastAsia" w:ascii="宋体" w:hAnsi="宋体" w:cs="Times New Roman"/>
          <w:color w:val="auto"/>
          <w:szCs w:val="21"/>
          <w:highlight w:val="none"/>
          <w:lang w:val="en-US" w:eastAsia="zh-CN"/>
        </w:rPr>
        <w:t>复印件</w:t>
      </w:r>
      <w:r>
        <w:rPr>
          <w:rFonts w:hint="eastAsia" w:ascii="宋体" w:hAnsi="宋体" w:cs="Times New Roman"/>
          <w:color w:val="auto"/>
          <w:szCs w:val="21"/>
          <w:highlight w:val="none"/>
          <w:lang w:eastAsia="zh-CN"/>
        </w:rPr>
        <w:t>。</w:t>
      </w:r>
    </w:p>
    <w:tbl>
      <w:tblPr>
        <w:tblStyle w:val="30"/>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8464"/>
      </w:tblGrid>
      <w:tr w14:paraId="5C0855F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8464" w:type="dxa"/>
            <w:vAlign w:val="center"/>
          </w:tcPr>
          <w:p w14:paraId="2DD78DD9">
            <w:pPr>
              <w:pStyle w:val="49"/>
              <w:spacing w:line="460" w:lineRule="exact"/>
              <w:ind w:firstLine="0" w:firstLineChars="0"/>
              <w:jc w:val="center"/>
              <w:rPr>
                <w:rFonts w:hint="eastAsia" w:ascii="宋体" w:eastAsia="宋体"/>
                <w:color w:val="auto"/>
                <w:sz w:val="22"/>
                <w:highlight w:val="none"/>
              </w:rPr>
            </w:pPr>
          </w:p>
        </w:tc>
      </w:tr>
    </w:tbl>
    <w:p w14:paraId="0FE3F072">
      <w:pPr>
        <w:adjustRightInd/>
        <w:snapToGrid/>
        <w:spacing w:line="276" w:lineRule="auto"/>
        <w:rPr>
          <w:color w:val="auto"/>
          <w:highlight w:val="none"/>
        </w:rPr>
      </w:pPr>
      <w:r>
        <w:rPr>
          <w:rFonts w:hint="eastAsia" w:ascii="宋体" w:hAnsi="宋体"/>
          <w:color w:val="auto"/>
          <w:szCs w:val="21"/>
          <w:highlight w:val="none"/>
        </w:rPr>
        <w:br w:type="page"/>
      </w:r>
    </w:p>
    <w:p w14:paraId="2A5C9A37">
      <w:pPr>
        <w:pStyle w:val="6"/>
        <w:widowControl w:val="0"/>
        <w:overflowPunct w:val="0"/>
        <w:spacing w:line="240" w:lineRule="auto"/>
        <w:rPr>
          <w:rFonts w:hint="eastAsia" w:ascii="宋体" w:hAnsi="宋体"/>
          <w:color w:val="auto"/>
          <w:sz w:val="21"/>
          <w:szCs w:val="21"/>
          <w:highlight w:val="none"/>
        </w:rPr>
      </w:pPr>
      <w:bookmarkStart w:id="147" w:name="_Toc27215"/>
      <w:r>
        <w:rPr>
          <w:rFonts w:hint="eastAsia" w:ascii="宋体" w:hAnsi="宋体"/>
          <w:color w:val="auto"/>
          <w:sz w:val="21"/>
          <w:szCs w:val="21"/>
          <w:highlight w:val="none"/>
        </w:rPr>
        <w:t>附件5.资格申明</w:t>
      </w:r>
      <w:bookmarkEnd w:id="147"/>
    </w:p>
    <w:p w14:paraId="30718404">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7A58815D">
      <w:pPr>
        <w:pStyle w:val="49"/>
        <w:spacing w:line="420" w:lineRule="atLeast"/>
        <w:ind w:firstLine="0" w:firstLineChars="0"/>
        <w:rPr>
          <w:rFonts w:hint="eastAsia" w:ascii="宋体" w:eastAsia="宋体"/>
          <w:color w:val="auto"/>
          <w:sz w:val="21"/>
          <w:szCs w:val="21"/>
          <w:highlight w:val="none"/>
        </w:rPr>
      </w:pPr>
      <w:r>
        <w:rPr>
          <w:rFonts w:hint="eastAsia" w:ascii="宋体" w:eastAsia="宋体"/>
          <w:color w:val="auto"/>
          <w:sz w:val="21"/>
          <w:szCs w:val="21"/>
          <w:highlight w:val="none"/>
          <w:lang w:eastAsia="zh-CN"/>
        </w:rPr>
        <w:t>广东建瀚工程管理有限公司</w:t>
      </w:r>
      <w:r>
        <w:rPr>
          <w:rFonts w:hint="eastAsia" w:ascii="宋体" w:eastAsia="宋体"/>
          <w:color w:val="auto"/>
          <w:sz w:val="21"/>
          <w:szCs w:val="21"/>
          <w:highlight w:val="none"/>
        </w:rPr>
        <w:t>：</w:t>
      </w:r>
    </w:p>
    <w:p w14:paraId="614DBEED">
      <w:pPr>
        <w:ind w:firstLine="420" w:firstLineChars="200"/>
        <w:rPr>
          <w:rFonts w:hint="eastAsia" w:ascii="宋体" w:hAnsi="宋体"/>
          <w:color w:val="auto"/>
          <w:szCs w:val="21"/>
          <w:highlight w:val="none"/>
        </w:rPr>
      </w:pPr>
    </w:p>
    <w:p w14:paraId="0B63E1E5">
      <w:pPr>
        <w:ind w:firstLine="420" w:firstLineChars="200"/>
        <w:rPr>
          <w:rFonts w:hint="eastAsia"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50FFBD07">
      <w:pPr>
        <w:ind w:firstLine="420" w:firstLineChars="200"/>
        <w:rPr>
          <w:rFonts w:hint="eastAsia" w:ascii="宋体" w:hAnsi="宋体"/>
          <w:color w:val="auto"/>
          <w:szCs w:val="21"/>
          <w:highlight w:val="none"/>
        </w:rPr>
      </w:pPr>
      <w:r>
        <w:rPr>
          <w:rFonts w:hint="eastAsia" w:ascii="宋体" w:hAnsi="宋体"/>
          <w:color w:val="auto"/>
          <w:szCs w:val="21"/>
          <w:highlight w:val="none"/>
        </w:rPr>
        <w:t>一、我方具备投标人邀请中所要求的资格条件，已清楚采购文件所有要求及有关规定；并承诺参加本次采购活动中，如有违法、违规、弄虚作假行为，所造成的损失、不良后果及法律责任，一律由我方承担；</w:t>
      </w:r>
    </w:p>
    <w:p w14:paraId="38A399E8">
      <w:pPr>
        <w:ind w:firstLine="420" w:firstLineChars="200"/>
        <w:rPr>
          <w:rFonts w:hint="eastAsia"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6E91A334">
      <w:pPr>
        <w:pStyle w:val="49"/>
        <w:spacing w:line="500" w:lineRule="atLeast"/>
        <w:ind w:firstLine="638" w:firstLineChars="304"/>
        <w:rPr>
          <w:rFonts w:hint="eastAsia" w:ascii="宋体" w:eastAsia="宋体"/>
          <w:color w:val="auto"/>
          <w:kern w:val="0"/>
          <w:sz w:val="21"/>
          <w:szCs w:val="21"/>
          <w:highlight w:val="none"/>
        </w:rPr>
      </w:pPr>
      <w:r>
        <w:rPr>
          <w:rFonts w:hint="eastAsia" w:ascii="宋体" w:eastAsia="宋体"/>
          <w:color w:val="auto"/>
          <w:kern w:val="0"/>
          <w:sz w:val="21"/>
          <w:szCs w:val="21"/>
          <w:highlight w:val="none"/>
        </w:rPr>
        <w:t>三、</w:t>
      </w:r>
      <w:r>
        <w:rPr>
          <w:rFonts w:ascii="宋体" w:eastAsia="宋体"/>
          <w:color w:val="auto"/>
          <w:kern w:val="0"/>
          <w:sz w:val="21"/>
          <w:szCs w:val="21"/>
          <w:highlight w:val="none"/>
        </w:rPr>
        <w:t>我方</w:t>
      </w:r>
      <w:r>
        <w:rPr>
          <w:rFonts w:hint="eastAsia" w:ascii="宋体" w:eastAsia="宋体"/>
          <w:color w:val="auto"/>
          <w:kern w:val="0"/>
          <w:sz w:val="21"/>
          <w:szCs w:val="21"/>
          <w:highlight w:val="none"/>
        </w:rPr>
        <w:t>单位负责人不存在为同一人或者存在直接控股、管理关系的不同投标人等情形。</w:t>
      </w:r>
    </w:p>
    <w:p w14:paraId="13CCA1E8">
      <w:pPr>
        <w:pStyle w:val="49"/>
        <w:spacing w:line="500" w:lineRule="atLeast"/>
        <w:ind w:firstLine="3517" w:firstLineChars="1675"/>
        <w:rPr>
          <w:rFonts w:hint="eastAsia" w:ascii="宋体" w:eastAsia="宋体"/>
          <w:color w:val="auto"/>
          <w:sz w:val="21"/>
          <w:szCs w:val="21"/>
          <w:highlight w:val="none"/>
        </w:rPr>
      </w:pPr>
    </w:p>
    <w:p w14:paraId="66238275">
      <w:pPr>
        <w:pStyle w:val="49"/>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3B610713">
      <w:pPr>
        <w:pStyle w:val="49"/>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4E21C557">
      <w:pPr>
        <w:pStyle w:val="49"/>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01DDB70C">
      <w:pPr>
        <w:pStyle w:val="49"/>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br w:type="page"/>
      </w:r>
    </w:p>
    <w:p w14:paraId="6CBA05A0">
      <w:pPr>
        <w:pStyle w:val="6"/>
        <w:widowControl w:val="0"/>
        <w:overflowPunct w:val="0"/>
        <w:spacing w:line="240" w:lineRule="auto"/>
        <w:rPr>
          <w:rFonts w:hint="eastAsia" w:ascii="宋体" w:hAnsi="宋体"/>
          <w:color w:val="auto"/>
          <w:sz w:val="21"/>
          <w:szCs w:val="21"/>
          <w:highlight w:val="none"/>
        </w:rPr>
      </w:pPr>
      <w:bookmarkStart w:id="148" w:name="_Toc17896"/>
      <w:r>
        <w:rPr>
          <w:rFonts w:hint="eastAsia" w:ascii="宋体" w:hAnsi="宋体"/>
          <w:color w:val="auto"/>
          <w:sz w:val="21"/>
          <w:szCs w:val="21"/>
          <w:highlight w:val="none"/>
        </w:rPr>
        <w:t>附件6.营业执照</w:t>
      </w:r>
      <w:bookmarkEnd w:id="148"/>
    </w:p>
    <w:p w14:paraId="29BE4641">
      <w:pPr>
        <w:jc w:val="center"/>
        <w:rPr>
          <w:rFonts w:ascii="黑体" w:eastAsia="黑体"/>
          <w:color w:val="auto"/>
          <w:sz w:val="28"/>
          <w:szCs w:val="28"/>
          <w:highlight w:val="none"/>
        </w:rPr>
      </w:pPr>
      <w:bookmarkStart w:id="149" w:name="_Toc5919"/>
      <w:bookmarkStart w:id="150" w:name="_Toc24210"/>
      <w:bookmarkStart w:id="151" w:name="_Toc17470"/>
      <w:bookmarkStart w:id="152" w:name="_Toc1511"/>
      <w:bookmarkStart w:id="153" w:name="_Toc4926"/>
      <w:r>
        <w:rPr>
          <w:rFonts w:hint="eastAsia" w:ascii="黑体" w:eastAsia="黑体"/>
          <w:color w:val="auto"/>
          <w:sz w:val="28"/>
          <w:szCs w:val="28"/>
          <w:highlight w:val="none"/>
        </w:rPr>
        <w:t>营业执照</w:t>
      </w:r>
      <w:bookmarkEnd w:id="149"/>
      <w:bookmarkEnd w:id="150"/>
      <w:bookmarkEnd w:id="151"/>
      <w:bookmarkEnd w:id="152"/>
      <w:bookmarkEnd w:id="153"/>
    </w:p>
    <w:p w14:paraId="75B9E84C">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2D8D4B30">
      <w:pPr>
        <w:pStyle w:val="6"/>
        <w:widowControl w:val="0"/>
        <w:overflowPunct w:val="0"/>
        <w:spacing w:line="240" w:lineRule="auto"/>
        <w:rPr>
          <w:rFonts w:hint="eastAsia" w:ascii="宋体" w:hAnsi="宋体"/>
          <w:color w:val="auto"/>
          <w:sz w:val="21"/>
          <w:szCs w:val="21"/>
          <w:highlight w:val="none"/>
        </w:rPr>
      </w:pPr>
      <w:bookmarkStart w:id="154" w:name="_Toc25146"/>
      <w:r>
        <w:rPr>
          <w:rFonts w:hint="eastAsia" w:ascii="宋体" w:hAnsi="宋体"/>
          <w:color w:val="auto"/>
          <w:sz w:val="21"/>
          <w:szCs w:val="21"/>
          <w:highlight w:val="none"/>
        </w:rPr>
        <w:t>附件7.相关资质证明文件</w:t>
      </w:r>
      <w:bookmarkEnd w:id="154"/>
    </w:p>
    <w:p w14:paraId="53AAF2FB">
      <w:pPr>
        <w:rPr>
          <w:color w:val="auto"/>
          <w:highlight w:val="none"/>
        </w:rPr>
      </w:pPr>
    </w:p>
    <w:p w14:paraId="29FC88EE">
      <w:pPr>
        <w:jc w:val="center"/>
        <w:rPr>
          <w:rFonts w:ascii="黑体" w:eastAsia="黑体"/>
          <w:color w:val="auto"/>
          <w:sz w:val="28"/>
          <w:szCs w:val="28"/>
          <w:highlight w:val="none"/>
        </w:rPr>
      </w:pPr>
      <w:bookmarkStart w:id="155" w:name="_Toc30307"/>
      <w:bookmarkStart w:id="156" w:name="_Toc16698"/>
      <w:bookmarkStart w:id="157" w:name="_Toc16233"/>
      <w:bookmarkStart w:id="158" w:name="_Toc9592"/>
      <w:bookmarkStart w:id="159" w:name="_Toc13458"/>
      <w:r>
        <w:rPr>
          <w:rFonts w:hint="eastAsia" w:ascii="黑体" w:eastAsia="黑体"/>
          <w:color w:val="auto"/>
          <w:sz w:val="28"/>
          <w:szCs w:val="28"/>
          <w:highlight w:val="none"/>
        </w:rPr>
        <w:t>相关资质证明文件</w:t>
      </w:r>
      <w:bookmarkEnd w:id="146"/>
      <w:bookmarkEnd w:id="155"/>
      <w:bookmarkEnd w:id="156"/>
      <w:bookmarkEnd w:id="157"/>
      <w:bookmarkEnd w:id="158"/>
      <w:bookmarkEnd w:id="159"/>
    </w:p>
    <w:p w14:paraId="2F079A26">
      <w:pPr>
        <w:numPr>
          <w:ilvl w:val="0"/>
          <w:numId w:val="9"/>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02B68348">
      <w:pPr>
        <w:numPr>
          <w:ilvl w:val="0"/>
          <w:numId w:val="9"/>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1BF2CCF1">
      <w:pPr>
        <w:pStyle w:val="6"/>
        <w:widowControl w:val="0"/>
        <w:overflowPunct w:val="0"/>
        <w:spacing w:line="240" w:lineRule="auto"/>
        <w:rPr>
          <w:rFonts w:ascii="楷体_GB2312" w:eastAsia="楷体_GB2312"/>
          <w:color w:val="auto"/>
          <w:highlight w:val="none"/>
        </w:rPr>
      </w:pPr>
      <w:bookmarkStart w:id="160" w:name="_Toc7265"/>
      <w:r>
        <w:rPr>
          <w:rFonts w:hint="eastAsia" w:ascii="宋体" w:hAnsi="宋体"/>
          <w:color w:val="auto"/>
          <w:sz w:val="21"/>
          <w:szCs w:val="21"/>
          <w:highlight w:val="none"/>
        </w:rPr>
        <w:t>附件8.在经营活动中没有重大违法记录的书面声明格式</w:t>
      </w:r>
      <w:bookmarkEnd w:id="160"/>
    </w:p>
    <w:p w14:paraId="6E6D343C">
      <w:pPr>
        <w:rPr>
          <w:color w:val="auto"/>
          <w:highlight w:val="none"/>
        </w:rPr>
      </w:pPr>
    </w:p>
    <w:p w14:paraId="21BE78AE">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6C9B4F74">
      <w:pPr>
        <w:ind w:firstLine="420" w:firstLineChars="200"/>
        <w:rPr>
          <w:rFonts w:hint="eastAsia" w:ascii="宋体" w:hAnsi="宋体" w:cs="宋体"/>
          <w:color w:val="auto"/>
          <w:szCs w:val="21"/>
          <w:highlight w:val="none"/>
        </w:rPr>
      </w:pPr>
    </w:p>
    <w:p w14:paraId="1D99F19E">
      <w:pPr>
        <w:spacing w:line="480" w:lineRule="auto"/>
        <w:rPr>
          <w:rFonts w:hint="eastAsia" w:ascii="宋体" w:hAnsi="宋体" w:cs="宋体"/>
          <w:color w:val="auto"/>
          <w:szCs w:val="21"/>
          <w:highlight w:val="none"/>
        </w:rPr>
      </w:pPr>
      <w:r>
        <w:rPr>
          <w:rFonts w:hint="eastAsia" w:ascii="宋体" w:hAnsi="宋体" w:cs="宋体"/>
          <w:color w:val="auto"/>
          <w:szCs w:val="21"/>
          <w:highlight w:val="none"/>
          <w:lang w:eastAsia="zh-CN"/>
        </w:rPr>
        <w:t>东莞市新锋新能源有限公司</w:t>
      </w:r>
      <w:r>
        <w:rPr>
          <w:rFonts w:hint="eastAsia" w:ascii="宋体" w:hAnsi="宋体" w:cs="宋体"/>
          <w:color w:val="auto"/>
          <w:szCs w:val="21"/>
          <w:highlight w:val="none"/>
        </w:rPr>
        <w:t>、</w:t>
      </w:r>
      <w:r>
        <w:rPr>
          <w:rFonts w:hint="eastAsia" w:ascii="宋体" w:hAnsi="宋体" w:cs="宋体"/>
          <w:color w:val="auto"/>
          <w:szCs w:val="21"/>
          <w:highlight w:val="none"/>
          <w:lang w:eastAsia="zh-CN"/>
        </w:rPr>
        <w:t>广东建瀚工程管理有限公司</w:t>
      </w:r>
      <w:r>
        <w:rPr>
          <w:rFonts w:hint="eastAsia" w:ascii="宋体" w:hAnsi="宋体" w:cs="宋体"/>
          <w:color w:val="auto"/>
          <w:szCs w:val="21"/>
          <w:highlight w:val="none"/>
        </w:rPr>
        <w:t>：</w:t>
      </w:r>
    </w:p>
    <w:p w14:paraId="6A0CFE78">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233BD5C0">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我公司以上承诺均为真实有效，绝无任何虚假、伪造的成分，否则，愿承担相应的后果和法律责任。</w:t>
      </w:r>
    </w:p>
    <w:p w14:paraId="0822FD05">
      <w:pPr>
        <w:ind w:firstLine="420" w:firstLineChars="200"/>
        <w:rPr>
          <w:rFonts w:hint="eastAsia" w:ascii="宋体" w:hAnsi="宋体" w:cs="宋体"/>
          <w:color w:val="auto"/>
          <w:szCs w:val="21"/>
          <w:highlight w:val="none"/>
        </w:rPr>
      </w:pPr>
    </w:p>
    <w:p w14:paraId="63777BCF">
      <w:pPr>
        <w:rPr>
          <w:rFonts w:hint="eastAsia" w:ascii="宋体" w:hAnsi="宋体" w:cs="宋体"/>
          <w:color w:val="auto"/>
          <w:szCs w:val="21"/>
          <w:highlight w:val="none"/>
        </w:rPr>
      </w:pPr>
    </w:p>
    <w:p w14:paraId="48FED0DB">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投标人名称（盖章）：</w:t>
      </w:r>
    </w:p>
    <w:p w14:paraId="4E68A339">
      <w:pPr>
        <w:rPr>
          <w:rFonts w:hint="eastAsia" w:ascii="宋体" w:hAnsi="宋体" w:cs="宋体"/>
          <w:color w:val="auto"/>
          <w:szCs w:val="21"/>
          <w:highlight w:val="none"/>
        </w:rPr>
      </w:pPr>
    </w:p>
    <w:p w14:paraId="064DE3DF">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日期：</w:t>
      </w:r>
      <w:r>
        <w:rPr>
          <w:rFonts w:hint="eastAsia" w:ascii="宋体"/>
          <w:color w:val="auto"/>
          <w:szCs w:val="21"/>
          <w:highlight w:val="none"/>
        </w:rPr>
        <w:t xml:space="preserve">   年  月  日</w:t>
      </w:r>
    </w:p>
    <w:p w14:paraId="5934A8CC">
      <w:pPr>
        <w:rPr>
          <w:color w:val="auto"/>
          <w:highlight w:val="none"/>
        </w:rPr>
      </w:pPr>
    </w:p>
    <w:p w14:paraId="1DD5DCE7">
      <w:pPr>
        <w:rPr>
          <w:rFonts w:hint="eastAsia" w:ascii="宋体" w:hAnsi="宋体"/>
          <w:color w:val="auto"/>
          <w:szCs w:val="21"/>
          <w:highlight w:val="none"/>
        </w:rPr>
      </w:pPr>
    </w:p>
    <w:p w14:paraId="16BAA684">
      <w:pPr>
        <w:pStyle w:val="2"/>
        <w:rPr>
          <w:rFonts w:hint="eastAsia"/>
          <w:color w:val="auto"/>
          <w:sz w:val="21"/>
          <w:szCs w:val="21"/>
          <w:highlight w:val="none"/>
        </w:rPr>
      </w:pPr>
    </w:p>
    <w:p w14:paraId="12670EA1">
      <w:pPr>
        <w:rPr>
          <w:rFonts w:hint="eastAsia" w:ascii="宋体" w:hAnsi="宋体"/>
          <w:color w:val="auto"/>
          <w:szCs w:val="21"/>
          <w:highlight w:val="none"/>
        </w:rPr>
      </w:pPr>
    </w:p>
    <w:p w14:paraId="6BFE9D86">
      <w:pPr>
        <w:rPr>
          <w:rFonts w:hint="eastAsia" w:ascii="宋体" w:hAnsi="宋体"/>
          <w:color w:val="auto"/>
          <w:szCs w:val="21"/>
          <w:highlight w:val="none"/>
        </w:rPr>
      </w:pPr>
      <w:r>
        <w:rPr>
          <w:rFonts w:hint="eastAsia" w:ascii="宋体" w:hAnsi="宋体"/>
          <w:color w:val="auto"/>
          <w:szCs w:val="21"/>
          <w:highlight w:val="none"/>
        </w:rPr>
        <w:br w:type="page"/>
      </w:r>
    </w:p>
    <w:p w14:paraId="08BFD19C">
      <w:pPr>
        <w:pStyle w:val="6"/>
        <w:widowControl w:val="0"/>
        <w:overflowPunct w:val="0"/>
        <w:spacing w:line="240" w:lineRule="auto"/>
        <w:rPr>
          <w:rFonts w:ascii="楷体_GB2312" w:eastAsia="楷体_GB2312"/>
          <w:color w:val="auto"/>
          <w:highlight w:val="none"/>
        </w:rPr>
      </w:pPr>
      <w:bookmarkStart w:id="161" w:name="_Toc11083"/>
      <w:r>
        <w:rPr>
          <w:rFonts w:hint="eastAsia" w:ascii="宋体" w:hAnsi="宋体"/>
          <w:color w:val="auto"/>
          <w:sz w:val="21"/>
          <w:szCs w:val="21"/>
          <w:highlight w:val="none"/>
        </w:rPr>
        <w:t>附件9.</w:t>
      </w:r>
      <w:r>
        <w:rPr>
          <w:rFonts w:hint="eastAsia"/>
          <w:color w:val="auto"/>
          <w:highlight w:val="none"/>
        </w:rPr>
        <w:t xml:space="preserve"> </w:t>
      </w:r>
      <w:r>
        <w:rPr>
          <w:rFonts w:hint="eastAsia" w:ascii="宋体" w:hAnsi="宋体"/>
          <w:color w:val="auto"/>
          <w:sz w:val="21"/>
          <w:szCs w:val="21"/>
          <w:highlight w:val="none"/>
        </w:rPr>
        <w:t>未被列入“信用中国”记录失信被执行人或重大税收违法失信主体或政府采购严重违法失信行为记录名单的证明资料</w:t>
      </w:r>
      <w:bookmarkEnd w:id="161"/>
    </w:p>
    <w:p w14:paraId="10C18688">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3000A736">
      <w:pPr>
        <w:pStyle w:val="6"/>
        <w:widowControl w:val="0"/>
        <w:overflowPunct w:val="0"/>
        <w:spacing w:line="240" w:lineRule="auto"/>
        <w:rPr>
          <w:rFonts w:ascii="楷体_GB2312" w:eastAsia="楷体_GB2312"/>
          <w:color w:val="auto"/>
          <w:highlight w:val="none"/>
        </w:rPr>
      </w:pPr>
      <w:bookmarkStart w:id="162" w:name="_Toc18014"/>
      <w:r>
        <w:rPr>
          <w:rFonts w:hint="eastAsia" w:ascii="宋体" w:hAnsi="宋体"/>
          <w:color w:val="auto"/>
          <w:sz w:val="21"/>
          <w:szCs w:val="21"/>
          <w:highlight w:val="none"/>
        </w:rPr>
        <w:t>附件10.承诺书格式</w:t>
      </w:r>
      <w:bookmarkEnd w:id="162"/>
    </w:p>
    <w:p w14:paraId="22FBCE1C">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424AFFE2">
      <w:pPr>
        <w:pStyle w:val="49"/>
        <w:spacing w:line="420" w:lineRule="atLeast"/>
        <w:ind w:firstLine="0" w:firstLineChars="0"/>
        <w:rPr>
          <w:rFonts w:hint="eastAsia"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广东建瀚工程管理有限公司</w:t>
      </w:r>
      <w:r>
        <w:rPr>
          <w:rFonts w:hint="eastAsia" w:ascii="宋体" w:eastAsia="宋体" w:cs="宋体"/>
          <w:color w:val="auto"/>
          <w:sz w:val="21"/>
          <w:szCs w:val="21"/>
          <w:highlight w:val="none"/>
        </w:rPr>
        <w:t>：</w:t>
      </w:r>
    </w:p>
    <w:p w14:paraId="248523CB">
      <w:pPr>
        <w:jc w:val="center"/>
        <w:rPr>
          <w:rFonts w:hint="eastAsia" w:ascii="宋体" w:hAnsi="宋体" w:cs="宋体"/>
          <w:color w:val="auto"/>
          <w:szCs w:val="21"/>
          <w:highlight w:val="none"/>
        </w:rPr>
      </w:pPr>
    </w:p>
    <w:p w14:paraId="3789DA76">
      <w:pPr>
        <w:pStyle w:val="49"/>
        <w:spacing w:line="420" w:lineRule="exact"/>
        <w:ind w:firstLine="433"/>
        <w:rPr>
          <w:rFonts w:hint="eastAsia"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3BE2FACF">
      <w:pPr>
        <w:pStyle w:val="49"/>
        <w:spacing w:line="420" w:lineRule="exact"/>
        <w:ind w:firstLine="433"/>
        <w:rPr>
          <w:rFonts w:hint="eastAsia" w:ascii="宋体" w:eastAsia="宋体" w:cs="宋体"/>
          <w:color w:val="auto"/>
          <w:sz w:val="21"/>
          <w:szCs w:val="21"/>
          <w:highlight w:val="none"/>
        </w:rPr>
      </w:pPr>
    </w:p>
    <w:p w14:paraId="32293F9B">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投标人名称（加盖公章）：</w:t>
      </w:r>
    </w:p>
    <w:p w14:paraId="63E8693C">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4D2B0A3F">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color w:val="auto"/>
          <w:szCs w:val="21"/>
          <w:highlight w:val="none"/>
        </w:rPr>
        <w:t xml:space="preserve">   年  月  日</w:t>
      </w:r>
    </w:p>
    <w:p w14:paraId="51834AAB">
      <w:pPr>
        <w:rPr>
          <w:color w:val="auto"/>
          <w:highlight w:val="none"/>
        </w:rPr>
      </w:pPr>
    </w:p>
    <w:p w14:paraId="62B8EAF8">
      <w:pPr>
        <w:rPr>
          <w:rFonts w:hint="eastAsia" w:ascii="宋体" w:hAnsi="宋体"/>
          <w:color w:val="auto"/>
          <w:szCs w:val="21"/>
          <w:highlight w:val="none"/>
        </w:rPr>
      </w:pPr>
    </w:p>
    <w:p w14:paraId="59CB3AEE">
      <w:pPr>
        <w:pStyle w:val="2"/>
        <w:rPr>
          <w:rFonts w:hint="eastAsia"/>
          <w:color w:val="auto"/>
          <w:sz w:val="21"/>
          <w:szCs w:val="21"/>
          <w:highlight w:val="none"/>
        </w:rPr>
      </w:pPr>
    </w:p>
    <w:p w14:paraId="420FA55E">
      <w:pPr>
        <w:rPr>
          <w:rFonts w:hint="eastAsia" w:ascii="宋体" w:hAnsi="宋体"/>
          <w:color w:val="auto"/>
          <w:szCs w:val="21"/>
          <w:highlight w:val="none"/>
        </w:rPr>
      </w:pPr>
    </w:p>
    <w:p w14:paraId="68FDCF83">
      <w:pPr>
        <w:rPr>
          <w:rFonts w:hint="eastAsia" w:ascii="宋体" w:hAnsi="宋体"/>
          <w:color w:val="auto"/>
          <w:szCs w:val="21"/>
          <w:highlight w:val="none"/>
        </w:rPr>
      </w:pPr>
      <w:bookmarkStart w:id="163" w:name="_Toc8279"/>
      <w:r>
        <w:rPr>
          <w:rFonts w:hint="eastAsia" w:ascii="宋体" w:hAnsi="宋体"/>
          <w:color w:val="auto"/>
          <w:szCs w:val="21"/>
          <w:highlight w:val="none"/>
        </w:rPr>
        <w:br w:type="page"/>
      </w:r>
    </w:p>
    <w:p w14:paraId="25032B2C">
      <w:pPr>
        <w:pStyle w:val="6"/>
        <w:widowControl w:val="0"/>
        <w:overflowPunct w:val="0"/>
        <w:spacing w:line="240" w:lineRule="auto"/>
        <w:rPr>
          <w:rFonts w:hint="eastAsia" w:ascii="宋体" w:hAnsi="宋体"/>
          <w:color w:val="auto"/>
          <w:sz w:val="21"/>
          <w:szCs w:val="21"/>
          <w:highlight w:val="none"/>
        </w:rPr>
      </w:pPr>
      <w:bookmarkStart w:id="164" w:name="_Toc24030"/>
      <w:r>
        <w:rPr>
          <w:rFonts w:hint="eastAsia" w:ascii="宋体" w:hAnsi="宋体"/>
          <w:color w:val="auto"/>
          <w:sz w:val="21"/>
          <w:szCs w:val="21"/>
          <w:highlight w:val="none"/>
        </w:rPr>
        <w:t>附件11.商务需求条款偏离表格式</w:t>
      </w:r>
      <w:bookmarkEnd w:id="163"/>
      <w:bookmarkEnd w:id="164"/>
    </w:p>
    <w:p w14:paraId="31B52B4B">
      <w:pPr>
        <w:jc w:val="center"/>
        <w:rPr>
          <w:rFonts w:ascii="黑体" w:eastAsia="黑体"/>
          <w:color w:val="auto"/>
          <w:sz w:val="28"/>
          <w:szCs w:val="28"/>
          <w:highlight w:val="none"/>
        </w:rPr>
      </w:pPr>
    </w:p>
    <w:p w14:paraId="75488FE0">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0"/>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1870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4DA4A31E">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370D5711">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3F45AC3B">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3A8FF3CE">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7981F33A">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36B164D4">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54A34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7019819">
            <w:pPr>
              <w:jc w:val="center"/>
              <w:rPr>
                <w:rFonts w:hint="eastAsia" w:ascii="宋体" w:hAnsi="宋体"/>
                <w:color w:val="auto"/>
                <w:szCs w:val="21"/>
                <w:highlight w:val="none"/>
              </w:rPr>
            </w:pPr>
          </w:p>
        </w:tc>
        <w:tc>
          <w:tcPr>
            <w:tcW w:w="1620" w:type="dxa"/>
            <w:vAlign w:val="center"/>
          </w:tcPr>
          <w:p w14:paraId="13CCCDC7">
            <w:pPr>
              <w:jc w:val="center"/>
              <w:rPr>
                <w:rFonts w:hint="eastAsia" w:ascii="宋体" w:hAnsi="宋体"/>
                <w:color w:val="auto"/>
                <w:szCs w:val="21"/>
                <w:highlight w:val="none"/>
              </w:rPr>
            </w:pPr>
          </w:p>
        </w:tc>
        <w:tc>
          <w:tcPr>
            <w:tcW w:w="1360" w:type="dxa"/>
            <w:vAlign w:val="center"/>
          </w:tcPr>
          <w:p w14:paraId="57F433B9">
            <w:pPr>
              <w:jc w:val="center"/>
              <w:rPr>
                <w:rFonts w:hint="eastAsia" w:ascii="宋体" w:hAnsi="宋体"/>
                <w:color w:val="auto"/>
                <w:szCs w:val="21"/>
                <w:highlight w:val="none"/>
              </w:rPr>
            </w:pPr>
          </w:p>
        </w:tc>
        <w:tc>
          <w:tcPr>
            <w:tcW w:w="1587" w:type="dxa"/>
            <w:vAlign w:val="center"/>
          </w:tcPr>
          <w:p w14:paraId="2115164A">
            <w:pPr>
              <w:jc w:val="center"/>
              <w:rPr>
                <w:rFonts w:hint="eastAsia" w:ascii="宋体" w:hAnsi="宋体"/>
                <w:color w:val="auto"/>
                <w:szCs w:val="21"/>
                <w:highlight w:val="none"/>
              </w:rPr>
            </w:pPr>
          </w:p>
        </w:tc>
        <w:tc>
          <w:tcPr>
            <w:tcW w:w="1133" w:type="dxa"/>
            <w:vAlign w:val="center"/>
          </w:tcPr>
          <w:p w14:paraId="4F1CF3E9">
            <w:pPr>
              <w:jc w:val="center"/>
              <w:rPr>
                <w:rFonts w:hint="eastAsia" w:ascii="宋体" w:hAnsi="宋体"/>
                <w:color w:val="auto"/>
                <w:szCs w:val="21"/>
                <w:highlight w:val="none"/>
              </w:rPr>
            </w:pPr>
          </w:p>
        </w:tc>
        <w:tc>
          <w:tcPr>
            <w:tcW w:w="1730" w:type="dxa"/>
            <w:vAlign w:val="center"/>
          </w:tcPr>
          <w:p w14:paraId="178FAD6B">
            <w:pPr>
              <w:jc w:val="center"/>
              <w:rPr>
                <w:rFonts w:hint="eastAsia" w:ascii="宋体" w:hAnsi="宋体"/>
                <w:color w:val="auto"/>
                <w:szCs w:val="21"/>
                <w:highlight w:val="none"/>
              </w:rPr>
            </w:pPr>
          </w:p>
        </w:tc>
      </w:tr>
      <w:tr w14:paraId="50B6B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403C86D">
            <w:pPr>
              <w:jc w:val="center"/>
              <w:rPr>
                <w:rFonts w:hint="eastAsia" w:ascii="宋体" w:hAnsi="宋体"/>
                <w:color w:val="auto"/>
                <w:szCs w:val="21"/>
                <w:highlight w:val="none"/>
              </w:rPr>
            </w:pPr>
          </w:p>
        </w:tc>
        <w:tc>
          <w:tcPr>
            <w:tcW w:w="1620" w:type="dxa"/>
            <w:vAlign w:val="center"/>
          </w:tcPr>
          <w:p w14:paraId="359C89A3">
            <w:pPr>
              <w:jc w:val="center"/>
              <w:rPr>
                <w:rFonts w:hint="eastAsia" w:ascii="宋体" w:hAnsi="宋体"/>
                <w:color w:val="auto"/>
                <w:szCs w:val="21"/>
                <w:highlight w:val="none"/>
              </w:rPr>
            </w:pPr>
          </w:p>
        </w:tc>
        <w:tc>
          <w:tcPr>
            <w:tcW w:w="1360" w:type="dxa"/>
            <w:vAlign w:val="center"/>
          </w:tcPr>
          <w:p w14:paraId="03C2D325">
            <w:pPr>
              <w:jc w:val="center"/>
              <w:rPr>
                <w:rFonts w:hint="eastAsia" w:ascii="宋体" w:hAnsi="宋体"/>
                <w:color w:val="auto"/>
                <w:szCs w:val="21"/>
                <w:highlight w:val="none"/>
              </w:rPr>
            </w:pPr>
          </w:p>
        </w:tc>
        <w:tc>
          <w:tcPr>
            <w:tcW w:w="1587" w:type="dxa"/>
            <w:vAlign w:val="center"/>
          </w:tcPr>
          <w:p w14:paraId="3E16F0A5">
            <w:pPr>
              <w:jc w:val="center"/>
              <w:rPr>
                <w:rFonts w:hint="eastAsia" w:ascii="宋体" w:hAnsi="宋体"/>
                <w:color w:val="auto"/>
                <w:szCs w:val="21"/>
                <w:highlight w:val="none"/>
              </w:rPr>
            </w:pPr>
          </w:p>
        </w:tc>
        <w:tc>
          <w:tcPr>
            <w:tcW w:w="1133" w:type="dxa"/>
            <w:vAlign w:val="center"/>
          </w:tcPr>
          <w:p w14:paraId="41C2005F">
            <w:pPr>
              <w:jc w:val="center"/>
              <w:rPr>
                <w:rFonts w:hint="eastAsia" w:ascii="宋体" w:hAnsi="宋体"/>
                <w:color w:val="auto"/>
                <w:szCs w:val="21"/>
                <w:highlight w:val="none"/>
              </w:rPr>
            </w:pPr>
          </w:p>
        </w:tc>
        <w:tc>
          <w:tcPr>
            <w:tcW w:w="1730" w:type="dxa"/>
            <w:vAlign w:val="center"/>
          </w:tcPr>
          <w:p w14:paraId="777A2726">
            <w:pPr>
              <w:jc w:val="center"/>
              <w:rPr>
                <w:rFonts w:hint="eastAsia" w:ascii="宋体" w:hAnsi="宋体"/>
                <w:color w:val="auto"/>
                <w:szCs w:val="21"/>
                <w:highlight w:val="none"/>
              </w:rPr>
            </w:pPr>
          </w:p>
        </w:tc>
      </w:tr>
      <w:tr w14:paraId="0FAF1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145379B">
            <w:pPr>
              <w:jc w:val="center"/>
              <w:rPr>
                <w:rFonts w:hint="eastAsia" w:ascii="宋体" w:hAnsi="宋体"/>
                <w:color w:val="auto"/>
                <w:szCs w:val="21"/>
                <w:highlight w:val="none"/>
              </w:rPr>
            </w:pPr>
          </w:p>
        </w:tc>
        <w:tc>
          <w:tcPr>
            <w:tcW w:w="1620" w:type="dxa"/>
            <w:vAlign w:val="center"/>
          </w:tcPr>
          <w:p w14:paraId="1663810D">
            <w:pPr>
              <w:jc w:val="center"/>
              <w:rPr>
                <w:rFonts w:hint="eastAsia" w:ascii="宋体" w:hAnsi="宋体"/>
                <w:color w:val="auto"/>
                <w:szCs w:val="21"/>
                <w:highlight w:val="none"/>
              </w:rPr>
            </w:pPr>
          </w:p>
        </w:tc>
        <w:tc>
          <w:tcPr>
            <w:tcW w:w="1360" w:type="dxa"/>
            <w:vAlign w:val="center"/>
          </w:tcPr>
          <w:p w14:paraId="3DFDECD0">
            <w:pPr>
              <w:jc w:val="center"/>
              <w:rPr>
                <w:rFonts w:hint="eastAsia" w:ascii="宋体" w:hAnsi="宋体"/>
                <w:color w:val="auto"/>
                <w:szCs w:val="21"/>
                <w:highlight w:val="none"/>
              </w:rPr>
            </w:pPr>
          </w:p>
        </w:tc>
        <w:tc>
          <w:tcPr>
            <w:tcW w:w="1587" w:type="dxa"/>
            <w:vAlign w:val="center"/>
          </w:tcPr>
          <w:p w14:paraId="1C0FEDEE">
            <w:pPr>
              <w:jc w:val="center"/>
              <w:rPr>
                <w:rFonts w:hint="eastAsia" w:ascii="宋体" w:hAnsi="宋体"/>
                <w:color w:val="auto"/>
                <w:szCs w:val="21"/>
                <w:highlight w:val="none"/>
              </w:rPr>
            </w:pPr>
          </w:p>
        </w:tc>
        <w:tc>
          <w:tcPr>
            <w:tcW w:w="1133" w:type="dxa"/>
            <w:vAlign w:val="center"/>
          </w:tcPr>
          <w:p w14:paraId="248D46C5">
            <w:pPr>
              <w:jc w:val="center"/>
              <w:rPr>
                <w:rFonts w:hint="eastAsia" w:ascii="宋体" w:hAnsi="宋体"/>
                <w:color w:val="auto"/>
                <w:szCs w:val="21"/>
                <w:highlight w:val="none"/>
              </w:rPr>
            </w:pPr>
          </w:p>
        </w:tc>
        <w:tc>
          <w:tcPr>
            <w:tcW w:w="1730" w:type="dxa"/>
            <w:vAlign w:val="center"/>
          </w:tcPr>
          <w:p w14:paraId="3C18916D">
            <w:pPr>
              <w:jc w:val="center"/>
              <w:rPr>
                <w:rFonts w:hint="eastAsia" w:ascii="宋体" w:hAnsi="宋体"/>
                <w:color w:val="auto"/>
                <w:szCs w:val="21"/>
                <w:highlight w:val="none"/>
              </w:rPr>
            </w:pPr>
          </w:p>
        </w:tc>
      </w:tr>
      <w:tr w14:paraId="03AEA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8EEA8A8">
            <w:pPr>
              <w:jc w:val="center"/>
              <w:rPr>
                <w:rFonts w:hint="eastAsia" w:ascii="宋体" w:hAnsi="宋体"/>
                <w:color w:val="auto"/>
                <w:szCs w:val="21"/>
                <w:highlight w:val="none"/>
              </w:rPr>
            </w:pPr>
          </w:p>
        </w:tc>
        <w:tc>
          <w:tcPr>
            <w:tcW w:w="1620" w:type="dxa"/>
            <w:vAlign w:val="center"/>
          </w:tcPr>
          <w:p w14:paraId="3079D989">
            <w:pPr>
              <w:jc w:val="center"/>
              <w:rPr>
                <w:rFonts w:hint="eastAsia" w:ascii="宋体" w:hAnsi="宋体"/>
                <w:color w:val="auto"/>
                <w:szCs w:val="21"/>
                <w:highlight w:val="none"/>
              </w:rPr>
            </w:pPr>
          </w:p>
        </w:tc>
        <w:tc>
          <w:tcPr>
            <w:tcW w:w="1360" w:type="dxa"/>
            <w:vAlign w:val="center"/>
          </w:tcPr>
          <w:p w14:paraId="73DA0C40">
            <w:pPr>
              <w:jc w:val="center"/>
              <w:rPr>
                <w:rFonts w:hint="eastAsia" w:ascii="宋体" w:hAnsi="宋体"/>
                <w:color w:val="auto"/>
                <w:szCs w:val="21"/>
                <w:highlight w:val="none"/>
              </w:rPr>
            </w:pPr>
          </w:p>
        </w:tc>
        <w:tc>
          <w:tcPr>
            <w:tcW w:w="1587" w:type="dxa"/>
            <w:vAlign w:val="center"/>
          </w:tcPr>
          <w:p w14:paraId="059385AF">
            <w:pPr>
              <w:jc w:val="center"/>
              <w:rPr>
                <w:rFonts w:hint="eastAsia" w:ascii="宋体" w:hAnsi="宋体"/>
                <w:color w:val="auto"/>
                <w:szCs w:val="21"/>
                <w:highlight w:val="none"/>
              </w:rPr>
            </w:pPr>
          </w:p>
        </w:tc>
        <w:tc>
          <w:tcPr>
            <w:tcW w:w="1133" w:type="dxa"/>
            <w:vAlign w:val="center"/>
          </w:tcPr>
          <w:p w14:paraId="0F3AF139">
            <w:pPr>
              <w:jc w:val="center"/>
              <w:rPr>
                <w:rFonts w:hint="eastAsia" w:ascii="宋体" w:hAnsi="宋体"/>
                <w:color w:val="auto"/>
                <w:szCs w:val="21"/>
                <w:highlight w:val="none"/>
              </w:rPr>
            </w:pPr>
          </w:p>
        </w:tc>
        <w:tc>
          <w:tcPr>
            <w:tcW w:w="1730" w:type="dxa"/>
            <w:vAlign w:val="center"/>
          </w:tcPr>
          <w:p w14:paraId="63DB9975">
            <w:pPr>
              <w:jc w:val="center"/>
              <w:rPr>
                <w:rFonts w:hint="eastAsia" w:ascii="宋体" w:hAnsi="宋体"/>
                <w:color w:val="auto"/>
                <w:szCs w:val="21"/>
                <w:highlight w:val="none"/>
              </w:rPr>
            </w:pPr>
          </w:p>
        </w:tc>
      </w:tr>
      <w:tr w14:paraId="3923A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0022323">
            <w:pPr>
              <w:jc w:val="center"/>
              <w:rPr>
                <w:rFonts w:hint="eastAsia" w:ascii="宋体" w:hAnsi="宋体"/>
                <w:color w:val="auto"/>
                <w:szCs w:val="21"/>
                <w:highlight w:val="none"/>
              </w:rPr>
            </w:pPr>
          </w:p>
        </w:tc>
        <w:tc>
          <w:tcPr>
            <w:tcW w:w="1620" w:type="dxa"/>
            <w:vAlign w:val="center"/>
          </w:tcPr>
          <w:p w14:paraId="7C988100">
            <w:pPr>
              <w:jc w:val="center"/>
              <w:rPr>
                <w:rFonts w:hint="eastAsia" w:ascii="宋体" w:hAnsi="宋体"/>
                <w:color w:val="auto"/>
                <w:szCs w:val="21"/>
                <w:highlight w:val="none"/>
              </w:rPr>
            </w:pPr>
          </w:p>
        </w:tc>
        <w:tc>
          <w:tcPr>
            <w:tcW w:w="1360" w:type="dxa"/>
            <w:vAlign w:val="center"/>
          </w:tcPr>
          <w:p w14:paraId="579D720F">
            <w:pPr>
              <w:jc w:val="center"/>
              <w:rPr>
                <w:rFonts w:hint="eastAsia" w:ascii="宋体" w:hAnsi="宋体"/>
                <w:color w:val="auto"/>
                <w:szCs w:val="21"/>
                <w:highlight w:val="none"/>
              </w:rPr>
            </w:pPr>
          </w:p>
        </w:tc>
        <w:tc>
          <w:tcPr>
            <w:tcW w:w="1587" w:type="dxa"/>
            <w:vAlign w:val="center"/>
          </w:tcPr>
          <w:p w14:paraId="38A4848E">
            <w:pPr>
              <w:jc w:val="center"/>
              <w:rPr>
                <w:rFonts w:hint="eastAsia" w:ascii="宋体" w:hAnsi="宋体"/>
                <w:color w:val="auto"/>
                <w:szCs w:val="21"/>
                <w:highlight w:val="none"/>
              </w:rPr>
            </w:pPr>
          </w:p>
        </w:tc>
        <w:tc>
          <w:tcPr>
            <w:tcW w:w="1133" w:type="dxa"/>
            <w:vAlign w:val="center"/>
          </w:tcPr>
          <w:p w14:paraId="14A5E1D4">
            <w:pPr>
              <w:jc w:val="center"/>
              <w:rPr>
                <w:rFonts w:hint="eastAsia" w:ascii="宋体" w:hAnsi="宋体"/>
                <w:color w:val="auto"/>
                <w:szCs w:val="21"/>
                <w:highlight w:val="none"/>
              </w:rPr>
            </w:pPr>
          </w:p>
        </w:tc>
        <w:tc>
          <w:tcPr>
            <w:tcW w:w="1730" w:type="dxa"/>
            <w:vAlign w:val="center"/>
          </w:tcPr>
          <w:p w14:paraId="570FDBBF">
            <w:pPr>
              <w:jc w:val="center"/>
              <w:rPr>
                <w:rFonts w:hint="eastAsia" w:ascii="宋体" w:hAnsi="宋体"/>
                <w:color w:val="auto"/>
                <w:szCs w:val="21"/>
                <w:highlight w:val="none"/>
              </w:rPr>
            </w:pPr>
          </w:p>
        </w:tc>
      </w:tr>
      <w:tr w14:paraId="10C1D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EDEAF68">
            <w:pPr>
              <w:jc w:val="center"/>
              <w:rPr>
                <w:rFonts w:hint="eastAsia" w:ascii="宋体" w:hAnsi="宋体"/>
                <w:color w:val="auto"/>
                <w:szCs w:val="21"/>
                <w:highlight w:val="none"/>
              </w:rPr>
            </w:pPr>
          </w:p>
        </w:tc>
        <w:tc>
          <w:tcPr>
            <w:tcW w:w="1620" w:type="dxa"/>
            <w:vAlign w:val="center"/>
          </w:tcPr>
          <w:p w14:paraId="07E7EE2F">
            <w:pPr>
              <w:jc w:val="center"/>
              <w:rPr>
                <w:rFonts w:hint="eastAsia" w:ascii="宋体" w:hAnsi="宋体"/>
                <w:color w:val="auto"/>
                <w:szCs w:val="21"/>
                <w:highlight w:val="none"/>
              </w:rPr>
            </w:pPr>
          </w:p>
        </w:tc>
        <w:tc>
          <w:tcPr>
            <w:tcW w:w="1360" w:type="dxa"/>
            <w:vAlign w:val="center"/>
          </w:tcPr>
          <w:p w14:paraId="7913205F">
            <w:pPr>
              <w:jc w:val="center"/>
              <w:rPr>
                <w:rFonts w:hint="eastAsia" w:ascii="宋体" w:hAnsi="宋体"/>
                <w:color w:val="auto"/>
                <w:szCs w:val="21"/>
                <w:highlight w:val="none"/>
              </w:rPr>
            </w:pPr>
          </w:p>
        </w:tc>
        <w:tc>
          <w:tcPr>
            <w:tcW w:w="1587" w:type="dxa"/>
            <w:vAlign w:val="center"/>
          </w:tcPr>
          <w:p w14:paraId="0DE9DFA6">
            <w:pPr>
              <w:jc w:val="center"/>
              <w:rPr>
                <w:rFonts w:hint="eastAsia" w:ascii="宋体" w:hAnsi="宋体"/>
                <w:color w:val="auto"/>
                <w:szCs w:val="21"/>
                <w:highlight w:val="none"/>
              </w:rPr>
            </w:pPr>
          </w:p>
        </w:tc>
        <w:tc>
          <w:tcPr>
            <w:tcW w:w="1133" w:type="dxa"/>
            <w:vAlign w:val="center"/>
          </w:tcPr>
          <w:p w14:paraId="08CA17A9">
            <w:pPr>
              <w:jc w:val="center"/>
              <w:rPr>
                <w:rFonts w:hint="eastAsia" w:ascii="宋体" w:hAnsi="宋体"/>
                <w:color w:val="auto"/>
                <w:szCs w:val="21"/>
                <w:highlight w:val="none"/>
              </w:rPr>
            </w:pPr>
          </w:p>
        </w:tc>
        <w:tc>
          <w:tcPr>
            <w:tcW w:w="1730" w:type="dxa"/>
            <w:vAlign w:val="center"/>
          </w:tcPr>
          <w:p w14:paraId="2C665FF7">
            <w:pPr>
              <w:jc w:val="center"/>
              <w:rPr>
                <w:rFonts w:hint="eastAsia" w:ascii="宋体" w:hAnsi="宋体"/>
                <w:color w:val="auto"/>
                <w:szCs w:val="21"/>
                <w:highlight w:val="none"/>
              </w:rPr>
            </w:pPr>
          </w:p>
        </w:tc>
      </w:tr>
      <w:tr w14:paraId="4B655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3817146">
            <w:pPr>
              <w:jc w:val="center"/>
              <w:rPr>
                <w:rFonts w:hint="eastAsia" w:ascii="宋体" w:hAnsi="宋体"/>
                <w:color w:val="auto"/>
                <w:szCs w:val="21"/>
                <w:highlight w:val="none"/>
              </w:rPr>
            </w:pPr>
          </w:p>
        </w:tc>
        <w:tc>
          <w:tcPr>
            <w:tcW w:w="1620" w:type="dxa"/>
            <w:vAlign w:val="center"/>
          </w:tcPr>
          <w:p w14:paraId="28C586DE">
            <w:pPr>
              <w:jc w:val="center"/>
              <w:rPr>
                <w:rFonts w:hint="eastAsia" w:ascii="宋体" w:hAnsi="宋体"/>
                <w:color w:val="auto"/>
                <w:szCs w:val="21"/>
                <w:highlight w:val="none"/>
              </w:rPr>
            </w:pPr>
          </w:p>
        </w:tc>
        <w:tc>
          <w:tcPr>
            <w:tcW w:w="1360" w:type="dxa"/>
            <w:vAlign w:val="center"/>
          </w:tcPr>
          <w:p w14:paraId="4BB4196B">
            <w:pPr>
              <w:jc w:val="center"/>
              <w:rPr>
                <w:rFonts w:hint="eastAsia" w:ascii="宋体" w:hAnsi="宋体"/>
                <w:color w:val="auto"/>
                <w:szCs w:val="21"/>
                <w:highlight w:val="none"/>
              </w:rPr>
            </w:pPr>
          </w:p>
        </w:tc>
        <w:tc>
          <w:tcPr>
            <w:tcW w:w="1587" w:type="dxa"/>
            <w:vAlign w:val="center"/>
          </w:tcPr>
          <w:p w14:paraId="6E36AD21">
            <w:pPr>
              <w:jc w:val="center"/>
              <w:rPr>
                <w:rFonts w:hint="eastAsia" w:ascii="宋体" w:hAnsi="宋体"/>
                <w:color w:val="auto"/>
                <w:szCs w:val="21"/>
                <w:highlight w:val="none"/>
              </w:rPr>
            </w:pPr>
          </w:p>
        </w:tc>
        <w:tc>
          <w:tcPr>
            <w:tcW w:w="1133" w:type="dxa"/>
            <w:vAlign w:val="center"/>
          </w:tcPr>
          <w:p w14:paraId="678B6430">
            <w:pPr>
              <w:jc w:val="center"/>
              <w:rPr>
                <w:rFonts w:hint="eastAsia" w:ascii="宋体" w:hAnsi="宋体"/>
                <w:color w:val="auto"/>
                <w:szCs w:val="21"/>
                <w:highlight w:val="none"/>
              </w:rPr>
            </w:pPr>
          </w:p>
        </w:tc>
        <w:tc>
          <w:tcPr>
            <w:tcW w:w="1730" w:type="dxa"/>
            <w:vAlign w:val="center"/>
          </w:tcPr>
          <w:p w14:paraId="1C98D6CF">
            <w:pPr>
              <w:jc w:val="center"/>
              <w:rPr>
                <w:rFonts w:hint="eastAsia" w:ascii="宋体" w:hAnsi="宋体"/>
                <w:color w:val="auto"/>
                <w:szCs w:val="21"/>
                <w:highlight w:val="none"/>
              </w:rPr>
            </w:pPr>
          </w:p>
        </w:tc>
      </w:tr>
      <w:tr w14:paraId="5FAFA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1F8E489">
            <w:pPr>
              <w:jc w:val="center"/>
              <w:rPr>
                <w:rFonts w:hint="eastAsia" w:ascii="宋体" w:hAnsi="宋体"/>
                <w:color w:val="auto"/>
                <w:szCs w:val="21"/>
                <w:highlight w:val="none"/>
              </w:rPr>
            </w:pPr>
          </w:p>
        </w:tc>
        <w:tc>
          <w:tcPr>
            <w:tcW w:w="1620" w:type="dxa"/>
            <w:vAlign w:val="center"/>
          </w:tcPr>
          <w:p w14:paraId="3D473291">
            <w:pPr>
              <w:jc w:val="center"/>
              <w:rPr>
                <w:rFonts w:hint="eastAsia" w:ascii="宋体" w:hAnsi="宋体"/>
                <w:color w:val="auto"/>
                <w:szCs w:val="21"/>
                <w:highlight w:val="none"/>
              </w:rPr>
            </w:pPr>
          </w:p>
        </w:tc>
        <w:tc>
          <w:tcPr>
            <w:tcW w:w="1360" w:type="dxa"/>
            <w:vAlign w:val="center"/>
          </w:tcPr>
          <w:p w14:paraId="77B1EE42">
            <w:pPr>
              <w:jc w:val="center"/>
              <w:rPr>
                <w:rFonts w:hint="eastAsia" w:ascii="宋体" w:hAnsi="宋体"/>
                <w:color w:val="auto"/>
                <w:szCs w:val="21"/>
                <w:highlight w:val="none"/>
              </w:rPr>
            </w:pPr>
          </w:p>
        </w:tc>
        <w:tc>
          <w:tcPr>
            <w:tcW w:w="1587" w:type="dxa"/>
            <w:vAlign w:val="center"/>
          </w:tcPr>
          <w:p w14:paraId="4D6AD439">
            <w:pPr>
              <w:jc w:val="center"/>
              <w:rPr>
                <w:rFonts w:hint="eastAsia" w:ascii="宋体" w:hAnsi="宋体"/>
                <w:color w:val="auto"/>
                <w:szCs w:val="21"/>
                <w:highlight w:val="none"/>
              </w:rPr>
            </w:pPr>
          </w:p>
        </w:tc>
        <w:tc>
          <w:tcPr>
            <w:tcW w:w="1133" w:type="dxa"/>
            <w:vAlign w:val="center"/>
          </w:tcPr>
          <w:p w14:paraId="3A6BB8D7">
            <w:pPr>
              <w:jc w:val="center"/>
              <w:rPr>
                <w:rFonts w:hint="eastAsia" w:ascii="宋体" w:hAnsi="宋体"/>
                <w:color w:val="auto"/>
                <w:szCs w:val="21"/>
                <w:highlight w:val="none"/>
              </w:rPr>
            </w:pPr>
          </w:p>
        </w:tc>
        <w:tc>
          <w:tcPr>
            <w:tcW w:w="1730" w:type="dxa"/>
            <w:vAlign w:val="center"/>
          </w:tcPr>
          <w:p w14:paraId="7C72CB6C">
            <w:pPr>
              <w:jc w:val="center"/>
              <w:rPr>
                <w:rFonts w:hint="eastAsia" w:ascii="宋体" w:hAnsi="宋体"/>
                <w:color w:val="auto"/>
                <w:szCs w:val="21"/>
                <w:highlight w:val="none"/>
              </w:rPr>
            </w:pPr>
          </w:p>
        </w:tc>
      </w:tr>
      <w:tr w14:paraId="7A603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C9CBA5D">
            <w:pPr>
              <w:jc w:val="center"/>
              <w:rPr>
                <w:rFonts w:hint="eastAsia" w:ascii="宋体" w:hAnsi="宋体"/>
                <w:color w:val="auto"/>
                <w:szCs w:val="21"/>
                <w:highlight w:val="none"/>
              </w:rPr>
            </w:pPr>
          </w:p>
        </w:tc>
        <w:tc>
          <w:tcPr>
            <w:tcW w:w="1620" w:type="dxa"/>
            <w:vAlign w:val="center"/>
          </w:tcPr>
          <w:p w14:paraId="322EFCE8">
            <w:pPr>
              <w:jc w:val="center"/>
              <w:rPr>
                <w:rFonts w:hint="eastAsia" w:ascii="宋体" w:hAnsi="宋体"/>
                <w:color w:val="auto"/>
                <w:szCs w:val="21"/>
                <w:highlight w:val="none"/>
              </w:rPr>
            </w:pPr>
          </w:p>
        </w:tc>
        <w:tc>
          <w:tcPr>
            <w:tcW w:w="1360" w:type="dxa"/>
            <w:vAlign w:val="center"/>
          </w:tcPr>
          <w:p w14:paraId="36F46CEC">
            <w:pPr>
              <w:jc w:val="center"/>
              <w:rPr>
                <w:rFonts w:hint="eastAsia" w:ascii="宋体" w:hAnsi="宋体"/>
                <w:color w:val="auto"/>
                <w:szCs w:val="21"/>
                <w:highlight w:val="none"/>
              </w:rPr>
            </w:pPr>
          </w:p>
        </w:tc>
        <w:tc>
          <w:tcPr>
            <w:tcW w:w="1587" w:type="dxa"/>
            <w:vAlign w:val="center"/>
          </w:tcPr>
          <w:p w14:paraId="29697331">
            <w:pPr>
              <w:jc w:val="center"/>
              <w:rPr>
                <w:rFonts w:hint="eastAsia" w:ascii="宋体" w:hAnsi="宋体"/>
                <w:color w:val="auto"/>
                <w:szCs w:val="21"/>
                <w:highlight w:val="none"/>
              </w:rPr>
            </w:pPr>
          </w:p>
        </w:tc>
        <w:tc>
          <w:tcPr>
            <w:tcW w:w="1133" w:type="dxa"/>
            <w:vAlign w:val="center"/>
          </w:tcPr>
          <w:p w14:paraId="225182FD">
            <w:pPr>
              <w:jc w:val="center"/>
              <w:rPr>
                <w:rFonts w:hint="eastAsia" w:ascii="宋体" w:hAnsi="宋体"/>
                <w:color w:val="auto"/>
                <w:szCs w:val="21"/>
                <w:highlight w:val="none"/>
              </w:rPr>
            </w:pPr>
          </w:p>
        </w:tc>
        <w:tc>
          <w:tcPr>
            <w:tcW w:w="1730" w:type="dxa"/>
            <w:vAlign w:val="center"/>
          </w:tcPr>
          <w:p w14:paraId="1F4B6A02">
            <w:pPr>
              <w:jc w:val="center"/>
              <w:rPr>
                <w:rFonts w:hint="eastAsia" w:ascii="宋体" w:hAnsi="宋体"/>
                <w:color w:val="auto"/>
                <w:szCs w:val="21"/>
                <w:highlight w:val="none"/>
              </w:rPr>
            </w:pPr>
          </w:p>
        </w:tc>
      </w:tr>
      <w:tr w14:paraId="57DA2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7FC7A22">
            <w:pPr>
              <w:jc w:val="center"/>
              <w:rPr>
                <w:rFonts w:hint="eastAsia" w:ascii="宋体" w:hAnsi="宋体"/>
                <w:color w:val="auto"/>
                <w:szCs w:val="21"/>
                <w:highlight w:val="none"/>
              </w:rPr>
            </w:pPr>
          </w:p>
        </w:tc>
        <w:tc>
          <w:tcPr>
            <w:tcW w:w="1620" w:type="dxa"/>
            <w:vAlign w:val="center"/>
          </w:tcPr>
          <w:p w14:paraId="498839D5">
            <w:pPr>
              <w:jc w:val="center"/>
              <w:rPr>
                <w:rFonts w:hint="eastAsia" w:ascii="宋体" w:hAnsi="宋体"/>
                <w:color w:val="auto"/>
                <w:szCs w:val="21"/>
                <w:highlight w:val="none"/>
              </w:rPr>
            </w:pPr>
          </w:p>
        </w:tc>
        <w:tc>
          <w:tcPr>
            <w:tcW w:w="1360" w:type="dxa"/>
            <w:vAlign w:val="center"/>
          </w:tcPr>
          <w:p w14:paraId="051B5FE9">
            <w:pPr>
              <w:jc w:val="center"/>
              <w:rPr>
                <w:rFonts w:hint="eastAsia" w:ascii="宋体" w:hAnsi="宋体"/>
                <w:color w:val="auto"/>
                <w:szCs w:val="21"/>
                <w:highlight w:val="none"/>
              </w:rPr>
            </w:pPr>
          </w:p>
        </w:tc>
        <w:tc>
          <w:tcPr>
            <w:tcW w:w="1587" w:type="dxa"/>
            <w:vAlign w:val="center"/>
          </w:tcPr>
          <w:p w14:paraId="3ED0209A">
            <w:pPr>
              <w:jc w:val="center"/>
              <w:rPr>
                <w:rFonts w:hint="eastAsia" w:ascii="宋体" w:hAnsi="宋体"/>
                <w:color w:val="auto"/>
                <w:szCs w:val="21"/>
                <w:highlight w:val="none"/>
              </w:rPr>
            </w:pPr>
          </w:p>
        </w:tc>
        <w:tc>
          <w:tcPr>
            <w:tcW w:w="1133" w:type="dxa"/>
            <w:vAlign w:val="center"/>
          </w:tcPr>
          <w:p w14:paraId="497E298B">
            <w:pPr>
              <w:jc w:val="center"/>
              <w:rPr>
                <w:rFonts w:hint="eastAsia" w:ascii="宋体" w:hAnsi="宋体"/>
                <w:color w:val="auto"/>
                <w:szCs w:val="21"/>
                <w:highlight w:val="none"/>
              </w:rPr>
            </w:pPr>
          </w:p>
        </w:tc>
        <w:tc>
          <w:tcPr>
            <w:tcW w:w="1730" w:type="dxa"/>
            <w:vAlign w:val="center"/>
          </w:tcPr>
          <w:p w14:paraId="267F0A92">
            <w:pPr>
              <w:jc w:val="center"/>
              <w:rPr>
                <w:rFonts w:hint="eastAsia" w:ascii="宋体" w:hAnsi="宋体"/>
                <w:color w:val="auto"/>
                <w:szCs w:val="21"/>
                <w:highlight w:val="none"/>
              </w:rPr>
            </w:pPr>
          </w:p>
        </w:tc>
      </w:tr>
    </w:tbl>
    <w:p w14:paraId="54963A0C">
      <w:pPr>
        <w:rPr>
          <w:rFonts w:hint="eastAsia" w:ascii="宋体" w:hAnsi="宋体"/>
          <w:color w:val="auto"/>
          <w:szCs w:val="21"/>
          <w:highlight w:val="none"/>
        </w:rPr>
      </w:pPr>
    </w:p>
    <w:p w14:paraId="0D5C658F">
      <w:pPr>
        <w:rPr>
          <w:rFonts w:hint="eastAsia" w:ascii="宋体" w:hAnsi="宋体"/>
          <w:color w:val="auto"/>
          <w:szCs w:val="21"/>
          <w:highlight w:val="none"/>
        </w:rPr>
      </w:pPr>
      <w:r>
        <w:rPr>
          <w:rFonts w:hint="eastAsia" w:ascii="宋体" w:hAnsi="宋体"/>
          <w:color w:val="auto"/>
          <w:szCs w:val="21"/>
          <w:highlight w:val="none"/>
        </w:rPr>
        <w:t>投标人代表签字：</w:t>
      </w:r>
    </w:p>
    <w:p w14:paraId="15014979">
      <w:pPr>
        <w:rPr>
          <w:rFonts w:hint="eastAsia" w:ascii="宋体" w:hAnsi="宋体"/>
          <w:color w:val="auto"/>
          <w:szCs w:val="21"/>
          <w:highlight w:val="none"/>
        </w:rPr>
      </w:pPr>
      <w:r>
        <w:rPr>
          <w:rFonts w:hint="eastAsia" w:ascii="宋体" w:hAnsi="宋体"/>
          <w:color w:val="auto"/>
          <w:szCs w:val="21"/>
          <w:highlight w:val="none"/>
        </w:rPr>
        <w:t>投标人盖章：</w:t>
      </w:r>
    </w:p>
    <w:p w14:paraId="7F4A9B34">
      <w:pPr>
        <w:rPr>
          <w:rFonts w:hint="eastAsia" w:ascii="宋体" w:hAnsi="宋体"/>
          <w:color w:val="auto"/>
          <w:szCs w:val="21"/>
          <w:highlight w:val="none"/>
        </w:rPr>
      </w:pPr>
    </w:p>
    <w:p w14:paraId="2062799C">
      <w:pPr>
        <w:ind w:left="718" w:hanging="718" w:hangingChars="342"/>
        <w:rPr>
          <w:rFonts w:hint="eastAsia" w:ascii="宋体" w:hAnsi="宋体"/>
          <w:color w:val="auto"/>
          <w:szCs w:val="21"/>
          <w:highlight w:val="none"/>
        </w:rPr>
      </w:pPr>
      <w:r>
        <w:rPr>
          <w:rFonts w:hint="eastAsia" w:ascii="宋体" w:hAnsi="宋体"/>
          <w:color w:val="auto"/>
          <w:szCs w:val="21"/>
          <w:highlight w:val="none"/>
        </w:rPr>
        <w:t>注：</w:t>
      </w:r>
    </w:p>
    <w:p w14:paraId="60C93747">
      <w:pPr>
        <w:rPr>
          <w:rFonts w:hint="eastAsia"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0BCC81B7">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1E62C37E">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E1B46ED">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2761F860">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607D4EEE">
      <w:pPr>
        <w:rPr>
          <w:rFonts w:hint="eastAsia" w:ascii="宋体" w:hAnsi="宋体"/>
          <w:color w:val="auto"/>
          <w:szCs w:val="21"/>
          <w:highlight w:val="none"/>
        </w:rPr>
      </w:pPr>
      <w:r>
        <w:rPr>
          <w:rFonts w:hint="eastAsia" w:ascii="宋体" w:hAnsi="宋体"/>
          <w:color w:val="auto"/>
          <w:szCs w:val="21"/>
          <w:highlight w:val="none"/>
        </w:rPr>
        <w:br w:type="page"/>
      </w:r>
    </w:p>
    <w:p w14:paraId="63CEEDDE">
      <w:pPr>
        <w:pStyle w:val="6"/>
        <w:widowControl w:val="0"/>
        <w:overflowPunct w:val="0"/>
        <w:spacing w:line="240" w:lineRule="auto"/>
        <w:rPr>
          <w:rFonts w:hint="eastAsia" w:ascii="宋体" w:hAnsi="宋体"/>
          <w:color w:val="auto"/>
          <w:sz w:val="30"/>
          <w:szCs w:val="30"/>
          <w:highlight w:val="none"/>
        </w:rPr>
      </w:pPr>
      <w:bookmarkStart w:id="165" w:name="_Toc23716"/>
      <w:r>
        <w:rPr>
          <w:rFonts w:hint="eastAsia" w:ascii="宋体" w:hAnsi="宋体"/>
          <w:color w:val="auto"/>
          <w:sz w:val="21"/>
          <w:szCs w:val="21"/>
          <w:highlight w:val="none"/>
        </w:rPr>
        <w:t>附件12.业绩表</w:t>
      </w:r>
      <w:bookmarkEnd w:id="165"/>
    </w:p>
    <w:p w14:paraId="35FBC2C4">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1"/>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13B39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535256F">
            <w:pPr>
              <w:adjustRightInd/>
              <w:snapToGrid/>
              <w:jc w:val="center"/>
              <w:rPr>
                <w:rFonts w:hint="eastAsia"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108F28AC">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2297E6E4">
            <w:pPr>
              <w:adjustRightInd/>
              <w:snapToGrid/>
              <w:jc w:val="center"/>
              <w:rPr>
                <w:rFonts w:hint="eastAsia"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4CFA6C49">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14:paraId="585244C9">
            <w:pPr>
              <w:adjustRightInd/>
              <w:snapToGrid/>
              <w:jc w:val="center"/>
              <w:rPr>
                <w:rFonts w:hint="eastAsia"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6B577402">
            <w:pPr>
              <w:adjustRightInd/>
              <w:snapToGrid/>
              <w:jc w:val="center"/>
              <w:rPr>
                <w:rFonts w:hint="eastAsia" w:ascii="宋体" w:hAnsi="宋体"/>
                <w:color w:val="auto"/>
                <w:szCs w:val="21"/>
                <w:highlight w:val="none"/>
              </w:rPr>
            </w:pPr>
            <w:r>
              <w:rPr>
                <w:rFonts w:hint="eastAsia" w:ascii="宋体" w:hAnsi="宋体"/>
                <w:color w:val="auto"/>
                <w:szCs w:val="21"/>
                <w:highlight w:val="none"/>
              </w:rPr>
              <w:t>备注</w:t>
            </w:r>
          </w:p>
        </w:tc>
      </w:tr>
      <w:tr w14:paraId="7A8DD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107AB1E9">
            <w:pPr>
              <w:adjustRightInd/>
              <w:snapToGrid/>
              <w:jc w:val="center"/>
              <w:rPr>
                <w:rFonts w:hint="eastAsia" w:ascii="宋体" w:hAnsi="宋体"/>
                <w:color w:val="auto"/>
                <w:szCs w:val="21"/>
                <w:highlight w:val="none"/>
              </w:rPr>
            </w:pPr>
          </w:p>
        </w:tc>
        <w:tc>
          <w:tcPr>
            <w:tcW w:w="1705" w:type="dxa"/>
            <w:vAlign w:val="center"/>
          </w:tcPr>
          <w:p w14:paraId="40C0F911">
            <w:pPr>
              <w:adjustRightInd/>
              <w:snapToGrid/>
              <w:jc w:val="center"/>
              <w:rPr>
                <w:rFonts w:hint="eastAsia" w:ascii="宋体" w:hAnsi="宋体"/>
                <w:color w:val="auto"/>
                <w:szCs w:val="21"/>
                <w:highlight w:val="none"/>
              </w:rPr>
            </w:pPr>
          </w:p>
        </w:tc>
        <w:tc>
          <w:tcPr>
            <w:tcW w:w="1706" w:type="dxa"/>
            <w:vAlign w:val="center"/>
          </w:tcPr>
          <w:p w14:paraId="2FB3BB5B">
            <w:pPr>
              <w:adjustRightInd/>
              <w:snapToGrid/>
              <w:jc w:val="center"/>
              <w:rPr>
                <w:rFonts w:hint="eastAsia" w:ascii="宋体" w:hAnsi="宋体"/>
                <w:color w:val="auto"/>
                <w:szCs w:val="21"/>
                <w:highlight w:val="none"/>
              </w:rPr>
            </w:pPr>
          </w:p>
        </w:tc>
        <w:tc>
          <w:tcPr>
            <w:tcW w:w="1705" w:type="dxa"/>
            <w:vAlign w:val="center"/>
          </w:tcPr>
          <w:p w14:paraId="4546F308">
            <w:pPr>
              <w:adjustRightInd/>
              <w:snapToGrid/>
              <w:jc w:val="center"/>
              <w:rPr>
                <w:rFonts w:hint="eastAsia" w:ascii="宋体" w:hAnsi="宋体"/>
                <w:color w:val="auto"/>
                <w:szCs w:val="21"/>
                <w:highlight w:val="none"/>
              </w:rPr>
            </w:pPr>
          </w:p>
        </w:tc>
        <w:tc>
          <w:tcPr>
            <w:tcW w:w="1697" w:type="dxa"/>
            <w:vAlign w:val="center"/>
          </w:tcPr>
          <w:p w14:paraId="092AE66D">
            <w:pPr>
              <w:adjustRightInd/>
              <w:snapToGrid/>
              <w:jc w:val="center"/>
              <w:rPr>
                <w:rFonts w:hint="eastAsia" w:ascii="宋体" w:hAnsi="宋体"/>
                <w:color w:val="auto"/>
                <w:szCs w:val="21"/>
                <w:highlight w:val="none"/>
              </w:rPr>
            </w:pPr>
          </w:p>
        </w:tc>
      </w:tr>
      <w:tr w14:paraId="6A62B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7667091">
            <w:pPr>
              <w:adjustRightInd/>
              <w:snapToGrid/>
              <w:rPr>
                <w:rFonts w:hint="eastAsia" w:ascii="宋体" w:hAnsi="宋体"/>
                <w:color w:val="auto"/>
                <w:szCs w:val="21"/>
                <w:highlight w:val="none"/>
              </w:rPr>
            </w:pPr>
          </w:p>
        </w:tc>
        <w:tc>
          <w:tcPr>
            <w:tcW w:w="1705" w:type="dxa"/>
          </w:tcPr>
          <w:p w14:paraId="56C9E661">
            <w:pPr>
              <w:adjustRightInd/>
              <w:snapToGrid/>
              <w:rPr>
                <w:rFonts w:hint="eastAsia" w:ascii="宋体" w:hAnsi="宋体"/>
                <w:color w:val="auto"/>
                <w:szCs w:val="21"/>
                <w:highlight w:val="none"/>
              </w:rPr>
            </w:pPr>
          </w:p>
        </w:tc>
        <w:tc>
          <w:tcPr>
            <w:tcW w:w="1706" w:type="dxa"/>
          </w:tcPr>
          <w:p w14:paraId="6A2FC8C9">
            <w:pPr>
              <w:adjustRightInd/>
              <w:snapToGrid/>
              <w:rPr>
                <w:rFonts w:hint="eastAsia" w:ascii="宋体" w:hAnsi="宋体"/>
                <w:color w:val="auto"/>
                <w:szCs w:val="21"/>
                <w:highlight w:val="none"/>
              </w:rPr>
            </w:pPr>
          </w:p>
        </w:tc>
        <w:tc>
          <w:tcPr>
            <w:tcW w:w="1705" w:type="dxa"/>
          </w:tcPr>
          <w:p w14:paraId="46798748">
            <w:pPr>
              <w:adjustRightInd/>
              <w:snapToGrid/>
              <w:rPr>
                <w:rFonts w:hint="eastAsia" w:ascii="宋体" w:hAnsi="宋体"/>
                <w:color w:val="auto"/>
                <w:szCs w:val="21"/>
                <w:highlight w:val="none"/>
              </w:rPr>
            </w:pPr>
          </w:p>
        </w:tc>
        <w:tc>
          <w:tcPr>
            <w:tcW w:w="1697" w:type="dxa"/>
          </w:tcPr>
          <w:p w14:paraId="4B5D1CF4">
            <w:pPr>
              <w:adjustRightInd/>
              <w:snapToGrid/>
              <w:rPr>
                <w:rFonts w:hint="eastAsia" w:ascii="宋体" w:hAnsi="宋体"/>
                <w:color w:val="auto"/>
                <w:szCs w:val="21"/>
                <w:highlight w:val="none"/>
              </w:rPr>
            </w:pPr>
          </w:p>
        </w:tc>
      </w:tr>
      <w:tr w14:paraId="14C96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C06680F">
            <w:pPr>
              <w:adjustRightInd/>
              <w:snapToGrid/>
              <w:rPr>
                <w:rFonts w:hint="eastAsia" w:ascii="宋体" w:hAnsi="宋体"/>
                <w:color w:val="auto"/>
                <w:szCs w:val="21"/>
                <w:highlight w:val="none"/>
              </w:rPr>
            </w:pPr>
          </w:p>
        </w:tc>
        <w:tc>
          <w:tcPr>
            <w:tcW w:w="1705" w:type="dxa"/>
          </w:tcPr>
          <w:p w14:paraId="25D66A8C">
            <w:pPr>
              <w:adjustRightInd/>
              <w:snapToGrid/>
              <w:rPr>
                <w:rFonts w:hint="eastAsia" w:ascii="宋体" w:hAnsi="宋体"/>
                <w:color w:val="auto"/>
                <w:szCs w:val="21"/>
                <w:highlight w:val="none"/>
              </w:rPr>
            </w:pPr>
          </w:p>
        </w:tc>
        <w:tc>
          <w:tcPr>
            <w:tcW w:w="1706" w:type="dxa"/>
          </w:tcPr>
          <w:p w14:paraId="43CAF924">
            <w:pPr>
              <w:adjustRightInd/>
              <w:snapToGrid/>
              <w:rPr>
                <w:rFonts w:hint="eastAsia" w:ascii="宋体" w:hAnsi="宋体"/>
                <w:color w:val="auto"/>
                <w:szCs w:val="21"/>
                <w:highlight w:val="none"/>
              </w:rPr>
            </w:pPr>
          </w:p>
        </w:tc>
        <w:tc>
          <w:tcPr>
            <w:tcW w:w="1705" w:type="dxa"/>
          </w:tcPr>
          <w:p w14:paraId="044862F3">
            <w:pPr>
              <w:adjustRightInd/>
              <w:snapToGrid/>
              <w:rPr>
                <w:rFonts w:hint="eastAsia" w:ascii="宋体" w:hAnsi="宋体"/>
                <w:color w:val="auto"/>
                <w:szCs w:val="21"/>
                <w:highlight w:val="none"/>
              </w:rPr>
            </w:pPr>
          </w:p>
        </w:tc>
        <w:tc>
          <w:tcPr>
            <w:tcW w:w="1697" w:type="dxa"/>
          </w:tcPr>
          <w:p w14:paraId="64B86F1D">
            <w:pPr>
              <w:adjustRightInd/>
              <w:snapToGrid/>
              <w:rPr>
                <w:rFonts w:hint="eastAsia" w:ascii="宋体" w:hAnsi="宋体"/>
                <w:color w:val="auto"/>
                <w:szCs w:val="21"/>
                <w:highlight w:val="none"/>
              </w:rPr>
            </w:pPr>
          </w:p>
        </w:tc>
      </w:tr>
      <w:tr w14:paraId="17C5D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E6BA0B5">
            <w:pPr>
              <w:adjustRightInd/>
              <w:snapToGrid/>
              <w:rPr>
                <w:rFonts w:hint="eastAsia" w:ascii="宋体" w:hAnsi="宋体"/>
                <w:color w:val="auto"/>
                <w:szCs w:val="21"/>
                <w:highlight w:val="none"/>
              </w:rPr>
            </w:pPr>
          </w:p>
        </w:tc>
        <w:tc>
          <w:tcPr>
            <w:tcW w:w="1705" w:type="dxa"/>
          </w:tcPr>
          <w:p w14:paraId="16A390C1">
            <w:pPr>
              <w:adjustRightInd/>
              <w:snapToGrid/>
              <w:rPr>
                <w:rFonts w:hint="eastAsia" w:ascii="宋体" w:hAnsi="宋体"/>
                <w:color w:val="auto"/>
                <w:szCs w:val="21"/>
                <w:highlight w:val="none"/>
              </w:rPr>
            </w:pPr>
          </w:p>
        </w:tc>
        <w:tc>
          <w:tcPr>
            <w:tcW w:w="1706" w:type="dxa"/>
          </w:tcPr>
          <w:p w14:paraId="445401C4">
            <w:pPr>
              <w:adjustRightInd/>
              <w:snapToGrid/>
              <w:rPr>
                <w:rFonts w:hint="eastAsia" w:ascii="宋体" w:hAnsi="宋体"/>
                <w:color w:val="auto"/>
                <w:szCs w:val="21"/>
                <w:highlight w:val="none"/>
              </w:rPr>
            </w:pPr>
          </w:p>
        </w:tc>
        <w:tc>
          <w:tcPr>
            <w:tcW w:w="1705" w:type="dxa"/>
          </w:tcPr>
          <w:p w14:paraId="795009ED">
            <w:pPr>
              <w:adjustRightInd/>
              <w:snapToGrid/>
              <w:rPr>
                <w:rFonts w:hint="eastAsia" w:ascii="宋体" w:hAnsi="宋体"/>
                <w:color w:val="auto"/>
                <w:szCs w:val="21"/>
                <w:highlight w:val="none"/>
              </w:rPr>
            </w:pPr>
          </w:p>
        </w:tc>
        <w:tc>
          <w:tcPr>
            <w:tcW w:w="1697" w:type="dxa"/>
          </w:tcPr>
          <w:p w14:paraId="64D73072">
            <w:pPr>
              <w:adjustRightInd/>
              <w:snapToGrid/>
              <w:rPr>
                <w:rFonts w:hint="eastAsia" w:ascii="宋体" w:hAnsi="宋体"/>
                <w:color w:val="auto"/>
                <w:szCs w:val="21"/>
                <w:highlight w:val="none"/>
              </w:rPr>
            </w:pPr>
          </w:p>
        </w:tc>
      </w:tr>
      <w:tr w14:paraId="4195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E3758B8">
            <w:pPr>
              <w:adjustRightInd/>
              <w:snapToGrid/>
              <w:rPr>
                <w:rFonts w:hint="eastAsia" w:ascii="宋体" w:hAnsi="宋体"/>
                <w:color w:val="auto"/>
                <w:szCs w:val="21"/>
                <w:highlight w:val="none"/>
              </w:rPr>
            </w:pPr>
          </w:p>
        </w:tc>
        <w:tc>
          <w:tcPr>
            <w:tcW w:w="1705" w:type="dxa"/>
          </w:tcPr>
          <w:p w14:paraId="52658FA8">
            <w:pPr>
              <w:adjustRightInd/>
              <w:snapToGrid/>
              <w:rPr>
                <w:rFonts w:hint="eastAsia" w:ascii="宋体" w:hAnsi="宋体"/>
                <w:color w:val="auto"/>
                <w:szCs w:val="21"/>
                <w:highlight w:val="none"/>
              </w:rPr>
            </w:pPr>
          </w:p>
        </w:tc>
        <w:tc>
          <w:tcPr>
            <w:tcW w:w="1706" w:type="dxa"/>
          </w:tcPr>
          <w:p w14:paraId="3076E349">
            <w:pPr>
              <w:adjustRightInd/>
              <w:snapToGrid/>
              <w:rPr>
                <w:rFonts w:hint="eastAsia" w:ascii="宋体" w:hAnsi="宋体"/>
                <w:color w:val="auto"/>
                <w:szCs w:val="21"/>
                <w:highlight w:val="none"/>
              </w:rPr>
            </w:pPr>
          </w:p>
        </w:tc>
        <w:tc>
          <w:tcPr>
            <w:tcW w:w="1705" w:type="dxa"/>
          </w:tcPr>
          <w:p w14:paraId="19703368">
            <w:pPr>
              <w:adjustRightInd/>
              <w:snapToGrid/>
              <w:rPr>
                <w:rFonts w:hint="eastAsia" w:ascii="宋体" w:hAnsi="宋体"/>
                <w:color w:val="auto"/>
                <w:szCs w:val="21"/>
                <w:highlight w:val="none"/>
              </w:rPr>
            </w:pPr>
          </w:p>
        </w:tc>
        <w:tc>
          <w:tcPr>
            <w:tcW w:w="1697" w:type="dxa"/>
          </w:tcPr>
          <w:p w14:paraId="144957E8">
            <w:pPr>
              <w:adjustRightInd/>
              <w:snapToGrid/>
              <w:rPr>
                <w:rFonts w:hint="eastAsia" w:ascii="宋体" w:hAnsi="宋体"/>
                <w:color w:val="auto"/>
                <w:szCs w:val="21"/>
                <w:highlight w:val="none"/>
              </w:rPr>
            </w:pPr>
          </w:p>
        </w:tc>
      </w:tr>
      <w:tr w14:paraId="31221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DF2CD57">
            <w:pPr>
              <w:adjustRightInd/>
              <w:snapToGrid/>
              <w:rPr>
                <w:rFonts w:hint="eastAsia" w:ascii="宋体" w:hAnsi="宋体"/>
                <w:color w:val="auto"/>
                <w:szCs w:val="21"/>
                <w:highlight w:val="none"/>
              </w:rPr>
            </w:pPr>
          </w:p>
        </w:tc>
        <w:tc>
          <w:tcPr>
            <w:tcW w:w="1705" w:type="dxa"/>
          </w:tcPr>
          <w:p w14:paraId="12C7021F">
            <w:pPr>
              <w:adjustRightInd/>
              <w:snapToGrid/>
              <w:rPr>
                <w:rFonts w:hint="eastAsia" w:ascii="宋体" w:hAnsi="宋体"/>
                <w:color w:val="auto"/>
                <w:szCs w:val="21"/>
                <w:highlight w:val="none"/>
              </w:rPr>
            </w:pPr>
          </w:p>
        </w:tc>
        <w:tc>
          <w:tcPr>
            <w:tcW w:w="1706" w:type="dxa"/>
          </w:tcPr>
          <w:p w14:paraId="2DD50790">
            <w:pPr>
              <w:adjustRightInd/>
              <w:snapToGrid/>
              <w:rPr>
                <w:rFonts w:hint="eastAsia" w:ascii="宋体" w:hAnsi="宋体"/>
                <w:color w:val="auto"/>
                <w:szCs w:val="21"/>
                <w:highlight w:val="none"/>
              </w:rPr>
            </w:pPr>
          </w:p>
        </w:tc>
        <w:tc>
          <w:tcPr>
            <w:tcW w:w="1705" w:type="dxa"/>
          </w:tcPr>
          <w:p w14:paraId="51263CFE">
            <w:pPr>
              <w:adjustRightInd/>
              <w:snapToGrid/>
              <w:rPr>
                <w:rFonts w:hint="eastAsia" w:ascii="宋体" w:hAnsi="宋体"/>
                <w:color w:val="auto"/>
                <w:szCs w:val="21"/>
                <w:highlight w:val="none"/>
              </w:rPr>
            </w:pPr>
          </w:p>
        </w:tc>
        <w:tc>
          <w:tcPr>
            <w:tcW w:w="1697" w:type="dxa"/>
          </w:tcPr>
          <w:p w14:paraId="6C62F1CA">
            <w:pPr>
              <w:adjustRightInd/>
              <w:snapToGrid/>
              <w:rPr>
                <w:rFonts w:hint="eastAsia" w:ascii="宋体" w:hAnsi="宋体"/>
                <w:color w:val="auto"/>
                <w:szCs w:val="21"/>
                <w:highlight w:val="none"/>
              </w:rPr>
            </w:pPr>
          </w:p>
        </w:tc>
      </w:tr>
    </w:tbl>
    <w:p w14:paraId="07EAC1CC">
      <w:pPr>
        <w:pStyle w:val="46"/>
        <w:rPr>
          <w:rFonts w:hint="eastAsia" w:ascii="宋体" w:hAnsi="宋体"/>
          <w:color w:val="auto"/>
          <w:szCs w:val="21"/>
          <w:highlight w:val="none"/>
        </w:rPr>
      </w:pPr>
    </w:p>
    <w:p w14:paraId="627F4A7E">
      <w:pPr>
        <w:pStyle w:val="46"/>
        <w:rPr>
          <w:rFonts w:hint="eastAsia" w:ascii="宋体" w:hAnsi="宋体"/>
          <w:color w:val="auto"/>
          <w:szCs w:val="21"/>
          <w:highlight w:val="none"/>
        </w:rPr>
      </w:pPr>
      <w:r>
        <w:rPr>
          <w:rFonts w:hint="eastAsia" w:ascii="宋体" w:hAnsi="宋体"/>
          <w:color w:val="auto"/>
          <w:szCs w:val="21"/>
          <w:highlight w:val="none"/>
        </w:rPr>
        <w:t>注：</w:t>
      </w:r>
    </w:p>
    <w:p w14:paraId="6E0D61DA">
      <w:pPr>
        <w:pStyle w:val="46"/>
        <w:numPr>
          <w:ilvl w:val="0"/>
          <w:numId w:val="10"/>
        </w:numPr>
        <w:rPr>
          <w:rFonts w:hint="eastAsia"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70CE4D42">
      <w:pPr>
        <w:pStyle w:val="46"/>
        <w:numPr>
          <w:ilvl w:val="0"/>
          <w:numId w:val="10"/>
        </w:numPr>
        <w:rPr>
          <w:rFonts w:hint="eastAsia"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703C4042">
      <w:pPr>
        <w:rPr>
          <w:rFonts w:hint="eastAsia" w:ascii="宋体" w:hAnsi="宋体"/>
          <w:color w:val="auto"/>
          <w:szCs w:val="21"/>
          <w:highlight w:val="none"/>
        </w:rPr>
      </w:pPr>
      <w:r>
        <w:rPr>
          <w:rFonts w:hint="eastAsia" w:ascii="宋体" w:hAnsi="宋体"/>
          <w:color w:val="auto"/>
          <w:szCs w:val="21"/>
          <w:highlight w:val="none"/>
        </w:rPr>
        <w:br w:type="page"/>
      </w:r>
    </w:p>
    <w:p w14:paraId="2E8D1914">
      <w:pPr>
        <w:pStyle w:val="6"/>
        <w:widowControl w:val="0"/>
        <w:overflowPunct w:val="0"/>
        <w:spacing w:line="240" w:lineRule="auto"/>
        <w:rPr>
          <w:color w:val="auto"/>
          <w:highlight w:val="none"/>
        </w:rPr>
      </w:pPr>
      <w:bookmarkStart w:id="166" w:name="_Toc21042"/>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w:t>
      </w:r>
      <w:r>
        <w:rPr>
          <w:rFonts w:hint="eastAsia"/>
          <w:color w:val="auto"/>
          <w:highlight w:val="none"/>
        </w:rPr>
        <w:t xml:space="preserve"> </w:t>
      </w:r>
      <w:r>
        <w:rPr>
          <w:rFonts w:hint="eastAsia" w:ascii="宋体" w:hAnsi="宋体"/>
          <w:color w:val="auto"/>
          <w:sz w:val="21"/>
          <w:szCs w:val="21"/>
          <w:highlight w:val="none"/>
        </w:rPr>
        <w:t>体系认证资料</w:t>
      </w:r>
      <w:bookmarkEnd w:id="166"/>
    </w:p>
    <w:p w14:paraId="1A930EF1">
      <w:pPr>
        <w:adjustRightInd/>
        <w:snapToGrid/>
        <w:spacing w:line="240" w:lineRule="auto"/>
        <w:rPr>
          <w:color w:val="auto"/>
          <w:szCs w:val="21"/>
          <w:highlight w:val="none"/>
        </w:rPr>
      </w:pPr>
    </w:p>
    <w:p w14:paraId="685C3D5E">
      <w:pPr>
        <w:pStyle w:val="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1、体系认证</w:t>
      </w:r>
    </w:p>
    <w:p w14:paraId="128FD6F6">
      <w:pPr>
        <w:pStyle w:val="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2、财务状况</w:t>
      </w:r>
    </w:p>
    <w:p w14:paraId="0E8C9759">
      <w:pPr>
        <w:pStyle w:val="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3、人员要求</w:t>
      </w:r>
    </w:p>
    <w:p w14:paraId="377C8D58">
      <w:pPr>
        <w:pStyle w:val="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4、企业信誉</w:t>
      </w:r>
    </w:p>
    <w:p w14:paraId="319DE0E6">
      <w:pPr>
        <w:pStyle w:val="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5、服务便利性</w:t>
      </w:r>
    </w:p>
    <w:p w14:paraId="102BCF9B">
      <w:pPr>
        <w:pStyle w:val="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p>
    <w:p w14:paraId="3A95C1A6">
      <w:pPr>
        <w:pStyle w:val="2"/>
        <w:ind w:left="120" w:leftChars="0" w:firstLine="2260" w:firstLineChars="942"/>
        <w:rPr>
          <w:rFonts w:hint="eastAsia" w:ascii="宋体" w:hAnsi="宋体"/>
          <w:color w:val="auto"/>
          <w:szCs w:val="21"/>
          <w:highlight w:val="none"/>
          <w:lang w:eastAsia="zh-CN"/>
        </w:rPr>
      </w:pPr>
      <w:r>
        <w:rPr>
          <w:rFonts w:hint="eastAsia" w:ascii="宋体" w:hAnsi="宋体"/>
          <w:color w:val="auto"/>
          <w:szCs w:val="21"/>
          <w:highlight w:val="none"/>
          <w:lang w:eastAsia="zh-CN"/>
        </w:rPr>
        <w:t>（由投标人自行编写）</w:t>
      </w:r>
    </w:p>
    <w:p w14:paraId="5DFC5CEA">
      <w:pPr>
        <w:adjustRightInd/>
        <w:snapToGrid/>
        <w:spacing w:line="240" w:lineRule="auto"/>
        <w:rPr>
          <w:color w:val="auto"/>
          <w:szCs w:val="21"/>
          <w:highlight w:val="none"/>
        </w:rPr>
      </w:pPr>
      <w:r>
        <w:rPr>
          <w:color w:val="auto"/>
          <w:szCs w:val="21"/>
          <w:highlight w:val="none"/>
        </w:rPr>
        <w:br w:type="page"/>
      </w:r>
    </w:p>
    <w:p w14:paraId="54FF5DAF">
      <w:pPr>
        <w:pStyle w:val="6"/>
        <w:widowControl w:val="0"/>
        <w:overflowPunct w:val="0"/>
        <w:spacing w:line="240" w:lineRule="auto"/>
        <w:rPr>
          <w:color w:val="auto"/>
          <w:highlight w:val="none"/>
        </w:rPr>
      </w:pPr>
      <w:bookmarkStart w:id="167" w:name="_Toc584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color w:val="auto"/>
          <w:highlight w:val="none"/>
        </w:rPr>
        <w:t xml:space="preserve"> </w:t>
      </w:r>
      <w:r>
        <w:rPr>
          <w:rFonts w:hint="eastAsia" w:ascii="宋体" w:hAnsi="宋体"/>
          <w:color w:val="auto"/>
          <w:sz w:val="21"/>
          <w:szCs w:val="21"/>
          <w:highlight w:val="none"/>
        </w:rPr>
        <w:t>财务资料</w:t>
      </w:r>
      <w:bookmarkEnd w:id="167"/>
    </w:p>
    <w:p w14:paraId="75C8A0EC">
      <w:pPr>
        <w:adjustRightInd/>
        <w:snapToGrid/>
        <w:spacing w:line="240" w:lineRule="auto"/>
        <w:rPr>
          <w:color w:val="auto"/>
          <w:szCs w:val="21"/>
          <w:highlight w:val="none"/>
        </w:rPr>
      </w:pPr>
    </w:p>
    <w:p w14:paraId="659F4829">
      <w:pPr>
        <w:adjustRightInd/>
        <w:snapToGrid/>
        <w:spacing w:line="240" w:lineRule="auto"/>
        <w:rPr>
          <w:color w:val="auto"/>
          <w:szCs w:val="21"/>
          <w:highlight w:val="none"/>
        </w:rPr>
      </w:pPr>
      <w:r>
        <w:rPr>
          <w:color w:val="auto"/>
          <w:szCs w:val="21"/>
          <w:highlight w:val="none"/>
        </w:rPr>
        <w:br w:type="page"/>
      </w:r>
    </w:p>
    <w:p w14:paraId="1CF24E14">
      <w:pPr>
        <w:pStyle w:val="6"/>
        <w:widowControl w:val="0"/>
        <w:overflowPunct w:val="0"/>
        <w:spacing w:line="240" w:lineRule="auto"/>
        <w:rPr>
          <w:rFonts w:hint="eastAsia" w:ascii="宋体" w:hAnsi="宋体"/>
          <w:color w:val="auto"/>
          <w:sz w:val="21"/>
          <w:szCs w:val="21"/>
          <w:highlight w:val="none"/>
        </w:rPr>
      </w:pPr>
      <w:bookmarkStart w:id="168" w:name="_Toc1030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 实施本项目的有关人员资料表格式（包括相关人员相关证书资料）</w:t>
      </w:r>
      <w:bookmarkEnd w:id="168"/>
    </w:p>
    <w:p w14:paraId="0FC1C0B5">
      <w:pPr>
        <w:jc w:val="center"/>
        <w:rPr>
          <w:rFonts w:hint="eastAsia" w:asciiTheme="majorEastAsia" w:hAnsiTheme="majorEastAsia" w:eastAsiaTheme="majorEastAsia"/>
          <w:color w:val="auto"/>
          <w:szCs w:val="21"/>
          <w:highlight w:val="none"/>
        </w:rPr>
      </w:pPr>
    </w:p>
    <w:p w14:paraId="6007B105">
      <w:pPr>
        <w:jc w:val="center"/>
        <w:rPr>
          <w:rFonts w:hint="eastAsia" w:asciiTheme="majorEastAsia" w:hAnsiTheme="majorEastAsia" w:eastAsiaTheme="majorEastAsia"/>
          <w:color w:val="auto"/>
          <w:sz w:val="32"/>
          <w:szCs w:val="32"/>
          <w:highlight w:val="none"/>
        </w:rPr>
      </w:pPr>
      <w:r>
        <w:rPr>
          <w:rFonts w:hint="eastAsia" w:asciiTheme="majorEastAsia" w:hAnsiTheme="majorEastAsia" w:eastAsiaTheme="majorEastAsia"/>
          <w:color w:val="auto"/>
          <w:sz w:val="32"/>
          <w:szCs w:val="32"/>
          <w:highlight w:val="none"/>
        </w:rPr>
        <w:t>实施本项目的有关人员资料表</w:t>
      </w:r>
    </w:p>
    <w:tbl>
      <w:tblPr>
        <w:tblStyle w:val="30"/>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50AA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BB09D56">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序号</w:t>
            </w:r>
          </w:p>
        </w:tc>
        <w:tc>
          <w:tcPr>
            <w:tcW w:w="702" w:type="dxa"/>
            <w:vAlign w:val="center"/>
          </w:tcPr>
          <w:p w14:paraId="4C4EF494">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姓名</w:t>
            </w:r>
          </w:p>
        </w:tc>
        <w:tc>
          <w:tcPr>
            <w:tcW w:w="1861" w:type="dxa"/>
            <w:vAlign w:val="center"/>
          </w:tcPr>
          <w:p w14:paraId="07AE1D7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本项目拟任岗位</w:t>
            </w:r>
          </w:p>
        </w:tc>
        <w:tc>
          <w:tcPr>
            <w:tcW w:w="702" w:type="dxa"/>
            <w:vAlign w:val="center"/>
          </w:tcPr>
          <w:p w14:paraId="26CF69C8">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性别</w:t>
            </w:r>
          </w:p>
        </w:tc>
        <w:tc>
          <w:tcPr>
            <w:tcW w:w="702" w:type="dxa"/>
            <w:vAlign w:val="center"/>
          </w:tcPr>
          <w:p w14:paraId="3C2564B3">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年龄</w:t>
            </w:r>
          </w:p>
        </w:tc>
        <w:tc>
          <w:tcPr>
            <w:tcW w:w="1164" w:type="dxa"/>
            <w:vAlign w:val="center"/>
          </w:tcPr>
          <w:p w14:paraId="12CDB0B6">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技术职称</w:t>
            </w:r>
          </w:p>
        </w:tc>
        <w:tc>
          <w:tcPr>
            <w:tcW w:w="818" w:type="dxa"/>
            <w:vAlign w:val="center"/>
          </w:tcPr>
          <w:p w14:paraId="4DD51BB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专 业</w:t>
            </w:r>
          </w:p>
        </w:tc>
        <w:tc>
          <w:tcPr>
            <w:tcW w:w="1165" w:type="dxa"/>
            <w:vAlign w:val="center"/>
          </w:tcPr>
          <w:p w14:paraId="0620DC10">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资质证书</w:t>
            </w:r>
          </w:p>
        </w:tc>
        <w:tc>
          <w:tcPr>
            <w:tcW w:w="703" w:type="dxa"/>
            <w:tcBorders>
              <w:right w:val="single" w:color="auto" w:sz="6" w:space="0"/>
            </w:tcBorders>
            <w:vAlign w:val="center"/>
          </w:tcPr>
          <w:p w14:paraId="65FFBEED">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备注</w:t>
            </w:r>
          </w:p>
        </w:tc>
      </w:tr>
      <w:tr w14:paraId="7861A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3EAA00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3394A91">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04B0AEE">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EF89E5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86B884A">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35428A45">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56483305">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0084470E">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8C7658D">
            <w:pPr>
              <w:spacing w:line="288" w:lineRule="auto"/>
              <w:jc w:val="center"/>
              <w:rPr>
                <w:rFonts w:hint="eastAsia" w:asciiTheme="majorEastAsia" w:hAnsiTheme="majorEastAsia" w:eastAsiaTheme="majorEastAsia"/>
                <w:color w:val="auto"/>
                <w:szCs w:val="21"/>
                <w:highlight w:val="none"/>
              </w:rPr>
            </w:pPr>
          </w:p>
        </w:tc>
      </w:tr>
      <w:tr w14:paraId="5750E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6FCF4F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7C05A57">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D23ADEC">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9610DA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04A6BD5">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95647ED">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00B7DCC6">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790E08BB">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2466590">
            <w:pPr>
              <w:spacing w:line="288" w:lineRule="auto"/>
              <w:jc w:val="center"/>
              <w:rPr>
                <w:rFonts w:hint="eastAsia" w:asciiTheme="majorEastAsia" w:hAnsiTheme="majorEastAsia" w:eastAsiaTheme="majorEastAsia"/>
                <w:color w:val="auto"/>
                <w:szCs w:val="21"/>
                <w:highlight w:val="none"/>
              </w:rPr>
            </w:pPr>
          </w:p>
        </w:tc>
      </w:tr>
      <w:tr w14:paraId="4651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0160F9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A6B5EF0">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1745F70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4E07610">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DEFE876">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1124FC9F">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75DBF47D">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6D39A436">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EF49140">
            <w:pPr>
              <w:spacing w:line="288" w:lineRule="auto"/>
              <w:jc w:val="center"/>
              <w:rPr>
                <w:rFonts w:hint="eastAsia" w:asciiTheme="majorEastAsia" w:hAnsiTheme="majorEastAsia" w:eastAsiaTheme="majorEastAsia"/>
                <w:color w:val="auto"/>
                <w:szCs w:val="21"/>
                <w:highlight w:val="none"/>
              </w:rPr>
            </w:pPr>
          </w:p>
        </w:tc>
      </w:tr>
      <w:tr w14:paraId="01808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5E3FAF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6F0E078">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096C25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44CC4B3">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69FB7A8">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6EF26D0B">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0D29B160">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FB2B20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DFCBE72">
            <w:pPr>
              <w:spacing w:line="288" w:lineRule="auto"/>
              <w:jc w:val="center"/>
              <w:rPr>
                <w:rFonts w:hint="eastAsia" w:asciiTheme="majorEastAsia" w:hAnsiTheme="majorEastAsia" w:eastAsiaTheme="majorEastAsia"/>
                <w:color w:val="auto"/>
                <w:szCs w:val="21"/>
                <w:highlight w:val="none"/>
              </w:rPr>
            </w:pPr>
          </w:p>
        </w:tc>
      </w:tr>
      <w:tr w14:paraId="456F7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E0A0E6A">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D0EDAF6">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A393B8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F2B534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B0FDF23">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5E933E4">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FA6E00A">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BC3DFA3">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8A4EFE8">
            <w:pPr>
              <w:spacing w:line="288" w:lineRule="auto"/>
              <w:jc w:val="center"/>
              <w:rPr>
                <w:rFonts w:hint="eastAsia" w:asciiTheme="majorEastAsia" w:hAnsiTheme="majorEastAsia" w:eastAsiaTheme="majorEastAsia"/>
                <w:color w:val="auto"/>
                <w:szCs w:val="21"/>
                <w:highlight w:val="none"/>
              </w:rPr>
            </w:pPr>
          </w:p>
        </w:tc>
      </w:tr>
      <w:tr w14:paraId="74504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F38F10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955BFC8">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33D88E7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6EBAD9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0A39C61">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20B26B5">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6214CE8F">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9BABD23">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2E3C753F">
            <w:pPr>
              <w:spacing w:line="288" w:lineRule="auto"/>
              <w:jc w:val="center"/>
              <w:rPr>
                <w:rFonts w:hint="eastAsia" w:asciiTheme="majorEastAsia" w:hAnsiTheme="majorEastAsia" w:eastAsiaTheme="majorEastAsia"/>
                <w:color w:val="auto"/>
                <w:szCs w:val="21"/>
                <w:highlight w:val="none"/>
              </w:rPr>
            </w:pPr>
          </w:p>
        </w:tc>
      </w:tr>
      <w:tr w14:paraId="4F270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EBBE42C">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F1EDE68">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1B004D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A45E430">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74E8F0F">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3008D35A">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935CAFE">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DE4D84F">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16B11798">
            <w:pPr>
              <w:spacing w:line="288" w:lineRule="auto"/>
              <w:jc w:val="center"/>
              <w:rPr>
                <w:rFonts w:hint="eastAsia" w:asciiTheme="majorEastAsia" w:hAnsiTheme="majorEastAsia" w:eastAsiaTheme="majorEastAsia"/>
                <w:color w:val="auto"/>
                <w:szCs w:val="21"/>
                <w:highlight w:val="none"/>
              </w:rPr>
            </w:pPr>
          </w:p>
        </w:tc>
      </w:tr>
      <w:tr w14:paraId="78DF9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B8B872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5C2F2BD">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0BAE68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74770E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7F62912">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04E7187">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8E21E00">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C5262E2">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59578BD">
            <w:pPr>
              <w:spacing w:line="288" w:lineRule="auto"/>
              <w:jc w:val="center"/>
              <w:rPr>
                <w:rFonts w:hint="eastAsia" w:asciiTheme="majorEastAsia" w:hAnsiTheme="majorEastAsia" w:eastAsiaTheme="majorEastAsia"/>
                <w:color w:val="auto"/>
                <w:szCs w:val="21"/>
                <w:highlight w:val="none"/>
              </w:rPr>
            </w:pPr>
          </w:p>
        </w:tc>
      </w:tr>
      <w:tr w14:paraId="3A64B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BF95DA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FAFF278">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70DAF6F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4E69A9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ED23D3B">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AE29787">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781DABB8">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2114EEF3">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1978BA55">
            <w:pPr>
              <w:spacing w:line="288" w:lineRule="auto"/>
              <w:jc w:val="center"/>
              <w:rPr>
                <w:rFonts w:hint="eastAsia" w:asciiTheme="majorEastAsia" w:hAnsiTheme="majorEastAsia" w:eastAsiaTheme="majorEastAsia"/>
                <w:color w:val="auto"/>
                <w:szCs w:val="21"/>
                <w:highlight w:val="none"/>
              </w:rPr>
            </w:pPr>
          </w:p>
        </w:tc>
      </w:tr>
      <w:tr w14:paraId="247B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A21867E">
            <w:pPr>
              <w:spacing w:line="288" w:lineRule="auto"/>
              <w:jc w:val="center"/>
              <w:rPr>
                <w:rFonts w:hint="eastAsia" w:ascii="宋体" w:hAnsi="宋体"/>
                <w:color w:val="auto"/>
                <w:szCs w:val="21"/>
                <w:highlight w:val="none"/>
              </w:rPr>
            </w:pPr>
          </w:p>
        </w:tc>
        <w:tc>
          <w:tcPr>
            <w:tcW w:w="702" w:type="dxa"/>
            <w:vAlign w:val="center"/>
          </w:tcPr>
          <w:p w14:paraId="3064207D">
            <w:pPr>
              <w:spacing w:line="288" w:lineRule="auto"/>
              <w:jc w:val="center"/>
              <w:rPr>
                <w:rFonts w:hint="eastAsia" w:ascii="宋体" w:hAnsi="宋体"/>
                <w:color w:val="auto"/>
                <w:szCs w:val="21"/>
                <w:highlight w:val="none"/>
              </w:rPr>
            </w:pPr>
          </w:p>
        </w:tc>
        <w:tc>
          <w:tcPr>
            <w:tcW w:w="1861" w:type="dxa"/>
            <w:vAlign w:val="center"/>
          </w:tcPr>
          <w:p w14:paraId="13EE2F86">
            <w:pPr>
              <w:spacing w:line="288" w:lineRule="auto"/>
              <w:jc w:val="center"/>
              <w:rPr>
                <w:rFonts w:hint="eastAsia" w:ascii="宋体" w:hAnsi="宋体"/>
                <w:color w:val="auto"/>
                <w:szCs w:val="21"/>
                <w:highlight w:val="none"/>
              </w:rPr>
            </w:pPr>
          </w:p>
        </w:tc>
        <w:tc>
          <w:tcPr>
            <w:tcW w:w="702" w:type="dxa"/>
            <w:vAlign w:val="center"/>
          </w:tcPr>
          <w:p w14:paraId="6B70DC09">
            <w:pPr>
              <w:spacing w:line="288" w:lineRule="auto"/>
              <w:jc w:val="center"/>
              <w:rPr>
                <w:rFonts w:hint="eastAsia" w:ascii="宋体" w:hAnsi="宋体"/>
                <w:color w:val="auto"/>
                <w:szCs w:val="21"/>
                <w:highlight w:val="none"/>
              </w:rPr>
            </w:pPr>
          </w:p>
        </w:tc>
        <w:tc>
          <w:tcPr>
            <w:tcW w:w="702" w:type="dxa"/>
            <w:vAlign w:val="center"/>
          </w:tcPr>
          <w:p w14:paraId="4F9B635E">
            <w:pPr>
              <w:spacing w:line="288" w:lineRule="auto"/>
              <w:jc w:val="center"/>
              <w:rPr>
                <w:rFonts w:hint="eastAsia" w:ascii="宋体" w:hAnsi="宋体"/>
                <w:color w:val="auto"/>
                <w:szCs w:val="21"/>
                <w:highlight w:val="none"/>
              </w:rPr>
            </w:pPr>
          </w:p>
        </w:tc>
        <w:tc>
          <w:tcPr>
            <w:tcW w:w="1164" w:type="dxa"/>
            <w:vAlign w:val="center"/>
          </w:tcPr>
          <w:p w14:paraId="105243FD">
            <w:pPr>
              <w:spacing w:line="288" w:lineRule="auto"/>
              <w:jc w:val="center"/>
              <w:rPr>
                <w:rFonts w:hint="eastAsia" w:ascii="宋体" w:hAnsi="宋体"/>
                <w:color w:val="auto"/>
                <w:szCs w:val="21"/>
                <w:highlight w:val="none"/>
              </w:rPr>
            </w:pPr>
          </w:p>
        </w:tc>
        <w:tc>
          <w:tcPr>
            <w:tcW w:w="818" w:type="dxa"/>
            <w:vAlign w:val="center"/>
          </w:tcPr>
          <w:p w14:paraId="3E02CF0E">
            <w:pPr>
              <w:spacing w:line="288" w:lineRule="auto"/>
              <w:jc w:val="center"/>
              <w:rPr>
                <w:rFonts w:hint="eastAsia" w:ascii="宋体" w:hAnsi="宋体"/>
                <w:color w:val="auto"/>
                <w:szCs w:val="21"/>
                <w:highlight w:val="none"/>
              </w:rPr>
            </w:pPr>
          </w:p>
        </w:tc>
        <w:tc>
          <w:tcPr>
            <w:tcW w:w="1165" w:type="dxa"/>
            <w:vAlign w:val="center"/>
          </w:tcPr>
          <w:p w14:paraId="0DCC5EF0">
            <w:pPr>
              <w:spacing w:line="288" w:lineRule="auto"/>
              <w:jc w:val="center"/>
              <w:rPr>
                <w:rFonts w:hint="eastAsia" w:ascii="宋体" w:hAnsi="宋体"/>
                <w:color w:val="auto"/>
                <w:szCs w:val="21"/>
                <w:highlight w:val="none"/>
              </w:rPr>
            </w:pPr>
          </w:p>
        </w:tc>
        <w:tc>
          <w:tcPr>
            <w:tcW w:w="703" w:type="dxa"/>
            <w:tcBorders>
              <w:right w:val="single" w:color="auto" w:sz="6" w:space="0"/>
            </w:tcBorders>
            <w:vAlign w:val="center"/>
          </w:tcPr>
          <w:p w14:paraId="25196B29">
            <w:pPr>
              <w:spacing w:line="288" w:lineRule="auto"/>
              <w:jc w:val="center"/>
              <w:rPr>
                <w:rFonts w:hint="eastAsia" w:ascii="宋体" w:hAnsi="宋体"/>
                <w:color w:val="auto"/>
                <w:szCs w:val="21"/>
                <w:highlight w:val="none"/>
              </w:rPr>
            </w:pPr>
          </w:p>
        </w:tc>
      </w:tr>
    </w:tbl>
    <w:p w14:paraId="049EC23E">
      <w:pPr>
        <w:ind w:firstLine="178" w:firstLineChars="85"/>
        <w:rPr>
          <w:rFonts w:hint="eastAsia" w:ascii="宋体" w:hAnsi="宋体"/>
          <w:color w:val="auto"/>
          <w:szCs w:val="21"/>
          <w:highlight w:val="none"/>
        </w:rPr>
      </w:pPr>
    </w:p>
    <w:p w14:paraId="5C699936">
      <w:pPr>
        <w:ind w:firstLine="178" w:firstLineChars="85"/>
        <w:rPr>
          <w:rFonts w:hint="eastAsia" w:ascii="宋体" w:hAnsi="宋体"/>
          <w:color w:val="auto"/>
          <w:szCs w:val="21"/>
          <w:highlight w:val="none"/>
        </w:rPr>
      </w:pPr>
      <w:r>
        <w:rPr>
          <w:rFonts w:hint="eastAsia" w:ascii="宋体" w:hAnsi="宋体"/>
          <w:color w:val="auto"/>
          <w:szCs w:val="21"/>
          <w:highlight w:val="none"/>
        </w:rPr>
        <w:t>附有关证明文件（复印件加盖公章）</w:t>
      </w:r>
    </w:p>
    <w:p w14:paraId="524F628E">
      <w:pPr>
        <w:ind w:firstLine="178" w:firstLineChars="85"/>
        <w:rPr>
          <w:rFonts w:hint="eastAsia" w:ascii="宋体" w:hAnsi="宋体"/>
          <w:color w:val="auto"/>
          <w:szCs w:val="21"/>
          <w:highlight w:val="none"/>
        </w:rPr>
      </w:pPr>
      <w:r>
        <w:rPr>
          <w:rFonts w:hint="eastAsia" w:ascii="宋体" w:hAnsi="宋体"/>
          <w:color w:val="auto"/>
          <w:szCs w:val="21"/>
          <w:highlight w:val="none"/>
        </w:rPr>
        <w:t>投标人代表签字：</w:t>
      </w:r>
    </w:p>
    <w:p w14:paraId="2D05609E">
      <w:pPr>
        <w:ind w:firstLine="178" w:firstLineChars="85"/>
        <w:rPr>
          <w:rFonts w:hint="eastAsia" w:ascii="宋体" w:hAnsi="宋体"/>
          <w:color w:val="auto"/>
          <w:szCs w:val="21"/>
          <w:highlight w:val="none"/>
        </w:rPr>
      </w:pPr>
      <w:r>
        <w:rPr>
          <w:rFonts w:hint="eastAsia" w:ascii="宋体" w:hAnsi="宋体"/>
          <w:color w:val="auto"/>
          <w:szCs w:val="21"/>
          <w:highlight w:val="none"/>
        </w:rPr>
        <w:t>投标人盖章：</w:t>
      </w:r>
    </w:p>
    <w:p w14:paraId="1EAD19D2">
      <w:pPr>
        <w:rPr>
          <w:rFonts w:hint="eastAsia" w:ascii="宋体" w:hAnsi="宋体"/>
          <w:color w:val="auto"/>
          <w:szCs w:val="21"/>
          <w:highlight w:val="none"/>
        </w:rPr>
      </w:pPr>
      <w:r>
        <w:rPr>
          <w:rFonts w:hint="eastAsia" w:ascii="宋体" w:hAnsi="宋体"/>
          <w:color w:val="auto"/>
          <w:szCs w:val="21"/>
          <w:highlight w:val="none"/>
        </w:rPr>
        <w:t>注：</w:t>
      </w:r>
    </w:p>
    <w:p w14:paraId="157D9BE5">
      <w:pPr>
        <w:pStyle w:val="46"/>
        <w:numPr>
          <w:ilvl w:val="0"/>
          <w:numId w:val="11"/>
        </w:numPr>
        <w:ind w:firstLineChars="0"/>
        <w:rPr>
          <w:rFonts w:hint="eastAsia" w:ascii="宋体" w:hAnsi="宋体"/>
          <w:color w:val="auto"/>
          <w:szCs w:val="21"/>
          <w:highlight w:val="none"/>
        </w:rPr>
      </w:pPr>
      <w:r>
        <w:rPr>
          <w:rFonts w:hint="eastAsia" w:ascii="宋体" w:hAnsi="宋体"/>
          <w:color w:val="auto"/>
          <w:szCs w:val="21"/>
          <w:highlight w:val="none"/>
        </w:rPr>
        <w:t>投标人可按项目的实际需要提供本表格。</w:t>
      </w:r>
    </w:p>
    <w:p w14:paraId="3372C6D8">
      <w:pPr>
        <w:pStyle w:val="46"/>
        <w:numPr>
          <w:ilvl w:val="0"/>
          <w:numId w:val="11"/>
        </w:numPr>
        <w:ind w:firstLineChars="0"/>
        <w:rPr>
          <w:rFonts w:hint="eastAsia"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34E8E981">
      <w:pPr>
        <w:rPr>
          <w:rFonts w:hint="eastAsia"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606AC14F">
      <w:pPr>
        <w:pStyle w:val="46"/>
        <w:numPr>
          <w:ilvl w:val="0"/>
          <w:numId w:val="11"/>
        </w:numPr>
        <w:ind w:firstLineChars="0"/>
        <w:rPr>
          <w:rFonts w:hint="eastAsia" w:ascii="宋体" w:hAnsi="宋体" w:cs="Times New Roman"/>
          <w:color w:val="auto"/>
          <w:szCs w:val="21"/>
          <w:highlight w:val="none"/>
        </w:rPr>
      </w:pPr>
      <w:r>
        <w:rPr>
          <w:rFonts w:hint="eastAsia" w:ascii="宋体" w:hAnsi="宋体"/>
          <w:color w:val="auto"/>
          <w:szCs w:val="21"/>
          <w:highlight w:val="none"/>
        </w:rPr>
        <w:br w:type="page"/>
      </w:r>
    </w:p>
    <w:p w14:paraId="24223882">
      <w:pPr>
        <w:pStyle w:val="6"/>
        <w:widowControl w:val="0"/>
        <w:overflowPunct w:val="0"/>
        <w:spacing w:line="240" w:lineRule="auto"/>
        <w:rPr>
          <w:rFonts w:hint="eastAsia" w:ascii="宋体" w:hAnsi="宋体"/>
          <w:color w:val="auto"/>
          <w:sz w:val="21"/>
          <w:szCs w:val="21"/>
          <w:highlight w:val="none"/>
        </w:rPr>
      </w:pPr>
      <w:bookmarkStart w:id="169" w:name="_Toc10349"/>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 有关人员近期的社保缴纳情况</w:t>
      </w:r>
      <w:bookmarkEnd w:id="169"/>
    </w:p>
    <w:p w14:paraId="203067DF">
      <w:pPr>
        <w:adjustRightInd/>
        <w:snapToGrid/>
        <w:spacing w:line="240" w:lineRule="auto"/>
        <w:rPr>
          <w:rFonts w:hint="eastAsia" w:ascii="宋体" w:hAnsi="宋体"/>
          <w:color w:val="auto"/>
          <w:szCs w:val="21"/>
          <w:highlight w:val="none"/>
        </w:rPr>
      </w:pPr>
    </w:p>
    <w:p w14:paraId="5BBCB10B">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5B4DAC15">
      <w:pPr>
        <w:pStyle w:val="4"/>
        <w:spacing w:before="0" w:after="0" w:line="360" w:lineRule="auto"/>
        <w:jc w:val="center"/>
        <w:rPr>
          <w:color w:val="auto"/>
          <w:sz w:val="72"/>
          <w:szCs w:val="72"/>
          <w:highlight w:val="none"/>
        </w:rPr>
      </w:pPr>
      <w:bookmarkStart w:id="170" w:name="_Toc21296"/>
      <w:r>
        <w:rPr>
          <w:rFonts w:hint="eastAsia"/>
          <w:color w:val="auto"/>
          <w:sz w:val="72"/>
          <w:szCs w:val="72"/>
          <w:highlight w:val="none"/>
        </w:rPr>
        <w:t>技术文件</w:t>
      </w:r>
      <w:bookmarkEnd w:id="170"/>
    </w:p>
    <w:p w14:paraId="1C718E73">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2AFD2E8E">
      <w:pPr>
        <w:rPr>
          <w:color w:val="auto"/>
          <w:highlight w:val="none"/>
        </w:rPr>
      </w:pPr>
    </w:p>
    <w:p w14:paraId="58C591EC">
      <w:pPr>
        <w:pStyle w:val="2"/>
        <w:rPr>
          <w:rFonts w:hint="eastAsia"/>
          <w:color w:val="auto"/>
          <w:highlight w:val="none"/>
        </w:rPr>
      </w:pPr>
    </w:p>
    <w:p w14:paraId="3D026503">
      <w:pPr>
        <w:ind w:firstLine="240"/>
        <w:rPr>
          <w:color w:val="auto"/>
          <w:highlight w:val="none"/>
        </w:rPr>
      </w:pPr>
    </w:p>
    <w:p w14:paraId="43E0D307">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8"/>
        </w:rPr>
        <w:t>项目名</w:t>
      </w:r>
      <w:r>
        <w:rPr>
          <w:rFonts w:hint="eastAsia" w:ascii="宋体" w:hAnsi="宋体" w:cs="宋体"/>
          <w:b/>
          <w:bCs/>
          <w:color w:val="auto"/>
          <w:spacing w:val="1"/>
          <w:w w:val="100"/>
          <w:kern w:val="0"/>
          <w:sz w:val="32"/>
          <w:szCs w:val="32"/>
          <w:highlight w:val="none"/>
          <w:fitText w:val="1600" w:id="8"/>
        </w:rPr>
        <w:t>称</w:t>
      </w:r>
      <w:r>
        <w:rPr>
          <w:rFonts w:hint="eastAsia" w:ascii="宋体" w:hAnsi="宋体" w:cs="宋体"/>
          <w:b/>
          <w:bCs/>
          <w:color w:val="auto"/>
          <w:spacing w:val="-6"/>
          <w:sz w:val="32"/>
          <w:szCs w:val="32"/>
          <w:highlight w:val="none"/>
        </w:rPr>
        <w:t>：</w:t>
      </w:r>
    </w:p>
    <w:p w14:paraId="72CD5959">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9"/>
        </w:rPr>
        <w:t>项目编</w:t>
      </w:r>
      <w:r>
        <w:rPr>
          <w:rFonts w:hint="eastAsia" w:ascii="宋体" w:hAnsi="宋体" w:cs="宋体"/>
          <w:b/>
          <w:bCs/>
          <w:color w:val="auto"/>
          <w:spacing w:val="1"/>
          <w:w w:val="100"/>
          <w:kern w:val="0"/>
          <w:sz w:val="32"/>
          <w:szCs w:val="32"/>
          <w:highlight w:val="none"/>
          <w:fitText w:val="1600" w:id="9"/>
        </w:rPr>
        <w:t>号</w:t>
      </w:r>
      <w:r>
        <w:rPr>
          <w:rFonts w:hint="eastAsia" w:ascii="宋体" w:hAnsi="宋体" w:cs="宋体"/>
          <w:b/>
          <w:bCs/>
          <w:color w:val="auto"/>
          <w:sz w:val="32"/>
          <w:szCs w:val="32"/>
          <w:highlight w:val="none"/>
        </w:rPr>
        <w:t>：</w:t>
      </w:r>
    </w:p>
    <w:p w14:paraId="62A8EED5">
      <w:pPr>
        <w:pStyle w:val="2"/>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39B2CB2B">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10"/>
        </w:rPr>
        <w:t>投标人名称</w:t>
      </w:r>
      <w:r>
        <w:rPr>
          <w:rFonts w:hint="eastAsia" w:ascii="宋体" w:hAnsi="宋体" w:cs="宋体"/>
          <w:b/>
          <w:color w:val="auto"/>
          <w:sz w:val="32"/>
          <w:szCs w:val="32"/>
          <w:highlight w:val="none"/>
        </w:rPr>
        <w:t>：</w:t>
      </w:r>
    </w:p>
    <w:p w14:paraId="2E8A66EF">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11"/>
        </w:rPr>
        <w:t xml:space="preserve">日    </w:t>
      </w:r>
      <w:r>
        <w:rPr>
          <w:rFonts w:hint="eastAsia" w:ascii="宋体" w:hAnsi="宋体" w:cs="宋体"/>
          <w:b/>
          <w:color w:val="auto"/>
          <w:spacing w:val="0"/>
          <w:w w:val="100"/>
          <w:kern w:val="0"/>
          <w:sz w:val="32"/>
          <w:szCs w:val="32"/>
          <w:highlight w:val="none"/>
          <w:fitText w:val="1600" w:id="11"/>
        </w:rPr>
        <w:t>期</w:t>
      </w:r>
      <w:r>
        <w:rPr>
          <w:rFonts w:hint="eastAsia" w:ascii="宋体" w:hAnsi="宋体" w:cs="宋体"/>
          <w:b/>
          <w:color w:val="auto"/>
          <w:sz w:val="32"/>
          <w:szCs w:val="32"/>
          <w:highlight w:val="none"/>
        </w:rPr>
        <w:t>：  年  月  日</w:t>
      </w:r>
    </w:p>
    <w:p w14:paraId="6601D8A8">
      <w:pPr>
        <w:rPr>
          <w:rFonts w:hint="eastAsia" w:ascii="宋体" w:hAnsi="宋体"/>
          <w:color w:val="auto"/>
          <w:szCs w:val="21"/>
          <w:highlight w:val="none"/>
        </w:rPr>
      </w:pPr>
      <w:r>
        <w:rPr>
          <w:rFonts w:hint="eastAsia" w:ascii="宋体" w:hAnsi="宋体"/>
          <w:color w:val="auto"/>
          <w:szCs w:val="21"/>
          <w:highlight w:val="none"/>
        </w:rPr>
        <w:br w:type="page"/>
      </w:r>
    </w:p>
    <w:p w14:paraId="54187189">
      <w:pPr>
        <w:pStyle w:val="6"/>
        <w:widowControl w:val="0"/>
        <w:overflowPunct w:val="0"/>
        <w:spacing w:line="240" w:lineRule="auto"/>
        <w:rPr>
          <w:rFonts w:hint="eastAsia" w:ascii="宋体" w:hAnsi="宋体"/>
          <w:color w:val="auto"/>
          <w:sz w:val="21"/>
          <w:szCs w:val="21"/>
          <w:highlight w:val="none"/>
        </w:rPr>
      </w:pPr>
      <w:bookmarkStart w:id="171" w:name="_Toc14101"/>
      <w:r>
        <w:rPr>
          <w:rFonts w:hint="eastAsia" w:ascii="宋体" w:hAnsi="宋体"/>
          <w:color w:val="auto"/>
          <w:sz w:val="21"/>
          <w:szCs w:val="21"/>
          <w:highlight w:val="none"/>
        </w:rPr>
        <w:t>附件1.</w:t>
      </w:r>
      <w:r>
        <w:rPr>
          <w:rFonts w:hint="eastAsia"/>
          <w:color w:val="auto"/>
          <w:highlight w:val="none"/>
        </w:rPr>
        <w:t xml:space="preserve"> </w:t>
      </w:r>
      <w:r>
        <w:rPr>
          <w:rFonts w:hint="eastAsia" w:ascii="宋体" w:hAnsi="宋体"/>
          <w:color w:val="auto"/>
          <w:sz w:val="21"/>
          <w:szCs w:val="21"/>
          <w:highlight w:val="none"/>
        </w:rPr>
        <w:t>技术评分标准索引表</w:t>
      </w:r>
      <w:bookmarkEnd w:id="171"/>
    </w:p>
    <w:p w14:paraId="20FA3C1B">
      <w:pPr>
        <w:adjustRightInd/>
        <w:snapToGrid/>
        <w:spacing w:line="276" w:lineRule="auto"/>
        <w:rPr>
          <w:rFonts w:hint="eastAsia" w:ascii="宋体" w:hAnsi="宋体" w:cs="宋体"/>
          <w:color w:val="auto"/>
          <w:szCs w:val="21"/>
          <w:highlight w:val="none"/>
        </w:rPr>
      </w:pPr>
    </w:p>
    <w:p w14:paraId="26B0526A">
      <w:pPr>
        <w:jc w:val="center"/>
        <w:rPr>
          <w:rFonts w:hint="eastAsia" w:ascii="宋体" w:hAnsi="宋体" w:cs="宋体"/>
          <w:color w:val="auto"/>
          <w:sz w:val="32"/>
          <w:szCs w:val="32"/>
          <w:highlight w:val="none"/>
        </w:rPr>
      </w:pPr>
      <w:r>
        <w:rPr>
          <w:rFonts w:hint="eastAsia" w:ascii="宋体" w:hAnsi="宋体" w:cs="宋体"/>
          <w:color w:val="auto"/>
          <w:sz w:val="32"/>
          <w:szCs w:val="32"/>
          <w:highlight w:val="none"/>
        </w:rPr>
        <w:t>评分标准索引表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3791A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trPr>
        <w:tc>
          <w:tcPr>
            <w:tcW w:w="1704" w:type="dxa"/>
            <w:vAlign w:val="center"/>
          </w:tcPr>
          <w:p w14:paraId="4AF9EE20">
            <w:pPr>
              <w:jc w:val="center"/>
              <w:rPr>
                <w:rFonts w:hint="eastAsia" w:ascii="宋体" w:hAnsi="宋体" w:cs="宋体"/>
                <w:color w:val="auto"/>
                <w:highlight w:val="none"/>
              </w:rPr>
            </w:pPr>
            <w:r>
              <w:rPr>
                <w:rFonts w:hint="eastAsia" w:ascii="宋体" w:hAnsi="宋体" w:cs="宋体"/>
                <w:color w:val="auto"/>
                <w:highlight w:val="none"/>
              </w:rPr>
              <w:t>序号</w:t>
            </w:r>
          </w:p>
        </w:tc>
        <w:tc>
          <w:tcPr>
            <w:tcW w:w="1704" w:type="dxa"/>
            <w:vAlign w:val="center"/>
          </w:tcPr>
          <w:p w14:paraId="372615B9">
            <w:pPr>
              <w:jc w:val="center"/>
              <w:rPr>
                <w:rFonts w:hint="eastAsia"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37CBEF14">
            <w:pPr>
              <w:jc w:val="center"/>
              <w:rPr>
                <w:rFonts w:hint="eastAsia"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611FE15">
            <w:pPr>
              <w:jc w:val="center"/>
              <w:rPr>
                <w:rFonts w:hint="eastAsia" w:ascii="宋体" w:hAnsi="宋体" w:cs="宋体"/>
                <w:color w:val="auto"/>
                <w:highlight w:val="none"/>
              </w:rPr>
            </w:pPr>
            <w:r>
              <w:rPr>
                <w:rFonts w:hint="eastAsia" w:ascii="宋体" w:hAnsi="宋体" w:cs="宋体"/>
                <w:color w:val="auto"/>
                <w:highlight w:val="none"/>
              </w:rPr>
              <w:t>分值</w:t>
            </w:r>
          </w:p>
        </w:tc>
        <w:tc>
          <w:tcPr>
            <w:tcW w:w="1705" w:type="dxa"/>
            <w:vAlign w:val="center"/>
          </w:tcPr>
          <w:p w14:paraId="25F8C93D">
            <w:pPr>
              <w:jc w:val="center"/>
              <w:rPr>
                <w:rFonts w:hint="eastAsia" w:ascii="宋体" w:hAnsi="宋体" w:cs="宋体"/>
                <w:color w:val="auto"/>
                <w:highlight w:val="none"/>
              </w:rPr>
            </w:pPr>
            <w:r>
              <w:rPr>
                <w:rFonts w:hint="eastAsia" w:ascii="宋体" w:hAnsi="宋体" w:cs="宋体"/>
                <w:color w:val="auto"/>
                <w:highlight w:val="none"/>
              </w:rPr>
              <w:t>页码范围</w:t>
            </w:r>
          </w:p>
        </w:tc>
      </w:tr>
      <w:tr w14:paraId="437E1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070E334B">
            <w:pPr>
              <w:jc w:val="center"/>
              <w:rPr>
                <w:rFonts w:hint="eastAsia" w:ascii="宋体" w:hAnsi="宋体" w:cs="宋体"/>
                <w:color w:val="auto"/>
                <w:highlight w:val="none"/>
              </w:rPr>
            </w:pPr>
            <w:r>
              <w:rPr>
                <w:rFonts w:hint="eastAsia" w:ascii="宋体" w:hAnsi="宋体" w:cs="宋体"/>
                <w:color w:val="auto"/>
                <w:highlight w:val="none"/>
              </w:rPr>
              <w:t>技术评审</w:t>
            </w:r>
          </w:p>
        </w:tc>
      </w:tr>
      <w:tr w14:paraId="2D0FF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0F8E20B">
            <w:pPr>
              <w:jc w:val="center"/>
              <w:rPr>
                <w:rFonts w:hint="eastAsia" w:ascii="宋体" w:hAnsi="宋体" w:cs="宋体"/>
                <w:color w:val="auto"/>
                <w:highlight w:val="none"/>
              </w:rPr>
            </w:pPr>
          </w:p>
        </w:tc>
        <w:tc>
          <w:tcPr>
            <w:tcW w:w="1704" w:type="dxa"/>
            <w:vAlign w:val="center"/>
          </w:tcPr>
          <w:p w14:paraId="586E9F69">
            <w:pPr>
              <w:jc w:val="center"/>
              <w:rPr>
                <w:rFonts w:hint="eastAsia" w:ascii="宋体" w:hAnsi="宋体" w:cs="宋体"/>
                <w:color w:val="auto"/>
                <w:highlight w:val="none"/>
              </w:rPr>
            </w:pPr>
          </w:p>
        </w:tc>
        <w:tc>
          <w:tcPr>
            <w:tcW w:w="1704" w:type="dxa"/>
            <w:vAlign w:val="center"/>
          </w:tcPr>
          <w:p w14:paraId="7CAFF2E5">
            <w:pPr>
              <w:jc w:val="center"/>
              <w:rPr>
                <w:rFonts w:hint="eastAsia" w:ascii="宋体" w:hAnsi="宋体" w:cs="宋体"/>
                <w:color w:val="auto"/>
                <w:highlight w:val="none"/>
              </w:rPr>
            </w:pPr>
          </w:p>
        </w:tc>
        <w:tc>
          <w:tcPr>
            <w:tcW w:w="1705" w:type="dxa"/>
            <w:vAlign w:val="center"/>
          </w:tcPr>
          <w:p w14:paraId="3AEB1BE2">
            <w:pPr>
              <w:jc w:val="center"/>
              <w:rPr>
                <w:rFonts w:hint="eastAsia" w:ascii="宋体" w:hAnsi="宋体" w:cs="宋体"/>
                <w:color w:val="auto"/>
                <w:highlight w:val="none"/>
              </w:rPr>
            </w:pPr>
          </w:p>
        </w:tc>
        <w:tc>
          <w:tcPr>
            <w:tcW w:w="1705" w:type="dxa"/>
            <w:vAlign w:val="center"/>
          </w:tcPr>
          <w:p w14:paraId="2CBD8D4E">
            <w:pPr>
              <w:jc w:val="center"/>
              <w:rPr>
                <w:rFonts w:hint="eastAsia" w:ascii="宋体" w:hAnsi="宋体" w:cs="宋体"/>
                <w:color w:val="auto"/>
                <w:highlight w:val="none"/>
              </w:rPr>
            </w:pPr>
          </w:p>
        </w:tc>
      </w:tr>
      <w:tr w14:paraId="5088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82E6FB3">
            <w:pPr>
              <w:jc w:val="center"/>
              <w:rPr>
                <w:rFonts w:hint="eastAsia" w:ascii="宋体" w:hAnsi="宋体" w:cs="宋体"/>
                <w:color w:val="auto"/>
                <w:highlight w:val="none"/>
              </w:rPr>
            </w:pPr>
          </w:p>
        </w:tc>
        <w:tc>
          <w:tcPr>
            <w:tcW w:w="1704" w:type="dxa"/>
            <w:vAlign w:val="center"/>
          </w:tcPr>
          <w:p w14:paraId="11CA0971">
            <w:pPr>
              <w:jc w:val="center"/>
              <w:rPr>
                <w:rFonts w:hint="eastAsia" w:ascii="宋体" w:hAnsi="宋体" w:cs="宋体"/>
                <w:color w:val="auto"/>
                <w:highlight w:val="none"/>
              </w:rPr>
            </w:pPr>
          </w:p>
        </w:tc>
        <w:tc>
          <w:tcPr>
            <w:tcW w:w="1704" w:type="dxa"/>
            <w:vAlign w:val="center"/>
          </w:tcPr>
          <w:p w14:paraId="38BFF91C">
            <w:pPr>
              <w:jc w:val="center"/>
              <w:rPr>
                <w:rFonts w:hint="eastAsia" w:ascii="宋体" w:hAnsi="宋体" w:cs="宋体"/>
                <w:color w:val="auto"/>
                <w:highlight w:val="none"/>
              </w:rPr>
            </w:pPr>
          </w:p>
        </w:tc>
        <w:tc>
          <w:tcPr>
            <w:tcW w:w="1705" w:type="dxa"/>
            <w:vAlign w:val="center"/>
          </w:tcPr>
          <w:p w14:paraId="4A47E77C">
            <w:pPr>
              <w:jc w:val="center"/>
              <w:rPr>
                <w:rFonts w:hint="eastAsia" w:ascii="宋体" w:hAnsi="宋体" w:cs="宋体"/>
                <w:color w:val="auto"/>
                <w:highlight w:val="none"/>
              </w:rPr>
            </w:pPr>
          </w:p>
        </w:tc>
        <w:tc>
          <w:tcPr>
            <w:tcW w:w="1705" w:type="dxa"/>
            <w:vAlign w:val="center"/>
          </w:tcPr>
          <w:p w14:paraId="05D09CD0">
            <w:pPr>
              <w:jc w:val="center"/>
              <w:rPr>
                <w:rFonts w:hint="eastAsia" w:ascii="宋体" w:hAnsi="宋体" w:cs="宋体"/>
                <w:color w:val="auto"/>
                <w:highlight w:val="none"/>
              </w:rPr>
            </w:pPr>
          </w:p>
        </w:tc>
      </w:tr>
      <w:tr w14:paraId="7859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82F0892">
            <w:pPr>
              <w:jc w:val="center"/>
              <w:rPr>
                <w:rFonts w:hint="eastAsia" w:ascii="宋体" w:hAnsi="宋体" w:cs="宋体"/>
                <w:color w:val="auto"/>
                <w:highlight w:val="none"/>
              </w:rPr>
            </w:pPr>
          </w:p>
        </w:tc>
        <w:tc>
          <w:tcPr>
            <w:tcW w:w="1704" w:type="dxa"/>
            <w:vAlign w:val="center"/>
          </w:tcPr>
          <w:p w14:paraId="52560DEA">
            <w:pPr>
              <w:jc w:val="center"/>
              <w:rPr>
                <w:rFonts w:hint="eastAsia" w:ascii="宋体" w:hAnsi="宋体" w:cs="宋体"/>
                <w:color w:val="auto"/>
                <w:highlight w:val="none"/>
              </w:rPr>
            </w:pPr>
          </w:p>
        </w:tc>
        <w:tc>
          <w:tcPr>
            <w:tcW w:w="1704" w:type="dxa"/>
            <w:vAlign w:val="center"/>
          </w:tcPr>
          <w:p w14:paraId="68B6C1C7">
            <w:pPr>
              <w:jc w:val="center"/>
              <w:rPr>
                <w:rFonts w:hint="eastAsia" w:ascii="宋体" w:hAnsi="宋体" w:cs="宋体"/>
                <w:color w:val="auto"/>
                <w:highlight w:val="none"/>
              </w:rPr>
            </w:pPr>
          </w:p>
        </w:tc>
        <w:tc>
          <w:tcPr>
            <w:tcW w:w="1705" w:type="dxa"/>
            <w:vAlign w:val="center"/>
          </w:tcPr>
          <w:p w14:paraId="2490A36A">
            <w:pPr>
              <w:jc w:val="center"/>
              <w:rPr>
                <w:rFonts w:hint="eastAsia" w:ascii="宋体" w:hAnsi="宋体" w:cs="宋体"/>
                <w:color w:val="auto"/>
                <w:highlight w:val="none"/>
              </w:rPr>
            </w:pPr>
          </w:p>
        </w:tc>
        <w:tc>
          <w:tcPr>
            <w:tcW w:w="1705" w:type="dxa"/>
            <w:vAlign w:val="center"/>
          </w:tcPr>
          <w:p w14:paraId="589D81F1">
            <w:pPr>
              <w:jc w:val="center"/>
              <w:rPr>
                <w:rFonts w:hint="eastAsia" w:ascii="宋体" w:hAnsi="宋体" w:cs="宋体"/>
                <w:color w:val="auto"/>
                <w:highlight w:val="none"/>
              </w:rPr>
            </w:pPr>
          </w:p>
        </w:tc>
      </w:tr>
    </w:tbl>
    <w:p w14:paraId="5B8DF779">
      <w:pPr>
        <w:rPr>
          <w:rFonts w:hint="eastAsia" w:ascii="宋体" w:hAnsi="宋体" w:cs="宋体"/>
          <w:color w:val="auto"/>
          <w:szCs w:val="21"/>
          <w:highlight w:val="none"/>
        </w:rPr>
      </w:pPr>
    </w:p>
    <w:p w14:paraId="40B59552">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35589B72">
      <w:pPr>
        <w:pStyle w:val="6"/>
        <w:widowControl w:val="0"/>
        <w:overflowPunct w:val="0"/>
        <w:spacing w:line="240" w:lineRule="auto"/>
        <w:rPr>
          <w:rFonts w:hint="eastAsia" w:ascii="宋体" w:hAnsi="宋体"/>
          <w:color w:val="auto"/>
          <w:sz w:val="21"/>
          <w:szCs w:val="21"/>
          <w:highlight w:val="none"/>
        </w:rPr>
      </w:pPr>
      <w:bookmarkStart w:id="172" w:name="_Toc27915"/>
      <w:r>
        <w:rPr>
          <w:rFonts w:hint="eastAsia" w:ascii="宋体" w:hAnsi="宋体"/>
          <w:color w:val="auto"/>
          <w:sz w:val="21"/>
          <w:szCs w:val="21"/>
          <w:highlight w:val="none"/>
        </w:rPr>
        <w:t>附件2. 技术规格偏离表格式</w:t>
      </w:r>
      <w:bookmarkEnd w:id="172"/>
    </w:p>
    <w:p w14:paraId="63BC1B53">
      <w:pPr>
        <w:jc w:val="center"/>
        <w:rPr>
          <w:rFonts w:ascii="黑体" w:eastAsia="黑体"/>
          <w:color w:val="auto"/>
          <w:sz w:val="28"/>
          <w:szCs w:val="28"/>
          <w:highlight w:val="none"/>
        </w:rPr>
      </w:pPr>
    </w:p>
    <w:p w14:paraId="25432033">
      <w:pPr>
        <w:jc w:val="center"/>
        <w:rPr>
          <w:rFonts w:hint="eastAsia" w:ascii="宋体" w:hAnsi="宋体"/>
          <w:color w:val="auto"/>
          <w:sz w:val="28"/>
          <w:szCs w:val="28"/>
          <w:highlight w:val="none"/>
        </w:rPr>
      </w:pPr>
      <w:r>
        <w:rPr>
          <w:rFonts w:hint="eastAsia" w:ascii="宋体" w:hAnsi="宋体"/>
          <w:color w:val="auto"/>
          <w:sz w:val="28"/>
          <w:szCs w:val="28"/>
          <w:highlight w:val="none"/>
        </w:rPr>
        <w:t>技术规格偏离表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12A40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6" w:hRule="atLeast"/>
        </w:trPr>
        <w:tc>
          <w:tcPr>
            <w:tcW w:w="838" w:type="dxa"/>
            <w:vAlign w:val="center"/>
          </w:tcPr>
          <w:p w14:paraId="4470A972">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73963866">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16ACAD3A">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56169903">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07EB95D6">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74A06B16">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5B42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BAAA1BD">
            <w:pPr>
              <w:jc w:val="center"/>
              <w:rPr>
                <w:rFonts w:hint="eastAsia" w:ascii="宋体" w:hAnsi="宋体"/>
                <w:color w:val="auto"/>
                <w:szCs w:val="21"/>
                <w:highlight w:val="none"/>
              </w:rPr>
            </w:pPr>
          </w:p>
        </w:tc>
        <w:tc>
          <w:tcPr>
            <w:tcW w:w="1902" w:type="dxa"/>
            <w:vAlign w:val="center"/>
          </w:tcPr>
          <w:p w14:paraId="1FAF5190">
            <w:pPr>
              <w:jc w:val="center"/>
              <w:rPr>
                <w:rFonts w:hint="eastAsia" w:ascii="宋体" w:hAnsi="宋体"/>
                <w:color w:val="auto"/>
                <w:szCs w:val="21"/>
                <w:highlight w:val="none"/>
              </w:rPr>
            </w:pPr>
          </w:p>
        </w:tc>
        <w:tc>
          <w:tcPr>
            <w:tcW w:w="1370" w:type="dxa"/>
            <w:vAlign w:val="center"/>
          </w:tcPr>
          <w:p w14:paraId="15AC909B">
            <w:pPr>
              <w:jc w:val="center"/>
              <w:rPr>
                <w:rFonts w:hint="eastAsia" w:ascii="宋体" w:hAnsi="宋体"/>
                <w:color w:val="auto"/>
                <w:szCs w:val="21"/>
                <w:highlight w:val="none"/>
              </w:rPr>
            </w:pPr>
          </w:p>
        </w:tc>
        <w:tc>
          <w:tcPr>
            <w:tcW w:w="1629" w:type="dxa"/>
            <w:vAlign w:val="center"/>
          </w:tcPr>
          <w:p w14:paraId="6AB35E8E">
            <w:pPr>
              <w:jc w:val="center"/>
              <w:rPr>
                <w:rFonts w:hint="eastAsia" w:ascii="宋体" w:hAnsi="宋体"/>
                <w:color w:val="auto"/>
                <w:szCs w:val="21"/>
                <w:highlight w:val="none"/>
              </w:rPr>
            </w:pPr>
          </w:p>
        </w:tc>
        <w:tc>
          <w:tcPr>
            <w:tcW w:w="1239" w:type="dxa"/>
            <w:vAlign w:val="center"/>
          </w:tcPr>
          <w:p w14:paraId="224A8D11">
            <w:pPr>
              <w:jc w:val="center"/>
              <w:rPr>
                <w:rFonts w:hint="eastAsia" w:ascii="宋体" w:hAnsi="宋体"/>
                <w:color w:val="auto"/>
                <w:szCs w:val="21"/>
                <w:highlight w:val="none"/>
              </w:rPr>
            </w:pPr>
          </w:p>
        </w:tc>
        <w:tc>
          <w:tcPr>
            <w:tcW w:w="1544" w:type="dxa"/>
            <w:vAlign w:val="center"/>
          </w:tcPr>
          <w:p w14:paraId="4331DC6D">
            <w:pPr>
              <w:jc w:val="center"/>
              <w:rPr>
                <w:rFonts w:hint="eastAsia" w:ascii="宋体" w:hAnsi="宋体"/>
                <w:color w:val="auto"/>
                <w:szCs w:val="21"/>
                <w:highlight w:val="none"/>
              </w:rPr>
            </w:pPr>
          </w:p>
        </w:tc>
      </w:tr>
      <w:tr w14:paraId="00A6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92D066D">
            <w:pPr>
              <w:jc w:val="center"/>
              <w:rPr>
                <w:rFonts w:hint="eastAsia" w:ascii="宋体" w:hAnsi="宋体"/>
                <w:color w:val="auto"/>
                <w:szCs w:val="21"/>
                <w:highlight w:val="none"/>
              </w:rPr>
            </w:pPr>
          </w:p>
        </w:tc>
        <w:tc>
          <w:tcPr>
            <w:tcW w:w="1902" w:type="dxa"/>
            <w:vAlign w:val="center"/>
          </w:tcPr>
          <w:p w14:paraId="35CBCB38">
            <w:pPr>
              <w:jc w:val="center"/>
              <w:rPr>
                <w:rFonts w:hint="eastAsia" w:ascii="宋体" w:hAnsi="宋体"/>
                <w:color w:val="auto"/>
                <w:szCs w:val="21"/>
                <w:highlight w:val="none"/>
              </w:rPr>
            </w:pPr>
          </w:p>
        </w:tc>
        <w:tc>
          <w:tcPr>
            <w:tcW w:w="1370" w:type="dxa"/>
            <w:vAlign w:val="center"/>
          </w:tcPr>
          <w:p w14:paraId="55345368">
            <w:pPr>
              <w:jc w:val="center"/>
              <w:rPr>
                <w:rFonts w:hint="eastAsia" w:ascii="宋体" w:hAnsi="宋体"/>
                <w:color w:val="auto"/>
                <w:szCs w:val="21"/>
                <w:highlight w:val="none"/>
              </w:rPr>
            </w:pPr>
          </w:p>
        </w:tc>
        <w:tc>
          <w:tcPr>
            <w:tcW w:w="1629" w:type="dxa"/>
            <w:vAlign w:val="center"/>
          </w:tcPr>
          <w:p w14:paraId="3EE681E0">
            <w:pPr>
              <w:jc w:val="center"/>
              <w:rPr>
                <w:rFonts w:hint="eastAsia" w:ascii="宋体" w:hAnsi="宋体"/>
                <w:color w:val="auto"/>
                <w:szCs w:val="21"/>
                <w:highlight w:val="none"/>
              </w:rPr>
            </w:pPr>
          </w:p>
        </w:tc>
        <w:tc>
          <w:tcPr>
            <w:tcW w:w="1239" w:type="dxa"/>
            <w:vAlign w:val="center"/>
          </w:tcPr>
          <w:p w14:paraId="54CE15B9">
            <w:pPr>
              <w:jc w:val="center"/>
              <w:rPr>
                <w:rFonts w:hint="eastAsia" w:ascii="宋体" w:hAnsi="宋体"/>
                <w:color w:val="auto"/>
                <w:szCs w:val="21"/>
                <w:highlight w:val="none"/>
              </w:rPr>
            </w:pPr>
          </w:p>
        </w:tc>
        <w:tc>
          <w:tcPr>
            <w:tcW w:w="1544" w:type="dxa"/>
            <w:vAlign w:val="center"/>
          </w:tcPr>
          <w:p w14:paraId="249AF8F2">
            <w:pPr>
              <w:jc w:val="center"/>
              <w:rPr>
                <w:rFonts w:hint="eastAsia" w:ascii="宋体" w:hAnsi="宋体"/>
                <w:color w:val="auto"/>
                <w:szCs w:val="21"/>
                <w:highlight w:val="none"/>
              </w:rPr>
            </w:pPr>
          </w:p>
        </w:tc>
      </w:tr>
      <w:tr w14:paraId="589C4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D8B4FE2">
            <w:pPr>
              <w:jc w:val="center"/>
              <w:rPr>
                <w:rFonts w:hint="eastAsia" w:ascii="宋体" w:hAnsi="宋体"/>
                <w:color w:val="auto"/>
                <w:szCs w:val="21"/>
                <w:highlight w:val="none"/>
              </w:rPr>
            </w:pPr>
          </w:p>
        </w:tc>
        <w:tc>
          <w:tcPr>
            <w:tcW w:w="1902" w:type="dxa"/>
            <w:vAlign w:val="center"/>
          </w:tcPr>
          <w:p w14:paraId="705F9C83">
            <w:pPr>
              <w:jc w:val="center"/>
              <w:rPr>
                <w:rFonts w:hint="eastAsia" w:ascii="宋体" w:hAnsi="宋体"/>
                <w:color w:val="auto"/>
                <w:szCs w:val="21"/>
                <w:highlight w:val="none"/>
              </w:rPr>
            </w:pPr>
          </w:p>
        </w:tc>
        <w:tc>
          <w:tcPr>
            <w:tcW w:w="1370" w:type="dxa"/>
            <w:vAlign w:val="center"/>
          </w:tcPr>
          <w:p w14:paraId="63E7B90C">
            <w:pPr>
              <w:jc w:val="center"/>
              <w:rPr>
                <w:rFonts w:hint="eastAsia" w:ascii="宋体" w:hAnsi="宋体"/>
                <w:color w:val="auto"/>
                <w:szCs w:val="21"/>
                <w:highlight w:val="none"/>
              </w:rPr>
            </w:pPr>
          </w:p>
        </w:tc>
        <w:tc>
          <w:tcPr>
            <w:tcW w:w="1629" w:type="dxa"/>
            <w:vAlign w:val="center"/>
          </w:tcPr>
          <w:p w14:paraId="411546F8">
            <w:pPr>
              <w:jc w:val="center"/>
              <w:rPr>
                <w:rFonts w:hint="eastAsia" w:ascii="宋体" w:hAnsi="宋体"/>
                <w:color w:val="auto"/>
                <w:szCs w:val="21"/>
                <w:highlight w:val="none"/>
              </w:rPr>
            </w:pPr>
          </w:p>
        </w:tc>
        <w:tc>
          <w:tcPr>
            <w:tcW w:w="1239" w:type="dxa"/>
            <w:vAlign w:val="center"/>
          </w:tcPr>
          <w:p w14:paraId="071E8383">
            <w:pPr>
              <w:jc w:val="center"/>
              <w:rPr>
                <w:rFonts w:hint="eastAsia" w:ascii="宋体" w:hAnsi="宋体"/>
                <w:color w:val="auto"/>
                <w:szCs w:val="21"/>
                <w:highlight w:val="none"/>
              </w:rPr>
            </w:pPr>
          </w:p>
        </w:tc>
        <w:tc>
          <w:tcPr>
            <w:tcW w:w="1544" w:type="dxa"/>
            <w:vAlign w:val="center"/>
          </w:tcPr>
          <w:p w14:paraId="3BDA77A3">
            <w:pPr>
              <w:jc w:val="center"/>
              <w:rPr>
                <w:rFonts w:hint="eastAsia" w:ascii="宋体" w:hAnsi="宋体"/>
                <w:color w:val="auto"/>
                <w:szCs w:val="21"/>
                <w:highlight w:val="none"/>
              </w:rPr>
            </w:pPr>
          </w:p>
        </w:tc>
      </w:tr>
      <w:tr w14:paraId="08219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37CAEB0">
            <w:pPr>
              <w:jc w:val="center"/>
              <w:rPr>
                <w:rFonts w:hint="eastAsia" w:ascii="宋体" w:hAnsi="宋体"/>
                <w:color w:val="auto"/>
                <w:szCs w:val="21"/>
                <w:highlight w:val="none"/>
              </w:rPr>
            </w:pPr>
          </w:p>
        </w:tc>
        <w:tc>
          <w:tcPr>
            <w:tcW w:w="1902" w:type="dxa"/>
            <w:vAlign w:val="center"/>
          </w:tcPr>
          <w:p w14:paraId="64531F0C">
            <w:pPr>
              <w:jc w:val="center"/>
              <w:rPr>
                <w:rFonts w:hint="eastAsia" w:ascii="宋体" w:hAnsi="宋体"/>
                <w:color w:val="auto"/>
                <w:szCs w:val="21"/>
                <w:highlight w:val="none"/>
              </w:rPr>
            </w:pPr>
          </w:p>
        </w:tc>
        <w:tc>
          <w:tcPr>
            <w:tcW w:w="1370" w:type="dxa"/>
            <w:vAlign w:val="center"/>
          </w:tcPr>
          <w:p w14:paraId="1521693D">
            <w:pPr>
              <w:jc w:val="center"/>
              <w:rPr>
                <w:rFonts w:hint="eastAsia" w:ascii="宋体" w:hAnsi="宋体"/>
                <w:color w:val="auto"/>
                <w:szCs w:val="21"/>
                <w:highlight w:val="none"/>
              </w:rPr>
            </w:pPr>
          </w:p>
        </w:tc>
        <w:tc>
          <w:tcPr>
            <w:tcW w:w="1629" w:type="dxa"/>
            <w:vAlign w:val="center"/>
          </w:tcPr>
          <w:p w14:paraId="2D6B27FD">
            <w:pPr>
              <w:jc w:val="center"/>
              <w:rPr>
                <w:rFonts w:hint="eastAsia" w:ascii="宋体" w:hAnsi="宋体"/>
                <w:color w:val="auto"/>
                <w:szCs w:val="21"/>
                <w:highlight w:val="none"/>
              </w:rPr>
            </w:pPr>
          </w:p>
        </w:tc>
        <w:tc>
          <w:tcPr>
            <w:tcW w:w="1239" w:type="dxa"/>
            <w:vAlign w:val="center"/>
          </w:tcPr>
          <w:p w14:paraId="10E54FA5">
            <w:pPr>
              <w:jc w:val="center"/>
              <w:rPr>
                <w:rFonts w:hint="eastAsia" w:ascii="宋体" w:hAnsi="宋体"/>
                <w:color w:val="auto"/>
                <w:szCs w:val="21"/>
                <w:highlight w:val="none"/>
              </w:rPr>
            </w:pPr>
          </w:p>
        </w:tc>
        <w:tc>
          <w:tcPr>
            <w:tcW w:w="1544" w:type="dxa"/>
            <w:vAlign w:val="center"/>
          </w:tcPr>
          <w:p w14:paraId="5571E2F4">
            <w:pPr>
              <w:jc w:val="center"/>
              <w:rPr>
                <w:rFonts w:hint="eastAsia" w:ascii="宋体" w:hAnsi="宋体"/>
                <w:color w:val="auto"/>
                <w:szCs w:val="21"/>
                <w:highlight w:val="none"/>
              </w:rPr>
            </w:pPr>
          </w:p>
        </w:tc>
      </w:tr>
      <w:tr w14:paraId="2989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EC2B9A4">
            <w:pPr>
              <w:jc w:val="center"/>
              <w:rPr>
                <w:rFonts w:hint="eastAsia" w:ascii="宋体" w:hAnsi="宋体"/>
                <w:color w:val="auto"/>
                <w:szCs w:val="21"/>
                <w:highlight w:val="none"/>
              </w:rPr>
            </w:pPr>
          </w:p>
        </w:tc>
        <w:tc>
          <w:tcPr>
            <w:tcW w:w="1902" w:type="dxa"/>
            <w:vAlign w:val="center"/>
          </w:tcPr>
          <w:p w14:paraId="51290AA9">
            <w:pPr>
              <w:jc w:val="center"/>
              <w:rPr>
                <w:rFonts w:hint="eastAsia" w:ascii="宋体" w:hAnsi="宋体"/>
                <w:color w:val="auto"/>
                <w:szCs w:val="21"/>
                <w:highlight w:val="none"/>
              </w:rPr>
            </w:pPr>
          </w:p>
        </w:tc>
        <w:tc>
          <w:tcPr>
            <w:tcW w:w="1370" w:type="dxa"/>
            <w:vAlign w:val="center"/>
          </w:tcPr>
          <w:p w14:paraId="43D69033">
            <w:pPr>
              <w:jc w:val="center"/>
              <w:rPr>
                <w:rFonts w:hint="eastAsia" w:ascii="宋体" w:hAnsi="宋体"/>
                <w:color w:val="auto"/>
                <w:szCs w:val="21"/>
                <w:highlight w:val="none"/>
              </w:rPr>
            </w:pPr>
          </w:p>
        </w:tc>
        <w:tc>
          <w:tcPr>
            <w:tcW w:w="1629" w:type="dxa"/>
            <w:vAlign w:val="center"/>
          </w:tcPr>
          <w:p w14:paraId="4FEB8BD1">
            <w:pPr>
              <w:jc w:val="center"/>
              <w:rPr>
                <w:rFonts w:hint="eastAsia" w:ascii="宋体" w:hAnsi="宋体"/>
                <w:color w:val="auto"/>
                <w:szCs w:val="21"/>
                <w:highlight w:val="none"/>
              </w:rPr>
            </w:pPr>
          </w:p>
        </w:tc>
        <w:tc>
          <w:tcPr>
            <w:tcW w:w="1239" w:type="dxa"/>
            <w:vAlign w:val="center"/>
          </w:tcPr>
          <w:p w14:paraId="1359E5EA">
            <w:pPr>
              <w:jc w:val="center"/>
              <w:rPr>
                <w:rFonts w:hint="eastAsia" w:ascii="宋体" w:hAnsi="宋体"/>
                <w:color w:val="auto"/>
                <w:szCs w:val="21"/>
                <w:highlight w:val="none"/>
              </w:rPr>
            </w:pPr>
          </w:p>
        </w:tc>
        <w:tc>
          <w:tcPr>
            <w:tcW w:w="1544" w:type="dxa"/>
            <w:vAlign w:val="center"/>
          </w:tcPr>
          <w:p w14:paraId="2D932027">
            <w:pPr>
              <w:jc w:val="center"/>
              <w:rPr>
                <w:rFonts w:hint="eastAsia" w:ascii="宋体" w:hAnsi="宋体"/>
                <w:color w:val="auto"/>
                <w:szCs w:val="21"/>
                <w:highlight w:val="none"/>
              </w:rPr>
            </w:pPr>
          </w:p>
        </w:tc>
      </w:tr>
      <w:tr w14:paraId="2CC0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BB66E55">
            <w:pPr>
              <w:jc w:val="center"/>
              <w:rPr>
                <w:rFonts w:hint="eastAsia" w:ascii="宋体" w:hAnsi="宋体"/>
                <w:color w:val="auto"/>
                <w:szCs w:val="21"/>
                <w:highlight w:val="none"/>
              </w:rPr>
            </w:pPr>
          </w:p>
        </w:tc>
        <w:tc>
          <w:tcPr>
            <w:tcW w:w="1902" w:type="dxa"/>
            <w:vAlign w:val="center"/>
          </w:tcPr>
          <w:p w14:paraId="2DEDE257">
            <w:pPr>
              <w:jc w:val="center"/>
              <w:rPr>
                <w:rFonts w:hint="eastAsia" w:ascii="宋体" w:hAnsi="宋体"/>
                <w:color w:val="auto"/>
                <w:szCs w:val="21"/>
                <w:highlight w:val="none"/>
              </w:rPr>
            </w:pPr>
          </w:p>
        </w:tc>
        <w:tc>
          <w:tcPr>
            <w:tcW w:w="1370" w:type="dxa"/>
            <w:vAlign w:val="center"/>
          </w:tcPr>
          <w:p w14:paraId="6013FCCB">
            <w:pPr>
              <w:jc w:val="center"/>
              <w:rPr>
                <w:rFonts w:hint="eastAsia" w:ascii="宋体" w:hAnsi="宋体"/>
                <w:color w:val="auto"/>
                <w:szCs w:val="21"/>
                <w:highlight w:val="none"/>
              </w:rPr>
            </w:pPr>
          </w:p>
        </w:tc>
        <w:tc>
          <w:tcPr>
            <w:tcW w:w="1629" w:type="dxa"/>
            <w:vAlign w:val="center"/>
          </w:tcPr>
          <w:p w14:paraId="1EB355A5">
            <w:pPr>
              <w:jc w:val="center"/>
              <w:rPr>
                <w:rFonts w:hint="eastAsia" w:ascii="宋体" w:hAnsi="宋体"/>
                <w:color w:val="auto"/>
                <w:szCs w:val="21"/>
                <w:highlight w:val="none"/>
              </w:rPr>
            </w:pPr>
          </w:p>
        </w:tc>
        <w:tc>
          <w:tcPr>
            <w:tcW w:w="1239" w:type="dxa"/>
            <w:vAlign w:val="center"/>
          </w:tcPr>
          <w:p w14:paraId="2735FC3D">
            <w:pPr>
              <w:jc w:val="center"/>
              <w:rPr>
                <w:rFonts w:hint="eastAsia" w:ascii="宋体" w:hAnsi="宋体"/>
                <w:color w:val="auto"/>
                <w:szCs w:val="21"/>
                <w:highlight w:val="none"/>
              </w:rPr>
            </w:pPr>
          </w:p>
        </w:tc>
        <w:tc>
          <w:tcPr>
            <w:tcW w:w="1544" w:type="dxa"/>
            <w:vAlign w:val="center"/>
          </w:tcPr>
          <w:p w14:paraId="2B9ED29C">
            <w:pPr>
              <w:jc w:val="center"/>
              <w:rPr>
                <w:rFonts w:hint="eastAsia" w:ascii="宋体" w:hAnsi="宋体"/>
                <w:color w:val="auto"/>
                <w:szCs w:val="21"/>
                <w:highlight w:val="none"/>
              </w:rPr>
            </w:pPr>
          </w:p>
        </w:tc>
      </w:tr>
      <w:tr w14:paraId="6A63B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0EBD569">
            <w:pPr>
              <w:jc w:val="center"/>
              <w:rPr>
                <w:rFonts w:hint="eastAsia" w:ascii="宋体" w:hAnsi="宋体"/>
                <w:color w:val="auto"/>
                <w:szCs w:val="21"/>
                <w:highlight w:val="none"/>
              </w:rPr>
            </w:pPr>
          </w:p>
        </w:tc>
        <w:tc>
          <w:tcPr>
            <w:tcW w:w="1902" w:type="dxa"/>
            <w:vAlign w:val="center"/>
          </w:tcPr>
          <w:p w14:paraId="00338EEA">
            <w:pPr>
              <w:jc w:val="center"/>
              <w:rPr>
                <w:rFonts w:hint="eastAsia" w:ascii="宋体" w:hAnsi="宋体"/>
                <w:color w:val="auto"/>
                <w:szCs w:val="21"/>
                <w:highlight w:val="none"/>
              </w:rPr>
            </w:pPr>
          </w:p>
        </w:tc>
        <w:tc>
          <w:tcPr>
            <w:tcW w:w="1370" w:type="dxa"/>
            <w:vAlign w:val="center"/>
          </w:tcPr>
          <w:p w14:paraId="51F8FA70">
            <w:pPr>
              <w:jc w:val="center"/>
              <w:rPr>
                <w:rFonts w:hint="eastAsia" w:ascii="宋体" w:hAnsi="宋体"/>
                <w:color w:val="auto"/>
                <w:szCs w:val="21"/>
                <w:highlight w:val="none"/>
              </w:rPr>
            </w:pPr>
          </w:p>
        </w:tc>
        <w:tc>
          <w:tcPr>
            <w:tcW w:w="1629" w:type="dxa"/>
            <w:vAlign w:val="center"/>
          </w:tcPr>
          <w:p w14:paraId="3773479F">
            <w:pPr>
              <w:jc w:val="center"/>
              <w:rPr>
                <w:rFonts w:hint="eastAsia" w:ascii="宋体" w:hAnsi="宋体"/>
                <w:color w:val="auto"/>
                <w:szCs w:val="21"/>
                <w:highlight w:val="none"/>
              </w:rPr>
            </w:pPr>
          </w:p>
        </w:tc>
        <w:tc>
          <w:tcPr>
            <w:tcW w:w="1239" w:type="dxa"/>
            <w:vAlign w:val="center"/>
          </w:tcPr>
          <w:p w14:paraId="50E9E2A6">
            <w:pPr>
              <w:jc w:val="center"/>
              <w:rPr>
                <w:rFonts w:hint="eastAsia" w:ascii="宋体" w:hAnsi="宋体"/>
                <w:color w:val="auto"/>
                <w:szCs w:val="21"/>
                <w:highlight w:val="none"/>
              </w:rPr>
            </w:pPr>
          </w:p>
        </w:tc>
        <w:tc>
          <w:tcPr>
            <w:tcW w:w="1544" w:type="dxa"/>
            <w:vAlign w:val="center"/>
          </w:tcPr>
          <w:p w14:paraId="109C5167">
            <w:pPr>
              <w:jc w:val="center"/>
              <w:rPr>
                <w:rFonts w:hint="eastAsia" w:ascii="宋体" w:hAnsi="宋体"/>
                <w:color w:val="auto"/>
                <w:szCs w:val="21"/>
                <w:highlight w:val="none"/>
              </w:rPr>
            </w:pPr>
          </w:p>
        </w:tc>
      </w:tr>
      <w:tr w14:paraId="42F8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2CC331B">
            <w:pPr>
              <w:jc w:val="center"/>
              <w:rPr>
                <w:rFonts w:hint="eastAsia" w:ascii="宋体" w:hAnsi="宋体"/>
                <w:color w:val="auto"/>
                <w:szCs w:val="21"/>
                <w:highlight w:val="none"/>
              </w:rPr>
            </w:pPr>
          </w:p>
        </w:tc>
        <w:tc>
          <w:tcPr>
            <w:tcW w:w="1902" w:type="dxa"/>
            <w:vAlign w:val="center"/>
          </w:tcPr>
          <w:p w14:paraId="2FDB6FC5">
            <w:pPr>
              <w:jc w:val="center"/>
              <w:rPr>
                <w:rFonts w:hint="eastAsia" w:ascii="宋体" w:hAnsi="宋体"/>
                <w:color w:val="auto"/>
                <w:szCs w:val="21"/>
                <w:highlight w:val="none"/>
              </w:rPr>
            </w:pPr>
          </w:p>
        </w:tc>
        <w:tc>
          <w:tcPr>
            <w:tcW w:w="1370" w:type="dxa"/>
            <w:vAlign w:val="center"/>
          </w:tcPr>
          <w:p w14:paraId="596FF697">
            <w:pPr>
              <w:jc w:val="center"/>
              <w:rPr>
                <w:rFonts w:hint="eastAsia" w:ascii="宋体" w:hAnsi="宋体"/>
                <w:color w:val="auto"/>
                <w:szCs w:val="21"/>
                <w:highlight w:val="none"/>
              </w:rPr>
            </w:pPr>
          </w:p>
        </w:tc>
        <w:tc>
          <w:tcPr>
            <w:tcW w:w="1629" w:type="dxa"/>
            <w:vAlign w:val="center"/>
          </w:tcPr>
          <w:p w14:paraId="23FBB6E4">
            <w:pPr>
              <w:jc w:val="center"/>
              <w:rPr>
                <w:rFonts w:hint="eastAsia" w:ascii="宋体" w:hAnsi="宋体"/>
                <w:color w:val="auto"/>
                <w:szCs w:val="21"/>
                <w:highlight w:val="none"/>
              </w:rPr>
            </w:pPr>
          </w:p>
        </w:tc>
        <w:tc>
          <w:tcPr>
            <w:tcW w:w="1239" w:type="dxa"/>
            <w:vAlign w:val="center"/>
          </w:tcPr>
          <w:p w14:paraId="4BC8C0B4">
            <w:pPr>
              <w:jc w:val="center"/>
              <w:rPr>
                <w:rFonts w:hint="eastAsia" w:ascii="宋体" w:hAnsi="宋体"/>
                <w:color w:val="auto"/>
                <w:szCs w:val="21"/>
                <w:highlight w:val="none"/>
              </w:rPr>
            </w:pPr>
          </w:p>
        </w:tc>
        <w:tc>
          <w:tcPr>
            <w:tcW w:w="1544" w:type="dxa"/>
            <w:vAlign w:val="center"/>
          </w:tcPr>
          <w:p w14:paraId="5CE07FB8">
            <w:pPr>
              <w:jc w:val="center"/>
              <w:rPr>
                <w:rFonts w:hint="eastAsia" w:ascii="宋体" w:hAnsi="宋体"/>
                <w:color w:val="auto"/>
                <w:szCs w:val="21"/>
                <w:highlight w:val="none"/>
              </w:rPr>
            </w:pPr>
          </w:p>
        </w:tc>
      </w:tr>
      <w:tr w14:paraId="5AB3F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EBD9BEC">
            <w:pPr>
              <w:jc w:val="center"/>
              <w:rPr>
                <w:rFonts w:hint="eastAsia" w:ascii="宋体" w:hAnsi="宋体"/>
                <w:color w:val="auto"/>
                <w:szCs w:val="21"/>
                <w:highlight w:val="none"/>
              </w:rPr>
            </w:pPr>
          </w:p>
        </w:tc>
        <w:tc>
          <w:tcPr>
            <w:tcW w:w="1902" w:type="dxa"/>
            <w:vAlign w:val="center"/>
          </w:tcPr>
          <w:p w14:paraId="25833D11">
            <w:pPr>
              <w:jc w:val="center"/>
              <w:rPr>
                <w:rFonts w:hint="eastAsia" w:ascii="宋体" w:hAnsi="宋体"/>
                <w:color w:val="auto"/>
                <w:szCs w:val="21"/>
                <w:highlight w:val="none"/>
              </w:rPr>
            </w:pPr>
          </w:p>
        </w:tc>
        <w:tc>
          <w:tcPr>
            <w:tcW w:w="1370" w:type="dxa"/>
            <w:vAlign w:val="center"/>
          </w:tcPr>
          <w:p w14:paraId="7EDD65F4">
            <w:pPr>
              <w:jc w:val="center"/>
              <w:rPr>
                <w:rFonts w:hint="eastAsia" w:ascii="宋体" w:hAnsi="宋体"/>
                <w:color w:val="auto"/>
                <w:szCs w:val="21"/>
                <w:highlight w:val="none"/>
              </w:rPr>
            </w:pPr>
          </w:p>
        </w:tc>
        <w:tc>
          <w:tcPr>
            <w:tcW w:w="1629" w:type="dxa"/>
            <w:vAlign w:val="center"/>
          </w:tcPr>
          <w:p w14:paraId="249227F9">
            <w:pPr>
              <w:jc w:val="center"/>
              <w:rPr>
                <w:rFonts w:hint="eastAsia" w:ascii="宋体" w:hAnsi="宋体"/>
                <w:color w:val="auto"/>
                <w:szCs w:val="21"/>
                <w:highlight w:val="none"/>
              </w:rPr>
            </w:pPr>
          </w:p>
        </w:tc>
        <w:tc>
          <w:tcPr>
            <w:tcW w:w="1239" w:type="dxa"/>
            <w:vAlign w:val="center"/>
          </w:tcPr>
          <w:p w14:paraId="3BFA9043">
            <w:pPr>
              <w:jc w:val="center"/>
              <w:rPr>
                <w:rFonts w:hint="eastAsia" w:ascii="宋体" w:hAnsi="宋体"/>
                <w:color w:val="auto"/>
                <w:szCs w:val="21"/>
                <w:highlight w:val="none"/>
              </w:rPr>
            </w:pPr>
          </w:p>
        </w:tc>
        <w:tc>
          <w:tcPr>
            <w:tcW w:w="1544" w:type="dxa"/>
            <w:vAlign w:val="center"/>
          </w:tcPr>
          <w:p w14:paraId="6DBA47AF">
            <w:pPr>
              <w:jc w:val="center"/>
              <w:rPr>
                <w:rFonts w:hint="eastAsia" w:ascii="宋体" w:hAnsi="宋体"/>
                <w:color w:val="auto"/>
                <w:szCs w:val="21"/>
                <w:highlight w:val="none"/>
              </w:rPr>
            </w:pPr>
          </w:p>
        </w:tc>
      </w:tr>
      <w:tr w14:paraId="4BDC0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61E80E6">
            <w:pPr>
              <w:jc w:val="center"/>
              <w:rPr>
                <w:rFonts w:hint="eastAsia" w:ascii="宋体" w:hAnsi="宋体"/>
                <w:color w:val="auto"/>
                <w:szCs w:val="21"/>
                <w:highlight w:val="none"/>
              </w:rPr>
            </w:pPr>
          </w:p>
        </w:tc>
        <w:tc>
          <w:tcPr>
            <w:tcW w:w="1902" w:type="dxa"/>
            <w:vAlign w:val="center"/>
          </w:tcPr>
          <w:p w14:paraId="2D246753">
            <w:pPr>
              <w:jc w:val="center"/>
              <w:rPr>
                <w:rFonts w:hint="eastAsia" w:ascii="宋体" w:hAnsi="宋体"/>
                <w:color w:val="auto"/>
                <w:szCs w:val="21"/>
                <w:highlight w:val="none"/>
              </w:rPr>
            </w:pPr>
          </w:p>
        </w:tc>
        <w:tc>
          <w:tcPr>
            <w:tcW w:w="1370" w:type="dxa"/>
            <w:vAlign w:val="center"/>
          </w:tcPr>
          <w:p w14:paraId="55C989AC">
            <w:pPr>
              <w:jc w:val="center"/>
              <w:rPr>
                <w:rFonts w:hint="eastAsia" w:ascii="宋体" w:hAnsi="宋体"/>
                <w:color w:val="auto"/>
                <w:szCs w:val="21"/>
                <w:highlight w:val="none"/>
              </w:rPr>
            </w:pPr>
          </w:p>
        </w:tc>
        <w:tc>
          <w:tcPr>
            <w:tcW w:w="1629" w:type="dxa"/>
            <w:vAlign w:val="center"/>
          </w:tcPr>
          <w:p w14:paraId="7FBA04F1">
            <w:pPr>
              <w:jc w:val="center"/>
              <w:rPr>
                <w:rFonts w:hint="eastAsia" w:ascii="宋体" w:hAnsi="宋体"/>
                <w:color w:val="auto"/>
                <w:szCs w:val="21"/>
                <w:highlight w:val="none"/>
              </w:rPr>
            </w:pPr>
          </w:p>
        </w:tc>
        <w:tc>
          <w:tcPr>
            <w:tcW w:w="1239" w:type="dxa"/>
            <w:vAlign w:val="center"/>
          </w:tcPr>
          <w:p w14:paraId="678DFD97">
            <w:pPr>
              <w:jc w:val="center"/>
              <w:rPr>
                <w:rFonts w:hint="eastAsia" w:ascii="宋体" w:hAnsi="宋体"/>
                <w:color w:val="auto"/>
                <w:szCs w:val="21"/>
                <w:highlight w:val="none"/>
              </w:rPr>
            </w:pPr>
          </w:p>
        </w:tc>
        <w:tc>
          <w:tcPr>
            <w:tcW w:w="1544" w:type="dxa"/>
            <w:vAlign w:val="center"/>
          </w:tcPr>
          <w:p w14:paraId="01D4D92D">
            <w:pPr>
              <w:jc w:val="center"/>
              <w:rPr>
                <w:rFonts w:hint="eastAsia" w:ascii="宋体" w:hAnsi="宋体"/>
                <w:color w:val="auto"/>
                <w:szCs w:val="21"/>
                <w:highlight w:val="none"/>
              </w:rPr>
            </w:pPr>
          </w:p>
        </w:tc>
      </w:tr>
    </w:tbl>
    <w:p w14:paraId="3FDF822F">
      <w:pPr>
        <w:rPr>
          <w:rFonts w:hint="eastAsia" w:ascii="宋体" w:hAnsi="宋体"/>
          <w:color w:val="auto"/>
          <w:szCs w:val="21"/>
          <w:highlight w:val="none"/>
        </w:rPr>
      </w:pPr>
    </w:p>
    <w:p w14:paraId="00A74A2E">
      <w:pPr>
        <w:rPr>
          <w:rFonts w:hint="eastAsia" w:ascii="宋体" w:hAnsi="宋体"/>
          <w:color w:val="auto"/>
          <w:szCs w:val="21"/>
          <w:highlight w:val="none"/>
        </w:rPr>
      </w:pPr>
      <w:r>
        <w:rPr>
          <w:rFonts w:hint="eastAsia" w:ascii="宋体" w:hAnsi="宋体"/>
          <w:color w:val="auto"/>
          <w:szCs w:val="21"/>
          <w:highlight w:val="none"/>
        </w:rPr>
        <w:t>投标人代表签字：</w:t>
      </w:r>
    </w:p>
    <w:p w14:paraId="427CEEC4">
      <w:pPr>
        <w:rPr>
          <w:rFonts w:hint="eastAsia" w:ascii="宋体" w:hAnsi="宋体"/>
          <w:color w:val="auto"/>
          <w:szCs w:val="21"/>
          <w:highlight w:val="none"/>
        </w:rPr>
      </w:pPr>
      <w:r>
        <w:rPr>
          <w:rFonts w:hint="eastAsia" w:ascii="宋体" w:hAnsi="宋体"/>
          <w:color w:val="auto"/>
          <w:szCs w:val="21"/>
          <w:highlight w:val="none"/>
        </w:rPr>
        <w:t>投标人盖章：</w:t>
      </w:r>
    </w:p>
    <w:p w14:paraId="62A72C4F">
      <w:pPr>
        <w:ind w:firstLine="178" w:firstLineChars="85"/>
        <w:rPr>
          <w:rFonts w:hint="eastAsia" w:ascii="宋体" w:hAnsi="宋体"/>
          <w:color w:val="auto"/>
          <w:szCs w:val="21"/>
          <w:highlight w:val="none"/>
        </w:rPr>
      </w:pPr>
    </w:p>
    <w:p w14:paraId="754AF366">
      <w:pPr>
        <w:rPr>
          <w:rFonts w:hint="eastAsia" w:ascii="宋体" w:hAnsi="宋体"/>
          <w:color w:val="auto"/>
          <w:szCs w:val="21"/>
          <w:highlight w:val="none"/>
        </w:rPr>
      </w:pPr>
      <w:r>
        <w:rPr>
          <w:rFonts w:hint="eastAsia" w:ascii="宋体" w:hAnsi="宋体"/>
          <w:color w:val="auto"/>
          <w:szCs w:val="21"/>
          <w:highlight w:val="none"/>
        </w:rPr>
        <w:t>注：</w:t>
      </w:r>
    </w:p>
    <w:p w14:paraId="5AB5671A">
      <w:pPr>
        <w:rPr>
          <w:rFonts w:hint="eastAsia"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7D49003">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39681A4C">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72BED68D">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7392F659">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如投标人对用户需求书技术要求的条款全部响应的，也可以在表格下面用文字总括性的说明。</w:t>
      </w:r>
    </w:p>
    <w:p w14:paraId="1F0936C6">
      <w:pPr>
        <w:rPr>
          <w:rFonts w:hint="eastAsia" w:ascii="宋体" w:hAnsi="宋体"/>
          <w:color w:val="auto"/>
          <w:szCs w:val="21"/>
          <w:highlight w:val="none"/>
        </w:rPr>
      </w:pPr>
    </w:p>
    <w:p w14:paraId="435BFD82">
      <w:pPr>
        <w:adjustRightInd/>
        <w:snapToGrid/>
        <w:spacing w:line="276" w:lineRule="auto"/>
        <w:rPr>
          <w:color w:val="auto"/>
          <w:highlight w:val="none"/>
        </w:rPr>
      </w:pPr>
    </w:p>
    <w:p w14:paraId="22DA89ED">
      <w:pPr>
        <w:rPr>
          <w:rFonts w:hint="eastAsia" w:ascii="宋体" w:hAnsi="宋体"/>
          <w:color w:val="auto"/>
          <w:szCs w:val="21"/>
          <w:highlight w:val="none"/>
        </w:rPr>
      </w:pPr>
      <w:bookmarkStart w:id="173" w:name="_Toc17691"/>
      <w:r>
        <w:rPr>
          <w:rFonts w:hint="eastAsia" w:ascii="宋体" w:hAnsi="宋体"/>
          <w:color w:val="auto"/>
          <w:szCs w:val="21"/>
          <w:highlight w:val="none"/>
        </w:rPr>
        <w:br w:type="page"/>
      </w:r>
    </w:p>
    <w:bookmarkEnd w:id="173"/>
    <w:p w14:paraId="05340C14">
      <w:pPr>
        <w:pStyle w:val="6"/>
        <w:widowControl w:val="0"/>
        <w:overflowPunct w:val="0"/>
        <w:spacing w:line="240" w:lineRule="auto"/>
        <w:rPr>
          <w:rFonts w:hint="eastAsia" w:ascii="宋体" w:hAnsi="宋体"/>
          <w:color w:val="auto"/>
          <w:sz w:val="21"/>
          <w:szCs w:val="21"/>
          <w:highlight w:val="none"/>
        </w:rPr>
      </w:pPr>
      <w:bookmarkStart w:id="174" w:name="_Toc15270"/>
      <w:r>
        <w:rPr>
          <w:rFonts w:hint="eastAsia" w:ascii="宋体" w:hAnsi="宋体"/>
          <w:color w:val="auto"/>
          <w:sz w:val="21"/>
          <w:szCs w:val="21"/>
          <w:highlight w:val="none"/>
        </w:rPr>
        <w:t>附件3.</w:t>
      </w:r>
      <w:r>
        <w:rPr>
          <w:rFonts w:hint="eastAsia"/>
          <w:color w:val="auto"/>
          <w:highlight w:val="none"/>
        </w:rPr>
        <w:t xml:space="preserve"> </w:t>
      </w:r>
      <w:r>
        <w:rPr>
          <w:rFonts w:hint="eastAsia" w:ascii="宋体" w:hAnsi="宋体"/>
          <w:color w:val="auto"/>
          <w:sz w:val="21"/>
          <w:szCs w:val="21"/>
          <w:highlight w:val="none"/>
        </w:rPr>
        <w:t>项目实施方案格式</w:t>
      </w:r>
      <w:bookmarkEnd w:id="174"/>
    </w:p>
    <w:p w14:paraId="5579A695">
      <w:pPr>
        <w:jc w:val="center"/>
        <w:rPr>
          <w:rFonts w:ascii="黑体" w:eastAsia="黑体"/>
          <w:color w:val="auto"/>
          <w:sz w:val="32"/>
          <w:szCs w:val="32"/>
          <w:highlight w:val="none"/>
        </w:rPr>
      </w:pPr>
    </w:p>
    <w:p w14:paraId="7856E4C7">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04D1059A">
      <w:pPr>
        <w:jc w:val="center"/>
        <w:rPr>
          <w:rFonts w:ascii="黑体" w:eastAsia="黑体"/>
          <w:color w:val="auto"/>
          <w:sz w:val="32"/>
          <w:szCs w:val="32"/>
          <w:highlight w:val="none"/>
        </w:rPr>
      </w:pPr>
    </w:p>
    <w:p w14:paraId="7C6CC250">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1、</w:t>
      </w:r>
      <w:r>
        <w:rPr>
          <w:rFonts w:hint="eastAsia" w:hAnsi="宋体" w:cs="宋体"/>
          <w:color w:val="auto"/>
          <w:spacing w:val="2"/>
          <w:szCs w:val="21"/>
          <w:highlight w:val="none"/>
        </w:rPr>
        <w:t>项目实施（设计、供货、安装）方案及进度计划</w:t>
      </w:r>
    </w:p>
    <w:p w14:paraId="7AAD8022">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pacing w:val="2"/>
          <w:szCs w:val="21"/>
          <w:highlight w:val="none"/>
        </w:rPr>
        <w:t>产品性能</w:t>
      </w:r>
    </w:p>
    <w:p w14:paraId="02C6BCB8">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lang w:bidi="ar"/>
        </w:rPr>
        <w:t>质量保证措施</w:t>
      </w:r>
    </w:p>
    <w:p w14:paraId="7DB2AF18">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pacing w:val="2"/>
          <w:szCs w:val="21"/>
          <w:highlight w:val="none"/>
        </w:rPr>
        <w:t>售后服务</w:t>
      </w:r>
    </w:p>
    <w:p w14:paraId="1720AA94">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5、投标人认为对投标有利的其他资料</w:t>
      </w:r>
    </w:p>
    <w:p w14:paraId="7A7802C5">
      <w:pPr>
        <w:ind w:left="718" w:leftChars="200" w:hanging="298" w:hangingChars="142"/>
        <w:rPr>
          <w:rFonts w:hint="eastAsia" w:ascii="宋体" w:hAnsi="宋体" w:cs="Times New Roman"/>
          <w:color w:val="auto"/>
          <w:szCs w:val="21"/>
          <w:highlight w:val="none"/>
        </w:rPr>
      </w:pPr>
      <w:r>
        <w:rPr>
          <w:rFonts w:hint="eastAsia" w:ascii="宋体" w:hAnsi="宋体"/>
          <w:color w:val="auto"/>
          <w:szCs w:val="21"/>
          <w:highlight w:val="none"/>
          <w:lang w:eastAsia="zh-CN"/>
        </w:rPr>
        <w:t>（由投标人自行编写）</w:t>
      </w:r>
      <w:r>
        <w:rPr>
          <w:rFonts w:hint="eastAsia" w:ascii="宋体" w:hAnsi="宋体"/>
          <w:color w:val="auto"/>
          <w:szCs w:val="21"/>
          <w:highlight w:val="none"/>
        </w:rPr>
        <w:t>。</w:t>
      </w:r>
    </w:p>
    <w:p w14:paraId="67F16C1C">
      <w:pPr>
        <w:ind w:left="718" w:leftChars="200" w:hanging="298" w:hangingChars="142"/>
        <w:rPr>
          <w:rFonts w:hint="eastAsia" w:ascii="宋体" w:hAnsi="宋体"/>
          <w:color w:val="auto"/>
          <w:szCs w:val="21"/>
          <w:highlight w:val="none"/>
        </w:rPr>
      </w:pPr>
    </w:p>
    <w:p w14:paraId="12C389F7">
      <w:pPr>
        <w:ind w:left="718" w:leftChars="200" w:hanging="298" w:hangingChars="142"/>
        <w:rPr>
          <w:rFonts w:hint="eastAsia" w:ascii="宋体" w:hAnsi="宋体"/>
          <w:color w:val="auto"/>
          <w:szCs w:val="21"/>
          <w:highlight w:val="none"/>
        </w:rPr>
      </w:pPr>
    </w:p>
    <w:p w14:paraId="72C8F9EF">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br w:type="page"/>
      </w:r>
    </w:p>
    <w:p w14:paraId="38D281A6">
      <w:pPr>
        <w:jc w:val="center"/>
        <w:outlineLvl w:val="1"/>
        <w:rPr>
          <w:rFonts w:eastAsia="黑体"/>
          <w:color w:val="auto"/>
          <w:sz w:val="72"/>
          <w:szCs w:val="72"/>
          <w:highlight w:val="none"/>
        </w:rPr>
      </w:pPr>
      <w:bookmarkStart w:id="175" w:name="_Toc32272"/>
      <w:r>
        <w:rPr>
          <w:rFonts w:hint="eastAsia" w:eastAsia="黑体"/>
          <w:color w:val="auto"/>
          <w:sz w:val="72"/>
          <w:szCs w:val="72"/>
          <w:highlight w:val="none"/>
        </w:rPr>
        <w:t>唱标信封</w:t>
      </w:r>
      <w:bookmarkEnd w:id="175"/>
    </w:p>
    <w:p w14:paraId="06132512">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47B9D9DB">
      <w:pPr>
        <w:rPr>
          <w:color w:val="auto"/>
          <w:highlight w:val="none"/>
        </w:rPr>
      </w:pPr>
    </w:p>
    <w:p w14:paraId="2BEF5032">
      <w:pPr>
        <w:pStyle w:val="2"/>
        <w:rPr>
          <w:rFonts w:hint="eastAsia"/>
          <w:color w:val="auto"/>
          <w:highlight w:val="none"/>
        </w:rPr>
      </w:pPr>
    </w:p>
    <w:p w14:paraId="5DD22CD2">
      <w:pPr>
        <w:ind w:firstLine="240"/>
        <w:rPr>
          <w:color w:val="auto"/>
          <w:highlight w:val="none"/>
        </w:rPr>
      </w:pPr>
    </w:p>
    <w:p w14:paraId="2B6C92B1">
      <w:pPr>
        <w:ind w:firstLine="240"/>
        <w:rPr>
          <w:color w:val="auto"/>
          <w:highlight w:val="none"/>
        </w:rPr>
      </w:pPr>
    </w:p>
    <w:p w14:paraId="5E2E6CCD">
      <w:pPr>
        <w:rPr>
          <w:rFonts w:hint="eastAsia"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31D9A532">
      <w:pPr>
        <w:rPr>
          <w:rFonts w:hint="eastAsia"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725E59D3">
      <w:pPr>
        <w:pStyle w:val="2"/>
        <w:ind w:left="0"/>
        <w:rPr>
          <w:rFonts w:hint="eastAsia"/>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030146DD">
      <w:pPr>
        <w:rPr>
          <w:rFonts w:hint="eastAsia"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75391AC3">
      <w:pPr>
        <w:rPr>
          <w:rFonts w:hint="eastAsia"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  年  月  日</w:t>
      </w:r>
    </w:p>
    <w:p w14:paraId="122936A9">
      <w:pPr>
        <w:rPr>
          <w:rFonts w:hint="eastAsia" w:ascii="宋体" w:hAnsi="宋体"/>
          <w:color w:val="auto"/>
          <w:szCs w:val="21"/>
          <w:highlight w:val="none"/>
        </w:rPr>
      </w:pPr>
      <w:r>
        <w:rPr>
          <w:rFonts w:hint="eastAsia" w:ascii="宋体" w:hAnsi="宋体"/>
          <w:color w:val="auto"/>
          <w:szCs w:val="21"/>
          <w:highlight w:val="none"/>
        </w:rPr>
        <w:br w:type="page"/>
      </w:r>
    </w:p>
    <w:p w14:paraId="59955102">
      <w:pPr>
        <w:pStyle w:val="6"/>
        <w:numPr>
          <w:ilvl w:val="255"/>
          <w:numId w:val="0"/>
        </w:numPr>
        <w:tabs>
          <w:tab w:val="left" w:pos="720"/>
          <w:tab w:val="left" w:pos="3840"/>
        </w:tabs>
        <w:ind w:left="283"/>
        <w:jc w:val="both"/>
        <w:rPr>
          <w:rFonts w:hint="eastAsia" w:ascii="宋体" w:hAnsi="宋体"/>
          <w:color w:val="auto"/>
          <w:sz w:val="21"/>
          <w:szCs w:val="21"/>
          <w:highlight w:val="none"/>
        </w:rPr>
      </w:pPr>
      <w:bookmarkStart w:id="176" w:name="_Toc9355"/>
      <w:bookmarkStart w:id="177" w:name="_Toc27919"/>
      <w:r>
        <w:rPr>
          <w:rFonts w:hint="eastAsia" w:ascii="宋体" w:hAnsi="宋体"/>
          <w:color w:val="auto"/>
          <w:sz w:val="21"/>
          <w:szCs w:val="21"/>
          <w:highlight w:val="none"/>
        </w:rPr>
        <w:t>附件1.开标一览表（按价格文件要求编制）</w:t>
      </w:r>
      <w:bookmarkEnd w:id="176"/>
      <w:bookmarkEnd w:id="177"/>
    </w:p>
    <w:p w14:paraId="51EBB883">
      <w:pPr>
        <w:pStyle w:val="6"/>
        <w:numPr>
          <w:ilvl w:val="255"/>
          <w:numId w:val="0"/>
        </w:numPr>
        <w:tabs>
          <w:tab w:val="left" w:pos="720"/>
          <w:tab w:val="left" w:pos="3840"/>
        </w:tabs>
        <w:ind w:left="283"/>
        <w:jc w:val="both"/>
        <w:rPr>
          <w:rFonts w:hint="eastAsia" w:ascii="宋体" w:hAnsi="宋体"/>
          <w:color w:val="auto"/>
          <w:sz w:val="21"/>
          <w:szCs w:val="21"/>
          <w:highlight w:val="none"/>
        </w:rPr>
      </w:pPr>
      <w:bookmarkStart w:id="178" w:name="_Toc29794"/>
      <w:bookmarkStart w:id="179" w:name="_Toc31372"/>
      <w:r>
        <w:rPr>
          <w:rFonts w:hint="eastAsia" w:ascii="宋体" w:hAnsi="宋体"/>
          <w:color w:val="auto"/>
          <w:sz w:val="21"/>
          <w:szCs w:val="21"/>
          <w:highlight w:val="none"/>
        </w:rPr>
        <w:t>附件2.法定代表人证明书（按商务文件要求编制）</w:t>
      </w:r>
      <w:bookmarkEnd w:id="178"/>
      <w:bookmarkEnd w:id="179"/>
    </w:p>
    <w:p w14:paraId="66AACE07">
      <w:pPr>
        <w:pStyle w:val="6"/>
        <w:numPr>
          <w:ilvl w:val="255"/>
          <w:numId w:val="0"/>
        </w:numPr>
        <w:tabs>
          <w:tab w:val="left" w:pos="720"/>
          <w:tab w:val="left" w:pos="3840"/>
        </w:tabs>
        <w:ind w:left="283"/>
        <w:jc w:val="both"/>
        <w:rPr>
          <w:rFonts w:hint="eastAsia" w:ascii="宋体" w:hAnsi="宋体"/>
          <w:color w:val="auto"/>
          <w:sz w:val="21"/>
          <w:szCs w:val="21"/>
          <w:highlight w:val="none"/>
        </w:rPr>
      </w:pPr>
      <w:bookmarkStart w:id="180" w:name="_Toc2846"/>
      <w:bookmarkStart w:id="181" w:name="_Toc29819"/>
      <w:r>
        <w:rPr>
          <w:rFonts w:hint="eastAsia" w:ascii="宋体" w:hAnsi="宋体"/>
          <w:color w:val="auto"/>
          <w:sz w:val="21"/>
          <w:szCs w:val="21"/>
          <w:highlight w:val="none"/>
        </w:rPr>
        <w:t>附件3.法定代表人授权委托书加盖公章（按商务文件要求编制）</w:t>
      </w:r>
      <w:bookmarkEnd w:id="180"/>
      <w:bookmarkEnd w:id="181"/>
    </w:p>
    <w:p w14:paraId="78F7FDF0">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52653E7C">
      <w:pPr>
        <w:pStyle w:val="6"/>
        <w:numPr>
          <w:ilvl w:val="255"/>
          <w:numId w:val="0"/>
        </w:numPr>
        <w:tabs>
          <w:tab w:val="left" w:pos="720"/>
          <w:tab w:val="left" w:pos="3840"/>
        </w:tabs>
        <w:ind w:left="283"/>
        <w:jc w:val="both"/>
        <w:rPr>
          <w:rFonts w:hint="eastAsia" w:ascii="宋体" w:hAnsi="宋体"/>
          <w:color w:val="auto"/>
          <w:sz w:val="21"/>
          <w:szCs w:val="21"/>
          <w:highlight w:val="none"/>
        </w:rPr>
      </w:pPr>
      <w:bookmarkStart w:id="182" w:name="_Toc11526"/>
      <w:bookmarkStart w:id="183" w:name="_Toc5368"/>
      <w:r>
        <w:rPr>
          <w:rFonts w:hint="eastAsia" w:ascii="宋体" w:hAnsi="宋体"/>
          <w:color w:val="auto"/>
          <w:sz w:val="21"/>
          <w:szCs w:val="21"/>
          <w:highlight w:val="none"/>
        </w:rPr>
        <w:t>附件4.投标保证金汇入情况说明（含银行汇款凭证）</w:t>
      </w:r>
      <w:bookmarkEnd w:id="182"/>
      <w:bookmarkEnd w:id="183"/>
    </w:p>
    <w:p w14:paraId="29FB3DBA">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3D6F4EB5">
      <w:pPr>
        <w:spacing w:line="480" w:lineRule="auto"/>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广东建瀚工程管理有限公司</w:t>
      </w:r>
      <w:r>
        <w:rPr>
          <w:rFonts w:hint="eastAsia" w:ascii="宋体" w:hAnsi="宋体"/>
          <w:color w:val="auto"/>
          <w:szCs w:val="21"/>
          <w:highlight w:val="none"/>
        </w:rPr>
        <w:t>：</w:t>
      </w:r>
    </w:p>
    <w:p w14:paraId="286886F2">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DCED567">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本单位投标保证金的汇款情况：（详见附件－投标保证金进账单）</w:t>
      </w:r>
    </w:p>
    <w:p w14:paraId="556F22C4">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7FD45F4E">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6511ECB5">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26307C33">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（必须是投标时使用的账号）        </w:t>
      </w:r>
    </w:p>
    <w:p w14:paraId="6D991F31">
      <w:pPr>
        <w:spacing w:line="48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56AA19DE">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46D19E4E">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投标保证金退回时，请按上述资料退回。</w:t>
      </w:r>
    </w:p>
    <w:p w14:paraId="591145D5">
      <w:pPr>
        <w:spacing w:line="480" w:lineRule="auto"/>
        <w:ind w:right="844" w:rightChars="402"/>
        <w:jc w:val="right"/>
        <w:rPr>
          <w:rFonts w:hint="eastAsia" w:ascii="宋体" w:hAnsi="宋体"/>
          <w:color w:val="auto"/>
          <w:szCs w:val="21"/>
          <w:highlight w:val="none"/>
        </w:rPr>
      </w:pPr>
      <w:r>
        <w:rPr>
          <w:rFonts w:hint="eastAsia" w:ascii="宋体" w:hAnsi="宋体"/>
          <w:color w:val="auto"/>
          <w:szCs w:val="21"/>
          <w:highlight w:val="none"/>
        </w:rPr>
        <w:t>（单位公章）</w:t>
      </w:r>
    </w:p>
    <w:p w14:paraId="03265D3D">
      <w:pPr>
        <w:spacing w:line="480" w:lineRule="auto"/>
        <w:ind w:right="628" w:rightChars="299"/>
        <w:jc w:val="right"/>
        <w:rPr>
          <w:rFonts w:hint="eastAsia" w:ascii="宋体" w:hAnsi="宋体"/>
          <w:color w:val="auto"/>
          <w:szCs w:val="21"/>
          <w:highlight w:val="none"/>
        </w:rPr>
      </w:pPr>
      <w:r>
        <w:rPr>
          <w:rFonts w:hint="eastAsia" w:ascii="宋体" w:hAnsi="宋体"/>
          <w:color w:val="auto"/>
          <w:szCs w:val="21"/>
          <w:highlight w:val="none"/>
        </w:rPr>
        <w:t>年  月  日</w:t>
      </w:r>
    </w:p>
    <w:p w14:paraId="063A007B">
      <w:pPr>
        <w:spacing w:line="480" w:lineRule="auto"/>
        <w:rPr>
          <w:rFonts w:hint="eastAsia" w:ascii="宋体" w:hAnsi="宋体"/>
          <w:color w:val="auto"/>
          <w:szCs w:val="21"/>
          <w:highlight w:val="none"/>
        </w:rPr>
      </w:pPr>
      <w:r>
        <w:rPr>
          <w:rFonts w:hint="eastAsia" w:ascii="宋体" w:hAnsi="宋体"/>
          <w:color w:val="auto"/>
          <w:szCs w:val="21"/>
          <w:highlight w:val="none"/>
        </w:rPr>
        <w:t>单位名称：</w:t>
      </w:r>
    </w:p>
    <w:p w14:paraId="1A1F8823">
      <w:pPr>
        <w:spacing w:line="480" w:lineRule="auto"/>
        <w:rPr>
          <w:rFonts w:hint="eastAsia" w:ascii="宋体" w:hAnsi="宋体"/>
          <w:color w:val="auto"/>
          <w:szCs w:val="21"/>
          <w:highlight w:val="none"/>
        </w:rPr>
      </w:pPr>
      <w:r>
        <w:rPr>
          <w:rFonts w:hint="eastAsia" w:ascii="宋体" w:hAnsi="宋体"/>
          <w:color w:val="auto"/>
          <w:szCs w:val="21"/>
          <w:highlight w:val="none"/>
        </w:rPr>
        <w:t>单位地址：</w:t>
      </w:r>
    </w:p>
    <w:p w14:paraId="5324E03C">
      <w:pPr>
        <w:spacing w:line="480" w:lineRule="auto"/>
        <w:rPr>
          <w:rFonts w:hint="eastAsia" w:ascii="宋体" w:hAnsi="宋体"/>
          <w:color w:val="auto"/>
          <w:szCs w:val="21"/>
          <w:highlight w:val="none"/>
        </w:rPr>
      </w:pPr>
      <w:r>
        <w:rPr>
          <w:rFonts w:hint="eastAsia" w:ascii="宋体" w:hAnsi="宋体"/>
          <w:color w:val="auto"/>
          <w:szCs w:val="21"/>
          <w:highlight w:val="none"/>
        </w:rPr>
        <w:t>联系人：</w:t>
      </w:r>
    </w:p>
    <w:p w14:paraId="0696BD64">
      <w:pP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7C4FE2B0">
      <w:pPr>
        <w:spacing w:line="480" w:lineRule="auto"/>
        <w:rPr>
          <w:rFonts w:hint="eastAsia" w:ascii="宋体" w:hAnsi="宋体"/>
          <w:color w:val="auto"/>
          <w:szCs w:val="21"/>
          <w:highlight w:val="none"/>
        </w:rPr>
      </w:pPr>
      <w:r>
        <w:rPr>
          <w:rFonts w:hint="eastAsia" w:ascii="宋体" w:hAnsi="宋体"/>
          <w:color w:val="auto"/>
          <w:szCs w:val="21"/>
          <w:highlight w:val="none"/>
        </w:rPr>
        <w:t>联系人手机：</w:t>
      </w:r>
    </w:p>
    <w:p w14:paraId="70BAAA14">
      <w:pPr>
        <w:rPr>
          <w:rFonts w:hint="eastAsia" w:ascii="宋体" w:hAnsi="宋体"/>
          <w:color w:val="auto"/>
          <w:szCs w:val="21"/>
          <w:highlight w:val="none"/>
        </w:rPr>
      </w:pPr>
    </w:p>
    <w:p w14:paraId="10726F04">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br w:type="page"/>
      </w:r>
    </w:p>
    <w:p w14:paraId="65DFED37">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附：我方投标保证金汇款凭证</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FB53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1F0A3A39">
            <w:pPr>
              <w:tabs>
                <w:tab w:val="left" w:pos="3885"/>
              </w:tabs>
              <w:jc w:val="center"/>
              <w:rPr>
                <w:rFonts w:hint="eastAsia"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54536AF9">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71F7620A">
      <w:pPr>
        <w:rPr>
          <w:rFonts w:hint="eastAsia" w:ascii="宋体" w:hAnsi="宋体"/>
          <w:color w:val="auto"/>
          <w:szCs w:val="21"/>
          <w:highlight w:val="none"/>
        </w:rPr>
      </w:pPr>
    </w:p>
    <w:p w14:paraId="4D9CF9DC">
      <w:pPr>
        <w:rPr>
          <w:rFonts w:hint="eastAsia" w:ascii="宋体" w:hAnsi="宋体"/>
          <w:color w:val="auto"/>
          <w:szCs w:val="21"/>
          <w:highlight w:val="none"/>
        </w:rPr>
      </w:pPr>
    </w:p>
    <w:p w14:paraId="073CC126">
      <w:pPr>
        <w:rPr>
          <w:rFonts w:hint="eastAsia" w:ascii="宋体" w:hAnsi="宋体"/>
          <w:color w:val="auto"/>
          <w:szCs w:val="21"/>
          <w:highlight w:val="none"/>
        </w:rPr>
      </w:pPr>
    </w:p>
    <w:p w14:paraId="09E83F4B">
      <w:pPr>
        <w:rPr>
          <w:rFonts w:hint="eastAsia" w:ascii="宋体" w:hAnsi="宋体"/>
          <w:color w:val="auto"/>
          <w:szCs w:val="21"/>
          <w:highlight w:val="none"/>
        </w:rPr>
      </w:pPr>
    </w:p>
    <w:p w14:paraId="0935E58D">
      <w:pPr>
        <w:rPr>
          <w:rFonts w:hint="eastAsia" w:ascii="宋体" w:hAnsi="宋体"/>
          <w:color w:val="auto"/>
          <w:szCs w:val="21"/>
          <w:highlight w:val="none"/>
        </w:rPr>
      </w:pPr>
    </w:p>
    <w:p w14:paraId="50C906A1">
      <w:pPr>
        <w:rPr>
          <w:rFonts w:hint="eastAsia" w:ascii="宋体" w:hAnsi="宋体"/>
          <w:color w:val="auto"/>
          <w:szCs w:val="21"/>
          <w:highlight w:val="none"/>
        </w:rPr>
      </w:pPr>
    </w:p>
    <w:p w14:paraId="08F1AB94">
      <w:pPr>
        <w:rPr>
          <w:rFonts w:hint="eastAsia" w:ascii="宋体" w:hAnsi="宋体"/>
          <w:color w:val="auto"/>
          <w:szCs w:val="21"/>
          <w:highlight w:val="none"/>
        </w:rPr>
      </w:pPr>
      <w:r>
        <w:rPr>
          <w:rFonts w:hint="eastAsia" w:ascii="宋体" w:hAnsi="宋体"/>
          <w:color w:val="auto"/>
          <w:szCs w:val="21"/>
          <w:highlight w:val="none"/>
        </w:rPr>
        <w:br w:type="page"/>
      </w:r>
    </w:p>
    <w:p w14:paraId="4A3EE0E3">
      <w:pPr>
        <w:pStyle w:val="6"/>
        <w:numPr>
          <w:ilvl w:val="255"/>
          <w:numId w:val="0"/>
        </w:numPr>
        <w:tabs>
          <w:tab w:val="left" w:pos="720"/>
          <w:tab w:val="left" w:pos="3840"/>
        </w:tabs>
        <w:ind w:left="283"/>
        <w:jc w:val="both"/>
        <w:rPr>
          <w:rFonts w:hint="eastAsia" w:ascii="宋体" w:hAnsi="宋体"/>
          <w:color w:val="auto"/>
          <w:sz w:val="21"/>
          <w:szCs w:val="21"/>
          <w:highlight w:val="none"/>
        </w:rPr>
      </w:pPr>
      <w:bookmarkStart w:id="184" w:name="_Toc469"/>
      <w:bookmarkStart w:id="185" w:name="_Toc20645"/>
      <w:r>
        <w:rPr>
          <w:rFonts w:hint="eastAsia" w:ascii="宋体" w:hAnsi="宋体"/>
          <w:color w:val="auto"/>
          <w:sz w:val="21"/>
          <w:szCs w:val="21"/>
          <w:highlight w:val="none"/>
        </w:rPr>
        <w:t>附件5.投标文件电子文件（U盘，须含盖章版PDF投标文件和WORD版投标文件各一版，文字采用WORD文档，计算表格采用 EXCEL文档。）</w:t>
      </w:r>
      <w:bookmarkEnd w:id="184"/>
      <w:bookmarkEnd w:id="185"/>
    </w:p>
    <w:p w14:paraId="1277EC65">
      <w:pPr>
        <w:rPr>
          <w:color w:val="auto"/>
          <w:highlight w:val="none"/>
        </w:rPr>
      </w:pPr>
    </w:p>
    <w:p w14:paraId="633AD5C4">
      <w:pPr>
        <w:ind w:firstLine="420" w:firstLineChars="200"/>
        <w:rPr>
          <w:rFonts w:hint="eastAsia" w:hAnsi="宋体"/>
          <w:color w:val="auto"/>
          <w:szCs w:val="21"/>
          <w:highlight w:val="none"/>
        </w:rPr>
      </w:pPr>
      <w:r>
        <w:rPr>
          <w:rFonts w:hint="eastAsia" w:hAnsi="宋体"/>
          <w:color w:val="auto"/>
          <w:szCs w:val="21"/>
          <w:highlight w:val="none"/>
        </w:rPr>
        <w:t>一、开标一览表加盖公章；</w:t>
      </w:r>
    </w:p>
    <w:p w14:paraId="54D0D1F7">
      <w:pPr>
        <w:ind w:firstLine="420" w:firstLineChars="200"/>
        <w:rPr>
          <w:rFonts w:hint="eastAsia" w:hAnsi="宋体"/>
          <w:color w:val="auto"/>
          <w:szCs w:val="21"/>
          <w:highlight w:val="none"/>
        </w:rPr>
      </w:pPr>
      <w:r>
        <w:rPr>
          <w:rFonts w:hint="eastAsia" w:hAnsi="宋体"/>
          <w:color w:val="auto"/>
          <w:szCs w:val="21"/>
          <w:highlight w:val="none"/>
        </w:rPr>
        <w:t>二、法定代表人证明书加盖公章；</w:t>
      </w:r>
    </w:p>
    <w:p w14:paraId="5BFAC1F2">
      <w:pPr>
        <w:ind w:firstLine="420" w:firstLineChars="200"/>
        <w:rPr>
          <w:rFonts w:hint="eastAsia" w:hAnsi="宋体"/>
          <w:color w:val="auto"/>
          <w:szCs w:val="21"/>
          <w:highlight w:val="none"/>
        </w:rPr>
      </w:pPr>
      <w:r>
        <w:rPr>
          <w:rFonts w:hint="eastAsia" w:hAnsi="宋体"/>
          <w:color w:val="auto"/>
          <w:szCs w:val="21"/>
          <w:highlight w:val="none"/>
        </w:rPr>
        <w:t>三、法定代表人授权委托书加盖公章（法定代表人投标的除外）；</w:t>
      </w:r>
    </w:p>
    <w:p w14:paraId="50F31CE3">
      <w:pPr>
        <w:ind w:firstLine="420" w:firstLineChars="200"/>
        <w:rPr>
          <w:rFonts w:hint="eastAsia" w:hAnsi="宋体"/>
          <w:color w:val="auto"/>
          <w:szCs w:val="21"/>
          <w:highlight w:val="none"/>
        </w:rPr>
      </w:pPr>
      <w:r>
        <w:rPr>
          <w:rFonts w:hint="eastAsia" w:hAnsi="宋体"/>
          <w:color w:val="auto"/>
          <w:szCs w:val="21"/>
          <w:highlight w:val="none"/>
        </w:rPr>
        <w:t>四、投标保证金汇入情况说明（含银行汇款凭证）或投标保函加盖公章；</w:t>
      </w:r>
    </w:p>
    <w:p w14:paraId="5C5C97B4">
      <w:pPr>
        <w:ind w:firstLine="420" w:firstLineChars="200"/>
        <w:rPr>
          <w:rFonts w:hint="eastAsia" w:hAnsi="宋体"/>
          <w:color w:val="auto"/>
          <w:szCs w:val="21"/>
          <w:highlight w:val="none"/>
        </w:rPr>
      </w:pPr>
      <w:r>
        <w:rPr>
          <w:rFonts w:hint="eastAsia" w:hAnsi="宋体"/>
          <w:color w:val="auto"/>
          <w:szCs w:val="21"/>
          <w:highlight w:val="none"/>
        </w:rPr>
        <w:t>五、投标文件电子文件（U盘，须含盖章版PDF投标文件和WORD版投标文件各一版，文字采用WORD文档，计算表格采用 EXCEL文档。）</w:t>
      </w:r>
    </w:p>
    <w:p w14:paraId="2CA7CF8B">
      <w:pPr>
        <w:rPr>
          <w:rFonts w:hint="eastAsia" w:ascii="宋体" w:hAnsi="宋体" w:cs="宋体"/>
          <w:color w:val="auto"/>
          <w:szCs w:val="21"/>
          <w:highlight w:val="none"/>
        </w:rPr>
      </w:pPr>
    </w:p>
    <w:sectPr>
      <w:headerReference r:id="rId17" w:type="first"/>
      <w:footerReference r:id="rId19" w:type="first"/>
      <w:headerReference r:id="rId16" w:type="default"/>
      <w:footerReference r:id="rId18" w:type="default"/>
      <w:pgSz w:w="11906" w:h="16838"/>
      <w:pgMar w:top="1440" w:right="1800" w:bottom="1440" w:left="1800" w:header="708" w:footer="708" w:gutter="0"/>
      <w:pgBorders>
        <w:top w:val="none" w:sz="0" w:space="0"/>
        <w:left w:val="none" w:sz="0" w:space="0"/>
        <w:bottom w:val="none" w:sz="0" w:space="0"/>
        <w:right w:val="none" w:sz="0" w:space="0"/>
      </w:pgBorders>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Wingdings 2">
    <w:altName w:val="Wingdings"/>
    <w:panose1 w:val="05020102010507070707"/>
    <w:charset w:val="02"/>
    <w:family w:val="roman"/>
    <w:pitch w:val="default"/>
    <w:sig w:usb0="00000000" w:usb1="00000000" w:usb2="00000000" w:usb3="00000000" w:csb0="80000000" w:csb1="00000000"/>
  </w:font>
  <w:font w:name="Calibri Light">
    <w:panose1 w:val="020F0302020204030204"/>
    <w:charset w:val="00"/>
    <w:family w:val="swiss"/>
    <w:pitch w:val="default"/>
    <w:sig w:usb0="E4002EFF" w:usb1="C200247B" w:usb2="00000009" w:usb3="00000000" w:csb0="200001FF"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C6611">
    <w:pPr>
      <w:pStyle w:val="18"/>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AA25E8">
                          <w:pPr>
                            <w:pStyle w:val="1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0AA25E8">
                    <w:pPr>
                      <w:pStyle w:val="1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E98F8">
    <w:pPr>
      <w:pStyle w:val="18"/>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3E2F7F">
                          <w:pPr>
                            <w:pStyle w:val="18"/>
                            <w:jc w:val="center"/>
                          </w:pPr>
                          <w:r>
                            <w:rPr>
                              <w:rFonts w:hint="eastAsia" w:ascii="Calibri" w:hAnsi="Calibri"/>
                            </w:rPr>
                            <w:t>第 1 页  共 15 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9r1VskBAACZAwAADgAAAGRycy9lMm9Eb2MueG1srVPNjtMwEL4j8Q6W&#10;79Rph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XL&#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v2vVWyQEAAJkDAAAOAAAAAAAAAAEAIAAAAB4BAABkcnMvZTJvRG9j&#10;LnhtbFBLBQYAAAAABgAGAFkBAABZBQAAAAA=&#10;">
              <v:fill on="f" focussize="0,0"/>
              <v:stroke on="f"/>
              <v:imagedata o:title=""/>
              <o:lock v:ext="edit" aspectratio="f"/>
              <v:textbox inset="0mm,0mm,0mm,0mm" style="mso-fit-shape-to-text:t;">
                <w:txbxContent>
                  <w:p w14:paraId="663E2F7F">
                    <w:pPr>
                      <w:pStyle w:val="18"/>
                      <w:jc w:val="center"/>
                    </w:pPr>
                    <w:r>
                      <w:rPr>
                        <w:rFonts w:hint="eastAsia" w:ascii="Calibri" w:hAnsi="Calibri"/>
                      </w:rPr>
                      <w:t>第 1 页  共 15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807FD">
    <w:pPr>
      <w:pStyle w:val="18"/>
      <w:framePr w:wrap="around" w:vAnchor="text" w:hAnchor="text" w:xAlign="center" w:y="2"/>
      <w:rPr>
        <w:rStyle w:val="34"/>
      </w:rPr>
    </w:pPr>
    <w:r>
      <w:fldChar w:fldCharType="begin"/>
    </w:r>
    <w:r>
      <w:rPr>
        <w:rStyle w:val="34"/>
      </w:rPr>
      <w:instrText xml:space="preserve">PAGE  </w:instrText>
    </w:r>
    <w:r>
      <w:fldChar w:fldCharType="separate"/>
    </w:r>
    <w:r>
      <w:fldChar w:fldCharType="end"/>
    </w:r>
  </w:p>
  <w:p w14:paraId="78D6F368">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DDA69">
    <w:pPr>
      <w:pStyle w:val="18"/>
      <w:jc w:val="both"/>
    </w:pPr>
    <w:r>
      <mc:AlternateContent>
        <mc:Choice Requires="wps">
          <w:drawing>
            <wp:anchor distT="0" distB="0" distL="114300" distR="114300" simplePos="0" relativeHeight="251659264" behindDoc="1"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C83A07">
                          <w:pPr>
                            <w:pStyle w:val="18"/>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rPr>
                            <w:t>1</w:t>
                          </w:r>
                          <w:r>
                            <w:rPr>
                              <w:rFonts w:hint="eastAsia"/>
                              <w:lang w:val="en-US" w:eastAsia="zh-CN"/>
                            </w:rPr>
                            <w:t>8</w:t>
                          </w:r>
                          <w:r>
                            <w:t xml:space="preserve"> 页</w:t>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BX5skBAACZ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9YFfmyQEAAJkDAAAOAAAAAAAAAAEAIAAAAB4BAABkcnMvZTJvRG9j&#10;LnhtbFBLBQYAAAAABgAGAFkBAABZBQAAAAA=&#10;">
              <v:fill on="f" focussize="0,0"/>
              <v:stroke on="f"/>
              <v:imagedata o:title=""/>
              <o:lock v:ext="edit" aspectratio="f"/>
              <v:textbox inset="0mm,0mm,0mm,0mm" style="mso-fit-shape-to-text:t;">
                <w:txbxContent>
                  <w:p w14:paraId="30C83A07">
                    <w:pPr>
                      <w:pStyle w:val="18"/>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rPr>
                      <w:t>1</w:t>
                    </w:r>
                    <w:r>
                      <w:rPr>
                        <w:rFonts w:hint="eastAsia"/>
                        <w:lang w:val="en-US" w:eastAsia="zh-CN"/>
                      </w:rPr>
                      <w:t>8</w:t>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907C0">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0A30B">
    <w:pPr>
      <w:pStyle w:val="1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71BBD">
    <w:pPr>
      <w:pStyle w:val="1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E45FE">
                          <w:pPr>
                            <w:pStyle w:val="18"/>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05E45FE">
                    <w:pPr>
                      <w:pStyle w:val="18"/>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36169">
    <w:pPr>
      <w:pStyle w:val="1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6FE073">
                          <w:pPr>
                            <w:pStyle w:val="18"/>
                          </w:pPr>
                          <w:r>
                            <w:t xml:space="preserve">第 </w:t>
                          </w:r>
                          <w:r>
                            <w:fldChar w:fldCharType="begin"/>
                          </w:r>
                          <w:r>
                            <w:instrText xml:space="preserve"> PAGE  \* MERGEFORMAT </w:instrText>
                          </w:r>
                          <w:r>
                            <w:fldChar w:fldCharType="separate"/>
                          </w:r>
                          <w:r>
                            <w:t>58</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B6FE073">
                    <w:pPr>
                      <w:pStyle w:val="18"/>
                    </w:pPr>
                    <w:r>
                      <w:t xml:space="preserve">第 </w:t>
                    </w:r>
                    <w:r>
                      <w:fldChar w:fldCharType="begin"/>
                    </w:r>
                    <w:r>
                      <w:instrText xml:space="preserve"> PAGE  \* MERGEFORMAT </w:instrText>
                    </w:r>
                    <w:r>
                      <w:fldChar w:fldCharType="separate"/>
                    </w:r>
                    <w:r>
                      <w:t>58</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51D09">
    <w:pPr>
      <w:pStyle w:val="19"/>
    </w:pPr>
    <w:r>
      <w:t xml:space="preserve">             </w:t>
    </w:r>
    <w:r>
      <w:rPr>
        <w:rFonts w:hint="eastAsia"/>
      </w:rPr>
      <w:t xml:space="preserve">                                            </w:t>
    </w:r>
    <w:r>
      <w:rPr>
        <w:rFonts w:hint="eastAsia"/>
        <w:lang w:eastAsia="zh-CN"/>
      </w:rPr>
      <w:t>东莞市新锋新能源有限公司</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19555">
    <w:pPr>
      <w:pStyle w:val="19"/>
      <w:pBdr>
        <w:top w:val="none" w:color="auto" w:sz="0" w:space="0"/>
        <w:left w:val="none" w:color="auto" w:sz="0" w:space="0"/>
        <w:bottom w:val="none" w:color="auto" w:sz="0" w:space="0"/>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878DD">
    <w:pPr>
      <w:pStyle w:val="19"/>
    </w:pPr>
    <w:r>
      <w:t xml:space="preserve">      </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DE574">
    <w:pPr>
      <w:pStyle w:val="19"/>
    </w:pPr>
    <w:r>
      <w:t xml:space="preserve">             </w:t>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FAE68">
    <w:pPr>
      <w:pStyle w:val="19"/>
      <w:jc w:val="both"/>
      <w:rPr>
        <w:rFonts w:hint="eastAsia" w:eastAsia="宋体"/>
        <w:lang w:eastAsia="zh-CN"/>
      </w:rPr>
    </w:pPr>
    <w:r>
      <w:t xml:space="preserve">         </w:t>
    </w:r>
    <w:r>
      <w:rPr>
        <w:rFonts w:hint="eastAsia"/>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18F73">
    <w:pPr>
      <w:pStyle w:val="19"/>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EAA61">
    <w:pPr>
      <w:pStyle w:val="19"/>
      <w:jc w:val="both"/>
      <w:rPr>
        <w:rFonts w:hint="eastAsia" w:eastAsia="宋体"/>
        <w:lang w:eastAsia="zh-CN"/>
      </w:rPr>
    </w:pPr>
    <w:r>
      <w:t xml:space="preserve">             </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8459C"/>
    <w:multiLevelType w:val="singleLevel"/>
    <w:tmpl w:val="90A8459C"/>
    <w:lvl w:ilvl="0" w:tentative="0">
      <w:start w:val="5"/>
      <w:numFmt w:val="decimal"/>
      <w:suff w:val="nothing"/>
      <w:lvlText w:val="%1、"/>
      <w:lvlJc w:val="left"/>
    </w:lvl>
  </w:abstractNum>
  <w:abstractNum w:abstractNumId="1">
    <w:nsid w:val="917218B6"/>
    <w:multiLevelType w:val="multilevel"/>
    <w:tmpl w:val="917218B6"/>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default" w:ascii="仿宋_GB2312" w:hAnsi="仿宋_GB2312" w:eastAsia="仿宋_GB2312" w:cs="仿宋_GB2312"/>
        <w:sz w:val="24"/>
        <w:szCs w:val="24"/>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
    <w:nsid w:val="C9555E15"/>
    <w:multiLevelType w:val="singleLevel"/>
    <w:tmpl w:val="C9555E15"/>
    <w:lvl w:ilvl="0" w:tentative="0">
      <w:start w:val="1"/>
      <w:numFmt w:val="decimal"/>
      <w:lvlText w:val="(%1)"/>
      <w:lvlJc w:val="left"/>
      <w:pPr>
        <w:ind w:left="425" w:hanging="425"/>
      </w:pPr>
      <w:rPr>
        <w:rFonts w:hint="default"/>
      </w:rPr>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0D2348B"/>
    <w:multiLevelType w:val="singleLevel"/>
    <w:tmpl w:val="20D2348B"/>
    <w:lvl w:ilvl="0" w:tentative="0">
      <w:start w:val="1"/>
      <w:numFmt w:val="chineseCounting"/>
      <w:suff w:val="nothing"/>
      <w:lvlText w:val="（%1）"/>
      <w:lvlJc w:val="left"/>
      <w:rPr>
        <w:rFonts w:hint="eastAsia"/>
      </w:rPr>
    </w:lvl>
  </w:abstractNum>
  <w:abstractNum w:abstractNumId="6">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F88662E"/>
    <w:multiLevelType w:val="singleLevel"/>
    <w:tmpl w:val="3F88662E"/>
    <w:lvl w:ilvl="0" w:tentative="0">
      <w:start w:val="1"/>
      <w:numFmt w:val="decimal"/>
      <w:suff w:val="space"/>
      <w:lvlText w:val="%1)"/>
      <w:lvlJc w:val="left"/>
    </w:lvl>
  </w:abstractNum>
  <w:abstractNum w:abstractNumId="8">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6"/>
  </w:num>
  <w:num w:numId="3">
    <w:abstractNumId w:val="10"/>
  </w:num>
  <w:num w:numId="4">
    <w:abstractNumId w:val="7"/>
  </w:num>
  <w:num w:numId="5">
    <w:abstractNumId w:val="2"/>
  </w:num>
  <w:num w:numId="6">
    <w:abstractNumId w:val="1"/>
  </w:num>
  <w:num w:numId="7">
    <w:abstractNumId w:val="0"/>
  </w:num>
  <w:num w:numId="8">
    <w:abstractNumId w:val="4"/>
  </w:num>
  <w:num w:numId="9">
    <w:abstractNumId w:val="5"/>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NDZlYWM2ZDg1OGVjMjM0MzI1ZTkzNzNlOTYxYmMifQ=="/>
    <w:docVar w:name="KSO_WPS_MARK_KEY" w:val="22017ea2-d8bb-4714-a5b5-98b16546ae4b"/>
  </w:docVars>
  <w:rsids>
    <w:rsidRoot w:val="00172A27"/>
    <w:rsid w:val="000011FC"/>
    <w:rsid w:val="00001C50"/>
    <w:rsid w:val="00005A66"/>
    <w:rsid w:val="000063F3"/>
    <w:rsid w:val="00006462"/>
    <w:rsid w:val="00013F3F"/>
    <w:rsid w:val="00015A14"/>
    <w:rsid w:val="00016105"/>
    <w:rsid w:val="000271EA"/>
    <w:rsid w:val="000300B9"/>
    <w:rsid w:val="000300E4"/>
    <w:rsid w:val="0003307E"/>
    <w:rsid w:val="000336BA"/>
    <w:rsid w:val="000340CE"/>
    <w:rsid w:val="000359A1"/>
    <w:rsid w:val="000477F2"/>
    <w:rsid w:val="0004788C"/>
    <w:rsid w:val="0005185D"/>
    <w:rsid w:val="0006184E"/>
    <w:rsid w:val="00067748"/>
    <w:rsid w:val="000738C0"/>
    <w:rsid w:val="0007500F"/>
    <w:rsid w:val="0008282E"/>
    <w:rsid w:val="00084F6D"/>
    <w:rsid w:val="00093A13"/>
    <w:rsid w:val="000A1CD8"/>
    <w:rsid w:val="000A363F"/>
    <w:rsid w:val="000A42A8"/>
    <w:rsid w:val="000A5063"/>
    <w:rsid w:val="000A5DBD"/>
    <w:rsid w:val="000A5DF2"/>
    <w:rsid w:val="000C4524"/>
    <w:rsid w:val="000D44A6"/>
    <w:rsid w:val="000E2CB7"/>
    <w:rsid w:val="000F0AA6"/>
    <w:rsid w:val="000F0E98"/>
    <w:rsid w:val="000F19D1"/>
    <w:rsid w:val="001049A5"/>
    <w:rsid w:val="00111D5C"/>
    <w:rsid w:val="001120E0"/>
    <w:rsid w:val="00117245"/>
    <w:rsid w:val="00121ADA"/>
    <w:rsid w:val="001242F3"/>
    <w:rsid w:val="001332BB"/>
    <w:rsid w:val="00134CAD"/>
    <w:rsid w:val="001368B7"/>
    <w:rsid w:val="0013730B"/>
    <w:rsid w:val="00137853"/>
    <w:rsid w:val="00137E1C"/>
    <w:rsid w:val="00145DC4"/>
    <w:rsid w:val="00146E39"/>
    <w:rsid w:val="00147012"/>
    <w:rsid w:val="00156FE1"/>
    <w:rsid w:val="00172A27"/>
    <w:rsid w:val="00173126"/>
    <w:rsid w:val="001731DD"/>
    <w:rsid w:val="00173905"/>
    <w:rsid w:val="00173E04"/>
    <w:rsid w:val="00175D29"/>
    <w:rsid w:val="00181481"/>
    <w:rsid w:val="001833A1"/>
    <w:rsid w:val="001844F4"/>
    <w:rsid w:val="00185039"/>
    <w:rsid w:val="001852D7"/>
    <w:rsid w:val="001915D6"/>
    <w:rsid w:val="001934B1"/>
    <w:rsid w:val="00193CF2"/>
    <w:rsid w:val="001A06D8"/>
    <w:rsid w:val="001A2D42"/>
    <w:rsid w:val="001A2EF7"/>
    <w:rsid w:val="001A7857"/>
    <w:rsid w:val="001B1F14"/>
    <w:rsid w:val="001B41CF"/>
    <w:rsid w:val="001B5860"/>
    <w:rsid w:val="001C1135"/>
    <w:rsid w:val="001C15AE"/>
    <w:rsid w:val="001C1CA7"/>
    <w:rsid w:val="001C42F3"/>
    <w:rsid w:val="001C4661"/>
    <w:rsid w:val="001C5689"/>
    <w:rsid w:val="001C6E4B"/>
    <w:rsid w:val="001D4665"/>
    <w:rsid w:val="001E2389"/>
    <w:rsid w:val="001F0070"/>
    <w:rsid w:val="001F4B02"/>
    <w:rsid w:val="001F6BC7"/>
    <w:rsid w:val="002065A7"/>
    <w:rsid w:val="0020676A"/>
    <w:rsid w:val="00207B08"/>
    <w:rsid w:val="0021149E"/>
    <w:rsid w:val="002117CF"/>
    <w:rsid w:val="00213021"/>
    <w:rsid w:val="00216BE9"/>
    <w:rsid w:val="0022503E"/>
    <w:rsid w:val="00225BB4"/>
    <w:rsid w:val="002261DD"/>
    <w:rsid w:val="00226313"/>
    <w:rsid w:val="002358D2"/>
    <w:rsid w:val="00235934"/>
    <w:rsid w:val="00240F5F"/>
    <w:rsid w:val="00242F3C"/>
    <w:rsid w:val="002437E4"/>
    <w:rsid w:val="00244D10"/>
    <w:rsid w:val="00247224"/>
    <w:rsid w:val="00247AE0"/>
    <w:rsid w:val="00250B3D"/>
    <w:rsid w:val="00260AC1"/>
    <w:rsid w:val="0026312D"/>
    <w:rsid w:val="0027078E"/>
    <w:rsid w:val="00274C7E"/>
    <w:rsid w:val="0027614D"/>
    <w:rsid w:val="0028395F"/>
    <w:rsid w:val="00284156"/>
    <w:rsid w:val="00285643"/>
    <w:rsid w:val="002867A1"/>
    <w:rsid w:val="002901F8"/>
    <w:rsid w:val="002920A4"/>
    <w:rsid w:val="002961E8"/>
    <w:rsid w:val="002B4087"/>
    <w:rsid w:val="002B5F6C"/>
    <w:rsid w:val="002C6C78"/>
    <w:rsid w:val="002D1594"/>
    <w:rsid w:val="002D3F9C"/>
    <w:rsid w:val="002D4A7A"/>
    <w:rsid w:val="002D4DDD"/>
    <w:rsid w:val="002D503C"/>
    <w:rsid w:val="002D6A9D"/>
    <w:rsid w:val="002D7E27"/>
    <w:rsid w:val="002E17E5"/>
    <w:rsid w:val="002E6B7E"/>
    <w:rsid w:val="002F0FC9"/>
    <w:rsid w:val="002F771C"/>
    <w:rsid w:val="0030489A"/>
    <w:rsid w:val="0030669E"/>
    <w:rsid w:val="003101A3"/>
    <w:rsid w:val="00320CEA"/>
    <w:rsid w:val="00323B43"/>
    <w:rsid w:val="0032477C"/>
    <w:rsid w:val="00326831"/>
    <w:rsid w:val="003274CE"/>
    <w:rsid w:val="003361E9"/>
    <w:rsid w:val="00337A77"/>
    <w:rsid w:val="00342E6D"/>
    <w:rsid w:val="003430F6"/>
    <w:rsid w:val="003525CD"/>
    <w:rsid w:val="00353598"/>
    <w:rsid w:val="00353842"/>
    <w:rsid w:val="00353DFB"/>
    <w:rsid w:val="0035595E"/>
    <w:rsid w:val="00356196"/>
    <w:rsid w:val="00360C24"/>
    <w:rsid w:val="003717F5"/>
    <w:rsid w:val="00374369"/>
    <w:rsid w:val="00383FCF"/>
    <w:rsid w:val="0038475D"/>
    <w:rsid w:val="0038564C"/>
    <w:rsid w:val="00387CE4"/>
    <w:rsid w:val="003914A7"/>
    <w:rsid w:val="00393B1D"/>
    <w:rsid w:val="003A1D97"/>
    <w:rsid w:val="003A4407"/>
    <w:rsid w:val="003A661D"/>
    <w:rsid w:val="003B1A8C"/>
    <w:rsid w:val="003C18EB"/>
    <w:rsid w:val="003C1E4E"/>
    <w:rsid w:val="003C32D3"/>
    <w:rsid w:val="003C3B19"/>
    <w:rsid w:val="003C3CF9"/>
    <w:rsid w:val="003C412B"/>
    <w:rsid w:val="003C415C"/>
    <w:rsid w:val="003C5AAE"/>
    <w:rsid w:val="003D18FB"/>
    <w:rsid w:val="003D36FB"/>
    <w:rsid w:val="003D37D8"/>
    <w:rsid w:val="003E0802"/>
    <w:rsid w:val="003E18E7"/>
    <w:rsid w:val="003E2B8C"/>
    <w:rsid w:val="003E5282"/>
    <w:rsid w:val="003E6103"/>
    <w:rsid w:val="003F46B4"/>
    <w:rsid w:val="003F4822"/>
    <w:rsid w:val="0040122E"/>
    <w:rsid w:val="00401C64"/>
    <w:rsid w:val="00401CC0"/>
    <w:rsid w:val="00410AB5"/>
    <w:rsid w:val="00410F11"/>
    <w:rsid w:val="00411067"/>
    <w:rsid w:val="004203B9"/>
    <w:rsid w:val="00426474"/>
    <w:rsid w:val="004322A2"/>
    <w:rsid w:val="004358AB"/>
    <w:rsid w:val="00436CCF"/>
    <w:rsid w:val="00440DDF"/>
    <w:rsid w:val="00442860"/>
    <w:rsid w:val="00451EB4"/>
    <w:rsid w:val="00460B31"/>
    <w:rsid w:val="00462105"/>
    <w:rsid w:val="00462D5B"/>
    <w:rsid w:val="00463ACB"/>
    <w:rsid w:val="00470D85"/>
    <w:rsid w:val="004733E4"/>
    <w:rsid w:val="00473AAA"/>
    <w:rsid w:val="004751F7"/>
    <w:rsid w:val="00475A80"/>
    <w:rsid w:val="00476B88"/>
    <w:rsid w:val="004801B4"/>
    <w:rsid w:val="00490B9E"/>
    <w:rsid w:val="00492F63"/>
    <w:rsid w:val="00497577"/>
    <w:rsid w:val="004A05D7"/>
    <w:rsid w:val="004A154E"/>
    <w:rsid w:val="004A2134"/>
    <w:rsid w:val="004A2B28"/>
    <w:rsid w:val="004A6330"/>
    <w:rsid w:val="004A69F1"/>
    <w:rsid w:val="004B3550"/>
    <w:rsid w:val="004B3F06"/>
    <w:rsid w:val="004B56B9"/>
    <w:rsid w:val="004B7969"/>
    <w:rsid w:val="004C7FD6"/>
    <w:rsid w:val="004D02E5"/>
    <w:rsid w:val="004D08C0"/>
    <w:rsid w:val="004D1669"/>
    <w:rsid w:val="004D22B3"/>
    <w:rsid w:val="004D51A2"/>
    <w:rsid w:val="004D5AFB"/>
    <w:rsid w:val="004E04FD"/>
    <w:rsid w:val="004E11AD"/>
    <w:rsid w:val="004E3E1F"/>
    <w:rsid w:val="004E601B"/>
    <w:rsid w:val="004F1BB7"/>
    <w:rsid w:val="004F6136"/>
    <w:rsid w:val="004F7F21"/>
    <w:rsid w:val="0050188C"/>
    <w:rsid w:val="00503171"/>
    <w:rsid w:val="0050759C"/>
    <w:rsid w:val="00510827"/>
    <w:rsid w:val="0051148C"/>
    <w:rsid w:val="00511DEA"/>
    <w:rsid w:val="00513C8B"/>
    <w:rsid w:val="00514D47"/>
    <w:rsid w:val="00515CED"/>
    <w:rsid w:val="005267F1"/>
    <w:rsid w:val="005269A9"/>
    <w:rsid w:val="00527A2C"/>
    <w:rsid w:val="005319C1"/>
    <w:rsid w:val="00532034"/>
    <w:rsid w:val="005400C9"/>
    <w:rsid w:val="00541668"/>
    <w:rsid w:val="00541A48"/>
    <w:rsid w:val="005439EE"/>
    <w:rsid w:val="00545D9A"/>
    <w:rsid w:val="00546A42"/>
    <w:rsid w:val="00550DD0"/>
    <w:rsid w:val="0055408D"/>
    <w:rsid w:val="005616DC"/>
    <w:rsid w:val="0057492D"/>
    <w:rsid w:val="005756D1"/>
    <w:rsid w:val="00582EC1"/>
    <w:rsid w:val="0058523E"/>
    <w:rsid w:val="00590819"/>
    <w:rsid w:val="00593D68"/>
    <w:rsid w:val="005953F6"/>
    <w:rsid w:val="005A208B"/>
    <w:rsid w:val="005A555E"/>
    <w:rsid w:val="005A7612"/>
    <w:rsid w:val="005B3257"/>
    <w:rsid w:val="005B58A6"/>
    <w:rsid w:val="005C1BF5"/>
    <w:rsid w:val="005C3920"/>
    <w:rsid w:val="005C57E1"/>
    <w:rsid w:val="005C702E"/>
    <w:rsid w:val="005D01B8"/>
    <w:rsid w:val="005D066B"/>
    <w:rsid w:val="005D1D00"/>
    <w:rsid w:val="005D2D85"/>
    <w:rsid w:val="005E1958"/>
    <w:rsid w:val="005F20A4"/>
    <w:rsid w:val="005F4EAE"/>
    <w:rsid w:val="005F573A"/>
    <w:rsid w:val="005F660B"/>
    <w:rsid w:val="005F7EB1"/>
    <w:rsid w:val="00604B81"/>
    <w:rsid w:val="0061246F"/>
    <w:rsid w:val="00613151"/>
    <w:rsid w:val="00613417"/>
    <w:rsid w:val="00613B25"/>
    <w:rsid w:val="00613EFF"/>
    <w:rsid w:val="0061545F"/>
    <w:rsid w:val="006175DE"/>
    <w:rsid w:val="006211FA"/>
    <w:rsid w:val="006215AC"/>
    <w:rsid w:val="00621821"/>
    <w:rsid w:val="00622362"/>
    <w:rsid w:val="00622497"/>
    <w:rsid w:val="0062543D"/>
    <w:rsid w:val="00627555"/>
    <w:rsid w:val="006276AD"/>
    <w:rsid w:val="006319B2"/>
    <w:rsid w:val="006378D4"/>
    <w:rsid w:val="00640D8A"/>
    <w:rsid w:val="00641E8C"/>
    <w:rsid w:val="0064416A"/>
    <w:rsid w:val="00646297"/>
    <w:rsid w:val="006476E3"/>
    <w:rsid w:val="006479F5"/>
    <w:rsid w:val="00650DDC"/>
    <w:rsid w:val="00652983"/>
    <w:rsid w:val="0065365D"/>
    <w:rsid w:val="006546D0"/>
    <w:rsid w:val="00654819"/>
    <w:rsid w:val="006576FD"/>
    <w:rsid w:val="00661E37"/>
    <w:rsid w:val="00664F6B"/>
    <w:rsid w:val="006731D2"/>
    <w:rsid w:val="00680EB0"/>
    <w:rsid w:val="00682986"/>
    <w:rsid w:val="0068501E"/>
    <w:rsid w:val="00691701"/>
    <w:rsid w:val="00691AE0"/>
    <w:rsid w:val="0069491E"/>
    <w:rsid w:val="006A5604"/>
    <w:rsid w:val="006A75B0"/>
    <w:rsid w:val="006B004E"/>
    <w:rsid w:val="006B3E6C"/>
    <w:rsid w:val="006B4832"/>
    <w:rsid w:val="006B565C"/>
    <w:rsid w:val="006B7878"/>
    <w:rsid w:val="006C14BD"/>
    <w:rsid w:val="006C28E5"/>
    <w:rsid w:val="006C2DC4"/>
    <w:rsid w:val="006C3BF8"/>
    <w:rsid w:val="006C67A9"/>
    <w:rsid w:val="006D25EC"/>
    <w:rsid w:val="006D393E"/>
    <w:rsid w:val="006D43C5"/>
    <w:rsid w:val="006D4AD8"/>
    <w:rsid w:val="006D5706"/>
    <w:rsid w:val="006E0B58"/>
    <w:rsid w:val="006E0C4B"/>
    <w:rsid w:val="006E706D"/>
    <w:rsid w:val="006F5E17"/>
    <w:rsid w:val="00704F7B"/>
    <w:rsid w:val="007110BA"/>
    <w:rsid w:val="00711465"/>
    <w:rsid w:val="00715EE5"/>
    <w:rsid w:val="0071640C"/>
    <w:rsid w:val="00716CEB"/>
    <w:rsid w:val="00716E96"/>
    <w:rsid w:val="00723B11"/>
    <w:rsid w:val="00733F52"/>
    <w:rsid w:val="007343A7"/>
    <w:rsid w:val="00734BB2"/>
    <w:rsid w:val="007408E3"/>
    <w:rsid w:val="00741026"/>
    <w:rsid w:val="00741904"/>
    <w:rsid w:val="0075028E"/>
    <w:rsid w:val="007528A6"/>
    <w:rsid w:val="00752F7F"/>
    <w:rsid w:val="007534FC"/>
    <w:rsid w:val="007608B9"/>
    <w:rsid w:val="0076378D"/>
    <w:rsid w:val="00770BFE"/>
    <w:rsid w:val="007724B4"/>
    <w:rsid w:val="0077462B"/>
    <w:rsid w:val="007902ED"/>
    <w:rsid w:val="007916E7"/>
    <w:rsid w:val="00795DE1"/>
    <w:rsid w:val="00797C5D"/>
    <w:rsid w:val="00797D2F"/>
    <w:rsid w:val="007A34B9"/>
    <w:rsid w:val="007A3EF1"/>
    <w:rsid w:val="007A4DB3"/>
    <w:rsid w:val="007A6F47"/>
    <w:rsid w:val="007A7779"/>
    <w:rsid w:val="007C4205"/>
    <w:rsid w:val="007C4F46"/>
    <w:rsid w:val="007C7297"/>
    <w:rsid w:val="007D1B4F"/>
    <w:rsid w:val="007D2F9E"/>
    <w:rsid w:val="007D3175"/>
    <w:rsid w:val="007D3A27"/>
    <w:rsid w:val="007D48BF"/>
    <w:rsid w:val="007D5C45"/>
    <w:rsid w:val="007E2543"/>
    <w:rsid w:val="007E41CC"/>
    <w:rsid w:val="007E4A26"/>
    <w:rsid w:val="007E7A17"/>
    <w:rsid w:val="007F01B0"/>
    <w:rsid w:val="007F19DC"/>
    <w:rsid w:val="007F2CD8"/>
    <w:rsid w:val="007F4341"/>
    <w:rsid w:val="007F4DC5"/>
    <w:rsid w:val="00806380"/>
    <w:rsid w:val="0081104F"/>
    <w:rsid w:val="0081319A"/>
    <w:rsid w:val="00814251"/>
    <w:rsid w:val="008207AE"/>
    <w:rsid w:val="00820A95"/>
    <w:rsid w:val="00822299"/>
    <w:rsid w:val="0083486A"/>
    <w:rsid w:val="00837E35"/>
    <w:rsid w:val="0084043E"/>
    <w:rsid w:val="00841378"/>
    <w:rsid w:val="00842B87"/>
    <w:rsid w:val="00845411"/>
    <w:rsid w:val="00845BEB"/>
    <w:rsid w:val="008472E6"/>
    <w:rsid w:val="008518B4"/>
    <w:rsid w:val="00853463"/>
    <w:rsid w:val="008548BD"/>
    <w:rsid w:val="00857709"/>
    <w:rsid w:val="0086026F"/>
    <w:rsid w:val="00861D87"/>
    <w:rsid w:val="008640F5"/>
    <w:rsid w:val="008644FF"/>
    <w:rsid w:val="0087704E"/>
    <w:rsid w:val="008907DA"/>
    <w:rsid w:val="0089285E"/>
    <w:rsid w:val="00897853"/>
    <w:rsid w:val="008A0587"/>
    <w:rsid w:val="008A7273"/>
    <w:rsid w:val="008A78AF"/>
    <w:rsid w:val="008B55B9"/>
    <w:rsid w:val="008B6F88"/>
    <w:rsid w:val="008B7726"/>
    <w:rsid w:val="008C05BA"/>
    <w:rsid w:val="008D429E"/>
    <w:rsid w:val="008D5A10"/>
    <w:rsid w:val="008E21B1"/>
    <w:rsid w:val="008E319F"/>
    <w:rsid w:val="008E619C"/>
    <w:rsid w:val="008F1CAE"/>
    <w:rsid w:val="008F267C"/>
    <w:rsid w:val="008F6E0E"/>
    <w:rsid w:val="00900DC0"/>
    <w:rsid w:val="00905F66"/>
    <w:rsid w:val="00906F49"/>
    <w:rsid w:val="00907417"/>
    <w:rsid w:val="00914604"/>
    <w:rsid w:val="00916A34"/>
    <w:rsid w:val="0092092D"/>
    <w:rsid w:val="00923533"/>
    <w:rsid w:val="00930A38"/>
    <w:rsid w:val="0093143C"/>
    <w:rsid w:val="009315C8"/>
    <w:rsid w:val="0093301A"/>
    <w:rsid w:val="00933C3A"/>
    <w:rsid w:val="00934170"/>
    <w:rsid w:val="00936751"/>
    <w:rsid w:val="00936F56"/>
    <w:rsid w:val="00940252"/>
    <w:rsid w:val="00940C85"/>
    <w:rsid w:val="00941534"/>
    <w:rsid w:val="00941ABB"/>
    <w:rsid w:val="00942948"/>
    <w:rsid w:val="009474B5"/>
    <w:rsid w:val="00947B52"/>
    <w:rsid w:val="00947FA7"/>
    <w:rsid w:val="00951015"/>
    <w:rsid w:val="00953DA1"/>
    <w:rsid w:val="00953E98"/>
    <w:rsid w:val="00960F22"/>
    <w:rsid w:val="0096385C"/>
    <w:rsid w:val="00972D86"/>
    <w:rsid w:val="009736BF"/>
    <w:rsid w:val="0097392B"/>
    <w:rsid w:val="0097547D"/>
    <w:rsid w:val="00976066"/>
    <w:rsid w:val="009804CC"/>
    <w:rsid w:val="00980A66"/>
    <w:rsid w:val="0098659B"/>
    <w:rsid w:val="009904F7"/>
    <w:rsid w:val="009910F6"/>
    <w:rsid w:val="00996678"/>
    <w:rsid w:val="009A07B1"/>
    <w:rsid w:val="009A1C97"/>
    <w:rsid w:val="009A29C1"/>
    <w:rsid w:val="009A2C96"/>
    <w:rsid w:val="009A41A3"/>
    <w:rsid w:val="009A6B4A"/>
    <w:rsid w:val="009A7058"/>
    <w:rsid w:val="009A76EB"/>
    <w:rsid w:val="009A78D0"/>
    <w:rsid w:val="009B08E6"/>
    <w:rsid w:val="009B5B4C"/>
    <w:rsid w:val="009C19DE"/>
    <w:rsid w:val="009C23A6"/>
    <w:rsid w:val="009C2474"/>
    <w:rsid w:val="009C2A39"/>
    <w:rsid w:val="009C3B2F"/>
    <w:rsid w:val="009C4CC6"/>
    <w:rsid w:val="009C5206"/>
    <w:rsid w:val="009C6AD9"/>
    <w:rsid w:val="009E32D1"/>
    <w:rsid w:val="009E398C"/>
    <w:rsid w:val="009E5CEA"/>
    <w:rsid w:val="009E6F05"/>
    <w:rsid w:val="009F163A"/>
    <w:rsid w:val="009F1D46"/>
    <w:rsid w:val="009F4E50"/>
    <w:rsid w:val="009F644E"/>
    <w:rsid w:val="009F6A05"/>
    <w:rsid w:val="00A01BE2"/>
    <w:rsid w:val="00A030B4"/>
    <w:rsid w:val="00A03A79"/>
    <w:rsid w:val="00A06B26"/>
    <w:rsid w:val="00A10906"/>
    <w:rsid w:val="00A12E66"/>
    <w:rsid w:val="00A13E78"/>
    <w:rsid w:val="00A14EEF"/>
    <w:rsid w:val="00A17650"/>
    <w:rsid w:val="00A21BF4"/>
    <w:rsid w:val="00A23304"/>
    <w:rsid w:val="00A2429B"/>
    <w:rsid w:val="00A25809"/>
    <w:rsid w:val="00A275C2"/>
    <w:rsid w:val="00A318E1"/>
    <w:rsid w:val="00A3295D"/>
    <w:rsid w:val="00A33142"/>
    <w:rsid w:val="00A353F9"/>
    <w:rsid w:val="00A359A5"/>
    <w:rsid w:val="00A4012F"/>
    <w:rsid w:val="00A4190E"/>
    <w:rsid w:val="00A42E91"/>
    <w:rsid w:val="00A473A9"/>
    <w:rsid w:val="00A50383"/>
    <w:rsid w:val="00A50627"/>
    <w:rsid w:val="00A524DC"/>
    <w:rsid w:val="00A52580"/>
    <w:rsid w:val="00A55703"/>
    <w:rsid w:val="00A61230"/>
    <w:rsid w:val="00A62B43"/>
    <w:rsid w:val="00A668C8"/>
    <w:rsid w:val="00A67E9E"/>
    <w:rsid w:val="00A70854"/>
    <w:rsid w:val="00A74ED3"/>
    <w:rsid w:val="00A75C51"/>
    <w:rsid w:val="00A813C5"/>
    <w:rsid w:val="00A824E6"/>
    <w:rsid w:val="00A8568D"/>
    <w:rsid w:val="00A858DC"/>
    <w:rsid w:val="00A94275"/>
    <w:rsid w:val="00A94D14"/>
    <w:rsid w:val="00A965E1"/>
    <w:rsid w:val="00A96ED2"/>
    <w:rsid w:val="00AA0EAD"/>
    <w:rsid w:val="00AB19CE"/>
    <w:rsid w:val="00AB3969"/>
    <w:rsid w:val="00AB70F0"/>
    <w:rsid w:val="00AC0E7A"/>
    <w:rsid w:val="00AC187B"/>
    <w:rsid w:val="00AD7FDE"/>
    <w:rsid w:val="00AE0F34"/>
    <w:rsid w:val="00AE310E"/>
    <w:rsid w:val="00AE4BEB"/>
    <w:rsid w:val="00AE4FC5"/>
    <w:rsid w:val="00AE76FD"/>
    <w:rsid w:val="00AF1B1B"/>
    <w:rsid w:val="00AF2523"/>
    <w:rsid w:val="00AF5F1F"/>
    <w:rsid w:val="00B027A4"/>
    <w:rsid w:val="00B04202"/>
    <w:rsid w:val="00B0452B"/>
    <w:rsid w:val="00B12C79"/>
    <w:rsid w:val="00B15AFB"/>
    <w:rsid w:val="00B236B3"/>
    <w:rsid w:val="00B24797"/>
    <w:rsid w:val="00B26806"/>
    <w:rsid w:val="00B278B2"/>
    <w:rsid w:val="00B31B24"/>
    <w:rsid w:val="00B4287F"/>
    <w:rsid w:val="00B4315F"/>
    <w:rsid w:val="00B43306"/>
    <w:rsid w:val="00B47715"/>
    <w:rsid w:val="00B525DD"/>
    <w:rsid w:val="00B56DD2"/>
    <w:rsid w:val="00B579FE"/>
    <w:rsid w:val="00B60DAB"/>
    <w:rsid w:val="00B60DEE"/>
    <w:rsid w:val="00B61117"/>
    <w:rsid w:val="00B61CB1"/>
    <w:rsid w:val="00B63189"/>
    <w:rsid w:val="00B646A4"/>
    <w:rsid w:val="00B65C92"/>
    <w:rsid w:val="00B668D2"/>
    <w:rsid w:val="00B67B5C"/>
    <w:rsid w:val="00B7194E"/>
    <w:rsid w:val="00B73575"/>
    <w:rsid w:val="00B7380A"/>
    <w:rsid w:val="00B763B0"/>
    <w:rsid w:val="00B81CAF"/>
    <w:rsid w:val="00B87EB1"/>
    <w:rsid w:val="00B91005"/>
    <w:rsid w:val="00B92951"/>
    <w:rsid w:val="00B93045"/>
    <w:rsid w:val="00B93169"/>
    <w:rsid w:val="00B940DD"/>
    <w:rsid w:val="00B950B6"/>
    <w:rsid w:val="00B95D80"/>
    <w:rsid w:val="00B976BD"/>
    <w:rsid w:val="00BA4130"/>
    <w:rsid w:val="00BB2CAF"/>
    <w:rsid w:val="00BB79B5"/>
    <w:rsid w:val="00BC0E6D"/>
    <w:rsid w:val="00BC25D6"/>
    <w:rsid w:val="00BC3C7F"/>
    <w:rsid w:val="00BC3E74"/>
    <w:rsid w:val="00BC5042"/>
    <w:rsid w:val="00BC5DDF"/>
    <w:rsid w:val="00BD25C6"/>
    <w:rsid w:val="00BD5733"/>
    <w:rsid w:val="00BD630F"/>
    <w:rsid w:val="00BD7216"/>
    <w:rsid w:val="00BD7C1B"/>
    <w:rsid w:val="00BE0825"/>
    <w:rsid w:val="00BE2EE6"/>
    <w:rsid w:val="00BF17FD"/>
    <w:rsid w:val="00BF2820"/>
    <w:rsid w:val="00BF41D4"/>
    <w:rsid w:val="00BF5AFB"/>
    <w:rsid w:val="00C00742"/>
    <w:rsid w:val="00C007A8"/>
    <w:rsid w:val="00C16734"/>
    <w:rsid w:val="00C17B47"/>
    <w:rsid w:val="00C2046D"/>
    <w:rsid w:val="00C25C77"/>
    <w:rsid w:val="00C303E7"/>
    <w:rsid w:val="00C319C2"/>
    <w:rsid w:val="00C33B06"/>
    <w:rsid w:val="00C34FCA"/>
    <w:rsid w:val="00C40734"/>
    <w:rsid w:val="00C415F9"/>
    <w:rsid w:val="00C44D3B"/>
    <w:rsid w:val="00C450B7"/>
    <w:rsid w:val="00C53CE5"/>
    <w:rsid w:val="00C612F8"/>
    <w:rsid w:val="00C61F22"/>
    <w:rsid w:val="00C62E44"/>
    <w:rsid w:val="00C63BD8"/>
    <w:rsid w:val="00C65954"/>
    <w:rsid w:val="00C7126B"/>
    <w:rsid w:val="00C72289"/>
    <w:rsid w:val="00C72C24"/>
    <w:rsid w:val="00C73468"/>
    <w:rsid w:val="00C74986"/>
    <w:rsid w:val="00C80EC4"/>
    <w:rsid w:val="00C83071"/>
    <w:rsid w:val="00C8568E"/>
    <w:rsid w:val="00C85FCE"/>
    <w:rsid w:val="00C9083D"/>
    <w:rsid w:val="00CA2D67"/>
    <w:rsid w:val="00CA32B5"/>
    <w:rsid w:val="00CA4AF1"/>
    <w:rsid w:val="00CB191A"/>
    <w:rsid w:val="00CB3BAA"/>
    <w:rsid w:val="00CB3BBD"/>
    <w:rsid w:val="00CB57AD"/>
    <w:rsid w:val="00CC009D"/>
    <w:rsid w:val="00CC584A"/>
    <w:rsid w:val="00CC5E4E"/>
    <w:rsid w:val="00CD0EAB"/>
    <w:rsid w:val="00CD7512"/>
    <w:rsid w:val="00CD7E8F"/>
    <w:rsid w:val="00CE2AF3"/>
    <w:rsid w:val="00CE621D"/>
    <w:rsid w:val="00CE66E8"/>
    <w:rsid w:val="00D025CD"/>
    <w:rsid w:val="00D05388"/>
    <w:rsid w:val="00D114CD"/>
    <w:rsid w:val="00D12FD9"/>
    <w:rsid w:val="00D14476"/>
    <w:rsid w:val="00D15253"/>
    <w:rsid w:val="00D232FF"/>
    <w:rsid w:val="00D279AA"/>
    <w:rsid w:val="00D30AFE"/>
    <w:rsid w:val="00D31215"/>
    <w:rsid w:val="00D34544"/>
    <w:rsid w:val="00D34841"/>
    <w:rsid w:val="00D4444E"/>
    <w:rsid w:val="00D44A97"/>
    <w:rsid w:val="00D45C0C"/>
    <w:rsid w:val="00D45DC9"/>
    <w:rsid w:val="00D4687A"/>
    <w:rsid w:val="00D50776"/>
    <w:rsid w:val="00D508A5"/>
    <w:rsid w:val="00D5104B"/>
    <w:rsid w:val="00D555D8"/>
    <w:rsid w:val="00D576F6"/>
    <w:rsid w:val="00D60778"/>
    <w:rsid w:val="00D609A0"/>
    <w:rsid w:val="00D63EB2"/>
    <w:rsid w:val="00D64797"/>
    <w:rsid w:val="00D64D28"/>
    <w:rsid w:val="00D6604D"/>
    <w:rsid w:val="00D67526"/>
    <w:rsid w:val="00D677F1"/>
    <w:rsid w:val="00D70A36"/>
    <w:rsid w:val="00D74601"/>
    <w:rsid w:val="00D768A3"/>
    <w:rsid w:val="00D81CA0"/>
    <w:rsid w:val="00D83E46"/>
    <w:rsid w:val="00D847B6"/>
    <w:rsid w:val="00D90D23"/>
    <w:rsid w:val="00D93958"/>
    <w:rsid w:val="00D93D98"/>
    <w:rsid w:val="00D9423E"/>
    <w:rsid w:val="00D951D3"/>
    <w:rsid w:val="00DA1DB9"/>
    <w:rsid w:val="00DA5A00"/>
    <w:rsid w:val="00DA5ED7"/>
    <w:rsid w:val="00DA6169"/>
    <w:rsid w:val="00DA7B28"/>
    <w:rsid w:val="00DB5480"/>
    <w:rsid w:val="00DB6317"/>
    <w:rsid w:val="00DB7EA3"/>
    <w:rsid w:val="00DC2FC5"/>
    <w:rsid w:val="00DC3687"/>
    <w:rsid w:val="00DC5AD9"/>
    <w:rsid w:val="00DC691F"/>
    <w:rsid w:val="00DD02DE"/>
    <w:rsid w:val="00DD07B7"/>
    <w:rsid w:val="00DD113C"/>
    <w:rsid w:val="00DD324C"/>
    <w:rsid w:val="00DE0BEB"/>
    <w:rsid w:val="00DE1150"/>
    <w:rsid w:val="00DE4856"/>
    <w:rsid w:val="00DF1024"/>
    <w:rsid w:val="00DF485B"/>
    <w:rsid w:val="00DF6877"/>
    <w:rsid w:val="00E0295D"/>
    <w:rsid w:val="00E042BC"/>
    <w:rsid w:val="00E11A04"/>
    <w:rsid w:val="00E126D3"/>
    <w:rsid w:val="00E132FE"/>
    <w:rsid w:val="00E15C88"/>
    <w:rsid w:val="00E21B77"/>
    <w:rsid w:val="00E23352"/>
    <w:rsid w:val="00E26882"/>
    <w:rsid w:val="00E27D5E"/>
    <w:rsid w:val="00E31C2F"/>
    <w:rsid w:val="00E340D8"/>
    <w:rsid w:val="00E34C3B"/>
    <w:rsid w:val="00E40CAD"/>
    <w:rsid w:val="00E40DC7"/>
    <w:rsid w:val="00E4215F"/>
    <w:rsid w:val="00E508BF"/>
    <w:rsid w:val="00E57B81"/>
    <w:rsid w:val="00E61BEC"/>
    <w:rsid w:val="00E61D2E"/>
    <w:rsid w:val="00E62B7F"/>
    <w:rsid w:val="00E6501F"/>
    <w:rsid w:val="00E7066D"/>
    <w:rsid w:val="00E726BC"/>
    <w:rsid w:val="00E72821"/>
    <w:rsid w:val="00E75C82"/>
    <w:rsid w:val="00E81DDC"/>
    <w:rsid w:val="00E81F67"/>
    <w:rsid w:val="00E83400"/>
    <w:rsid w:val="00E83650"/>
    <w:rsid w:val="00E83A31"/>
    <w:rsid w:val="00E83F4A"/>
    <w:rsid w:val="00E84B35"/>
    <w:rsid w:val="00E93BF5"/>
    <w:rsid w:val="00E96E0C"/>
    <w:rsid w:val="00E97CC0"/>
    <w:rsid w:val="00EA22B8"/>
    <w:rsid w:val="00EA2524"/>
    <w:rsid w:val="00EA33E7"/>
    <w:rsid w:val="00EA63D5"/>
    <w:rsid w:val="00EA705D"/>
    <w:rsid w:val="00EC092D"/>
    <w:rsid w:val="00EC0DF8"/>
    <w:rsid w:val="00EC6730"/>
    <w:rsid w:val="00EC76AA"/>
    <w:rsid w:val="00ED378B"/>
    <w:rsid w:val="00ED6D58"/>
    <w:rsid w:val="00ED766C"/>
    <w:rsid w:val="00EE08F9"/>
    <w:rsid w:val="00EE50C3"/>
    <w:rsid w:val="00EE6529"/>
    <w:rsid w:val="00EE70B3"/>
    <w:rsid w:val="00EF10E1"/>
    <w:rsid w:val="00EF24AA"/>
    <w:rsid w:val="00EF6C3E"/>
    <w:rsid w:val="00EF728A"/>
    <w:rsid w:val="00EF7D0D"/>
    <w:rsid w:val="00F00545"/>
    <w:rsid w:val="00F00FF7"/>
    <w:rsid w:val="00F02093"/>
    <w:rsid w:val="00F023C5"/>
    <w:rsid w:val="00F068E3"/>
    <w:rsid w:val="00F079A1"/>
    <w:rsid w:val="00F10776"/>
    <w:rsid w:val="00F10B5F"/>
    <w:rsid w:val="00F204FE"/>
    <w:rsid w:val="00F218C1"/>
    <w:rsid w:val="00F321EB"/>
    <w:rsid w:val="00F32B00"/>
    <w:rsid w:val="00F346CF"/>
    <w:rsid w:val="00F3610C"/>
    <w:rsid w:val="00F36839"/>
    <w:rsid w:val="00F42704"/>
    <w:rsid w:val="00F52A5F"/>
    <w:rsid w:val="00F55954"/>
    <w:rsid w:val="00F57308"/>
    <w:rsid w:val="00F61962"/>
    <w:rsid w:val="00F62865"/>
    <w:rsid w:val="00F62E63"/>
    <w:rsid w:val="00F64022"/>
    <w:rsid w:val="00F64660"/>
    <w:rsid w:val="00F66300"/>
    <w:rsid w:val="00F74FF3"/>
    <w:rsid w:val="00F753BE"/>
    <w:rsid w:val="00F75C79"/>
    <w:rsid w:val="00F80FF5"/>
    <w:rsid w:val="00F86CE3"/>
    <w:rsid w:val="00F96694"/>
    <w:rsid w:val="00F97062"/>
    <w:rsid w:val="00F9745D"/>
    <w:rsid w:val="00FA07A9"/>
    <w:rsid w:val="00FA54B2"/>
    <w:rsid w:val="00FB26FF"/>
    <w:rsid w:val="00FB29A0"/>
    <w:rsid w:val="00FC1C43"/>
    <w:rsid w:val="00FC529F"/>
    <w:rsid w:val="00FC7B53"/>
    <w:rsid w:val="00FD2A1A"/>
    <w:rsid w:val="00FD48CC"/>
    <w:rsid w:val="00FD67AA"/>
    <w:rsid w:val="00FD707B"/>
    <w:rsid w:val="00FD7A5F"/>
    <w:rsid w:val="00FE0C02"/>
    <w:rsid w:val="00FE2476"/>
    <w:rsid w:val="00FE62D1"/>
    <w:rsid w:val="00FE7B94"/>
    <w:rsid w:val="00FF0736"/>
    <w:rsid w:val="00FF2515"/>
    <w:rsid w:val="00FF26BF"/>
    <w:rsid w:val="010908A7"/>
    <w:rsid w:val="013C51B0"/>
    <w:rsid w:val="01525581"/>
    <w:rsid w:val="016412A2"/>
    <w:rsid w:val="016420B7"/>
    <w:rsid w:val="01651C23"/>
    <w:rsid w:val="018023CE"/>
    <w:rsid w:val="01881AD6"/>
    <w:rsid w:val="018F7A36"/>
    <w:rsid w:val="019127B6"/>
    <w:rsid w:val="01B71A01"/>
    <w:rsid w:val="01C54B91"/>
    <w:rsid w:val="01DC03CE"/>
    <w:rsid w:val="01E36F4E"/>
    <w:rsid w:val="020C3478"/>
    <w:rsid w:val="023C5F15"/>
    <w:rsid w:val="023F3FA2"/>
    <w:rsid w:val="028B6D36"/>
    <w:rsid w:val="02985CD5"/>
    <w:rsid w:val="02A741FD"/>
    <w:rsid w:val="02B77F75"/>
    <w:rsid w:val="02C16E5D"/>
    <w:rsid w:val="02D964CF"/>
    <w:rsid w:val="02DE5ECF"/>
    <w:rsid w:val="02E74073"/>
    <w:rsid w:val="02F33C8E"/>
    <w:rsid w:val="02F713C2"/>
    <w:rsid w:val="03080482"/>
    <w:rsid w:val="03522419"/>
    <w:rsid w:val="0367744E"/>
    <w:rsid w:val="03707410"/>
    <w:rsid w:val="039240A3"/>
    <w:rsid w:val="03993379"/>
    <w:rsid w:val="03A0770F"/>
    <w:rsid w:val="03A11234"/>
    <w:rsid w:val="03A448B8"/>
    <w:rsid w:val="03AB216E"/>
    <w:rsid w:val="03C01631"/>
    <w:rsid w:val="03C656A9"/>
    <w:rsid w:val="03F33148"/>
    <w:rsid w:val="042F3419"/>
    <w:rsid w:val="044566F3"/>
    <w:rsid w:val="044841D6"/>
    <w:rsid w:val="047B4012"/>
    <w:rsid w:val="047F2DDF"/>
    <w:rsid w:val="04815FBF"/>
    <w:rsid w:val="04822497"/>
    <w:rsid w:val="04974587"/>
    <w:rsid w:val="04DF1036"/>
    <w:rsid w:val="04F75D6E"/>
    <w:rsid w:val="053C7025"/>
    <w:rsid w:val="053F077B"/>
    <w:rsid w:val="0599183C"/>
    <w:rsid w:val="05A97DEC"/>
    <w:rsid w:val="05B23978"/>
    <w:rsid w:val="05C81981"/>
    <w:rsid w:val="060C3203"/>
    <w:rsid w:val="065A6D82"/>
    <w:rsid w:val="066F069C"/>
    <w:rsid w:val="069B4E4A"/>
    <w:rsid w:val="06BC41F2"/>
    <w:rsid w:val="06F415CC"/>
    <w:rsid w:val="06F573AB"/>
    <w:rsid w:val="070E26CD"/>
    <w:rsid w:val="07197D08"/>
    <w:rsid w:val="071E5C55"/>
    <w:rsid w:val="0745410F"/>
    <w:rsid w:val="075C1FE5"/>
    <w:rsid w:val="076B4CB0"/>
    <w:rsid w:val="077005AB"/>
    <w:rsid w:val="078F4581"/>
    <w:rsid w:val="079529C6"/>
    <w:rsid w:val="07BF027F"/>
    <w:rsid w:val="07D8337E"/>
    <w:rsid w:val="08031A31"/>
    <w:rsid w:val="08307C7E"/>
    <w:rsid w:val="08420CAE"/>
    <w:rsid w:val="08574B3D"/>
    <w:rsid w:val="08653F81"/>
    <w:rsid w:val="08E0126D"/>
    <w:rsid w:val="08E352B9"/>
    <w:rsid w:val="08E4551C"/>
    <w:rsid w:val="08EA5956"/>
    <w:rsid w:val="09061A75"/>
    <w:rsid w:val="09182241"/>
    <w:rsid w:val="09224F65"/>
    <w:rsid w:val="095F1030"/>
    <w:rsid w:val="09855177"/>
    <w:rsid w:val="09EE5125"/>
    <w:rsid w:val="0A2522FD"/>
    <w:rsid w:val="0A327478"/>
    <w:rsid w:val="0A462748"/>
    <w:rsid w:val="0A4D0C81"/>
    <w:rsid w:val="0A5B0621"/>
    <w:rsid w:val="0A723E95"/>
    <w:rsid w:val="0A733243"/>
    <w:rsid w:val="0A846743"/>
    <w:rsid w:val="0A873F23"/>
    <w:rsid w:val="0AA534D5"/>
    <w:rsid w:val="0AA650EB"/>
    <w:rsid w:val="0AA7129C"/>
    <w:rsid w:val="0ADD4CBE"/>
    <w:rsid w:val="0AE26205"/>
    <w:rsid w:val="0AF328EF"/>
    <w:rsid w:val="0AF47339"/>
    <w:rsid w:val="0B14133A"/>
    <w:rsid w:val="0B1C1BCC"/>
    <w:rsid w:val="0B22594B"/>
    <w:rsid w:val="0B27506F"/>
    <w:rsid w:val="0B7C0EF6"/>
    <w:rsid w:val="0B892115"/>
    <w:rsid w:val="0B9610F4"/>
    <w:rsid w:val="0B99757D"/>
    <w:rsid w:val="0BBF77A4"/>
    <w:rsid w:val="0BD16C8D"/>
    <w:rsid w:val="0BDF26F7"/>
    <w:rsid w:val="0C027DB2"/>
    <w:rsid w:val="0C2B4952"/>
    <w:rsid w:val="0C322F8A"/>
    <w:rsid w:val="0C385AC6"/>
    <w:rsid w:val="0C4607E5"/>
    <w:rsid w:val="0C516C55"/>
    <w:rsid w:val="0C682C18"/>
    <w:rsid w:val="0C7B2220"/>
    <w:rsid w:val="0C963B11"/>
    <w:rsid w:val="0CB67D83"/>
    <w:rsid w:val="0CD20599"/>
    <w:rsid w:val="0CE53018"/>
    <w:rsid w:val="0CEB5111"/>
    <w:rsid w:val="0D0B5B12"/>
    <w:rsid w:val="0D133046"/>
    <w:rsid w:val="0D1501F6"/>
    <w:rsid w:val="0D153F28"/>
    <w:rsid w:val="0D1C792E"/>
    <w:rsid w:val="0D3A0F98"/>
    <w:rsid w:val="0D5D49D6"/>
    <w:rsid w:val="0D6A4502"/>
    <w:rsid w:val="0D7415CA"/>
    <w:rsid w:val="0D890E47"/>
    <w:rsid w:val="0DC64A00"/>
    <w:rsid w:val="0DD861D1"/>
    <w:rsid w:val="0DEB5FFA"/>
    <w:rsid w:val="0DF67134"/>
    <w:rsid w:val="0DF75C46"/>
    <w:rsid w:val="0DFC60BA"/>
    <w:rsid w:val="0E1C06B2"/>
    <w:rsid w:val="0E49624C"/>
    <w:rsid w:val="0E5B5DCC"/>
    <w:rsid w:val="0E6275C7"/>
    <w:rsid w:val="0E69691B"/>
    <w:rsid w:val="0EBB5484"/>
    <w:rsid w:val="0EBD5AA3"/>
    <w:rsid w:val="0F133DCD"/>
    <w:rsid w:val="0F145C97"/>
    <w:rsid w:val="0F407E8F"/>
    <w:rsid w:val="0F4946D0"/>
    <w:rsid w:val="0F5723EF"/>
    <w:rsid w:val="0F5F5360"/>
    <w:rsid w:val="0F6228F1"/>
    <w:rsid w:val="0F714A6E"/>
    <w:rsid w:val="0F7C5FF6"/>
    <w:rsid w:val="0F7D04FC"/>
    <w:rsid w:val="0FC63FBD"/>
    <w:rsid w:val="0FDD003F"/>
    <w:rsid w:val="0FF87EA4"/>
    <w:rsid w:val="0FFF7484"/>
    <w:rsid w:val="10066939"/>
    <w:rsid w:val="100B77ED"/>
    <w:rsid w:val="101D47AD"/>
    <w:rsid w:val="10252BB6"/>
    <w:rsid w:val="10305890"/>
    <w:rsid w:val="103D5A1A"/>
    <w:rsid w:val="105847E5"/>
    <w:rsid w:val="106C564D"/>
    <w:rsid w:val="106E0AED"/>
    <w:rsid w:val="107B7B8F"/>
    <w:rsid w:val="107C67CE"/>
    <w:rsid w:val="10912D03"/>
    <w:rsid w:val="109333B7"/>
    <w:rsid w:val="109D68CB"/>
    <w:rsid w:val="10A949B8"/>
    <w:rsid w:val="10AB5D61"/>
    <w:rsid w:val="11144AFE"/>
    <w:rsid w:val="11200D07"/>
    <w:rsid w:val="113558CF"/>
    <w:rsid w:val="11386CE9"/>
    <w:rsid w:val="113C6D55"/>
    <w:rsid w:val="115E03E3"/>
    <w:rsid w:val="11786AB5"/>
    <w:rsid w:val="118049D4"/>
    <w:rsid w:val="118561F8"/>
    <w:rsid w:val="11942D84"/>
    <w:rsid w:val="1197736A"/>
    <w:rsid w:val="11B21219"/>
    <w:rsid w:val="11D250CD"/>
    <w:rsid w:val="11DA73AF"/>
    <w:rsid w:val="11FC1ECD"/>
    <w:rsid w:val="124D097B"/>
    <w:rsid w:val="12511265"/>
    <w:rsid w:val="126856A4"/>
    <w:rsid w:val="126D4818"/>
    <w:rsid w:val="1283614B"/>
    <w:rsid w:val="12856FF3"/>
    <w:rsid w:val="129671FB"/>
    <w:rsid w:val="12A576FF"/>
    <w:rsid w:val="12C535FB"/>
    <w:rsid w:val="12C60D80"/>
    <w:rsid w:val="12DD6E38"/>
    <w:rsid w:val="130523B3"/>
    <w:rsid w:val="130D3C66"/>
    <w:rsid w:val="131F7A3A"/>
    <w:rsid w:val="132645D0"/>
    <w:rsid w:val="133D4061"/>
    <w:rsid w:val="13455ABC"/>
    <w:rsid w:val="1370322B"/>
    <w:rsid w:val="13715421"/>
    <w:rsid w:val="13BA0460"/>
    <w:rsid w:val="13BB41AE"/>
    <w:rsid w:val="13C24F9B"/>
    <w:rsid w:val="13C45A18"/>
    <w:rsid w:val="13C9247B"/>
    <w:rsid w:val="13D6515C"/>
    <w:rsid w:val="13F13CC6"/>
    <w:rsid w:val="143B2E0B"/>
    <w:rsid w:val="144962A8"/>
    <w:rsid w:val="14725BB3"/>
    <w:rsid w:val="14725FF6"/>
    <w:rsid w:val="147C1943"/>
    <w:rsid w:val="148054E9"/>
    <w:rsid w:val="14892735"/>
    <w:rsid w:val="1490034C"/>
    <w:rsid w:val="149E755D"/>
    <w:rsid w:val="14CC4CA5"/>
    <w:rsid w:val="14CC769D"/>
    <w:rsid w:val="14D764D5"/>
    <w:rsid w:val="14EF61BF"/>
    <w:rsid w:val="14F43330"/>
    <w:rsid w:val="15081C6A"/>
    <w:rsid w:val="150F7FEC"/>
    <w:rsid w:val="15436F05"/>
    <w:rsid w:val="15691FE3"/>
    <w:rsid w:val="158B5DDD"/>
    <w:rsid w:val="15B11221"/>
    <w:rsid w:val="15C03C67"/>
    <w:rsid w:val="15C16EB3"/>
    <w:rsid w:val="15CB76C9"/>
    <w:rsid w:val="15D359D7"/>
    <w:rsid w:val="160E7A2C"/>
    <w:rsid w:val="16317A1A"/>
    <w:rsid w:val="16390046"/>
    <w:rsid w:val="163C77BE"/>
    <w:rsid w:val="164A3F23"/>
    <w:rsid w:val="164B49DB"/>
    <w:rsid w:val="164B4D9F"/>
    <w:rsid w:val="16573587"/>
    <w:rsid w:val="165C5C7C"/>
    <w:rsid w:val="1679588C"/>
    <w:rsid w:val="168C2855"/>
    <w:rsid w:val="16994962"/>
    <w:rsid w:val="16A233CF"/>
    <w:rsid w:val="16A71041"/>
    <w:rsid w:val="16AA24BF"/>
    <w:rsid w:val="16F871DC"/>
    <w:rsid w:val="1702234F"/>
    <w:rsid w:val="17110A80"/>
    <w:rsid w:val="171D3FE1"/>
    <w:rsid w:val="17680CAB"/>
    <w:rsid w:val="176E4128"/>
    <w:rsid w:val="17725CE9"/>
    <w:rsid w:val="1783371F"/>
    <w:rsid w:val="178C5AA1"/>
    <w:rsid w:val="178E48DA"/>
    <w:rsid w:val="17C93012"/>
    <w:rsid w:val="17D67AA4"/>
    <w:rsid w:val="17E62B67"/>
    <w:rsid w:val="180F4499"/>
    <w:rsid w:val="182201B4"/>
    <w:rsid w:val="18221ECE"/>
    <w:rsid w:val="183C3D90"/>
    <w:rsid w:val="1859036F"/>
    <w:rsid w:val="18681814"/>
    <w:rsid w:val="18B0649B"/>
    <w:rsid w:val="18D418FC"/>
    <w:rsid w:val="18E5143F"/>
    <w:rsid w:val="18E83469"/>
    <w:rsid w:val="18F47C3A"/>
    <w:rsid w:val="18FC7745"/>
    <w:rsid w:val="19117D89"/>
    <w:rsid w:val="192F3B7C"/>
    <w:rsid w:val="19353F17"/>
    <w:rsid w:val="19696807"/>
    <w:rsid w:val="19864975"/>
    <w:rsid w:val="19864EEB"/>
    <w:rsid w:val="19AE35ED"/>
    <w:rsid w:val="19B4534D"/>
    <w:rsid w:val="19D1065C"/>
    <w:rsid w:val="19D11004"/>
    <w:rsid w:val="19DD405E"/>
    <w:rsid w:val="1A121864"/>
    <w:rsid w:val="1A460CF5"/>
    <w:rsid w:val="1A670502"/>
    <w:rsid w:val="1A7F297D"/>
    <w:rsid w:val="1A9212A7"/>
    <w:rsid w:val="1A9D6244"/>
    <w:rsid w:val="1A9E7AF2"/>
    <w:rsid w:val="1AB16AC1"/>
    <w:rsid w:val="1ABF1CEA"/>
    <w:rsid w:val="1AC647CE"/>
    <w:rsid w:val="1B014DDE"/>
    <w:rsid w:val="1B0320FB"/>
    <w:rsid w:val="1B034A52"/>
    <w:rsid w:val="1B2640F6"/>
    <w:rsid w:val="1B45344E"/>
    <w:rsid w:val="1B5C1D6D"/>
    <w:rsid w:val="1B5D76FB"/>
    <w:rsid w:val="1B683578"/>
    <w:rsid w:val="1B8C0040"/>
    <w:rsid w:val="1BCE2D72"/>
    <w:rsid w:val="1BDE2F66"/>
    <w:rsid w:val="1C13291A"/>
    <w:rsid w:val="1C1B28DD"/>
    <w:rsid w:val="1C750ECE"/>
    <w:rsid w:val="1C951971"/>
    <w:rsid w:val="1CA56AF4"/>
    <w:rsid w:val="1CCB7000"/>
    <w:rsid w:val="1CD0733A"/>
    <w:rsid w:val="1CD667CB"/>
    <w:rsid w:val="1D196139"/>
    <w:rsid w:val="1D372585"/>
    <w:rsid w:val="1D4D683F"/>
    <w:rsid w:val="1D515EF5"/>
    <w:rsid w:val="1D5208D4"/>
    <w:rsid w:val="1D5C49B8"/>
    <w:rsid w:val="1D5E02D1"/>
    <w:rsid w:val="1D65690F"/>
    <w:rsid w:val="1D7F0ED0"/>
    <w:rsid w:val="1D921938"/>
    <w:rsid w:val="1DBB6100"/>
    <w:rsid w:val="1DBE6816"/>
    <w:rsid w:val="1DCB4FF1"/>
    <w:rsid w:val="1DF20D7E"/>
    <w:rsid w:val="1E010AF7"/>
    <w:rsid w:val="1E100235"/>
    <w:rsid w:val="1E1C405A"/>
    <w:rsid w:val="1E2E29E0"/>
    <w:rsid w:val="1E301173"/>
    <w:rsid w:val="1E884D18"/>
    <w:rsid w:val="1ED8781E"/>
    <w:rsid w:val="1ED97130"/>
    <w:rsid w:val="1EDD3235"/>
    <w:rsid w:val="1F1102B0"/>
    <w:rsid w:val="1F2F1047"/>
    <w:rsid w:val="1F2F2B69"/>
    <w:rsid w:val="1F43381C"/>
    <w:rsid w:val="1F647A06"/>
    <w:rsid w:val="1F781224"/>
    <w:rsid w:val="1FA4148D"/>
    <w:rsid w:val="1FBB4C72"/>
    <w:rsid w:val="1FC10FAB"/>
    <w:rsid w:val="1FC65577"/>
    <w:rsid w:val="1FD82385"/>
    <w:rsid w:val="1FDF1C0C"/>
    <w:rsid w:val="1FF274ED"/>
    <w:rsid w:val="20121621"/>
    <w:rsid w:val="20147D79"/>
    <w:rsid w:val="201636E2"/>
    <w:rsid w:val="202E3F6D"/>
    <w:rsid w:val="20325F7E"/>
    <w:rsid w:val="204E554F"/>
    <w:rsid w:val="20590035"/>
    <w:rsid w:val="208C4560"/>
    <w:rsid w:val="209033C5"/>
    <w:rsid w:val="20E5011E"/>
    <w:rsid w:val="20FC799E"/>
    <w:rsid w:val="21101BAA"/>
    <w:rsid w:val="21286DA7"/>
    <w:rsid w:val="2134683B"/>
    <w:rsid w:val="21545CAE"/>
    <w:rsid w:val="219068BB"/>
    <w:rsid w:val="21C82E72"/>
    <w:rsid w:val="21DE0801"/>
    <w:rsid w:val="21DE339D"/>
    <w:rsid w:val="21E33562"/>
    <w:rsid w:val="21F20F34"/>
    <w:rsid w:val="2203115E"/>
    <w:rsid w:val="22154DDD"/>
    <w:rsid w:val="22336873"/>
    <w:rsid w:val="22396826"/>
    <w:rsid w:val="22412CD8"/>
    <w:rsid w:val="225471A3"/>
    <w:rsid w:val="225E34DC"/>
    <w:rsid w:val="227D1295"/>
    <w:rsid w:val="22AB3B7D"/>
    <w:rsid w:val="22AF3A08"/>
    <w:rsid w:val="22F92F75"/>
    <w:rsid w:val="22FB5017"/>
    <w:rsid w:val="23172FFC"/>
    <w:rsid w:val="233050F4"/>
    <w:rsid w:val="23BB4E7D"/>
    <w:rsid w:val="23C172D6"/>
    <w:rsid w:val="23D77537"/>
    <w:rsid w:val="23DB2F62"/>
    <w:rsid w:val="23E6195D"/>
    <w:rsid w:val="23F04F64"/>
    <w:rsid w:val="24364576"/>
    <w:rsid w:val="244B09BD"/>
    <w:rsid w:val="24814CBE"/>
    <w:rsid w:val="24AC168B"/>
    <w:rsid w:val="24BB6664"/>
    <w:rsid w:val="24BD406A"/>
    <w:rsid w:val="24D23A61"/>
    <w:rsid w:val="24FE57B6"/>
    <w:rsid w:val="250E1318"/>
    <w:rsid w:val="25467247"/>
    <w:rsid w:val="254D0389"/>
    <w:rsid w:val="25884C5D"/>
    <w:rsid w:val="258C3BEC"/>
    <w:rsid w:val="25A03144"/>
    <w:rsid w:val="25B13028"/>
    <w:rsid w:val="25B2479F"/>
    <w:rsid w:val="25C15C5D"/>
    <w:rsid w:val="25D329B9"/>
    <w:rsid w:val="25E5427A"/>
    <w:rsid w:val="25F461CA"/>
    <w:rsid w:val="26276A31"/>
    <w:rsid w:val="262B0B7B"/>
    <w:rsid w:val="26366F9D"/>
    <w:rsid w:val="263B1230"/>
    <w:rsid w:val="2642752B"/>
    <w:rsid w:val="26485508"/>
    <w:rsid w:val="26497C85"/>
    <w:rsid w:val="26554808"/>
    <w:rsid w:val="26607D95"/>
    <w:rsid w:val="26700955"/>
    <w:rsid w:val="268166B9"/>
    <w:rsid w:val="269F6BFE"/>
    <w:rsid w:val="26A16AE9"/>
    <w:rsid w:val="26A605D9"/>
    <w:rsid w:val="26AD0500"/>
    <w:rsid w:val="26B121A3"/>
    <w:rsid w:val="26F34269"/>
    <w:rsid w:val="27125B3E"/>
    <w:rsid w:val="27285583"/>
    <w:rsid w:val="272E3097"/>
    <w:rsid w:val="272E6F74"/>
    <w:rsid w:val="277E6655"/>
    <w:rsid w:val="278974C3"/>
    <w:rsid w:val="27933DEA"/>
    <w:rsid w:val="27A734A7"/>
    <w:rsid w:val="27AF30E6"/>
    <w:rsid w:val="27B36A67"/>
    <w:rsid w:val="27BE6794"/>
    <w:rsid w:val="27C87BEE"/>
    <w:rsid w:val="2802346F"/>
    <w:rsid w:val="281E404F"/>
    <w:rsid w:val="28302479"/>
    <w:rsid w:val="2846581F"/>
    <w:rsid w:val="284A5CA4"/>
    <w:rsid w:val="286602C8"/>
    <w:rsid w:val="28665C95"/>
    <w:rsid w:val="28716D1C"/>
    <w:rsid w:val="28736F5F"/>
    <w:rsid w:val="28822F2C"/>
    <w:rsid w:val="28833BE9"/>
    <w:rsid w:val="28851EB4"/>
    <w:rsid w:val="28A82963"/>
    <w:rsid w:val="28B01D1E"/>
    <w:rsid w:val="28C2628C"/>
    <w:rsid w:val="28CC3373"/>
    <w:rsid w:val="28F579BA"/>
    <w:rsid w:val="290B3EB9"/>
    <w:rsid w:val="292728C1"/>
    <w:rsid w:val="292C7FA1"/>
    <w:rsid w:val="293950B1"/>
    <w:rsid w:val="2940493E"/>
    <w:rsid w:val="2950768C"/>
    <w:rsid w:val="297A5FC4"/>
    <w:rsid w:val="29B41DA5"/>
    <w:rsid w:val="29E14657"/>
    <w:rsid w:val="29E474B8"/>
    <w:rsid w:val="29ED574B"/>
    <w:rsid w:val="29F92266"/>
    <w:rsid w:val="29FA2D3E"/>
    <w:rsid w:val="29FE5CE6"/>
    <w:rsid w:val="2A005376"/>
    <w:rsid w:val="2A1C39EA"/>
    <w:rsid w:val="2A1D5BE0"/>
    <w:rsid w:val="2A600C13"/>
    <w:rsid w:val="2A633B90"/>
    <w:rsid w:val="2A6774EE"/>
    <w:rsid w:val="2A68500A"/>
    <w:rsid w:val="2A743AE8"/>
    <w:rsid w:val="2A8D4F8F"/>
    <w:rsid w:val="2A901BEE"/>
    <w:rsid w:val="2A917B34"/>
    <w:rsid w:val="2A9308A8"/>
    <w:rsid w:val="2A9475FF"/>
    <w:rsid w:val="2A9F5AB8"/>
    <w:rsid w:val="2AAA0AA2"/>
    <w:rsid w:val="2AD2649B"/>
    <w:rsid w:val="2AD74E8C"/>
    <w:rsid w:val="2AE3766F"/>
    <w:rsid w:val="2AEC612E"/>
    <w:rsid w:val="2B0E56AB"/>
    <w:rsid w:val="2B276305"/>
    <w:rsid w:val="2B54704F"/>
    <w:rsid w:val="2B590601"/>
    <w:rsid w:val="2B5C0A63"/>
    <w:rsid w:val="2B7E4054"/>
    <w:rsid w:val="2BA45A85"/>
    <w:rsid w:val="2BA47C57"/>
    <w:rsid w:val="2BB12905"/>
    <w:rsid w:val="2BBA6A76"/>
    <w:rsid w:val="2BCC03D1"/>
    <w:rsid w:val="2BE664C3"/>
    <w:rsid w:val="2C0C6D59"/>
    <w:rsid w:val="2C671380"/>
    <w:rsid w:val="2C787BAC"/>
    <w:rsid w:val="2C8903AA"/>
    <w:rsid w:val="2C8E776E"/>
    <w:rsid w:val="2C8E7BB8"/>
    <w:rsid w:val="2C987C56"/>
    <w:rsid w:val="2CA07E8E"/>
    <w:rsid w:val="2CA156F3"/>
    <w:rsid w:val="2CA60D3A"/>
    <w:rsid w:val="2CC11460"/>
    <w:rsid w:val="2CC15BAA"/>
    <w:rsid w:val="2CDC3153"/>
    <w:rsid w:val="2CDF621C"/>
    <w:rsid w:val="2CE136D7"/>
    <w:rsid w:val="2CFE7A11"/>
    <w:rsid w:val="2CFF149A"/>
    <w:rsid w:val="2D137721"/>
    <w:rsid w:val="2D201865"/>
    <w:rsid w:val="2D2F67DA"/>
    <w:rsid w:val="2D4B5CEA"/>
    <w:rsid w:val="2D4C5B4C"/>
    <w:rsid w:val="2D4C6B07"/>
    <w:rsid w:val="2D514661"/>
    <w:rsid w:val="2D652658"/>
    <w:rsid w:val="2D692518"/>
    <w:rsid w:val="2D742C3D"/>
    <w:rsid w:val="2D964A56"/>
    <w:rsid w:val="2DC16E0A"/>
    <w:rsid w:val="2DC80C49"/>
    <w:rsid w:val="2DCA6355"/>
    <w:rsid w:val="2DD85F0E"/>
    <w:rsid w:val="2DE87C86"/>
    <w:rsid w:val="2E166748"/>
    <w:rsid w:val="2E2054A0"/>
    <w:rsid w:val="2E482374"/>
    <w:rsid w:val="2E556F01"/>
    <w:rsid w:val="2E7D1028"/>
    <w:rsid w:val="2E8345A7"/>
    <w:rsid w:val="2E8E20B4"/>
    <w:rsid w:val="2E924DF5"/>
    <w:rsid w:val="2EAA7BAE"/>
    <w:rsid w:val="2EB2312B"/>
    <w:rsid w:val="2EC0235F"/>
    <w:rsid w:val="2EC1207D"/>
    <w:rsid w:val="2ED06066"/>
    <w:rsid w:val="2ED1223D"/>
    <w:rsid w:val="2EDD3B3D"/>
    <w:rsid w:val="2F000139"/>
    <w:rsid w:val="2F1B303D"/>
    <w:rsid w:val="2F3925CB"/>
    <w:rsid w:val="2F65799D"/>
    <w:rsid w:val="2F6A7056"/>
    <w:rsid w:val="2F9F42DC"/>
    <w:rsid w:val="2FAC3772"/>
    <w:rsid w:val="2FAD50B2"/>
    <w:rsid w:val="2FBC2844"/>
    <w:rsid w:val="2FC32F68"/>
    <w:rsid w:val="2FF37AB3"/>
    <w:rsid w:val="30210B8A"/>
    <w:rsid w:val="30224DC7"/>
    <w:rsid w:val="303265F2"/>
    <w:rsid w:val="303B4C3F"/>
    <w:rsid w:val="30476D7A"/>
    <w:rsid w:val="3073310C"/>
    <w:rsid w:val="309D6BE6"/>
    <w:rsid w:val="30AA1790"/>
    <w:rsid w:val="30B31B89"/>
    <w:rsid w:val="30EE385E"/>
    <w:rsid w:val="30F85AFE"/>
    <w:rsid w:val="31170995"/>
    <w:rsid w:val="31264A30"/>
    <w:rsid w:val="312651F8"/>
    <w:rsid w:val="314774D9"/>
    <w:rsid w:val="31884E67"/>
    <w:rsid w:val="31A0275E"/>
    <w:rsid w:val="31A67308"/>
    <w:rsid w:val="31B91526"/>
    <w:rsid w:val="31EF0041"/>
    <w:rsid w:val="31F42F6F"/>
    <w:rsid w:val="320107F5"/>
    <w:rsid w:val="32081216"/>
    <w:rsid w:val="32090C24"/>
    <w:rsid w:val="32224419"/>
    <w:rsid w:val="32254574"/>
    <w:rsid w:val="326A0524"/>
    <w:rsid w:val="327458DC"/>
    <w:rsid w:val="32986C45"/>
    <w:rsid w:val="32AB70C5"/>
    <w:rsid w:val="32F50547"/>
    <w:rsid w:val="33247607"/>
    <w:rsid w:val="33487C23"/>
    <w:rsid w:val="335D0AF5"/>
    <w:rsid w:val="33640309"/>
    <w:rsid w:val="3370088C"/>
    <w:rsid w:val="33735C77"/>
    <w:rsid w:val="339427F0"/>
    <w:rsid w:val="339A687B"/>
    <w:rsid w:val="33C14594"/>
    <w:rsid w:val="33DC2F78"/>
    <w:rsid w:val="340C5BC8"/>
    <w:rsid w:val="341B3FDD"/>
    <w:rsid w:val="3428227C"/>
    <w:rsid w:val="342844A1"/>
    <w:rsid w:val="343230D5"/>
    <w:rsid w:val="3439428E"/>
    <w:rsid w:val="347918A5"/>
    <w:rsid w:val="349D37D5"/>
    <w:rsid w:val="349F18E8"/>
    <w:rsid w:val="34A61BDE"/>
    <w:rsid w:val="34A762FB"/>
    <w:rsid w:val="3522586C"/>
    <w:rsid w:val="35572473"/>
    <w:rsid w:val="35602226"/>
    <w:rsid w:val="356B72E7"/>
    <w:rsid w:val="356D2AC8"/>
    <w:rsid w:val="3572424F"/>
    <w:rsid w:val="35866014"/>
    <w:rsid w:val="359E5CE0"/>
    <w:rsid w:val="35E07D57"/>
    <w:rsid w:val="360001E3"/>
    <w:rsid w:val="3611259C"/>
    <w:rsid w:val="36115473"/>
    <w:rsid w:val="362B215D"/>
    <w:rsid w:val="363E0D05"/>
    <w:rsid w:val="366854D4"/>
    <w:rsid w:val="367801A9"/>
    <w:rsid w:val="367D4887"/>
    <w:rsid w:val="36AD519D"/>
    <w:rsid w:val="36B57705"/>
    <w:rsid w:val="36CB08C5"/>
    <w:rsid w:val="36DC1DD3"/>
    <w:rsid w:val="37090CD6"/>
    <w:rsid w:val="37103EE5"/>
    <w:rsid w:val="37122320"/>
    <w:rsid w:val="372F6E95"/>
    <w:rsid w:val="373E6129"/>
    <w:rsid w:val="373F4487"/>
    <w:rsid w:val="374D6086"/>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AF46DD"/>
    <w:rsid w:val="38B66D0C"/>
    <w:rsid w:val="38CA7E13"/>
    <w:rsid w:val="38EB6119"/>
    <w:rsid w:val="38ED3021"/>
    <w:rsid w:val="38FD3E94"/>
    <w:rsid w:val="392D500E"/>
    <w:rsid w:val="396678D9"/>
    <w:rsid w:val="39736669"/>
    <w:rsid w:val="397A0ADB"/>
    <w:rsid w:val="39954B2B"/>
    <w:rsid w:val="39DA2245"/>
    <w:rsid w:val="39E66E3B"/>
    <w:rsid w:val="39FD4CC2"/>
    <w:rsid w:val="3A0B0650"/>
    <w:rsid w:val="3A2434F2"/>
    <w:rsid w:val="3A3A7721"/>
    <w:rsid w:val="3A51228C"/>
    <w:rsid w:val="3A545E48"/>
    <w:rsid w:val="3A552E60"/>
    <w:rsid w:val="3A5D642F"/>
    <w:rsid w:val="3A744447"/>
    <w:rsid w:val="3A78219D"/>
    <w:rsid w:val="3A995C5C"/>
    <w:rsid w:val="3AB210FC"/>
    <w:rsid w:val="3AE8099C"/>
    <w:rsid w:val="3B043A1D"/>
    <w:rsid w:val="3B212C76"/>
    <w:rsid w:val="3B292514"/>
    <w:rsid w:val="3B793A48"/>
    <w:rsid w:val="3B85393E"/>
    <w:rsid w:val="3BB0546C"/>
    <w:rsid w:val="3BCA4B8A"/>
    <w:rsid w:val="3BCD72F7"/>
    <w:rsid w:val="3BE27C11"/>
    <w:rsid w:val="3BF4153E"/>
    <w:rsid w:val="3C37146A"/>
    <w:rsid w:val="3C3D3625"/>
    <w:rsid w:val="3C414142"/>
    <w:rsid w:val="3C5B725E"/>
    <w:rsid w:val="3C5C1637"/>
    <w:rsid w:val="3C871F64"/>
    <w:rsid w:val="3C88055A"/>
    <w:rsid w:val="3C965E86"/>
    <w:rsid w:val="3CAF79B9"/>
    <w:rsid w:val="3CB35097"/>
    <w:rsid w:val="3CE35E09"/>
    <w:rsid w:val="3CE65842"/>
    <w:rsid w:val="3CF737A2"/>
    <w:rsid w:val="3D10295A"/>
    <w:rsid w:val="3D184041"/>
    <w:rsid w:val="3D36729B"/>
    <w:rsid w:val="3D370C2A"/>
    <w:rsid w:val="3D414FC0"/>
    <w:rsid w:val="3D4E5DE3"/>
    <w:rsid w:val="3D7D049C"/>
    <w:rsid w:val="3D980B7F"/>
    <w:rsid w:val="3DC4250E"/>
    <w:rsid w:val="3DE20EAE"/>
    <w:rsid w:val="3DEC2E9F"/>
    <w:rsid w:val="3DEF3701"/>
    <w:rsid w:val="3DF83E38"/>
    <w:rsid w:val="3E0572FD"/>
    <w:rsid w:val="3E0720FE"/>
    <w:rsid w:val="3E2819F6"/>
    <w:rsid w:val="3E287A22"/>
    <w:rsid w:val="3E2F55C7"/>
    <w:rsid w:val="3E415531"/>
    <w:rsid w:val="3E5A7FE7"/>
    <w:rsid w:val="3E6C158B"/>
    <w:rsid w:val="3E955A6A"/>
    <w:rsid w:val="3E964D81"/>
    <w:rsid w:val="3EAD43CC"/>
    <w:rsid w:val="3EBA1F32"/>
    <w:rsid w:val="3EEF43D0"/>
    <w:rsid w:val="3EEF6FFF"/>
    <w:rsid w:val="3EF66B2E"/>
    <w:rsid w:val="3EF908D7"/>
    <w:rsid w:val="3F217914"/>
    <w:rsid w:val="3F5D44A8"/>
    <w:rsid w:val="3FD70BB0"/>
    <w:rsid w:val="3FF1740C"/>
    <w:rsid w:val="3FF542A0"/>
    <w:rsid w:val="3FF830E9"/>
    <w:rsid w:val="3FFB55AC"/>
    <w:rsid w:val="40017152"/>
    <w:rsid w:val="400A057C"/>
    <w:rsid w:val="401C2D01"/>
    <w:rsid w:val="401C5F9D"/>
    <w:rsid w:val="401C690C"/>
    <w:rsid w:val="401D7195"/>
    <w:rsid w:val="402D6138"/>
    <w:rsid w:val="40467186"/>
    <w:rsid w:val="4057049F"/>
    <w:rsid w:val="405C1C05"/>
    <w:rsid w:val="407339F4"/>
    <w:rsid w:val="407A652F"/>
    <w:rsid w:val="40825D97"/>
    <w:rsid w:val="409928E7"/>
    <w:rsid w:val="40997CFE"/>
    <w:rsid w:val="409C35A8"/>
    <w:rsid w:val="40A06CB8"/>
    <w:rsid w:val="40C45B55"/>
    <w:rsid w:val="40CE3DC0"/>
    <w:rsid w:val="40D64035"/>
    <w:rsid w:val="40D7455A"/>
    <w:rsid w:val="40E743E5"/>
    <w:rsid w:val="40EB4012"/>
    <w:rsid w:val="40F74B72"/>
    <w:rsid w:val="410A1661"/>
    <w:rsid w:val="41246142"/>
    <w:rsid w:val="412D5EA0"/>
    <w:rsid w:val="41324CB9"/>
    <w:rsid w:val="414375DB"/>
    <w:rsid w:val="415F13B8"/>
    <w:rsid w:val="416D78C7"/>
    <w:rsid w:val="41734CBA"/>
    <w:rsid w:val="417F4E1A"/>
    <w:rsid w:val="41A82190"/>
    <w:rsid w:val="41D83797"/>
    <w:rsid w:val="41DE5999"/>
    <w:rsid w:val="41E1181A"/>
    <w:rsid w:val="41E32A20"/>
    <w:rsid w:val="41FA3241"/>
    <w:rsid w:val="420F7A65"/>
    <w:rsid w:val="4216611A"/>
    <w:rsid w:val="423E300F"/>
    <w:rsid w:val="425656C8"/>
    <w:rsid w:val="4257273C"/>
    <w:rsid w:val="4259696B"/>
    <w:rsid w:val="425B08F6"/>
    <w:rsid w:val="42687ACE"/>
    <w:rsid w:val="4285733F"/>
    <w:rsid w:val="429E6041"/>
    <w:rsid w:val="42BF4B02"/>
    <w:rsid w:val="42C84B75"/>
    <w:rsid w:val="42FD694D"/>
    <w:rsid w:val="43525542"/>
    <w:rsid w:val="437D6687"/>
    <w:rsid w:val="438351F5"/>
    <w:rsid w:val="438D35EA"/>
    <w:rsid w:val="43A4382E"/>
    <w:rsid w:val="43BC1E57"/>
    <w:rsid w:val="43CC3FD9"/>
    <w:rsid w:val="43D23F8D"/>
    <w:rsid w:val="43D43F1D"/>
    <w:rsid w:val="43E8070C"/>
    <w:rsid w:val="43F403A7"/>
    <w:rsid w:val="43FA5777"/>
    <w:rsid w:val="44023422"/>
    <w:rsid w:val="44184A2D"/>
    <w:rsid w:val="441C1611"/>
    <w:rsid w:val="443C440B"/>
    <w:rsid w:val="44506DE3"/>
    <w:rsid w:val="44514F52"/>
    <w:rsid w:val="44761C8F"/>
    <w:rsid w:val="4490658A"/>
    <w:rsid w:val="449722E3"/>
    <w:rsid w:val="449D7B09"/>
    <w:rsid w:val="44AE3FD4"/>
    <w:rsid w:val="44D0586F"/>
    <w:rsid w:val="44FA2D53"/>
    <w:rsid w:val="4504751B"/>
    <w:rsid w:val="4517434D"/>
    <w:rsid w:val="453C4912"/>
    <w:rsid w:val="45627191"/>
    <w:rsid w:val="45687813"/>
    <w:rsid w:val="456E7B7D"/>
    <w:rsid w:val="4571374F"/>
    <w:rsid w:val="458B1BB0"/>
    <w:rsid w:val="459508FA"/>
    <w:rsid w:val="45AD31D6"/>
    <w:rsid w:val="45B93426"/>
    <w:rsid w:val="45C50344"/>
    <w:rsid w:val="464C6420"/>
    <w:rsid w:val="46552F9B"/>
    <w:rsid w:val="465D5A09"/>
    <w:rsid w:val="46606730"/>
    <w:rsid w:val="467A0297"/>
    <w:rsid w:val="468B7125"/>
    <w:rsid w:val="4698331F"/>
    <w:rsid w:val="46B506EF"/>
    <w:rsid w:val="46BC1F6E"/>
    <w:rsid w:val="46C4691F"/>
    <w:rsid w:val="46CB53EF"/>
    <w:rsid w:val="46CE645F"/>
    <w:rsid w:val="46DE70D4"/>
    <w:rsid w:val="470F5A71"/>
    <w:rsid w:val="47615D53"/>
    <w:rsid w:val="47685427"/>
    <w:rsid w:val="4779499C"/>
    <w:rsid w:val="479C6284"/>
    <w:rsid w:val="479D1D34"/>
    <w:rsid w:val="47B609C0"/>
    <w:rsid w:val="47EC3B04"/>
    <w:rsid w:val="47EC6277"/>
    <w:rsid w:val="480C0F07"/>
    <w:rsid w:val="481A219B"/>
    <w:rsid w:val="482D31EA"/>
    <w:rsid w:val="48482422"/>
    <w:rsid w:val="48594C7C"/>
    <w:rsid w:val="485970A0"/>
    <w:rsid w:val="48667F79"/>
    <w:rsid w:val="486A6E89"/>
    <w:rsid w:val="48702E73"/>
    <w:rsid w:val="48823516"/>
    <w:rsid w:val="48877686"/>
    <w:rsid w:val="48B176C2"/>
    <w:rsid w:val="48B65C71"/>
    <w:rsid w:val="48FB1909"/>
    <w:rsid w:val="48FC1BAD"/>
    <w:rsid w:val="491574F4"/>
    <w:rsid w:val="491F266E"/>
    <w:rsid w:val="492E6A57"/>
    <w:rsid w:val="49384887"/>
    <w:rsid w:val="495839AA"/>
    <w:rsid w:val="49771AFE"/>
    <w:rsid w:val="49802948"/>
    <w:rsid w:val="4986089F"/>
    <w:rsid w:val="498968C0"/>
    <w:rsid w:val="498B5309"/>
    <w:rsid w:val="499E6DEB"/>
    <w:rsid w:val="499F0AAB"/>
    <w:rsid w:val="49C33FF5"/>
    <w:rsid w:val="49C63D13"/>
    <w:rsid w:val="49DB11EC"/>
    <w:rsid w:val="49E22068"/>
    <w:rsid w:val="49E31DD1"/>
    <w:rsid w:val="49E64E2B"/>
    <w:rsid w:val="49E82ED4"/>
    <w:rsid w:val="4A0030EE"/>
    <w:rsid w:val="4A0568D6"/>
    <w:rsid w:val="4A0C4F3C"/>
    <w:rsid w:val="4A12055A"/>
    <w:rsid w:val="4A345F75"/>
    <w:rsid w:val="4A484D41"/>
    <w:rsid w:val="4A591590"/>
    <w:rsid w:val="4A6D15F8"/>
    <w:rsid w:val="4A8C4FB8"/>
    <w:rsid w:val="4A9A25BD"/>
    <w:rsid w:val="4A9E0551"/>
    <w:rsid w:val="4AA03D78"/>
    <w:rsid w:val="4AA26541"/>
    <w:rsid w:val="4AAB17DF"/>
    <w:rsid w:val="4AB542AE"/>
    <w:rsid w:val="4ABA7AB3"/>
    <w:rsid w:val="4AF72FEA"/>
    <w:rsid w:val="4B243D9D"/>
    <w:rsid w:val="4B403E05"/>
    <w:rsid w:val="4B5B54F0"/>
    <w:rsid w:val="4B645524"/>
    <w:rsid w:val="4B6B51D0"/>
    <w:rsid w:val="4B8C2DEB"/>
    <w:rsid w:val="4BA460A8"/>
    <w:rsid w:val="4BC423D3"/>
    <w:rsid w:val="4BFA3C9F"/>
    <w:rsid w:val="4C042674"/>
    <w:rsid w:val="4C107F48"/>
    <w:rsid w:val="4C187984"/>
    <w:rsid w:val="4C3277BC"/>
    <w:rsid w:val="4C4641B5"/>
    <w:rsid w:val="4C5C442D"/>
    <w:rsid w:val="4C6D42A9"/>
    <w:rsid w:val="4C716A38"/>
    <w:rsid w:val="4C934C01"/>
    <w:rsid w:val="4CC0351C"/>
    <w:rsid w:val="4CC353EB"/>
    <w:rsid w:val="4CE64E14"/>
    <w:rsid w:val="4CF36F3C"/>
    <w:rsid w:val="4CF50515"/>
    <w:rsid w:val="4CFA2645"/>
    <w:rsid w:val="4D00189F"/>
    <w:rsid w:val="4D007BC8"/>
    <w:rsid w:val="4D1470BD"/>
    <w:rsid w:val="4D154882"/>
    <w:rsid w:val="4D1C3C50"/>
    <w:rsid w:val="4D3010B2"/>
    <w:rsid w:val="4D547FED"/>
    <w:rsid w:val="4D603399"/>
    <w:rsid w:val="4D664F64"/>
    <w:rsid w:val="4D6A7284"/>
    <w:rsid w:val="4D701507"/>
    <w:rsid w:val="4D7F33D7"/>
    <w:rsid w:val="4D867EE1"/>
    <w:rsid w:val="4DB07591"/>
    <w:rsid w:val="4DBC4C65"/>
    <w:rsid w:val="4DE2009B"/>
    <w:rsid w:val="4E0F235E"/>
    <w:rsid w:val="4E157689"/>
    <w:rsid w:val="4E533FA5"/>
    <w:rsid w:val="4E550010"/>
    <w:rsid w:val="4E5964E9"/>
    <w:rsid w:val="4E5F14CB"/>
    <w:rsid w:val="4E6808B0"/>
    <w:rsid w:val="4EB27F29"/>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E70DC0"/>
    <w:rsid w:val="4FFA7625"/>
    <w:rsid w:val="500E3395"/>
    <w:rsid w:val="500F5F58"/>
    <w:rsid w:val="50453E7E"/>
    <w:rsid w:val="50485BA4"/>
    <w:rsid w:val="507D2599"/>
    <w:rsid w:val="508B3CD9"/>
    <w:rsid w:val="508F08E7"/>
    <w:rsid w:val="5096229D"/>
    <w:rsid w:val="509E157D"/>
    <w:rsid w:val="50BF7E3C"/>
    <w:rsid w:val="50CC5D92"/>
    <w:rsid w:val="50D36CAA"/>
    <w:rsid w:val="50DA3350"/>
    <w:rsid w:val="50DC4184"/>
    <w:rsid w:val="50E7551B"/>
    <w:rsid w:val="50FB6146"/>
    <w:rsid w:val="512B5479"/>
    <w:rsid w:val="512F4CA0"/>
    <w:rsid w:val="51323DB9"/>
    <w:rsid w:val="51361FFF"/>
    <w:rsid w:val="513723D1"/>
    <w:rsid w:val="514C3EA7"/>
    <w:rsid w:val="51551AFE"/>
    <w:rsid w:val="51704DAC"/>
    <w:rsid w:val="51B90929"/>
    <w:rsid w:val="51E951E6"/>
    <w:rsid w:val="51FF3C99"/>
    <w:rsid w:val="52196A53"/>
    <w:rsid w:val="521C62D8"/>
    <w:rsid w:val="52363D4D"/>
    <w:rsid w:val="523C29F9"/>
    <w:rsid w:val="52521A20"/>
    <w:rsid w:val="52AC4ABC"/>
    <w:rsid w:val="52C201B9"/>
    <w:rsid w:val="52C945ED"/>
    <w:rsid w:val="52E57A12"/>
    <w:rsid w:val="52F20B62"/>
    <w:rsid w:val="5355471E"/>
    <w:rsid w:val="538152F3"/>
    <w:rsid w:val="53827E49"/>
    <w:rsid w:val="538A6BB9"/>
    <w:rsid w:val="539964FD"/>
    <w:rsid w:val="539C1B81"/>
    <w:rsid w:val="53A447B1"/>
    <w:rsid w:val="53AE750F"/>
    <w:rsid w:val="53BB2A61"/>
    <w:rsid w:val="53CE1EBE"/>
    <w:rsid w:val="53D00C67"/>
    <w:rsid w:val="53D224B3"/>
    <w:rsid w:val="53DF06D8"/>
    <w:rsid w:val="53F81D96"/>
    <w:rsid w:val="544B5214"/>
    <w:rsid w:val="546927C6"/>
    <w:rsid w:val="546B0405"/>
    <w:rsid w:val="54705828"/>
    <w:rsid w:val="547075D6"/>
    <w:rsid w:val="549A6BFA"/>
    <w:rsid w:val="54B36A7C"/>
    <w:rsid w:val="54D933CD"/>
    <w:rsid w:val="55244D7F"/>
    <w:rsid w:val="553404C4"/>
    <w:rsid w:val="55362287"/>
    <w:rsid w:val="55432F3C"/>
    <w:rsid w:val="555016D2"/>
    <w:rsid w:val="556D2820"/>
    <w:rsid w:val="55C3227E"/>
    <w:rsid w:val="55E53A0C"/>
    <w:rsid w:val="55FA2961"/>
    <w:rsid w:val="5602250F"/>
    <w:rsid w:val="564220BA"/>
    <w:rsid w:val="565E7F4F"/>
    <w:rsid w:val="565F3DA6"/>
    <w:rsid w:val="56914056"/>
    <w:rsid w:val="5692185A"/>
    <w:rsid w:val="56B41CA7"/>
    <w:rsid w:val="56C36589"/>
    <w:rsid w:val="570D55B0"/>
    <w:rsid w:val="5723570C"/>
    <w:rsid w:val="57293C95"/>
    <w:rsid w:val="572A6381"/>
    <w:rsid w:val="572B41B4"/>
    <w:rsid w:val="572E079D"/>
    <w:rsid w:val="573028B6"/>
    <w:rsid w:val="57365868"/>
    <w:rsid w:val="573C1959"/>
    <w:rsid w:val="57454249"/>
    <w:rsid w:val="579B712B"/>
    <w:rsid w:val="57CD25D7"/>
    <w:rsid w:val="57F12ED6"/>
    <w:rsid w:val="57F65317"/>
    <w:rsid w:val="57FC2169"/>
    <w:rsid w:val="58024015"/>
    <w:rsid w:val="58096275"/>
    <w:rsid w:val="5819544F"/>
    <w:rsid w:val="582809D1"/>
    <w:rsid w:val="582E6EF7"/>
    <w:rsid w:val="583E34E4"/>
    <w:rsid w:val="584E30E6"/>
    <w:rsid w:val="58546EFD"/>
    <w:rsid w:val="58A20D92"/>
    <w:rsid w:val="58E26731"/>
    <w:rsid w:val="590E4A97"/>
    <w:rsid w:val="591250FF"/>
    <w:rsid w:val="5920012C"/>
    <w:rsid w:val="592B1244"/>
    <w:rsid w:val="594714AD"/>
    <w:rsid w:val="594C608F"/>
    <w:rsid w:val="594E11CF"/>
    <w:rsid w:val="595578DE"/>
    <w:rsid w:val="59576A24"/>
    <w:rsid w:val="59667148"/>
    <w:rsid w:val="597B384D"/>
    <w:rsid w:val="59996DA8"/>
    <w:rsid w:val="599C05DE"/>
    <w:rsid w:val="59C30F1B"/>
    <w:rsid w:val="5A6F3361"/>
    <w:rsid w:val="5A8C20D0"/>
    <w:rsid w:val="5AC7121C"/>
    <w:rsid w:val="5AD90B8D"/>
    <w:rsid w:val="5AE12927"/>
    <w:rsid w:val="5AE35472"/>
    <w:rsid w:val="5AF41CF3"/>
    <w:rsid w:val="5AF87CC9"/>
    <w:rsid w:val="5B19477F"/>
    <w:rsid w:val="5B387A4D"/>
    <w:rsid w:val="5B4E1A44"/>
    <w:rsid w:val="5B5773E8"/>
    <w:rsid w:val="5B766B4D"/>
    <w:rsid w:val="5B774ED6"/>
    <w:rsid w:val="5B873201"/>
    <w:rsid w:val="5B967767"/>
    <w:rsid w:val="5B9D1624"/>
    <w:rsid w:val="5BA37F62"/>
    <w:rsid w:val="5C0C2FF6"/>
    <w:rsid w:val="5C1241CC"/>
    <w:rsid w:val="5C286807"/>
    <w:rsid w:val="5C370E72"/>
    <w:rsid w:val="5C414DE8"/>
    <w:rsid w:val="5C446BC8"/>
    <w:rsid w:val="5C4529E1"/>
    <w:rsid w:val="5C4B56E1"/>
    <w:rsid w:val="5C7146B1"/>
    <w:rsid w:val="5C7C2768"/>
    <w:rsid w:val="5CB23AE6"/>
    <w:rsid w:val="5CDC0A42"/>
    <w:rsid w:val="5CE10A7B"/>
    <w:rsid w:val="5CED5863"/>
    <w:rsid w:val="5D0D6DF5"/>
    <w:rsid w:val="5D580A8A"/>
    <w:rsid w:val="5D893B14"/>
    <w:rsid w:val="5DB42C29"/>
    <w:rsid w:val="5E291636"/>
    <w:rsid w:val="5E5221C3"/>
    <w:rsid w:val="5E6F64A1"/>
    <w:rsid w:val="5E784CD0"/>
    <w:rsid w:val="5E7E7421"/>
    <w:rsid w:val="5E8B0770"/>
    <w:rsid w:val="5EA06921"/>
    <w:rsid w:val="5EA902B4"/>
    <w:rsid w:val="5EBA259F"/>
    <w:rsid w:val="5EE97BB4"/>
    <w:rsid w:val="5F085DDA"/>
    <w:rsid w:val="5F2E2D52"/>
    <w:rsid w:val="5F3B3418"/>
    <w:rsid w:val="5F54198B"/>
    <w:rsid w:val="5F546D2C"/>
    <w:rsid w:val="5F8351CE"/>
    <w:rsid w:val="5F9D1350"/>
    <w:rsid w:val="5FBE370A"/>
    <w:rsid w:val="5FC83407"/>
    <w:rsid w:val="5FD56E87"/>
    <w:rsid w:val="5FF0558C"/>
    <w:rsid w:val="601A27F4"/>
    <w:rsid w:val="60292845"/>
    <w:rsid w:val="604D2644"/>
    <w:rsid w:val="605238CF"/>
    <w:rsid w:val="6053694F"/>
    <w:rsid w:val="607921FE"/>
    <w:rsid w:val="608F62AE"/>
    <w:rsid w:val="60B9251B"/>
    <w:rsid w:val="60E236C1"/>
    <w:rsid w:val="60F560A0"/>
    <w:rsid w:val="611911B1"/>
    <w:rsid w:val="611D2E3C"/>
    <w:rsid w:val="61260B6B"/>
    <w:rsid w:val="61263A34"/>
    <w:rsid w:val="612B3ABB"/>
    <w:rsid w:val="612E1A5D"/>
    <w:rsid w:val="614E5D7E"/>
    <w:rsid w:val="61560892"/>
    <w:rsid w:val="61770BF8"/>
    <w:rsid w:val="61816046"/>
    <w:rsid w:val="619919DC"/>
    <w:rsid w:val="61C81AB1"/>
    <w:rsid w:val="61D417B9"/>
    <w:rsid w:val="620B0059"/>
    <w:rsid w:val="62391564"/>
    <w:rsid w:val="623F0B7F"/>
    <w:rsid w:val="624A22BE"/>
    <w:rsid w:val="625E5672"/>
    <w:rsid w:val="626E235A"/>
    <w:rsid w:val="626F60D5"/>
    <w:rsid w:val="62816669"/>
    <w:rsid w:val="6282086D"/>
    <w:rsid w:val="62B36CD7"/>
    <w:rsid w:val="62B45479"/>
    <w:rsid w:val="62BA0953"/>
    <w:rsid w:val="62D03A7C"/>
    <w:rsid w:val="62D8790F"/>
    <w:rsid w:val="62E10F9B"/>
    <w:rsid w:val="62F42FAE"/>
    <w:rsid w:val="62F648FE"/>
    <w:rsid w:val="62FC75D3"/>
    <w:rsid w:val="63167A4F"/>
    <w:rsid w:val="631D2BD6"/>
    <w:rsid w:val="632217E6"/>
    <w:rsid w:val="634E4B12"/>
    <w:rsid w:val="635356F3"/>
    <w:rsid w:val="635D6064"/>
    <w:rsid w:val="63745650"/>
    <w:rsid w:val="637D5B70"/>
    <w:rsid w:val="63825E77"/>
    <w:rsid w:val="639117D3"/>
    <w:rsid w:val="63A10995"/>
    <w:rsid w:val="63C23EFA"/>
    <w:rsid w:val="63C24F39"/>
    <w:rsid w:val="63D255DA"/>
    <w:rsid w:val="64076B79"/>
    <w:rsid w:val="640B7654"/>
    <w:rsid w:val="642721E0"/>
    <w:rsid w:val="643A070A"/>
    <w:rsid w:val="643F227C"/>
    <w:rsid w:val="64402337"/>
    <w:rsid w:val="64410A96"/>
    <w:rsid w:val="644C573D"/>
    <w:rsid w:val="64507EFB"/>
    <w:rsid w:val="64B97A50"/>
    <w:rsid w:val="64C4255D"/>
    <w:rsid w:val="65032F85"/>
    <w:rsid w:val="65123E81"/>
    <w:rsid w:val="651304A7"/>
    <w:rsid w:val="65136B50"/>
    <w:rsid w:val="65295CAB"/>
    <w:rsid w:val="656512C1"/>
    <w:rsid w:val="657E2A35"/>
    <w:rsid w:val="65A94E9D"/>
    <w:rsid w:val="65B96B3F"/>
    <w:rsid w:val="65BE1071"/>
    <w:rsid w:val="65C60A92"/>
    <w:rsid w:val="65D35142"/>
    <w:rsid w:val="65E174B2"/>
    <w:rsid w:val="660451CE"/>
    <w:rsid w:val="660B02F6"/>
    <w:rsid w:val="665346B7"/>
    <w:rsid w:val="66705A4E"/>
    <w:rsid w:val="667C7CCE"/>
    <w:rsid w:val="669C56BF"/>
    <w:rsid w:val="66A12460"/>
    <w:rsid w:val="66A20C1E"/>
    <w:rsid w:val="66BE2423"/>
    <w:rsid w:val="66DD6702"/>
    <w:rsid w:val="671B1623"/>
    <w:rsid w:val="671E6EBA"/>
    <w:rsid w:val="672C0ACD"/>
    <w:rsid w:val="672E0B77"/>
    <w:rsid w:val="673D2E92"/>
    <w:rsid w:val="675352AA"/>
    <w:rsid w:val="6759400B"/>
    <w:rsid w:val="675E528D"/>
    <w:rsid w:val="676C598C"/>
    <w:rsid w:val="67962635"/>
    <w:rsid w:val="67966EFB"/>
    <w:rsid w:val="679E7FA1"/>
    <w:rsid w:val="67A32389"/>
    <w:rsid w:val="67B005BB"/>
    <w:rsid w:val="67B768D0"/>
    <w:rsid w:val="67C779FD"/>
    <w:rsid w:val="67EF4C4B"/>
    <w:rsid w:val="68011C0C"/>
    <w:rsid w:val="682A2352"/>
    <w:rsid w:val="682E7AFD"/>
    <w:rsid w:val="68435865"/>
    <w:rsid w:val="68707071"/>
    <w:rsid w:val="687A4379"/>
    <w:rsid w:val="687B015C"/>
    <w:rsid w:val="687E3889"/>
    <w:rsid w:val="6884222C"/>
    <w:rsid w:val="6889198F"/>
    <w:rsid w:val="68AD17BB"/>
    <w:rsid w:val="68AF64C7"/>
    <w:rsid w:val="68B305D5"/>
    <w:rsid w:val="68D94D22"/>
    <w:rsid w:val="692B2E4A"/>
    <w:rsid w:val="696A0B34"/>
    <w:rsid w:val="69821807"/>
    <w:rsid w:val="698D6A17"/>
    <w:rsid w:val="699D5FD4"/>
    <w:rsid w:val="69A72A46"/>
    <w:rsid w:val="69D37590"/>
    <w:rsid w:val="69D62568"/>
    <w:rsid w:val="69D84EE9"/>
    <w:rsid w:val="69F954C1"/>
    <w:rsid w:val="69FA2750"/>
    <w:rsid w:val="6A1E1E73"/>
    <w:rsid w:val="6A2031B6"/>
    <w:rsid w:val="6A26299B"/>
    <w:rsid w:val="6A276275"/>
    <w:rsid w:val="6A2F57D7"/>
    <w:rsid w:val="6A3C1D40"/>
    <w:rsid w:val="6A4A069B"/>
    <w:rsid w:val="6A4B221F"/>
    <w:rsid w:val="6A5E7136"/>
    <w:rsid w:val="6A6432E1"/>
    <w:rsid w:val="6A6A5005"/>
    <w:rsid w:val="6A793230"/>
    <w:rsid w:val="6A8D5833"/>
    <w:rsid w:val="6AA23DFF"/>
    <w:rsid w:val="6AC61F6F"/>
    <w:rsid w:val="6AD34E53"/>
    <w:rsid w:val="6AD83EA1"/>
    <w:rsid w:val="6ADE74F0"/>
    <w:rsid w:val="6AE3182F"/>
    <w:rsid w:val="6B1D62E8"/>
    <w:rsid w:val="6B723594"/>
    <w:rsid w:val="6B805156"/>
    <w:rsid w:val="6B92775B"/>
    <w:rsid w:val="6B945E48"/>
    <w:rsid w:val="6B9B6BED"/>
    <w:rsid w:val="6BAD56EA"/>
    <w:rsid w:val="6BD50977"/>
    <w:rsid w:val="6BE126B1"/>
    <w:rsid w:val="6BE450D3"/>
    <w:rsid w:val="6BE60C84"/>
    <w:rsid w:val="6C587C0E"/>
    <w:rsid w:val="6C6C32E1"/>
    <w:rsid w:val="6C6E3E15"/>
    <w:rsid w:val="6C8B1F5D"/>
    <w:rsid w:val="6CAA3931"/>
    <w:rsid w:val="6CCF3BFB"/>
    <w:rsid w:val="6D2046B7"/>
    <w:rsid w:val="6D325918"/>
    <w:rsid w:val="6D370B82"/>
    <w:rsid w:val="6D3933CA"/>
    <w:rsid w:val="6D3C6CAD"/>
    <w:rsid w:val="6D6261FE"/>
    <w:rsid w:val="6D633D96"/>
    <w:rsid w:val="6D7B61EC"/>
    <w:rsid w:val="6D8E03AA"/>
    <w:rsid w:val="6DBB089F"/>
    <w:rsid w:val="6DC63038"/>
    <w:rsid w:val="6DE30DE0"/>
    <w:rsid w:val="6DE43221"/>
    <w:rsid w:val="6DE6130A"/>
    <w:rsid w:val="6DE839B9"/>
    <w:rsid w:val="6DFB65EB"/>
    <w:rsid w:val="6DFE102E"/>
    <w:rsid w:val="6E09491E"/>
    <w:rsid w:val="6E0D3655"/>
    <w:rsid w:val="6E1A0886"/>
    <w:rsid w:val="6E1A437E"/>
    <w:rsid w:val="6E2B14A0"/>
    <w:rsid w:val="6E3A144E"/>
    <w:rsid w:val="6E5F4465"/>
    <w:rsid w:val="6E8B1663"/>
    <w:rsid w:val="6E8C54DA"/>
    <w:rsid w:val="6EF11E03"/>
    <w:rsid w:val="6EF1241D"/>
    <w:rsid w:val="6EF82916"/>
    <w:rsid w:val="6F0B2DE7"/>
    <w:rsid w:val="6F111C62"/>
    <w:rsid w:val="6F1D68C2"/>
    <w:rsid w:val="6F2176E5"/>
    <w:rsid w:val="6F2D79CC"/>
    <w:rsid w:val="6F3A2A5F"/>
    <w:rsid w:val="6F4F7F03"/>
    <w:rsid w:val="6F592303"/>
    <w:rsid w:val="6F5F5B74"/>
    <w:rsid w:val="6F8B3646"/>
    <w:rsid w:val="6F98032D"/>
    <w:rsid w:val="6F9B1C65"/>
    <w:rsid w:val="6FA44937"/>
    <w:rsid w:val="6FE82C9C"/>
    <w:rsid w:val="6FFB146E"/>
    <w:rsid w:val="6FFC3AA6"/>
    <w:rsid w:val="6FFF3B63"/>
    <w:rsid w:val="7006721D"/>
    <w:rsid w:val="700E763F"/>
    <w:rsid w:val="70160742"/>
    <w:rsid w:val="7030610F"/>
    <w:rsid w:val="70612DB4"/>
    <w:rsid w:val="706516C3"/>
    <w:rsid w:val="70896E68"/>
    <w:rsid w:val="708A4844"/>
    <w:rsid w:val="70D84CBF"/>
    <w:rsid w:val="70E05E9D"/>
    <w:rsid w:val="71073061"/>
    <w:rsid w:val="711A201F"/>
    <w:rsid w:val="71396ACC"/>
    <w:rsid w:val="715B60E9"/>
    <w:rsid w:val="716F0EE9"/>
    <w:rsid w:val="718F7D0C"/>
    <w:rsid w:val="7196674D"/>
    <w:rsid w:val="71BB3492"/>
    <w:rsid w:val="71CD6D08"/>
    <w:rsid w:val="71EA1FED"/>
    <w:rsid w:val="71FB73F5"/>
    <w:rsid w:val="71FE4239"/>
    <w:rsid w:val="720505B6"/>
    <w:rsid w:val="72165C6B"/>
    <w:rsid w:val="722021E3"/>
    <w:rsid w:val="722C6DDA"/>
    <w:rsid w:val="722E0369"/>
    <w:rsid w:val="72345748"/>
    <w:rsid w:val="72517CEA"/>
    <w:rsid w:val="72802089"/>
    <w:rsid w:val="72A57FD0"/>
    <w:rsid w:val="72E661B1"/>
    <w:rsid w:val="72F90C18"/>
    <w:rsid w:val="730313F6"/>
    <w:rsid w:val="730E4732"/>
    <w:rsid w:val="731E5F29"/>
    <w:rsid w:val="732A6AD8"/>
    <w:rsid w:val="73370D24"/>
    <w:rsid w:val="733E6DC5"/>
    <w:rsid w:val="73472C84"/>
    <w:rsid w:val="7359268C"/>
    <w:rsid w:val="7366631C"/>
    <w:rsid w:val="736C263C"/>
    <w:rsid w:val="73723640"/>
    <w:rsid w:val="737311F5"/>
    <w:rsid w:val="73761585"/>
    <w:rsid w:val="739503EB"/>
    <w:rsid w:val="73A05B28"/>
    <w:rsid w:val="73C07D69"/>
    <w:rsid w:val="73CA7309"/>
    <w:rsid w:val="73DC335B"/>
    <w:rsid w:val="740B60EC"/>
    <w:rsid w:val="744C4A5B"/>
    <w:rsid w:val="74717AE5"/>
    <w:rsid w:val="74881E39"/>
    <w:rsid w:val="748B21CA"/>
    <w:rsid w:val="749A44CF"/>
    <w:rsid w:val="749E16A8"/>
    <w:rsid w:val="74A50A4B"/>
    <w:rsid w:val="74B42AE4"/>
    <w:rsid w:val="74C54993"/>
    <w:rsid w:val="750A429D"/>
    <w:rsid w:val="754400F8"/>
    <w:rsid w:val="75474B47"/>
    <w:rsid w:val="755D3A23"/>
    <w:rsid w:val="755E2214"/>
    <w:rsid w:val="75614792"/>
    <w:rsid w:val="75761866"/>
    <w:rsid w:val="75784473"/>
    <w:rsid w:val="7582466D"/>
    <w:rsid w:val="75B161B3"/>
    <w:rsid w:val="75C055BD"/>
    <w:rsid w:val="75C46B63"/>
    <w:rsid w:val="75DC6C44"/>
    <w:rsid w:val="762770AC"/>
    <w:rsid w:val="762F6A19"/>
    <w:rsid w:val="76341B33"/>
    <w:rsid w:val="765751E9"/>
    <w:rsid w:val="76736B32"/>
    <w:rsid w:val="768811B6"/>
    <w:rsid w:val="76AF35EE"/>
    <w:rsid w:val="76C27A74"/>
    <w:rsid w:val="76D432B7"/>
    <w:rsid w:val="76E3765E"/>
    <w:rsid w:val="76EA03A1"/>
    <w:rsid w:val="76EC20A9"/>
    <w:rsid w:val="76FC2AFA"/>
    <w:rsid w:val="770B4AEB"/>
    <w:rsid w:val="774B4E00"/>
    <w:rsid w:val="77527424"/>
    <w:rsid w:val="77653671"/>
    <w:rsid w:val="778546CC"/>
    <w:rsid w:val="778B6B46"/>
    <w:rsid w:val="77A96931"/>
    <w:rsid w:val="77B105D5"/>
    <w:rsid w:val="77B551B3"/>
    <w:rsid w:val="77B56730"/>
    <w:rsid w:val="77B92EBE"/>
    <w:rsid w:val="77BF1E80"/>
    <w:rsid w:val="77C04A8B"/>
    <w:rsid w:val="77D85DB3"/>
    <w:rsid w:val="77EB1B74"/>
    <w:rsid w:val="77EF50EB"/>
    <w:rsid w:val="782A3EA3"/>
    <w:rsid w:val="783F09AA"/>
    <w:rsid w:val="787A567D"/>
    <w:rsid w:val="78A50513"/>
    <w:rsid w:val="78D37FAF"/>
    <w:rsid w:val="78EF7AB5"/>
    <w:rsid w:val="790A4A06"/>
    <w:rsid w:val="790D6849"/>
    <w:rsid w:val="791C1903"/>
    <w:rsid w:val="79252148"/>
    <w:rsid w:val="79356FA9"/>
    <w:rsid w:val="793A6280"/>
    <w:rsid w:val="795767E3"/>
    <w:rsid w:val="79586707"/>
    <w:rsid w:val="796518DD"/>
    <w:rsid w:val="79724BEF"/>
    <w:rsid w:val="797264AC"/>
    <w:rsid w:val="799008E5"/>
    <w:rsid w:val="79AA0532"/>
    <w:rsid w:val="79AB2CDA"/>
    <w:rsid w:val="79C370A4"/>
    <w:rsid w:val="79D23A3D"/>
    <w:rsid w:val="79FE1DDD"/>
    <w:rsid w:val="7A075767"/>
    <w:rsid w:val="7A0C15B3"/>
    <w:rsid w:val="7A2101B8"/>
    <w:rsid w:val="7A212062"/>
    <w:rsid w:val="7A2522C9"/>
    <w:rsid w:val="7A282A11"/>
    <w:rsid w:val="7A3A59B8"/>
    <w:rsid w:val="7A566842"/>
    <w:rsid w:val="7A5D0F75"/>
    <w:rsid w:val="7A715CD2"/>
    <w:rsid w:val="7A921E9A"/>
    <w:rsid w:val="7AAA09A9"/>
    <w:rsid w:val="7ABF2475"/>
    <w:rsid w:val="7AC21562"/>
    <w:rsid w:val="7AD474A4"/>
    <w:rsid w:val="7AF55544"/>
    <w:rsid w:val="7AFC38DE"/>
    <w:rsid w:val="7B165244"/>
    <w:rsid w:val="7B217A1E"/>
    <w:rsid w:val="7B2965AD"/>
    <w:rsid w:val="7B303E8C"/>
    <w:rsid w:val="7B39121D"/>
    <w:rsid w:val="7B5A3E7E"/>
    <w:rsid w:val="7B865D50"/>
    <w:rsid w:val="7B87547C"/>
    <w:rsid w:val="7B8D34C3"/>
    <w:rsid w:val="7B971D84"/>
    <w:rsid w:val="7BAB0CB7"/>
    <w:rsid w:val="7BAF5516"/>
    <w:rsid w:val="7BB4028F"/>
    <w:rsid w:val="7BB87930"/>
    <w:rsid w:val="7BD6383B"/>
    <w:rsid w:val="7BE031FB"/>
    <w:rsid w:val="7BE85BAB"/>
    <w:rsid w:val="7BF32F03"/>
    <w:rsid w:val="7BF50D2C"/>
    <w:rsid w:val="7C066F4E"/>
    <w:rsid w:val="7C1724A5"/>
    <w:rsid w:val="7C273CFF"/>
    <w:rsid w:val="7CA54112"/>
    <w:rsid w:val="7CA553D9"/>
    <w:rsid w:val="7CAB27F5"/>
    <w:rsid w:val="7CAF438A"/>
    <w:rsid w:val="7CCE726D"/>
    <w:rsid w:val="7CD71EA3"/>
    <w:rsid w:val="7CE50CE4"/>
    <w:rsid w:val="7CF877E9"/>
    <w:rsid w:val="7CFD1A9F"/>
    <w:rsid w:val="7D134762"/>
    <w:rsid w:val="7D2E5ABF"/>
    <w:rsid w:val="7D4A45B8"/>
    <w:rsid w:val="7E007625"/>
    <w:rsid w:val="7E044786"/>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96D35"/>
    <w:rsid w:val="7F5A01CA"/>
    <w:rsid w:val="7F5B0B7E"/>
    <w:rsid w:val="7FA01732"/>
    <w:rsid w:val="7FDA27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8"/>
    <w:qFormat/>
    <w:uiPriority w:val="9"/>
    <w:pPr>
      <w:keepNext/>
      <w:keepLines/>
      <w:spacing w:before="340" w:after="330" w:line="576" w:lineRule="auto"/>
      <w:outlineLvl w:val="0"/>
    </w:pPr>
    <w:rPr>
      <w:b/>
      <w:kern w:val="44"/>
      <w:sz w:val="44"/>
    </w:rPr>
  </w:style>
  <w:style w:type="paragraph" w:styleId="4">
    <w:name w:val="heading 2"/>
    <w:basedOn w:val="1"/>
    <w:next w:val="1"/>
    <w:link w:val="4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5"/>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7"/>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7"/>
    <w:semiHidden/>
    <w:unhideWhenUsed/>
    <w:qFormat/>
    <w:uiPriority w:val="9"/>
    <w:pPr>
      <w:keepNext/>
      <w:keepLines/>
      <w:spacing w:before="280" w:after="290" w:line="372" w:lineRule="auto"/>
      <w:outlineLvl w:val="4"/>
    </w:pPr>
    <w:rPr>
      <w:b/>
      <w:sz w:val="28"/>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9"/>
    <w:qFormat/>
    <w:uiPriority w:val="0"/>
    <w:pPr>
      <w:spacing w:before="161"/>
      <w:ind w:left="120"/>
    </w:pPr>
    <w:rPr>
      <w:rFonts w:ascii="宋体" w:hAnsi="宋体" w:cs="宋体"/>
      <w:sz w:val="24"/>
      <w:lang w:val="zh-CN" w:bidi="zh-CN"/>
    </w:r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caption"/>
    <w:basedOn w:val="1"/>
    <w:next w:val="1"/>
    <w:qFormat/>
    <w:uiPriority w:val="0"/>
    <w:rPr>
      <w:rFonts w:ascii="Arial" w:hAnsi="Arial" w:eastAsia="黑体" w:cs="Arial"/>
      <w:sz w:val="20"/>
      <w:szCs w:val="20"/>
    </w:rPr>
  </w:style>
  <w:style w:type="paragraph" w:styleId="10">
    <w:name w:val="annotation text"/>
    <w:basedOn w:val="1"/>
    <w:link w:val="66"/>
    <w:unhideWhenUsed/>
    <w:qFormat/>
    <w:uiPriority w:val="99"/>
  </w:style>
  <w:style w:type="paragraph" w:styleId="11">
    <w:name w:val="Body Text Indent"/>
    <w:basedOn w:val="12"/>
    <w:qFormat/>
    <w:uiPriority w:val="0"/>
    <w:pPr>
      <w:ind w:left="359" w:leftChars="171" w:firstLine="179" w:firstLineChars="85"/>
    </w:pPr>
    <w:rPr>
      <w:rFonts w:ascii="宋体" w:hAnsi="宋体"/>
      <w:b/>
      <w:bCs/>
      <w:szCs w:val="26"/>
    </w:rPr>
  </w:style>
  <w:style w:type="paragraph" w:customStyle="1" w:styleId="12">
    <w:name w:val="Normal_7_0"/>
    <w:qFormat/>
    <w:uiPriority w:val="0"/>
    <w:pPr>
      <w:widowControl w:val="0"/>
      <w:jc w:val="both"/>
    </w:pPr>
    <w:rPr>
      <w:rFonts w:ascii="宋体" w:hAnsi="宋体" w:eastAsia="宋体" w:cs="宋体"/>
      <w:lang w:val="en-US" w:eastAsia="zh-CN" w:bidi="ar-SA"/>
    </w:rPr>
  </w:style>
  <w:style w:type="paragraph" w:styleId="13">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4">
    <w:name w:val="toc 3"/>
    <w:basedOn w:val="1"/>
    <w:next w:val="1"/>
    <w:unhideWhenUsed/>
    <w:qFormat/>
    <w:uiPriority w:val="39"/>
    <w:pPr>
      <w:tabs>
        <w:tab w:val="right" w:leader="dot" w:pos="8296"/>
      </w:tabs>
      <w:ind w:left="838" w:leftChars="381"/>
    </w:pPr>
    <w:rPr>
      <w:szCs w:val="21"/>
    </w:rPr>
  </w:style>
  <w:style w:type="paragraph" w:styleId="15">
    <w:name w:val="Plain Text"/>
    <w:basedOn w:val="1"/>
    <w:link w:val="58"/>
    <w:qFormat/>
    <w:uiPriority w:val="0"/>
    <w:pPr>
      <w:widowControl w:val="0"/>
      <w:adjustRightInd/>
      <w:snapToGrid/>
      <w:jc w:val="both"/>
    </w:pPr>
    <w:rPr>
      <w:rFonts w:ascii="宋体" w:hAnsi="Courier New" w:cs="Times New Roman"/>
      <w:b/>
      <w:kern w:val="2"/>
      <w:szCs w:val="20"/>
    </w:rPr>
  </w:style>
  <w:style w:type="paragraph" w:styleId="16">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7">
    <w:name w:val="Balloon Text"/>
    <w:basedOn w:val="1"/>
    <w:link w:val="61"/>
    <w:semiHidden/>
    <w:unhideWhenUsed/>
    <w:qFormat/>
    <w:uiPriority w:val="99"/>
    <w:rPr>
      <w:sz w:val="18"/>
      <w:szCs w:val="18"/>
    </w:rPr>
  </w:style>
  <w:style w:type="paragraph" w:styleId="18">
    <w:name w:val="footer"/>
    <w:basedOn w:val="1"/>
    <w:link w:val="60"/>
    <w:unhideWhenUsed/>
    <w:qFormat/>
    <w:uiPriority w:val="0"/>
    <w:pPr>
      <w:tabs>
        <w:tab w:val="center" w:pos="4153"/>
        <w:tab w:val="right" w:pos="8306"/>
      </w:tabs>
    </w:pPr>
    <w:rPr>
      <w:sz w:val="18"/>
      <w:szCs w:val="18"/>
    </w:rPr>
  </w:style>
  <w:style w:type="paragraph" w:styleId="19">
    <w:name w:val="header"/>
    <w:basedOn w:val="1"/>
    <w:link w:val="59"/>
    <w:unhideWhenUsed/>
    <w:qFormat/>
    <w:uiPriority w:val="0"/>
    <w:pPr>
      <w:pBdr>
        <w:bottom w:val="single" w:color="auto" w:sz="6" w:space="1"/>
      </w:pBdr>
      <w:tabs>
        <w:tab w:val="center" w:pos="4153"/>
        <w:tab w:val="right" w:pos="8306"/>
      </w:tabs>
      <w:jc w:val="center"/>
    </w:pPr>
    <w:rPr>
      <w:sz w:val="18"/>
      <w:szCs w:val="18"/>
    </w:rPr>
  </w:style>
  <w:style w:type="paragraph" w:styleId="20">
    <w:name w:val="toc 1"/>
    <w:basedOn w:val="1"/>
    <w:next w:val="1"/>
    <w:unhideWhenUsed/>
    <w:qFormat/>
    <w:uiPriority w:val="39"/>
  </w:style>
  <w:style w:type="paragraph" w:styleId="21">
    <w:name w:val="toc 4"/>
    <w:basedOn w:val="1"/>
    <w:next w:val="1"/>
    <w:unhideWhenUsed/>
    <w:qFormat/>
    <w:uiPriority w:val="39"/>
    <w:pPr>
      <w:tabs>
        <w:tab w:val="right" w:leader="dot" w:pos="8296"/>
      </w:tabs>
      <w:spacing w:after="120"/>
      <w:ind w:left="1320" w:leftChars="600"/>
    </w:pPr>
  </w:style>
  <w:style w:type="paragraph" w:styleId="22">
    <w:name w:val="footnote text"/>
    <w:basedOn w:val="1"/>
    <w:semiHidden/>
    <w:unhideWhenUsed/>
    <w:qFormat/>
    <w:uiPriority w:val="99"/>
    <w:rPr>
      <w:sz w:val="18"/>
    </w:rPr>
  </w:style>
  <w:style w:type="paragraph" w:styleId="23">
    <w:name w:val="toc 6"/>
    <w:basedOn w:val="1"/>
    <w:next w:val="1"/>
    <w:qFormat/>
    <w:uiPriority w:val="39"/>
    <w:pPr>
      <w:ind w:left="1200"/>
    </w:pPr>
    <w:rPr>
      <w:rFonts w:ascii="Calibri" w:cs="Calibri"/>
      <w:sz w:val="18"/>
      <w:szCs w:val="18"/>
    </w:rPr>
  </w:style>
  <w:style w:type="paragraph" w:styleId="24">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5">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6">
    <w:name w:val="Normal (Web)"/>
    <w:basedOn w:val="1"/>
    <w:link w:val="63"/>
    <w:qFormat/>
    <w:uiPriority w:val="0"/>
    <w:pPr>
      <w:widowControl w:val="0"/>
      <w:adjustRightInd/>
      <w:snapToGrid/>
      <w:jc w:val="both"/>
    </w:pPr>
    <w:rPr>
      <w:rFonts w:asciiTheme="minorHAnsi" w:hAnsiTheme="minorHAnsi"/>
      <w:kern w:val="2"/>
      <w:sz w:val="24"/>
      <w:szCs w:val="24"/>
    </w:rPr>
  </w:style>
  <w:style w:type="paragraph" w:styleId="27">
    <w:name w:val="annotation subject"/>
    <w:basedOn w:val="10"/>
    <w:next w:val="10"/>
    <w:link w:val="67"/>
    <w:semiHidden/>
    <w:unhideWhenUsed/>
    <w:qFormat/>
    <w:uiPriority w:val="99"/>
    <w:rPr>
      <w:b/>
      <w:bCs/>
    </w:rPr>
  </w:style>
  <w:style w:type="paragraph" w:styleId="28">
    <w:name w:val="Body Text First Indent"/>
    <w:basedOn w:val="2"/>
    <w:next w:val="1"/>
    <w:unhideWhenUsed/>
    <w:qFormat/>
    <w:uiPriority w:val="0"/>
    <w:pPr>
      <w:spacing w:beforeLines="50" w:afterLines="0" w:line="360" w:lineRule="auto"/>
      <w:ind w:firstLine="200" w:firstLineChars="200"/>
    </w:pPr>
    <w:rPr>
      <w:rFonts w:hint="default" w:ascii="Times New Roman" w:hAnsi="Times New Roman" w:eastAsia="宋体" w:cs="Times New Roman"/>
      <w:sz w:val="24"/>
      <w:szCs w:val="24"/>
    </w:rPr>
  </w:style>
  <w:style w:type="paragraph" w:styleId="29">
    <w:name w:val="Body Text First Indent 2"/>
    <w:basedOn w:val="11"/>
    <w:next w:val="1"/>
    <w:qFormat/>
    <w:uiPriority w:val="0"/>
    <w:pPr>
      <w:ind w:left="0" w:leftChars="0" w:firstLine="420" w:firstLineChars="200"/>
    </w:pPr>
    <w:rPr>
      <w:rFonts w:ascii="Tahoma" w:hAnsi="Tahoma"/>
      <w:sz w:val="28"/>
    </w:rPr>
  </w:style>
  <w:style w:type="table" w:styleId="31">
    <w:name w:val="Table Grid"/>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22"/>
    <w:rPr>
      <w:b/>
    </w:rPr>
  </w:style>
  <w:style w:type="character" w:styleId="34">
    <w:name w:val="page number"/>
    <w:basedOn w:val="32"/>
    <w:qFormat/>
    <w:uiPriority w:val="0"/>
  </w:style>
  <w:style w:type="character" w:styleId="35">
    <w:name w:val="Emphasis"/>
    <w:basedOn w:val="32"/>
    <w:qFormat/>
    <w:uiPriority w:val="20"/>
    <w:rPr>
      <w:i/>
      <w:iCs/>
    </w:rPr>
  </w:style>
  <w:style w:type="character" w:styleId="36">
    <w:name w:val="Hyperlink"/>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2"/>
    <w:semiHidden/>
    <w:unhideWhenUsed/>
    <w:qFormat/>
    <w:uiPriority w:val="99"/>
    <w:rPr>
      <w:sz w:val="21"/>
      <w:szCs w:val="21"/>
    </w:rPr>
  </w:style>
  <w:style w:type="character" w:styleId="38">
    <w:name w:val="footnote reference"/>
    <w:basedOn w:val="32"/>
    <w:semiHidden/>
    <w:unhideWhenUsed/>
    <w:qFormat/>
    <w:uiPriority w:val="99"/>
    <w:rPr>
      <w:vertAlign w:val="superscript"/>
    </w:rPr>
  </w:style>
  <w:style w:type="paragraph" w:customStyle="1" w:styleId="39">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0">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
    <w:name w:val="Body Text First Indent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
    <w:name w:val="样式 正文首行缩进 + 首行缩进:  1 字符"/>
    <w:basedOn w:val="1"/>
    <w:next w:val="1"/>
    <w:qFormat/>
    <w:uiPriority w:val="0"/>
    <w:pPr>
      <w:ind w:firstLine="200" w:firstLineChars="200"/>
    </w:pPr>
    <w:rPr>
      <w:rFonts w:cs="宋体"/>
      <w:szCs w:val="20"/>
    </w:rPr>
  </w:style>
  <w:style w:type="paragraph" w:customStyle="1" w:styleId="43">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4">
    <w:name w:val="标题 2 字符"/>
    <w:basedOn w:val="32"/>
    <w:link w:val="4"/>
    <w:qFormat/>
    <w:uiPriority w:val="9"/>
    <w:rPr>
      <w:rFonts w:asciiTheme="majorHAnsi" w:hAnsiTheme="majorHAnsi" w:eastAsiaTheme="majorEastAsia" w:cstheme="majorBidi"/>
      <w:b/>
      <w:bCs/>
      <w:sz w:val="32"/>
      <w:szCs w:val="32"/>
    </w:rPr>
  </w:style>
  <w:style w:type="character" w:customStyle="1" w:styleId="45">
    <w:name w:val="标题 3 字符"/>
    <w:basedOn w:val="32"/>
    <w:link w:val="5"/>
    <w:qFormat/>
    <w:uiPriority w:val="9"/>
    <w:rPr>
      <w:rFonts w:ascii="Tahoma" w:hAnsi="Tahoma"/>
      <w:b/>
      <w:bCs/>
      <w:sz w:val="32"/>
      <w:szCs w:val="32"/>
    </w:rPr>
  </w:style>
  <w:style w:type="paragraph" w:styleId="46">
    <w:name w:val="List Paragraph"/>
    <w:basedOn w:val="1"/>
    <w:link w:val="68"/>
    <w:qFormat/>
    <w:uiPriority w:val="0"/>
    <w:pPr>
      <w:ind w:firstLine="420" w:firstLineChars="200"/>
    </w:pPr>
  </w:style>
  <w:style w:type="character" w:customStyle="1" w:styleId="47">
    <w:name w:val="标题 4 字符"/>
    <w:basedOn w:val="32"/>
    <w:link w:val="6"/>
    <w:qFormat/>
    <w:uiPriority w:val="9"/>
    <w:rPr>
      <w:rFonts w:eastAsia="宋体" w:asciiTheme="majorHAnsi" w:hAnsiTheme="majorHAnsi" w:cstheme="majorBidi"/>
      <w:b/>
      <w:bCs/>
      <w:sz w:val="24"/>
      <w:szCs w:val="28"/>
    </w:rPr>
  </w:style>
  <w:style w:type="character" w:customStyle="1" w:styleId="48">
    <w:name w:val="正文缩进2格 Char"/>
    <w:link w:val="49"/>
    <w:qFormat/>
    <w:uiPriority w:val="0"/>
    <w:rPr>
      <w:rFonts w:ascii="仿宋_GB2312" w:hAnsi="宋体" w:eastAsia="仿宋_GB2312"/>
      <w:kern w:val="2"/>
      <w:sz w:val="31"/>
    </w:rPr>
  </w:style>
  <w:style w:type="paragraph" w:customStyle="1" w:styleId="49">
    <w:name w:val="正文缩进2格"/>
    <w:basedOn w:val="1"/>
    <w:link w:val="48"/>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50">
    <w:name w:val="正文缩进4格"/>
    <w:basedOn w:val="49"/>
    <w:qFormat/>
    <w:uiPriority w:val="0"/>
    <w:pPr>
      <w:ind w:left="2" w:firstLine="538" w:firstLineChars="192"/>
    </w:pPr>
    <w:rPr>
      <w:color w:val="0000FF"/>
      <w:sz w:val="28"/>
    </w:rPr>
  </w:style>
  <w:style w:type="character" w:customStyle="1" w:styleId="51">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2">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3">
    <w:name w:val="标题1"/>
    <w:qFormat/>
    <w:uiPriority w:val="0"/>
    <w:rPr>
      <w:rFonts w:ascii="Times New Roman" w:hAnsi="Times New Roman" w:eastAsia="宋体" w:cs="Times New Roman"/>
      <w:b/>
      <w:kern w:val="0"/>
      <w:sz w:val="24"/>
      <w:szCs w:val="20"/>
      <w:lang w:eastAsia="en-US"/>
    </w:rPr>
  </w:style>
  <w:style w:type="character" w:customStyle="1" w:styleId="54">
    <w:name w:val="标题 3.1 Char"/>
    <w:link w:val="55"/>
    <w:qFormat/>
    <w:uiPriority w:val="0"/>
    <w:rPr>
      <w:rFonts w:ascii="宋体" w:hAnsi="宋体" w:eastAsia="宋体"/>
      <w:b/>
      <w:color w:val="FF0000"/>
      <w:kern w:val="2"/>
      <w:sz w:val="32"/>
    </w:rPr>
  </w:style>
  <w:style w:type="paragraph" w:customStyle="1" w:styleId="55">
    <w:name w:val="标题 3.1"/>
    <w:basedOn w:val="5"/>
    <w:link w:val="54"/>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6">
    <w:name w:val="样式 楷体_GB2312 小四"/>
    <w:qFormat/>
    <w:uiPriority w:val="0"/>
    <w:rPr>
      <w:rFonts w:ascii="楷体_GB2312" w:hAnsi="楷体_GB2312" w:eastAsia="仿宋_GB2312"/>
      <w:sz w:val="24"/>
    </w:rPr>
  </w:style>
  <w:style w:type="character" w:customStyle="1" w:styleId="57">
    <w:name w:val="纯文本 Char"/>
    <w:qFormat/>
    <w:uiPriority w:val="0"/>
    <w:rPr>
      <w:rFonts w:ascii="宋体" w:hAnsi="Courier New" w:eastAsia="宋体" w:cs="Times New Roman"/>
      <w:b/>
      <w:kern w:val="2"/>
      <w:sz w:val="21"/>
      <w:szCs w:val="20"/>
    </w:rPr>
  </w:style>
  <w:style w:type="character" w:customStyle="1" w:styleId="58">
    <w:name w:val="纯文本 字符"/>
    <w:basedOn w:val="32"/>
    <w:link w:val="15"/>
    <w:semiHidden/>
    <w:qFormat/>
    <w:uiPriority w:val="99"/>
    <w:rPr>
      <w:rFonts w:ascii="宋体" w:hAnsi="Courier New" w:eastAsia="宋体" w:cs="Courier New"/>
      <w:sz w:val="21"/>
      <w:szCs w:val="21"/>
    </w:rPr>
  </w:style>
  <w:style w:type="character" w:customStyle="1" w:styleId="59">
    <w:name w:val="页眉 字符"/>
    <w:basedOn w:val="32"/>
    <w:link w:val="19"/>
    <w:qFormat/>
    <w:uiPriority w:val="99"/>
    <w:rPr>
      <w:rFonts w:ascii="Tahoma" w:hAnsi="Tahoma"/>
      <w:sz w:val="18"/>
      <w:szCs w:val="18"/>
    </w:rPr>
  </w:style>
  <w:style w:type="character" w:customStyle="1" w:styleId="60">
    <w:name w:val="页脚 字符"/>
    <w:basedOn w:val="32"/>
    <w:link w:val="18"/>
    <w:qFormat/>
    <w:uiPriority w:val="99"/>
    <w:rPr>
      <w:rFonts w:ascii="Tahoma" w:hAnsi="Tahoma"/>
      <w:sz w:val="18"/>
      <w:szCs w:val="18"/>
    </w:rPr>
  </w:style>
  <w:style w:type="character" w:customStyle="1" w:styleId="61">
    <w:name w:val="批注框文本 字符"/>
    <w:basedOn w:val="32"/>
    <w:link w:val="17"/>
    <w:semiHidden/>
    <w:qFormat/>
    <w:uiPriority w:val="99"/>
    <w:rPr>
      <w:rFonts w:ascii="Tahoma" w:hAnsi="Tahoma"/>
      <w:sz w:val="18"/>
      <w:szCs w:val="18"/>
    </w:rPr>
  </w:style>
  <w:style w:type="paragraph" w:customStyle="1" w:styleId="62">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3">
    <w:name w:val="普通(网站) 字符"/>
    <w:link w:val="26"/>
    <w:qFormat/>
    <w:uiPriority w:val="0"/>
    <w:rPr>
      <w:rFonts w:eastAsia="宋体"/>
      <w:kern w:val="2"/>
      <w:sz w:val="24"/>
      <w:szCs w:val="24"/>
    </w:rPr>
  </w:style>
  <w:style w:type="paragraph" w:customStyle="1" w:styleId="64">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5">
    <w:name w:val="p141"/>
    <w:qFormat/>
    <w:uiPriority w:val="0"/>
    <w:rPr>
      <w:sz w:val="21"/>
      <w:szCs w:val="21"/>
    </w:rPr>
  </w:style>
  <w:style w:type="character" w:customStyle="1" w:styleId="66">
    <w:name w:val="批注文字 字符"/>
    <w:basedOn w:val="32"/>
    <w:link w:val="10"/>
    <w:qFormat/>
    <w:uiPriority w:val="99"/>
    <w:rPr>
      <w:rFonts w:ascii="Tahoma" w:hAnsi="Tahoma" w:eastAsia="微软雅黑" w:cstheme="minorBidi"/>
      <w:sz w:val="22"/>
      <w:szCs w:val="22"/>
    </w:rPr>
  </w:style>
  <w:style w:type="character" w:customStyle="1" w:styleId="67">
    <w:name w:val="批注主题 字符"/>
    <w:basedOn w:val="66"/>
    <w:link w:val="27"/>
    <w:semiHidden/>
    <w:qFormat/>
    <w:uiPriority w:val="99"/>
    <w:rPr>
      <w:rFonts w:ascii="Tahoma" w:hAnsi="Tahoma" w:eastAsia="微软雅黑" w:cstheme="minorBidi"/>
      <w:b/>
      <w:bCs/>
      <w:sz w:val="22"/>
      <w:szCs w:val="22"/>
    </w:rPr>
  </w:style>
  <w:style w:type="character" w:customStyle="1" w:styleId="68">
    <w:name w:val="列表段落 字符"/>
    <w:link w:val="46"/>
    <w:qFormat/>
    <w:uiPriority w:val="0"/>
    <w:rPr>
      <w:rFonts w:ascii="Tahoma" w:hAnsi="Tahoma" w:eastAsia="微软雅黑" w:cstheme="minorBidi"/>
      <w:sz w:val="22"/>
      <w:szCs w:val="22"/>
    </w:rPr>
  </w:style>
  <w:style w:type="character" w:customStyle="1" w:styleId="69">
    <w:name w:val="正文文本 字符"/>
    <w:basedOn w:val="32"/>
    <w:link w:val="2"/>
    <w:qFormat/>
    <w:uiPriority w:val="1"/>
    <w:rPr>
      <w:rFonts w:ascii="宋体" w:hAnsi="宋体" w:cs="宋体"/>
      <w:sz w:val="24"/>
      <w:szCs w:val="22"/>
      <w:lang w:val="zh-CN" w:bidi="zh-CN"/>
    </w:rPr>
  </w:style>
  <w:style w:type="paragraph" w:customStyle="1" w:styleId="7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1">
    <w:name w:val="_Style 1"/>
    <w:basedOn w:val="1"/>
    <w:qFormat/>
    <w:uiPriority w:val="0"/>
    <w:pPr>
      <w:ind w:firstLine="420" w:firstLineChars="200"/>
    </w:pPr>
  </w:style>
  <w:style w:type="paragraph" w:customStyle="1" w:styleId="72">
    <w:name w:val="列出段落2"/>
    <w:basedOn w:val="1"/>
    <w:qFormat/>
    <w:uiPriority w:val="0"/>
    <w:pPr>
      <w:ind w:firstLine="420" w:firstLineChars="200"/>
    </w:pPr>
  </w:style>
  <w:style w:type="paragraph" w:customStyle="1" w:styleId="73">
    <w:name w:val="p0"/>
    <w:basedOn w:val="1"/>
    <w:qFormat/>
    <w:uiPriority w:val="0"/>
    <w:rPr>
      <w:szCs w:val="21"/>
    </w:rPr>
  </w:style>
  <w:style w:type="paragraph" w:customStyle="1" w:styleId="74">
    <w:name w:val="正文文本缩进 21"/>
    <w:basedOn w:val="1"/>
    <w:qFormat/>
    <w:uiPriority w:val="0"/>
    <w:pPr>
      <w:spacing w:line="480" w:lineRule="auto"/>
      <w:ind w:firstLine="540"/>
    </w:pPr>
    <w:rPr>
      <w:rFonts w:ascii="Calibri" w:hAnsi="Calibri"/>
      <w:sz w:val="20"/>
      <w:szCs w:val="20"/>
    </w:rPr>
  </w:style>
  <w:style w:type="paragraph" w:customStyle="1" w:styleId="75">
    <w:name w:val="_Style 2"/>
    <w:basedOn w:val="1"/>
    <w:qFormat/>
    <w:uiPriority w:val="0"/>
    <w:pPr>
      <w:ind w:firstLine="420" w:firstLineChars="200"/>
    </w:pPr>
  </w:style>
  <w:style w:type="paragraph" w:customStyle="1" w:styleId="76">
    <w:name w:val="msolistparagraph"/>
    <w:basedOn w:val="1"/>
    <w:qFormat/>
    <w:uiPriority w:val="0"/>
    <w:pPr>
      <w:ind w:firstLine="420" w:firstLineChars="200"/>
    </w:pPr>
    <w:rPr>
      <w:rFonts w:hint="eastAsia" w:hAnsi="宋体"/>
    </w:rPr>
  </w:style>
  <w:style w:type="character" w:customStyle="1" w:styleId="77">
    <w:name w:val="标题 5 字符"/>
    <w:link w:val="7"/>
    <w:qFormat/>
    <w:uiPriority w:val="0"/>
    <w:rPr>
      <w:b/>
      <w:sz w:val="28"/>
    </w:rPr>
  </w:style>
  <w:style w:type="character" w:customStyle="1" w:styleId="78">
    <w:name w:val="标题 1 字符"/>
    <w:link w:val="3"/>
    <w:qFormat/>
    <w:uiPriority w:val="9"/>
    <w:rPr>
      <w:b/>
      <w:kern w:val="44"/>
      <w:sz w:val="44"/>
    </w:rPr>
  </w:style>
  <w:style w:type="paragraph" w:customStyle="1" w:styleId="79">
    <w:name w:val="修订1"/>
    <w:hidden/>
    <w:semiHidden/>
    <w:qFormat/>
    <w:uiPriority w:val="99"/>
    <w:rPr>
      <w:rFonts w:ascii="Tahoma" w:hAnsi="Tahoma" w:eastAsia="宋体" w:cstheme="minorBidi"/>
      <w:sz w:val="21"/>
      <w:szCs w:val="22"/>
      <w:lang w:val="en-US" w:eastAsia="zh-CN" w:bidi="ar-SA"/>
    </w:rPr>
  </w:style>
  <w:style w:type="paragraph" w:customStyle="1" w:styleId="80">
    <w:name w:val="表格文字"/>
    <w:basedOn w:val="1"/>
    <w:qFormat/>
    <w:uiPriority w:val="0"/>
    <w:pPr>
      <w:adjustRightInd/>
      <w:spacing w:before="25" w:after="25"/>
    </w:pPr>
    <w:rPr>
      <w:rFonts w:ascii="Times New Roman"/>
      <w:bCs/>
      <w:spacing w:val="10"/>
      <w:szCs w:val="20"/>
    </w:rPr>
  </w:style>
  <w:style w:type="paragraph" w:customStyle="1" w:styleId="81">
    <w:name w:val="纯文本1"/>
    <w:basedOn w:val="82"/>
    <w:qFormat/>
    <w:uiPriority w:val="0"/>
    <w:rPr>
      <w:rFonts w:ascii="宋体" w:hAnsi="Courier New"/>
      <w:szCs w:val="20"/>
    </w:rPr>
  </w:style>
  <w:style w:type="paragraph" w:customStyle="1" w:styleId="82">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3">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4">
    <w:name w:val="Table Normal"/>
    <w:unhideWhenUsed/>
    <w:qFormat/>
    <w:uiPriority w:val="2"/>
    <w:tblPr>
      <w:tblCellMar>
        <w:top w:w="0" w:type="dxa"/>
        <w:left w:w="0" w:type="dxa"/>
        <w:bottom w:w="0" w:type="dxa"/>
        <w:right w:w="0" w:type="dxa"/>
      </w:tblCellMar>
    </w:tblPr>
  </w:style>
  <w:style w:type="paragraph" w:customStyle="1" w:styleId="85">
    <w:name w:val="Table Paragraph"/>
    <w:basedOn w:val="1"/>
    <w:qFormat/>
    <w:uiPriority w:val="1"/>
  </w:style>
  <w:style w:type="paragraph" w:customStyle="1" w:styleId="86">
    <w:name w:val="正文文本缩进1"/>
    <w:basedOn w:val="82"/>
    <w:qFormat/>
    <w:uiPriority w:val="0"/>
    <w:pPr>
      <w:spacing w:after="120"/>
      <w:ind w:left="420" w:leftChars="200"/>
    </w:pPr>
  </w:style>
  <w:style w:type="paragraph" w:customStyle="1" w:styleId="87">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8">
    <w:name w:val="纯文本2"/>
    <w:basedOn w:val="82"/>
    <w:qFormat/>
    <w:uiPriority w:val="0"/>
    <w:rPr>
      <w:rFonts w:ascii="宋体" w:hAnsi="Courier New"/>
      <w:szCs w:val="20"/>
    </w:rPr>
  </w:style>
  <w:style w:type="character" w:customStyle="1" w:styleId="89">
    <w:name w:val="font141"/>
    <w:qFormat/>
    <w:uiPriority w:val="0"/>
    <w:rPr>
      <w:rFonts w:hint="default" w:ascii="Times New Roman" w:hAnsi="Times New Roman" w:cs="Times New Roman"/>
      <w:color w:val="000000"/>
      <w:sz w:val="18"/>
      <w:szCs w:val="18"/>
      <w:u w:val="none"/>
    </w:rPr>
  </w:style>
  <w:style w:type="character" w:customStyle="1" w:styleId="90">
    <w:name w:val="font71"/>
    <w:qFormat/>
    <w:uiPriority w:val="0"/>
    <w:rPr>
      <w:rFonts w:hint="eastAsia" w:ascii="宋体" w:hAnsi="宋体" w:eastAsia="宋体" w:cs="宋体"/>
      <w:color w:val="000000"/>
      <w:sz w:val="18"/>
      <w:szCs w:val="18"/>
      <w:u w:val="none"/>
    </w:rPr>
  </w:style>
  <w:style w:type="paragraph" w:customStyle="1" w:styleId="91">
    <w:name w:val="table"/>
    <w:qFormat/>
    <w:uiPriority w:val="0"/>
    <w:pPr>
      <w:adjustRightInd w:val="0"/>
      <w:snapToGrid w:val="0"/>
    </w:pPr>
    <w:rPr>
      <w:rFonts w:ascii="宋体" w:hAnsi="Calibri" w:eastAsia="宋体" w:cs="Times New Roman"/>
      <w:kern w:val="2"/>
      <w:sz w:val="24"/>
      <w:szCs w:val="22"/>
      <w:lang w:val="en-US" w:eastAsia="zh-CN" w:bidi="ar-SA"/>
    </w:rPr>
  </w:style>
  <w:style w:type="paragraph" w:customStyle="1" w:styleId="92">
    <w:name w:val="修订2"/>
    <w:hidden/>
    <w:unhideWhenUsed/>
    <w:qFormat/>
    <w:uiPriority w:val="99"/>
    <w:rPr>
      <w:rFonts w:ascii="Tahoma" w:hAnsi="Tahoma" w:eastAsia="宋体" w:cstheme="minorBidi"/>
      <w:sz w:val="21"/>
      <w:szCs w:val="22"/>
      <w:lang w:val="en-US" w:eastAsia="zh-CN" w:bidi="ar-SA"/>
    </w:rPr>
  </w:style>
  <w:style w:type="paragraph" w:customStyle="1" w:styleId="93">
    <w:name w:val="修订3"/>
    <w:hidden/>
    <w:unhideWhenUsed/>
    <w:qFormat/>
    <w:uiPriority w:val="99"/>
    <w:rPr>
      <w:rFonts w:ascii="Tahoma" w:hAnsi="Tahoma" w:eastAsia="宋体" w:cstheme="minorBidi"/>
      <w:sz w:val="21"/>
      <w:szCs w:val="22"/>
      <w:lang w:val="en-US" w:eastAsia="zh-CN" w:bidi="ar-SA"/>
    </w:rPr>
  </w:style>
  <w:style w:type="paragraph" w:customStyle="1" w:styleId="94">
    <w:name w:val="修订4"/>
    <w:hidden/>
    <w:unhideWhenUsed/>
    <w:qFormat/>
    <w:uiPriority w:val="99"/>
    <w:rPr>
      <w:rFonts w:ascii="Tahoma" w:hAnsi="Tahoma" w:eastAsia="宋体" w:cstheme="minorBidi"/>
      <w:sz w:val="21"/>
      <w:szCs w:val="22"/>
      <w:lang w:val="en-US" w:eastAsia="zh-CN" w:bidi="ar-SA"/>
    </w:rPr>
  </w:style>
  <w:style w:type="character" w:customStyle="1" w:styleId="95">
    <w:name w:val="未处理的提及1"/>
    <w:basedOn w:val="32"/>
    <w:semiHidden/>
    <w:unhideWhenUsed/>
    <w:qFormat/>
    <w:uiPriority w:val="99"/>
    <w:rPr>
      <w:color w:val="605E5C"/>
      <w:shd w:val="clear" w:color="auto" w:fill="E1DFDD"/>
    </w:rPr>
  </w:style>
  <w:style w:type="character" w:styleId="96">
    <w:name w:val="Placeholder Text"/>
    <w:basedOn w:val="32"/>
    <w:unhideWhenUsed/>
    <w:qFormat/>
    <w:uiPriority w:val="99"/>
    <w:rPr>
      <w:color w:val="666666"/>
    </w:rPr>
  </w:style>
  <w:style w:type="character" w:customStyle="1" w:styleId="97">
    <w:name w:val="Unresolved Mention"/>
    <w:basedOn w:val="32"/>
    <w:semiHidden/>
    <w:unhideWhenUsed/>
    <w:qFormat/>
    <w:uiPriority w:val="99"/>
    <w:rPr>
      <w:color w:val="605E5C"/>
      <w:shd w:val="clear" w:color="auto" w:fill="E1DFDD"/>
    </w:rPr>
  </w:style>
  <w:style w:type="paragraph" w:customStyle="1" w:styleId="98">
    <w:name w:val="Revision"/>
    <w:hidden/>
    <w:unhideWhenUsed/>
    <w:qFormat/>
    <w:uiPriority w:val="99"/>
    <w:rPr>
      <w:rFonts w:ascii="Tahoma" w:hAnsi="Tahoma" w:eastAsia="宋体" w:cstheme="minorBidi"/>
      <w:sz w:val="21"/>
      <w:szCs w:val="22"/>
      <w:lang w:val="en-US" w:eastAsia="zh-CN" w:bidi="ar-SA"/>
    </w:rPr>
  </w:style>
  <w:style w:type="paragraph" w:customStyle="1" w:styleId="99">
    <w:name w:val="正文文本首行缩进2"/>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00">
    <w:name w:val="B"/>
    <w:basedOn w:val="101"/>
    <w:qFormat/>
    <w:uiPriority w:val="0"/>
    <w:pPr>
      <w:widowControl w:val="0"/>
      <w:tabs>
        <w:tab w:val="center" w:pos="4706"/>
        <w:tab w:val="right" w:pos="9044"/>
      </w:tabs>
      <w:topLinePunct/>
      <w:spacing w:before="160" w:after="60" w:line="312" w:lineRule="exact"/>
    </w:pPr>
    <w:rPr>
      <w:rFonts w:ascii="E-F1"/>
      <w:kern w:val="2"/>
    </w:rPr>
  </w:style>
  <w:style w:type="paragraph" w:customStyle="1" w:styleId="101">
    <w:name w:val="表头"/>
    <w:basedOn w:val="9"/>
    <w:qFormat/>
    <w:uiPriority w:val="0"/>
    <w:pPr>
      <w:keepNext/>
      <w:keepLines/>
      <w:spacing w:before="120" w:after="120" w:line="300" w:lineRule="auto"/>
      <w:jc w:val="center"/>
      <w:textAlignment w:val="baseline"/>
    </w:pPr>
    <w:rPr>
      <w:rFonts w:cs="Times New Roman"/>
      <w:sz w:val="21"/>
    </w:rPr>
  </w:style>
  <w:style w:type="paragraph" w:customStyle="1" w:styleId="102">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character" w:customStyle="1" w:styleId="103">
    <w:name w:val="D2 Char Char"/>
    <w:link w:val="104"/>
    <w:qFormat/>
    <w:uiPriority w:val="0"/>
    <w:rPr>
      <w:sz w:val="20"/>
      <w:szCs w:val="20"/>
    </w:rPr>
  </w:style>
  <w:style w:type="paragraph" w:customStyle="1" w:styleId="104">
    <w:name w:val="D2"/>
    <w:basedOn w:val="1"/>
    <w:link w:val="103"/>
    <w:qFormat/>
    <w:uiPriority w:val="0"/>
    <w:pPr>
      <w:widowControl w:val="0"/>
      <w:spacing w:line="312" w:lineRule="exact"/>
      <w:jc w:val="both"/>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139</Pages>
  <Words>9572</Words>
  <Characters>10412</Characters>
  <Lines>1</Lines>
  <Paragraphs>1</Paragraphs>
  <TotalTime>19</TotalTime>
  <ScaleCrop>false</ScaleCrop>
  <LinksUpToDate>false</LinksUpToDate>
  <CharactersWithSpaces>10665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2024-10-24T06:40:00Z</dcterms:created>
  <dc:creator>MyPC</dc:creator>
  <cp:lastModifiedBy>HM</cp:lastModifiedBy>
  <cp:lastPrinted>2022-12-01T06:09:00Z</cp:lastPrinted>
  <dcterms:modified xsi:type="dcterms:W3CDTF">2026-01-07T08:34:37Z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1B6627A9F6064C0DBF7D9D14D3EAADBC</vt:lpwstr>
  </property>
  <property fmtid="{D5CDD505-2E9C-101B-9397-08002B2CF9AE}" pid="4" name="KSOTemplateDocerSaveRecord">
    <vt:lpwstr>eyJoZGlkIjoiMmFiMDU3Y2U1Zjg3MjM0NTQwZTA0MDhjZjU3NDlkYWIiLCJ1c2VySWQiOiIxMTM0Mjg2OTExIn0=</vt:lpwstr>
  </property>
</Properties>
</file>